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140A2908"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2B512E">
              <w:rPr>
                <w:rFonts w:asciiTheme="minorHAnsi" w:hAnsiTheme="minorHAnsi" w:cstheme="minorHAnsi"/>
                <w:color w:val="000000" w:themeColor="text1"/>
                <w:sz w:val="22"/>
                <w:szCs w:val="22"/>
              </w:rPr>
              <w:t>Child protection</w:t>
            </w:r>
            <w:r w:rsidR="00FE1658">
              <w:rPr>
                <w:rFonts w:asciiTheme="minorHAnsi" w:hAnsiTheme="minorHAnsi" w:cstheme="minorHAnsi"/>
                <w:color w:val="000000" w:themeColor="text1"/>
                <w:sz w:val="22"/>
                <w:szCs w:val="22"/>
              </w:rPr>
              <w:t>/Emergency</w:t>
            </w:r>
            <w:r w:rsidR="002B512E">
              <w:rPr>
                <w:rFonts w:asciiTheme="minorHAnsi" w:hAnsiTheme="minorHAnsi" w:cstheme="minorHAnsi"/>
                <w:color w:val="000000" w:themeColor="text1"/>
                <w:sz w:val="22"/>
                <w:szCs w:val="22"/>
              </w:rPr>
              <w:t xml:space="preserve"> </w:t>
            </w:r>
          </w:p>
        </w:tc>
      </w:tr>
      <w:tr w:rsidR="001142CC" w:rsidRPr="00392F18" w14:paraId="58569FBE" w14:textId="77777777" w:rsidTr="00392F18">
        <w:trPr>
          <w:trHeight w:val="597"/>
        </w:trPr>
        <w:tc>
          <w:tcPr>
            <w:tcW w:w="10800" w:type="dxa"/>
            <w:shd w:val="pct15" w:color="auto" w:fill="FFFFFF"/>
          </w:tcPr>
          <w:p w14:paraId="4C78FB89" w14:textId="00E966D5"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CA26D1">
              <w:rPr>
                <w:rFonts w:asciiTheme="minorHAnsi" w:hAnsiTheme="minorHAnsi" w:cstheme="minorHAnsi"/>
                <w:b/>
                <w:bCs/>
                <w:color w:val="000000" w:themeColor="text1"/>
                <w:sz w:val="22"/>
                <w:szCs w:val="22"/>
              </w:rPr>
              <w:t>F</w:t>
            </w:r>
            <w:r w:rsidR="00CA26D1" w:rsidRPr="00CA26D1">
              <w:rPr>
                <w:rFonts w:asciiTheme="minorHAnsi" w:hAnsiTheme="minorHAnsi" w:cstheme="minorHAnsi"/>
                <w:b/>
                <w:bCs/>
                <w:color w:val="000000" w:themeColor="text1"/>
                <w:sz w:val="22"/>
                <w:szCs w:val="22"/>
              </w:rPr>
              <w:t>ield monitor</w:t>
            </w:r>
            <w:r w:rsidR="00CA26D1">
              <w:rPr>
                <w:rFonts w:asciiTheme="minorHAnsi" w:hAnsiTheme="minorHAnsi" w:cstheme="minorHAnsi"/>
                <w:b/>
                <w:bCs/>
                <w:color w:val="000000" w:themeColor="text1"/>
                <w:sz w:val="22"/>
                <w:szCs w:val="22"/>
              </w:rPr>
              <w:t>ing consultant</w:t>
            </w:r>
            <w:r w:rsidR="00CA26D1" w:rsidRPr="00CA26D1">
              <w:rPr>
                <w:rFonts w:asciiTheme="minorHAnsi" w:hAnsiTheme="minorHAnsi" w:cstheme="minorHAnsi"/>
                <w:b/>
                <w:bCs/>
                <w:color w:val="000000" w:themeColor="text1"/>
                <w:sz w:val="22"/>
                <w:szCs w:val="22"/>
              </w:rPr>
              <w:t xml:space="preserve"> based in </w:t>
            </w:r>
            <w:r w:rsidR="00FE1658">
              <w:rPr>
                <w:rFonts w:asciiTheme="minorHAnsi" w:hAnsiTheme="minorHAnsi" w:cstheme="minorHAnsi"/>
                <w:b/>
                <w:bCs/>
                <w:color w:val="000000" w:themeColor="text1"/>
                <w:sz w:val="22"/>
                <w:szCs w:val="22"/>
              </w:rPr>
              <w:t>Vitebsk</w:t>
            </w:r>
          </w:p>
        </w:tc>
      </w:tr>
      <w:tr w:rsidR="00923EA6" w:rsidRPr="00392F18" w14:paraId="0E354F85" w14:textId="77777777" w:rsidTr="00392F18">
        <w:trPr>
          <w:trHeight w:val="597"/>
        </w:trPr>
        <w:tc>
          <w:tcPr>
            <w:tcW w:w="10800" w:type="dxa"/>
            <w:shd w:val="pct15" w:color="auto" w:fill="FFFFFF"/>
          </w:tcPr>
          <w:p w14:paraId="275BF791" w14:textId="749656F0" w:rsidR="00923EA6" w:rsidRPr="00392F18" w:rsidRDefault="00923EA6" w:rsidP="00392F18">
            <w:pPr>
              <w:tabs>
                <w:tab w:val="left" w:pos="360"/>
              </w:tabs>
              <w:rPr>
                <w:rFonts w:asciiTheme="minorHAnsi" w:hAnsiTheme="minorHAnsi" w:cstheme="minorHAnsi"/>
                <w:b/>
                <w:bCs/>
                <w:color w:val="244061" w:themeColor="accent1" w:themeShade="80"/>
                <w:sz w:val="22"/>
                <w:szCs w:val="22"/>
              </w:rPr>
            </w:pPr>
            <w:r>
              <w:rPr>
                <w:rFonts w:asciiTheme="minorHAnsi" w:hAnsiTheme="minorHAnsi" w:cstheme="minorHAnsi"/>
                <w:b/>
                <w:bCs/>
                <w:color w:val="244061" w:themeColor="accent1" w:themeShade="80"/>
                <w:sz w:val="22"/>
                <w:szCs w:val="22"/>
              </w:rPr>
              <w:t>Name of the applicant:</w:t>
            </w:r>
          </w:p>
        </w:tc>
      </w:tr>
      <w:tr w:rsidR="00B73E53" w:rsidRPr="00392F18" w14:paraId="4BA3379B" w14:textId="77777777" w:rsidTr="00CE73B9">
        <w:trPr>
          <w:trHeight w:val="516"/>
        </w:trPr>
        <w:tc>
          <w:tcPr>
            <w:tcW w:w="10800" w:type="dxa"/>
          </w:tcPr>
          <w:p w14:paraId="0E82D147" w14:textId="2A323B4D"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CA26D1" w:rsidRPr="00CA26D1">
              <w:rPr>
                <w:rFonts w:asciiTheme="minorHAnsi" w:hAnsiTheme="minorHAnsi" w:cstheme="minorHAnsi"/>
                <w:color w:val="000000" w:themeColor="text1"/>
                <w:sz w:val="22"/>
                <w:szCs w:val="22"/>
              </w:rPr>
              <w:t>These consultancies are intended to strengthen UNICEF presence at subnational level and provide support in coordination, implementation and monitoring of UNICEF programmes and emergency interventions at the indicated regions.</w:t>
            </w:r>
          </w:p>
        </w:tc>
      </w:tr>
      <w:tr w:rsidR="00B73E53" w:rsidRPr="00392F18" w14:paraId="3E6B3087" w14:textId="77777777" w:rsidTr="00016AB4">
        <w:tc>
          <w:tcPr>
            <w:tcW w:w="10800" w:type="dxa"/>
          </w:tcPr>
          <w:p w14:paraId="4F991298" w14:textId="45054671" w:rsidR="009263B9" w:rsidRPr="00392F18" w:rsidRDefault="00B73E53" w:rsidP="00933928">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2B512E">
              <w:rPr>
                <w:rFonts w:asciiTheme="minorHAnsi" w:hAnsiTheme="minorHAnsi" w:cstheme="minorHAnsi"/>
                <w:color w:val="000000" w:themeColor="text1"/>
                <w:sz w:val="22"/>
                <w:szCs w:val="22"/>
              </w:rPr>
              <w:t>CP Specialist</w:t>
            </w:r>
            <w:r w:rsidR="00FE1658">
              <w:rPr>
                <w:rFonts w:asciiTheme="minorHAnsi" w:hAnsiTheme="minorHAnsi" w:cstheme="minorHAnsi"/>
                <w:color w:val="000000" w:themeColor="text1"/>
                <w:sz w:val="22"/>
                <w:szCs w:val="22"/>
              </w:rPr>
              <w:t>/Emergency Coordinator</w:t>
            </w:r>
            <w:r w:rsidR="00B958BF" w:rsidRPr="002F649A">
              <w:rPr>
                <w:rFonts w:asciiTheme="minorHAnsi" w:hAnsiTheme="minorHAnsi" w:cstheme="minorHAnsi"/>
                <w:color w:val="000000" w:themeColor="text1"/>
                <w:sz w:val="22"/>
                <w:szCs w:val="22"/>
              </w:rPr>
              <w:t xml:space="preserve">, UNICEF </w:t>
            </w:r>
            <w:r w:rsidR="00CA26D1">
              <w:rPr>
                <w:rFonts w:asciiTheme="minorHAnsi" w:hAnsiTheme="minorHAnsi" w:cstheme="minorHAnsi"/>
                <w:color w:val="000000" w:themeColor="text1"/>
                <w:sz w:val="22"/>
                <w:szCs w:val="22"/>
              </w:rPr>
              <w:t>Belarus</w:t>
            </w:r>
          </w:p>
        </w:tc>
      </w:tr>
    </w:tbl>
    <w:p w14:paraId="5408A0AB" w14:textId="77777777" w:rsidR="009263B9" w:rsidRPr="00392F18" w:rsidRDefault="009263B9" w:rsidP="001142CC">
      <w:pPr>
        <w:rPr>
          <w:rFonts w:asciiTheme="minorHAnsi" w:hAnsiTheme="minorHAnsi" w:cstheme="minorHAnsi"/>
          <w:sz w:val="22"/>
          <w:szCs w:val="22"/>
        </w:rPr>
      </w:pPr>
    </w:p>
    <w:tbl>
      <w:tblPr>
        <w:tblStyle w:val="TableGrid"/>
        <w:tblW w:w="10710" w:type="dxa"/>
        <w:tblInd w:w="-1265" w:type="dxa"/>
        <w:tblLayout w:type="fixed"/>
        <w:tblLook w:val="04A0" w:firstRow="1" w:lastRow="0" w:firstColumn="1" w:lastColumn="0" w:noHBand="0" w:noVBand="1"/>
      </w:tblPr>
      <w:tblGrid>
        <w:gridCol w:w="2160"/>
        <w:gridCol w:w="5490"/>
        <w:gridCol w:w="1170"/>
        <w:gridCol w:w="1890"/>
      </w:tblGrid>
      <w:tr w:rsidR="00CA26D1" w:rsidRPr="00CE73B9" w14:paraId="577A0819" w14:textId="77777777" w:rsidTr="00CA26D1">
        <w:trPr>
          <w:trHeight w:val="408"/>
        </w:trPr>
        <w:tc>
          <w:tcPr>
            <w:tcW w:w="2160" w:type="dxa"/>
            <w:shd w:val="pct15" w:color="auto" w:fill="auto"/>
            <w:vAlign w:val="center"/>
          </w:tcPr>
          <w:p w14:paraId="6A08A9B1" w14:textId="77777777" w:rsidR="00CA26D1" w:rsidRPr="00CE73B9" w:rsidRDefault="00CA26D1" w:rsidP="00A632FB">
            <w:pPr>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TASKS</w:t>
            </w:r>
          </w:p>
        </w:tc>
        <w:tc>
          <w:tcPr>
            <w:tcW w:w="5490" w:type="dxa"/>
            <w:shd w:val="pct15" w:color="auto" w:fill="auto"/>
            <w:vAlign w:val="center"/>
          </w:tcPr>
          <w:p w14:paraId="6962E8E1" w14:textId="77777777" w:rsidR="00CA26D1" w:rsidRPr="00CE73B9" w:rsidRDefault="00CA26D1" w:rsidP="00A632FB">
            <w:pPr>
              <w:ind w:left="-108" w:right="-108"/>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DELIVERABLES</w:t>
            </w:r>
          </w:p>
        </w:tc>
        <w:tc>
          <w:tcPr>
            <w:tcW w:w="1170" w:type="dxa"/>
            <w:shd w:val="pct15" w:color="auto" w:fill="auto"/>
            <w:vAlign w:val="center"/>
          </w:tcPr>
          <w:p w14:paraId="128CEA11" w14:textId="0E24365D" w:rsidR="00CA26D1" w:rsidRPr="00CE73B9" w:rsidRDefault="00CA26D1" w:rsidP="00A632FB">
            <w:pPr>
              <w:jc w:val="center"/>
              <w:rPr>
                <w:rFonts w:asciiTheme="minorHAnsi" w:hAnsiTheme="minorHAnsi" w:cstheme="minorHAnsi"/>
                <w:b/>
                <w:bCs/>
                <w:sz w:val="22"/>
                <w:szCs w:val="22"/>
                <w:lang w:eastAsia="x-none"/>
              </w:rPr>
            </w:pPr>
            <w:r>
              <w:rPr>
                <w:rFonts w:asciiTheme="minorHAnsi" w:hAnsiTheme="minorHAnsi" w:cstheme="minorHAnsi"/>
                <w:b/>
                <w:bCs/>
                <w:sz w:val="22"/>
                <w:szCs w:val="22"/>
                <w:lang w:eastAsia="x-none"/>
              </w:rPr>
              <w:t>Duration</w:t>
            </w:r>
          </w:p>
        </w:tc>
        <w:tc>
          <w:tcPr>
            <w:tcW w:w="1890" w:type="dxa"/>
            <w:shd w:val="pct15" w:color="auto" w:fill="auto"/>
            <w:vAlign w:val="center"/>
          </w:tcPr>
          <w:p w14:paraId="42FC37FC" w14:textId="5B9C8D3D" w:rsidR="00CA26D1" w:rsidRPr="00CE73B9" w:rsidRDefault="00CA26D1" w:rsidP="00A632FB">
            <w:pPr>
              <w:jc w:val="center"/>
              <w:rPr>
                <w:rFonts w:asciiTheme="minorHAnsi" w:hAnsiTheme="minorHAnsi" w:cstheme="minorHAnsi"/>
                <w:b/>
                <w:sz w:val="22"/>
                <w:szCs w:val="22"/>
              </w:rPr>
            </w:pPr>
            <w:r>
              <w:rPr>
                <w:rFonts w:asciiTheme="minorHAnsi" w:hAnsiTheme="minorHAnsi" w:cstheme="minorHAnsi"/>
                <w:b/>
                <w:bCs/>
                <w:sz w:val="22"/>
                <w:szCs w:val="22"/>
                <w:lang w:eastAsia="x-none"/>
              </w:rPr>
              <w:t>Lumpsum fee*</w:t>
            </w:r>
            <w:r w:rsidRPr="00CE73B9">
              <w:rPr>
                <w:rFonts w:asciiTheme="minorHAnsi" w:hAnsiTheme="minorHAnsi" w:cstheme="minorHAnsi"/>
                <w:b/>
                <w:bCs/>
                <w:sz w:val="22"/>
                <w:szCs w:val="22"/>
                <w:lang w:eastAsia="x-none"/>
              </w:rPr>
              <w:t xml:space="preserve"> </w:t>
            </w:r>
            <w:r>
              <w:rPr>
                <w:rFonts w:asciiTheme="minorHAnsi" w:hAnsiTheme="minorHAnsi" w:cstheme="minorHAnsi"/>
                <w:b/>
                <w:bCs/>
                <w:sz w:val="22"/>
                <w:szCs w:val="22"/>
                <w:lang w:eastAsia="x-none"/>
              </w:rPr>
              <w:t xml:space="preserve">per deliverable per duration </w:t>
            </w:r>
            <w:r w:rsidRPr="00CE73B9">
              <w:rPr>
                <w:rFonts w:asciiTheme="minorHAnsi" w:hAnsiTheme="minorHAnsi" w:cstheme="minorHAnsi"/>
                <w:b/>
                <w:bCs/>
                <w:sz w:val="22"/>
                <w:szCs w:val="22"/>
                <w:lang w:eastAsia="x-none"/>
              </w:rPr>
              <w:t>(USD)</w:t>
            </w:r>
          </w:p>
        </w:tc>
      </w:tr>
      <w:tr w:rsidR="00FE1658" w:rsidRPr="00CE73B9" w14:paraId="53BB583A" w14:textId="77777777" w:rsidTr="00080DBE">
        <w:trPr>
          <w:trHeight w:val="377"/>
        </w:trPr>
        <w:tc>
          <w:tcPr>
            <w:tcW w:w="10710" w:type="dxa"/>
            <w:gridSpan w:val="4"/>
            <w:shd w:val="clear" w:color="auto" w:fill="auto"/>
          </w:tcPr>
          <w:p w14:paraId="7CD37159" w14:textId="77777777" w:rsidR="00FE1658" w:rsidRPr="00AF043D" w:rsidRDefault="00FE1658">
            <w:pPr>
              <w:pStyle w:val="ListParagraph"/>
              <w:numPr>
                <w:ilvl w:val="0"/>
                <w:numId w:val="2"/>
              </w:numPr>
              <w:spacing w:line="276" w:lineRule="auto"/>
              <w:jc w:val="both"/>
              <w:rPr>
                <w:rFonts w:asciiTheme="minorHAnsi" w:hAnsiTheme="minorHAnsi" w:cstheme="minorHAnsi"/>
                <w:b/>
                <w:bCs/>
                <w:color w:val="000000" w:themeColor="text1"/>
                <w:sz w:val="22"/>
                <w:szCs w:val="22"/>
              </w:rPr>
            </w:pPr>
            <w:r w:rsidRPr="00A45A10">
              <w:rPr>
                <w:rFonts w:asciiTheme="minorHAnsi" w:hAnsiTheme="minorHAnsi" w:cstheme="minorHAnsi"/>
                <w:b/>
                <w:bCs/>
                <w:color w:val="000000" w:themeColor="text1"/>
                <w:sz w:val="22"/>
                <w:szCs w:val="22"/>
              </w:rPr>
              <w:t>Participate in the monitoring and coordination of activities in the Family for Every Child program and DI/institutionalization prevention of children 0-3 and CWD project in Vitebsk</w:t>
            </w:r>
          </w:p>
          <w:p w14:paraId="3CC459F1" w14:textId="77777777" w:rsidR="00FE1658" w:rsidRPr="00CE73B9" w:rsidRDefault="00FE1658" w:rsidP="00E57B42">
            <w:pPr>
              <w:tabs>
                <w:tab w:val="num" w:pos="360"/>
              </w:tabs>
              <w:jc w:val="center"/>
              <w:rPr>
                <w:rFonts w:asciiTheme="minorHAnsi" w:hAnsiTheme="minorHAnsi" w:cstheme="minorHAnsi"/>
                <w:bCs/>
                <w:sz w:val="22"/>
                <w:szCs w:val="22"/>
              </w:rPr>
            </w:pPr>
          </w:p>
        </w:tc>
      </w:tr>
      <w:tr w:rsidR="00E57B42" w:rsidRPr="00CE73B9" w14:paraId="31ECCAF0" w14:textId="77777777" w:rsidTr="00CA26D1">
        <w:trPr>
          <w:trHeight w:val="377"/>
        </w:trPr>
        <w:tc>
          <w:tcPr>
            <w:tcW w:w="2160" w:type="dxa"/>
            <w:shd w:val="clear" w:color="auto" w:fill="auto"/>
          </w:tcPr>
          <w:p w14:paraId="7F9591B4" w14:textId="60F1C57B" w:rsidR="00E57B42" w:rsidRPr="00CE73B9" w:rsidRDefault="00FE1658" w:rsidP="00E57B42">
            <w:pPr>
              <w:ind w:left="-18"/>
              <w:rPr>
                <w:rFonts w:asciiTheme="minorHAnsi" w:hAnsiTheme="minorHAnsi" w:cstheme="minorHAnsi"/>
                <w:sz w:val="22"/>
                <w:szCs w:val="22"/>
              </w:rPr>
            </w:pPr>
            <w:r w:rsidRPr="00FE1658">
              <w:rPr>
                <w:rFonts w:asciiTheme="minorHAnsi" w:hAnsiTheme="minorHAnsi" w:cstheme="minorHAnsi"/>
                <w:color w:val="000000" w:themeColor="text1"/>
              </w:rPr>
              <w:t xml:space="preserve">Arrange regular meetings with partners </w:t>
            </w:r>
          </w:p>
        </w:tc>
        <w:tc>
          <w:tcPr>
            <w:tcW w:w="5490" w:type="dxa"/>
            <w:shd w:val="clear" w:color="auto" w:fill="auto"/>
          </w:tcPr>
          <w:p w14:paraId="28039270" w14:textId="4DE589FE" w:rsidR="00E57B42" w:rsidRPr="0001789E" w:rsidRDefault="00FE1658" w:rsidP="004E4AE1">
            <w:pPr>
              <w:rPr>
                <w:rFonts w:asciiTheme="minorHAnsi" w:hAnsiTheme="minorHAnsi" w:cstheme="minorHAnsi"/>
                <w:sz w:val="22"/>
                <w:szCs w:val="22"/>
              </w:rPr>
            </w:pPr>
            <w:r w:rsidRPr="00FE1658">
              <w:rPr>
                <w:rFonts w:asciiTheme="minorHAnsi" w:hAnsiTheme="minorHAnsi" w:cstheme="minorBidi"/>
              </w:rPr>
              <w:t>•</w:t>
            </w:r>
            <w:r w:rsidRPr="00FE1658">
              <w:rPr>
                <w:rFonts w:asciiTheme="minorHAnsi" w:hAnsiTheme="minorHAnsi" w:cstheme="minorBidi"/>
              </w:rPr>
              <w:tab/>
              <w:t>Three (3) meetings organized, involving Vitebsk partners, UNICEF and Vitebsk administration (conducted every two months), with summary report and follow up actions documented</w:t>
            </w:r>
          </w:p>
        </w:tc>
        <w:tc>
          <w:tcPr>
            <w:tcW w:w="1170" w:type="dxa"/>
            <w:shd w:val="clear" w:color="auto" w:fill="auto"/>
          </w:tcPr>
          <w:p w14:paraId="2C15A9D5" w14:textId="20E4453F" w:rsidR="00E57B42" w:rsidRPr="00CE73B9" w:rsidRDefault="00FE1658" w:rsidP="00E57B42">
            <w:pPr>
              <w:tabs>
                <w:tab w:val="num" w:pos="360"/>
              </w:tabs>
              <w:jc w:val="center"/>
              <w:rPr>
                <w:rFonts w:asciiTheme="minorHAnsi" w:hAnsiTheme="minorHAnsi" w:cstheme="minorHAnsi"/>
                <w:bCs/>
                <w:sz w:val="22"/>
                <w:szCs w:val="22"/>
              </w:rPr>
            </w:pPr>
            <w:r w:rsidRPr="00FE1658">
              <w:rPr>
                <w:rFonts w:asciiTheme="minorHAnsi" w:hAnsiTheme="minorHAnsi" w:cstheme="minorHAnsi"/>
                <w:color w:val="000000" w:themeColor="text1"/>
              </w:rPr>
              <w:t>15 January 2024 – 15 May 2024</w:t>
            </w:r>
          </w:p>
        </w:tc>
        <w:tc>
          <w:tcPr>
            <w:tcW w:w="1890" w:type="dxa"/>
            <w:shd w:val="clear" w:color="auto" w:fill="auto"/>
            <w:vAlign w:val="center"/>
          </w:tcPr>
          <w:p w14:paraId="56210D5F" w14:textId="77777777" w:rsidR="00E57B42" w:rsidRPr="00CE73B9" w:rsidRDefault="00E57B42" w:rsidP="00E57B42">
            <w:pPr>
              <w:tabs>
                <w:tab w:val="num" w:pos="360"/>
              </w:tabs>
              <w:jc w:val="center"/>
              <w:rPr>
                <w:rFonts w:asciiTheme="minorHAnsi" w:hAnsiTheme="minorHAnsi" w:cstheme="minorHAnsi"/>
                <w:bCs/>
                <w:sz w:val="22"/>
                <w:szCs w:val="22"/>
              </w:rPr>
            </w:pPr>
          </w:p>
        </w:tc>
      </w:tr>
      <w:tr w:rsidR="00DB707F" w:rsidRPr="00CE73B9" w14:paraId="3EE41371" w14:textId="77777777" w:rsidTr="00FA04C8">
        <w:trPr>
          <w:trHeight w:val="1709"/>
        </w:trPr>
        <w:tc>
          <w:tcPr>
            <w:tcW w:w="2160" w:type="dxa"/>
            <w:shd w:val="clear" w:color="auto" w:fill="auto"/>
          </w:tcPr>
          <w:p w14:paraId="37732E24" w14:textId="66149ED3" w:rsidR="00DB707F" w:rsidRPr="00DB707F" w:rsidRDefault="00FE1658" w:rsidP="00E57B42">
            <w:pPr>
              <w:rPr>
                <w:rFonts w:asciiTheme="minorHAnsi" w:eastAsia="Arial Unicode MS" w:hAnsiTheme="minorHAnsi" w:cstheme="minorHAnsi"/>
              </w:rPr>
            </w:pPr>
            <w:r w:rsidRPr="00FE1658">
              <w:rPr>
                <w:rFonts w:asciiTheme="minorHAnsi" w:eastAsia="Arial Unicode MS" w:hAnsiTheme="minorHAnsi" w:cstheme="minorHAnsi"/>
                <w:lang w:val="en-AU"/>
              </w:rPr>
              <w:t>Collect data, report on project interventions, track indicators, and provide advice or suggestions for improvement according to objectives</w:t>
            </w:r>
          </w:p>
        </w:tc>
        <w:tc>
          <w:tcPr>
            <w:tcW w:w="5490" w:type="dxa"/>
            <w:shd w:val="clear" w:color="auto" w:fill="auto"/>
          </w:tcPr>
          <w:p w14:paraId="3B1F51F6" w14:textId="77777777" w:rsidR="00FE1658" w:rsidRPr="00FE1658" w:rsidRDefault="00FE1658" w:rsidP="00FE1658">
            <w:pPr>
              <w:rPr>
                <w:rFonts w:asciiTheme="minorHAnsi" w:hAnsiTheme="minorHAnsi" w:cstheme="minorBidi"/>
              </w:rPr>
            </w:pPr>
            <w:r w:rsidRPr="00FE1658">
              <w:rPr>
                <w:rFonts w:asciiTheme="minorHAnsi" w:hAnsiTheme="minorHAnsi" w:cstheme="minorBidi"/>
              </w:rPr>
              <w:t>•</w:t>
            </w:r>
            <w:r w:rsidRPr="00FE1658">
              <w:rPr>
                <w:rFonts w:asciiTheme="minorHAnsi" w:hAnsiTheme="minorHAnsi" w:cstheme="minorBidi"/>
              </w:rPr>
              <w:tab/>
              <w:t xml:space="preserve">Twelve (12) bi-weekly reports submitted to UNICEF CP officer on development of project, project interventions with recommendations for adjustments </w:t>
            </w:r>
          </w:p>
          <w:p w14:paraId="3B981200" w14:textId="77777777" w:rsidR="00FE1658" w:rsidRPr="00FE1658" w:rsidRDefault="00FE1658" w:rsidP="00FE1658">
            <w:pPr>
              <w:rPr>
                <w:rFonts w:asciiTheme="minorHAnsi" w:hAnsiTheme="minorHAnsi" w:cstheme="minorBidi"/>
              </w:rPr>
            </w:pPr>
            <w:r w:rsidRPr="00FE1658">
              <w:rPr>
                <w:rFonts w:asciiTheme="minorHAnsi" w:hAnsiTheme="minorHAnsi" w:cstheme="minorBidi"/>
              </w:rPr>
              <w:t>•</w:t>
            </w:r>
            <w:r w:rsidRPr="00FE1658">
              <w:rPr>
                <w:rFonts w:asciiTheme="minorHAnsi" w:hAnsiTheme="minorHAnsi" w:cstheme="minorBidi"/>
              </w:rPr>
              <w:tab/>
              <w:t xml:space="preserve">Six (6) monthly detailed reports submitted on progress of partners, assessing PCA indicators and tasks </w:t>
            </w:r>
          </w:p>
          <w:p w14:paraId="58BDDCB7" w14:textId="53F7565A" w:rsidR="00DB707F" w:rsidRPr="00CA26D1" w:rsidRDefault="00FE1658" w:rsidP="00FE1658">
            <w:pPr>
              <w:rPr>
                <w:rFonts w:asciiTheme="minorHAnsi" w:hAnsiTheme="minorHAnsi" w:cstheme="minorHAnsi"/>
                <w:sz w:val="22"/>
                <w:szCs w:val="22"/>
              </w:rPr>
            </w:pPr>
            <w:r w:rsidRPr="00FE1658">
              <w:rPr>
                <w:rFonts w:asciiTheme="minorHAnsi" w:hAnsiTheme="minorHAnsi" w:cstheme="minorBidi"/>
              </w:rPr>
              <w:t>•</w:t>
            </w:r>
            <w:r w:rsidRPr="00FE1658">
              <w:rPr>
                <w:rFonts w:asciiTheme="minorHAnsi" w:hAnsiTheme="minorHAnsi" w:cstheme="minorBidi"/>
              </w:rPr>
              <w:tab/>
              <w:t>Six (6) program visits to implementation sites/trips within the region to assess conditions of children living in institutions</w:t>
            </w:r>
          </w:p>
        </w:tc>
        <w:tc>
          <w:tcPr>
            <w:tcW w:w="1170" w:type="dxa"/>
            <w:shd w:val="clear" w:color="auto" w:fill="auto"/>
          </w:tcPr>
          <w:p w14:paraId="06C936D2" w14:textId="5E5D9144" w:rsidR="00DB707F" w:rsidRPr="00CE73B9" w:rsidRDefault="00FE1658" w:rsidP="00E57B42">
            <w:pPr>
              <w:tabs>
                <w:tab w:val="num" w:pos="360"/>
              </w:tabs>
              <w:jc w:val="center"/>
              <w:rPr>
                <w:rFonts w:asciiTheme="minorHAnsi" w:hAnsiTheme="minorHAnsi" w:cstheme="minorHAnsi"/>
                <w:bCs/>
                <w:sz w:val="22"/>
                <w:szCs w:val="22"/>
              </w:rPr>
            </w:pPr>
            <w:r w:rsidRPr="00FE1658">
              <w:rPr>
                <w:rFonts w:asciiTheme="minorHAnsi" w:eastAsia="Arial Unicode MS" w:hAnsiTheme="minorHAnsi" w:cstheme="minorHAnsi"/>
                <w:lang w:val="en-AU"/>
              </w:rPr>
              <w:t>15 January 2024 – 15 June 2024</w:t>
            </w:r>
          </w:p>
        </w:tc>
        <w:tc>
          <w:tcPr>
            <w:tcW w:w="1890" w:type="dxa"/>
            <w:shd w:val="clear" w:color="auto" w:fill="auto"/>
            <w:vAlign w:val="center"/>
          </w:tcPr>
          <w:p w14:paraId="7048BDB3" w14:textId="77777777" w:rsidR="00DB707F" w:rsidRPr="00CE73B9" w:rsidRDefault="00DB707F" w:rsidP="00E57B42">
            <w:pPr>
              <w:tabs>
                <w:tab w:val="num" w:pos="360"/>
              </w:tabs>
              <w:jc w:val="center"/>
              <w:rPr>
                <w:rFonts w:asciiTheme="minorHAnsi" w:hAnsiTheme="minorHAnsi" w:cstheme="minorHAnsi"/>
                <w:bCs/>
                <w:sz w:val="22"/>
                <w:szCs w:val="22"/>
              </w:rPr>
            </w:pPr>
          </w:p>
        </w:tc>
      </w:tr>
      <w:tr w:rsidR="00CE4E58" w:rsidRPr="00CE73B9" w14:paraId="073A42A7" w14:textId="77777777" w:rsidTr="00FE1658">
        <w:trPr>
          <w:trHeight w:val="1251"/>
        </w:trPr>
        <w:tc>
          <w:tcPr>
            <w:tcW w:w="2160" w:type="dxa"/>
            <w:shd w:val="clear" w:color="auto" w:fill="auto"/>
          </w:tcPr>
          <w:p w14:paraId="7A0A20EC" w14:textId="07D59411" w:rsidR="00CE4E58" w:rsidRPr="00CE73B9" w:rsidRDefault="00FE1658" w:rsidP="00E57B42">
            <w:pPr>
              <w:ind w:left="-18"/>
              <w:rPr>
                <w:rFonts w:asciiTheme="minorHAnsi" w:hAnsiTheme="minorHAnsi" w:cstheme="minorHAnsi"/>
                <w:sz w:val="22"/>
                <w:szCs w:val="22"/>
              </w:rPr>
            </w:pPr>
            <w:r w:rsidRPr="00FE1658">
              <w:rPr>
                <w:rFonts w:asciiTheme="minorHAnsi" w:eastAsia="Arial Unicode MS" w:hAnsiTheme="minorHAnsi" w:cstheme="minorHAnsi"/>
                <w:lang w:val="en-AU"/>
              </w:rPr>
              <w:t>Negotiate with partners and local authorities on project implementation and interventions</w:t>
            </w:r>
          </w:p>
        </w:tc>
        <w:tc>
          <w:tcPr>
            <w:tcW w:w="5490" w:type="dxa"/>
            <w:shd w:val="clear" w:color="auto" w:fill="auto"/>
          </w:tcPr>
          <w:p w14:paraId="400420B7" w14:textId="77777777" w:rsidR="00FE1658" w:rsidRPr="00FE1658" w:rsidRDefault="00FE1658" w:rsidP="00FE1658">
            <w:pPr>
              <w:rPr>
                <w:rFonts w:asciiTheme="minorHAnsi" w:hAnsiTheme="minorHAnsi" w:cstheme="minorHAnsi"/>
              </w:rPr>
            </w:pPr>
            <w:r w:rsidRPr="00FE1658">
              <w:rPr>
                <w:rFonts w:asciiTheme="minorHAnsi" w:hAnsiTheme="minorHAnsi" w:cstheme="minorHAnsi"/>
              </w:rPr>
              <w:t>•</w:t>
            </w:r>
            <w:r w:rsidRPr="00FE1658">
              <w:rPr>
                <w:rFonts w:asciiTheme="minorHAnsi" w:hAnsiTheme="minorHAnsi" w:cstheme="minorHAnsi"/>
              </w:rPr>
              <w:tab/>
              <w:t>Three (3) PCAs concluded with implementing partners for 1 April 2024 – 30 April 2024</w:t>
            </w:r>
          </w:p>
          <w:p w14:paraId="719E0940" w14:textId="7967EC76" w:rsidR="00CE4E58" w:rsidRPr="00CA26D1" w:rsidRDefault="00FE1658" w:rsidP="00FE1658">
            <w:pPr>
              <w:rPr>
                <w:rFonts w:asciiTheme="minorHAnsi" w:hAnsiTheme="minorHAnsi" w:cstheme="minorHAnsi"/>
                <w:sz w:val="22"/>
                <w:szCs w:val="22"/>
              </w:rPr>
            </w:pPr>
            <w:r w:rsidRPr="00FE1658">
              <w:rPr>
                <w:rFonts w:asciiTheme="minorHAnsi" w:hAnsiTheme="minorHAnsi" w:cstheme="minorHAnsi"/>
              </w:rPr>
              <w:t>•</w:t>
            </w:r>
            <w:r w:rsidRPr="00FE1658">
              <w:rPr>
                <w:rFonts w:asciiTheme="minorHAnsi" w:hAnsiTheme="minorHAnsi" w:cstheme="minorHAnsi"/>
              </w:rPr>
              <w:tab/>
              <w:t>Three (3) programme visits of the CO team arranged on quarterly basis - 31 January 2024 - 15 May 2024</w:t>
            </w:r>
          </w:p>
        </w:tc>
        <w:tc>
          <w:tcPr>
            <w:tcW w:w="1170" w:type="dxa"/>
            <w:shd w:val="clear" w:color="auto" w:fill="auto"/>
          </w:tcPr>
          <w:p w14:paraId="56D5BE7B" w14:textId="5D3B570D" w:rsidR="00CE4E58" w:rsidRPr="00CE73B9" w:rsidRDefault="00CE4E58"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 xml:space="preserve">January – </w:t>
            </w:r>
            <w:r w:rsidR="0017204F">
              <w:rPr>
                <w:rFonts w:asciiTheme="minorHAnsi" w:eastAsia="Arial Unicode MS" w:hAnsiTheme="minorHAnsi" w:cstheme="minorHAnsi"/>
                <w:lang w:val="en-AU"/>
              </w:rPr>
              <w:t>May</w:t>
            </w:r>
            <w:r>
              <w:rPr>
                <w:rFonts w:asciiTheme="minorHAnsi" w:eastAsia="Arial Unicode MS" w:hAnsiTheme="minorHAnsi" w:cstheme="minorHAnsi"/>
                <w:lang w:val="en-AU"/>
              </w:rPr>
              <w:t xml:space="preserve"> 2024</w:t>
            </w:r>
          </w:p>
        </w:tc>
        <w:tc>
          <w:tcPr>
            <w:tcW w:w="1890" w:type="dxa"/>
            <w:shd w:val="clear" w:color="auto" w:fill="auto"/>
            <w:vAlign w:val="center"/>
          </w:tcPr>
          <w:p w14:paraId="60F9539E" w14:textId="77777777" w:rsidR="00CE4E58" w:rsidRPr="00CE73B9" w:rsidRDefault="00CE4E58" w:rsidP="00E57B42">
            <w:pPr>
              <w:tabs>
                <w:tab w:val="num" w:pos="360"/>
              </w:tabs>
              <w:jc w:val="center"/>
              <w:rPr>
                <w:rFonts w:asciiTheme="minorHAnsi" w:hAnsiTheme="minorHAnsi" w:cstheme="minorHAnsi"/>
                <w:bCs/>
                <w:sz w:val="22"/>
                <w:szCs w:val="22"/>
              </w:rPr>
            </w:pPr>
          </w:p>
        </w:tc>
      </w:tr>
      <w:tr w:rsidR="00E57B42" w:rsidRPr="00CE73B9" w14:paraId="46052A18" w14:textId="77777777" w:rsidTr="00CA26D1">
        <w:trPr>
          <w:trHeight w:val="377"/>
        </w:trPr>
        <w:tc>
          <w:tcPr>
            <w:tcW w:w="2160" w:type="dxa"/>
            <w:shd w:val="clear" w:color="auto" w:fill="auto"/>
          </w:tcPr>
          <w:p w14:paraId="287905FC" w14:textId="33C942AE" w:rsidR="00E57B42" w:rsidRPr="00CE73B9" w:rsidRDefault="0017204F" w:rsidP="00E57B42">
            <w:pPr>
              <w:ind w:left="-18"/>
              <w:rPr>
                <w:rFonts w:asciiTheme="minorHAnsi" w:hAnsiTheme="minorHAnsi" w:cstheme="minorHAnsi"/>
                <w:sz w:val="22"/>
                <w:szCs w:val="22"/>
              </w:rPr>
            </w:pPr>
            <w:r w:rsidRPr="0017204F">
              <w:rPr>
                <w:rFonts w:asciiTheme="minorHAnsi" w:eastAsia="Arial Unicode MS" w:hAnsiTheme="minorHAnsi" w:cstheme="minorHAnsi"/>
                <w:lang w:val="en-AU"/>
              </w:rPr>
              <w:t>Coordinate installation of 2 inclusive playgrounds in Vitebsk oblast</w:t>
            </w:r>
          </w:p>
        </w:tc>
        <w:tc>
          <w:tcPr>
            <w:tcW w:w="5490" w:type="dxa"/>
            <w:shd w:val="clear" w:color="auto" w:fill="auto"/>
          </w:tcPr>
          <w:p w14:paraId="553E5430" w14:textId="097A9AC6" w:rsidR="0017204F" w:rsidRPr="0017204F" w:rsidRDefault="0017204F" w:rsidP="0017204F">
            <w:pPr>
              <w:rPr>
                <w:rFonts w:asciiTheme="minorHAnsi" w:eastAsia="Arial Unicode MS" w:hAnsiTheme="minorHAnsi" w:cstheme="minorHAnsi"/>
                <w:lang w:val="en-AU"/>
              </w:rPr>
            </w:pPr>
            <w:r w:rsidRPr="0017204F">
              <w:rPr>
                <w:rFonts w:asciiTheme="minorHAnsi" w:eastAsia="Arial Unicode MS" w:hAnsiTheme="minorHAnsi" w:cstheme="minorHAnsi"/>
                <w:lang w:val="en-AU"/>
              </w:rPr>
              <w:t>•</w:t>
            </w:r>
            <w:r w:rsidRPr="0017204F">
              <w:rPr>
                <w:rFonts w:asciiTheme="minorHAnsi" w:eastAsia="Arial Unicode MS" w:hAnsiTheme="minorHAnsi" w:cstheme="minorHAnsi"/>
                <w:lang w:val="en-AU"/>
              </w:rPr>
              <w:tab/>
              <w:t xml:space="preserve">Two (2) meetings with the inclusive playground task force arranged </w:t>
            </w:r>
          </w:p>
          <w:p w14:paraId="53309F16" w14:textId="77777777" w:rsidR="0017204F" w:rsidRPr="0017204F" w:rsidRDefault="0017204F" w:rsidP="0017204F">
            <w:pPr>
              <w:rPr>
                <w:rFonts w:asciiTheme="minorHAnsi" w:eastAsia="Arial Unicode MS" w:hAnsiTheme="minorHAnsi" w:cstheme="minorHAnsi"/>
                <w:lang w:val="en-AU"/>
              </w:rPr>
            </w:pPr>
            <w:r w:rsidRPr="0017204F">
              <w:rPr>
                <w:rFonts w:asciiTheme="minorHAnsi" w:eastAsia="Arial Unicode MS" w:hAnsiTheme="minorHAnsi" w:cstheme="minorHAnsi"/>
                <w:lang w:val="en-AU"/>
              </w:rPr>
              <w:t>•</w:t>
            </w:r>
            <w:r w:rsidRPr="0017204F">
              <w:rPr>
                <w:rFonts w:asciiTheme="minorHAnsi" w:eastAsia="Arial Unicode MS" w:hAnsiTheme="minorHAnsi" w:cstheme="minorHAnsi"/>
                <w:lang w:val="en-AU"/>
              </w:rPr>
              <w:tab/>
              <w:t xml:space="preserve">Two (2) reports on community engagement submitted </w:t>
            </w:r>
          </w:p>
          <w:p w14:paraId="45E76D7D" w14:textId="0B53ED2E" w:rsidR="00E57B42" w:rsidRPr="00CA26D1" w:rsidRDefault="0017204F" w:rsidP="0017204F">
            <w:pPr>
              <w:rPr>
                <w:rFonts w:asciiTheme="minorHAnsi" w:hAnsiTheme="minorHAnsi" w:cstheme="minorHAnsi"/>
                <w:sz w:val="22"/>
                <w:szCs w:val="22"/>
              </w:rPr>
            </w:pPr>
            <w:r w:rsidRPr="0017204F">
              <w:rPr>
                <w:rFonts w:asciiTheme="minorHAnsi" w:eastAsia="Arial Unicode MS" w:hAnsiTheme="minorHAnsi" w:cstheme="minorHAnsi"/>
                <w:lang w:val="en-AU"/>
              </w:rPr>
              <w:t>•</w:t>
            </w:r>
            <w:r w:rsidRPr="0017204F">
              <w:rPr>
                <w:rFonts w:asciiTheme="minorHAnsi" w:eastAsia="Arial Unicode MS" w:hAnsiTheme="minorHAnsi" w:cstheme="minorHAnsi"/>
                <w:lang w:val="en-AU"/>
              </w:rPr>
              <w:tab/>
              <w:t>Two (2) opening ceremonies coordinated and facilitated</w:t>
            </w:r>
          </w:p>
        </w:tc>
        <w:tc>
          <w:tcPr>
            <w:tcW w:w="1170" w:type="dxa"/>
            <w:shd w:val="clear" w:color="auto" w:fill="auto"/>
          </w:tcPr>
          <w:p w14:paraId="5A601F30" w14:textId="0674E72C" w:rsidR="00E57B42" w:rsidRPr="00CE73B9" w:rsidRDefault="00E57B42"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January-</w:t>
            </w:r>
            <w:r w:rsidR="00FE1658">
              <w:rPr>
                <w:rFonts w:asciiTheme="minorHAnsi" w:eastAsia="Arial Unicode MS" w:hAnsiTheme="minorHAnsi" w:cstheme="minorHAnsi"/>
                <w:lang w:val="en-AU"/>
              </w:rPr>
              <w:t>May</w:t>
            </w:r>
            <w:r>
              <w:rPr>
                <w:rFonts w:asciiTheme="minorHAnsi" w:eastAsia="Arial Unicode MS" w:hAnsiTheme="minorHAnsi" w:cstheme="minorHAnsi"/>
                <w:lang w:val="en-AU"/>
              </w:rPr>
              <w:t xml:space="preserve"> 2024</w:t>
            </w:r>
          </w:p>
        </w:tc>
        <w:tc>
          <w:tcPr>
            <w:tcW w:w="1890" w:type="dxa"/>
            <w:shd w:val="clear" w:color="auto" w:fill="auto"/>
            <w:vAlign w:val="center"/>
          </w:tcPr>
          <w:p w14:paraId="349958EB" w14:textId="77777777" w:rsidR="00E57B42" w:rsidRPr="00CE73B9" w:rsidRDefault="00E57B42" w:rsidP="00E57B42">
            <w:pPr>
              <w:tabs>
                <w:tab w:val="num" w:pos="360"/>
              </w:tabs>
              <w:jc w:val="center"/>
              <w:rPr>
                <w:rFonts w:asciiTheme="minorHAnsi" w:hAnsiTheme="minorHAnsi" w:cstheme="minorHAnsi"/>
                <w:bCs/>
                <w:sz w:val="22"/>
                <w:szCs w:val="22"/>
              </w:rPr>
            </w:pPr>
          </w:p>
        </w:tc>
      </w:tr>
      <w:tr w:rsidR="00E57B42" w:rsidRPr="00CE73B9" w14:paraId="54914350" w14:textId="77777777" w:rsidTr="00CA26D1">
        <w:trPr>
          <w:trHeight w:val="59"/>
        </w:trPr>
        <w:tc>
          <w:tcPr>
            <w:tcW w:w="2160" w:type="dxa"/>
            <w:shd w:val="clear" w:color="auto" w:fill="auto"/>
          </w:tcPr>
          <w:p w14:paraId="643230A0" w14:textId="63727136" w:rsidR="00E57B42" w:rsidRPr="00CE73B9" w:rsidRDefault="0017204F" w:rsidP="00E57B42">
            <w:pPr>
              <w:autoSpaceDE w:val="0"/>
              <w:autoSpaceDN w:val="0"/>
              <w:adjustRightInd w:val="0"/>
              <w:rPr>
                <w:rFonts w:asciiTheme="minorHAnsi" w:hAnsiTheme="minorHAnsi" w:cstheme="minorHAnsi"/>
                <w:sz w:val="22"/>
                <w:szCs w:val="22"/>
              </w:rPr>
            </w:pPr>
            <w:r w:rsidRPr="0017204F">
              <w:rPr>
                <w:rFonts w:asciiTheme="minorHAnsi" w:eastAsia="Arial Unicode MS" w:hAnsiTheme="minorHAnsi" w:cstheme="minorHAnsi"/>
                <w:lang w:val="en-AU"/>
              </w:rPr>
              <w:t>Monitor interventions conducted by P4EC and coordinate monthly meetings with the international consultants</w:t>
            </w:r>
          </w:p>
        </w:tc>
        <w:tc>
          <w:tcPr>
            <w:tcW w:w="5490" w:type="dxa"/>
            <w:shd w:val="clear" w:color="auto" w:fill="auto"/>
          </w:tcPr>
          <w:p w14:paraId="2E667DEA" w14:textId="77777777" w:rsidR="0017204F" w:rsidRPr="0017204F" w:rsidRDefault="0017204F" w:rsidP="0017204F">
            <w:pPr>
              <w:rPr>
                <w:rFonts w:asciiTheme="minorHAnsi" w:eastAsia="Arial Unicode MS" w:hAnsiTheme="minorHAnsi" w:cstheme="minorBidi"/>
                <w:lang w:val="en-AU"/>
              </w:rPr>
            </w:pPr>
            <w:r w:rsidRPr="0017204F">
              <w:rPr>
                <w:rFonts w:asciiTheme="minorHAnsi" w:eastAsia="Arial Unicode MS" w:hAnsiTheme="minorHAnsi" w:cstheme="minorBidi"/>
                <w:lang w:val="en-AU"/>
              </w:rPr>
              <w:t>•</w:t>
            </w:r>
            <w:r w:rsidRPr="0017204F">
              <w:rPr>
                <w:rFonts w:asciiTheme="minorHAnsi" w:eastAsia="Arial Unicode MS" w:hAnsiTheme="minorHAnsi" w:cstheme="minorBidi"/>
                <w:lang w:val="en-AU"/>
              </w:rPr>
              <w:tab/>
              <w:t xml:space="preserve">Six (6) monthly reports submitted </w:t>
            </w:r>
          </w:p>
          <w:p w14:paraId="7480695A" w14:textId="2CF95173" w:rsidR="00E57B42" w:rsidRPr="00CA26D1" w:rsidRDefault="0017204F" w:rsidP="0017204F">
            <w:pPr>
              <w:rPr>
                <w:rFonts w:asciiTheme="minorHAnsi" w:hAnsiTheme="minorHAnsi" w:cstheme="minorHAnsi"/>
                <w:bCs/>
                <w:sz w:val="22"/>
                <w:szCs w:val="22"/>
              </w:rPr>
            </w:pPr>
            <w:r w:rsidRPr="0017204F">
              <w:rPr>
                <w:rFonts w:asciiTheme="minorHAnsi" w:eastAsia="Arial Unicode MS" w:hAnsiTheme="minorHAnsi" w:cstheme="minorBidi"/>
                <w:lang w:val="en-AU"/>
              </w:rPr>
              <w:t>•</w:t>
            </w:r>
            <w:r w:rsidRPr="0017204F">
              <w:rPr>
                <w:rFonts w:asciiTheme="minorHAnsi" w:eastAsia="Arial Unicode MS" w:hAnsiTheme="minorHAnsi" w:cstheme="minorBidi"/>
                <w:lang w:val="en-AU"/>
              </w:rPr>
              <w:tab/>
              <w:t>Six (6) monthly meetings with international consultants organized</w:t>
            </w:r>
          </w:p>
        </w:tc>
        <w:tc>
          <w:tcPr>
            <w:tcW w:w="1170" w:type="dxa"/>
            <w:shd w:val="clear" w:color="auto" w:fill="auto"/>
          </w:tcPr>
          <w:p w14:paraId="7D568BDE" w14:textId="64AF5EB1" w:rsidR="00E57B42" w:rsidRPr="00CE73B9" w:rsidRDefault="00E57B42"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January-</w:t>
            </w:r>
            <w:r w:rsidR="0017204F">
              <w:rPr>
                <w:rFonts w:asciiTheme="minorHAnsi" w:eastAsia="Arial Unicode MS" w:hAnsiTheme="minorHAnsi" w:cstheme="minorHAnsi"/>
                <w:lang w:val="en-AU"/>
              </w:rPr>
              <w:t>June</w:t>
            </w:r>
            <w:r>
              <w:rPr>
                <w:rFonts w:asciiTheme="minorHAnsi" w:eastAsia="Arial Unicode MS" w:hAnsiTheme="minorHAnsi" w:cstheme="minorHAnsi"/>
                <w:lang w:val="en-AU"/>
              </w:rPr>
              <w:t xml:space="preserve"> 2024</w:t>
            </w:r>
          </w:p>
        </w:tc>
        <w:tc>
          <w:tcPr>
            <w:tcW w:w="1890" w:type="dxa"/>
            <w:shd w:val="clear" w:color="auto" w:fill="auto"/>
            <w:vAlign w:val="center"/>
          </w:tcPr>
          <w:p w14:paraId="7C40AC52" w14:textId="77777777" w:rsidR="00E57B42" w:rsidRPr="00CE73B9" w:rsidRDefault="00E57B42" w:rsidP="00E57B42">
            <w:pPr>
              <w:tabs>
                <w:tab w:val="num" w:pos="360"/>
              </w:tabs>
              <w:jc w:val="center"/>
              <w:rPr>
                <w:rFonts w:asciiTheme="minorHAnsi" w:hAnsiTheme="minorHAnsi" w:cstheme="minorHAnsi"/>
                <w:bCs/>
                <w:sz w:val="22"/>
                <w:szCs w:val="22"/>
              </w:rPr>
            </w:pPr>
          </w:p>
        </w:tc>
      </w:tr>
      <w:tr w:rsidR="00886446" w:rsidRPr="00CE73B9" w14:paraId="5EA9C06A" w14:textId="77777777" w:rsidTr="00DA720B">
        <w:trPr>
          <w:trHeight w:val="59"/>
        </w:trPr>
        <w:tc>
          <w:tcPr>
            <w:tcW w:w="10710" w:type="dxa"/>
            <w:gridSpan w:val="4"/>
            <w:shd w:val="clear" w:color="auto" w:fill="auto"/>
          </w:tcPr>
          <w:p w14:paraId="79187DF5" w14:textId="730527FC" w:rsidR="00886446" w:rsidRPr="00886446" w:rsidRDefault="00886446">
            <w:pPr>
              <w:pStyle w:val="ListParagraph"/>
              <w:numPr>
                <w:ilvl w:val="0"/>
                <w:numId w:val="2"/>
              </w:numPr>
              <w:spacing w:line="276" w:lineRule="auto"/>
              <w:jc w:val="both"/>
              <w:rPr>
                <w:rFonts w:asciiTheme="minorHAnsi" w:hAnsiTheme="minorHAnsi" w:cstheme="minorHAnsi"/>
                <w:b/>
                <w:bCs/>
                <w:color w:val="000000" w:themeColor="text1"/>
                <w:sz w:val="22"/>
                <w:szCs w:val="22"/>
              </w:rPr>
            </w:pPr>
            <w:r w:rsidRPr="00886446">
              <w:rPr>
                <w:rFonts w:asciiTheme="minorHAnsi" w:hAnsiTheme="minorHAnsi" w:cstheme="minorHAnsi"/>
                <w:b/>
                <w:bCs/>
                <w:color w:val="000000" w:themeColor="text1"/>
                <w:sz w:val="22"/>
                <w:szCs w:val="22"/>
              </w:rPr>
              <w:t>Participate in the monitoring and coordination of activities in emergency response and emergency preparedness</w:t>
            </w:r>
          </w:p>
          <w:p w14:paraId="7F1834AD" w14:textId="4C8A8387" w:rsidR="00886446" w:rsidRPr="00CE73B9" w:rsidRDefault="00886446" w:rsidP="00886446">
            <w:pPr>
              <w:tabs>
                <w:tab w:val="num" w:pos="360"/>
              </w:tabs>
              <w:rPr>
                <w:rFonts w:asciiTheme="minorHAnsi" w:hAnsiTheme="minorHAnsi" w:cstheme="minorHAnsi"/>
                <w:bCs/>
                <w:sz w:val="22"/>
                <w:szCs w:val="22"/>
              </w:rPr>
            </w:pPr>
          </w:p>
        </w:tc>
      </w:tr>
      <w:tr w:rsidR="0075508D" w:rsidRPr="00CE73B9" w14:paraId="5D36500C" w14:textId="77777777" w:rsidTr="00CA26D1">
        <w:trPr>
          <w:trHeight w:val="59"/>
        </w:trPr>
        <w:tc>
          <w:tcPr>
            <w:tcW w:w="2160" w:type="dxa"/>
            <w:shd w:val="clear" w:color="auto" w:fill="auto"/>
          </w:tcPr>
          <w:p w14:paraId="3B0F81AD" w14:textId="3ED15E7E" w:rsidR="0075508D" w:rsidRPr="0075508D" w:rsidRDefault="00886446" w:rsidP="00E57B42">
            <w:pPr>
              <w:autoSpaceDE w:val="0"/>
              <w:autoSpaceDN w:val="0"/>
              <w:adjustRightInd w:val="0"/>
              <w:rPr>
                <w:rFonts w:asciiTheme="minorHAnsi" w:eastAsia="Arial Unicode MS" w:hAnsiTheme="minorHAnsi" w:cstheme="minorHAnsi"/>
                <w:lang w:val="en-AU"/>
              </w:rPr>
            </w:pPr>
            <w:r w:rsidRPr="00886446">
              <w:rPr>
                <w:rFonts w:asciiTheme="minorHAnsi" w:eastAsia="Arial Unicode MS" w:hAnsiTheme="minorHAnsi" w:cstheme="minorHAnsi"/>
                <w:lang w:val="en-AU"/>
              </w:rPr>
              <w:t xml:space="preserve">Provide oblast situation monitoring on a bi-weekly basis for evaluation to the Emergency Coordinator on the situation with refugee families with </w:t>
            </w:r>
            <w:r w:rsidRPr="00886446">
              <w:rPr>
                <w:rFonts w:asciiTheme="minorHAnsi" w:eastAsia="Arial Unicode MS" w:hAnsiTheme="minorHAnsi" w:cstheme="minorHAnsi"/>
                <w:lang w:val="en-AU"/>
              </w:rPr>
              <w:lastRenderedPageBreak/>
              <w:t>children from Ukraine and Middle</w:t>
            </w:r>
          </w:p>
        </w:tc>
        <w:tc>
          <w:tcPr>
            <w:tcW w:w="5490" w:type="dxa"/>
            <w:shd w:val="clear" w:color="auto" w:fill="auto"/>
          </w:tcPr>
          <w:p w14:paraId="44DEAD01" w14:textId="77777777" w:rsidR="00886446" w:rsidRPr="00886446" w:rsidRDefault="00886446" w:rsidP="00886446">
            <w:pPr>
              <w:rPr>
                <w:rFonts w:asciiTheme="minorHAnsi" w:eastAsia="Arial Unicode MS" w:hAnsiTheme="minorHAnsi" w:cstheme="minorHAnsi"/>
                <w:lang w:val="en-AU"/>
              </w:rPr>
            </w:pPr>
            <w:r w:rsidRPr="00886446">
              <w:rPr>
                <w:rFonts w:asciiTheme="minorHAnsi" w:eastAsia="Arial Unicode MS" w:hAnsiTheme="minorHAnsi" w:cstheme="minorHAnsi"/>
                <w:lang w:val="en-AU"/>
              </w:rPr>
              <w:lastRenderedPageBreak/>
              <w:t>•</w:t>
            </w:r>
            <w:r w:rsidRPr="00886446">
              <w:rPr>
                <w:rFonts w:asciiTheme="minorHAnsi" w:eastAsia="Arial Unicode MS" w:hAnsiTheme="minorHAnsi" w:cstheme="minorHAnsi"/>
                <w:lang w:val="en-AU"/>
              </w:rPr>
              <w:tab/>
              <w:t>Twelve (12) program visits to implementation sites/trips within the region to assess conditions of refugees</w:t>
            </w:r>
          </w:p>
          <w:p w14:paraId="5CEE9E84" w14:textId="2D9FE2F2" w:rsidR="0075508D" w:rsidRPr="0075508D" w:rsidRDefault="00886446" w:rsidP="00886446">
            <w:pPr>
              <w:rPr>
                <w:rFonts w:asciiTheme="minorHAnsi" w:eastAsia="Arial Unicode MS" w:hAnsiTheme="minorHAnsi" w:cstheme="minorHAnsi"/>
                <w:lang w:val="en-AU"/>
              </w:rPr>
            </w:pPr>
            <w:r w:rsidRPr="00886446">
              <w:rPr>
                <w:rFonts w:asciiTheme="minorHAnsi" w:eastAsia="Arial Unicode MS" w:hAnsiTheme="minorHAnsi" w:cstheme="minorHAnsi"/>
                <w:lang w:val="en-AU"/>
              </w:rPr>
              <w:t>•</w:t>
            </w:r>
            <w:r w:rsidRPr="00886446">
              <w:rPr>
                <w:rFonts w:asciiTheme="minorHAnsi" w:eastAsia="Arial Unicode MS" w:hAnsiTheme="minorHAnsi" w:cstheme="minorHAnsi"/>
                <w:lang w:val="en-AU"/>
              </w:rPr>
              <w:tab/>
              <w:t>At least Twelve (12) weekly monitoring reports submitted</w:t>
            </w:r>
          </w:p>
        </w:tc>
        <w:tc>
          <w:tcPr>
            <w:tcW w:w="1170" w:type="dxa"/>
            <w:shd w:val="clear" w:color="auto" w:fill="auto"/>
          </w:tcPr>
          <w:p w14:paraId="49441188" w14:textId="71B167A0" w:rsidR="0075508D" w:rsidRDefault="00886446" w:rsidP="00E57B42">
            <w:pPr>
              <w:tabs>
                <w:tab w:val="num" w:pos="360"/>
              </w:tabs>
              <w:jc w:val="center"/>
              <w:rPr>
                <w:rFonts w:asciiTheme="minorHAnsi" w:eastAsia="Arial Unicode MS" w:hAnsiTheme="minorHAnsi" w:cstheme="minorHAnsi"/>
                <w:lang w:val="en-AU"/>
              </w:rPr>
            </w:pPr>
            <w:r w:rsidRPr="00886446">
              <w:rPr>
                <w:rFonts w:asciiTheme="minorHAnsi" w:eastAsia="Arial Unicode MS" w:hAnsiTheme="minorHAnsi" w:cstheme="minorHAnsi"/>
                <w:lang w:val="en-AU"/>
              </w:rPr>
              <w:t>15 January 2024 – 15 June 2024</w:t>
            </w:r>
          </w:p>
        </w:tc>
        <w:tc>
          <w:tcPr>
            <w:tcW w:w="1890" w:type="dxa"/>
            <w:shd w:val="clear" w:color="auto" w:fill="auto"/>
            <w:vAlign w:val="center"/>
          </w:tcPr>
          <w:p w14:paraId="5361779B"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5508D" w:rsidRPr="00CE73B9" w14:paraId="3E5C389D" w14:textId="77777777" w:rsidTr="00CA26D1">
        <w:trPr>
          <w:trHeight w:val="59"/>
        </w:trPr>
        <w:tc>
          <w:tcPr>
            <w:tcW w:w="2160" w:type="dxa"/>
            <w:shd w:val="clear" w:color="auto" w:fill="auto"/>
          </w:tcPr>
          <w:p w14:paraId="1A46D66D" w14:textId="114D310D" w:rsidR="0075508D" w:rsidRPr="009B2881" w:rsidRDefault="00886446" w:rsidP="009B2881">
            <w:pPr>
              <w:autoSpaceDE w:val="0"/>
              <w:autoSpaceDN w:val="0"/>
              <w:adjustRightInd w:val="0"/>
              <w:rPr>
                <w:rFonts w:asciiTheme="minorHAnsi" w:eastAsia="Arial Unicode MS" w:hAnsiTheme="minorHAnsi" w:cstheme="minorHAnsi"/>
              </w:rPr>
            </w:pPr>
            <w:r w:rsidRPr="00886446">
              <w:rPr>
                <w:rFonts w:asciiTheme="minorHAnsi" w:eastAsia="Arial Unicode MS" w:hAnsiTheme="minorHAnsi" w:cstheme="minorHAnsi"/>
              </w:rPr>
              <w:t>Distribution of humanitarian aid</w:t>
            </w:r>
          </w:p>
        </w:tc>
        <w:tc>
          <w:tcPr>
            <w:tcW w:w="5490" w:type="dxa"/>
            <w:shd w:val="clear" w:color="auto" w:fill="auto"/>
          </w:tcPr>
          <w:p w14:paraId="7C61ABC4" w14:textId="7730BC8D" w:rsidR="00886446" w:rsidRPr="00886446" w:rsidRDefault="00886446" w:rsidP="00886446">
            <w:pPr>
              <w:rPr>
                <w:rFonts w:asciiTheme="minorHAnsi" w:eastAsia="Arial Unicode MS" w:hAnsiTheme="minorHAnsi" w:cstheme="minorHAnsi"/>
              </w:rPr>
            </w:pPr>
            <w:r w:rsidRPr="00886446">
              <w:rPr>
                <w:rFonts w:asciiTheme="minorHAnsi" w:eastAsia="Arial Unicode MS" w:hAnsiTheme="minorHAnsi" w:cstheme="minorHAnsi"/>
              </w:rPr>
              <w:t>•</w:t>
            </w:r>
            <w:r w:rsidRPr="00886446">
              <w:rPr>
                <w:rFonts w:asciiTheme="minorHAnsi" w:eastAsia="Arial Unicode MS" w:hAnsiTheme="minorHAnsi" w:cstheme="minorHAnsi"/>
              </w:rPr>
              <w:tab/>
              <w:t xml:space="preserve">Weekly distribution reports submitted </w:t>
            </w:r>
          </w:p>
          <w:p w14:paraId="2A9CCD98" w14:textId="4A077B8F" w:rsidR="0075508D" w:rsidRPr="009B2881" w:rsidRDefault="00886446" w:rsidP="00886446">
            <w:pPr>
              <w:rPr>
                <w:rFonts w:asciiTheme="minorHAnsi" w:eastAsia="Arial Unicode MS" w:hAnsiTheme="minorHAnsi" w:cstheme="minorHAnsi"/>
              </w:rPr>
            </w:pPr>
            <w:r w:rsidRPr="00886446">
              <w:rPr>
                <w:rFonts w:asciiTheme="minorHAnsi" w:eastAsia="Arial Unicode MS" w:hAnsiTheme="minorHAnsi" w:cstheme="minorHAnsi"/>
              </w:rPr>
              <w:t>•</w:t>
            </w:r>
            <w:r w:rsidRPr="00886446">
              <w:rPr>
                <w:rFonts w:asciiTheme="minorHAnsi" w:eastAsia="Arial Unicode MS" w:hAnsiTheme="minorHAnsi" w:cstheme="minorHAnsi"/>
              </w:rPr>
              <w:tab/>
              <w:t>Humanitarian aid distributed weekly</w:t>
            </w:r>
          </w:p>
        </w:tc>
        <w:tc>
          <w:tcPr>
            <w:tcW w:w="1170" w:type="dxa"/>
            <w:shd w:val="clear" w:color="auto" w:fill="auto"/>
          </w:tcPr>
          <w:p w14:paraId="5C880A52" w14:textId="06DFE44E" w:rsidR="0075508D" w:rsidRDefault="00886446" w:rsidP="00E57B42">
            <w:pPr>
              <w:tabs>
                <w:tab w:val="num" w:pos="360"/>
              </w:tabs>
              <w:jc w:val="center"/>
              <w:rPr>
                <w:rFonts w:asciiTheme="minorHAnsi" w:eastAsia="Arial Unicode MS" w:hAnsiTheme="minorHAnsi" w:cstheme="minorHAnsi"/>
                <w:lang w:val="en-AU"/>
              </w:rPr>
            </w:pPr>
            <w:r w:rsidRPr="00886446">
              <w:rPr>
                <w:rFonts w:asciiTheme="minorHAnsi" w:eastAsia="Arial Unicode MS" w:hAnsiTheme="minorHAnsi" w:cstheme="minorHAnsi"/>
                <w:lang w:val="en-AU"/>
              </w:rPr>
              <w:t>15 January 2024 – 15 June 2024</w:t>
            </w:r>
          </w:p>
        </w:tc>
        <w:tc>
          <w:tcPr>
            <w:tcW w:w="1890" w:type="dxa"/>
            <w:shd w:val="clear" w:color="auto" w:fill="auto"/>
            <w:vAlign w:val="center"/>
          </w:tcPr>
          <w:p w14:paraId="6A00DE47"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5508D" w:rsidRPr="00CE73B9" w14:paraId="7731089B" w14:textId="77777777" w:rsidTr="00CA26D1">
        <w:trPr>
          <w:trHeight w:val="59"/>
        </w:trPr>
        <w:tc>
          <w:tcPr>
            <w:tcW w:w="2160" w:type="dxa"/>
            <w:shd w:val="clear" w:color="auto" w:fill="auto"/>
          </w:tcPr>
          <w:p w14:paraId="014E3237" w14:textId="012EA6A2" w:rsidR="0075508D" w:rsidRPr="0075508D" w:rsidRDefault="008C3A90" w:rsidP="00E57B42">
            <w:pPr>
              <w:autoSpaceDE w:val="0"/>
              <w:autoSpaceDN w:val="0"/>
              <w:adjustRightInd w:val="0"/>
              <w:rPr>
                <w:rFonts w:asciiTheme="minorHAnsi" w:eastAsia="Arial Unicode MS" w:hAnsiTheme="minorHAnsi" w:cstheme="minorHAnsi"/>
                <w:lang w:val="en-AU"/>
              </w:rPr>
            </w:pPr>
            <w:r w:rsidRPr="008C3A90">
              <w:rPr>
                <w:rFonts w:asciiTheme="minorHAnsi" w:eastAsia="Arial Unicode MS" w:hAnsiTheme="minorHAnsi" w:cstheme="minorHAnsi"/>
                <w:lang w:val="en-AU"/>
              </w:rPr>
              <w:t>Establish contacts with the government authorities, non-government, and UN partners to ensure an immediate response as necessary on the ground, exchange information on UNICEF response with local partners</w:t>
            </w:r>
          </w:p>
        </w:tc>
        <w:tc>
          <w:tcPr>
            <w:tcW w:w="5490" w:type="dxa"/>
            <w:shd w:val="clear" w:color="auto" w:fill="auto"/>
          </w:tcPr>
          <w:p w14:paraId="3F5E889F" w14:textId="77777777" w:rsidR="008C3A90" w:rsidRPr="008C3A90" w:rsidRDefault="008C3A90" w:rsidP="008C3A90">
            <w:pPr>
              <w:rPr>
                <w:rFonts w:asciiTheme="minorHAnsi" w:eastAsia="Arial Unicode MS" w:hAnsiTheme="minorHAnsi" w:cstheme="minorHAnsi"/>
                <w:lang w:val="en-AU"/>
              </w:rPr>
            </w:pPr>
            <w:r w:rsidRPr="008C3A90">
              <w:rPr>
                <w:rFonts w:asciiTheme="minorHAnsi" w:eastAsia="Arial Unicode MS" w:hAnsiTheme="minorHAnsi" w:cstheme="minorHAnsi"/>
                <w:lang w:val="en-AU"/>
              </w:rPr>
              <w:t>•</w:t>
            </w:r>
            <w:r w:rsidRPr="008C3A90">
              <w:rPr>
                <w:rFonts w:asciiTheme="minorHAnsi" w:eastAsia="Arial Unicode MS" w:hAnsiTheme="minorHAnsi" w:cstheme="minorHAnsi"/>
                <w:lang w:val="en-AU"/>
              </w:rPr>
              <w:tab/>
              <w:t>At least twelve (12) meetings with the government authorities, non-government, and UN partners held</w:t>
            </w:r>
          </w:p>
          <w:p w14:paraId="2FE91563" w14:textId="28AC0E09" w:rsidR="0075508D" w:rsidRPr="0075508D" w:rsidRDefault="008C3A90" w:rsidP="008C3A90">
            <w:pPr>
              <w:rPr>
                <w:rFonts w:asciiTheme="minorHAnsi" w:eastAsia="Arial Unicode MS" w:hAnsiTheme="minorHAnsi" w:cstheme="minorHAnsi"/>
                <w:lang w:val="en-AU"/>
              </w:rPr>
            </w:pPr>
            <w:r w:rsidRPr="008C3A90">
              <w:rPr>
                <w:rFonts w:asciiTheme="minorHAnsi" w:eastAsia="Arial Unicode MS" w:hAnsiTheme="minorHAnsi" w:cstheme="minorHAnsi"/>
                <w:lang w:val="en-AU"/>
              </w:rPr>
              <w:t>•</w:t>
            </w:r>
            <w:r w:rsidRPr="008C3A90">
              <w:rPr>
                <w:rFonts w:asciiTheme="minorHAnsi" w:eastAsia="Arial Unicode MS" w:hAnsiTheme="minorHAnsi" w:cstheme="minorHAnsi"/>
                <w:lang w:val="en-AU"/>
              </w:rPr>
              <w:tab/>
              <w:t>Participate via phone/Teams in weekly emergency meetings with the UNICEF Belarus Country Office Weekly Teams emergency meetings with the UNICEF Belarus CO</w:t>
            </w:r>
          </w:p>
        </w:tc>
        <w:tc>
          <w:tcPr>
            <w:tcW w:w="1170" w:type="dxa"/>
            <w:shd w:val="clear" w:color="auto" w:fill="auto"/>
          </w:tcPr>
          <w:p w14:paraId="1BE653A8" w14:textId="68A4A630" w:rsidR="0075508D" w:rsidRDefault="008C3A90" w:rsidP="00E57B42">
            <w:pPr>
              <w:tabs>
                <w:tab w:val="num" w:pos="360"/>
              </w:tabs>
              <w:jc w:val="center"/>
              <w:rPr>
                <w:rFonts w:asciiTheme="minorHAnsi" w:eastAsia="Arial Unicode MS" w:hAnsiTheme="minorHAnsi" w:cstheme="minorHAnsi"/>
                <w:lang w:val="en-AU"/>
              </w:rPr>
            </w:pPr>
            <w:r w:rsidRPr="008C3A90">
              <w:rPr>
                <w:rFonts w:asciiTheme="minorHAnsi" w:eastAsia="Arial Unicode MS" w:hAnsiTheme="minorHAnsi" w:cstheme="minorHAnsi"/>
                <w:lang w:val="en-AU"/>
              </w:rPr>
              <w:t>15 January 2024 – 15 June 2024</w:t>
            </w:r>
          </w:p>
        </w:tc>
        <w:tc>
          <w:tcPr>
            <w:tcW w:w="1890" w:type="dxa"/>
            <w:shd w:val="clear" w:color="auto" w:fill="auto"/>
            <w:vAlign w:val="center"/>
          </w:tcPr>
          <w:p w14:paraId="6E240718"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5508D" w:rsidRPr="00CE73B9" w14:paraId="57D6B29A" w14:textId="77777777" w:rsidTr="00CA26D1">
        <w:trPr>
          <w:trHeight w:val="59"/>
        </w:trPr>
        <w:tc>
          <w:tcPr>
            <w:tcW w:w="2160" w:type="dxa"/>
            <w:shd w:val="clear" w:color="auto" w:fill="auto"/>
          </w:tcPr>
          <w:p w14:paraId="0246FA21" w14:textId="5CC881A4" w:rsidR="0075508D" w:rsidRPr="0075508D" w:rsidRDefault="003F0C42" w:rsidP="00B576FA">
            <w:pPr>
              <w:autoSpaceDE w:val="0"/>
              <w:autoSpaceDN w:val="0"/>
              <w:adjustRightInd w:val="0"/>
              <w:rPr>
                <w:rFonts w:asciiTheme="minorHAnsi" w:eastAsia="Arial Unicode MS" w:hAnsiTheme="minorHAnsi" w:cstheme="minorHAnsi"/>
                <w:lang w:val="en-AU"/>
              </w:rPr>
            </w:pPr>
            <w:r w:rsidRPr="003F0C42">
              <w:rPr>
                <w:rFonts w:asciiTheme="minorHAnsi" w:eastAsia="Arial Unicode MS" w:hAnsiTheme="minorHAnsi" w:cstheme="minorHAnsi"/>
                <w:lang w:val="en-AU"/>
              </w:rPr>
              <w:t>Regular situation analysis by assessing local mass media</w:t>
            </w:r>
          </w:p>
        </w:tc>
        <w:tc>
          <w:tcPr>
            <w:tcW w:w="5490" w:type="dxa"/>
            <w:shd w:val="clear" w:color="auto" w:fill="auto"/>
          </w:tcPr>
          <w:p w14:paraId="77F66C26" w14:textId="3D63CDE9" w:rsidR="0075508D" w:rsidRPr="0075508D" w:rsidRDefault="003D3529" w:rsidP="003F0C42">
            <w:pPr>
              <w:rPr>
                <w:rFonts w:asciiTheme="minorHAnsi" w:eastAsia="Arial Unicode MS" w:hAnsiTheme="minorHAnsi" w:cstheme="minorHAnsi"/>
                <w:lang w:val="en-AU"/>
              </w:rPr>
            </w:pPr>
            <w:r w:rsidRPr="003D3529">
              <w:rPr>
                <w:rFonts w:asciiTheme="minorHAnsi" w:eastAsia="Arial Unicode MS" w:hAnsiTheme="minorHAnsi" w:cstheme="minorHAnsi"/>
                <w:lang w:val="en-AU"/>
              </w:rPr>
              <w:t>•</w:t>
            </w:r>
            <w:r w:rsidRPr="003D3529">
              <w:rPr>
                <w:rFonts w:asciiTheme="minorHAnsi" w:eastAsia="Arial Unicode MS" w:hAnsiTheme="minorHAnsi" w:cstheme="minorHAnsi"/>
                <w:lang w:val="en-AU"/>
              </w:rPr>
              <w:tab/>
              <w:t>Weekly reports of local mass media screening</w:t>
            </w:r>
          </w:p>
        </w:tc>
        <w:tc>
          <w:tcPr>
            <w:tcW w:w="1170" w:type="dxa"/>
            <w:shd w:val="clear" w:color="auto" w:fill="auto"/>
          </w:tcPr>
          <w:p w14:paraId="439FD56F" w14:textId="375B70C0" w:rsidR="0075508D" w:rsidRDefault="003F0C42" w:rsidP="00E57B42">
            <w:pPr>
              <w:tabs>
                <w:tab w:val="num" w:pos="360"/>
              </w:tabs>
              <w:jc w:val="center"/>
              <w:rPr>
                <w:rFonts w:asciiTheme="minorHAnsi" w:eastAsia="Arial Unicode MS" w:hAnsiTheme="minorHAnsi" w:cstheme="minorHAnsi"/>
                <w:lang w:val="en-AU"/>
              </w:rPr>
            </w:pPr>
            <w:r w:rsidRPr="003F0C42">
              <w:rPr>
                <w:rFonts w:asciiTheme="minorHAnsi" w:eastAsia="Arial Unicode MS" w:hAnsiTheme="minorHAnsi" w:cstheme="minorHAnsi"/>
                <w:lang w:val="en-AU"/>
              </w:rPr>
              <w:t>15 January 2024 – 15 June 2024</w:t>
            </w:r>
          </w:p>
        </w:tc>
        <w:tc>
          <w:tcPr>
            <w:tcW w:w="1890" w:type="dxa"/>
            <w:shd w:val="clear" w:color="auto" w:fill="auto"/>
            <w:vAlign w:val="center"/>
          </w:tcPr>
          <w:p w14:paraId="65CBD5D1"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5508D" w:rsidRPr="00CE73B9" w14:paraId="294BE7CE" w14:textId="77777777" w:rsidTr="00CA26D1">
        <w:trPr>
          <w:trHeight w:val="59"/>
        </w:trPr>
        <w:tc>
          <w:tcPr>
            <w:tcW w:w="2160" w:type="dxa"/>
            <w:shd w:val="clear" w:color="auto" w:fill="auto"/>
          </w:tcPr>
          <w:p w14:paraId="196FCFB3" w14:textId="39BB3039" w:rsidR="0075508D" w:rsidRPr="0075508D" w:rsidRDefault="003F0C42" w:rsidP="00E57B42">
            <w:pPr>
              <w:autoSpaceDE w:val="0"/>
              <w:autoSpaceDN w:val="0"/>
              <w:adjustRightInd w:val="0"/>
              <w:rPr>
                <w:rFonts w:asciiTheme="minorHAnsi" w:eastAsia="Arial Unicode MS" w:hAnsiTheme="minorHAnsi" w:cstheme="minorHAnsi"/>
                <w:lang w:val="en-AU"/>
              </w:rPr>
            </w:pPr>
            <w:r w:rsidRPr="003F0C42">
              <w:rPr>
                <w:rFonts w:asciiTheme="minorHAnsi" w:eastAsia="Arial Unicode MS" w:hAnsiTheme="minorHAnsi" w:cstheme="minorHAnsi"/>
                <w:lang w:val="en-AU"/>
              </w:rPr>
              <w:t>Monitor promotion and visibility of the projects</w:t>
            </w:r>
          </w:p>
        </w:tc>
        <w:tc>
          <w:tcPr>
            <w:tcW w:w="5490" w:type="dxa"/>
            <w:shd w:val="clear" w:color="auto" w:fill="auto"/>
          </w:tcPr>
          <w:p w14:paraId="717FD2FA" w14:textId="0D077467" w:rsidR="0075508D" w:rsidRPr="0075508D" w:rsidRDefault="003F0C42" w:rsidP="00842A84">
            <w:pPr>
              <w:rPr>
                <w:rFonts w:asciiTheme="minorHAnsi" w:eastAsia="Arial Unicode MS" w:hAnsiTheme="minorHAnsi" w:cstheme="minorHAnsi"/>
                <w:lang w:val="en-AU"/>
              </w:rPr>
            </w:pPr>
            <w:r w:rsidRPr="003F0C42">
              <w:rPr>
                <w:rFonts w:asciiTheme="minorHAnsi" w:eastAsia="Arial Unicode MS" w:hAnsiTheme="minorHAnsi" w:cstheme="minorHAnsi"/>
                <w:lang w:val="en-AU"/>
              </w:rPr>
              <w:t>•</w:t>
            </w:r>
            <w:r w:rsidRPr="003F0C42">
              <w:rPr>
                <w:rFonts w:asciiTheme="minorHAnsi" w:eastAsia="Arial Unicode MS" w:hAnsiTheme="minorHAnsi" w:cstheme="minorHAnsi"/>
                <w:lang w:val="en-AU"/>
              </w:rPr>
              <w:tab/>
              <w:t>Visibility and promotion monitoring sections included in each monthly report on both emergency and DI components of the ToR</w:t>
            </w:r>
          </w:p>
        </w:tc>
        <w:tc>
          <w:tcPr>
            <w:tcW w:w="1170" w:type="dxa"/>
            <w:shd w:val="clear" w:color="auto" w:fill="auto"/>
          </w:tcPr>
          <w:p w14:paraId="4FCDAF90" w14:textId="176822A8" w:rsidR="0075508D" w:rsidRDefault="003F0C42" w:rsidP="00E57B42">
            <w:pPr>
              <w:tabs>
                <w:tab w:val="num" w:pos="360"/>
              </w:tabs>
              <w:jc w:val="center"/>
              <w:rPr>
                <w:rFonts w:asciiTheme="minorHAnsi" w:eastAsia="Arial Unicode MS" w:hAnsiTheme="minorHAnsi" w:cstheme="minorHAnsi"/>
                <w:lang w:val="en-AU"/>
              </w:rPr>
            </w:pPr>
            <w:r w:rsidRPr="003F0C42">
              <w:rPr>
                <w:rFonts w:asciiTheme="minorHAnsi" w:eastAsia="Arial Unicode MS" w:hAnsiTheme="minorHAnsi" w:cstheme="minorHAnsi"/>
                <w:lang w:val="en-AU"/>
              </w:rPr>
              <w:t>15 January 2024 – 15 June 2024</w:t>
            </w:r>
          </w:p>
        </w:tc>
        <w:tc>
          <w:tcPr>
            <w:tcW w:w="1890" w:type="dxa"/>
            <w:shd w:val="clear" w:color="auto" w:fill="auto"/>
            <w:vAlign w:val="center"/>
          </w:tcPr>
          <w:p w14:paraId="20D51323" w14:textId="77777777" w:rsidR="0075508D" w:rsidRPr="00CE73B9" w:rsidRDefault="0075508D" w:rsidP="00E57B42">
            <w:pPr>
              <w:tabs>
                <w:tab w:val="num" w:pos="360"/>
              </w:tabs>
              <w:jc w:val="center"/>
              <w:rPr>
                <w:rFonts w:asciiTheme="minorHAnsi" w:hAnsiTheme="minorHAnsi" w:cstheme="minorHAnsi"/>
                <w:bCs/>
                <w:sz w:val="22"/>
                <w:szCs w:val="22"/>
              </w:rPr>
            </w:pPr>
          </w:p>
        </w:tc>
      </w:tr>
      <w:tr w:rsidR="00E57B42" w:rsidRPr="00CE73B9" w14:paraId="1228E6CE" w14:textId="77777777" w:rsidTr="00EF5EB2">
        <w:trPr>
          <w:trHeight w:val="70"/>
        </w:trPr>
        <w:tc>
          <w:tcPr>
            <w:tcW w:w="8820" w:type="dxa"/>
            <w:gridSpan w:val="3"/>
            <w:shd w:val="clear" w:color="auto" w:fill="auto"/>
            <w:vAlign w:val="center"/>
          </w:tcPr>
          <w:p w14:paraId="13C91399" w14:textId="179D19CF" w:rsidR="00E57B42" w:rsidRPr="00CE73B9" w:rsidRDefault="00E57B42" w:rsidP="00E57B42">
            <w:pPr>
              <w:tabs>
                <w:tab w:val="num" w:pos="360"/>
              </w:tabs>
              <w:spacing w:before="60" w:after="60"/>
              <w:jc w:val="right"/>
              <w:rPr>
                <w:rFonts w:asciiTheme="minorHAnsi" w:hAnsiTheme="minorHAnsi" w:cstheme="minorHAnsi"/>
                <w:b/>
                <w:bCs/>
                <w:i/>
                <w:sz w:val="22"/>
                <w:szCs w:val="22"/>
              </w:rPr>
            </w:pPr>
            <w:r w:rsidRPr="00CE73B9">
              <w:rPr>
                <w:rFonts w:asciiTheme="minorHAnsi" w:hAnsiTheme="minorHAnsi" w:cstheme="minorHAnsi"/>
                <w:b/>
                <w:i/>
                <w:sz w:val="22"/>
                <w:szCs w:val="22"/>
              </w:rPr>
              <w:t>TOTAL COST FOR DELIVERABLES (USD):</w:t>
            </w:r>
          </w:p>
        </w:tc>
        <w:tc>
          <w:tcPr>
            <w:tcW w:w="1890" w:type="dxa"/>
            <w:shd w:val="clear" w:color="auto" w:fill="auto"/>
            <w:vAlign w:val="center"/>
          </w:tcPr>
          <w:p w14:paraId="240197B8" w14:textId="77777777" w:rsidR="00E57B42" w:rsidRPr="00CE73B9" w:rsidRDefault="00E57B42" w:rsidP="00E57B42">
            <w:pPr>
              <w:tabs>
                <w:tab w:val="num" w:pos="360"/>
              </w:tabs>
              <w:spacing w:before="60" w:after="60"/>
              <w:ind w:left="180" w:hanging="180"/>
              <w:jc w:val="center"/>
              <w:rPr>
                <w:rFonts w:asciiTheme="minorHAnsi" w:hAnsiTheme="minorHAnsi" w:cstheme="minorHAnsi"/>
                <w:b/>
                <w:bCs/>
                <w:i/>
                <w:sz w:val="22"/>
                <w:szCs w:val="22"/>
              </w:rPr>
            </w:pPr>
          </w:p>
        </w:tc>
      </w:tr>
    </w:tbl>
    <w:p w14:paraId="71D64E73" w14:textId="77777777" w:rsidR="00016AB4" w:rsidRPr="00392F18" w:rsidRDefault="00016AB4"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 :</w:t>
            </w:r>
          </w:p>
          <w:p w14:paraId="619A1CC2" w14:textId="77777777" w:rsidR="00F95C43" w:rsidRPr="00F95C43" w:rsidRDefault="00F95C43">
            <w:pPr>
              <w:pStyle w:val="NormalWeb"/>
              <w:numPr>
                <w:ilvl w:val="0"/>
                <w:numId w:val="1"/>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pPr>
              <w:pStyle w:val="NormalWeb"/>
              <w:numPr>
                <w:ilvl w:val="0"/>
                <w:numId w:val="1"/>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pPr>
              <w:pStyle w:val="NormalWeb"/>
              <w:numPr>
                <w:ilvl w:val="0"/>
                <w:numId w:val="1"/>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907A" w14:textId="77777777" w:rsidR="00CD5C26" w:rsidRDefault="00CD5C26" w:rsidP="00545FAA">
      <w:r>
        <w:separator/>
      </w:r>
    </w:p>
  </w:endnote>
  <w:endnote w:type="continuationSeparator" w:id="0">
    <w:p w14:paraId="330E60C1" w14:textId="77777777" w:rsidR="00CD5C26" w:rsidRDefault="00CD5C26"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E6CC" w14:textId="77777777" w:rsidR="00CD5C26" w:rsidRDefault="00CD5C26" w:rsidP="00545FAA">
      <w:r>
        <w:separator/>
      </w:r>
    </w:p>
  </w:footnote>
  <w:footnote w:type="continuationSeparator" w:id="0">
    <w:p w14:paraId="1B084C8A" w14:textId="77777777" w:rsidR="00CD5C26" w:rsidRDefault="00CD5C26"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34755D"/>
    <w:multiLevelType w:val="hybridMultilevel"/>
    <w:tmpl w:val="0B5AD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34272">
    <w:abstractNumId w:val="0"/>
  </w:num>
  <w:num w:numId="2" w16cid:durableId="8558516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7C7C"/>
    <w:rsid w:val="0007738D"/>
    <w:rsid w:val="00082F26"/>
    <w:rsid w:val="000832AE"/>
    <w:rsid w:val="00091D9F"/>
    <w:rsid w:val="000C0341"/>
    <w:rsid w:val="000D39E5"/>
    <w:rsid w:val="000E3A95"/>
    <w:rsid w:val="000E405B"/>
    <w:rsid w:val="000E58D7"/>
    <w:rsid w:val="000E7447"/>
    <w:rsid w:val="000F7AE6"/>
    <w:rsid w:val="001142CC"/>
    <w:rsid w:val="00122C5D"/>
    <w:rsid w:val="00126636"/>
    <w:rsid w:val="00143416"/>
    <w:rsid w:val="00144EF3"/>
    <w:rsid w:val="00166B61"/>
    <w:rsid w:val="0017204F"/>
    <w:rsid w:val="0018219E"/>
    <w:rsid w:val="001D338F"/>
    <w:rsid w:val="001D3671"/>
    <w:rsid w:val="001D46F8"/>
    <w:rsid w:val="001E64D0"/>
    <w:rsid w:val="001E7C55"/>
    <w:rsid w:val="001F3961"/>
    <w:rsid w:val="001F488A"/>
    <w:rsid w:val="00222B54"/>
    <w:rsid w:val="00223042"/>
    <w:rsid w:val="0023141D"/>
    <w:rsid w:val="002325FC"/>
    <w:rsid w:val="00240E6A"/>
    <w:rsid w:val="00254E09"/>
    <w:rsid w:val="00260664"/>
    <w:rsid w:val="002607BB"/>
    <w:rsid w:val="00260B1C"/>
    <w:rsid w:val="00271FC6"/>
    <w:rsid w:val="002800AD"/>
    <w:rsid w:val="002860AB"/>
    <w:rsid w:val="0029017E"/>
    <w:rsid w:val="0029193D"/>
    <w:rsid w:val="002B512E"/>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B3E"/>
    <w:rsid w:val="003974A0"/>
    <w:rsid w:val="003A7E8A"/>
    <w:rsid w:val="003B6A60"/>
    <w:rsid w:val="003C09C9"/>
    <w:rsid w:val="003C68BF"/>
    <w:rsid w:val="003C7893"/>
    <w:rsid w:val="003D341B"/>
    <w:rsid w:val="003D3529"/>
    <w:rsid w:val="003E4488"/>
    <w:rsid w:val="003F0C42"/>
    <w:rsid w:val="003F3261"/>
    <w:rsid w:val="0040724A"/>
    <w:rsid w:val="00411152"/>
    <w:rsid w:val="00422F44"/>
    <w:rsid w:val="004455AB"/>
    <w:rsid w:val="00460D8A"/>
    <w:rsid w:val="00467E26"/>
    <w:rsid w:val="0047558B"/>
    <w:rsid w:val="00477DEF"/>
    <w:rsid w:val="00492B67"/>
    <w:rsid w:val="0049654B"/>
    <w:rsid w:val="004C1B19"/>
    <w:rsid w:val="004E4AE1"/>
    <w:rsid w:val="004F354E"/>
    <w:rsid w:val="004F643D"/>
    <w:rsid w:val="005003B4"/>
    <w:rsid w:val="00522BD5"/>
    <w:rsid w:val="00524646"/>
    <w:rsid w:val="0053475B"/>
    <w:rsid w:val="0054139A"/>
    <w:rsid w:val="00545FAA"/>
    <w:rsid w:val="00547D94"/>
    <w:rsid w:val="00560063"/>
    <w:rsid w:val="00560A9F"/>
    <w:rsid w:val="00565D98"/>
    <w:rsid w:val="00573630"/>
    <w:rsid w:val="00575CE4"/>
    <w:rsid w:val="00594E3D"/>
    <w:rsid w:val="005A0516"/>
    <w:rsid w:val="005B66AC"/>
    <w:rsid w:val="005C4B0E"/>
    <w:rsid w:val="005C7538"/>
    <w:rsid w:val="005D0B6F"/>
    <w:rsid w:val="005D5C6B"/>
    <w:rsid w:val="005E121B"/>
    <w:rsid w:val="005F57DC"/>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7FB8"/>
    <w:rsid w:val="0075508D"/>
    <w:rsid w:val="00763231"/>
    <w:rsid w:val="0076386B"/>
    <w:rsid w:val="00770756"/>
    <w:rsid w:val="0079264D"/>
    <w:rsid w:val="00797B0A"/>
    <w:rsid w:val="007A3EC4"/>
    <w:rsid w:val="007A4854"/>
    <w:rsid w:val="007A4DAB"/>
    <w:rsid w:val="007B34BE"/>
    <w:rsid w:val="007B5A8F"/>
    <w:rsid w:val="007C346B"/>
    <w:rsid w:val="007C5C84"/>
    <w:rsid w:val="007C7175"/>
    <w:rsid w:val="007D0409"/>
    <w:rsid w:val="007D27DD"/>
    <w:rsid w:val="007D5B94"/>
    <w:rsid w:val="007E6DD4"/>
    <w:rsid w:val="008244FC"/>
    <w:rsid w:val="00834356"/>
    <w:rsid w:val="00842A84"/>
    <w:rsid w:val="0084580E"/>
    <w:rsid w:val="00846FBB"/>
    <w:rsid w:val="00850F62"/>
    <w:rsid w:val="00857580"/>
    <w:rsid w:val="00860359"/>
    <w:rsid w:val="00863E98"/>
    <w:rsid w:val="00864CC8"/>
    <w:rsid w:val="0088024F"/>
    <w:rsid w:val="00886446"/>
    <w:rsid w:val="00892EF1"/>
    <w:rsid w:val="008A0693"/>
    <w:rsid w:val="008B5DFC"/>
    <w:rsid w:val="008B6B31"/>
    <w:rsid w:val="008C0D14"/>
    <w:rsid w:val="008C242D"/>
    <w:rsid w:val="008C3A90"/>
    <w:rsid w:val="008C7987"/>
    <w:rsid w:val="008D246E"/>
    <w:rsid w:val="008E2BF4"/>
    <w:rsid w:val="00904480"/>
    <w:rsid w:val="00904CE7"/>
    <w:rsid w:val="009124AB"/>
    <w:rsid w:val="0092033B"/>
    <w:rsid w:val="00923EA6"/>
    <w:rsid w:val="00924213"/>
    <w:rsid w:val="009263B9"/>
    <w:rsid w:val="00933928"/>
    <w:rsid w:val="009560DC"/>
    <w:rsid w:val="00990A67"/>
    <w:rsid w:val="0099263C"/>
    <w:rsid w:val="009B2881"/>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95053"/>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576FA"/>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3207"/>
    <w:rsid w:val="00C858AE"/>
    <w:rsid w:val="00C91662"/>
    <w:rsid w:val="00C91D0E"/>
    <w:rsid w:val="00CA075A"/>
    <w:rsid w:val="00CA26D1"/>
    <w:rsid w:val="00CA2E35"/>
    <w:rsid w:val="00CA47C5"/>
    <w:rsid w:val="00CC77EE"/>
    <w:rsid w:val="00CD5C26"/>
    <w:rsid w:val="00CE4E58"/>
    <w:rsid w:val="00CE73B9"/>
    <w:rsid w:val="00D01350"/>
    <w:rsid w:val="00D040FB"/>
    <w:rsid w:val="00D11853"/>
    <w:rsid w:val="00D1793D"/>
    <w:rsid w:val="00D30D86"/>
    <w:rsid w:val="00D57F2A"/>
    <w:rsid w:val="00D642D2"/>
    <w:rsid w:val="00D90C4C"/>
    <w:rsid w:val="00D92F13"/>
    <w:rsid w:val="00D9537E"/>
    <w:rsid w:val="00DB707F"/>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57B42"/>
    <w:rsid w:val="00E708D3"/>
    <w:rsid w:val="00E84061"/>
    <w:rsid w:val="00E858AA"/>
    <w:rsid w:val="00E95928"/>
    <w:rsid w:val="00EA4748"/>
    <w:rsid w:val="00EC5953"/>
    <w:rsid w:val="00ED156C"/>
    <w:rsid w:val="00ED1C02"/>
    <w:rsid w:val="00EE1D73"/>
    <w:rsid w:val="00EE3882"/>
    <w:rsid w:val="00EE3F15"/>
    <w:rsid w:val="00EF008C"/>
    <w:rsid w:val="00F00902"/>
    <w:rsid w:val="00F04EFE"/>
    <w:rsid w:val="00F11685"/>
    <w:rsid w:val="00F21E81"/>
    <w:rsid w:val="00F25EAA"/>
    <w:rsid w:val="00F40B7A"/>
    <w:rsid w:val="00F50893"/>
    <w:rsid w:val="00F616E6"/>
    <w:rsid w:val="00F640C0"/>
    <w:rsid w:val="00F66F12"/>
    <w:rsid w:val="00F81AF8"/>
    <w:rsid w:val="00F91A80"/>
    <w:rsid w:val="00F95C43"/>
    <w:rsid w:val="00FA2BB9"/>
    <w:rsid w:val="00FA3CBF"/>
    <w:rsid w:val="00FC1C7F"/>
    <w:rsid w:val="00FC3E95"/>
    <w:rsid w:val="00FE0E5C"/>
    <w:rsid w:val="00FE1658"/>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References,Bullet List,FooterText,List Paragraph1,Colorful List Accent 1,Bullets,List Paragraph (numbered (a)),Scriptoria bullet points,Table,Dot pt,F5 List Paragraph,No Spacing1,List Paragraph Char Char Char,Indicator Text,Liste 1,lp1"/>
    <w:basedOn w:val="Normal"/>
    <w:link w:val="ListParagraphChar"/>
    <w:uiPriority w:val="1"/>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Bullets Char,List Paragraph (numbered (a)) Char,Scriptoria bullet points Char,Table Char,Dot pt Char,F5 List Paragraph Char,lp1 Char"/>
    <w:link w:val="ListParagraph"/>
    <w:uiPriority w:val="34"/>
    <w:qFormat/>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2.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3.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6.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7.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Anastasiya Bazhenava</cp:lastModifiedBy>
  <cp:revision>10</cp:revision>
  <cp:lastPrinted>2019-02-18T11:54:00Z</cp:lastPrinted>
  <dcterms:created xsi:type="dcterms:W3CDTF">2023-12-20T15:49:00Z</dcterms:created>
  <dcterms:modified xsi:type="dcterms:W3CDTF">2023-12-22T09:59:00Z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