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5A938" w14:textId="77777777" w:rsidR="004E48D9" w:rsidRPr="006E7AE5" w:rsidRDefault="004E48D9">
      <w:pPr>
        <w:rPr>
          <w:rFonts w:cs="Tahoma"/>
          <w:b/>
          <w:szCs w:val="22"/>
        </w:rPr>
      </w:pP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320"/>
        <w:gridCol w:w="1710"/>
      </w:tblGrid>
      <w:tr w:rsidR="005077B5" w:rsidRPr="006E7AE5" w14:paraId="30D4A73D" w14:textId="77777777" w:rsidTr="76D75A83">
        <w:tc>
          <w:tcPr>
            <w:tcW w:w="10260" w:type="dxa"/>
            <w:gridSpan w:val="3"/>
            <w:shd w:val="clear" w:color="auto" w:fill="DAEEF3" w:themeFill="accent5" w:themeFillTint="33"/>
          </w:tcPr>
          <w:p w14:paraId="03F9A715" w14:textId="77777777" w:rsidR="000A1035" w:rsidRDefault="00AC1BA0" w:rsidP="00393A96">
            <w:pPr>
              <w:rPr>
                <w:rFonts w:cs="Tahoma"/>
                <w:b/>
                <w:szCs w:val="22"/>
              </w:rPr>
            </w:pPr>
            <w:r>
              <w:rPr>
                <w:rFonts w:cs="Tahoma"/>
                <w:b/>
                <w:szCs w:val="22"/>
              </w:rPr>
              <w:t xml:space="preserve">Heading: </w:t>
            </w:r>
          </w:p>
          <w:p w14:paraId="1B8B8D06" w14:textId="75ACC9C8" w:rsidR="00BA4DC7" w:rsidRPr="006E7AE5" w:rsidRDefault="00160446" w:rsidP="0047163A">
            <w:pPr>
              <w:rPr>
                <w:rFonts w:cs="Tahoma"/>
                <w:b/>
                <w:szCs w:val="22"/>
              </w:rPr>
            </w:pPr>
            <w:r>
              <w:rPr>
                <w:rFonts w:cs="Tahoma"/>
                <w:b/>
                <w:szCs w:val="22"/>
              </w:rPr>
              <w:t xml:space="preserve">National Consultant for Essential </w:t>
            </w:r>
            <w:r w:rsidR="000162C6">
              <w:rPr>
                <w:rFonts w:cs="Tahoma"/>
                <w:b/>
                <w:szCs w:val="22"/>
              </w:rPr>
              <w:t xml:space="preserve">Reproductive, Maternal, </w:t>
            </w:r>
            <w:proofErr w:type="spellStart"/>
            <w:r w:rsidR="000162C6">
              <w:rPr>
                <w:rFonts w:cs="Tahoma"/>
                <w:b/>
                <w:szCs w:val="22"/>
              </w:rPr>
              <w:t>Newborn</w:t>
            </w:r>
            <w:proofErr w:type="spellEnd"/>
            <w:r w:rsidR="000162C6">
              <w:rPr>
                <w:rFonts w:cs="Tahoma"/>
                <w:b/>
                <w:szCs w:val="22"/>
              </w:rPr>
              <w:t>, Child and Adolescent Health (</w:t>
            </w:r>
            <w:r>
              <w:rPr>
                <w:rFonts w:cs="Tahoma"/>
                <w:b/>
                <w:szCs w:val="22"/>
              </w:rPr>
              <w:t>RMNCAH</w:t>
            </w:r>
            <w:r w:rsidR="000162C6">
              <w:rPr>
                <w:rFonts w:cs="Tahoma"/>
                <w:b/>
                <w:szCs w:val="22"/>
              </w:rPr>
              <w:t>)</w:t>
            </w:r>
            <w:r>
              <w:rPr>
                <w:rFonts w:cs="Tahoma"/>
                <w:b/>
                <w:szCs w:val="22"/>
              </w:rPr>
              <w:t xml:space="preserve"> and Nutrition Service Availability and Readiness</w:t>
            </w:r>
            <w:r w:rsidR="00804852">
              <w:rPr>
                <w:rFonts w:cs="Tahoma"/>
                <w:b/>
                <w:szCs w:val="22"/>
              </w:rPr>
              <w:t xml:space="preserve"> Assessment </w:t>
            </w:r>
            <w:r w:rsidR="00E52AB1">
              <w:rPr>
                <w:rFonts w:cs="Tahoma"/>
                <w:b/>
                <w:szCs w:val="22"/>
              </w:rPr>
              <w:t xml:space="preserve">(SARA) </w:t>
            </w:r>
            <w:r w:rsidR="00804852">
              <w:rPr>
                <w:rFonts w:cs="Tahoma"/>
                <w:b/>
                <w:szCs w:val="22"/>
              </w:rPr>
              <w:t>in Ethnic Health Organizations</w:t>
            </w:r>
            <w:r w:rsidR="000162C6">
              <w:rPr>
                <w:rFonts w:cs="Tahoma"/>
                <w:b/>
                <w:szCs w:val="22"/>
              </w:rPr>
              <w:t xml:space="preserve"> (EHOs)</w:t>
            </w:r>
            <w:r w:rsidR="00804852">
              <w:rPr>
                <w:rFonts w:cs="Tahoma"/>
                <w:b/>
                <w:szCs w:val="22"/>
              </w:rPr>
              <w:t>’</w:t>
            </w:r>
            <w:r w:rsidR="00D85C8D">
              <w:rPr>
                <w:rFonts w:cs="Tahoma"/>
                <w:b/>
                <w:szCs w:val="22"/>
              </w:rPr>
              <w:t xml:space="preserve"> facilities </w:t>
            </w:r>
            <w:r w:rsidR="0048735F">
              <w:rPr>
                <w:rFonts w:cs="Tahoma"/>
                <w:b/>
                <w:szCs w:val="22"/>
              </w:rPr>
              <w:t>of</w:t>
            </w:r>
            <w:r w:rsidR="00D85C8D">
              <w:rPr>
                <w:rFonts w:cs="Tahoma"/>
                <w:b/>
                <w:szCs w:val="22"/>
              </w:rPr>
              <w:t xml:space="preserve"> Kachin and Shan</w:t>
            </w:r>
          </w:p>
          <w:p w14:paraId="53ADE217" w14:textId="77777777" w:rsidR="00ED05AD" w:rsidRPr="006E7AE5" w:rsidRDefault="00ED05AD" w:rsidP="00393A96">
            <w:pPr>
              <w:rPr>
                <w:rFonts w:cs="Tahoma"/>
                <w:szCs w:val="22"/>
              </w:rPr>
            </w:pPr>
          </w:p>
          <w:p w14:paraId="50C76E10" w14:textId="77777777" w:rsidR="008D3A21" w:rsidRPr="006E7AE5" w:rsidRDefault="008D3A21" w:rsidP="00393A96">
            <w:pPr>
              <w:rPr>
                <w:rFonts w:cs="Tahoma"/>
                <w:szCs w:val="22"/>
              </w:rPr>
            </w:pPr>
            <w:r w:rsidRPr="006E7AE5">
              <w:rPr>
                <w:rFonts w:cs="Tahoma"/>
                <w:b/>
                <w:szCs w:val="22"/>
              </w:rPr>
              <w:t>Section in Charge</w:t>
            </w:r>
            <w:r w:rsidRPr="006E7AE5">
              <w:rPr>
                <w:rFonts w:cs="Tahoma"/>
                <w:szCs w:val="22"/>
              </w:rPr>
              <w:t xml:space="preserve">: </w:t>
            </w:r>
            <w:r w:rsidR="000A1035">
              <w:rPr>
                <w:rFonts w:cs="Tahoma"/>
                <w:szCs w:val="22"/>
              </w:rPr>
              <w:t>Health and Nutrition</w:t>
            </w:r>
          </w:p>
          <w:p w14:paraId="0DD63043" w14:textId="77777777" w:rsidR="008D3A21" w:rsidRDefault="008D3A21" w:rsidP="00393A96">
            <w:pPr>
              <w:rPr>
                <w:rFonts w:cs="Tahoma"/>
                <w:szCs w:val="22"/>
              </w:rPr>
            </w:pPr>
          </w:p>
          <w:p w14:paraId="6D0622A6" w14:textId="2C137E14" w:rsidR="000A1035" w:rsidRDefault="0041135D" w:rsidP="0041135D">
            <w:pPr>
              <w:rPr>
                <w:rFonts w:cs="Tahoma"/>
                <w:b/>
                <w:szCs w:val="22"/>
              </w:rPr>
            </w:pPr>
            <w:r>
              <w:rPr>
                <w:rFonts w:cs="Tahoma"/>
                <w:b/>
                <w:szCs w:val="22"/>
              </w:rPr>
              <w:t>How does the consultancy relate</w:t>
            </w:r>
            <w:r w:rsidRPr="000C55E9">
              <w:rPr>
                <w:rFonts w:cs="Tahoma"/>
                <w:b/>
                <w:szCs w:val="22"/>
              </w:rPr>
              <w:t xml:space="preserve"> to </w:t>
            </w:r>
            <w:r w:rsidR="004E565F">
              <w:rPr>
                <w:rFonts w:cs="Tahoma"/>
                <w:b/>
                <w:szCs w:val="22"/>
              </w:rPr>
              <w:t>M</w:t>
            </w:r>
            <w:r w:rsidR="00F90027">
              <w:rPr>
                <w:rFonts w:cs="Tahoma"/>
                <w:b/>
                <w:szCs w:val="22"/>
              </w:rPr>
              <w:t>ulti</w:t>
            </w:r>
            <w:r w:rsidR="004E565F">
              <w:rPr>
                <w:rFonts w:cs="Tahoma"/>
                <w:b/>
                <w:szCs w:val="22"/>
              </w:rPr>
              <w:t xml:space="preserve"> Y</w:t>
            </w:r>
            <w:r w:rsidR="00F90027">
              <w:rPr>
                <w:rFonts w:cs="Tahoma"/>
                <w:b/>
                <w:szCs w:val="22"/>
              </w:rPr>
              <w:t xml:space="preserve">ear </w:t>
            </w:r>
            <w:r w:rsidR="004E565F">
              <w:rPr>
                <w:rFonts w:cs="Tahoma"/>
                <w:b/>
                <w:szCs w:val="22"/>
              </w:rPr>
              <w:t>W</w:t>
            </w:r>
            <w:r w:rsidRPr="000C55E9">
              <w:rPr>
                <w:rFonts w:cs="Tahoma"/>
                <w:b/>
                <w:szCs w:val="22"/>
              </w:rPr>
              <w:t xml:space="preserve">ork </w:t>
            </w:r>
            <w:r w:rsidR="004E565F">
              <w:rPr>
                <w:rFonts w:cs="Tahoma"/>
                <w:b/>
                <w:szCs w:val="22"/>
              </w:rPr>
              <w:t>P</w:t>
            </w:r>
            <w:r w:rsidRPr="000C55E9">
              <w:rPr>
                <w:rFonts w:cs="Tahoma"/>
                <w:b/>
                <w:szCs w:val="22"/>
              </w:rPr>
              <w:t>lan</w:t>
            </w:r>
            <w:r w:rsidR="004E565F">
              <w:rPr>
                <w:rFonts w:cs="Tahoma"/>
                <w:b/>
                <w:szCs w:val="22"/>
              </w:rPr>
              <w:t xml:space="preserve"> </w:t>
            </w:r>
            <w:proofErr w:type="gramStart"/>
            <w:r w:rsidR="004E565F">
              <w:rPr>
                <w:rFonts w:cs="Tahoma"/>
                <w:b/>
                <w:szCs w:val="22"/>
              </w:rPr>
              <w:t>202</w:t>
            </w:r>
            <w:r w:rsidR="008E3E59">
              <w:rPr>
                <w:rFonts w:cs="Tahoma"/>
                <w:b/>
                <w:szCs w:val="22"/>
              </w:rPr>
              <w:t>0</w:t>
            </w:r>
            <w:r w:rsidR="004E565F">
              <w:rPr>
                <w:rFonts w:cs="Tahoma"/>
                <w:b/>
                <w:szCs w:val="22"/>
              </w:rPr>
              <w:t>-2021</w:t>
            </w:r>
            <w:r w:rsidRPr="000C55E9">
              <w:rPr>
                <w:rFonts w:cs="Tahoma"/>
                <w:b/>
                <w:szCs w:val="22"/>
              </w:rPr>
              <w:t>:</w:t>
            </w:r>
            <w:proofErr w:type="gramEnd"/>
            <w:r w:rsidR="000A1035">
              <w:rPr>
                <w:rFonts w:cs="Tahoma"/>
                <w:b/>
                <w:szCs w:val="22"/>
              </w:rPr>
              <w:t xml:space="preserve"> </w:t>
            </w:r>
          </w:p>
          <w:p w14:paraId="29A7CC5C" w14:textId="60F3C4E2" w:rsidR="00860A93" w:rsidRPr="003D79E6" w:rsidRDefault="00152E6C" w:rsidP="00393A96">
            <w:pPr>
              <w:rPr>
                <w:rFonts w:cs="Tahoma"/>
                <w:bCs/>
                <w:szCs w:val="22"/>
              </w:rPr>
            </w:pPr>
            <w:r w:rsidRPr="006625CC">
              <w:rPr>
                <w:rFonts w:cs="Tahoma"/>
                <w:b/>
                <w:szCs w:val="22"/>
              </w:rPr>
              <w:t>0600/A0/05/201/003/010</w:t>
            </w:r>
            <w:r w:rsidRPr="003D79E6">
              <w:rPr>
                <w:rFonts w:cs="Tahoma"/>
                <w:bCs/>
                <w:szCs w:val="22"/>
              </w:rPr>
              <w:t xml:space="preserve">: </w:t>
            </w:r>
            <w:r w:rsidR="00280F62" w:rsidRPr="003D79E6">
              <w:rPr>
                <w:rFonts w:cs="Tahoma"/>
                <w:bCs/>
                <w:szCs w:val="22"/>
              </w:rPr>
              <w:t>Support Capacity Development in Reaching Equitable Access to RMN</w:t>
            </w:r>
            <w:r w:rsidR="00814890">
              <w:rPr>
                <w:rFonts w:cs="Tahoma"/>
                <w:bCs/>
                <w:szCs w:val="22"/>
              </w:rPr>
              <w:t>C</w:t>
            </w:r>
            <w:r w:rsidR="00280F62" w:rsidRPr="003D79E6">
              <w:rPr>
                <w:rFonts w:cs="Tahoma"/>
                <w:bCs/>
                <w:szCs w:val="22"/>
              </w:rPr>
              <w:t xml:space="preserve">AH &amp; Nutrition Services in ethnic and hard-to-reach communities in </w:t>
            </w:r>
            <w:r w:rsidR="00280F62" w:rsidRPr="006625CC">
              <w:rPr>
                <w:rFonts w:cs="Tahoma"/>
                <w:b/>
                <w:szCs w:val="22"/>
              </w:rPr>
              <w:t>Kachin</w:t>
            </w:r>
          </w:p>
          <w:p w14:paraId="25CB7BBB" w14:textId="60E5E2C0" w:rsidR="00280F62" w:rsidRPr="003D79E6" w:rsidRDefault="00F922D8" w:rsidP="00393A96">
            <w:pPr>
              <w:rPr>
                <w:rFonts w:cs="Tahoma"/>
                <w:bCs/>
                <w:szCs w:val="22"/>
              </w:rPr>
            </w:pPr>
            <w:r w:rsidRPr="006625CC">
              <w:rPr>
                <w:rFonts w:cs="Tahoma"/>
                <w:b/>
                <w:szCs w:val="22"/>
              </w:rPr>
              <w:t>0600/A0/05/201/003/011</w:t>
            </w:r>
            <w:r w:rsidRPr="003D79E6">
              <w:rPr>
                <w:rFonts w:cs="Tahoma"/>
                <w:bCs/>
                <w:szCs w:val="22"/>
              </w:rPr>
              <w:t>: Support Capacity Development in Reaching Equitable Access to RMN</w:t>
            </w:r>
            <w:r w:rsidR="00814890">
              <w:rPr>
                <w:rFonts w:cs="Tahoma"/>
                <w:bCs/>
                <w:szCs w:val="22"/>
              </w:rPr>
              <w:t>C</w:t>
            </w:r>
            <w:r w:rsidRPr="003D79E6">
              <w:rPr>
                <w:rFonts w:cs="Tahoma"/>
                <w:bCs/>
                <w:szCs w:val="22"/>
              </w:rPr>
              <w:t xml:space="preserve">AH &amp; Nutrition Services in ethnic and hard-to-reach communities in </w:t>
            </w:r>
            <w:r w:rsidRPr="006625CC">
              <w:rPr>
                <w:rFonts w:cs="Tahoma"/>
                <w:b/>
                <w:szCs w:val="22"/>
              </w:rPr>
              <w:t>northern and eastern Shan</w:t>
            </w:r>
            <w:r w:rsidRPr="003D79E6">
              <w:rPr>
                <w:rFonts w:cs="Tahoma"/>
                <w:bCs/>
                <w:szCs w:val="22"/>
              </w:rPr>
              <w:t xml:space="preserve"> </w:t>
            </w:r>
          </w:p>
          <w:p w14:paraId="323661DC" w14:textId="77777777" w:rsidR="003D79E6" w:rsidRDefault="003D79E6" w:rsidP="00393A96">
            <w:pPr>
              <w:rPr>
                <w:rFonts w:cs="Tahoma"/>
                <w:b/>
                <w:szCs w:val="22"/>
              </w:rPr>
            </w:pPr>
          </w:p>
          <w:p w14:paraId="6EF29A57" w14:textId="2F38F3EC" w:rsidR="00726A4B" w:rsidRDefault="00ED05AD" w:rsidP="00393A96">
            <w:pPr>
              <w:rPr>
                <w:rFonts w:cs="Tahoma"/>
                <w:szCs w:val="22"/>
              </w:rPr>
            </w:pPr>
            <w:r w:rsidRPr="006E7AE5">
              <w:rPr>
                <w:rFonts w:cs="Tahoma"/>
                <w:b/>
                <w:szCs w:val="22"/>
              </w:rPr>
              <w:t>Outcome</w:t>
            </w:r>
            <w:r w:rsidR="00C11957" w:rsidRPr="006E7AE5">
              <w:rPr>
                <w:rFonts w:cs="Tahoma"/>
                <w:b/>
                <w:szCs w:val="22"/>
              </w:rPr>
              <w:t xml:space="preserve"> reference</w:t>
            </w:r>
            <w:r w:rsidR="00C11957" w:rsidRPr="006E7AE5">
              <w:rPr>
                <w:rFonts w:cs="Tahoma"/>
                <w:szCs w:val="22"/>
              </w:rPr>
              <w:t xml:space="preserve">: </w:t>
            </w:r>
            <w:r w:rsidR="00602AD5" w:rsidRPr="00602AD5">
              <w:rPr>
                <w:rFonts w:cs="Tahoma"/>
                <w:szCs w:val="22"/>
              </w:rPr>
              <w:t>0600/A0/05/201</w:t>
            </w:r>
          </w:p>
          <w:p w14:paraId="6C17DD3C" w14:textId="77777777" w:rsidR="009C589D" w:rsidRPr="006E7AE5" w:rsidRDefault="000A1035" w:rsidP="00393A96">
            <w:pPr>
              <w:rPr>
                <w:rFonts w:cs="Tahoma"/>
                <w:szCs w:val="22"/>
              </w:rPr>
            </w:pPr>
            <w:r w:rsidRPr="000A1035">
              <w:rPr>
                <w:rFonts w:cs="Tahoma"/>
                <w:szCs w:val="22"/>
              </w:rPr>
              <w:t>By 2022, more children under five and women of reproductive age equitably access and utilize evidence-based health, HIV &amp; nutrition interventions, including adoption of key behaviours, especially among vulnerable populations in most deprived states/ regions, conflict-affected and peri-urban areas</w:t>
            </w:r>
          </w:p>
          <w:p w14:paraId="6A8F3AB5" w14:textId="1741CE4D" w:rsidR="00C11957" w:rsidRDefault="009114FF" w:rsidP="00AC1BA0">
            <w:pPr>
              <w:rPr>
                <w:rFonts w:cs="Tahoma"/>
                <w:szCs w:val="22"/>
              </w:rPr>
            </w:pPr>
            <w:r w:rsidRPr="006E7AE5">
              <w:rPr>
                <w:rFonts w:cs="Tahoma"/>
                <w:b/>
                <w:szCs w:val="22"/>
              </w:rPr>
              <w:t>Output reference</w:t>
            </w:r>
            <w:r w:rsidRPr="006E7AE5">
              <w:rPr>
                <w:rFonts w:cs="Tahoma"/>
                <w:szCs w:val="22"/>
              </w:rPr>
              <w:t xml:space="preserve">: </w:t>
            </w:r>
            <w:r w:rsidR="00602AD5" w:rsidRPr="00602AD5">
              <w:rPr>
                <w:rFonts w:cs="Tahoma"/>
                <w:szCs w:val="22"/>
              </w:rPr>
              <w:t>0600/A0/05/201/003</w:t>
            </w:r>
          </w:p>
          <w:p w14:paraId="13CC31F6" w14:textId="7069F224" w:rsidR="000C55E9" w:rsidRDefault="006625CC" w:rsidP="00AC1BA0">
            <w:pPr>
              <w:rPr>
                <w:rFonts w:cs="Tahoma"/>
                <w:szCs w:val="22"/>
              </w:rPr>
            </w:pPr>
            <w:r w:rsidRPr="006625CC">
              <w:rPr>
                <w:rFonts w:cs="Tahoma"/>
                <w:szCs w:val="22"/>
              </w:rPr>
              <w:t xml:space="preserve">By 2022, national and sub national health care institutions and  front-line health workers have improved capacity to reach more vulnerable populations with quality immunization and </w:t>
            </w:r>
            <w:r w:rsidR="00814890">
              <w:rPr>
                <w:rFonts w:cs="Tahoma"/>
                <w:szCs w:val="22"/>
              </w:rPr>
              <w:t xml:space="preserve">Maternal </w:t>
            </w:r>
            <w:proofErr w:type="spellStart"/>
            <w:r w:rsidR="00814890">
              <w:rPr>
                <w:rFonts w:cs="Tahoma"/>
                <w:szCs w:val="22"/>
              </w:rPr>
              <w:t>Newborn</w:t>
            </w:r>
            <w:proofErr w:type="spellEnd"/>
            <w:r w:rsidR="00814890">
              <w:rPr>
                <w:rFonts w:cs="Tahoma"/>
                <w:szCs w:val="22"/>
              </w:rPr>
              <w:t xml:space="preserve"> and Child health (</w:t>
            </w:r>
            <w:r w:rsidRPr="006625CC">
              <w:rPr>
                <w:rFonts w:cs="Tahoma"/>
                <w:szCs w:val="22"/>
              </w:rPr>
              <w:t>MNCH</w:t>
            </w:r>
            <w:r w:rsidR="00814890">
              <w:rPr>
                <w:rFonts w:cs="Tahoma"/>
                <w:szCs w:val="22"/>
              </w:rPr>
              <w:t>)</w:t>
            </w:r>
            <w:r w:rsidRPr="006625CC">
              <w:rPr>
                <w:rFonts w:cs="Tahoma"/>
                <w:szCs w:val="22"/>
              </w:rPr>
              <w:t xml:space="preserve"> (including </w:t>
            </w:r>
            <w:r w:rsidR="00814890">
              <w:rPr>
                <w:rFonts w:cs="Tahoma"/>
                <w:szCs w:val="22"/>
              </w:rPr>
              <w:t>Prevention of Mother to Child Transmission (</w:t>
            </w:r>
            <w:r w:rsidRPr="006625CC">
              <w:rPr>
                <w:rFonts w:cs="Tahoma"/>
                <w:szCs w:val="22"/>
              </w:rPr>
              <w:t>PMTCT</w:t>
            </w:r>
            <w:r w:rsidR="00814890">
              <w:rPr>
                <w:rFonts w:cs="Tahoma"/>
                <w:szCs w:val="22"/>
              </w:rPr>
              <w:t>)</w:t>
            </w:r>
            <w:r w:rsidRPr="006625CC">
              <w:rPr>
                <w:rFonts w:cs="Tahoma"/>
                <w:szCs w:val="22"/>
              </w:rPr>
              <w:t>) services in at least four most deprived States/Regions and in conflict, disaster affected and peri-urban areas in Yangon</w:t>
            </w:r>
          </w:p>
          <w:p w14:paraId="1BA555AE" w14:textId="77777777" w:rsidR="00897EBC" w:rsidRPr="006E7AE5" w:rsidRDefault="00897EBC" w:rsidP="00AC1BA0">
            <w:pPr>
              <w:rPr>
                <w:rFonts w:cs="Tahoma"/>
                <w:b/>
                <w:szCs w:val="22"/>
              </w:rPr>
            </w:pPr>
          </w:p>
        </w:tc>
      </w:tr>
      <w:tr w:rsidR="005077B5" w:rsidRPr="006E7AE5" w14:paraId="4F9C20D2" w14:textId="77777777" w:rsidTr="76D75A83">
        <w:trPr>
          <w:trHeight w:val="1250"/>
        </w:trPr>
        <w:tc>
          <w:tcPr>
            <w:tcW w:w="10260" w:type="dxa"/>
            <w:gridSpan w:val="3"/>
          </w:tcPr>
          <w:p w14:paraId="69209D62" w14:textId="77777777" w:rsidR="005077B5" w:rsidRPr="006E7AE5" w:rsidRDefault="005077B5" w:rsidP="002B0969">
            <w:pPr>
              <w:pStyle w:val="ListParagraph"/>
              <w:numPr>
                <w:ilvl w:val="0"/>
                <w:numId w:val="7"/>
              </w:numPr>
              <w:ind w:left="342" w:hanging="342"/>
            </w:pPr>
            <w:r w:rsidRPr="006E7AE5">
              <w:t>Background:</w:t>
            </w:r>
          </w:p>
          <w:p w14:paraId="33544412" w14:textId="094C77F1" w:rsidR="00CA5D2B" w:rsidRPr="008B3F72" w:rsidRDefault="00CA5D2B" w:rsidP="00CA5D2B">
            <w:pPr>
              <w:rPr>
                <w:rFonts w:eastAsiaTheme="minorEastAsia" w:cstheme="minorHAnsi"/>
                <w:lang w:eastAsia="en-GB"/>
              </w:rPr>
            </w:pPr>
            <w:r>
              <w:rPr>
                <w:rFonts w:eastAsiaTheme="minorEastAsia" w:cstheme="minorHAnsi"/>
                <w:lang w:eastAsia="en-GB"/>
              </w:rPr>
              <w:t xml:space="preserve">According to </w:t>
            </w:r>
            <w:r w:rsidRPr="008B3F72">
              <w:rPr>
                <w:rFonts w:eastAsiaTheme="minorEastAsia" w:cstheme="minorHAnsi"/>
                <w:lang w:eastAsia="en-GB"/>
              </w:rPr>
              <w:t xml:space="preserve">Myanmar </w:t>
            </w:r>
            <w:r w:rsidR="00814890">
              <w:rPr>
                <w:rFonts w:eastAsiaTheme="minorEastAsia" w:cstheme="minorHAnsi"/>
                <w:lang w:eastAsia="en-GB"/>
              </w:rPr>
              <w:t xml:space="preserve">Demographic </w:t>
            </w:r>
            <w:r w:rsidR="005578D4">
              <w:rPr>
                <w:rFonts w:eastAsiaTheme="minorEastAsia" w:cstheme="minorHAnsi"/>
                <w:lang w:eastAsia="en-GB"/>
              </w:rPr>
              <w:t xml:space="preserve">and </w:t>
            </w:r>
            <w:r w:rsidR="00814890">
              <w:rPr>
                <w:rFonts w:eastAsiaTheme="minorEastAsia" w:cstheme="minorHAnsi"/>
                <w:lang w:eastAsia="en-GB"/>
              </w:rPr>
              <w:t>Health Survey (</w:t>
            </w:r>
            <w:r>
              <w:rPr>
                <w:rFonts w:eastAsiaTheme="minorEastAsia" w:cstheme="minorHAnsi"/>
                <w:lang w:eastAsia="en-GB"/>
              </w:rPr>
              <w:t>DHS</w:t>
            </w:r>
            <w:r w:rsidR="00814890">
              <w:rPr>
                <w:rFonts w:eastAsiaTheme="minorEastAsia" w:cstheme="minorHAnsi"/>
                <w:lang w:eastAsia="en-GB"/>
              </w:rPr>
              <w:t>)</w:t>
            </w:r>
            <w:r w:rsidRPr="008B3F72">
              <w:rPr>
                <w:rFonts w:eastAsiaTheme="minorEastAsia" w:cstheme="minorHAnsi"/>
                <w:lang w:eastAsia="en-GB"/>
              </w:rPr>
              <w:t xml:space="preserve"> 2015-16</w:t>
            </w:r>
            <w:r>
              <w:rPr>
                <w:rFonts w:eastAsiaTheme="minorEastAsia" w:cstheme="minorHAnsi"/>
                <w:lang w:eastAsia="en-GB"/>
              </w:rPr>
              <w:t>,</w:t>
            </w:r>
            <w:r w:rsidRPr="008B3F72">
              <w:rPr>
                <w:rFonts w:eastAsiaTheme="minorEastAsia" w:cstheme="minorHAnsi"/>
                <w:lang w:eastAsia="en-GB"/>
              </w:rPr>
              <w:t xml:space="preserve"> health status of women and children in Kachin and Shan, as represented by maternal mortality ratio (MMR), neonatal mortality rate (NMR) and under-five mortality rate (U5MR), are abo</w:t>
            </w:r>
            <w:r>
              <w:rPr>
                <w:rFonts w:eastAsiaTheme="minorEastAsia" w:cstheme="minorHAnsi"/>
                <w:lang w:eastAsia="en-GB"/>
              </w:rPr>
              <w:t xml:space="preserve">ve national averages, with </w:t>
            </w:r>
            <w:r w:rsidRPr="008B3F72">
              <w:rPr>
                <w:rFonts w:eastAsiaTheme="minorEastAsia" w:cstheme="minorHAnsi"/>
                <w:lang w:eastAsia="en-GB"/>
              </w:rPr>
              <w:t>disparities and pockets</w:t>
            </w:r>
            <w:r w:rsidR="00D33A3A">
              <w:rPr>
                <w:rFonts w:eastAsiaTheme="minorEastAsia" w:cstheme="minorHAnsi"/>
                <w:lang w:eastAsia="en-GB"/>
              </w:rPr>
              <w:t xml:space="preserve">. </w:t>
            </w:r>
            <w:r w:rsidRPr="008B3F72">
              <w:rPr>
                <w:rFonts w:eastAsiaTheme="minorEastAsia" w:cstheme="minorHAnsi"/>
                <w:lang w:eastAsia="en-GB"/>
              </w:rPr>
              <w:t>Although wasting and stunting in both States are compa</w:t>
            </w:r>
            <w:r>
              <w:rPr>
                <w:rFonts w:eastAsiaTheme="minorEastAsia" w:cstheme="minorHAnsi"/>
                <w:lang w:eastAsia="en-GB"/>
              </w:rPr>
              <w:t>rable to national averages, elevated conflict in these areas</w:t>
            </w:r>
            <w:r w:rsidRPr="008B3F72">
              <w:rPr>
                <w:rFonts w:eastAsiaTheme="minorEastAsia" w:cstheme="minorHAnsi"/>
                <w:lang w:eastAsia="en-GB"/>
              </w:rPr>
              <w:t xml:space="preserve"> can easily ex</w:t>
            </w:r>
            <w:r>
              <w:rPr>
                <w:rFonts w:eastAsiaTheme="minorEastAsia" w:cstheme="minorHAnsi"/>
                <w:lang w:eastAsia="en-GB"/>
              </w:rPr>
              <w:t>acerbate the situation</w:t>
            </w:r>
            <w:r w:rsidRPr="008B3F72">
              <w:rPr>
                <w:rFonts w:eastAsiaTheme="minorEastAsia" w:cstheme="minorHAnsi"/>
                <w:lang w:eastAsia="en-GB"/>
              </w:rPr>
              <w:t xml:space="preserve">, affecting mortality burden. </w:t>
            </w:r>
          </w:p>
          <w:p w14:paraId="7322DBB4" w14:textId="77777777" w:rsidR="00CA5D2B" w:rsidRPr="008B3F72" w:rsidRDefault="00CA5D2B" w:rsidP="00CA5D2B">
            <w:pPr>
              <w:rPr>
                <w:rFonts w:cstheme="minorHAnsi"/>
              </w:rPr>
            </w:pPr>
          </w:p>
          <w:p w14:paraId="1B538CF1" w14:textId="01908032" w:rsidR="00CA5D2B" w:rsidRDefault="00CA5D2B" w:rsidP="00CA5D2B">
            <w:pPr>
              <w:rPr>
                <w:rFonts w:eastAsiaTheme="minorEastAsia" w:cstheme="minorHAnsi"/>
                <w:lang w:eastAsia="en-GB"/>
              </w:rPr>
            </w:pPr>
            <w:r>
              <w:rPr>
                <w:rFonts w:eastAsiaTheme="minorEastAsia" w:cstheme="minorHAnsi"/>
                <w:lang w:eastAsia="en-GB"/>
              </w:rPr>
              <w:t xml:space="preserve">Major underlying causes of </w:t>
            </w:r>
            <w:r w:rsidRPr="008B3F72">
              <w:rPr>
                <w:rFonts w:eastAsiaTheme="minorEastAsia" w:cstheme="minorHAnsi"/>
                <w:lang w:eastAsia="en-GB"/>
              </w:rPr>
              <w:t xml:space="preserve">maternal and U5 mortality in these states/regions </w:t>
            </w:r>
            <w:r>
              <w:rPr>
                <w:rFonts w:eastAsiaTheme="minorEastAsia" w:cstheme="minorHAnsi"/>
                <w:lang w:eastAsia="en-GB"/>
              </w:rPr>
              <w:t>include</w:t>
            </w:r>
            <w:r w:rsidRPr="008B3F72">
              <w:rPr>
                <w:rFonts w:eastAsiaTheme="minorEastAsia" w:cstheme="minorHAnsi"/>
                <w:lang w:eastAsia="en-GB"/>
              </w:rPr>
              <w:t xml:space="preserve"> lack of access to essential, quality health interventions across the continuum of care,</w:t>
            </w:r>
            <w:r>
              <w:rPr>
                <w:rFonts w:eastAsiaTheme="minorEastAsia" w:cstheme="minorHAnsi"/>
                <w:lang w:eastAsia="en-GB"/>
              </w:rPr>
              <w:t xml:space="preserve"> given protracted conflict and geographical vastness/</w:t>
            </w:r>
            <w:r w:rsidRPr="008B3F72">
              <w:rPr>
                <w:rFonts w:eastAsiaTheme="minorEastAsia" w:cstheme="minorHAnsi"/>
                <w:lang w:eastAsia="en-GB"/>
              </w:rPr>
              <w:t xml:space="preserve">remoteness. Knowledge and behaviours on health and care, including nutrition and hygiene are also limited. </w:t>
            </w:r>
            <w:r w:rsidRPr="00E772B1">
              <w:rPr>
                <w:rFonts w:eastAsiaTheme="minorEastAsia" w:cstheme="minorHAnsi"/>
                <w:lang w:eastAsia="en-GB"/>
              </w:rPr>
              <w:t>Special regions in Kachin and Shan have vulnerabilities linked to years of conflict which has debilitated basic social services and systems. Figure 2</w:t>
            </w:r>
            <w:r>
              <w:rPr>
                <w:rFonts w:eastAsiaTheme="minorEastAsia" w:cstheme="minorHAnsi"/>
                <w:lang w:eastAsia="en-GB"/>
              </w:rPr>
              <w:t xml:space="preserve"> shows</w:t>
            </w:r>
            <w:r w:rsidRPr="00E772B1">
              <w:rPr>
                <w:rFonts w:eastAsiaTheme="minorEastAsia" w:cstheme="minorHAnsi"/>
                <w:lang w:eastAsia="en-GB"/>
              </w:rPr>
              <w:t xml:space="preserve"> current health system characteristics in 5 special regions, that have been shaped by their local context. In recent years,</w:t>
            </w:r>
            <w:r>
              <w:rPr>
                <w:rFonts w:eastAsiaTheme="minorEastAsia" w:cstheme="minorHAnsi"/>
                <w:lang w:eastAsia="en-GB"/>
              </w:rPr>
              <w:t xml:space="preserve"> d</w:t>
            </w:r>
            <w:r w:rsidRPr="00E772B1">
              <w:rPr>
                <w:rFonts w:eastAsiaTheme="minorEastAsia" w:cstheme="minorHAnsi"/>
                <w:lang w:eastAsia="en-GB"/>
              </w:rPr>
              <w:t xml:space="preserve">ialogue between </w:t>
            </w:r>
            <w:r w:rsidR="00814890">
              <w:rPr>
                <w:rFonts w:eastAsiaTheme="minorEastAsia" w:cstheme="minorHAnsi"/>
                <w:lang w:eastAsia="en-GB"/>
              </w:rPr>
              <w:t>Ministry of Health and Sports (</w:t>
            </w:r>
            <w:r w:rsidRPr="00E772B1">
              <w:rPr>
                <w:rFonts w:eastAsiaTheme="minorEastAsia" w:cstheme="minorHAnsi"/>
                <w:lang w:eastAsia="en-GB"/>
              </w:rPr>
              <w:t>MOHS</w:t>
            </w:r>
            <w:r w:rsidR="00814890">
              <w:rPr>
                <w:rFonts w:eastAsiaTheme="minorEastAsia" w:cstheme="minorHAnsi"/>
                <w:lang w:eastAsia="en-GB"/>
              </w:rPr>
              <w:t>)</w:t>
            </w:r>
            <w:r w:rsidRPr="00E772B1">
              <w:rPr>
                <w:rFonts w:eastAsiaTheme="minorEastAsia" w:cstheme="minorHAnsi"/>
                <w:lang w:eastAsia="en-GB"/>
              </w:rPr>
              <w:t xml:space="preserve"> and EHO (facilitated by partners like </w:t>
            </w:r>
            <w:r w:rsidR="00814890">
              <w:rPr>
                <w:rFonts w:eastAsiaTheme="minorEastAsia" w:cstheme="minorHAnsi"/>
                <w:lang w:eastAsia="en-GB"/>
              </w:rPr>
              <w:t>Health Poverty Action (</w:t>
            </w:r>
            <w:r w:rsidRPr="00E772B1">
              <w:rPr>
                <w:rFonts w:eastAsiaTheme="minorEastAsia" w:cstheme="minorHAnsi"/>
                <w:lang w:eastAsia="en-GB"/>
              </w:rPr>
              <w:t>HPA</w:t>
            </w:r>
            <w:r w:rsidR="00814890">
              <w:rPr>
                <w:rFonts w:eastAsiaTheme="minorEastAsia" w:cstheme="minorHAnsi"/>
                <w:lang w:eastAsia="en-GB"/>
              </w:rPr>
              <w:t>)</w:t>
            </w:r>
            <w:r w:rsidRPr="00E772B1">
              <w:rPr>
                <w:rFonts w:eastAsiaTheme="minorEastAsia" w:cstheme="minorHAnsi"/>
                <w:lang w:eastAsia="en-GB"/>
              </w:rPr>
              <w:t>)</w:t>
            </w:r>
            <w:r>
              <w:rPr>
                <w:rFonts w:eastAsiaTheme="minorEastAsia" w:cstheme="minorHAnsi"/>
                <w:lang w:eastAsia="en-GB"/>
              </w:rPr>
              <w:t xml:space="preserve"> has improved, providing the opportunity for further </w:t>
            </w:r>
            <w:r w:rsidRPr="00E772B1">
              <w:rPr>
                <w:rFonts w:eastAsiaTheme="minorEastAsia" w:cstheme="minorHAnsi"/>
                <w:lang w:eastAsia="en-GB"/>
              </w:rPr>
              <w:t>collaboration</w:t>
            </w:r>
            <w:r>
              <w:rPr>
                <w:rFonts w:eastAsiaTheme="minorEastAsia" w:cstheme="minorHAnsi"/>
                <w:lang w:eastAsia="en-GB"/>
              </w:rPr>
              <w:t xml:space="preserve"> and system-to-</w:t>
            </w:r>
            <w:r w:rsidRPr="00E772B1">
              <w:rPr>
                <w:rFonts w:eastAsiaTheme="minorEastAsia" w:cstheme="minorHAnsi"/>
                <w:lang w:eastAsia="en-GB"/>
              </w:rPr>
              <w:t xml:space="preserve">system linkages – which the proposed </w:t>
            </w:r>
            <w:r w:rsidR="0060659F">
              <w:rPr>
                <w:rFonts w:eastAsiaTheme="minorEastAsia" w:cstheme="minorHAnsi"/>
                <w:lang w:eastAsia="en-GB"/>
              </w:rPr>
              <w:t xml:space="preserve">RMNCAH </w:t>
            </w:r>
            <w:r w:rsidRPr="00E772B1">
              <w:rPr>
                <w:rFonts w:eastAsiaTheme="minorEastAsia" w:cstheme="minorHAnsi"/>
                <w:lang w:eastAsia="en-GB"/>
              </w:rPr>
              <w:t>programme</w:t>
            </w:r>
            <w:r>
              <w:rPr>
                <w:rFonts w:eastAsiaTheme="minorEastAsia" w:cstheme="minorHAnsi"/>
                <w:lang w:eastAsia="en-GB"/>
              </w:rPr>
              <w:t xml:space="preserve"> will</w:t>
            </w:r>
            <w:r w:rsidRPr="00E772B1">
              <w:rPr>
                <w:rFonts w:eastAsiaTheme="minorEastAsia" w:cstheme="minorHAnsi"/>
                <w:lang w:eastAsia="en-GB"/>
              </w:rPr>
              <w:t xml:space="preserve"> b</w:t>
            </w:r>
            <w:r>
              <w:rPr>
                <w:rFonts w:eastAsiaTheme="minorEastAsia" w:cstheme="minorHAnsi"/>
                <w:lang w:eastAsia="en-GB"/>
              </w:rPr>
              <w:t>uild upon and strengthen</w:t>
            </w:r>
            <w:r w:rsidRPr="00E772B1">
              <w:rPr>
                <w:rFonts w:eastAsiaTheme="minorEastAsia" w:cstheme="minorHAnsi"/>
                <w:lang w:eastAsia="en-GB"/>
              </w:rPr>
              <w:t>.</w:t>
            </w:r>
            <w:r w:rsidR="00C10C48">
              <w:rPr>
                <w:rFonts w:eastAsiaTheme="minorEastAsia" w:cstheme="minorHAnsi"/>
                <w:lang w:eastAsia="en-GB"/>
              </w:rPr>
              <w:t xml:space="preserve"> </w:t>
            </w:r>
          </w:p>
          <w:p w14:paraId="6F52B976" w14:textId="77777777" w:rsidR="00CA5D2B" w:rsidRPr="003477B0" w:rsidRDefault="00CA5D2B" w:rsidP="00CA5D2B">
            <w:pPr>
              <w:rPr>
                <w:rFonts w:eastAsiaTheme="minorEastAsia" w:cstheme="minorHAnsi"/>
                <w:lang w:eastAsia="en-GB"/>
              </w:rPr>
            </w:pPr>
          </w:p>
          <w:p w14:paraId="53A1E1BF" w14:textId="77777777" w:rsidR="00CA5D2B" w:rsidRDefault="00CA5D2B" w:rsidP="00CA5D2B">
            <w:pPr>
              <w:rPr>
                <w:rFonts w:eastAsiaTheme="minorEastAsia" w:cstheme="minorHAnsi"/>
                <w:lang w:eastAsia="en-GB"/>
              </w:rPr>
            </w:pPr>
          </w:p>
          <w:p w14:paraId="045E3C39" w14:textId="77777777" w:rsidR="00CA5D2B" w:rsidRDefault="00CA5D2B" w:rsidP="00CA5D2B">
            <w:pPr>
              <w:rPr>
                <w:rFonts w:eastAsiaTheme="minorEastAsia" w:cstheme="minorHAnsi"/>
                <w:lang w:eastAsia="en-GB"/>
              </w:rPr>
            </w:pPr>
          </w:p>
          <w:p w14:paraId="2E391666" w14:textId="77777777" w:rsidR="00CA5D2B" w:rsidRDefault="00CA5D2B" w:rsidP="00CA5D2B">
            <w:pPr>
              <w:rPr>
                <w:rFonts w:eastAsiaTheme="minorEastAsia" w:cstheme="minorHAnsi"/>
                <w:lang w:eastAsia="en-GB"/>
              </w:rPr>
            </w:pPr>
          </w:p>
          <w:p w14:paraId="5F1D09AA" w14:textId="77777777" w:rsidR="00CA5D2B" w:rsidRDefault="00CA5D2B" w:rsidP="00CA5D2B">
            <w:pPr>
              <w:jc w:val="center"/>
              <w:rPr>
                <w:rFonts w:eastAsiaTheme="minorEastAsia" w:cstheme="minorHAnsi"/>
                <w:lang w:eastAsia="en-GB"/>
              </w:rPr>
            </w:pPr>
          </w:p>
          <w:p w14:paraId="7808AAF3" w14:textId="77777777" w:rsidR="00CA5D2B" w:rsidRDefault="00CA5D2B" w:rsidP="00CA5D2B">
            <w:pPr>
              <w:rPr>
                <w:rFonts w:eastAsiaTheme="minorEastAsia" w:cstheme="minorHAnsi"/>
                <w:lang w:eastAsia="en-GB"/>
              </w:rPr>
            </w:pPr>
          </w:p>
          <w:p w14:paraId="7F933791" w14:textId="77777777" w:rsidR="00CA5D2B" w:rsidRDefault="00CA5D2B" w:rsidP="00CA5D2B">
            <w:pPr>
              <w:rPr>
                <w:rFonts w:eastAsiaTheme="minorEastAsia" w:cstheme="minorHAnsi"/>
                <w:lang w:eastAsia="en-GB"/>
              </w:rPr>
            </w:pPr>
          </w:p>
          <w:p w14:paraId="4DC7A94A" w14:textId="77777777" w:rsidR="00CA5D2B" w:rsidRDefault="00CA5D2B" w:rsidP="00CA5D2B">
            <w:pPr>
              <w:rPr>
                <w:rFonts w:eastAsiaTheme="minorEastAsia" w:cstheme="minorHAnsi"/>
                <w:lang w:eastAsia="en-GB"/>
              </w:rPr>
            </w:pPr>
          </w:p>
          <w:p w14:paraId="7FB66035" w14:textId="77777777" w:rsidR="00CA5D2B" w:rsidRDefault="6196AFC7" w:rsidP="00CA5D2B">
            <w:pPr>
              <w:rPr>
                <w:rFonts w:eastAsiaTheme="minorEastAsia" w:cstheme="minorHAnsi"/>
                <w:lang w:eastAsia="en-GB"/>
              </w:rPr>
            </w:pPr>
            <w:r>
              <w:rPr>
                <w:noProof/>
              </w:rPr>
              <w:lastRenderedPageBreak/>
              <w:drawing>
                <wp:inline distT="0" distB="0" distL="0" distR="0" wp14:anchorId="7BB76480" wp14:editId="5422D886">
                  <wp:extent cx="6407832" cy="3143250"/>
                  <wp:effectExtent l="0" t="0" r="0" b="0"/>
                  <wp:docPr id="942763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6407832" cy="3143250"/>
                          </a:xfrm>
                          <a:prstGeom prst="rect">
                            <a:avLst/>
                          </a:prstGeom>
                        </pic:spPr>
                      </pic:pic>
                    </a:graphicData>
                  </a:graphic>
                </wp:inline>
              </w:drawing>
            </w:r>
          </w:p>
          <w:p w14:paraId="1295D9C7" w14:textId="77777777" w:rsidR="00CA5D2B" w:rsidRDefault="00CA5D2B" w:rsidP="00CA5D2B">
            <w:pPr>
              <w:rPr>
                <w:rFonts w:cstheme="minorHAnsi"/>
                <w:color w:val="000000" w:themeColor="text1"/>
              </w:rPr>
            </w:pPr>
            <w:r>
              <w:rPr>
                <w:rFonts w:eastAsiaTheme="minorEastAsia" w:cstheme="minorHAnsi"/>
                <w:lang w:eastAsia="en-GB"/>
              </w:rPr>
              <w:t>An HPA survey in</w:t>
            </w:r>
            <w:r>
              <w:rPr>
                <w:rFonts w:cstheme="minorHAnsi"/>
                <w:color w:val="000000" w:themeColor="text1"/>
              </w:rPr>
              <w:t xml:space="preserve"> 2016 showed that overall special</w:t>
            </w:r>
            <w:r w:rsidRPr="008B3F72">
              <w:rPr>
                <w:rFonts w:cstheme="minorHAnsi"/>
                <w:color w:val="000000" w:themeColor="text1"/>
              </w:rPr>
              <w:t xml:space="preserve"> regions </w:t>
            </w:r>
            <w:r>
              <w:rPr>
                <w:rFonts w:cstheme="minorHAnsi"/>
                <w:color w:val="000000" w:themeColor="text1"/>
              </w:rPr>
              <w:t xml:space="preserve">have much lower health service coverage </w:t>
            </w:r>
            <w:r w:rsidRPr="008B3F72">
              <w:rPr>
                <w:rFonts w:cstheme="minorHAnsi"/>
                <w:color w:val="000000" w:themeColor="text1"/>
              </w:rPr>
              <w:t>compared to state and national averages</w:t>
            </w:r>
            <w:r>
              <w:rPr>
                <w:rFonts w:cstheme="minorHAnsi"/>
                <w:color w:val="000000" w:themeColor="text1"/>
              </w:rPr>
              <w:t xml:space="preserve"> (Figure 3)</w:t>
            </w:r>
            <w:r w:rsidRPr="008B3F72">
              <w:rPr>
                <w:rFonts w:cstheme="minorHAnsi"/>
                <w:color w:val="000000" w:themeColor="text1"/>
              </w:rPr>
              <w:t xml:space="preserve">. </w:t>
            </w:r>
          </w:p>
          <w:p w14:paraId="19D058F9" w14:textId="77777777" w:rsidR="00CA5D2B" w:rsidRDefault="00CA5D2B" w:rsidP="00CA5D2B">
            <w:pPr>
              <w:rPr>
                <w:rFonts w:cstheme="minorHAnsi"/>
                <w:color w:val="000000" w:themeColor="text1"/>
              </w:rPr>
            </w:pPr>
          </w:p>
          <w:p w14:paraId="68F20C57" w14:textId="77777777" w:rsidR="00CA5D2B" w:rsidRPr="008B3F72" w:rsidRDefault="6196AFC7" w:rsidP="00CA5D2B">
            <w:pPr>
              <w:jc w:val="center"/>
              <w:rPr>
                <w:rFonts w:cstheme="minorHAnsi"/>
                <w:color w:val="000000" w:themeColor="text1"/>
              </w:rPr>
            </w:pPr>
            <w:r>
              <w:rPr>
                <w:noProof/>
              </w:rPr>
              <w:drawing>
                <wp:inline distT="0" distB="0" distL="0" distR="0" wp14:anchorId="606CC5E9" wp14:editId="282419D0">
                  <wp:extent cx="4170045" cy="2414270"/>
                  <wp:effectExtent l="0" t="0" r="1905" b="5080"/>
                  <wp:docPr id="9666854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4170045" cy="2414270"/>
                          </a:xfrm>
                          <a:prstGeom prst="rect">
                            <a:avLst/>
                          </a:prstGeom>
                        </pic:spPr>
                      </pic:pic>
                    </a:graphicData>
                  </a:graphic>
                </wp:inline>
              </w:drawing>
            </w:r>
          </w:p>
          <w:p w14:paraId="28D0552D" w14:textId="77777777" w:rsidR="00CA5D2B" w:rsidRPr="008B3F72" w:rsidRDefault="00CA5D2B" w:rsidP="00CA5D2B">
            <w:pPr>
              <w:rPr>
                <w:rFonts w:cstheme="minorHAnsi"/>
                <w:color w:val="000000" w:themeColor="text1"/>
              </w:rPr>
            </w:pPr>
          </w:p>
          <w:p w14:paraId="5B606494" w14:textId="77777777" w:rsidR="00CA5D2B" w:rsidRPr="008B3F72" w:rsidRDefault="00CA5D2B" w:rsidP="00CA5D2B">
            <w:pPr>
              <w:rPr>
                <w:rFonts w:cstheme="minorHAnsi"/>
                <w:color w:val="000000" w:themeColor="text1"/>
              </w:rPr>
            </w:pPr>
          </w:p>
          <w:p w14:paraId="714AC90B" w14:textId="5FF1ED47" w:rsidR="00405B72" w:rsidRDefault="00CA5D2B" w:rsidP="00CA5D2B">
            <w:pPr>
              <w:rPr>
                <w:rFonts w:eastAsiaTheme="minorEastAsia" w:cstheme="minorHAnsi"/>
                <w:lang w:eastAsia="en-GB"/>
              </w:rPr>
            </w:pPr>
            <w:r>
              <w:rPr>
                <w:rFonts w:eastAsiaTheme="minorEastAsia" w:cstheme="minorHAnsi"/>
                <w:lang w:eastAsia="en-GB"/>
              </w:rPr>
              <w:t xml:space="preserve">To tackle </w:t>
            </w:r>
            <w:r w:rsidRPr="00B83644">
              <w:rPr>
                <w:rFonts w:eastAsiaTheme="minorEastAsia" w:cstheme="minorHAnsi"/>
                <w:lang w:eastAsia="en-GB"/>
              </w:rPr>
              <w:t>access to health issues in vulnerable areas of Kachin and Shan</w:t>
            </w:r>
            <w:r>
              <w:rPr>
                <w:rFonts w:eastAsiaTheme="minorEastAsia" w:cstheme="minorHAnsi"/>
                <w:lang w:eastAsia="en-GB"/>
              </w:rPr>
              <w:t xml:space="preserve">, UNICEF, HPA along with </w:t>
            </w:r>
            <w:r w:rsidRPr="00B83644">
              <w:rPr>
                <w:rFonts w:eastAsiaTheme="minorEastAsia" w:cstheme="minorHAnsi"/>
                <w:lang w:eastAsia="en-GB"/>
              </w:rPr>
              <w:t>3</w:t>
            </w:r>
            <w:r>
              <w:rPr>
                <w:rFonts w:eastAsiaTheme="minorEastAsia" w:cstheme="minorHAnsi"/>
                <w:lang w:eastAsia="en-GB"/>
              </w:rPr>
              <w:t xml:space="preserve"> </w:t>
            </w:r>
            <w:r w:rsidRPr="00B83644">
              <w:rPr>
                <w:rFonts w:eastAsiaTheme="minorEastAsia" w:cstheme="minorHAnsi"/>
                <w:lang w:eastAsia="en-GB"/>
              </w:rPr>
              <w:t>EHOs and 1</w:t>
            </w:r>
            <w:r>
              <w:rPr>
                <w:rFonts w:eastAsiaTheme="minorEastAsia" w:cstheme="minorHAnsi"/>
                <w:lang w:eastAsia="en-GB"/>
              </w:rPr>
              <w:t xml:space="preserve"> </w:t>
            </w:r>
            <w:r w:rsidR="00B7418D">
              <w:rPr>
                <w:rFonts w:eastAsiaTheme="minorEastAsia" w:cstheme="minorHAnsi"/>
                <w:lang w:eastAsia="en-GB"/>
              </w:rPr>
              <w:t>Civil Society Organization (</w:t>
            </w:r>
            <w:r w:rsidRPr="00B83644">
              <w:rPr>
                <w:rFonts w:eastAsiaTheme="minorEastAsia" w:cstheme="minorHAnsi"/>
                <w:lang w:eastAsia="en-GB"/>
              </w:rPr>
              <w:t>CSO</w:t>
            </w:r>
            <w:r w:rsidR="00B7418D">
              <w:rPr>
                <w:rFonts w:eastAsiaTheme="minorEastAsia" w:cstheme="minorHAnsi"/>
                <w:lang w:eastAsia="en-GB"/>
              </w:rPr>
              <w:t>)</w:t>
            </w:r>
            <w:r w:rsidRPr="00B83644">
              <w:rPr>
                <w:rFonts w:eastAsiaTheme="minorEastAsia" w:cstheme="minorHAnsi"/>
                <w:lang w:eastAsia="en-GB"/>
              </w:rPr>
              <w:t xml:space="preserve"> have decided to </w:t>
            </w:r>
            <w:r>
              <w:rPr>
                <w:rFonts w:eastAsiaTheme="minorEastAsia" w:cstheme="minorHAnsi"/>
                <w:lang w:eastAsia="en-GB"/>
              </w:rPr>
              <w:t xml:space="preserve">work and coordinate together </w:t>
            </w:r>
            <w:r w:rsidRPr="00B83644">
              <w:rPr>
                <w:rFonts w:eastAsiaTheme="minorEastAsia" w:cstheme="minorHAnsi"/>
                <w:lang w:eastAsia="en-GB"/>
              </w:rPr>
              <w:t xml:space="preserve">under the </w:t>
            </w:r>
            <w:r w:rsidR="00876ED6">
              <w:rPr>
                <w:rFonts w:eastAsiaTheme="minorEastAsia" w:cstheme="minorHAnsi"/>
                <w:lang w:eastAsia="en-GB"/>
              </w:rPr>
              <w:t>Access to Health Fund</w:t>
            </w:r>
            <w:r w:rsidR="00532A3E">
              <w:rPr>
                <w:rFonts w:eastAsiaTheme="minorEastAsia" w:cstheme="minorHAnsi"/>
                <w:lang w:eastAsia="en-GB"/>
              </w:rPr>
              <w:t xml:space="preserve"> (ACCESS)</w:t>
            </w:r>
            <w:r w:rsidRPr="00B83644">
              <w:rPr>
                <w:rFonts w:eastAsiaTheme="minorEastAsia" w:cstheme="minorHAnsi"/>
                <w:lang w:eastAsia="en-GB"/>
              </w:rPr>
              <w:t>. The programme</w:t>
            </w:r>
            <w:r>
              <w:rPr>
                <w:rFonts w:eastAsiaTheme="minorEastAsia" w:cstheme="minorHAnsi"/>
                <w:lang w:eastAsia="en-GB"/>
              </w:rPr>
              <w:t xml:space="preserve"> will cover 19 townships where</w:t>
            </w:r>
            <w:r w:rsidRPr="00B83644">
              <w:rPr>
                <w:rFonts w:eastAsiaTheme="minorEastAsia" w:cstheme="minorHAnsi"/>
                <w:lang w:eastAsia="en-GB"/>
              </w:rPr>
              <w:t xml:space="preserve"> 5 special regions are located.</w:t>
            </w:r>
            <w:r>
              <w:rPr>
                <w:rFonts w:eastAsiaTheme="minorEastAsia" w:cstheme="minorHAnsi"/>
                <w:lang w:eastAsia="en-GB"/>
              </w:rPr>
              <w:t xml:space="preserve"> UNICEF will provide </w:t>
            </w:r>
            <w:r w:rsidR="00532A3E">
              <w:rPr>
                <w:rFonts w:eastAsiaTheme="minorEastAsia" w:cstheme="minorHAnsi"/>
                <w:lang w:eastAsia="en-GB"/>
              </w:rPr>
              <w:t xml:space="preserve">a </w:t>
            </w:r>
            <w:r>
              <w:rPr>
                <w:rFonts w:eastAsiaTheme="minorEastAsia" w:cstheme="minorHAnsi"/>
                <w:lang w:eastAsia="en-GB"/>
              </w:rPr>
              <w:t xml:space="preserve">technical assistance role to HPA, with HPA as direct implementing partners of </w:t>
            </w:r>
            <w:r w:rsidR="00532A3E">
              <w:rPr>
                <w:rFonts w:eastAsiaTheme="minorEastAsia" w:cstheme="minorHAnsi"/>
                <w:lang w:eastAsia="en-GB"/>
              </w:rPr>
              <w:t xml:space="preserve">ACCESS </w:t>
            </w:r>
            <w:r>
              <w:rPr>
                <w:rFonts w:eastAsiaTheme="minorEastAsia" w:cstheme="minorHAnsi"/>
                <w:lang w:eastAsia="en-GB"/>
              </w:rPr>
              <w:t>activities in collaboration with EHOs. The proposed</w:t>
            </w:r>
            <w:r w:rsidR="0060659F">
              <w:rPr>
                <w:rFonts w:eastAsiaTheme="minorEastAsia" w:cstheme="minorHAnsi"/>
                <w:lang w:eastAsia="en-GB"/>
              </w:rPr>
              <w:t xml:space="preserve"> RMNCAH</w:t>
            </w:r>
            <w:r w:rsidR="00532A3E">
              <w:rPr>
                <w:rFonts w:eastAsiaTheme="minorEastAsia" w:cstheme="minorHAnsi"/>
                <w:lang w:eastAsia="en-GB"/>
              </w:rPr>
              <w:t xml:space="preserve"> </w:t>
            </w:r>
            <w:r>
              <w:rPr>
                <w:rFonts w:eastAsiaTheme="minorEastAsia" w:cstheme="minorHAnsi"/>
                <w:lang w:eastAsia="en-GB"/>
              </w:rPr>
              <w:t>programme aims to address</w:t>
            </w:r>
            <w:r w:rsidRPr="008B3F72">
              <w:rPr>
                <w:rFonts w:eastAsiaTheme="minorEastAsia" w:cstheme="minorHAnsi"/>
                <w:lang w:eastAsia="en-GB"/>
              </w:rPr>
              <w:t xml:space="preserve"> specific supply and demand side barriers to </w:t>
            </w:r>
            <w:r>
              <w:rPr>
                <w:rFonts w:eastAsiaTheme="minorEastAsia" w:cstheme="minorHAnsi"/>
                <w:lang w:eastAsia="en-GB"/>
              </w:rPr>
              <w:t>health services access and utilisation</w:t>
            </w:r>
            <w:r w:rsidRPr="008B3F72">
              <w:rPr>
                <w:rFonts w:eastAsiaTheme="minorEastAsia" w:cstheme="minorHAnsi"/>
                <w:lang w:eastAsia="en-GB"/>
              </w:rPr>
              <w:t>.</w:t>
            </w:r>
          </w:p>
          <w:p w14:paraId="23D4D7E4" w14:textId="376AFB8D" w:rsidR="00645DAB" w:rsidRDefault="00645DAB" w:rsidP="00CA5D2B">
            <w:pPr>
              <w:rPr>
                <w:rFonts w:eastAsiaTheme="minorEastAsia" w:cstheme="minorHAnsi"/>
                <w:lang w:eastAsia="en-GB"/>
              </w:rPr>
            </w:pPr>
          </w:p>
          <w:p w14:paraId="1E413321" w14:textId="2ECB8323" w:rsidR="00645DAB" w:rsidRDefault="00645DAB" w:rsidP="00CA5D2B">
            <w:pPr>
              <w:rPr>
                <w:rFonts w:eastAsiaTheme="minorEastAsia" w:cstheme="minorHAnsi"/>
                <w:lang w:eastAsia="en-GB"/>
              </w:rPr>
            </w:pPr>
            <w:r>
              <w:rPr>
                <w:rFonts w:eastAsiaTheme="minorEastAsia" w:cstheme="minorHAnsi"/>
                <w:lang w:eastAsia="en-GB"/>
              </w:rPr>
              <w:t>T</w:t>
            </w:r>
            <w:r w:rsidRPr="00645DAB">
              <w:rPr>
                <w:rFonts w:eastAsiaTheme="minorEastAsia" w:cstheme="minorHAnsi"/>
                <w:lang w:eastAsia="en-GB"/>
              </w:rPr>
              <w:t xml:space="preserve">he proposed </w:t>
            </w:r>
            <w:r w:rsidR="0060659F">
              <w:rPr>
                <w:rFonts w:eastAsiaTheme="minorEastAsia" w:cstheme="minorHAnsi"/>
                <w:lang w:eastAsia="en-GB"/>
              </w:rPr>
              <w:t xml:space="preserve">RMNCAH </w:t>
            </w:r>
            <w:r w:rsidRPr="00645DAB">
              <w:rPr>
                <w:rFonts w:eastAsiaTheme="minorEastAsia" w:cstheme="minorHAnsi"/>
                <w:lang w:eastAsia="en-GB"/>
              </w:rPr>
              <w:t>programme determine</w:t>
            </w:r>
            <w:r>
              <w:rPr>
                <w:rFonts w:eastAsiaTheme="minorEastAsia" w:cstheme="minorHAnsi"/>
                <w:lang w:eastAsia="en-GB"/>
              </w:rPr>
              <w:t>s</w:t>
            </w:r>
            <w:r w:rsidRPr="00645DAB">
              <w:rPr>
                <w:rFonts w:eastAsiaTheme="minorEastAsia" w:cstheme="minorHAnsi"/>
                <w:lang w:eastAsia="en-GB"/>
              </w:rPr>
              <w:t xml:space="preserve"> the most cost-effective combination of evidence-based interventions and H</w:t>
            </w:r>
            <w:r>
              <w:rPr>
                <w:rFonts w:eastAsiaTheme="minorEastAsia" w:cstheme="minorHAnsi"/>
                <w:lang w:eastAsia="en-GB"/>
              </w:rPr>
              <w:t>ealth System Strengthening</w:t>
            </w:r>
            <w:r w:rsidRPr="00645DAB">
              <w:rPr>
                <w:rFonts w:eastAsiaTheme="minorEastAsia" w:cstheme="minorHAnsi"/>
                <w:lang w:eastAsia="en-GB"/>
              </w:rPr>
              <w:t xml:space="preserve"> strategies to reduce maternal and child mortality and malnutrition among </w:t>
            </w:r>
            <w:r>
              <w:rPr>
                <w:rFonts w:eastAsiaTheme="minorEastAsia" w:cstheme="minorHAnsi"/>
                <w:lang w:eastAsia="en-GB"/>
              </w:rPr>
              <w:t>the</w:t>
            </w:r>
            <w:r w:rsidRPr="00645DAB">
              <w:rPr>
                <w:rFonts w:eastAsiaTheme="minorEastAsia" w:cstheme="minorHAnsi"/>
                <w:lang w:eastAsia="en-GB"/>
              </w:rPr>
              <w:t xml:space="preserve"> targeted areas in Kachin and Shan. These prioritized RMNCAH and Nutrition interventions</w:t>
            </w:r>
            <w:r>
              <w:rPr>
                <w:rFonts w:eastAsiaTheme="minorEastAsia" w:cstheme="minorHAnsi"/>
                <w:lang w:eastAsia="en-GB"/>
              </w:rPr>
              <w:t xml:space="preserve"> </w:t>
            </w:r>
            <w:r w:rsidRPr="00645DAB">
              <w:rPr>
                <w:rFonts w:eastAsiaTheme="minorEastAsia" w:cstheme="minorHAnsi"/>
                <w:lang w:eastAsia="en-GB"/>
              </w:rPr>
              <w:t xml:space="preserve">include antenatal and postnatal care, </w:t>
            </w:r>
            <w:proofErr w:type="spellStart"/>
            <w:r w:rsidRPr="00645DAB">
              <w:rPr>
                <w:rFonts w:eastAsiaTheme="minorEastAsia" w:cstheme="minorHAnsi"/>
                <w:lang w:eastAsia="en-GB"/>
              </w:rPr>
              <w:t>newborn</w:t>
            </w:r>
            <w:proofErr w:type="spellEnd"/>
            <w:r w:rsidRPr="00645DAB">
              <w:rPr>
                <w:rFonts w:eastAsiaTheme="minorEastAsia" w:cstheme="minorHAnsi"/>
                <w:lang w:eastAsia="en-GB"/>
              </w:rPr>
              <w:t xml:space="preserve"> care and safe delivery, family planning, adolescent reproductive health, post-abortion care, management of STIs, diseases and childhood illness, , micronutrient supplementation, community-based nutrition promotion, </w:t>
            </w:r>
            <w:r w:rsidR="00D47254">
              <w:rPr>
                <w:rFonts w:eastAsiaTheme="minorEastAsia" w:cstheme="minorHAnsi"/>
                <w:lang w:eastAsia="en-GB"/>
              </w:rPr>
              <w:t xml:space="preserve">management of acute malnutrition </w:t>
            </w:r>
            <w:r w:rsidRPr="00645DAB">
              <w:rPr>
                <w:rFonts w:eastAsiaTheme="minorEastAsia" w:cstheme="minorHAnsi"/>
                <w:lang w:eastAsia="en-GB"/>
              </w:rPr>
              <w:t>and behaviour change communication on essential health and nutrition practices, including hygiene and sanitation</w:t>
            </w:r>
            <w:r w:rsidR="00F970B5">
              <w:rPr>
                <w:rFonts w:eastAsiaTheme="minorEastAsia" w:cstheme="minorHAnsi"/>
                <w:lang w:eastAsia="en-GB"/>
              </w:rPr>
              <w:t>.</w:t>
            </w:r>
          </w:p>
          <w:p w14:paraId="5E42E041" w14:textId="494DA611" w:rsidR="00E31AB0" w:rsidRDefault="00E31AB0" w:rsidP="00CA5D2B">
            <w:pPr>
              <w:rPr>
                <w:rFonts w:eastAsiaTheme="minorEastAsia" w:cstheme="minorHAnsi"/>
                <w:lang w:eastAsia="en-GB"/>
              </w:rPr>
            </w:pPr>
          </w:p>
          <w:p w14:paraId="1A5AA3C8" w14:textId="77777777" w:rsidR="00D20C69" w:rsidRPr="00D20C69" w:rsidRDefault="00D20C69" w:rsidP="00D20C69">
            <w:pPr>
              <w:rPr>
                <w:rFonts w:eastAsiaTheme="minorEastAsia" w:cstheme="minorHAnsi"/>
                <w:lang w:eastAsia="en-GB"/>
              </w:rPr>
            </w:pPr>
            <w:r w:rsidRPr="00D20C69">
              <w:rPr>
                <w:rFonts w:eastAsiaTheme="minorEastAsia" w:cstheme="minorHAnsi"/>
                <w:lang w:eastAsia="en-GB"/>
              </w:rPr>
              <w:lastRenderedPageBreak/>
              <w:t>Ensuring access to quality health services is one of the main functions of a health system. Service access includes different components: availability, which refers to the physical presence or reach of the facilities; affordability, which refers to the ability of the client to pay for the services; and acceptability, which refers to the sociocultural dimension.</w:t>
            </w:r>
          </w:p>
          <w:p w14:paraId="7DFDFFF8" w14:textId="77777777" w:rsidR="00D20C69" w:rsidRDefault="00D20C69" w:rsidP="00D20C69">
            <w:pPr>
              <w:rPr>
                <w:rFonts w:eastAsiaTheme="minorEastAsia" w:cstheme="minorHAnsi"/>
                <w:lang w:eastAsia="en-GB"/>
              </w:rPr>
            </w:pPr>
          </w:p>
          <w:p w14:paraId="42E8B5F7" w14:textId="70450643" w:rsidR="00D20C69" w:rsidRDefault="00D20C69" w:rsidP="00D20C69">
            <w:pPr>
              <w:rPr>
                <w:rFonts w:eastAsiaTheme="minorEastAsia" w:cstheme="minorHAnsi"/>
                <w:lang w:eastAsia="en-GB"/>
              </w:rPr>
            </w:pPr>
            <w:r w:rsidRPr="00D20C69">
              <w:rPr>
                <w:rFonts w:eastAsiaTheme="minorEastAsia" w:cstheme="minorHAnsi"/>
                <w:lang w:eastAsia="en-GB"/>
              </w:rPr>
              <w:t>The quality of services is yet another dimension. A prerequisite to service quality is service readiness, i.e. the health facilities should have the capacity to deliver the services offered. This capacity includes the presence of trained staff, guidelines, infrastructure, equipment, medicines and diagnostic tests. Service availability and readiness are prerequisites to quality services, but do not guarantee the delivery of quality services.</w:t>
            </w:r>
          </w:p>
          <w:p w14:paraId="230E24C3" w14:textId="70A52062" w:rsidR="00D52584" w:rsidRDefault="00D52584" w:rsidP="00D20C69">
            <w:pPr>
              <w:rPr>
                <w:rFonts w:eastAsiaTheme="minorEastAsia" w:cstheme="minorHAnsi"/>
                <w:lang w:eastAsia="en-GB"/>
              </w:rPr>
            </w:pPr>
          </w:p>
          <w:p w14:paraId="51568F84" w14:textId="339AC61D" w:rsidR="00E31AB0" w:rsidRDefault="00D52584" w:rsidP="00CA5D2B">
            <w:pPr>
              <w:rPr>
                <w:rFonts w:eastAsiaTheme="minorEastAsia" w:cstheme="minorHAnsi"/>
                <w:lang w:eastAsia="en-GB"/>
              </w:rPr>
            </w:pPr>
            <w:r>
              <w:rPr>
                <w:rFonts w:eastAsiaTheme="minorEastAsia" w:cstheme="minorHAnsi"/>
                <w:lang w:eastAsia="en-GB"/>
              </w:rPr>
              <w:t>Service Availability</w:t>
            </w:r>
            <w:r w:rsidR="00A97DDC">
              <w:rPr>
                <w:rFonts w:eastAsiaTheme="minorEastAsia" w:cstheme="minorHAnsi"/>
                <w:lang w:eastAsia="en-GB"/>
              </w:rPr>
              <w:t xml:space="preserve"> and Readiness Assessment (SARA) is a WHO-</w:t>
            </w:r>
            <w:r w:rsidR="00A97DDC" w:rsidRPr="00A97DDC">
              <w:rPr>
                <w:rFonts w:eastAsiaTheme="minorEastAsia" w:cstheme="minorHAnsi"/>
                <w:lang w:eastAsia="en-GB"/>
              </w:rPr>
              <w:t>designed systematic survey to assess health facility service delivery. The objective of the survey is to generate reliable and regular information on service delivery including service availability, such as the availability of key human and infrastructure resources, and on the readiness of health facilities to provide basic health-care interventions relating to family planning, child health services, basic and comprehensive obstetric care, HIV/AIDS, tuberculosis, malaria and noncommunicable diseases.</w:t>
            </w:r>
            <w:r w:rsidR="00C10C48">
              <w:rPr>
                <w:rFonts w:eastAsiaTheme="minorEastAsia" w:cstheme="minorHAnsi"/>
                <w:lang w:eastAsia="en-GB"/>
              </w:rPr>
              <w:t xml:space="preserve"> </w:t>
            </w:r>
            <w:bookmarkStart w:id="0" w:name="_Hlk48229639"/>
            <w:r w:rsidR="00C10C48">
              <w:rPr>
                <w:rFonts w:eastAsiaTheme="minorEastAsia" w:cstheme="minorHAnsi"/>
                <w:lang w:eastAsia="en-GB"/>
              </w:rPr>
              <w:t>SARA is also an assessment tool for health system strengthening as well as effective implementation of RMNCAH programme</w:t>
            </w:r>
            <w:r w:rsidR="00110AE3">
              <w:rPr>
                <w:rFonts w:eastAsiaTheme="minorEastAsia" w:cstheme="minorHAnsi"/>
                <w:lang w:eastAsia="en-GB"/>
              </w:rPr>
              <w:t xml:space="preserve"> through annual exercise and regular feedback mechanism with improvement plan.</w:t>
            </w:r>
            <w:bookmarkEnd w:id="0"/>
          </w:p>
          <w:p w14:paraId="584496FE" w14:textId="2003EDD6" w:rsidR="00F970B5" w:rsidRDefault="00F970B5" w:rsidP="00CA5D2B">
            <w:pPr>
              <w:rPr>
                <w:rFonts w:eastAsiaTheme="minorEastAsia" w:cstheme="minorHAnsi"/>
                <w:lang w:eastAsia="en-GB"/>
              </w:rPr>
            </w:pPr>
          </w:p>
          <w:p w14:paraId="51C7EB2E" w14:textId="793235C9" w:rsidR="003669A4" w:rsidRDefault="00FF7DE9" w:rsidP="00CA5D2B">
            <w:pPr>
              <w:rPr>
                <w:rFonts w:eastAsiaTheme="minorEastAsia" w:cstheme="minorHAnsi"/>
                <w:lang w:eastAsia="en-GB"/>
              </w:rPr>
            </w:pPr>
            <w:r>
              <w:rPr>
                <w:rFonts w:eastAsiaTheme="minorEastAsia" w:cstheme="minorHAnsi"/>
                <w:lang w:eastAsia="en-GB"/>
              </w:rPr>
              <w:t xml:space="preserve">The </w:t>
            </w:r>
            <w:r w:rsidR="00DA3836">
              <w:rPr>
                <w:rFonts w:eastAsiaTheme="minorEastAsia" w:cstheme="minorHAnsi"/>
                <w:lang w:eastAsia="en-GB"/>
              </w:rPr>
              <w:t xml:space="preserve">proposed </w:t>
            </w:r>
            <w:r w:rsidR="0060659F">
              <w:rPr>
                <w:rFonts w:eastAsiaTheme="minorEastAsia" w:cstheme="minorHAnsi"/>
                <w:lang w:eastAsia="en-GB"/>
              </w:rPr>
              <w:t xml:space="preserve">RMNCAH </w:t>
            </w:r>
            <w:r w:rsidR="00DA3836">
              <w:rPr>
                <w:rFonts w:eastAsiaTheme="minorEastAsia" w:cstheme="minorHAnsi"/>
                <w:lang w:eastAsia="en-GB"/>
              </w:rPr>
              <w:t>programme</w:t>
            </w:r>
            <w:r w:rsidR="00E07B65">
              <w:rPr>
                <w:rFonts w:eastAsiaTheme="minorEastAsia" w:cstheme="minorHAnsi"/>
                <w:lang w:eastAsia="en-GB"/>
              </w:rPr>
              <w:t xml:space="preserve"> </w:t>
            </w:r>
            <w:r w:rsidR="00DA3836">
              <w:rPr>
                <w:rFonts w:eastAsiaTheme="minorEastAsia" w:cstheme="minorHAnsi"/>
                <w:lang w:eastAsia="en-GB"/>
              </w:rPr>
              <w:t>aligns and contributes to</w:t>
            </w:r>
            <w:r w:rsidR="00E07B65">
              <w:rPr>
                <w:rFonts w:eastAsiaTheme="minorEastAsia" w:cstheme="minorHAnsi"/>
                <w:lang w:eastAsia="en-GB"/>
              </w:rPr>
              <w:t xml:space="preserve"> </w:t>
            </w:r>
            <w:r w:rsidR="00D6731A">
              <w:rPr>
                <w:rFonts w:eastAsiaTheme="minorEastAsia" w:cstheme="minorHAnsi"/>
                <w:lang w:eastAsia="en-GB"/>
              </w:rPr>
              <w:t xml:space="preserve">strengthening implementation of </w:t>
            </w:r>
            <w:r w:rsidR="00E07B65">
              <w:rPr>
                <w:rFonts w:eastAsiaTheme="minorEastAsia" w:cstheme="minorHAnsi"/>
                <w:lang w:eastAsia="en-GB"/>
              </w:rPr>
              <w:t>Myanmar</w:t>
            </w:r>
            <w:r w:rsidR="00DA3836">
              <w:rPr>
                <w:rFonts w:eastAsiaTheme="minorEastAsia" w:cstheme="minorHAnsi"/>
                <w:lang w:eastAsia="en-GB"/>
              </w:rPr>
              <w:t xml:space="preserve"> National Health Plan as follows:</w:t>
            </w:r>
          </w:p>
          <w:tbl>
            <w:tblPr>
              <w:tblStyle w:val="TableGrid"/>
              <w:tblW w:w="5000" w:type="pct"/>
              <w:tblLayout w:type="fixed"/>
              <w:tblLook w:val="04A0" w:firstRow="1" w:lastRow="0" w:firstColumn="1" w:lastColumn="0" w:noHBand="0" w:noVBand="1"/>
            </w:tblPr>
            <w:tblGrid>
              <w:gridCol w:w="3319"/>
              <w:gridCol w:w="6715"/>
            </w:tblGrid>
            <w:tr w:rsidR="00DA3836" w:rsidRPr="00B71059" w14:paraId="20A407C8" w14:textId="77777777" w:rsidTr="007C14B0">
              <w:trPr>
                <w:tblHeader/>
              </w:trPr>
              <w:tc>
                <w:tcPr>
                  <w:tcW w:w="1654" w:type="pct"/>
                </w:tcPr>
                <w:p w14:paraId="619A06B0" w14:textId="77777777" w:rsidR="00DA3836" w:rsidRPr="00407E68" w:rsidRDefault="00DA3836" w:rsidP="00DA3836">
                  <w:pPr>
                    <w:rPr>
                      <w:rFonts w:eastAsiaTheme="minorEastAsia" w:cstheme="minorBidi"/>
                      <w:b/>
                      <w:bCs/>
                    </w:rPr>
                  </w:pPr>
                  <w:r w:rsidRPr="00407E68">
                    <w:rPr>
                      <w:rFonts w:eastAsiaTheme="minorEastAsia" w:cstheme="minorBidi"/>
                      <w:b/>
                      <w:bCs/>
                    </w:rPr>
                    <w:t>NHP Outcomes</w:t>
                  </w:r>
                </w:p>
              </w:tc>
              <w:tc>
                <w:tcPr>
                  <w:tcW w:w="3346" w:type="pct"/>
                </w:tcPr>
                <w:p w14:paraId="6CFF7E7A" w14:textId="77777777" w:rsidR="00DA3836" w:rsidRPr="00407E68" w:rsidRDefault="00DA3836" w:rsidP="00DA3836">
                  <w:pPr>
                    <w:rPr>
                      <w:rFonts w:eastAsiaTheme="minorEastAsia" w:cstheme="minorBidi"/>
                      <w:b/>
                      <w:bCs/>
                    </w:rPr>
                  </w:pPr>
                  <w:r w:rsidRPr="00407E68">
                    <w:rPr>
                      <w:rFonts w:eastAsiaTheme="minorEastAsia" w:cstheme="minorBidi"/>
                      <w:b/>
                      <w:bCs/>
                    </w:rPr>
                    <w:t>NHP Outputs</w:t>
                  </w:r>
                </w:p>
              </w:tc>
            </w:tr>
            <w:tr w:rsidR="007C14B0" w:rsidRPr="00B71059" w14:paraId="2A9E6BDC" w14:textId="77777777" w:rsidTr="007C14B0">
              <w:tc>
                <w:tcPr>
                  <w:tcW w:w="1654" w:type="pct"/>
                  <w:vMerge w:val="restart"/>
                </w:tcPr>
                <w:p w14:paraId="4FCB4811" w14:textId="77777777" w:rsidR="007C14B0" w:rsidRPr="00B71059" w:rsidRDefault="007C14B0" w:rsidP="00DA3836">
                  <w:pPr>
                    <w:pStyle w:val="ListParagraph"/>
                    <w:numPr>
                      <w:ilvl w:val="0"/>
                      <w:numId w:val="11"/>
                    </w:numPr>
                    <w:spacing w:before="0" w:after="0"/>
                    <w:jc w:val="left"/>
                    <w:rPr>
                      <w:rFonts w:eastAsiaTheme="minorEastAsia" w:cstheme="minorBidi"/>
                    </w:rPr>
                  </w:pPr>
                  <w:r w:rsidRPr="00B71059">
                    <w:rPr>
                      <w:rFonts w:eastAsiaTheme="minorEastAsia" w:cstheme="minorBidi"/>
                    </w:rPr>
                    <w:t>Increased accountability and responsiveness</w:t>
                  </w:r>
                </w:p>
              </w:tc>
              <w:tc>
                <w:tcPr>
                  <w:tcW w:w="3346" w:type="pct"/>
                </w:tcPr>
                <w:p w14:paraId="449887CC" w14:textId="77777777" w:rsidR="007C14B0" w:rsidRPr="00B71059" w:rsidRDefault="007C14B0" w:rsidP="00DA3836">
                  <w:pPr>
                    <w:rPr>
                      <w:rFonts w:eastAsiaTheme="minorEastAsia" w:cstheme="minorBidi"/>
                    </w:rPr>
                  </w:pPr>
                  <w:r w:rsidRPr="00B71059">
                    <w:rPr>
                      <w:rFonts w:eastAsiaTheme="minorEastAsia" w:cstheme="minorBidi"/>
                    </w:rPr>
                    <w:t>Adequate HR in health facilities, with right skills</w:t>
                  </w:r>
                </w:p>
              </w:tc>
            </w:tr>
            <w:tr w:rsidR="007C14B0" w:rsidRPr="00B71059" w14:paraId="7E5E0855" w14:textId="77777777" w:rsidTr="007C14B0">
              <w:trPr>
                <w:trHeight w:val="332"/>
              </w:trPr>
              <w:tc>
                <w:tcPr>
                  <w:tcW w:w="1654" w:type="pct"/>
                  <w:vMerge/>
                </w:tcPr>
                <w:p w14:paraId="1A9CAD18" w14:textId="77777777" w:rsidR="007C14B0" w:rsidRPr="00B71059" w:rsidRDefault="007C14B0" w:rsidP="00DA3836">
                  <w:pPr>
                    <w:rPr>
                      <w:rFonts w:cstheme="minorHAnsi"/>
                    </w:rPr>
                  </w:pPr>
                </w:p>
              </w:tc>
              <w:tc>
                <w:tcPr>
                  <w:tcW w:w="3346" w:type="pct"/>
                </w:tcPr>
                <w:p w14:paraId="07A920DA" w14:textId="77777777" w:rsidR="007C14B0" w:rsidRPr="00B71059" w:rsidRDefault="007C14B0" w:rsidP="00DA3836">
                  <w:pPr>
                    <w:rPr>
                      <w:rFonts w:eastAsiaTheme="minorEastAsia" w:cstheme="minorBidi"/>
                    </w:rPr>
                  </w:pPr>
                  <w:r w:rsidRPr="00B71059">
                    <w:rPr>
                      <w:rFonts w:eastAsiaTheme="minorEastAsia" w:cstheme="minorBidi"/>
                    </w:rPr>
                    <w:t>Adequate infrastructure and equipment</w:t>
                  </w:r>
                </w:p>
              </w:tc>
            </w:tr>
            <w:tr w:rsidR="007C14B0" w:rsidRPr="00B71059" w14:paraId="5E34DF0F" w14:textId="77777777" w:rsidTr="007C14B0">
              <w:trPr>
                <w:trHeight w:val="413"/>
              </w:trPr>
              <w:tc>
                <w:tcPr>
                  <w:tcW w:w="1654" w:type="pct"/>
                  <w:vMerge/>
                </w:tcPr>
                <w:p w14:paraId="7872AD78" w14:textId="77777777" w:rsidR="007C14B0" w:rsidRPr="00B71059" w:rsidRDefault="007C14B0" w:rsidP="00DA3836">
                  <w:pPr>
                    <w:rPr>
                      <w:rFonts w:cstheme="minorHAnsi"/>
                    </w:rPr>
                  </w:pPr>
                </w:p>
              </w:tc>
              <w:tc>
                <w:tcPr>
                  <w:tcW w:w="3346" w:type="pct"/>
                </w:tcPr>
                <w:p w14:paraId="6275D9E4" w14:textId="77777777" w:rsidR="007C14B0" w:rsidRPr="00B71059" w:rsidRDefault="007C14B0" w:rsidP="00DA3836">
                  <w:pPr>
                    <w:rPr>
                      <w:rFonts w:eastAsiaTheme="minorEastAsia" w:cstheme="minorBidi"/>
                    </w:rPr>
                  </w:pPr>
                  <w:r w:rsidRPr="00B71059">
                    <w:rPr>
                      <w:rFonts w:eastAsiaTheme="minorEastAsia" w:cstheme="minorBidi"/>
                    </w:rPr>
                    <w:t>Availability of essential drugs and supplies</w:t>
                  </w:r>
                </w:p>
              </w:tc>
            </w:tr>
            <w:tr w:rsidR="007C14B0" w:rsidRPr="00B71059" w14:paraId="76F610E8" w14:textId="77777777" w:rsidTr="007C14B0">
              <w:trPr>
                <w:trHeight w:val="413"/>
              </w:trPr>
              <w:tc>
                <w:tcPr>
                  <w:tcW w:w="1654" w:type="pct"/>
                  <w:vMerge/>
                </w:tcPr>
                <w:p w14:paraId="1ACF2066" w14:textId="77777777" w:rsidR="007C14B0" w:rsidRPr="00B71059" w:rsidRDefault="007C14B0" w:rsidP="007C14B0">
                  <w:pPr>
                    <w:rPr>
                      <w:rFonts w:cstheme="minorHAnsi"/>
                    </w:rPr>
                  </w:pPr>
                </w:p>
              </w:tc>
              <w:tc>
                <w:tcPr>
                  <w:tcW w:w="3346" w:type="pct"/>
                </w:tcPr>
                <w:p w14:paraId="171AB748" w14:textId="69CB6912" w:rsidR="007C14B0" w:rsidRPr="00B71059" w:rsidRDefault="007C14B0" w:rsidP="007C14B0">
                  <w:pPr>
                    <w:rPr>
                      <w:rFonts w:eastAsiaTheme="minorEastAsia" w:cstheme="minorBidi"/>
                    </w:rPr>
                  </w:pPr>
                  <w:r w:rsidRPr="00B71059">
                    <w:rPr>
                      <w:rFonts w:eastAsiaTheme="minorEastAsia" w:cstheme="minorBidi"/>
                    </w:rPr>
                    <w:t>Minimum standards of care met by all providers</w:t>
                  </w:r>
                </w:p>
              </w:tc>
            </w:tr>
          </w:tbl>
          <w:p w14:paraId="420C0148" w14:textId="3D34865B" w:rsidR="00DA3836" w:rsidRDefault="00DA3836" w:rsidP="00CA5D2B">
            <w:pPr>
              <w:rPr>
                <w:rFonts w:eastAsiaTheme="minorEastAsia" w:cstheme="minorHAnsi"/>
                <w:lang w:eastAsia="en-GB"/>
              </w:rPr>
            </w:pPr>
          </w:p>
          <w:p w14:paraId="231330D2" w14:textId="58892059" w:rsidR="00AC2EB6" w:rsidRDefault="008663C4" w:rsidP="0013501A">
            <w:pPr>
              <w:rPr>
                <w:rFonts w:eastAsiaTheme="minorEastAsia" w:cstheme="minorHAnsi"/>
                <w:lang w:eastAsia="en-GB"/>
              </w:rPr>
            </w:pPr>
            <w:r>
              <w:rPr>
                <w:rFonts w:eastAsiaTheme="minorEastAsia" w:cstheme="minorHAnsi"/>
                <w:lang w:eastAsia="en-GB"/>
              </w:rPr>
              <w:t>The reference methodology will be using</w:t>
            </w:r>
            <w:r w:rsidR="001D0F9C">
              <w:rPr>
                <w:rFonts w:eastAsiaTheme="minorEastAsia" w:cstheme="minorHAnsi"/>
                <w:lang w:eastAsia="en-GB"/>
              </w:rPr>
              <w:t xml:space="preserve"> </w:t>
            </w:r>
            <w:r w:rsidR="0013501A" w:rsidRPr="0013501A">
              <w:rPr>
                <w:rFonts w:eastAsiaTheme="minorEastAsia" w:cstheme="minorHAnsi"/>
                <w:lang w:eastAsia="en-GB"/>
              </w:rPr>
              <w:t>Service Availability and Readiness</w:t>
            </w:r>
            <w:r w:rsidR="0013501A">
              <w:rPr>
                <w:rFonts w:eastAsiaTheme="minorEastAsia" w:cstheme="minorHAnsi"/>
                <w:lang w:eastAsia="en-GB"/>
              </w:rPr>
              <w:t xml:space="preserve"> </w:t>
            </w:r>
            <w:r w:rsidR="0013501A" w:rsidRPr="0013501A">
              <w:rPr>
                <w:rFonts w:eastAsiaTheme="minorEastAsia" w:cstheme="minorHAnsi"/>
                <w:lang w:eastAsia="en-GB"/>
              </w:rPr>
              <w:t>Assessment (SARA)</w:t>
            </w:r>
            <w:r w:rsidR="0013501A">
              <w:rPr>
                <w:rFonts w:eastAsiaTheme="minorEastAsia" w:cstheme="minorHAnsi"/>
                <w:lang w:eastAsia="en-GB"/>
              </w:rPr>
              <w:t xml:space="preserve">: </w:t>
            </w:r>
            <w:r w:rsidR="0013501A" w:rsidRPr="0013501A">
              <w:rPr>
                <w:rFonts w:eastAsiaTheme="minorEastAsia" w:cstheme="minorHAnsi"/>
                <w:lang w:eastAsia="en-GB"/>
              </w:rPr>
              <w:t>An annual monitoring</w:t>
            </w:r>
            <w:r w:rsidR="0013501A">
              <w:rPr>
                <w:rFonts w:eastAsiaTheme="minorEastAsia" w:cstheme="minorHAnsi"/>
                <w:lang w:eastAsia="en-GB"/>
              </w:rPr>
              <w:t xml:space="preserve"> </w:t>
            </w:r>
            <w:r w:rsidR="0013501A" w:rsidRPr="0013501A">
              <w:rPr>
                <w:rFonts w:eastAsiaTheme="minorEastAsia" w:cstheme="minorHAnsi"/>
                <w:lang w:eastAsia="en-GB"/>
              </w:rPr>
              <w:t>system for service delivery</w:t>
            </w:r>
            <w:r w:rsidR="0013501A">
              <w:rPr>
                <w:rFonts w:eastAsiaTheme="minorEastAsia" w:cstheme="minorHAnsi"/>
                <w:lang w:eastAsia="en-GB"/>
              </w:rPr>
              <w:t xml:space="preserve">. </w:t>
            </w:r>
            <w:r w:rsidR="0013501A" w:rsidRPr="0013501A">
              <w:rPr>
                <w:rFonts w:eastAsiaTheme="minorEastAsia" w:cstheme="minorHAnsi"/>
                <w:lang w:eastAsia="en-GB"/>
              </w:rPr>
              <w:t>Reference Manual</w:t>
            </w:r>
            <w:r w:rsidR="0013501A">
              <w:rPr>
                <w:rFonts w:eastAsiaTheme="minorEastAsia" w:cstheme="minorHAnsi"/>
                <w:lang w:eastAsia="en-GB"/>
              </w:rPr>
              <w:t xml:space="preserve"> (WHO, 2015) </w:t>
            </w:r>
            <w:hyperlink r:id="rId16" w:history="1">
              <w:r w:rsidR="00A07FC2" w:rsidRPr="00A240BD">
                <w:rPr>
                  <w:rStyle w:val="Hyperlink"/>
                  <w:rFonts w:eastAsiaTheme="minorEastAsia" w:cstheme="minorHAnsi"/>
                  <w:lang w:eastAsia="en-GB"/>
                </w:rPr>
                <w:t>https://www.who.int/healthinfo/systems/sara_reference_manual/en/</w:t>
              </w:r>
            </w:hyperlink>
            <w:r w:rsidR="00A07FC2">
              <w:rPr>
                <w:rFonts w:eastAsiaTheme="minorEastAsia" w:cstheme="minorHAnsi"/>
                <w:lang w:eastAsia="en-GB"/>
              </w:rPr>
              <w:t xml:space="preserve"> </w:t>
            </w:r>
          </w:p>
          <w:p w14:paraId="54F00926" w14:textId="383702FA" w:rsidR="00F970B5" w:rsidRDefault="00F970B5" w:rsidP="00CA5D2B">
            <w:pPr>
              <w:rPr>
                <w:rFonts w:cs="Tahoma"/>
                <w:b/>
                <w:bCs/>
                <w:color w:val="4F81BD"/>
                <w:szCs w:val="22"/>
              </w:rPr>
            </w:pPr>
          </w:p>
          <w:p w14:paraId="2342AAB8" w14:textId="2C4346F1" w:rsidR="00645DAB" w:rsidRPr="006E7AE5" w:rsidRDefault="00645DAB" w:rsidP="00CA5D2B">
            <w:pPr>
              <w:rPr>
                <w:rFonts w:cs="Tahoma"/>
                <w:b/>
                <w:bCs/>
                <w:color w:val="4F81BD"/>
                <w:szCs w:val="22"/>
              </w:rPr>
            </w:pPr>
          </w:p>
        </w:tc>
      </w:tr>
      <w:tr w:rsidR="005077B5" w:rsidRPr="006E7AE5" w14:paraId="34C9E782" w14:textId="77777777" w:rsidTr="76D75A83">
        <w:tc>
          <w:tcPr>
            <w:tcW w:w="10260" w:type="dxa"/>
            <w:gridSpan w:val="3"/>
          </w:tcPr>
          <w:p w14:paraId="33A3F92C" w14:textId="67BF6C86" w:rsidR="006F5C7E" w:rsidRDefault="001208FA" w:rsidP="002B0969">
            <w:pPr>
              <w:pStyle w:val="ListParagraph"/>
              <w:numPr>
                <w:ilvl w:val="0"/>
                <w:numId w:val="7"/>
              </w:numPr>
              <w:ind w:left="342" w:hanging="342"/>
            </w:pPr>
            <w:r w:rsidRPr="002B0969">
              <w:lastRenderedPageBreak/>
              <w:t xml:space="preserve">Objectives of the </w:t>
            </w:r>
            <w:r w:rsidR="00113CAB" w:rsidRPr="002B0969">
              <w:t>consultancy</w:t>
            </w:r>
            <w:r w:rsidR="005E373C" w:rsidRPr="002B0969">
              <w:t>:</w:t>
            </w:r>
          </w:p>
          <w:p w14:paraId="35B3371C" w14:textId="1E1F95A6" w:rsidR="007324DE" w:rsidRPr="007324DE" w:rsidRDefault="00ED2C5A" w:rsidP="00FB1275">
            <w:r>
              <w:t>National consultant</w:t>
            </w:r>
            <w:r w:rsidR="00A614F6">
              <w:t xml:space="preserve"> </w:t>
            </w:r>
            <w:r w:rsidR="00E52AB1">
              <w:t xml:space="preserve">for SARA </w:t>
            </w:r>
            <w:r w:rsidR="00A614F6">
              <w:t xml:space="preserve">will facilitate and </w:t>
            </w:r>
            <w:r w:rsidR="007324DE">
              <w:t xml:space="preserve">provide technical and managerial support including organisation of sessions, facilitation and reporting </w:t>
            </w:r>
            <w:r w:rsidR="0000592D">
              <w:t xml:space="preserve">of Service Availability and Readiness Assessment </w:t>
            </w:r>
            <w:r w:rsidR="00FC704B">
              <w:t xml:space="preserve">(SARA) including its rapid data collection and analysis in </w:t>
            </w:r>
            <w:r w:rsidR="00450C6E">
              <w:t xml:space="preserve">ethnic health organizations’ facilities </w:t>
            </w:r>
            <w:r w:rsidR="00FC704B">
              <w:t>Kachin</w:t>
            </w:r>
            <w:r w:rsidR="00450C6E">
              <w:t xml:space="preserve">, Shan North and </w:t>
            </w:r>
            <w:r w:rsidR="00FC704B">
              <w:t>Shan</w:t>
            </w:r>
            <w:r w:rsidR="00450C6E">
              <w:t xml:space="preserve"> East. The work should be coordinated with UNICEF, Health Poverty Action and REACH consortium </w:t>
            </w:r>
            <w:r w:rsidR="00D56641">
              <w:t>partner EHOs and CSO:</w:t>
            </w:r>
            <w:r w:rsidR="00FB1275">
              <w:t xml:space="preserve"> </w:t>
            </w:r>
            <w:proofErr w:type="spellStart"/>
            <w:r w:rsidR="00FB1275">
              <w:t>Wa</w:t>
            </w:r>
            <w:proofErr w:type="spellEnd"/>
            <w:r w:rsidR="00FB1275">
              <w:t xml:space="preserve"> Health Department (EHO), Shan Special Region 4</w:t>
            </w:r>
            <w:r w:rsidR="00814890">
              <w:t xml:space="preserve"> (SR4)</w:t>
            </w:r>
            <w:r w:rsidR="00FB1275">
              <w:t xml:space="preserve"> Health Department (EHO), Kachin Special Region 2</w:t>
            </w:r>
            <w:r w:rsidR="00814890">
              <w:t xml:space="preserve"> (KSR2)</w:t>
            </w:r>
            <w:r w:rsidR="00FB1275">
              <w:t xml:space="preserve"> Health Department (EHO)</w:t>
            </w:r>
            <w:r w:rsidR="000A06D8">
              <w:t xml:space="preserve"> and </w:t>
            </w:r>
            <w:proofErr w:type="spellStart"/>
            <w:r w:rsidR="00FB1275">
              <w:t>Kokang</w:t>
            </w:r>
            <w:proofErr w:type="spellEnd"/>
            <w:r w:rsidR="00FB1275">
              <w:t xml:space="preserve"> Charity Alliance (CSO)</w:t>
            </w:r>
            <w:r w:rsidR="000A06D8">
              <w:t>,</w:t>
            </w:r>
            <w:r w:rsidR="00D56641">
              <w:t xml:space="preserve"> </w:t>
            </w:r>
            <w:r w:rsidR="00450C6E">
              <w:t xml:space="preserve"> </w:t>
            </w:r>
            <w:r w:rsidR="000A06D8">
              <w:t>and relevant Township Health Department</w:t>
            </w:r>
            <w:r w:rsidR="068AAEDD">
              <w:t>s</w:t>
            </w:r>
            <w:r w:rsidR="000A06D8">
              <w:t xml:space="preserve"> of Ministry of Health and Sports.</w:t>
            </w:r>
          </w:p>
          <w:p w14:paraId="349AE181" w14:textId="77777777" w:rsidR="00FD5068" w:rsidRPr="009C589D" w:rsidRDefault="00FD5068" w:rsidP="009C589D">
            <w:pPr>
              <w:rPr>
                <w:rFonts w:cs="Tahoma"/>
                <w:szCs w:val="22"/>
              </w:rPr>
            </w:pPr>
          </w:p>
        </w:tc>
      </w:tr>
      <w:tr w:rsidR="005077B5" w:rsidRPr="006E7AE5" w14:paraId="1AEDEAC3" w14:textId="77777777" w:rsidTr="76D75A83">
        <w:tc>
          <w:tcPr>
            <w:tcW w:w="10260" w:type="dxa"/>
            <w:gridSpan w:val="3"/>
          </w:tcPr>
          <w:p w14:paraId="489ED113" w14:textId="0A3AE23E" w:rsidR="00066024" w:rsidRPr="00F65399" w:rsidRDefault="00FE6FEA" w:rsidP="36617519">
            <w:pPr>
              <w:pStyle w:val="ListParagraph"/>
              <w:numPr>
                <w:ilvl w:val="0"/>
                <w:numId w:val="7"/>
              </w:numPr>
              <w:ind w:left="342" w:hanging="342"/>
              <w:rPr>
                <w:rFonts w:eastAsiaTheme="minorEastAsia" w:cstheme="minorBidi"/>
                <w:b w:val="0"/>
                <w:szCs w:val="22"/>
              </w:rPr>
            </w:pPr>
            <w:r w:rsidRPr="36617519">
              <w:rPr>
                <w:rFonts w:cs="Tahoma"/>
              </w:rPr>
              <w:t>Geographic Area:</w:t>
            </w:r>
            <w:r w:rsidR="00016468" w:rsidRPr="36617519">
              <w:rPr>
                <w:rFonts w:cs="Tahoma"/>
              </w:rPr>
              <w:t xml:space="preserve"> </w:t>
            </w:r>
            <w:r w:rsidR="007E0729" w:rsidRPr="36617519">
              <w:rPr>
                <w:rFonts w:cs="Tahoma"/>
                <w:bCs/>
              </w:rPr>
              <w:t>Kachin State</w:t>
            </w:r>
            <w:r w:rsidR="007E0729" w:rsidRPr="36617519">
              <w:rPr>
                <w:rFonts w:cs="Tahoma"/>
                <w:b w:val="0"/>
              </w:rPr>
              <w:t xml:space="preserve"> </w:t>
            </w:r>
            <w:r w:rsidR="00FB18A2">
              <w:rPr>
                <w:rFonts w:cs="Tahoma"/>
                <w:b w:val="0"/>
              </w:rPr>
              <w:t>[</w:t>
            </w:r>
            <w:r w:rsidR="007E0729" w:rsidRPr="36617519">
              <w:rPr>
                <w:rFonts w:cs="Tahoma"/>
                <w:b w:val="0"/>
              </w:rPr>
              <w:t xml:space="preserve">Myitkyina and </w:t>
            </w:r>
            <w:r w:rsidR="00FB18A2">
              <w:rPr>
                <w:rFonts w:cs="Tahoma"/>
                <w:b w:val="0"/>
              </w:rPr>
              <w:t>Kachin Special Region 2 (</w:t>
            </w:r>
            <w:r w:rsidR="007E0729" w:rsidRPr="36617519">
              <w:rPr>
                <w:rFonts w:cs="Tahoma"/>
                <w:b w:val="0"/>
              </w:rPr>
              <w:t>KSR2</w:t>
            </w:r>
            <w:r w:rsidR="00FB18A2">
              <w:rPr>
                <w:rFonts w:cs="Tahoma"/>
                <w:b w:val="0"/>
              </w:rPr>
              <w:t>)</w:t>
            </w:r>
            <w:r w:rsidR="007E0729" w:rsidRPr="36617519">
              <w:rPr>
                <w:rFonts w:cs="Tahoma"/>
                <w:b w:val="0"/>
              </w:rPr>
              <w:t xml:space="preserve"> areas</w:t>
            </w:r>
            <w:r w:rsidR="00FB18A2">
              <w:rPr>
                <w:rFonts w:cs="Tahoma"/>
                <w:b w:val="0"/>
              </w:rPr>
              <w:t>]</w:t>
            </w:r>
            <w:r w:rsidR="254A0632" w:rsidRPr="36617519">
              <w:rPr>
                <w:rFonts w:cs="Tahoma"/>
                <w:b w:val="0"/>
              </w:rPr>
              <w:t>,</w:t>
            </w:r>
            <w:r w:rsidR="00AF24F2" w:rsidRPr="36617519">
              <w:rPr>
                <w:rFonts w:cs="Tahoma"/>
                <w:b w:val="0"/>
              </w:rPr>
              <w:t xml:space="preserve"> </w:t>
            </w:r>
            <w:r w:rsidR="00AF24F2" w:rsidRPr="36617519">
              <w:rPr>
                <w:rFonts w:cs="Tahoma"/>
                <w:bCs/>
              </w:rPr>
              <w:t>Shan</w:t>
            </w:r>
            <w:r w:rsidR="0084337F" w:rsidRPr="36617519">
              <w:rPr>
                <w:rFonts w:cs="Tahoma"/>
                <w:bCs/>
              </w:rPr>
              <w:t xml:space="preserve"> North</w:t>
            </w:r>
            <w:r w:rsidR="0F1389F2" w:rsidRPr="36617519">
              <w:rPr>
                <w:rFonts w:cs="Tahoma"/>
                <w:bCs/>
              </w:rPr>
              <w:t xml:space="preserve"> </w:t>
            </w:r>
            <w:r w:rsidR="0F1389F2" w:rsidRPr="36617519">
              <w:rPr>
                <w:rFonts w:cs="Tahoma"/>
                <w:b w:val="0"/>
              </w:rPr>
              <w:t>(</w:t>
            </w:r>
            <w:r w:rsidR="00AF24F2" w:rsidRPr="36617519">
              <w:rPr>
                <w:rFonts w:cs="Tahoma"/>
                <w:b w:val="0"/>
              </w:rPr>
              <w:t xml:space="preserve">Lashio and </w:t>
            </w:r>
            <w:proofErr w:type="spellStart"/>
            <w:r w:rsidR="00AF24F2" w:rsidRPr="36617519">
              <w:rPr>
                <w:rFonts w:cs="Tahoma"/>
                <w:b w:val="0"/>
              </w:rPr>
              <w:t>W</w:t>
            </w:r>
            <w:r w:rsidR="009760AA">
              <w:rPr>
                <w:rFonts w:cs="Tahoma"/>
                <w:b w:val="0"/>
              </w:rPr>
              <w:t>a</w:t>
            </w:r>
            <w:proofErr w:type="spellEnd"/>
            <w:r w:rsidR="00AF24F2" w:rsidRPr="36617519">
              <w:rPr>
                <w:rFonts w:cs="Tahoma"/>
                <w:b w:val="0"/>
              </w:rPr>
              <w:t xml:space="preserve"> </w:t>
            </w:r>
            <w:r w:rsidR="008F07B0">
              <w:rPr>
                <w:rFonts w:cs="Tahoma"/>
                <w:b w:val="0"/>
              </w:rPr>
              <w:t>Special Region 2 (</w:t>
            </w:r>
            <w:r w:rsidR="00AF24F2" w:rsidRPr="36617519">
              <w:rPr>
                <w:rFonts w:cs="Tahoma"/>
                <w:b w:val="0"/>
              </w:rPr>
              <w:t>SR2</w:t>
            </w:r>
            <w:r w:rsidR="008F07B0">
              <w:rPr>
                <w:rFonts w:cs="Tahoma"/>
                <w:b w:val="0"/>
              </w:rPr>
              <w:t>)</w:t>
            </w:r>
            <w:r w:rsidR="26ABCC25" w:rsidRPr="36617519">
              <w:rPr>
                <w:rFonts w:cs="Tahoma"/>
                <w:b w:val="0"/>
              </w:rPr>
              <w:t xml:space="preserve"> including </w:t>
            </w:r>
            <w:r w:rsidR="006E3B98" w:rsidRPr="006E3B98">
              <w:rPr>
                <w:rFonts w:cs="Tahoma"/>
                <w:b w:val="0"/>
              </w:rPr>
              <w:t xml:space="preserve">Southern </w:t>
            </w:r>
            <w:proofErr w:type="spellStart"/>
            <w:r w:rsidR="006E3B98" w:rsidRPr="006E3B98">
              <w:rPr>
                <w:rFonts w:cs="Tahoma"/>
                <w:b w:val="0"/>
              </w:rPr>
              <w:t>Wa</w:t>
            </w:r>
            <w:proofErr w:type="spellEnd"/>
            <w:r w:rsidR="006E3B98" w:rsidRPr="006E3B98">
              <w:rPr>
                <w:rFonts w:cs="Tahoma"/>
                <w:b w:val="0"/>
              </w:rPr>
              <w:t xml:space="preserve"> areas (part of SR2)</w:t>
            </w:r>
            <w:r w:rsidR="26ABCC25" w:rsidRPr="36617519">
              <w:rPr>
                <w:rFonts w:cs="Tahoma"/>
                <w:b w:val="0"/>
              </w:rPr>
              <w:t xml:space="preserve">, </w:t>
            </w:r>
            <w:r w:rsidR="1DCF9B07" w:rsidRPr="36617519">
              <w:rPr>
                <w:rFonts w:cs="Tahoma"/>
                <w:b w:val="0"/>
              </w:rPr>
              <w:t xml:space="preserve">and </w:t>
            </w:r>
            <w:r w:rsidR="0084337F" w:rsidRPr="36617519">
              <w:rPr>
                <w:rFonts w:cs="Tahoma"/>
                <w:bCs/>
              </w:rPr>
              <w:t>Shan East</w:t>
            </w:r>
            <w:r w:rsidR="54364BDE" w:rsidRPr="36617519">
              <w:rPr>
                <w:rFonts w:cs="Tahoma"/>
                <w:b w:val="0"/>
              </w:rPr>
              <w:t xml:space="preserve"> (</w:t>
            </w:r>
            <w:r w:rsidR="0084337F" w:rsidRPr="36617519">
              <w:rPr>
                <w:rFonts w:cs="Tahoma"/>
                <w:b w:val="0"/>
              </w:rPr>
              <w:t>Kengtung and SR4</w:t>
            </w:r>
            <w:r w:rsidR="00C42C00" w:rsidRPr="36617519">
              <w:rPr>
                <w:rFonts w:cs="Tahoma"/>
                <w:b w:val="0"/>
              </w:rPr>
              <w:t xml:space="preserve"> areas</w:t>
            </w:r>
            <w:r w:rsidR="00F317E5">
              <w:rPr>
                <w:rFonts w:cs="Tahoma"/>
                <w:b w:val="0"/>
              </w:rPr>
              <w:t>).</w:t>
            </w:r>
            <w:r w:rsidR="00FB0834">
              <w:rPr>
                <w:rFonts w:cs="Tahoma"/>
                <w:b w:val="0"/>
              </w:rPr>
              <w:t xml:space="preserve"> Duty station will be Yangon.</w:t>
            </w:r>
            <w:r w:rsidR="00066024">
              <w:rPr>
                <w:rFonts w:cs="Tahoma"/>
                <w:b w:val="0"/>
              </w:rPr>
              <w:t xml:space="preserve"> </w:t>
            </w:r>
            <w:r w:rsidR="00FB0834">
              <w:rPr>
                <w:rFonts w:cs="Tahoma"/>
                <w:b w:val="0"/>
              </w:rPr>
              <w:t xml:space="preserve"> </w:t>
            </w:r>
          </w:p>
          <w:p w14:paraId="3F5B8BD8" w14:textId="77777777" w:rsidR="00066024" w:rsidRPr="007324DE" w:rsidRDefault="00066024" w:rsidP="00066024">
            <w:r>
              <w:t xml:space="preserve">Consultancy tasks will be approximately allocated as </w:t>
            </w:r>
            <w:r w:rsidRPr="00FB18A2">
              <w:t>12 days field assessment, 10 days adapting the data collection tools and 8 days for trainings (2 trainings, 1 for Kachin, 1 for Shan) and 10 days for data analysis and reporting, 40 days total field work max</w:t>
            </w:r>
            <w:r>
              <w:t>imum. Besides, d</w:t>
            </w:r>
            <w:r w:rsidRPr="00FB18A2">
              <w:t xml:space="preserve">issemination Workshop on SARA and HRH results in EHO areas with </w:t>
            </w:r>
            <w:proofErr w:type="spellStart"/>
            <w:r w:rsidRPr="00FB18A2">
              <w:t>MoHS</w:t>
            </w:r>
            <w:proofErr w:type="spellEnd"/>
            <w:r w:rsidRPr="00FB18A2">
              <w:t xml:space="preserve"> and EHOs, 2 days </w:t>
            </w:r>
            <w:r>
              <w:t xml:space="preserve">each </w:t>
            </w:r>
            <w:r w:rsidRPr="00FB18A2">
              <w:t>for W</w:t>
            </w:r>
            <w:r>
              <w:t>A in Shan North, SR4 in Shan East and KSR2 in Kachin.</w:t>
            </w:r>
          </w:p>
          <w:p w14:paraId="6FF0EE12" w14:textId="77777777" w:rsidR="00066024" w:rsidRPr="009760AA" w:rsidRDefault="00066024" w:rsidP="009760AA">
            <w:pPr>
              <w:pStyle w:val="ListParagraph"/>
              <w:ind w:left="342"/>
              <w:rPr>
                <w:rFonts w:eastAsiaTheme="minorEastAsia" w:cstheme="minorBidi"/>
                <w:b w:val="0"/>
                <w:szCs w:val="22"/>
              </w:rPr>
            </w:pPr>
          </w:p>
          <w:p w14:paraId="40C3314E" w14:textId="301AC5A0" w:rsidR="002B0969" w:rsidRPr="00F65399" w:rsidRDefault="00FB0834" w:rsidP="004D7478">
            <w:pPr>
              <w:rPr>
                <w:rFonts w:eastAsiaTheme="minorEastAsia" w:cstheme="minorBidi"/>
                <w:szCs w:val="22"/>
              </w:rPr>
            </w:pPr>
            <w:r w:rsidRPr="004D7478">
              <w:rPr>
                <w:rFonts w:cs="Tahoma"/>
              </w:rPr>
              <w:lastRenderedPageBreak/>
              <w:t>Expense of travel and DSA to the fields will be based on actual cost of travel</w:t>
            </w:r>
            <w:r w:rsidR="006E3B98" w:rsidRPr="004D7478">
              <w:rPr>
                <w:rFonts w:cs="Tahoma"/>
              </w:rPr>
              <w:t>,</w:t>
            </w:r>
            <w:r w:rsidRPr="004D7478">
              <w:rPr>
                <w:rFonts w:cs="Tahoma"/>
              </w:rPr>
              <w:t xml:space="preserve"> which will be </w:t>
            </w:r>
            <w:r w:rsidR="00066024" w:rsidRPr="004D7478">
              <w:rPr>
                <w:rFonts w:cs="Tahoma"/>
              </w:rPr>
              <w:t xml:space="preserve">reserved by UNICEF in </w:t>
            </w:r>
            <w:r w:rsidR="006E3B98" w:rsidRPr="004D7478">
              <w:rPr>
                <w:rFonts w:cs="Tahoma"/>
              </w:rPr>
              <w:t>addition to the</w:t>
            </w:r>
            <w:r w:rsidRPr="004D7478">
              <w:rPr>
                <w:rFonts w:cs="Tahoma"/>
              </w:rPr>
              <w:t xml:space="preserve"> consultant fee.</w:t>
            </w:r>
          </w:p>
          <w:p w14:paraId="1B475754" w14:textId="77777777" w:rsidR="005077B5" w:rsidRPr="002B0969" w:rsidRDefault="005077B5">
            <w:pPr>
              <w:rPr>
                <w:szCs w:val="22"/>
              </w:rPr>
            </w:pPr>
          </w:p>
        </w:tc>
      </w:tr>
      <w:tr w:rsidR="005077B5" w:rsidRPr="006E7AE5" w14:paraId="5B07442C" w14:textId="77777777" w:rsidTr="76D75A83">
        <w:tc>
          <w:tcPr>
            <w:tcW w:w="10260" w:type="dxa"/>
            <w:gridSpan w:val="3"/>
          </w:tcPr>
          <w:p w14:paraId="34540BFD" w14:textId="0B3EF223" w:rsidR="002B0969" w:rsidRDefault="005077B5" w:rsidP="36617519">
            <w:pPr>
              <w:pStyle w:val="ListParagraph"/>
              <w:numPr>
                <w:ilvl w:val="0"/>
                <w:numId w:val="7"/>
              </w:numPr>
              <w:ind w:left="342" w:hanging="342"/>
              <w:rPr>
                <w:rFonts w:cs="Tahoma"/>
              </w:rPr>
            </w:pPr>
            <w:r w:rsidRPr="36617519">
              <w:rPr>
                <w:rFonts w:cs="Tahoma"/>
              </w:rPr>
              <w:lastRenderedPageBreak/>
              <w:t>Duration</w:t>
            </w:r>
            <w:r w:rsidR="009C589D" w:rsidRPr="36617519">
              <w:rPr>
                <w:rFonts w:cs="Tahoma"/>
              </w:rPr>
              <w:t xml:space="preserve"> (including potential extension)</w:t>
            </w:r>
            <w:r w:rsidRPr="36617519">
              <w:rPr>
                <w:rFonts w:cs="Tahoma"/>
              </w:rPr>
              <w:t xml:space="preserve">: </w:t>
            </w:r>
          </w:p>
          <w:p w14:paraId="175CB7E3" w14:textId="3CB8AD2D" w:rsidR="008529F3" w:rsidRPr="009C589D" w:rsidRDefault="001223A8" w:rsidP="00066024">
            <w:pPr>
              <w:rPr>
                <w:i/>
              </w:rPr>
            </w:pPr>
            <w:r>
              <w:t>August – December 2020</w:t>
            </w:r>
            <w:r w:rsidR="00FB18A2">
              <w:t xml:space="preserve">. Assignment will be full time </w:t>
            </w:r>
            <w:r w:rsidR="009760AA">
              <w:t xml:space="preserve">with regular office hours assignment </w:t>
            </w:r>
            <w:r w:rsidR="00FB18A2">
              <w:t>bas</w:t>
            </w:r>
            <w:r w:rsidR="00066024">
              <w:t>ed in Yangon</w:t>
            </w:r>
            <w:r w:rsidR="00FB18A2">
              <w:t xml:space="preserve"> with frequent travels to fields such as Kachin, Shan North and Shan East States. </w:t>
            </w:r>
          </w:p>
        </w:tc>
      </w:tr>
      <w:tr w:rsidR="005077B5" w:rsidRPr="006E7AE5" w14:paraId="7C5090F1" w14:textId="77777777" w:rsidTr="76D75A83">
        <w:tc>
          <w:tcPr>
            <w:tcW w:w="10260" w:type="dxa"/>
            <w:gridSpan w:val="3"/>
          </w:tcPr>
          <w:p w14:paraId="6CE39541" w14:textId="1AE4ED87" w:rsidR="005077B5" w:rsidRPr="002B0969" w:rsidRDefault="005077B5" w:rsidP="36617519">
            <w:pPr>
              <w:pStyle w:val="ListParagraph"/>
              <w:numPr>
                <w:ilvl w:val="0"/>
                <w:numId w:val="7"/>
              </w:numPr>
              <w:ind w:left="342" w:hanging="342"/>
              <w:rPr>
                <w:rFonts w:cs="Tahoma"/>
              </w:rPr>
            </w:pPr>
            <w:r w:rsidRPr="36617519">
              <w:rPr>
                <w:rFonts w:cs="Tahoma"/>
              </w:rPr>
              <w:t>Supervisor</w:t>
            </w:r>
            <w:r w:rsidR="00E40E0D" w:rsidRPr="36617519">
              <w:rPr>
                <w:rFonts w:cs="Tahoma"/>
              </w:rPr>
              <w:t>:</w:t>
            </w:r>
            <w:r w:rsidR="00E5124D" w:rsidRPr="36617519">
              <w:rPr>
                <w:rFonts w:cs="Tahoma"/>
              </w:rPr>
              <w:t xml:space="preserve"> </w:t>
            </w:r>
            <w:r w:rsidR="001223A8" w:rsidRPr="36617519">
              <w:rPr>
                <w:rFonts w:cs="Tahoma"/>
                <w:b w:val="0"/>
              </w:rPr>
              <w:t>Health Specialist</w:t>
            </w:r>
            <w:r w:rsidR="00597AF7" w:rsidRPr="36617519">
              <w:rPr>
                <w:rFonts w:cs="Tahoma"/>
                <w:b w:val="0"/>
              </w:rPr>
              <w:t xml:space="preserve"> (Health in Emergency)</w:t>
            </w:r>
            <w:r w:rsidR="007324DE" w:rsidRPr="36617519">
              <w:rPr>
                <w:rFonts w:cs="Tahoma"/>
                <w:b w:val="0"/>
              </w:rPr>
              <w:t>, UNICEF Myanmar Country Office</w:t>
            </w:r>
          </w:p>
          <w:p w14:paraId="69299BF2" w14:textId="356D2F60" w:rsidR="005077B5" w:rsidRPr="002B0969" w:rsidRDefault="005077B5" w:rsidP="36617519"/>
        </w:tc>
      </w:tr>
      <w:tr w:rsidR="00E40E0D" w:rsidRPr="006E7AE5" w14:paraId="00C7552E" w14:textId="77777777" w:rsidTr="76D75A83">
        <w:tc>
          <w:tcPr>
            <w:tcW w:w="10260" w:type="dxa"/>
            <w:gridSpan w:val="3"/>
          </w:tcPr>
          <w:p w14:paraId="39D55B52" w14:textId="77777777" w:rsidR="002B0969" w:rsidRPr="002B0969" w:rsidRDefault="00E40E0D" w:rsidP="36617519">
            <w:pPr>
              <w:pStyle w:val="ListParagraph"/>
              <w:numPr>
                <w:ilvl w:val="0"/>
                <w:numId w:val="7"/>
              </w:numPr>
              <w:ind w:left="342" w:hanging="342"/>
              <w:rPr>
                <w:rFonts w:cs="Tahoma"/>
              </w:rPr>
            </w:pPr>
            <w:r w:rsidRPr="36617519">
              <w:rPr>
                <w:rFonts w:cs="Tahoma"/>
              </w:rPr>
              <w:t>Type of Supervision</w:t>
            </w:r>
            <w:r w:rsidR="00583821" w:rsidRPr="36617519">
              <w:rPr>
                <w:rFonts w:cs="Tahoma"/>
              </w:rPr>
              <w:t>/support</w:t>
            </w:r>
            <w:r w:rsidRPr="36617519">
              <w:rPr>
                <w:rFonts w:cs="Tahoma"/>
              </w:rPr>
              <w:t xml:space="preserve"> required</w:t>
            </w:r>
            <w:r w:rsidR="0041135D" w:rsidRPr="36617519">
              <w:rPr>
                <w:rFonts w:cs="Tahoma"/>
              </w:rPr>
              <w:t xml:space="preserve"> from UNICEF</w:t>
            </w:r>
            <w:r w:rsidR="00583821" w:rsidRPr="36617519">
              <w:rPr>
                <w:rFonts w:cs="Tahoma"/>
              </w:rPr>
              <w:t xml:space="preserve">: </w:t>
            </w:r>
          </w:p>
          <w:p w14:paraId="491D36AD" w14:textId="6C4775A9" w:rsidR="006F34DE" w:rsidRPr="002B0969" w:rsidRDefault="002C74E3" w:rsidP="000B3FAB">
            <w:r>
              <w:t>Supervision will be required o</w:t>
            </w:r>
            <w:r w:rsidR="005006AC">
              <w:t>n coordina</w:t>
            </w:r>
            <w:bookmarkStart w:id="1" w:name="_GoBack"/>
            <w:bookmarkEnd w:id="1"/>
            <w:r w:rsidR="005006AC">
              <w:t>tion with field offices,</w:t>
            </w:r>
            <w:r>
              <w:t xml:space="preserve"> in-country travel and  administrative support</w:t>
            </w:r>
            <w:r w:rsidR="000B3FAB">
              <w:t xml:space="preserve">: Liaise with stakeholders and participants prior to the workshop for any preparatory activity; Organize and facilitate logistical support for the workshop; </w:t>
            </w:r>
            <w:r w:rsidR="000B3FAB">
              <w:tab/>
              <w:t xml:space="preserve">Provide consultant with relevant information to prepare adequately for </w:t>
            </w:r>
            <w:r w:rsidR="00E609B0">
              <w:t>SARA data collection, analysis and dissemination</w:t>
            </w:r>
          </w:p>
        </w:tc>
      </w:tr>
      <w:tr w:rsidR="003C4533" w:rsidRPr="006E7AE5" w14:paraId="3316E49B" w14:textId="77777777" w:rsidTr="76D75A83">
        <w:trPr>
          <w:trHeight w:val="269"/>
        </w:trPr>
        <w:tc>
          <w:tcPr>
            <w:tcW w:w="10260" w:type="dxa"/>
            <w:gridSpan w:val="3"/>
            <w:tcBorders>
              <w:bottom w:val="nil"/>
            </w:tcBorders>
          </w:tcPr>
          <w:p w14:paraId="7A1B8060" w14:textId="77777777" w:rsidR="004F3D9C" w:rsidRDefault="003C4533" w:rsidP="002B0969">
            <w:pPr>
              <w:pStyle w:val="ListParagraph"/>
              <w:numPr>
                <w:ilvl w:val="0"/>
                <w:numId w:val="7"/>
              </w:numPr>
              <w:ind w:left="342" w:hanging="342"/>
            </w:pPr>
            <w:r>
              <w:t>Description of assignment:</w:t>
            </w:r>
          </w:p>
          <w:p w14:paraId="0C18EBB3" w14:textId="77777777" w:rsidR="00421D69" w:rsidRPr="00421D69" w:rsidRDefault="00421D69" w:rsidP="00421D69"/>
        </w:tc>
      </w:tr>
      <w:tr w:rsidR="00FE6FEA" w:rsidRPr="006E7AE5" w14:paraId="53FC068D" w14:textId="77777777" w:rsidTr="76D75A83">
        <w:trPr>
          <w:trHeight w:val="269"/>
        </w:trPr>
        <w:tc>
          <w:tcPr>
            <w:tcW w:w="4230" w:type="dxa"/>
            <w:tcBorders>
              <w:top w:val="nil"/>
              <w:bottom w:val="single" w:sz="4" w:space="0" w:color="auto"/>
            </w:tcBorders>
          </w:tcPr>
          <w:p w14:paraId="104CD917" w14:textId="77777777" w:rsidR="00FE6FEA" w:rsidRPr="006E7AE5" w:rsidRDefault="00FE6FEA" w:rsidP="00D73159">
            <w:pPr>
              <w:jc w:val="center"/>
              <w:rPr>
                <w:rFonts w:cs="Tahoma"/>
                <w:b/>
                <w:szCs w:val="22"/>
              </w:rPr>
            </w:pPr>
            <w:r w:rsidRPr="006E7AE5">
              <w:rPr>
                <w:rFonts w:cs="Tahoma"/>
                <w:b/>
                <w:szCs w:val="22"/>
              </w:rPr>
              <w:t>Tasks</w:t>
            </w:r>
          </w:p>
        </w:tc>
        <w:tc>
          <w:tcPr>
            <w:tcW w:w="4320" w:type="dxa"/>
            <w:tcBorders>
              <w:top w:val="nil"/>
              <w:bottom w:val="single" w:sz="4" w:space="0" w:color="auto"/>
            </w:tcBorders>
          </w:tcPr>
          <w:p w14:paraId="6F310578" w14:textId="77777777" w:rsidR="00FE6FEA" w:rsidRPr="006E7AE5" w:rsidRDefault="00FE6FEA" w:rsidP="00D73159">
            <w:pPr>
              <w:jc w:val="center"/>
              <w:rPr>
                <w:rFonts w:cs="Tahoma"/>
                <w:b/>
                <w:szCs w:val="22"/>
              </w:rPr>
            </w:pPr>
            <w:proofErr w:type="gramStart"/>
            <w:r w:rsidRPr="006E7AE5">
              <w:rPr>
                <w:rFonts w:cs="Tahoma"/>
                <w:b/>
                <w:szCs w:val="22"/>
              </w:rPr>
              <w:t>End Product</w:t>
            </w:r>
            <w:proofErr w:type="gramEnd"/>
            <w:r w:rsidRPr="006E7AE5">
              <w:rPr>
                <w:rFonts w:cs="Tahoma"/>
                <w:b/>
                <w:szCs w:val="22"/>
              </w:rPr>
              <w:t>/deliverables</w:t>
            </w:r>
          </w:p>
        </w:tc>
        <w:tc>
          <w:tcPr>
            <w:tcW w:w="1710" w:type="dxa"/>
            <w:tcBorders>
              <w:top w:val="nil"/>
              <w:bottom w:val="single" w:sz="4" w:space="0" w:color="auto"/>
            </w:tcBorders>
          </w:tcPr>
          <w:p w14:paraId="46ABBCB0" w14:textId="77777777" w:rsidR="00C11957" w:rsidRPr="006E7AE5" w:rsidRDefault="00C11957" w:rsidP="00D73159">
            <w:pPr>
              <w:jc w:val="center"/>
              <w:rPr>
                <w:rFonts w:cs="Tahoma"/>
                <w:b/>
                <w:szCs w:val="22"/>
              </w:rPr>
            </w:pPr>
            <w:r w:rsidRPr="006E7AE5">
              <w:rPr>
                <w:rFonts w:cs="Tahoma"/>
                <w:b/>
                <w:szCs w:val="22"/>
              </w:rPr>
              <w:t>Duration/</w:t>
            </w:r>
          </w:p>
          <w:p w14:paraId="45727B96" w14:textId="77777777" w:rsidR="00FE6FEA" w:rsidRPr="006E7AE5" w:rsidRDefault="000D6D3E" w:rsidP="00D73159">
            <w:pPr>
              <w:jc w:val="center"/>
              <w:rPr>
                <w:rFonts w:cs="Tahoma"/>
                <w:b/>
                <w:szCs w:val="22"/>
              </w:rPr>
            </w:pPr>
            <w:r w:rsidRPr="006E7AE5">
              <w:rPr>
                <w:rFonts w:cs="Tahoma"/>
                <w:b/>
                <w:szCs w:val="22"/>
              </w:rPr>
              <w:t>Deadline</w:t>
            </w:r>
            <w:r w:rsidR="008B6AF5">
              <w:rPr>
                <w:rFonts w:cs="Tahoma"/>
                <w:b/>
                <w:szCs w:val="22"/>
              </w:rPr>
              <w:t>/ % of fee Payable</w:t>
            </w:r>
          </w:p>
        </w:tc>
      </w:tr>
      <w:tr w:rsidR="00145A1B" w:rsidRPr="006E7AE5" w14:paraId="47F1995B" w14:textId="77777777" w:rsidTr="76D75A83">
        <w:trPr>
          <w:trHeight w:val="1034"/>
        </w:trPr>
        <w:tc>
          <w:tcPr>
            <w:tcW w:w="4230" w:type="dxa"/>
          </w:tcPr>
          <w:p w14:paraId="0067B4EA" w14:textId="4E7A0B60" w:rsidR="00145A1B" w:rsidRPr="002C74E3" w:rsidRDefault="00E748C5" w:rsidP="003F5797">
            <w:pPr>
              <w:jc w:val="left"/>
              <w:rPr>
                <w:rFonts w:cs="Tahoma"/>
                <w:szCs w:val="22"/>
              </w:rPr>
            </w:pPr>
            <w:r>
              <w:rPr>
                <w:rFonts w:cs="Tahoma"/>
                <w:szCs w:val="22"/>
              </w:rPr>
              <w:t>Assessment</w:t>
            </w:r>
            <w:r w:rsidRPr="00E748C5">
              <w:rPr>
                <w:rFonts w:cs="Tahoma"/>
                <w:szCs w:val="22"/>
              </w:rPr>
              <w:t xml:space="preserve"> planning and preparation</w:t>
            </w:r>
          </w:p>
        </w:tc>
        <w:tc>
          <w:tcPr>
            <w:tcW w:w="4320" w:type="dxa"/>
          </w:tcPr>
          <w:p w14:paraId="228A2F47" w14:textId="7900F941" w:rsidR="00F0586A" w:rsidRPr="00F0586A" w:rsidRDefault="002A674D" w:rsidP="36617519">
            <w:pPr>
              <w:autoSpaceDE w:val="0"/>
              <w:autoSpaceDN w:val="0"/>
              <w:adjustRightInd w:val="0"/>
              <w:jc w:val="left"/>
              <w:rPr>
                <w:rFonts w:cs="Tahoma"/>
                <w:b/>
                <w:bCs/>
                <w:lang w:eastAsia="ru-RU"/>
              </w:rPr>
            </w:pPr>
            <w:r w:rsidRPr="36617519">
              <w:rPr>
                <w:rFonts w:cs="Tahoma"/>
                <w:b/>
                <w:bCs/>
                <w:lang w:eastAsia="ru-RU"/>
              </w:rPr>
              <w:t>Inception Report containing</w:t>
            </w:r>
          </w:p>
          <w:p w14:paraId="0DB2BD60" w14:textId="4C8ABEC2" w:rsidR="009421CC" w:rsidRPr="00926AB4" w:rsidRDefault="002A674D" w:rsidP="003F5797">
            <w:pPr>
              <w:pStyle w:val="ListParagraph"/>
              <w:numPr>
                <w:ilvl w:val="0"/>
                <w:numId w:val="13"/>
              </w:numPr>
              <w:autoSpaceDE w:val="0"/>
              <w:autoSpaceDN w:val="0"/>
              <w:adjustRightInd w:val="0"/>
              <w:ind w:left="226" w:hanging="270"/>
              <w:jc w:val="left"/>
              <w:rPr>
                <w:rFonts w:cs="Tahoma"/>
                <w:b w:val="0"/>
                <w:szCs w:val="22"/>
                <w:lang w:eastAsia="ru-RU"/>
              </w:rPr>
            </w:pPr>
            <w:r>
              <w:rPr>
                <w:rFonts w:cs="Tahoma"/>
                <w:b w:val="0"/>
                <w:szCs w:val="22"/>
                <w:lang w:eastAsia="ru-RU"/>
              </w:rPr>
              <w:t>SARA-EHO</w:t>
            </w:r>
            <w:r w:rsidR="00194BD2" w:rsidRPr="00926AB4">
              <w:rPr>
                <w:rFonts w:cs="Tahoma"/>
                <w:b w:val="0"/>
                <w:szCs w:val="22"/>
                <w:lang w:eastAsia="ru-RU"/>
              </w:rPr>
              <w:t xml:space="preserve"> coordinating group </w:t>
            </w:r>
            <w:r w:rsidR="00CC33F6" w:rsidRPr="00926AB4">
              <w:rPr>
                <w:rFonts w:cs="Tahoma"/>
                <w:b w:val="0"/>
                <w:szCs w:val="22"/>
                <w:lang w:eastAsia="ru-RU"/>
              </w:rPr>
              <w:t xml:space="preserve">of </w:t>
            </w:r>
            <w:r w:rsidR="0016210E" w:rsidRPr="00926AB4">
              <w:rPr>
                <w:rFonts w:cs="Tahoma"/>
                <w:b w:val="0"/>
                <w:szCs w:val="22"/>
                <w:lang w:eastAsia="ru-RU"/>
              </w:rPr>
              <w:t xml:space="preserve">UNICEF-HPA-EHOs </w:t>
            </w:r>
            <w:r w:rsidR="00194BD2" w:rsidRPr="00926AB4">
              <w:rPr>
                <w:rFonts w:cs="Tahoma"/>
                <w:b w:val="0"/>
                <w:szCs w:val="22"/>
                <w:lang w:eastAsia="ru-RU"/>
              </w:rPr>
              <w:t xml:space="preserve">stakeholders </w:t>
            </w:r>
            <w:r w:rsidR="005D1C59" w:rsidRPr="00926AB4">
              <w:rPr>
                <w:rFonts w:cs="Tahoma"/>
                <w:b w:val="0"/>
                <w:szCs w:val="22"/>
                <w:lang w:eastAsia="ru-RU"/>
              </w:rPr>
              <w:t xml:space="preserve">established </w:t>
            </w:r>
            <w:r w:rsidR="00194BD2" w:rsidRPr="00926AB4">
              <w:rPr>
                <w:rFonts w:cs="Tahoma"/>
                <w:b w:val="0"/>
                <w:szCs w:val="22"/>
                <w:lang w:eastAsia="ru-RU"/>
              </w:rPr>
              <w:t xml:space="preserve">to oversee and facilitate the objectives, scope, design, </w:t>
            </w:r>
            <w:r w:rsidR="00ED09FF" w:rsidRPr="00926AB4">
              <w:rPr>
                <w:rFonts w:cs="Tahoma"/>
                <w:b w:val="0"/>
                <w:szCs w:val="22"/>
                <w:lang w:eastAsia="ru-RU"/>
              </w:rPr>
              <w:t xml:space="preserve">schedule, </w:t>
            </w:r>
            <w:r w:rsidR="00194BD2" w:rsidRPr="00926AB4">
              <w:rPr>
                <w:rFonts w:cs="Tahoma"/>
                <w:b w:val="0"/>
                <w:szCs w:val="22"/>
                <w:lang w:eastAsia="ru-RU"/>
              </w:rPr>
              <w:t>implementation and analysis</w:t>
            </w:r>
            <w:r w:rsidR="00ED09FF" w:rsidRPr="00926AB4">
              <w:rPr>
                <w:rFonts w:cs="Tahoma"/>
                <w:b w:val="0"/>
                <w:szCs w:val="22"/>
                <w:lang w:eastAsia="ru-RU"/>
              </w:rPr>
              <w:t xml:space="preserve"> plan</w:t>
            </w:r>
            <w:r w:rsidR="000F6A7E">
              <w:rPr>
                <w:rFonts w:cs="Tahoma"/>
                <w:b w:val="0"/>
                <w:szCs w:val="22"/>
                <w:lang w:eastAsia="ru-RU"/>
              </w:rPr>
              <w:t xml:space="preserve"> </w:t>
            </w:r>
            <w:r w:rsidR="000F6A7E" w:rsidRPr="004A5EF2">
              <w:rPr>
                <w:rFonts w:cs="Tahoma"/>
                <w:b w:val="0"/>
                <w:szCs w:val="22"/>
                <w:lang w:eastAsia="ru-RU"/>
              </w:rPr>
              <w:t>for SARA assessment</w:t>
            </w:r>
          </w:p>
          <w:p w14:paraId="0B6D8408" w14:textId="648171B1" w:rsidR="00C10CC5" w:rsidRPr="00926AB4" w:rsidRDefault="009B1768" w:rsidP="003F5797">
            <w:pPr>
              <w:pStyle w:val="ListParagraph"/>
              <w:numPr>
                <w:ilvl w:val="0"/>
                <w:numId w:val="13"/>
              </w:numPr>
              <w:ind w:left="230" w:hanging="270"/>
              <w:jc w:val="left"/>
              <w:rPr>
                <w:b w:val="0"/>
                <w:lang w:eastAsia="ru-RU"/>
              </w:rPr>
            </w:pPr>
            <w:r w:rsidRPr="00926AB4">
              <w:rPr>
                <w:b w:val="0"/>
                <w:lang w:eastAsia="ru-RU"/>
              </w:rPr>
              <w:t xml:space="preserve">Adapted </w:t>
            </w:r>
            <w:r w:rsidR="00DA332E">
              <w:rPr>
                <w:b w:val="0"/>
                <w:lang w:eastAsia="ru-RU"/>
              </w:rPr>
              <w:t xml:space="preserve">simplified </w:t>
            </w:r>
            <w:r w:rsidRPr="00926AB4">
              <w:rPr>
                <w:b w:val="0"/>
                <w:lang w:eastAsia="ru-RU"/>
              </w:rPr>
              <w:t xml:space="preserve">questionnaires </w:t>
            </w:r>
            <w:r w:rsidR="000F6A7E" w:rsidRPr="004A5EF2">
              <w:rPr>
                <w:b w:val="0"/>
                <w:lang w:eastAsia="ru-RU"/>
              </w:rPr>
              <w:t xml:space="preserve">focusing on SARA assessment in line with WHO guideline </w:t>
            </w:r>
            <w:r w:rsidRPr="004A5EF2">
              <w:rPr>
                <w:b w:val="0"/>
                <w:lang w:eastAsia="ru-RU"/>
              </w:rPr>
              <w:t xml:space="preserve">to meet </w:t>
            </w:r>
            <w:r w:rsidR="008F07B0" w:rsidRPr="004A5EF2">
              <w:rPr>
                <w:b w:val="0"/>
                <w:lang w:eastAsia="ru-RU"/>
              </w:rPr>
              <w:t xml:space="preserve">EHO’s </w:t>
            </w:r>
            <w:r w:rsidR="00DA332E" w:rsidRPr="004A5EF2">
              <w:rPr>
                <w:b w:val="0"/>
                <w:lang w:eastAsia="ru-RU"/>
              </w:rPr>
              <w:t>programmatic</w:t>
            </w:r>
            <w:r w:rsidR="00DA332E">
              <w:rPr>
                <w:b w:val="0"/>
                <w:lang w:eastAsia="ru-RU"/>
              </w:rPr>
              <w:t>-</w:t>
            </w:r>
            <w:r w:rsidRPr="00926AB4">
              <w:rPr>
                <w:b w:val="0"/>
                <w:lang w:eastAsia="ru-RU"/>
              </w:rPr>
              <w:t>context-specific needs</w:t>
            </w:r>
            <w:r w:rsidR="00E84449" w:rsidRPr="00926AB4">
              <w:rPr>
                <w:b w:val="0"/>
                <w:lang w:eastAsia="ru-RU"/>
              </w:rPr>
              <w:t>, adapted in</w:t>
            </w:r>
            <w:r w:rsidR="00F8683D" w:rsidRPr="00926AB4">
              <w:rPr>
                <w:b w:val="0"/>
                <w:lang w:eastAsia="ru-RU"/>
              </w:rPr>
              <w:t xml:space="preserve"> electronic/mobile platform – K</w:t>
            </w:r>
            <w:r w:rsidR="006069CA" w:rsidRPr="00926AB4">
              <w:rPr>
                <w:b w:val="0"/>
                <w:lang w:eastAsia="ru-RU"/>
              </w:rPr>
              <w:t>obo</w:t>
            </w:r>
            <w:r w:rsidR="00F8683D" w:rsidRPr="00926AB4">
              <w:rPr>
                <w:b w:val="0"/>
                <w:lang w:eastAsia="ru-RU"/>
              </w:rPr>
              <w:t xml:space="preserve"> Collect/ODK</w:t>
            </w:r>
          </w:p>
          <w:p w14:paraId="49C29D10" w14:textId="286C3DD4" w:rsidR="00C10CC5" w:rsidRPr="00926AB4" w:rsidRDefault="006069CA" w:rsidP="003F5797">
            <w:pPr>
              <w:pStyle w:val="ListParagraph"/>
              <w:numPr>
                <w:ilvl w:val="0"/>
                <w:numId w:val="13"/>
              </w:numPr>
              <w:ind w:left="230" w:hanging="270"/>
              <w:jc w:val="left"/>
              <w:rPr>
                <w:b w:val="0"/>
                <w:lang w:eastAsia="ru-RU"/>
              </w:rPr>
            </w:pPr>
            <w:r w:rsidRPr="00926AB4">
              <w:rPr>
                <w:b w:val="0"/>
                <w:lang w:eastAsia="ru-RU"/>
              </w:rPr>
              <w:t>Designed</w:t>
            </w:r>
            <w:r w:rsidR="0075064F" w:rsidRPr="00926AB4">
              <w:rPr>
                <w:b w:val="0"/>
                <w:lang w:eastAsia="ru-RU"/>
              </w:rPr>
              <w:t xml:space="preserve"> </w:t>
            </w:r>
            <w:proofErr w:type="spellStart"/>
            <w:r w:rsidR="0075064F" w:rsidRPr="00926AB4">
              <w:rPr>
                <w:b w:val="0"/>
                <w:lang w:eastAsia="ru-RU"/>
              </w:rPr>
              <w:t>ToT</w:t>
            </w:r>
            <w:proofErr w:type="spellEnd"/>
            <w:r w:rsidR="0075064F" w:rsidRPr="00926AB4">
              <w:rPr>
                <w:b w:val="0"/>
                <w:lang w:eastAsia="ru-RU"/>
              </w:rPr>
              <w:t xml:space="preserve"> for key </w:t>
            </w:r>
            <w:r w:rsidR="00E84449" w:rsidRPr="00926AB4">
              <w:rPr>
                <w:b w:val="0"/>
                <w:lang w:eastAsia="ru-RU"/>
              </w:rPr>
              <w:t>staff of UNICEF-HPA-EHOs in</w:t>
            </w:r>
            <w:r w:rsidRPr="00926AB4">
              <w:rPr>
                <w:b w:val="0"/>
                <w:lang w:eastAsia="ru-RU"/>
              </w:rPr>
              <w:t xml:space="preserve"> </w:t>
            </w:r>
            <w:r w:rsidR="00C10CC5" w:rsidRPr="00926AB4">
              <w:rPr>
                <w:b w:val="0"/>
                <w:lang w:eastAsia="ru-RU"/>
              </w:rPr>
              <w:t>data collect</w:t>
            </w:r>
            <w:r w:rsidRPr="00926AB4">
              <w:rPr>
                <w:b w:val="0"/>
                <w:lang w:eastAsia="ru-RU"/>
              </w:rPr>
              <w:t>ion</w:t>
            </w:r>
            <w:r w:rsidR="000F6A7E">
              <w:rPr>
                <w:b w:val="0"/>
                <w:lang w:eastAsia="ru-RU"/>
              </w:rPr>
              <w:t xml:space="preserve"> </w:t>
            </w:r>
            <w:r w:rsidR="000F6A7E" w:rsidRPr="004A5EF2">
              <w:rPr>
                <w:b w:val="0"/>
                <w:lang w:eastAsia="ru-RU"/>
              </w:rPr>
              <w:t>using adapted SARA questionnaire</w:t>
            </w:r>
            <w:r w:rsidR="00E77736" w:rsidRPr="004A5EF2">
              <w:rPr>
                <w:b w:val="0"/>
                <w:lang w:eastAsia="ru-RU"/>
              </w:rPr>
              <w:t xml:space="preserve"> targeting to EHO staff who will undertake service delivery at the community level</w:t>
            </w:r>
            <w:r w:rsidR="00C10CC5" w:rsidRPr="004A5EF2">
              <w:rPr>
                <w:b w:val="0"/>
                <w:lang w:eastAsia="ru-RU"/>
              </w:rPr>
              <w:t>, data entry</w:t>
            </w:r>
            <w:r w:rsidR="00C10CC5" w:rsidRPr="00926AB4">
              <w:rPr>
                <w:b w:val="0"/>
                <w:lang w:eastAsia="ru-RU"/>
              </w:rPr>
              <w:t xml:space="preserve">/processing </w:t>
            </w:r>
            <w:r w:rsidR="0075064F" w:rsidRPr="00926AB4">
              <w:rPr>
                <w:b w:val="0"/>
                <w:lang w:eastAsia="ru-RU"/>
              </w:rPr>
              <w:t>and</w:t>
            </w:r>
            <w:r w:rsidR="00C10CC5" w:rsidRPr="00926AB4">
              <w:rPr>
                <w:b w:val="0"/>
                <w:lang w:eastAsia="ru-RU"/>
              </w:rPr>
              <w:t xml:space="preserve"> analys</w:t>
            </w:r>
            <w:r w:rsidR="0075064F" w:rsidRPr="00926AB4">
              <w:rPr>
                <w:b w:val="0"/>
                <w:lang w:eastAsia="ru-RU"/>
              </w:rPr>
              <w:t>is</w:t>
            </w:r>
          </w:p>
          <w:p w14:paraId="020AFF24" w14:textId="7FEB0BC6" w:rsidR="00424D18" w:rsidRPr="00926AB4" w:rsidRDefault="000F6A7E" w:rsidP="003F5797">
            <w:pPr>
              <w:pStyle w:val="ListParagraph"/>
              <w:numPr>
                <w:ilvl w:val="0"/>
                <w:numId w:val="13"/>
              </w:numPr>
              <w:ind w:left="230" w:hanging="270"/>
              <w:jc w:val="left"/>
              <w:rPr>
                <w:b w:val="0"/>
                <w:lang w:eastAsia="ru-RU"/>
              </w:rPr>
            </w:pPr>
            <w:r>
              <w:rPr>
                <w:b w:val="0"/>
                <w:lang w:eastAsia="ru-RU"/>
              </w:rPr>
              <w:t>A</w:t>
            </w:r>
            <w:r w:rsidR="00ED09FF" w:rsidRPr="00926AB4">
              <w:rPr>
                <w:b w:val="0"/>
                <w:lang w:eastAsia="ru-RU"/>
              </w:rPr>
              <w:t xml:space="preserve">ssessment </w:t>
            </w:r>
            <w:r w:rsidR="00C10CC5" w:rsidRPr="00926AB4">
              <w:rPr>
                <w:b w:val="0"/>
                <w:lang w:eastAsia="ru-RU"/>
              </w:rPr>
              <w:t>sampling frame</w:t>
            </w:r>
            <w:r w:rsidR="00F97825" w:rsidRPr="00926AB4">
              <w:rPr>
                <w:b w:val="0"/>
                <w:lang w:eastAsia="ru-RU"/>
              </w:rPr>
              <w:t xml:space="preserve"> </w:t>
            </w:r>
            <w:r w:rsidR="00C10CC5" w:rsidRPr="00926AB4">
              <w:rPr>
                <w:b w:val="0"/>
                <w:lang w:eastAsia="ru-RU"/>
              </w:rPr>
              <w:t>of health facilities</w:t>
            </w:r>
            <w:r w:rsidR="00F97825" w:rsidRPr="00926AB4">
              <w:rPr>
                <w:b w:val="0"/>
                <w:lang w:eastAsia="ru-RU"/>
              </w:rPr>
              <w:t xml:space="preserve"> established</w:t>
            </w:r>
          </w:p>
          <w:p w14:paraId="2E4E66F3" w14:textId="4AF12B33" w:rsidR="000A7E6F" w:rsidRPr="00926AB4" w:rsidRDefault="0090043F" w:rsidP="003F5797">
            <w:pPr>
              <w:pStyle w:val="ListParagraph"/>
              <w:numPr>
                <w:ilvl w:val="0"/>
                <w:numId w:val="13"/>
              </w:numPr>
              <w:ind w:left="230" w:hanging="270"/>
              <w:jc w:val="left"/>
              <w:rPr>
                <w:b w:val="0"/>
                <w:lang w:eastAsia="ru-RU"/>
              </w:rPr>
            </w:pPr>
            <w:r>
              <w:rPr>
                <w:b w:val="0"/>
                <w:lang w:eastAsia="ru-RU"/>
              </w:rPr>
              <w:t>Training</w:t>
            </w:r>
            <w:r w:rsidR="00C17D02">
              <w:rPr>
                <w:b w:val="0"/>
                <w:lang w:eastAsia="ru-RU"/>
              </w:rPr>
              <w:t xml:space="preserve"> guide</w:t>
            </w:r>
            <w:r w:rsidR="00C10CC5" w:rsidRPr="00926AB4">
              <w:rPr>
                <w:b w:val="0"/>
                <w:lang w:eastAsia="ru-RU"/>
              </w:rPr>
              <w:t xml:space="preserve"> </w:t>
            </w:r>
            <w:r w:rsidR="009159B6" w:rsidRPr="004A5EF2">
              <w:rPr>
                <w:b w:val="0"/>
                <w:lang w:eastAsia="ru-RU"/>
              </w:rPr>
              <w:t>regard to SARA assessment, data collection, reporting</w:t>
            </w:r>
            <w:r w:rsidR="009159B6">
              <w:rPr>
                <w:b w:val="0"/>
                <w:lang w:eastAsia="ru-RU"/>
              </w:rPr>
              <w:t xml:space="preserve"> </w:t>
            </w:r>
            <w:r w:rsidR="00C10CC5" w:rsidRPr="00926AB4">
              <w:rPr>
                <w:b w:val="0"/>
                <w:lang w:eastAsia="ru-RU"/>
              </w:rPr>
              <w:t xml:space="preserve">for </w:t>
            </w:r>
            <w:r w:rsidR="00C17D02">
              <w:rPr>
                <w:b w:val="0"/>
                <w:lang w:eastAsia="ru-RU"/>
              </w:rPr>
              <w:t>enumerators drafted</w:t>
            </w:r>
          </w:p>
          <w:p w14:paraId="25942CFB" w14:textId="642FC6FB" w:rsidR="009B1768" w:rsidRPr="00926AB4" w:rsidRDefault="000A7E6F" w:rsidP="003F5797">
            <w:pPr>
              <w:pStyle w:val="ListParagraph"/>
              <w:numPr>
                <w:ilvl w:val="0"/>
                <w:numId w:val="13"/>
              </w:numPr>
              <w:ind w:left="230" w:hanging="270"/>
              <w:jc w:val="left"/>
              <w:rPr>
                <w:b w:val="0"/>
                <w:lang w:eastAsia="ru-RU"/>
              </w:rPr>
            </w:pPr>
            <w:r w:rsidRPr="00926AB4">
              <w:rPr>
                <w:b w:val="0"/>
                <w:lang w:eastAsia="ru-RU"/>
              </w:rPr>
              <w:t xml:space="preserve">Pilot </w:t>
            </w:r>
            <w:r w:rsidR="0022792A">
              <w:rPr>
                <w:b w:val="0"/>
                <w:lang w:eastAsia="ru-RU"/>
              </w:rPr>
              <w:t xml:space="preserve">assessment </w:t>
            </w:r>
            <w:r w:rsidR="00C10CC5" w:rsidRPr="00926AB4">
              <w:rPr>
                <w:b w:val="0"/>
                <w:lang w:eastAsia="ru-RU"/>
              </w:rPr>
              <w:t>in a selected number of health facilities</w:t>
            </w:r>
          </w:p>
        </w:tc>
        <w:tc>
          <w:tcPr>
            <w:tcW w:w="1710" w:type="dxa"/>
          </w:tcPr>
          <w:p w14:paraId="3210C20F" w14:textId="284C9A60" w:rsidR="009474EF" w:rsidRPr="002C74E3" w:rsidRDefault="000A7E6F" w:rsidP="003F5797">
            <w:pPr>
              <w:tabs>
                <w:tab w:val="left" w:pos="144"/>
              </w:tabs>
              <w:jc w:val="left"/>
              <w:rPr>
                <w:rFonts w:cs="Tahoma"/>
                <w:szCs w:val="22"/>
              </w:rPr>
            </w:pPr>
            <w:r>
              <w:rPr>
                <w:rFonts w:cs="Tahoma"/>
                <w:szCs w:val="22"/>
              </w:rPr>
              <w:t>September 2020/</w:t>
            </w:r>
            <w:r w:rsidR="00926AB4">
              <w:rPr>
                <w:rFonts w:cs="Tahoma"/>
                <w:szCs w:val="22"/>
              </w:rPr>
              <w:t>3</w:t>
            </w:r>
            <w:r>
              <w:rPr>
                <w:rFonts w:cs="Tahoma"/>
                <w:szCs w:val="22"/>
              </w:rPr>
              <w:t xml:space="preserve">0% </w:t>
            </w:r>
            <w:r w:rsidR="006176B9">
              <w:rPr>
                <w:rFonts w:cs="Tahoma"/>
                <w:szCs w:val="22"/>
              </w:rPr>
              <w:t xml:space="preserve">fee </w:t>
            </w:r>
            <w:r>
              <w:rPr>
                <w:rFonts w:cs="Tahoma"/>
                <w:szCs w:val="22"/>
              </w:rPr>
              <w:t>payable</w:t>
            </w:r>
          </w:p>
        </w:tc>
      </w:tr>
      <w:tr w:rsidR="00C11957" w:rsidRPr="006E7AE5" w14:paraId="2ED2D3EF" w14:textId="77777777" w:rsidTr="76D75A83">
        <w:trPr>
          <w:trHeight w:val="1034"/>
        </w:trPr>
        <w:tc>
          <w:tcPr>
            <w:tcW w:w="4230" w:type="dxa"/>
          </w:tcPr>
          <w:p w14:paraId="1A952515" w14:textId="6561A4BD" w:rsidR="00C11957" w:rsidRPr="002C74E3" w:rsidRDefault="00925E88" w:rsidP="003F5797">
            <w:pPr>
              <w:jc w:val="left"/>
              <w:rPr>
                <w:rFonts w:cs="Tahoma"/>
                <w:szCs w:val="22"/>
              </w:rPr>
            </w:pPr>
            <w:r w:rsidRPr="00925E88">
              <w:rPr>
                <w:rFonts w:cs="Tahoma"/>
                <w:szCs w:val="22"/>
              </w:rPr>
              <w:t>Data collection in the field</w:t>
            </w:r>
          </w:p>
        </w:tc>
        <w:tc>
          <w:tcPr>
            <w:tcW w:w="4320" w:type="dxa"/>
          </w:tcPr>
          <w:tbl>
            <w:tblPr>
              <w:tblW w:w="6448" w:type="dxa"/>
              <w:tblBorders>
                <w:top w:val="nil"/>
                <w:left w:val="nil"/>
                <w:bottom w:val="nil"/>
                <w:right w:val="nil"/>
              </w:tblBorders>
              <w:tblLayout w:type="fixed"/>
              <w:tblLook w:val="0000" w:firstRow="0" w:lastRow="0" w:firstColumn="0" w:lastColumn="0" w:noHBand="0" w:noVBand="0"/>
            </w:tblPr>
            <w:tblGrid>
              <w:gridCol w:w="6448"/>
            </w:tblGrid>
            <w:tr w:rsidR="00830769" w:rsidRPr="00830769" w14:paraId="573531EA" w14:textId="77777777" w:rsidTr="36617519">
              <w:trPr>
                <w:trHeight w:val="1542"/>
              </w:trPr>
              <w:tc>
                <w:tcPr>
                  <w:tcW w:w="6448" w:type="dxa"/>
                </w:tcPr>
                <w:p w14:paraId="5B4B1E55" w14:textId="39920ACB" w:rsidR="00830769" w:rsidRPr="00D939DD" w:rsidRDefault="4A73F1DD" w:rsidP="36617519">
                  <w:pPr>
                    <w:ind w:right="2240"/>
                    <w:jc w:val="left"/>
                    <w:rPr>
                      <w:rFonts w:cs="Tahoma"/>
                      <w:b/>
                      <w:bCs/>
                      <w:lang w:val="en-US" w:eastAsia="ru-RU"/>
                    </w:rPr>
                  </w:pPr>
                  <w:r w:rsidRPr="36617519">
                    <w:rPr>
                      <w:rFonts w:cs="Tahoma"/>
                      <w:b/>
                      <w:bCs/>
                      <w:lang w:val="en-US" w:eastAsia="ru-RU"/>
                    </w:rPr>
                    <w:t>Implementation report</w:t>
                  </w:r>
                  <w:r w:rsidR="7EB54186" w:rsidRPr="36617519">
                    <w:rPr>
                      <w:rFonts w:cs="Tahoma"/>
                      <w:b/>
                      <w:bCs/>
                      <w:lang w:val="en-US" w:eastAsia="ru-RU"/>
                    </w:rPr>
                    <w:t xml:space="preserve"> containing</w:t>
                  </w:r>
                </w:p>
                <w:p w14:paraId="6BD79059" w14:textId="3A1D5D88" w:rsidR="00830769" w:rsidRPr="00830769" w:rsidRDefault="00F404FD" w:rsidP="003F5797">
                  <w:pPr>
                    <w:pStyle w:val="ListParagraph"/>
                    <w:numPr>
                      <w:ilvl w:val="1"/>
                      <w:numId w:val="14"/>
                    </w:numPr>
                    <w:ind w:left="210" w:right="2240" w:hanging="250"/>
                    <w:jc w:val="left"/>
                    <w:rPr>
                      <w:rFonts w:cs="Tahoma"/>
                      <w:b w:val="0"/>
                      <w:bCs/>
                      <w:szCs w:val="22"/>
                      <w:lang w:val="en-US" w:eastAsia="ru-RU"/>
                    </w:rPr>
                  </w:pPr>
                  <w:r>
                    <w:rPr>
                      <w:rFonts w:cs="Tahoma"/>
                      <w:b w:val="0"/>
                      <w:bCs/>
                      <w:szCs w:val="22"/>
                      <w:lang w:val="en-US" w:eastAsia="ru-RU"/>
                    </w:rPr>
                    <w:t>Data</w:t>
                  </w:r>
                  <w:r w:rsidR="00830769" w:rsidRPr="00830769">
                    <w:rPr>
                      <w:rFonts w:cs="Tahoma"/>
                      <w:b w:val="0"/>
                      <w:bCs/>
                      <w:szCs w:val="22"/>
                      <w:lang w:val="en-US" w:eastAsia="ru-RU"/>
                    </w:rPr>
                    <w:t xml:space="preserve"> collection visits (letter of introduction, contact</w:t>
                  </w:r>
                  <w:r w:rsidR="006667DB">
                    <w:rPr>
                      <w:rFonts w:cs="Tahoma"/>
                      <w:b w:val="0"/>
                      <w:bCs/>
                      <w:szCs w:val="22"/>
                      <w:lang w:val="en-US" w:eastAsia="ru-RU"/>
                    </w:rPr>
                    <w:t>s enumerator for</w:t>
                  </w:r>
                  <w:r w:rsidR="00830769" w:rsidRPr="00830769">
                    <w:rPr>
                      <w:rFonts w:cs="Tahoma"/>
                      <w:b w:val="0"/>
                      <w:bCs/>
                      <w:szCs w:val="22"/>
                      <w:lang w:val="en-US" w:eastAsia="ru-RU"/>
                    </w:rPr>
                    <w:t xml:space="preserve"> each site, schedule) </w:t>
                  </w:r>
                </w:p>
                <w:p w14:paraId="47C98EA2" w14:textId="456DF0D6" w:rsidR="00830769" w:rsidRPr="00830769" w:rsidRDefault="006667DB" w:rsidP="003F5797">
                  <w:pPr>
                    <w:pStyle w:val="ListParagraph"/>
                    <w:numPr>
                      <w:ilvl w:val="1"/>
                      <w:numId w:val="14"/>
                    </w:numPr>
                    <w:ind w:left="210" w:right="2240" w:hanging="250"/>
                    <w:jc w:val="left"/>
                    <w:rPr>
                      <w:rFonts w:cs="Tahoma"/>
                      <w:b w:val="0"/>
                      <w:bCs/>
                      <w:szCs w:val="22"/>
                      <w:lang w:val="en-US" w:eastAsia="ru-RU"/>
                    </w:rPr>
                  </w:pPr>
                  <w:r>
                    <w:rPr>
                      <w:rFonts w:cs="Tahoma"/>
                      <w:b w:val="0"/>
                      <w:bCs/>
                      <w:szCs w:val="22"/>
                      <w:lang w:val="en-US" w:eastAsia="ru-RU"/>
                    </w:rPr>
                    <w:t>M</w:t>
                  </w:r>
                  <w:r w:rsidR="00830769" w:rsidRPr="00830769">
                    <w:rPr>
                      <w:rFonts w:cs="Tahoma"/>
                      <w:b w:val="0"/>
                      <w:bCs/>
                      <w:szCs w:val="22"/>
                      <w:lang w:val="en-US" w:eastAsia="ru-RU"/>
                    </w:rPr>
                    <w:t>aterials and tools for data collect</w:t>
                  </w:r>
                  <w:r>
                    <w:rPr>
                      <w:rFonts w:cs="Tahoma"/>
                      <w:b w:val="0"/>
                      <w:bCs/>
                      <w:szCs w:val="22"/>
                      <w:lang w:val="en-US" w:eastAsia="ru-RU"/>
                    </w:rPr>
                    <w:t>ion</w:t>
                  </w:r>
                  <w:r w:rsidR="00830769" w:rsidRPr="00830769">
                    <w:rPr>
                      <w:rFonts w:cs="Tahoma"/>
                      <w:b w:val="0"/>
                      <w:bCs/>
                      <w:szCs w:val="22"/>
                      <w:lang w:val="en-US" w:eastAsia="ru-RU"/>
                    </w:rPr>
                    <w:t xml:space="preserve"> </w:t>
                  </w:r>
                </w:p>
                <w:p w14:paraId="092A04D7" w14:textId="49211A08" w:rsidR="00830769" w:rsidRPr="00830769" w:rsidRDefault="00E661A4" w:rsidP="003F5797">
                  <w:pPr>
                    <w:pStyle w:val="ListParagraph"/>
                    <w:numPr>
                      <w:ilvl w:val="1"/>
                      <w:numId w:val="14"/>
                    </w:numPr>
                    <w:ind w:left="210" w:right="2240" w:hanging="250"/>
                    <w:jc w:val="left"/>
                    <w:rPr>
                      <w:rFonts w:cs="Tahoma"/>
                      <w:b w:val="0"/>
                      <w:bCs/>
                      <w:szCs w:val="22"/>
                      <w:lang w:val="en-US" w:eastAsia="ru-RU"/>
                    </w:rPr>
                  </w:pPr>
                  <w:r>
                    <w:rPr>
                      <w:rFonts w:cs="Tahoma"/>
                      <w:b w:val="0"/>
                      <w:bCs/>
                      <w:szCs w:val="22"/>
                      <w:lang w:val="en-US" w:eastAsia="ru-RU"/>
                    </w:rPr>
                    <w:lastRenderedPageBreak/>
                    <w:t>List of h</w:t>
                  </w:r>
                  <w:r w:rsidR="00830769" w:rsidRPr="00830769">
                    <w:rPr>
                      <w:rFonts w:cs="Tahoma"/>
                      <w:b w:val="0"/>
                      <w:bCs/>
                      <w:szCs w:val="22"/>
                      <w:lang w:val="en-US" w:eastAsia="ru-RU"/>
                    </w:rPr>
                    <w:t>ealth facilities</w:t>
                  </w:r>
                  <w:r>
                    <w:rPr>
                      <w:rFonts w:cs="Tahoma"/>
                      <w:b w:val="0"/>
                      <w:bCs/>
                      <w:szCs w:val="22"/>
                      <w:lang w:val="en-US" w:eastAsia="ru-RU"/>
                    </w:rPr>
                    <w:t xml:space="preserve"> visited and </w:t>
                  </w:r>
                  <w:r w:rsidR="00830769" w:rsidRPr="00830769">
                    <w:rPr>
                      <w:rFonts w:cs="Tahoma"/>
                      <w:b w:val="0"/>
                      <w:bCs/>
                      <w:szCs w:val="22"/>
                      <w:lang w:val="en-US" w:eastAsia="ru-RU"/>
                    </w:rPr>
                    <w:t>collect</w:t>
                  </w:r>
                  <w:r>
                    <w:rPr>
                      <w:rFonts w:cs="Tahoma"/>
                      <w:b w:val="0"/>
                      <w:bCs/>
                      <w:szCs w:val="22"/>
                      <w:lang w:val="en-US" w:eastAsia="ru-RU"/>
                    </w:rPr>
                    <w:t>ed</w:t>
                  </w:r>
                  <w:r w:rsidR="00830769" w:rsidRPr="00830769">
                    <w:rPr>
                      <w:rFonts w:cs="Tahoma"/>
                      <w:b w:val="0"/>
                      <w:bCs/>
                      <w:szCs w:val="22"/>
                      <w:lang w:val="en-US" w:eastAsia="ru-RU"/>
                    </w:rPr>
                    <w:t xml:space="preserve"> SARA data </w:t>
                  </w:r>
                </w:p>
                <w:p w14:paraId="2C085EAF" w14:textId="319C87FB" w:rsidR="00830769" w:rsidRPr="00830769" w:rsidRDefault="00974EAB" w:rsidP="003F5797">
                  <w:pPr>
                    <w:pStyle w:val="ListParagraph"/>
                    <w:numPr>
                      <w:ilvl w:val="1"/>
                      <w:numId w:val="14"/>
                    </w:numPr>
                    <w:ind w:left="210" w:right="2240" w:hanging="250"/>
                    <w:jc w:val="left"/>
                    <w:rPr>
                      <w:rFonts w:cs="Tahoma"/>
                      <w:b w:val="0"/>
                      <w:bCs/>
                      <w:szCs w:val="22"/>
                      <w:lang w:val="en-US" w:eastAsia="ru-RU"/>
                    </w:rPr>
                  </w:pPr>
                  <w:r>
                    <w:rPr>
                      <w:rFonts w:cs="Tahoma"/>
                      <w:b w:val="0"/>
                      <w:bCs/>
                      <w:szCs w:val="22"/>
                      <w:lang w:val="en-US" w:eastAsia="ru-RU"/>
                    </w:rPr>
                    <w:t>Compilations of issues during data collection</w:t>
                  </w:r>
                  <w:r w:rsidR="008D1267">
                    <w:rPr>
                      <w:rFonts w:cs="Tahoma"/>
                      <w:b w:val="0"/>
                      <w:bCs/>
                      <w:szCs w:val="22"/>
                      <w:lang w:val="en-US" w:eastAsia="ru-RU"/>
                    </w:rPr>
                    <w:t>, KOBO collect application, and how to resolve</w:t>
                  </w:r>
                </w:p>
                <w:p w14:paraId="58252A5A" w14:textId="324395F4" w:rsidR="00830769" w:rsidRPr="00830769" w:rsidRDefault="008D1267" w:rsidP="003F5797">
                  <w:pPr>
                    <w:pStyle w:val="ListParagraph"/>
                    <w:numPr>
                      <w:ilvl w:val="1"/>
                      <w:numId w:val="14"/>
                    </w:numPr>
                    <w:ind w:left="210" w:right="2240" w:hanging="250"/>
                    <w:jc w:val="left"/>
                    <w:rPr>
                      <w:rFonts w:cs="Tahoma"/>
                      <w:b w:val="0"/>
                      <w:bCs/>
                      <w:szCs w:val="22"/>
                      <w:lang w:val="en-US" w:eastAsia="ru-RU"/>
                    </w:rPr>
                  </w:pPr>
                  <w:r>
                    <w:rPr>
                      <w:rFonts w:cs="Tahoma"/>
                      <w:b w:val="0"/>
                      <w:bCs/>
                      <w:szCs w:val="22"/>
                      <w:lang w:val="en-US" w:eastAsia="ru-RU"/>
                    </w:rPr>
                    <w:t>C</w:t>
                  </w:r>
                  <w:r w:rsidR="00830769" w:rsidRPr="00830769">
                    <w:rPr>
                      <w:rFonts w:cs="Tahoma"/>
                      <w:b w:val="0"/>
                      <w:bCs/>
                      <w:szCs w:val="22"/>
                      <w:lang w:val="en-US" w:eastAsia="ru-RU"/>
                    </w:rPr>
                    <w:t xml:space="preserve">ompleted </w:t>
                  </w:r>
                  <w:r>
                    <w:rPr>
                      <w:rFonts w:cs="Tahoma"/>
                      <w:b w:val="0"/>
                      <w:bCs/>
                      <w:szCs w:val="22"/>
                      <w:lang w:val="en-US" w:eastAsia="ru-RU"/>
                    </w:rPr>
                    <w:t xml:space="preserve">electronic </w:t>
                  </w:r>
                  <w:r w:rsidR="00830769" w:rsidRPr="00830769">
                    <w:rPr>
                      <w:rFonts w:cs="Tahoma"/>
                      <w:b w:val="0"/>
                      <w:bCs/>
                      <w:szCs w:val="22"/>
                      <w:lang w:val="en-US" w:eastAsia="ru-RU"/>
                    </w:rPr>
                    <w:t>forms and</w:t>
                  </w:r>
                  <w:r>
                    <w:rPr>
                      <w:rFonts w:cs="Tahoma"/>
                      <w:b w:val="0"/>
                      <w:bCs/>
                      <w:szCs w:val="22"/>
                      <w:lang w:val="en-US" w:eastAsia="ru-RU"/>
                    </w:rPr>
                    <w:t xml:space="preserve"> periodic</w:t>
                  </w:r>
                  <w:r w:rsidR="00434A15">
                    <w:rPr>
                      <w:rFonts w:cs="Tahoma"/>
                      <w:b w:val="0"/>
                      <w:bCs/>
                      <w:szCs w:val="22"/>
                      <w:lang w:val="en-US" w:eastAsia="ru-RU"/>
                    </w:rPr>
                    <w:t>ally</w:t>
                  </w:r>
                  <w:r>
                    <w:rPr>
                      <w:rFonts w:cs="Tahoma"/>
                      <w:b w:val="0"/>
                      <w:bCs/>
                      <w:szCs w:val="22"/>
                      <w:lang w:val="en-US" w:eastAsia="ru-RU"/>
                    </w:rPr>
                    <w:t xml:space="preserve"> transferred</w:t>
                  </w:r>
                  <w:r w:rsidR="00830769" w:rsidRPr="00830769">
                    <w:rPr>
                      <w:rFonts w:cs="Tahoma"/>
                      <w:b w:val="0"/>
                      <w:bCs/>
                      <w:szCs w:val="22"/>
                      <w:lang w:val="en-US" w:eastAsia="ru-RU"/>
                    </w:rPr>
                    <w:t xml:space="preserve"> electronic files to </w:t>
                  </w:r>
                  <w:r>
                    <w:rPr>
                      <w:rFonts w:cs="Tahoma"/>
                      <w:b w:val="0"/>
                      <w:bCs/>
                      <w:szCs w:val="22"/>
                      <w:lang w:val="en-US" w:eastAsia="ru-RU"/>
                    </w:rPr>
                    <w:t xml:space="preserve">centralized </w:t>
                  </w:r>
                  <w:r w:rsidR="00434A15">
                    <w:rPr>
                      <w:rFonts w:cs="Tahoma"/>
                      <w:b w:val="0"/>
                      <w:bCs/>
                      <w:szCs w:val="22"/>
                      <w:lang w:val="en-US" w:eastAsia="ru-RU"/>
                    </w:rPr>
                    <w:t>database/dashboard</w:t>
                  </w:r>
                  <w:r w:rsidR="00830769" w:rsidRPr="00830769">
                    <w:rPr>
                      <w:rFonts w:cs="Tahoma"/>
                      <w:b w:val="0"/>
                      <w:bCs/>
                      <w:szCs w:val="22"/>
                      <w:lang w:val="en-US" w:eastAsia="ru-RU"/>
                    </w:rPr>
                    <w:t xml:space="preserve"> </w:t>
                  </w:r>
                </w:p>
                <w:p w14:paraId="24D6A32D" w14:textId="7576EDF8" w:rsidR="00830769" w:rsidRPr="00830769" w:rsidRDefault="00434A15" w:rsidP="003F5797">
                  <w:pPr>
                    <w:pStyle w:val="ListParagraph"/>
                    <w:numPr>
                      <w:ilvl w:val="1"/>
                      <w:numId w:val="14"/>
                    </w:numPr>
                    <w:ind w:left="210" w:right="2240" w:hanging="250"/>
                    <w:jc w:val="left"/>
                    <w:rPr>
                      <w:rFonts w:cs="Tahoma"/>
                      <w:b w:val="0"/>
                      <w:bCs/>
                      <w:szCs w:val="22"/>
                      <w:lang w:val="en-US" w:eastAsia="ru-RU"/>
                    </w:rPr>
                  </w:pPr>
                  <w:r>
                    <w:rPr>
                      <w:rFonts w:cs="Tahoma"/>
                      <w:b w:val="0"/>
                      <w:bCs/>
                      <w:szCs w:val="22"/>
                      <w:lang w:val="en-US" w:eastAsia="ru-RU"/>
                    </w:rPr>
                    <w:t>Dashboard update</w:t>
                  </w:r>
                  <w:r w:rsidR="00830769" w:rsidRPr="00830769">
                    <w:rPr>
                      <w:rFonts w:cs="Tahoma"/>
                      <w:b w:val="0"/>
                      <w:bCs/>
                      <w:szCs w:val="22"/>
                      <w:lang w:val="en-US" w:eastAsia="ru-RU"/>
                    </w:rPr>
                    <w:t xml:space="preserve"> when data collection is complete </w:t>
                  </w:r>
                </w:p>
                <w:p w14:paraId="593EBF13" w14:textId="77777777" w:rsidR="00830769" w:rsidRPr="00830769" w:rsidRDefault="00830769" w:rsidP="003F5797">
                  <w:pPr>
                    <w:pStyle w:val="ListParagraph"/>
                    <w:ind w:left="210" w:right="2240" w:hanging="250"/>
                    <w:jc w:val="left"/>
                    <w:rPr>
                      <w:rFonts w:cs="Tahoma"/>
                      <w:b w:val="0"/>
                      <w:bCs/>
                      <w:szCs w:val="22"/>
                      <w:lang w:val="en-US" w:eastAsia="ru-RU"/>
                    </w:rPr>
                  </w:pPr>
                </w:p>
              </w:tc>
            </w:tr>
          </w:tbl>
          <w:p w14:paraId="66BC551E" w14:textId="357EFD1F" w:rsidR="00C11957" w:rsidRPr="002C74E3" w:rsidRDefault="00C11957" w:rsidP="003F5797">
            <w:pPr>
              <w:pStyle w:val="ListParagraph"/>
              <w:autoSpaceDE w:val="0"/>
              <w:autoSpaceDN w:val="0"/>
              <w:adjustRightInd w:val="0"/>
              <w:jc w:val="left"/>
              <w:rPr>
                <w:rFonts w:cs="Tahoma"/>
                <w:szCs w:val="22"/>
                <w:lang w:eastAsia="ru-RU"/>
              </w:rPr>
            </w:pPr>
          </w:p>
        </w:tc>
        <w:tc>
          <w:tcPr>
            <w:tcW w:w="1710" w:type="dxa"/>
          </w:tcPr>
          <w:p w14:paraId="25F47901" w14:textId="7CB9F22A" w:rsidR="004A3926" w:rsidRPr="002C74E3" w:rsidRDefault="0094134E" w:rsidP="003F5797">
            <w:pPr>
              <w:tabs>
                <w:tab w:val="left" w:pos="144"/>
              </w:tabs>
              <w:jc w:val="left"/>
              <w:rPr>
                <w:rFonts w:cs="Tahoma"/>
                <w:szCs w:val="22"/>
              </w:rPr>
            </w:pPr>
            <w:r>
              <w:rPr>
                <w:rFonts w:cs="Tahoma"/>
                <w:szCs w:val="22"/>
              </w:rPr>
              <w:lastRenderedPageBreak/>
              <w:t>October 2020/</w:t>
            </w:r>
            <w:r w:rsidR="00654355">
              <w:rPr>
                <w:rFonts w:cs="Tahoma"/>
                <w:szCs w:val="22"/>
              </w:rPr>
              <w:t xml:space="preserve">30% </w:t>
            </w:r>
            <w:r w:rsidR="006176B9">
              <w:rPr>
                <w:rFonts w:cs="Tahoma"/>
                <w:szCs w:val="22"/>
              </w:rPr>
              <w:t xml:space="preserve">fee </w:t>
            </w:r>
            <w:r w:rsidR="00654355">
              <w:rPr>
                <w:rFonts w:cs="Tahoma"/>
                <w:szCs w:val="22"/>
              </w:rPr>
              <w:t>payable</w:t>
            </w:r>
          </w:p>
        </w:tc>
      </w:tr>
      <w:tr w:rsidR="00145A1B" w:rsidRPr="006E7AE5" w14:paraId="09B96CE4" w14:textId="77777777" w:rsidTr="76D75A83">
        <w:trPr>
          <w:trHeight w:val="512"/>
        </w:trPr>
        <w:tc>
          <w:tcPr>
            <w:tcW w:w="4230" w:type="dxa"/>
            <w:tcBorders>
              <w:bottom w:val="single" w:sz="4" w:space="0" w:color="auto"/>
            </w:tcBorders>
            <w:vAlign w:val="center"/>
          </w:tcPr>
          <w:p w14:paraId="615D8B96" w14:textId="7090124C" w:rsidR="000C55E9" w:rsidRPr="002C74E3" w:rsidRDefault="00654355" w:rsidP="003F5797">
            <w:pPr>
              <w:jc w:val="left"/>
              <w:rPr>
                <w:rFonts w:cs="Tahoma"/>
                <w:szCs w:val="22"/>
              </w:rPr>
            </w:pPr>
            <w:r w:rsidRPr="00654355">
              <w:rPr>
                <w:rFonts w:cs="Tahoma"/>
                <w:szCs w:val="22"/>
              </w:rPr>
              <w:t>Data entry, analysis and interpretation</w:t>
            </w:r>
          </w:p>
        </w:tc>
        <w:tc>
          <w:tcPr>
            <w:tcW w:w="4320" w:type="dxa"/>
            <w:tcBorders>
              <w:bottom w:val="single" w:sz="4" w:space="0" w:color="auto"/>
            </w:tcBorders>
          </w:tcPr>
          <w:p w14:paraId="1BB1625C" w14:textId="2470A554" w:rsidR="6CDFF084" w:rsidRDefault="3EA1D80A" w:rsidP="36617519">
            <w:pPr>
              <w:ind w:left="50" w:hanging="270"/>
              <w:jc w:val="left"/>
              <w:rPr>
                <w:rFonts w:cs="Tahoma"/>
                <w:b/>
                <w:bCs/>
                <w:lang w:eastAsia="ru-RU"/>
              </w:rPr>
            </w:pPr>
            <w:r w:rsidRPr="76D75A83">
              <w:rPr>
                <w:rFonts w:cs="Tahoma"/>
                <w:lang w:eastAsia="ru-RU"/>
              </w:rPr>
              <w:t xml:space="preserve">     </w:t>
            </w:r>
            <w:r w:rsidRPr="76D75A83">
              <w:rPr>
                <w:rFonts w:cs="Tahoma"/>
                <w:b/>
                <w:bCs/>
                <w:lang w:eastAsia="ru-RU"/>
              </w:rPr>
              <w:t>Completion report</w:t>
            </w:r>
            <w:r w:rsidR="6C8665D9" w:rsidRPr="76D75A83">
              <w:rPr>
                <w:rFonts w:cs="Tahoma"/>
                <w:b/>
                <w:bCs/>
                <w:lang w:eastAsia="ru-RU"/>
              </w:rPr>
              <w:t xml:space="preserve"> containing</w:t>
            </w:r>
          </w:p>
          <w:p w14:paraId="7408BB6C" w14:textId="74FE2171" w:rsidR="000F44FA" w:rsidRPr="000F44FA" w:rsidRDefault="000F44FA" w:rsidP="003F5797">
            <w:pPr>
              <w:pStyle w:val="ListParagraph"/>
              <w:numPr>
                <w:ilvl w:val="1"/>
                <w:numId w:val="14"/>
              </w:numPr>
              <w:autoSpaceDE w:val="0"/>
              <w:autoSpaceDN w:val="0"/>
              <w:adjustRightInd w:val="0"/>
              <w:ind w:left="320" w:hanging="270"/>
              <w:jc w:val="left"/>
              <w:rPr>
                <w:rFonts w:cs="Tahoma"/>
                <w:b w:val="0"/>
                <w:bCs/>
                <w:szCs w:val="22"/>
                <w:lang w:eastAsia="ru-RU"/>
              </w:rPr>
            </w:pPr>
            <w:r>
              <w:rPr>
                <w:rFonts w:cs="Tahoma"/>
                <w:b w:val="0"/>
                <w:bCs/>
                <w:szCs w:val="22"/>
                <w:lang w:eastAsia="ru-RU"/>
              </w:rPr>
              <w:t>D</w:t>
            </w:r>
            <w:r w:rsidR="00790D4A">
              <w:rPr>
                <w:rFonts w:cs="Tahoma"/>
                <w:b w:val="0"/>
                <w:bCs/>
                <w:szCs w:val="22"/>
                <w:lang w:eastAsia="ru-RU"/>
              </w:rPr>
              <w:t>ata entered</w:t>
            </w:r>
            <w:r w:rsidRPr="000F44FA">
              <w:rPr>
                <w:rFonts w:cs="Tahoma"/>
                <w:b w:val="0"/>
                <w:bCs/>
                <w:szCs w:val="22"/>
                <w:lang w:eastAsia="ru-RU"/>
              </w:rPr>
              <w:t xml:space="preserve"> using the </w:t>
            </w:r>
            <w:proofErr w:type="spellStart"/>
            <w:r w:rsidRPr="000F44FA">
              <w:rPr>
                <w:rFonts w:cs="Tahoma"/>
                <w:b w:val="0"/>
                <w:bCs/>
                <w:szCs w:val="22"/>
                <w:lang w:eastAsia="ru-RU"/>
              </w:rPr>
              <w:t>CSPro</w:t>
            </w:r>
            <w:proofErr w:type="spellEnd"/>
            <w:r w:rsidRPr="000F44FA">
              <w:rPr>
                <w:rFonts w:cs="Tahoma"/>
                <w:b w:val="0"/>
                <w:bCs/>
                <w:szCs w:val="22"/>
                <w:lang w:eastAsia="ru-RU"/>
              </w:rPr>
              <w:t xml:space="preserve"> application</w:t>
            </w:r>
          </w:p>
          <w:p w14:paraId="0E0B233C" w14:textId="03450C7D" w:rsidR="000F44FA" w:rsidRPr="000F44FA" w:rsidRDefault="00790D4A" w:rsidP="003F5797">
            <w:pPr>
              <w:pStyle w:val="ListParagraph"/>
              <w:numPr>
                <w:ilvl w:val="1"/>
                <w:numId w:val="14"/>
              </w:numPr>
              <w:autoSpaceDE w:val="0"/>
              <w:autoSpaceDN w:val="0"/>
              <w:adjustRightInd w:val="0"/>
              <w:ind w:left="320" w:hanging="270"/>
              <w:jc w:val="left"/>
              <w:rPr>
                <w:rFonts w:cs="Tahoma"/>
                <w:b w:val="0"/>
                <w:bCs/>
                <w:szCs w:val="22"/>
                <w:lang w:eastAsia="ru-RU"/>
              </w:rPr>
            </w:pPr>
            <w:r w:rsidRPr="000F44FA">
              <w:rPr>
                <w:rFonts w:cs="Tahoma"/>
                <w:b w:val="0"/>
                <w:bCs/>
                <w:szCs w:val="22"/>
                <w:lang w:eastAsia="ru-RU"/>
              </w:rPr>
              <w:t>Edit</w:t>
            </w:r>
            <w:r>
              <w:rPr>
                <w:rFonts w:cs="Tahoma"/>
                <w:b w:val="0"/>
                <w:bCs/>
                <w:szCs w:val="22"/>
                <w:lang w:eastAsia="ru-RU"/>
              </w:rPr>
              <w:t>ed</w:t>
            </w:r>
            <w:r w:rsidR="000F44FA" w:rsidRPr="000F44FA">
              <w:rPr>
                <w:rFonts w:cs="Tahoma"/>
                <w:b w:val="0"/>
                <w:bCs/>
                <w:szCs w:val="22"/>
                <w:lang w:eastAsia="ru-RU"/>
              </w:rPr>
              <w:t>, validate</w:t>
            </w:r>
            <w:r>
              <w:rPr>
                <w:rFonts w:cs="Tahoma"/>
                <w:b w:val="0"/>
                <w:bCs/>
                <w:szCs w:val="22"/>
                <w:lang w:eastAsia="ru-RU"/>
              </w:rPr>
              <w:t>d</w:t>
            </w:r>
            <w:r w:rsidR="000F44FA" w:rsidRPr="000F44FA">
              <w:rPr>
                <w:rFonts w:cs="Tahoma"/>
                <w:b w:val="0"/>
                <w:bCs/>
                <w:szCs w:val="22"/>
                <w:lang w:eastAsia="ru-RU"/>
              </w:rPr>
              <w:t xml:space="preserve"> and clean data set, </w:t>
            </w:r>
            <w:r>
              <w:rPr>
                <w:rFonts w:cs="Tahoma"/>
                <w:b w:val="0"/>
                <w:bCs/>
                <w:szCs w:val="22"/>
                <w:lang w:eastAsia="ru-RU"/>
              </w:rPr>
              <w:t xml:space="preserve">presented and checked </w:t>
            </w:r>
            <w:r w:rsidR="000F44FA" w:rsidRPr="000F44FA">
              <w:rPr>
                <w:rFonts w:cs="Tahoma"/>
                <w:b w:val="0"/>
                <w:bCs/>
                <w:szCs w:val="22"/>
                <w:lang w:eastAsia="ru-RU"/>
              </w:rPr>
              <w:t>for consistency and accuracy</w:t>
            </w:r>
          </w:p>
          <w:p w14:paraId="5C537828" w14:textId="5448E479" w:rsidR="000F44FA" w:rsidRPr="000F44FA" w:rsidRDefault="000F44FA" w:rsidP="003F5797">
            <w:pPr>
              <w:pStyle w:val="ListParagraph"/>
              <w:numPr>
                <w:ilvl w:val="1"/>
                <w:numId w:val="14"/>
              </w:numPr>
              <w:autoSpaceDE w:val="0"/>
              <w:autoSpaceDN w:val="0"/>
              <w:adjustRightInd w:val="0"/>
              <w:ind w:left="320" w:hanging="270"/>
              <w:jc w:val="left"/>
              <w:rPr>
                <w:rFonts w:cs="Tahoma"/>
                <w:b w:val="0"/>
                <w:bCs/>
                <w:szCs w:val="22"/>
                <w:lang w:eastAsia="ru-RU"/>
              </w:rPr>
            </w:pPr>
            <w:r w:rsidRPr="000F44FA">
              <w:rPr>
                <w:rFonts w:cs="Tahoma"/>
                <w:b w:val="0"/>
                <w:bCs/>
                <w:szCs w:val="22"/>
                <w:lang w:eastAsia="ru-RU"/>
              </w:rPr>
              <w:t>Export</w:t>
            </w:r>
            <w:r w:rsidR="00790D4A">
              <w:rPr>
                <w:rFonts w:cs="Tahoma"/>
                <w:b w:val="0"/>
                <w:bCs/>
                <w:szCs w:val="22"/>
                <w:lang w:eastAsia="ru-RU"/>
              </w:rPr>
              <w:t>ed</w:t>
            </w:r>
            <w:r w:rsidRPr="000F44FA">
              <w:rPr>
                <w:rFonts w:cs="Tahoma"/>
                <w:b w:val="0"/>
                <w:bCs/>
                <w:szCs w:val="22"/>
                <w:lang w:eastAsia="ru-RU"/>
              </w:rPr>
              <w:t xml:space="preserve"> data set for analysis (SARA indicators)</w:t>
            </w:r>
          </w:p>
          <w:p w14:paraId="5CC0E251" w14:textId="0B3B2C6F" w:rsidR="004A3926" w:rsidRPr="000F44FA" w:rsidRDefault="00790D4A" w:rsidP="003F5797">
            <w:pPr>
              <w:pStyle w:val="ListParagraph"/>
              <w:numPr>
                <w:ilvl w:val="0"/>
                <w:numId w:val="15"/>
              </w:numPr>
              <w:autoSpaceDE w:val="0"/>
              <w:autoSpaceDN w:val="0"/>
              <w:adjustRightInd w:val="0"/>
              <w:ind w:left="320" w:hanging="270"/>
              <w:jc w:val="left"/>
              <w:rPr>
                <w:rFonts w:cs="Tahoma"/>
                <w:b w:val="0"/>
                <w:bCs/>
                <w:szCs w:val="22"/>
                <w:lang w:eastAsia="ru-RU"/>
              </w:rPr>
            </w:pPr>
            <w:r>
              <w:rPr>
                <w:rFonts w:cs="Tahoma"/>
                <w:b w:val="0"/>
                <w:bCs/>
                <w:szCs w:val="22"/>
                <w:lang w:eastAsia="ru-RU"/>
              </w:rPr>
              <w:t>Analysis</w:t>
            </w:r>
            <w:r w:rsidR="000F44FA" w:rsidRPr="000F44FA">
              <w:rPr>
                <w:rFonts w:cs="Tahoma"/>
                <w:b w:val="0"/>
                <w:bCs/>
                <w:szCs w:val="22"/>
                <w:lang w:eastAsia="ru-RU"/>
              </w:rPr>
              <w:t xml:space="preserve"> of SARA data using the standard core indicators (SARA automated tool for results graphs and tables) as well as any </w:t>
            </w:r>
            <w:r>
              <w:rPr>
                <w:rFonts w:cs="Tahoma"/>
                <w:b w:val="0"/>
                <w:bCs/>
                <w:szCs w:val="22"/>
                <w:lang w:eastAsia="ru-RU"/>
              </w:rPr>
              <w:t>context</w:t>
            </w:r>
            <w:r w:rsidR="000F44FA" w:rsidRPr="000F44FA">
              <w:rPr>
                <w:rFonts w:cs="Tahoma"/>
                <w:b w:val="0"/>
                <w:bCs/>
                <w:szCs w:val="22"/>
                <w:lang w:eastAsia="ru-RU"/>
              </w:rPr>
              <w:t>-specific indicators of interest</w:t>
            </w:r>
          </w:p>
        </w:tc>
        <w:tc>
          <w:tcPr>
            <w:tcW w:w="1710" w:type="dxa"/>
            <w:tcBorders>
              <w:bottom w:val="single" w:sz="4" w:space="0" w:color="auto"/>
            </w:tcBorders>
          </w:tcPr>
          <w:p w14:paraId="01ADF5C0" w14:textId="5EFBB538" w:rsidR="004A3926" w:rsidRPr="002C74E3" w:rsidRDefault="00790D4A" w:rsidP="003F5797">
            <w:pPr>
              <w:tabs>
                <w:tab w:val="left" w:pos="144"/>
              </w:tabs>
              <w:jc w:val="left"/>
              <w:rPr>
                <w:rFonts w:cs="Tahoma"/>
                <w:szCs w:val="22"/>
              </w:rPr>
            </w:pPr>
            <w:r>
              <w:rPr>
                <w:rFonts w:cs="Tahoma"/>
                <w:szCs w:val="22"/>
              </w:rPr>
              <w:t>November</w:t>
            </w:r>
            <w:r w:rsidR="006176B9">
              <w:rPr>
                <w:rFonts w:cs="Tahoma"/>
                <w:szCs w:val="22"/>
              </w:rPr>
              <w:t xml:space="preserve"> 2020/30% fee payable</w:t>
            </w:r>
          </w:p>
        </w:tc>
      </w:tr>
      <w:tr w:rsidR="00E609B0" w:rsidRPr="006E7AE5" w14:paraId="591819FB" w14:textId="77777777" w:rsidTr="76D75A83">
        <w:trPr>
          <w:trHeight w:val="512"/>
        </w:trPr>
        <w:tc>
          <w:tcPr>
            <w:tcW w:w="4230" w:type="dxa"/>
            <w:tcBorders>
              <w:bottom w:val="single" w:sz="4" w:space="0" w:color="auto"/>
            </w:tcBorders>
            <w:vAlign w:val="center"/>
          </w:tcPr>
          <w:p w14:paraId="610B1EAD" w14:textId="66D63163" w:rsidR="00E609B0" w:rsidRPr="002C74E3" w:rsidRDefault="5E09BCC8" w:rsidP="36617519">
            <w:pPr>
              <w:rPr>
                <w:rFonts w:cs="Tahoma"/>
              </w:rPr>
            </w:pPr>
            <w:r w:rsidRPr="36617519">
              <w:rPr>
                <w:rFonts w:cs="Tahoma"/>
              </w:rPr>
              <w:t>Finalization and r</w:t>
            </w:r>
            <w:r w:rsidR="00690333" w:rsidRPr="36617519">
              <w:rPr>
                <w:rFonts w:cs="Tahoma"/>
              </w:rPr>
              <w:t>esults dissemination</w:t>
            </w:r>
          </w:p>
        </w:tc>
        <w:tc>
          <w:tcPr>
            <w:tcW w:w="4320" w:type="dxa"/>
            <w:tcBorders>
              <w:bottom w:val="single" w:sz="4" w:space="0" w:color="auto"/>
            </w:tcBorders>
          </w:tcPr>
          <w:p w14:paraId="01FA9DD5" w14:textId="1F6EF22B" w:rsidR="0F42AFE6" w:rsidRDefault="1A949D4A" w:rsidP="36617519">
            <w:pPr>
              <w:ind w:left="50" w:hanging="270"/>
              <w:rPr>
                <w:rFonts w:cs="Tahoma"/>
                <w:b/>
                <w:bCs/>
                <w:lang w:eastAsia="ru-RU"/>
              </w:rPr>
            </w:pPr>
            <w:r w:rsidRPr="76D75A83">
              <w:rPr>
                <w:rFonts w:cs="Tahoma"/>
                <w:lang w:eastAsia="ru-RU"/>
              </w:rPr>
              <w:t xml:space="preserve">     </w:t>
            </w:r>
            <w:r w:rsidRPr="76D75A83">
              <w:rPr>
                <w:rFonts w:cs="Tahoma"/>
                <w:b/>
                <w:bCs/>
                <w:lang w:eastAsia="ru-RU"/>
              </w:rPr>
              <w:t xml:space="preserve">Final report containing </w:t>
            </w:r>
          </w:p>
          <w:p w14:paraId="78FCE451" w14:textId="0DC4968A" w:rsidR="004D2E8B" w:rsidRPr="006B02DB" w:rsidRDefault="006B02DB" w:rsidP="36617519">
            <w:pPr>
              <w:pStyle w:val="ListParagraph"/>
              <w:numPr>
                <w:ilvl w:val="1"/>
                <w:numId w:val="14"/>
              </w:numPr>
              <w:autoSpaceDE w:val="0"/>
              <w:autoSpaceDN w:val="0"/>
              <w:adjustRightInd w:val="0"/>
              <w:ind w:left="320" w:hanging="270"/>
              <w:rPr>
                <w:rFonts w:cs="Tahoma"/>
                <w:b w:val="0"/>
                <w:lang w:eastAsia="ru-RU"/>
              </w:rPr>
            </w:pPr>
            <w:r w:rsidRPr="36617519">
              <w:rPr>
                <w:rFonts w:cs="Tahoma"/>
                <w:b w:val="0"/>
                <w:lang w:eastAsia="ru-RU"/>
              </w:rPr>
              <w:t>SARA-EHO</w:t>
            </w:r>
            <w:r w:rsidR="004D2E8B" w:rsidRPr="36617519">
              <w:rPr>
                <w:rFonts w:cs="Tahoma"/>
                <w:b w:val="0"/>
                <w:lang w:eastAsia="ru-RU"/>
              </w:rPr>
              <w:t xml:space="preserve"> coordinating group </w:t>
            </w:r>
            <w:r w:rsidR="002C75D6" w:rsidRPr="36617519">
              <w:rPr>
                <w:rFonts w:cs="Tahoma"/>
                <w:b w:val="0"/>
                <w:lang w:eastAsia="ru-RU"/>
              </w:rPr>
              <w:t>facili</w:t>
            </w:r>
            <w:r w:rsidR="3768C1F8" w:rsidRPr="36617519">
              <w:rPr>
                <w:rFonts w:cs="Tahoma"/>
                <w:b w:val="0"/>
                <w:lang w:eastAsia="ru-RU"/>
              </w:rPr>
              <w:t>t</w:t>
            </w:r>
            <w:r w:rsidR="002C75D6" w:rsidRPr="36617519">
              <w:rPr>
                <w:rFonts w:cs="Tahoma"/>
                <w:b w:val="0"/>
                <w:lang w:eastAsia="ru-RU"/>
              </w:rPr>
              <w:t>ated</w:t>
            </w:r>
            <w:r w:rsidRPr="36617519">
              <w:rPr>
                <w:rFonts w:cs="Tahoma"/>
                <w:b w:val="0"/>
                <w:lang w:eastAsia="ru-RU"/>
              </w:rPr>
              <w:t xml:space="preserve"> </w:t>
            </w:r>
            <w:r w:rsidR="004D2E8B" w:rsidRPr="36617519">
              <w:rPr>
                <w:rFonts w:cs="Tahoma"/>
                <w:b w:val="0"/>
                <w:lang w:eastAsia="ru-RU"/>
              </w:rPr>
              <w:t xml:space="preserve">to </w:t>
            </w:r>
            <w:r w:rsidR="78F2EECB" w:rsidRPr="36617519">
              <w:rPr>
                <w:rFonts w:cs="Tahoma"/>
                <w:b w:val="0"/>
                <w:lang w:eastAsia="ru-RU"/>
              </w:rPr>
              <w:t xml:space="preserve">analyse, </w:t>
            </w:r>
            <w:r w:rsidR="004D2E8B" w:rsidRPr="36617519">
              <w:rPr>
                <w:rFonts w:cs="Tahoma"/>
                <w:b w:val="0"/>
                <w:lang w:eastAsia="ru-RU"/>
              </w:rPr>
              <w:t xml:space="preserve">interpret </w:t>
            </w:r>
            <w:r w:rsidRPr="36617519">
              <w:rPr>
                <w:rFonts w:cs="Tahoma"/>
                <w:b w:val="0"/>
                <w:lang w:eastAsia="ru-RU"/>
              </w:rPr>
              <w:t>assessment</w:t>
            </w:r>
            <w:r w:rsidR="004D2E8B" w:rsidRPr="36617519">
              <w:rPr>
                <w:rFonts w:cs="Tahoma"/>
                <w:b w:val="0"/>
                <w:lang w:eastAsia="ru-RU"/>
              </w:rPr>
              <w:t xml:space="preserve"> results and finalize recommendations</w:t>
            </w:r>
          </w:p>
          <w:p w14:paraId="7E61418A" w14:textId="06F6EE47" w:rsidR="004D2E8B" w:rsidRPr="006B02DB" w:rsidRDefault="006B02DB" w:rsidP="36617519">
            <w:pPr>
              <w:pStyle w:val="ListParagraph"/>
              <w:numPr>
                <w:ilvl w:val="1"/>
                <w:numId w:val="14"/>
              </w:numPr>
              <w:autoSpaceDE w:val="0"/>
              <w:autoSpaceDN w:val="0"/>
              <w:adjustRightInd w:val="0"/>
              <w:ind w:left="320" w:hanging="270"/>
              <w:rPr>
                <w:rFonts w:cs="Tahoma"/>
                <w:b w:val="0"/>
                <w:lang w:eastAsia="ru-RU"/>
              </w:rPr>
            </w:pPr>
            <w:r w:rsidRPr="36617519">
              <w:rPr>
                <w:rFonts w:cs="Tahoma"/>
                <w:b w:val="0"/>
                <w:lang w:eastAsia="ru-RU"/>
              </w:rPr>
              <w:t xml:space="preserve">Dissemination plan </w:t>
            </w:r>
            <w:r w:rsidR="006A3553" w:rsidRPr="36617519">
              <w:rPr>
                <w:rFonts w:cs="Tahoma"/>
                <w:b w:val="0"/>
                <w:lang w:eastAsia="ru-RU"/>
              </w:rPr>
              <w:t>drafted</w:t>
            </w:r>
            <w:r w:rsidR="30A102FF" w:rsidRPr="36617519">
              <w:rPr>
                <w:rFonts w:cs="Tahoma"/>
                <w:b w:val="0"/>
                <w:lang w:eastAsia="ru-RU"/>
              </w:rPr>
              <w:t xml:space="preserve"> and developed</w:t>
            </w:r>
          </w:p>
          <w:p w14:paraId="02A4C09F" w14:textId="683204E4" w:rsidR="00E609B0" w:rsidRPr="006B02DB" w:rsidRDefault="004D2E8B" w:rsidP="36617519">
            <w:pPr>
              <w:pStyle w:val="ListParagraph"/>
              <w:numPr>
                <w:ilvl w:val="0"/>
                <w:numId w:val="15"/>
              </w:numPr>
              <w:autoSpaceDE w:val="0"/>
              <w:autoSpaceDN w:val="0"/>
              <w:adjustRightInd w:val="0"/>
              <w:ind w:left="320" w:hanging="270"/>
              <w:rPr>
                <w:rFonts w:cs="Tahoma"/>
                <w:b w:val="0"/>
                <w:lang w:eastAsia="ru-RU"/>
              </w:rPr>
            </w:pPr>
            <w:r w:rsidRPr="36617519">
              <w:rPr>
                <w:rFonts w:cs="Tahoma"/>
                <w:b w:val="0"/>
                <w:lang w:eastAsia="ru-RU"/>
              </w:rPr>
              <w:t>Document</w:t>
            </w:r>
            <w:r w:rsidR="002C75D6" w:rsidRPr="36617519">
              <w:rPr>
                <w:rFonts w:cs="Tahoma"/>
                <w:b w:val="0"/>
                <w:lang w:eastAsia="ru-RU"/>
              </w:rPr>
              <w:t>ed</w:t>
            </w:r>
            <w:r w:rsidRPr="36617519">
              <w:rPr>
                <w:rFonts w:cs="Tahoma"/>
                <w:b w:val="0"/>
                <w:lang w:eastAsia="ru-RU"/>
              </w:rPr>
              <w:t xml:space="preserve"> and archive</w:t>
            </w:r>
            <w:r w:rsidR="002C75D6" w:rsidRPr="36617519">
              <w:rPr>
                <w:rFonts w:cs="Tahoma"/>
                <w:b w:val="0"/>
                <w:lang w:eastAsia="ru-RU"/>
              </w:rPr>
              <w:t>d</w:t>
            </w:r>
            <w:r w:rsidR="241028A5" w:rsidRPr="36617519">
              <w:rPr>
                <w:rFonts w:cs="Tahoma"/>
                <w:b w:val="0"/>
                <w:lang w:eastAsia="ru-RU"/>
              </w:rPr>
              <w:t xml:space="preserve"> all </w:t>
            </w:r>
            <w:r w:rsidR="006A3553" w:rsidRPr="36617519">
              <w:rPr>
                <w:rFonts w:cs="Tahoma"/>
                <w:b w:val="0"/>
                <w:lang w:eastAsia="ru-RU"/>
              </w:rPr>
              <w:t>assessment</w:t>
            </w:r>
            <w:r w:rsidR="0A129207" w:rsidRPr="36617519">
              <w:rPr>
                <w:rFonts w:cs="Tahoma"/>
                <w:b w:val="0"/>
                <w:lang w:eastAsia="ru-RU"/>
              </w:rPr>
              <w:t xml:space="preserve"> related information and resources</w:t>
            </w:r>
            <w:r w:rsidR="4AF8D4B5" w:rsidRPr="36617519">
              <w:rPr>
                <w:rFonts w:cs="Tahoma"/>
                <w:b w:val="0"/>
                <w:lang w:eastAsia="ru-RU"/>
              </w:rPr>
              <w:t xml:space="preserve"> </w:t>
            </w:r>
            <w:r w:rsidRPr="36617519">
              <w:rPr>
                <w:rFonts w:cs="Tahoma"/>
                <w:b w:val="0"/>
                <w:lang w:eastAsia="ru-RU"/>
              </w:rPr>
              <w:t>using metadata standards</w:t>
            </w:r>
          </w:p>
        </w:tc>
        <w:tc>
          <w:tcPr>
            <w:tcW w:w="1710" w:type="dxa"/>
            <w:tcBorders>
              <w:bottom w:val="single" w:sz="4" w:space="0" w:color="auto"/>
            </w:tcBorders>
          </w:tcPr>
          <w:p w14:paraId="057E4B36" w14:textId="3D5476E8" w:rsidR="00E609B0" w:rsidRDefault="006A3553" w:rsidP="00873B6A">
            <w:pPr>
              <w:tabs>
                <w:tab w:val="left" w:pos="144"/>
              </w:tabs>
              <w:rPr>
                <w:rFonts w:cs="Tahoma"/>
                <w:szCs w:val="22"/>
              </w:rPr>
            </w:pPr>
            <w:r>
              <w:rPr>
                <w:rFonts w:cs="Tahoma"/>
                <w:szCs w:val="22"/>
              </w:rPr>
              <w:t>Dec 2020/10% fee payable</w:t>
            </w:r>
          </w:p>
        </w:tc>
      </w:tr>
      <w:tr w:rsidR="00E609B0" w:rsidRPr="006E7AE5" w14:paraId="705B1B61" w14:textId="77777777" w:rsidTr="76D75A83">
        <w:trPr>
          <w:trHeight w:val="512"/>
        </w:trPr>
        <w:tc>
          <w:tcPr>
            <w:tcW w:w="4230" w:type="dxa"/>
            <w:tcBorders>
              <w:bottom w:val="single" w:sz="4" w:space="0" w:color="auto"/>
            </w:tcBorders>
            <w:vAlign w:val="center"/>
          </w:tcPr>
          <w:p w14:paraId="0FF6CB09" w14:textId="77777777" w:rsidR="00E609B0" w:rsidRPr="002C74E3" w:rsidRDefault="00E609B0" w:rsidP="002C22AD">
            <w:pPr>
              <w:rPr>
                <w:rFonts w:cs="Tahoma"/>
                <w:szCs w:val="22"/>
              </w:rPr>
            </w:pPr>
          </w:p>
        </w:tc>
        <w:tc>
          <w:tcPr>
            <w:tcW w:w="4320" w:type="dxa"/>
            <w:tcBorders>
              <w:bottom w:val="single" w:sz="4" w:space="0" w:color="auto"/>
            </w:tcBorders>
          </w:tcPr>
          <w:p w14:paraId="09D7E2AD" w14:textId="77777777" w:rsidR="00E609B0" w:rsidRPr="002C74E3" w:rsidRDefault="00E609B0" w:rsidP="00406D45">
            <w:pPr>
              <w:autoSpaceDE w:val="0"/>
              <w:autoSpaceDN w:val="0"/>
              <w:adjustRightInd w:val="0"/>
              <w:rPr>
                <w:rFonts w:cs="Tahoma"/>
                <w:b/>
                <w:szCs w:val="22"/>
                <w:lang w:eastAsia="ru-RU"/>
              </w:rPr>
            </w:pPr>
          </w:p>
        </w:tc>
        <w:tc>
          <w:tcPr>
            <w:tcW w:w="1710" w:type="dxa"/>
            <w:tcBorders>
              <w:bottom w:val="single" w:sz="4" w:space="0" w:color="auto"/>
            </w:tcBorders>
          </w:tcPr>
          <w:p w14:paraId="3A1FC87C" w14:textId="77777777" w:rsidR="00E609B0" w:rsidRDefault="00E609B0" w:rsidP="00873B6A">
            <w:pPr>
              <w:tabs>
                <w:tab w:val="left" w:pos="144"/>
              </w:tabs>
              <w:rPr>
                <w:rFonts w:cs="Tahoma"/>
                <w:szCs w:val="22"/>
              </w:rPr>
            </w:pPr>
          </w:p>
        </w:tc>
      </w:tr>
      <w:tr w:rsidR="00AC1BA0" w:rsidRPr="006E7AE5" w14:paraId="586B31CD" w14:textId="77777777" w:rsidTr="76D75A83">
        <w:trPr>
          <w:trHeight w:val="848"/>
        </w:trPr>
        <w:tc>
          <w:tcPr>
            <w:tcW w:w="10260" w:type="dxa"/>
            <w:gridSpan w:val="3"/>
          </w:tcPr>
          <w:p w14:paraId="29932BC4" w14:textId="77777777" w:rsidR="00AC1BA0" w:rsidRDefault="00AC1BA0" w:rsidP="36617519">
            <w:pPr>
              <w:pStyle w:val="ListParagraph"/>
              <w:numPr>
                <w:ilvl w:val="0"/>
                <w:numId w:val="7"/>
              </w:numPr>
              <w:ind w:left="342" w:hanging="342"/>
              <w:rPr>
                <w:rFonts w:cs="Tahoma"/>
              </w:rPr>
            </w:pPr>
            <w:r w:rsidRPr="36617519">
              <w:rPr>
                <w:rFonts w:cs="Tahoma"/>
              </w:rPr>
              <w:t>Advertisement / Invitation / Request for Expression of Interest</w:t>
            </w:r>
          </w:p>
          <w:p w14:paraId="0E02CCDF" w14:textId="0CB676C9" w:rsidR="00E119FB" w:rsidRPr="002C22AD" w:rsidRDefault="00824CF5" w:rsidP="00AC1BA0">
            <w:pPr>
              <w:rPr>
                <w:rFonts w:cs="Tahoma"/>
                <w:szCs w:val="22"/>
              </w:rPr>
            </w:pPr>
            <w:r w:rsidRPr="002C22AD">
              <w:rPr>
                <w:rFonts w:cs="Tahoma"/>
                <w:szCs w:val="22"/>
              </w:rPr>
              <w:t xml:space="preserve">The consultancy will be published to the wide UN vacancy and UNICEF open </w:t>
            </w:r>
            <w:r w:rsidR="004A5EF2" w:rsidRPr="002C22AD">
              <w:rPr>
                <w:rFonts w:cs="Tahoma"/>
                <w:szCs w:val="22"/>
              </w:rPr>
              <w:t>vacancy and</w:t>
            </w:r>
            <w:r w:rsidR="00B363B5">
              <w:rPr>
                <w:rFonts w:cs="Tahoma"/>
                <w:szCs w:val="22"/>
              </w:rPr>
              <w:t xml:space="preserve"> will be circulated to the</w:t>
            </w:r>
            <w:r w:rsidRPr="002C22AD">
              <w:rPr>
                <w:rFonts w:cs="Tahoma"/>
                <w:szCs w:val="22"/>
              </w:rPr>
              <w:t xml:space="preserve"> roster </w:t>
            </w:r>
            <w:r w:rsidR="00CB7729">
              <w:rPr>
                <w:rFonts w:cs="Tahoma"/>
                <w:szCs w:val="22"/>
              </w:rPr>
              <w:t>of national consultants in health and PME</w:t>
            </w:r>
            <w:r w:rsidR="00B363B5">
              <w:rPr>
                <w:rFonts w:cs="Tahoma"/>
                <w:szCs w:val="22"/>
              </w:rPr>
              <w:t xml:space="preserve"> technical networks</w:t>
            </w:r>
            <w:r w:rsidR="00451143">
              <w:rPr>
                <w:rFonts w:cs="Tahoma"/>
                <w:szCs w:val="22"/>
              </w:rPr>
              <w:t>.</w:t>
            </w:r>
            <w:r w:rsidR="00951AF5">
              <w:rPr>
                <w:rFonts w:cs="Tahoma"/>
                <w:szCs w:val="22"/>
              </w:rPr>
              <w:t xml:space="preserve"> The vacancy will be marked</w:t>
            </w:r>
            <w:r w:rsidR="00DD01BC">
              <w:rPr>
                <w:rFonts w:cs="Tahoma"/>
                <w:szCs w:val="22"/>
              </w:rPr>
              <w:t xml:space="preserve"> ‘For Myanmar Nationals</w:t>
            </w:r>
            <w:r w:rsidR="00CB7729">
              <w:rPr>
                <w:rFonts w:cs="Tahoma"/>
                <w:szCs w:val="22"/>
              </w:rPr>
              <w:t xml:space="preserve"> only</w:t>
            </w:r>
            <w:r w:rsidR="00DD01BC">
              <w:rPr>
                <w:rFonts w:cs="Tahoma"/>
                <w:szCs w:val="22"/>
              </w:rPr>
              <w:t>’</w:t>
            </w:r>
            <w:r w:rsidR="004A5EF2">
              <w:rPr>
                <w:rFonts w:cs="Tahoma"/>
                <w:szCs w:val="22"/>
              </w:rPr>
              <w:t>.</w:t>
            </w:r>
          </w:p>
          <w:p w14:paraId="3C09A0D0" w14:textId="4F8F8284" w:rsidR="00AC1BA0" w:rsidRPr="00AC1BA0" w:rsidRDefault="00824CF5" w:rsidP="002C22AD">
            <w:pPr>
              <w:rPr>
                <w:rFonts w:cs="Tahoma"/>
                <w:szCs w:val="22"/>
              </w:rPr>
            </w:pPr>
            <w:r w:rsidRPr="002C22AD">
              <w:rPr>
                <w:rFonts w:cs="Tahoma"/>
                <w:szCs w:val="22"/>
              </w:rPr>
              <w:t xml:space="preserve">HR Unit will </w:t>
            </w:r>
            <w:r w:rsidR="00E119FB" w:rsidRPr="002C22AD">
              <w:rPr>
                <w:rFonts w:cs="Tahoma"/>
                <w:szCs w:val="22"/>
              </w:rPr>
              <w:t xml:space="preserve">be responsible </w:t>
            </w:r>
            <w:r w:rsidR="00850019" w:rsidRPr="002C22AD">
              <w:rPr>
                <w:rFonts w:cs="Tahoma"/>
                <w:szCs w:val="22"/>
              </w:rPr>
              <w:t xml:space="preserve">for </w:t>
            </w:r>
            <w:r w:rsidRPr="002C22AD">
              <w:rPr>
                <w:rFonts w:cs="Tahoma"/>
                <w:szCs w:val="22"/>
              </w:rPr>
              <w:t>publishing in UN and UNICEF websites</w:t>
            </w:r>
          </w:p>
        </w:tc>
      </w:tr>
      <w:tr w:rsidR="001E405C" w:rsidRPr="006E7AE5" w14:paraId="4C73E60F" w14:textId="77777777" w:rsidTr="76D75A83">
        <w:trPr>
          <w:trHeight w:val="848"/>
        </w:trPr>
        <w:tc>
          <w:tcPr>
            <w:tcW w:w="10260" w:type="dxa"/>
            <w:gridSpan w:val="3"/>
          </w:tcPr>
          <w:p w14:paraId="23626CBA" w14:textId="77777777" w:rsidR="001E405C" w:rsidRPr="00FA3389" w:rsidRDefault="000A40CF" w:rsidP="36617519">
            <w:pPr>
              <w:pStyle w:val="ListParagraph"/>
              <w:numPr>
                <w:ilvl w:val="0"/>
                <w:numId w:val="7"/>
              </w:numPr>
              <w:ind w:left="342" w:hanging="342"/>
              <w:rPr>
                <w:rFonts w:cs="Tahoma"/>
              </w:rPr>
            </w:pPr>
            <w:r w:rsidRPr="36617519">
              <w:rPr>
                <w:rFonts w:cs="Tahoma"/>
              </w:rPr>
              <w:t>Selection process</w:t>
            </w:r>
            <w:r w:rsidR="000C51C1" w:rsidRPr="36617519">
              <w:rPr>
                <w:rFonts w:cs="Tahoma"/>
              </w:rPr>
              <w:t xml:space="preserve"> (EOI to be attached to TOR)</w:t>
            </w:r>
          </w:p>
          <w:p w14:paraId="11F1DA97" w14:textId="7895B8F8" w:rsidR="00AF487C" w:rsidRPr="00824CF5" w:rsidRDefault="00141B28" w:rsidP="000D4058">
            <w:pPr>
              <w:rPr>
                <w:rFonts w:cs="Tahoma"/>
                <w:szCs w:val="22"/>
              </w:rPr>
            </w:pPr>
            <w:r w:rsidRPr="00824CF5">
              <w:rPr>
                <w:rFonts w:cs="Tahoma"/>
                <w:szCs w:val="22"/>
              </w:rPr>
              <w:t>Interested candidates are required to comp</w:t>
            </w:r>
            <w:r w:rsidR="00643DD5" w:rsidRPr="00824CF5">
              <w:rPr>
                <w:rFonts w:cs="Tahoma"/>
                <w:szCs w:val="22"/>
              </w:rPr>
              <w:t>lete</w:t>
            </w:r>
            <w:r w:rsidRPr="00824CF5">
              <w:rPr>
                <w:rFonts w:cs="Tahoma"/>
                <w:szCs w:val="22"/>
              </w:rPr>
              <w:t xml:space="preserve"> the Expression of Interest Form circulated with the call for proposals, answering the technical questions included. </w:t>
            </w:r>
          </w:p>
          <w:p w14:paraId="065B7D1E" w14:textId="7787258B" w:rsidR="00141B28" w:rsidRPr="00824CF5" w:rsidRDefault="00141B28" w:rsidP="000D4058">
            <w:pPr>
              <w:rPr>
                <w:rFonts w:cs="Tahoma"/>
                <w:szCs w:val="22"/>
              </w:rPr>
            </w:pPr>
            <w:r w:rsidRPr="00824CF5">
              <w:rPr>
                <w:rFonts w:cs="Tahoma"/>
                <w:szCs w:val="22"/>
              </w:rPr>
              <w:t>The consultant will be identified by UNICEF based on a competitive selection</w:t>
            </w:r>
            <w:r w:rsidR="00406D45" w:rsidRPr="00824CF5">
              <w:rPr>
                <w:rFonts w:cs="Tahoma"/>
                <w:szCs w:val="22"/>
              </w:rPr>
              <w:t xml:space="preserve"> process</w:t>
            </w:r>
            <w:r w:rsidRPr="00824CF5">
              <w:rPr>
                <w:rFonts w:cs="Tahoma"/>
                <w:szCs w:val="22"/>
              </w:rPr>
              <w:t xml:space="preserve">, </w:t>
            </w:r>
            <w:r w:rsidR="00FA292E" w:rsidRPr="00824CF5">
              <w:rPr>
                <w:rFonts w:cs="Tahoma"/>
                <w:szCs w:val="22"/>
              </w:rPr>
              <w:t>considering</w:t>
            </w:r>
            <w:r w:rsidRPr="00824CF5">
              <w:rPr>
                <w:rFonts w:cs="Tahoma"/>
                <w:szCs w:val="22"/>
              </w:rPr>
              <w:t xml:space="preserve"> the </w:t>
            </w:r>
            <w:r w:rsidR="00AF487C" w:rsidRPr="00824CF5">
              <w:rPr>
                <w:rFonts w:cs="Tahoma"/>
                <w:szCs w:val="22"/>
              </w:rPr>
              <w:t xml:space="preserve">candidate’s experience, the </w:t>
            </w:r>
            <w:r w:rsidRPr="00824CF5">
              <w:rPr>
                <w:rFonts w:cs="Tahoma"/>
                <w:szCs w:val="22"/>
              </w:rPr>
              <w:t>quality of the answers produced</w:t>
            </w:r>
            <w:r w:rsidR="00406D45" w:rsidRPr="00824CF5">
              <w:rPr>
                <w:rFonts w:cs="Tahoma"/>
                <w:szCs w:val="22"/>
              </w:rPr>
              <w:t>,</w:t>
            </w:r>
            <w:r w:rsidRPr="00824CF5">
              <w:rPr>
                <w:rFonts w:cs="Tahoma"/>
                <w:szCs w:val="22"/>
              </w:rPr>
              <w:t xml:space="preserve"> and of the lump</w:t>
            </w:r>
            <w:r w:rsidR="00406D45" w:rsidRPr="00824CF5">
              <w:rPr>
                <w:rFonts w:cs="Tahoma"/>
                <w:szCs w:val="22"/>
              </w:rPr>
              <w:t>-</w:t>
            </w:r>
            <w:r w:rsidRPr="00824CF5">
              <w:rPr>
                <w:rFonts w:cs="Tahoma"/>
                <w:szCs w:val="22"/>
              </w:rPr>
              <w:t>sum requested.</w:t>
            </w:r>
          </w:p>
          <w:p w14:paraId="7EDBAC74" w14:textId="77777777" w:rsidR="001E405C" w:rsidRPr="006E7AE5" w:rsidRDefault="00141B28" w:rsidP="00406D45">
            <w:pPr>
              <w:rPr>
                <w:rFonts w:cs="Tahoma"/>
                <w:szCs w:val="22"/>
              </w:rPr>
            </w:pPr>
            <w:r w:rsidRPr="00824CF5">
              <w:rPr>
                <w:rFonts w:cs="Tahoma"/>
                <w:szCs w:val="22"/>
              </w:rPr>
              <w:t xml:space="preserve">If deemed opportune, UNICEF will require a telephone interview with shortlisted candidates. </w:t>
            </w:r>
          </w:p>
        </w:tc>
      </w:tr>
      <w:tr w:rsidR="001E405C" w:rsidRPr="006E7AE5" w14:paraId="6CEE6BFC" w14:textId="77777777" w:rsidTr="76D75A83">
        <w:trPr>
          <w:trHeight w:val="848"/>
        </w:trPr>
        <w:tc>
          <w:tcPr>
            <w:tcW w:w="10260" w:type="dxa"/>
            <w:gridSpan w:val="3"/>
          </w:tcPr>
          <w:p w14:paraId="154DBA79" w14:textId="77777777" w:rsidR="001E405C" w:rsidRPr="00FA3389" w:rsidRDefault="001E405C" w:rsidP="36617519">
            <w:pPr>
              <w:pStyle w:val="ListParagraph"/>
              <w:numPr>
                <w:ilvl w:val="0"/>
                <w:numId w:val="7"/>
              </w:numPr>
              <w:ind w:left="342" w:hanging="342"/>
              <w:rPr>
                <w:rFonts w:cs="Tahoma"/>
              </w:rPr>
            </w:pPr>
            <w:r w:rsidRPr="36617519">
              <w:rPr>
                <w:rFonts w:cs="Tahoma"/>
              </w:rPr>
              <w:t>Qualification and specialized knowledge/experience required for the assignment:</w:t>
            </w:r>
          </w:p>
          <w:p w14:paraId="61F77272" w14:textId="4D57A5B6" w:rsidR="000B3FAB" w:rsidRPr="005C6D07" w:rsidRDefault="00066024" w:rsidP="005C6D07">
            <w:pPr>
              <w:pStyle w:val="ListParagraph"/>
              <w:numPr>
                <w:ilvl w:val="0"/>
                <w:numId w:val="9"/>
              </w:numPr>
              <w:rPr>
                <w:rFonts w:cs="Tahoma"/>
                <w:b w:val="0"/>
                <w:szCs w:val="22"/>
              </w:rPr>
            </w:pPr>
            <w:bookmarkStart w:id="2" w:name="OLE_LINK1"/>
            <w:proofErr w:type="gramStart"/>
            <w:r>
              <w:rPr>
                <w:rFonts w:cs="Tahoma"/>
                <w:b w:val="0"/>
                <w:szCs w:val="22"/>
              </w:rPr>
              <w:t>B</w:t>
            </w:r>
            <w:r w:rsidR="009431BD" w:rsidRPr="009431BD">
              <w:rPr>
                <w:rFonts w:cs="Tahoma"/>
                <w:b w:val="0"/>
                <w:szCs w:val="22"/>
              </w:rPr>
              <w:t>achelor</w:t>
            </w:r>
            <w:proofErr w:type="gramEnd"/>
            <w:r w:rsidR="009431BD" w:rsidRPr="009431BD">
              <w:rPr>
                <w:rFonts w:cs="Tahoma"/>
                <w:b w:val="0"/>
                <w:szCs w:val="22"/>
              </w:rPr>
              <w:t xml:space="preserve"> degree </w:t>
            </w:r>
            <w:r>
              <w:rPr>
                <w:rFonts w:cs="Tahoma"/>
                <w:b w:val="0"/>
                <w:szCs w:val="22"/>
              </w:rPr>
              <w:t>is</w:t>
            </w:r>
            <w:r w:rsidR="009431BD" w:rsidRPr="009431BD">
              <w:rPr>
                <w:rFonts w:cs="Tahoma"/>
                <w:b w:val="0"/>
                <w:szCs w:val="22"/>
              </w:rPr>
              <w:t xml:space="preserve"> a requirement and Masters’ </w:t>
            </w:r>
            <w:r>
              <w:rPr>
                <w:rFonts w:cs="Tahoma"/>
                <w:b w:val="0"/>
                <w:szCs w:val="22"/>
              </w:rPr>
              <w:t>is</w:t>
            </w:r>
            <w:r w:rsidR="009431BD" w:rsidRPr="009431BD">
              <w:rPr>
                <w:rFonts w:cs="Tahoma"/>
                <w:b w:val="0"/>
                <w:szCs w:val="22"/>
              </w:rPr>
              <w:t xml:space="preserve"> an asset</w:t>
            </w:r>
            <w:r w:rsidR="009431BD">
              <w:rPr>
                <w:rFonts w:cs="Tahoma"/>
                <w:b w:val="0"/>
                <w:szCs w:val="22"/>
              </w:rPr>
              <w:t xml:space="preserve"> </w:t>
            </w:r>
            <w:r>
              <w:rPr>
                <w:rFonts w:cs="Tahoma"/>
                <w:b w:val="0"/>
                <w:szCs w:val="22"/>
              </w:rPr>
              <w:t>O</w:t>
            </w:r>
            <w:r w:rsidR="005C6D07" w:rsidRPr="005C6D07">
              <w:rPr>
                <w:rFonts w:cs="Tahoma"/>
                <w:b w:val="0"/>
                <w:szCs w:val="22"/>
              </w:rPr>
              <w:t xml:space="preserve">ne of the following fields is required: </w:t>
            </w:r>
            <w:r>
              <w:rPr>
                <w:rFonts w:cs="Tahoma"/>
                <w:b w:val="0"/>
                <w:szCs w:val="22"/>
              </w:rPr>
              <w:t>medical,</w:t>
            </w:r>
            <w:r w:rsidR="007A7E37">
              <w:rPr>
                <w:rFonts w:cs="Tahoma"/>
                <w:b w:val="0"/>
                <w:szCs w:val="22"/>
              </w:rPr>
              <w:t xml:space="preserve"> </w:t>
            </w:r>
            <w:r w:rsidR="005C6D07" w:rsidRPr="005C6D07">
              <w:rPr>
                <w:rFonts w:cs="Tahoma"/>
                <w:b w:val="0"/>
                <w:szCs w:val="22"/>
              </w:rPr>
              <w:t xml:space="preserve">public health, </w:t>
            </w:r>
            <w:r w:rsidR="00756B1F" w:rsidRPr="005C6D07">
              <w:rPr>
                <w:rFonts w:cs="Tahoma"/>
                <w:b w:val="0"/>
                <w:szCs w:val="22"/>
              </w:rPr>
              <w:t>paediatric</w:t>
            </w:r>
            <w:r w:rsidR="005C6D07" w:rsidRPr="005C6D07">
              <w:rPr>
                <w:rFonts w:cs="Tahoma"/>
                <w:b w:val="0"/>
                <w:szCs w:val="22"/>
              </w:rPr>
              <w:t xml:space="preserve"> health, family health, health research, global/international health, health policy and/or management, biostatistics</w:t>
            </w:r>
            <w:r w:rsidR="009431BD">
              <w:rPr>
                <w:rFonts w:cs="Tahoma"/>
                <w:b w:val="0"/>
                <w:szCs w:val="22"/>
              </w:rPr>
              <w:t>/statistics</w:t>
            </w:r>
            <w:r w:rsidR="005C6D07" w:rsidRPr="005C6D07">
              <w:rPr>
                <w:rFonts w:cs="Tahoma"/>
                <w:b w:val="0"/>
                <w:szCs w:val="22"/>
              </w:rPr>
              <w:t>, epidemiology or another relevant technical field</w:t>
            </w:r>
            <w:bookmarkEnd w:id="2"/>
          </w:p>
          <w:p w14:paraId="0CD998CE" w14:textId="5BDE62F4" w:rsidR="00C271D4" w:rsidRDefault="005C6D07" w:rsidP="005C6D07">
            <w:pPr>
              <w:pStyle w:val="ListParagraph"/>
              <w:numPr>
                <w:ilvl w:val="0"/>
                <w:numId w:val="9"/>
              </w:numPr>
              <w:rPr>
                <w:b w:val="0"/>
              </w:rPr>
            </w:pPr>
            <w:r>
              <w:rPr>
                <w:b w:val="0"/>
              </w:rPr>
              <w:lastRenderedPageBreak/>
              <w:t xml:space="preserve">A minimum of </w:t>
            </w:r>
            <w:r w:rsidR="007A6A03">
              <w:rPr>
                <w:b w:val="0"/>
              </w:rPr>
              <w:t>5</w:t>
            </w:r>
            <w:r>
              <w:rPr>
                <w:b w:val="0"/>
              </w:rPr>
              <w:t xml:space="preserve"> years of professional experience in one or more of the following areas, is required: public </w:t>
            </w:r>
            <w:r w:rsidRPr="00F65399">
              <w:rPr>
                <w:b w:val="0"/>
              </w:rPr>
              <w:t xml:space="preserve">health planning and management, </w:t>
            </w:r>
            <w:r w:rsidR="007A6A03" w:rsidRPr="00F65399">
              <w:rPr>
                <w:b w:val="0"/>
              </w:rPr>
              <w:t>matern</w:t>
            </w:r>
            <w:r w:rsidR="14FFCEFB" w:rsidRPr="00F65399">
              <w:rPr>
                <w:b w:val="0"/>
              </w:rPr>
              <w:t>al</w:t>
            </w:r>
            <w:r w:rsidR="007A6A03" w:rsidRPr="00F65399">
              <w:rPr>
                <w:b w:val="0"/>
              </w:rPr>
              <w:t xml:space="preserve">, </w:t>
            </w:r>
            <w:r w:rsidRPr="00F65399">
              <w:rPr>
                <w:b w:val="0"/>
              </w:rPr>
              <w:t>neonatal</w:t>
            </w:r>
            <w:r w:rsidR="007A6A03" w:rsidRPr="00F65399">
              <w:rPr>
                <w:b w:val="0"/>
              </w:rPr>
              <w:t xml:space="preserve"> and child</w:t>
            </w:r>
            <w:r w:rsidRPr="00F65399">
              <w:rPr>
                <w:b w:val="0"/>
              </w:rPr>
              <w:t xml:space="preserve"> health care, </w:t>
            </w:r>
            <w:r w:rsidR="007A6A03" w:rsidRPr="00F65399">
              <w:rPr>
                <w:b w:val="0"/>
              </w:rPr>
              <w:t xml:space="preserve">and nutrition </w:t>
            </w:r>
            <w:r w:rsidRPr="00F65399">
              <w:rPr>
                <w:b w:val="0"/>
              </w:rPr>
              <w:t>or health emergency/humanitarian preparedness</w:t>
            </w:r>
            <w:r w:rsidR="009431BD" w:rsidRPr="00F65399">
              <w:rPr>
                <w:b w:val="0"/>
              </w:rPr>
              <w:t xml:space="preserve"> </w:t>
            </w:r>
          </w:p>
          <w:p w14:paraId="1A44C8F7" w14:textId="634735DD" w:rsidR="009159B6" w:rsidRPr="009159B6" w:rsidRDefault="00E52AB1" w:rsidP="009159B6">
            <w:pPr>
              <w:numPr>
                <w:ilvl w:val="0"/>
                <w:numId w:val="9"/>
              </w:numPr>
            </w:pPr>
            <w:r>
              <w:t>Prior e</w:t>
            </w:r>
            <w:r w:rsidR="009159B6" w:rsidRPr="009159B6">
              <w:t>xperience</w:t>
            </w:r>
            <w:r>
              <w:t xml:space="preserve"> of</w:t>
            </w:r>
            <w:r w:rsidR="009159B6" w:rsidRPr="009159B6">
              <w:t xml:space="preserve"> working on Service Availability and Readiness Assessment </w:t>
            </w:r>
            <w:r>
              <w:t>(</w:t>
            </w:r>
            <w:r w:rsidR="00E2001C">
              <w:t>SARA) or</w:t>
            </w:r>
            <w:r>
              <w:t xml:space="preserve"> similar experience </w:t>
            </w:r>
            <w:r w:rsidR="009159B6" w:rsidRPr="009159B6">
              <w:t xml:space="preserve">is </w:t>
            </w:r>
            <w:r w:rsidR="00A601B6">
              <w:t>required</w:t>
            </w:r>
          </w:p>
          <w:p w14:paraId="015C76FE" w14:textId="0BF5749A" w:rsidR="005C6D07" w:rsidRPr="00F65399" w:rsidRDefault="00C271D4" w:rsidP="005C6D07">
            <w:pPr>
              <w:pStyle w:val="ListParagraph"/>
              <w:numPr>
                <w:ilvl w:val="0"/>
                <w:numId w:val="9"/>
              </w:numPr>
              <w:rPr>
                <w:b w:val="0"/>
              </w:rPr>
            </w:pPr>
            <w:r w:rsidRPr="00F65399">
              <w:rPr>
                <w:b w:val="0"/>
              </w:rPr>
              <w:t>A</w:t>
            </w:r>
            <w:r w:rsidR="009431BD" w:rsidRPr="00F65399">
              <w:rPr>
                <w:b w:val="0"/>
              </w:rPr>
              <w:t>dditional technical experiences such as data analysis, survey, report writing, organizing and facilitating workshop</w:t>
            </w:r>
            <w:r w:rsidR="000B7B50" w:rsidRPr="00F65399">
              <w:rPr>
                <w:b w:val="0"/>
              </w:rPr>
              <w:t>, advocacy and coordination</w:t>
            </w:r>
            <w:r w:rsidRPr="00F65399">
              <w:rPr>
                <w:b w:val="0"/>
              </w:rPr>
              <w:t xml:space="preserve"> is an asset</w:t>
            </w:r>
          </w:p>
          <w:p w14:paraId="4CA9D522" w14:textId="3C826400" w:rsidR="005C6D07" w:rsidRPr="00F65399" w:rsidRDefault="005C6D07" w:rsidP="005C6D07">
            <w:pPr>
              <w:pStyle w:val="ListParagraph"/>
              <w:numPr>
                <w:ilvl w:val="0"/>
                <w:numId w:val="9"/>
              </w:numPr>
              <w:rPr>
                <w:b w:val="0"/>
              </w:rPr>
            </w:pPr>
            <w:r w:rsidRPr="00F65399">
              <w:rPr>
                <w:b w:val="0"/>
              </w:rPr>
              <w:t xml:space="preserve">Relevant experience working with </w:t>
            </w:r>
            <w:r w:rsidR="00542F8B" w:rsidRPr="00F65399">
              <w:rPr>
                <w:b w:val="0"/>
              </w:rPr>
              <w:t>ethnic health organization is an asset</w:t>
            </w:r>
          </w:p>
          <w:p w14:paraId="7DDA5EA6" w14:textId="53FBE3A8" w:rsidR="001E405C" w:rsidRPr="000B3FAB" w:rsidRDefault="000B3FAB" w:rsidP="000B3FAB">
            <w:pPr>
              <w:tabs>
                <w:tab w:val="left" w:pos="2976"/>
              </w:tabs>
              <w:rPr>
                <w:rFonts w:cs="Tahoma"/>
                <w:szCs w:val="22"/>
              </w:rPr>
            </w:pPr>
            <w:r>
              <w:rPr>
                <w:rFonts w:cs="Tahoma"/>
                <w:szCs w:val="22"/>
              </w:rPr>
              <w:tab/>
            </w:r>
          </w:p>
        </w:tc>
      </w:tr>
      <w:tr w:rsidR="001E405C" w:rsidRPr="006E7AE5" w14:paraId="13273E46" w14:textId="77777777" w:rsidTr="76D75A83">
        <w:tc>
          <w:tcPr>
            <w:tcW w:w="10260" w:type="dxa"/>
            <w:gridSpan w:val="3"/>
          </w:tcPr>
          <w:p w14:paraId="2F8F39BA" w14:textId="77777777" w:rsidR="001E405C" w:rsidRPr="006E7AE5" w:rsidRDefault="001E405C" w:rsidP="00FA3389">
            <w:pPr>
              <w:pStyle w:val="ListParagraph"/>
              <w:numPr>
                <w:ilvl w:val="0"/>
                <w:numId w:val="7"/>
              </w:numPr>
              <w:ind w:left="342" w:hanging="342"/>
            </w:pPr>
            <w:r>
              <w:lastRenderedPageBreak/>
              <w:t>Other conditions:</w:t>
            </w:r>
            <w:r w:rsidR="001266B4">
              <w:t xml:space="preserve"> </w:t>
            </w:r>
          </w:p>
          <w:p w14:paraId="24A67109" w14:textId="3D5A805C" w:rsidR="00AC1BA0" w:rsidRDefault="005C6D07" w:rsidP="00AF487C">
            <w:pPr>
              <w:rPr>
                <w:rFonts w:cs="Tahoma"/>
                <w:szCs w:val="22"/>
                <w:lang w:val="en-AU"/>
              </w:rPr>
            </w:pPr>
            <w:r>
              <w:rPr>
                <w:rFonts w:cs="Tahoma"/>
                <w:szCs w:val="22"/>
                <w:lang w:val="en-AU"/>
              </w:rPr>
              <w:t xml:space="preserve">The consultant </w:t>
            </w:r>
            <w:r w:rsidR="00BD0270">
              <w:rPr>
                <w:rFonts w:cs="Tahoma"/>
                <w:szCs w:val="22"/>
                <w:lang w:val="en-AU"/>
              </w:rPr>
              <w:t>should be able to</w:t>
            </w:r>
            <w:r>
              <w:rPr>
                <w:rFonts w:cs="Tahoma"/>
                <w:szCs w:val="22"/>
                <w:lang w:val="en-AU"/>
              </w:rPr>
              <w:t xml:space="preserve"> work remotely </w:t>
            </w:r>
            <w:r w:rsidR="00BD0270">
              <w:rPr>
                <w:rFonts w:cs="Tahoma"/>
                <w:szCs w:val="22"/>
                <w:lang w:val="en-AU"/>
              </w:rPr>
              <w:t xml:space="preserve">if </w:t>
            </w:r>
            <w:r w:rsidR="00824DAA">
              <w:rPr>
                <w:rFonts w:cs="Tahoma"/>
                <w:szCs w:val="22"/>
                <w:lang w:val="en-AU"/>
              </w:rPr>
              <w:t>COVID-19 situation does not allow direct meetings or on-site visits</w:t>
            </w:r>
          </w:p>
          <w:p w14:paraId="616102CB" w14:textId="6EDC65BB" w:rsidR="005C6D07" w:rsidRDefault="005C6D07" w:rsidP="00AF487C">
            <w:pPr>
              <w:rPr>
                <w:rFonts w:cs="Tahoma"/>
                <w:szCs w:val="22"/>
                <w:lang w:val="en-AU"/>
              </w:rPr>
            </w:pPr>
            <w:r>
              <w:rPr>
                <w:rFonts w:cs="Tahoma"/>
                <w:szCs w:val="22"/>
                <w:lang w:val="en-AU"/>
              </w:rPr>
              <w:t xml:space="preserve">The consultant will travel from </w:t>
            </w:r>
            <w:r w:rsidR="00824DAA">
              <w:rPr>
                <w:rFonts w:cs="Tahoma"/>
                <w:szCs w:val="22"/>
                <w:lang w:val="en-AU"/>
              </w:rPr>
              <w:t>place of origin</w:t>
            </w:r>
            <w:r>
              <w:rPr>
                <w:rFonts w:cs="Tahoma"/>
                <w:szCs w:val="22"/>
                <w:lang w:val="en-AU"/>
              </w:rPr>
              <w:t xml:space="preserve"> and to </w:t>
            </w:r>
            <w:r w:rsidR="00824DAA">
              <w:rPr>
                <w:rFonts w:cs="Tahoma"/>
                <w:szCs w:val="22"/>
                <w:lang w:val="en-AU"/>
              </w:rPr>
              <w:t xml:space="preserve">areas stated in the </w:t>
            </w:r>
            <w:proofErr w:type="spellStart"/>
            <w:r w:rsidR="00824DAA">
              <w:rPr>
                <w:rFonts w:cs="Tahoma"/>
                <w:szCs w:val="22"/>
                <w:lang w:val="en-AU"/>
              </w:rPr>
              <w:t>ToR</w:t>
            </w:r>
            <w:proofErr w:type="spellEnd"/>
          </w:p>
          <w:p w14:paraId="781C90DB" w14:textId="7D6F9A96" w:rsidR="005576A5" w:rsidRDefault="00F14055" w:rsidP="00AF487C">
            <w:pPr>
              <w:rPr>
                <w:rFonts w:cs="Tahoma"/>
                <w:szCs w:val="22"/>
                <w:lang w:val="en-AU"/>
              </w:rPr>
            </w:pPr>
            <w:r>
              <w:rPr>
                <w:rFonts w:cs="Tahoma"/>
                <w:szCs w:val="22"/>
                <w:lang w:val="en-AU"/>
              </w:rPr>
              <w:t>The consultant will utilise personal laptop</w:t>
            </w:r>
            <w:r w:rsidR="00824DAA">
              <w:rPr>
                <w:rFonts w:cs="Tahoma"/>
                <w:szCs w:val="22"/>
                <w:lang w:val="en-AU"/>
              </w:rPr>
              <w:t xml:space="preserve"> and </w:t>
            </w:r>
            <w:r w:rsidR="005576A5">
              <w:rPr>
                <w:rFonts w:cs="Tahoma"/>
                <w:szCs w:val="22"/>
                <w:lang w:val="en-AU"/>
              </w:rPr>
              <w:t xml:space="preserve">licensed </w:t>
            </w:r>
            <w:r w:rsidR="00824DAA">
              <w:rPr>
                <w:rFonts w:cs="Tahoma"/>
                <w:szCs w:val="22"/>
                <w:lang w:val="en-AU"/>
              </w:rPr>
              <w:t>software</w:t>
            </w:r>
            <w:r>
              <w:rPr>
                <w:rFonts w:cs="Tahoma"/>
                <w:szCs w:val="22"/>
                <w:lang w:val="en-AU"/>
              </w:rPr>
              <w:t xml:space="preserve"> during </w:t>
            </w:r>
            <w:r w:rsidR="005576A5">
              <w:rPr>
                <w:rFonts w:cs="Tahoma"/>
                <w:szCs w:val="22"/>
                <w:lang w:val="en-AU"/>
              </w:rPr>
              <w:t>consultancy</w:t>
            </w:r>
            <w:r w:rsidR="00824DAA">
              <w:rPr>
                <w:rFonts w:cs="Tahoma"/>
                <w:szCs w:val="22"/>
                <w:lang w:val="en-AU"/>
              </w:rPr>
              <w:t xml:space="preserve"> with own </w:t>
            </w:r>
            <w:r>
              <w:rPr>
                <w:rFonts w:cs="Tahoma"/>
                <w:szCs w:val="22"/>
                <w:lang w:val="en-AU"/>
              </w:rPr>
              <w:t>internet access</w:t>
            </w:r>
          </w:p>
          <w:p w14:paraId="3D8A7516" w14:textId="77777777" w:rsidR="005576A5" w:rsidRPr="00AF487C" w:rsidRDefault="005576A5" w:rsidP="00AF487C">
            <w:pPr>
              <w:rPr>
                <w:rFonts w:cs="Tahoma"/>
                <w:szCs w:val="22"/>
                <w:lang w:val="en-AU"/>
              </w:rPr>
            </w:pPr>
          </w:p>
          <w:p w14:paraId="443E2369" w14:textId="77777777" w:rsidR="00C74F76" w:rsidRPr="00C73548" w:rsidRDefault="00C74F76" w:rsidP="00C74F76">
            <w:pPr>
              <w:rPr>
                <w:b/>
              </w:rPr>
            </w:pPr>
            <w:r w:rsidRPr="00C73548">
              <w:rPr>
                <w:b/>
              </w:rPr>
              <w:t xml:space="preserve">Life and health insurance </w:t>
            </w:r>
          </w:p>
          <w:p w14:paraId="1EE14DE3" w14:textId="77777777" w:rsidR="00C74F76" w:rsidRPr="00C73548" w:rsidRDefault="00C74F76" w:rsidP="00C74F76">
            <w:r w:rsidRPr="00C73548">
              <w:t>UNICEF does not provide or arrange life or health insurance coverage for consultants and individual contractors, and consultants and individual contractors are not eligible to participate in the life or health insurance schemes available to United Nations staff members. Consultants and individual contractors are fully responsible for arranging, at their own expense, such life, health and other forms of insurance covering the period of their services as they consider appropriate. The responsibility of UNICEF is limited solely to the payment of compensation for service-incurred death, injury or illness as per the provisions detailed below.</w:t>
            </w:r>
          </w:p>
          <w:p w14:paraId="5E120C19" w14:textId="77777777" w:rsidR="00CC5B2C" w:rsidRDefault="00CC5B2C" w:rsidP="00C74F76">
            <w:pPr>
              <w:rPr>
                <w:b/>
              </w:rPr>
            </w:pPr>
          </w:p>
          <w:p w14:paraId="4475AFAB" w14:textId="14716A91" w:rsidR="00C74F76" w:rsidRPr="00C73548" w:rsidRDefault="00C74F76" w:rsidP="00C74F76">
            <w:pPr>
              <w:rPr>
                <w:b/>
              </w:rPr>
            </w:pPr>
            <w:r w:rsidRPr="00C73548">
              <w:rPr>
                <w:b/>
              </w:rPr>
              <w:t>Insurance for service-incurred death, injury or illness</w:t>
            </w:r>
          </w:p>
          <w:p w14:paraId="71E1016B" w14:textId="66413DFD" w:rsidR="00C74F76" w:rsidRDefault="00C74F76" w:rsidP="00C74F76">
            <w:r w:rsidRPr="00C73548">
              <w:t xml:space="preserve">Consultants and individual contractors who are authorized to travel at UNICEF expense or who are required under their contract to perform services in a UNICEF or United Nations office shall be provided with insurance coverage, through a UNICEF-retained </w:t>
            </w:r>
            <w:r w:rsidR="00ED499A" w:rsidRPr="00C73548">
              <w:t>third-party</w:t>
            </w:r>
            <w:r w:rsidRPr="00C73548">
              <w:t xml:space="preserve"> insurance provider, covering death, injury and illness attributable to the performance of official UNICEF duties.  Compensation in the event of service-incurred death, injury or illness shall be equivalent to amounts stipulated in the agreement between UNICEF and the insurance provider.</w:t>
            </w:r>
            <w:r>
              <w:t xml:space="preserve"> </w:t>
            </w:r>
          </w:p>
          <w:p w14:paraId="0CE82FB7" w14:textId="77777777" w:rsidR="00CC5B2C" w:rsidRDefault="00CC5B2C" w:rsidP="00B06A9C">
            <w:pPr>
              <w:rPr>
                <w:rFonts w:cs="Tahoma"/>
                <w:b/>
                <w:szCs w:val="22"/>
                <w:lang w:val="en-AU"/>
              </w:rPr>
            </w:pPr>
          </w:p>
          <w:p w14:paraId="60005EF4" w14:textId="75670999" w:rsidR="00670000" w:rsidRDefault="00C74F76" w:rsidP="00B06A9C">
            <w:pPr>
              <w:rPr>
                <w:rFonts w:cs="Tahoma"/>
                <w:b/>
                <w:szCs w:val="22"/>
                <w:lang w:val="en-AU"/>
              </w:rPr>
            </w:pPr>
            <w:r>
              <w:rPr>
                <w:rFonts w:cs="Tahoma"/>
                <w:b/>
                <w:szCs w:val="22"/>
                <w:lang w:val="en-AU"/>
              </w:rPr>
              <w:t>Payment</w:t>
            </w:r>
          </w:p>
          <w:p w14:paraId="0947A4DD" w14:textId="77777777" w:rsidR="008B6AF5" w:rsidRPr="00FE529E" w:rsidRDefault="008B6AF5" w:rsidP="008B6AF5">
            <w:pPr>
              <w:spacing w:line="260" w:lineRule="exact"/>
            </w:pPr>
            <w:r>
              <w:rPr>
                <w:rFonts w:cs="Tahoma"/>
                <w:szCs w:val="22"/>
                <w:lang w:val="en-AU"/>
              </w:rPr>
              <w:t xml:space="preserve">Payment schedules </w:t>
            </w:r>
            <w:r w:rsidRPr="00FE529E">
              <w:t>should be directly linked with deliverables at specific time intervals</w:t>
            </w:r>
            <w:r>
              <w:t>. Payments should be processed based on satisfactory delivery of the services/products</w:t>
            </w:r>
            <w:r w:rsidRPr="00FE529E">
              <w:t xml:space="preserve"> as certified by the</w:t>
            </w:r>
            <w:r>
              <w:t xml:space="preserve"> supervisor/</w:t>
            </w:r>
            <w:r w:rsidRPr="00FE529E">
              <w:t xml:space="preserve"> manager.</w:t>
            </w:r>
          </w:p>
          <w:p w14:paraId="1C8C6D2E" w14:textId="77777777" w:rsidR="00421D69" w:rsidRPr="008B6AF5" w:rsidRDefault="00421D69" w:rsidP="00B06A9C">
            <w:pPr>
              <w:rPr>
                <w:rFonts w:cs="Tahoma"/>
                <w:szCs w:val="22"/>
              </w:rPr>
            </w:pPr>
          </w:p>
          <w:p w14:paraId="52454EB5" w14:textId="77777777" w:rsidR="00B06A9C" w:rsidRPr="00670000" w:rsidRDefault="00B06A9C" w:rsidP="00B06A9C">
            <w:pPr>
              <w:rPr>
                <w:rFonts w:cs="Tahoma"/>
                <w:b/>
                <w:szCs w:val="22"/>
                <w:lang w:val="en-AU"/>
              </w:rPr>
            </w:pPr>
            <w:r w:rsidRPr="00670000">
              <w:rPr>
                <w:rFonts w:cs="Tahoma"/>
                <w:b/>
                <w:szCs w:val="22"/>
                <w:lang w:val="en-AU"/>
              </w:rPr>
              <w:t>Confidentiality:</w:t>
            </w:r>
            <w:r w:rsidRPr="00670000">
              <w:rPr>
                <w:rFonts w:cs="Tahoma"/>
                <w:b/>
                <w:szCs w:val="22"/>
                <w:lang w:val="en-AU"/>
              </w:rPr>
              <w:tab/>
            </w:r>
          </w:p>
          <w:p w14:paraId="47E95D28" w14:textId="77777777" w:rsidR="00C74F76" w:rsidRDefault="00B06A9C" w:rsidP="00C74F76">
            <w:pPr>
              <w:rPr>
                <w:rFonts w:cs="Tahoma"/>
                <w:szCs w:val="22"/>
                <w:lang w:val="en-AU"/>
              </w:rPr>
            </w:pPr>
            <w:r w:rsidRPr="006E7AE5">
              <w:rPr>
                <w:rFonts w:cs="Tahoma"/>
                <w:szCs w:val="22"/>
                <w:lang w:val="en-AU"/>
              </w:rPr>
              <w:t>The documents produced during the period of this consultancy will be treated as strictly confidential, and the rights of distribution and/ or publication will reside solely with UNICEF.</w:t>
            </w:r>
            <w:r w:rsidR="00C74F76" w:rsidRPr="00AF487C">
              <w:rPr>
                <w:rFonts w:cs="Tahoma"/>
                <w:szCs w:val="22"/>
                <w:lang w:val="en-AU"/>
              </w:rPr>
              <w:t xml:space="preserve"> </w:t>
            </w:r>
          </w:p>
          <w:p w14:paraId="5EA7947B" w14:textId="77777777" w:rsidR="00C74F76" w:rsidRDefault="00C74F76" w:rsidP="00C74F76">
            <w:pPr>
              <w:rPr>
                <w:rFonts w:cs="Tahoma"/>
                <w:szCs w:val="22"/>
                <w:lang w:val="en-AU"/>
              </w:rPr>
            </w:pPr>
          </w:p>
          <w:p w14:paraId="5DF8216D" w14:textId="77777777" w:rsidR="00B06A9C" w:rsidRPr="006E7AE5" w:rsidRDefault="00C74F76" w:rsidP="00C74F76">
            <w:pPr>
              <w:rPr>
                <w:rFonts w:cs="Tahoma"/>
                <w:szCs w:val="22"/>
                <w:lang w:val="en-AU"/>
              </w:rPr>
            </w:pPr>
            <w:r w:rsidRPr="00AF487C">
              <w:rPr>
                <w:rFonts w:cs="Tahoma"/>
                <w:szCs w:val="22"/>
                <w:lang w:val="en-AU"/>
              </w:rPr>
              <w:t>The contract signed with the consultant will include the other general terms defined by UNICEF.</w:t>
            </w:r>
          </w:p>
        </w:tc>
      </w:tr>
      <w:tr w:rsidR="001E405C" w:rsidRPr="006E7AE5" w14:paraId="41EB2A0C" w14:textId="77777777" w:rsidTr="76D75A83">
        <w:tc>
          <w:tcPr>
            <w:tcW w:w="10260" w:type="dxa"/>
            <w:gridSpan w:val="3"/>
          </w:tcPr>
          <w:p w14:paraId="638CB794" w14:textId="77777777" w:rsidR="001E405C" w:rsidRPr="00FA3389" w:rsidRDefault="001E405C" w:rsidP="36617519">
            <w:pPr>
              <w:pStyle w:val="ListParagraph"/>
              <w:numPr>
                <w:ilvl w:val="0"/>
                <w:numId w:val="7"/>
              </w:numPr>
              <w:ind w:left="342" w:hanging="342"/>
              <w:rPr>
                <w:rFonts w:cs="Tahoma"/>
              </w:rPr>
            </w:pPr>
            <w:r w:rsidRPr="36617519">
              <w:rPr>
                <w:rFonts w:cs="Tahoma"/>
              </w:rPr>
              <w:t>Nature of Penalty Clause to be stipulated in the contract:</w:t>
            </w:r>
          </w:p>
          <w:p w14:paraId="286B92CA" w14:textId="77777777" w:rsidR="001E405C" w:rsidRPr="006E7AE5" w:rsidRDefault="001E405C" w:rsidP="00974BF9">
            <w:pPr>
              <w:pStyle w:val="BodyText3"/>
              <w:tabs>
                <w:tab w:val="clear" w:pos="720"/>
              </w:tabs>
              <w:rPr>
                <w:rFonts w:asciiTheme="minorHAnsi" w:hAnsiTheme="minorHAnsi" w:cs="Tahoma"/>
                <w:b/>
                <w:szCs w:val="22"/>
              </w:rPr>
            </w:pPr>
            <w:r w:rsidRPr="006E7AE5">
              <w:rPr>
                <w:rFonts w:asciiTheme="minorHAnsi" w:hAnsiTheme="minorHAnsi" w:cs="Tahoma"/>
                <w:szCs w:val="22"/>
              </w:rPr>
              <w:t xml:space="preserve">UNICEF </w:t>
            </w:r>
            <w:r w:rsidR="00974BF9" w:rsidRPr="006E7AE5">
              <w:rPr>
                <w:rFonts w:asciiTheme="minorHAnsi" w:hAnsiTheme="minorHAnsi" w:cs="Tahoma"/>
                <w:szCs w:val="22"/>
              </w:rPr>
              <w:t>Myanmar</w:t>
            </w:r>
            <w:r w:rsidRPr="006E7AE5">
              <w:rPr>
                <w:rFonts w:asciiTheme="minorHAnsi" w:hAnsiTheme="minorHAnsi" w:cs="Tahoma"/>
                <w:szCs w:val="22"/>
              </w:rPr>
              <w:t xml:space="preserve"> reserves the right not to pay the Contractor or withhold part of the payable amount if one or more requirements established for this assignment is not met or deadline set for the accomplishment of the tasks is missed.</w:t>
            </w:r>
          </w:p>
        </w:tc>
      </w:tr>
    </w:tbl>
    <w:p w14:paraId="3C9C278C" w14:textId="77777777" w:rsidR="006F5C7E" w:rsidRPr="006E7AE5" w:rsidRDefault="006F5C7E" w:rsidP="00DC6462">
      <w:pPr>
        <w:rPr>
          <w:rFonts w:cs="Tahoma"/>
          <w:szCs w:val="22"/>
        </w:rPr>
      </w:pPr>
    </w:p>
    <w:sectPr w:rsidR="006F5C7E" w:rsidRPr="006E7AE5" w:rsidSect="00866ECE">
      <w:headerReference w:type="default" r:id="rId17"/>
      <w:footerReference w:type="default" r:id="rId18"/>
      <w:pgSz w:w="11909" w:h="16834" w:code="9"/>
      <w:pgMar w:top="1084" w:right="1134" w:bottom="720" w:left="1701" w:header="8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39AD4" w14:textId="77777777" w:rsidR="00B8420C" w:rsidRDefault="00B8420C">
      <w:r>
        <w:separator/>
      </w:r>
    </w:p>
  </w:endnote>
  <w:endnote w:type="continuationSeparator" w:id="0">
    <w:p w14:paraId="4AA81771" w14:textId="77777777" w:rsidR="00B8420C" w:rsidRDefault="00B8420C">
      <w:r>
        <w:continuationSeparator/>
      </w:r>
    </w:p>
  </w:endnote>
  <w:endnote w:type="continuationNotice" w:id="1">
    <w:p w14:paraId="41076F1A" w14:textId="77777777" w:rsidR="00B8420C" w:rsidRDefault="00B84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BF1E" w14:textId="0A782AD8" w:rsidR="00B06A9C" w:rsidRPr="008D3A21" w:rsidRDefault="00B06A9C" w:rsidP="00A607E7">
    <w:pPr>
      <w:pStyle w:val="Footer"/>
      <w:jc w:val="center"/>
      <w:rPr>
        <w:rFonts w:ascii="Tahoma" w:eastAsiaTheme="majorEastAsia" w:hAnsi="Tahoma" w:cs="Tahoma"/>
      </w:rPr>
    </w:pPr>
    <w:r>
      <w:rPr>
        <w:rFonts w:ascii="Tahoma" w:eastAsiaTheme="majorEastAsia" w:hAnsi="Tahoma" w:cs="Tahoma"/>
      </w:rPr>
      <w:t xml:space="preserve">TOR </w:t>
    </w:r>
    <w:r w:rsidR="008D3A21">
      <w:rPr>
        <w:rFonts w:ascii="Tahoma" w:eastAsiaTheme="majorEastAsia" w:hAnsi="Tahoma" w:cs="Tahoma"/>
      </w:rPr>
      <w:t>Consultancy</w:t>
    </w:r>
    <w:r w:rsidR="000C55E9">
      <w:rPr>
        <w:rFonts w:ascii="Tahoma" w:eastAsiaTheme="majorEastAsia" w:hAnsi="Tahoma" w:cs="Tahoma"/>
      </w:rPr>
      <w:t xml:space="preserve"> </w:t>
    </w:r>
    <w:r w:rsidR="00A03ED7">
      <w:rPr>
        <w:rFonts w:ascii="Tahoma" w:eastAsiaTheme="majorEastAsia" w:hAnsi="Tahoma" w:cs="Tahoma"/>
      </w:rPr>
      <w:t>for SARA</w:t>
    </w:r>
    <w:r w:rsidR="00A03ED7" w:rsidRPr="00A03ED7">
      <w:rPr>
        <w:rFonts w:ascii="Tahoma" w:eastAsiaTheme="majorEastAsia" w:hAnsi="Tahoma" w:cs="Tahoma"/>
      </w:rPr>
      <w:t xml:space="preserve"> in Ethnic Health Organizations’ facilities of Kachin and Shan</w:t>
    </w:r>
    <w:r w:rsidRPr="00B06A9C">
      <w:rPr>
        <w:rFonts w:ascii="Tahoma" w:eastAsiaTheme="majorEastAsia" w:hAnsi="Tahoma" w:cs="Tahoma"/>
      </w:rPr>
      <w:ptab w:relativeTo="margin" w:alignment="right" w:leader="none"/>
    </w:r>
    <w:r w:rsidRPr="00B06A9C">
      <w:rPr>
        <w:rFonts w:ascii="Tahoma" w:eastAsiaTheme="majorEastAsia" w:hAnsi="Tahoma" w:cs="Tahoma"/>
      </w:rPr>
      <w:t xml:space="preserve">Page </w:t>
    </w:r>
    <w:r w:rsidR="002B4B38" w:rsidRPr="00B06A9C">
      <w:rPr>
        <w:rFonts w:ascii="Tahoma" w:eastAsiaTheme="minorEastAsia" w:hAnsi="Tahoma" w:cs="Tahoma"/>
      </w:rPr>
      <w:fldChar w:fldCharType="begin"/>
    </w:r>
    <w:r w:rsidRPr="00B06A9C">
      <w:rPr>
        <w:rFonts w:ascii="Tahoma" w:hAnsi="Tahoma" w:cs="Tahoma"/>
      </w:rPr>
      <w:instrText xml:space="preserve"> PAGE   \* MERGEFORMAT </w:instrText>
    </w:r>
    <w:r w:rsidR="002B4B38" w:rsidRPr="00B06A9C">
      <w:rPr>
        <w:rFonts w:ascii="Tahoma" w:eastAsiaTheme="minorEastAsia" w:hAnsi="Tahoma" w:cs="Tahoma"/>
      </w:rPr>
      <w:fldChar w:fldCharType="separate"/>
    </w:r>
    <w:r w:rsidR="00AF2650" w:rsidRPr="00AF2650">
      <w:rPr>
        <w:rFonts w:ascii="Tahoma" w:eastAsiaTheme="majorEastAsia" w:hAnsi="Tahoma" w:cs="Tahoma"/>
        <w:noProof/>
      </w:rPr>
      <w:t>1</w:t>
    </w:r>
    <w:r w:rsidR="002B4B38" w:rsidRPr="00B06A9C">
      <w:rPr>
        <w:rFonts w:ascii="Tahoma" w:eastAsiaTheme="majorEastAsia" w:hAnsi="Tahoma" w:cs="Tahoma"/>
        <w:noProof/>
      </w:rPr>
      <w:fldChar w:fldCharType="end"/>
    </w:r>
    <w:r w:rsidR="003634D2">
      <w:rPr>
        <w:rFonts w:ascii="Tahoma" w:hAnsi="Tahoma" w:cs="Tahoma"/>
        <w:noProof/>
        <w:lang w:val="en-US"/>
      </w:rPr>
      <mc:AlternateContent>
        <mc:Choice Requires="wpg">
          <w:drawing>
            <wp:anchor distT="0" distB="0" distL="114300" distR="114300" simplePos="0" relativeHeight="251658240" behindDoc="0" locked="0" layoutInCell="0" allowOverlap="1" wp14:anchorId="15CA4A85" wp14:editId="0C998884">
              <wp:simplePos x="0" y="0"/>
              <wp:positionH relativeFrom="page">
                <wp:align>center</wp:align>
              </wp:positionH>
              <wp:positionV relativeFrom="page">
                <wp:align>bottom</wp:align>
              </wp:positionV>
              <wp:extent cx="7546975" cy="415925"/>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6975" cy="415925"/>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71008BDB" id="Group 441" o:spid="_x0000_s1026" style="position:absolute;margin-left:0;margin-top:0;width:594.25pt;height:32.75pt;flip:y;z-index:25165824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3634D2">
      <w:rPr>
        <w:rFonts w:ascii="Tahoma" w:hAnsi="Tahoma" w:cs="Tahoma"/>
        <w:noProof/>
        <w:lang w:val="en-US"/>
      </w:rPr>
      <mc:AlternateContent>
        <mc:Choice Requires="wps">
          <w:drawing>
            <wp:anchor distT="0" distB="0" distL="114300" distR="114300" simplePos="0" relativeHeight="251658245" behindDoc="0" locked="0" layoutInCell="1" allowOverlap="1" wp14:anchorId="7916EC44" wp14:editId="7F72F55E">
              <wp:simplePos x="0" y="0"/>
              <wp:positionH relativeFrom="leftMargin">
                <wp:align>center</wp:align>
              </wp:positionH>
              <wp:positionV relativeFrom="page">
                <wp:align>bottom</wp:align>
              </wp:positionV>
              <wp:extent cx="90805" cy="396240"/>
              <wp:effectExtent l="0" t="0" r="23495" b="2667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D7CFE3E" id="Rectangle 444" o:spid="_x0000_s1026" style="position:absolute;margin-left:0;margin-top:0;width:7.15pt;height:31.2pt;z-index:251658245;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" fillcolor="#4bacc6 [3208]" strokecolor="#4f81bd [3204]">
              <w10:wrap anchorx="margin" anchory="page"/>
            </v:rect>
          </w:pict>
        </mc:Fallback>
      </mc:AlternateContent>
    </w:r>
    <w:r w:rsidR="003634D2">
      <w:rPr>
        <w:rFonts w:ascii="Tahoma" w:hAnsi="Tahoma" w:cs="Tahoma"/>
        <w:noProof/>
        <w:lang w:val="en-US"/>
      </w:rPr>
      <mc:AlternateContent>
        <mc:Choice Requires="wps">
          <w:drawing>
            <wp:anchor distT="0" distB="0" distL="114300" distR="114300" simplePos="0" relativeHeight="251658244" behindDoc="0" locked="0" layoutInCell="1" allowOverlap="1" wp14:anchorId="783C2356" wp14:editId="362494C0">
              <wp:simplePos x="0" y="0"/>
              <wp:positionH relativeFrom="rightMargin">
                <wp:align>center</wp:align>
              </wp:positionH>
              <wp:positionV relativeFrom="page">
                <wp:align>bottom</wp:align>
              </wp:positionV>
              <wp:extent cx="91440" cy="396240"/>
              <wp:effectExtent l="0" t="0" r="22860" b="2667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AF39B1C" id="Rectangle 445" o:spid="_x0000_s1026" style="position:absolute;margin-left:0;margin-top:0;width:7.2pt;height:31.2pt;z-index:25165824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0D681" w14:textId="77777777" w:rsidR="00B8420C" w:rsidRDefault="00B8420C">
      <w:r>
        <w:separator/>
      </w:r>
    </w:p>
  </w:footnote>
  <w:footnote w:type="continuationSeparator" w:id="0">
    <w:p w14:paraId="60C66417" w14:textId="77777777" w:rsidR="00B8420C" w:rsidRDefault="00B8420C">
      <w:r>
        <w:continuationSeparator/>
      </w:r>
    </w:p>
  </w:footnote>
  <w:footnote w:type="continuationNotice" w:id="1">
    <w:p w14:paraId="6E52E821" w14:textId="77777777" w:rsidR="00B8420C" w:rsidRDefault="00B84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A0C9" w14:textId="77777777" w:rsidR="00866ECE" w:rsidRDefault="00866ECE" w:rsidP="004F3D9C">
    <w:pPr>
      <w:pStyle w:val="Header"/>
      <w:rPr>
        <w:rFonts w:ascii="Tahoma" w:eastAsiaTheme="majorEastAsia" w:hAnsi="Tahoma" w:cs="Tahoma"/>
        <w:lang w:val="en-US"/>
      </w:rPr>
    </w:pPr>
  </w:p>
  <w:p w14:paraId="0F2238A2" w14:textId="77777777" w:rsidR="004F3D9C" w:rsidRPr="004F3D9C" w:rsidRDefault="00421D69" w:rsidP="004F3D9C">
    <w:pPr>
      <w:pStyle w:val="Header"/>
    </w:pPr>
    <w:r>
      <w:rPr>
        <w:rFonts w:ascii="Tahoma" w:eastAsiaTheme="majorEastAsia" w:hAnsi="Tahoma" w:cs="Tahoma"/>
        <w:lang w:val="en-US"/>
      </w:rPr>
      <w:t xml:space="preserve">              </w:t>
    </w:r>
    <w:r w:rsidR="00866ECE">
      <w:rPr>
        <w:rFonts w:ascii="Tahoma" w:eastAsiaTheme="majorEastAsia" w:hAnsi="Tahoma" w:cs="Tahoma"/>
        <w:lang w:val="en-US"/>
      </w:rPr>
      <w:t>UNICEF Myanmar</w:t>
    </w:r>
    <w:r w:rsidR="003634D2">
      <w:rPr>
        <w:rFonts w:asciiTheme="majorHAnsi" w:eastAsiaTheme="majorEastAsia" w:hAnsiTheme="majorHAnsi" w:cstheme="majorBidi"/>
        <w:noProof/>
        <w:lang w:val="en-US"/>
      </w:rPr>
      <mc:AlternateContent>
        <mc:Choice Requires="wpg">
          <w:drawing>
            <wp:anchor distT="0" distB="0" distL="114300" distR="114300" simplePos="0" relativeHeight="251658243" behindDoc="0" locked="0" layoutInCell="1" allowOverlap="1" wp14:anchorId="6F18B8CC" wp14:editId="227658A1">
              <wp:simplePos x="0" y="0"/>
              <wp:positionH relativeFrom="page">
                <wp:posOffset>19685</wp:posOffset>
              </wp:positionH>
              <wp:positionV relativeFrom="page">
                <wp:posOffset>-96269</wp:posOffset>
              </wp:positionV>
              <wp:extent cx="7541895" cy="422910"/>
              <wp:effectExtent l="0" t="0" r="19685" b="1079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42291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01DA4E51" id="Group 468" o:spid="_x0000_s1026" style="position:absolute;margin-left:1.55pt;margin-top:-7.6pt;width:593.85pt;height:33.3pt;z-index:251658243;mso-width-percent:1000;mso-height-percent:925;mso-position-horizontal-relative:page;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sidR="003634D2">
      <w:rPr>
        <w:rFonts w:asciiTheme="majorHAnsi" w:eastAsiaTheme="majorEastAsia" w:hAnsiTheme="majorHAnsi" w:cstheme="majorBidi"/>
        <w:noProof/>
        <w:lang w:val="en-US"/>
      </w:rPr>
      <mc:AlternateContent>
        <mc:Choice Requires="wps">
          <w:drawing>
            <wp:anchor distT="0" distB="0" distL="114300" distR="114300" simplePos="0" relativeHeight="251658242" behindDoc="0" locked="0" layoutInCell="1" allowOverlap="1" wp14:anchorId="3132EF55" wp14:editId="0A14575D">
              <wp:simplePos x="0" y="0"/>
              <wp:positionH relativeFrom="rightMargin">
                <wp:align>center</wp:align>
              </wp:positionH>
              <wp:positionV relativeFrom="page">
                <wp:align>top</wp:align>
              </wp:positionV>
              <wp:extent cx="90805" cy="396240"/>
              <wp:effectExtent l="0" t="0" r="23495" b="2667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973FA99" id="Rectangle 471" o:spid="_x0000_s1026" style="position:absolute;margin-left:0;margin-top:0;width:7.15pt;height:31.2pt;z-index:251658242;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" fillcolor="#4bacc6 [3208]" strokecolor="#4f81bd [3204]">
              <w10:wrap anchorx="margin" anchory="page"/>
            </v:rect>
          </w:pict>
        </mc:Fallback>
      </mc:AlternateContent>
    </w:r>
    <w:r w:rsidR="003634D2">
      <w:rPr>
        <w:rFonts w:asciiTheme="majorHAnsi" w:eastAsiaTheme="majorEastAsia" w:hAnsiTheme="majorHAnsi" w:cstheme="majorBidi"/>
        <w:noProof/>
        <w:lang w:val="en-US"/>
      </w:rPr>
      <mc:AlternateContent>
        <mc:Choice Requires="wps">
          <w:drawing>
            <wp:anchor distT="0" distB="0" distL="114300" distR="114300" simplePos="0" relativeHeight="251658241" behindDoc="0" locked="0" layoutInCell="1" allowOverlap="1" wp14:anchorId="49684933" wp14:editId="40CD0F21">
              <wp:simplePos x="0" y="0"/>
              <wp:positionH relativeFrom="leftMargin">
                <wp:align>center</wp:align>
              </wp:positionH>
              <wp:positionV relativeFrom="page">
                <wp:align>top</wp:align>
              </wp:positionV>
              <wp:extent cx="90805" cy="396240"/>
              <wp:effectExtent l="0" t="0" r="23495" b="2667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F2F9607" id="Rectangle 472" o:spid="_x0000_s1026" style="position:absolute;margin-left:0;margin-top:0;width:7.15pt;height:31.2pt;z-index:251658241;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" fillcolor="#4bacc6 [3208]" strokecolor="#4f81bd [3204]">
              <w10:wrap anchorx="margin" anchory="page"/>
            </v:rect>
          </w:pict>
        </mc:Fallback>
      </mc:AlternateContent>
    </w:r>
    <w:r>
      <w:rPr>
        <w:rFonts w:ascii="Tahoma" w:eastAsiaTheme="majorEastAsia" w:hAnsi="Tahoma" w:cs="Tahoma"/>
        <w:lang w:val="en-US"/>
      </w:rPr>
      <w:t xml:space="preserve"> Terms </w:t>
    </w:r>
    <w:proofErr w:type="gramStart"/>
    <w:r>
      <w:rPr>
        <w:rFonts w:ascii="Tahoma" w:eastAsiaTheme="majorEastAsia" w:hAnsi="Tahoma" w:cs="Tahoma"/>
        <w:lang w:val="en-US"/>
      </w:rPr>
      <w:t>Of</w:t>
    </w:r>
    <w:proofErr w:type="gramEnd"/>
    <w:r>
      <w:rPr>
        <w:rFonts w:ascii="Tahoma" w:eastAsiaTheme="majorEastAsia" w:hAnsi="Tahoma" w:cs="Tahoma"/>
        <w:lang w:val="en-US"/>
      </w:rPr>
      <w:t xml:space="preserve"> Reference (TOR) for Individual Consultant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6EEC"/>
    <w:multiLevelType w:val="hybridMultilevel"/>
    <w:tmpl w:val="21F040E6"/>
    <w:lvl w:ilvl="0" w:tplc="6504C0E8">
      <w:numFmt w:val="bullet"/>
      <w:lvlText w:val="-"/>
      <w:lvlJc w:val="left"/>
      <w:pPr>
        <w:tabs>
          <w:tab w:val="num" w:pos="360"/>
        </w:tabs>
        <w:ind w:left="360" w:hanging="360"/>
      </w:pPr>
      <w:rPr>
        <w:rFonts w:ascii="Arial" w:eastAsia="Times"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408060A"/>
    <w:multiLevelType w:val="hybridMultilevel"/>
    <w:tmpl w:val="AFD6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71B05"/>
    <w:multiLevelType w:val="singleLevel"/>
    <w:tmpl w:val="0409000F"/>
    <w:lvl w:ilvl="0">
      <w:start w:val="1"/>
      <w:numFmt w:val="decimal"/>
      <w:lvlText w:val="%1."/>
      <w:lvlJc w:val="left"/>
      <w:pPr>
        <w:ind w:left="1080" w:hanging="360"/>
      </w:pPr>
      <w:rPr>
        <w:rFonts w:hint="default"/>
      </w:rPr>
    </w:lvl>
  </w:abstractNum>
  <w:abstractNum w:abstractNumId="4" w15:restartNumberingAfterBreak="0">
    <w:nsid w:val="40D624B4"/>
    <w:multiLevelType w:val="hybridMultilevel"/>
    <w:tmpl w:val="F5FA1A6A"/>
    <w:lvl w:ilvl="0" w:tplc="04090001">
      <w:start w:val="1"/>
      <w:numFmt w:val="bullet"/>
      <w:lvlText w:val=""/>
      <w:lvlJc w:val="left"/>
      <w:pPr>
        <w:ind w:left="720" w:hanging="360"/>
      </w:pPr>
      <w:rPr>
        <w:rFonts w:ascii="Symbol" w:hAnsi="Symbol" w:hint="default"/>
      </w:rPr>
    </w:lvl>
    <w:lvl w:ilvl="1" w:tplc="C540B65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C5011"/>
    <w:multiLevelType w:val="hybridMultilevel"/>
    <w:tmpl w:val="A97E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25EAE"/>
    <w:multiLevelType w:val="hybridMultilevel"/>
    <w:tmpl w:val="DA78AA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80CE66">
      <w:start w:val="1"/>
      <w:numFmt w:val="decimal"/>
      <w:lvlText w:val="(%3)"/>
      <w:lvlJc w:val="lef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921AAA"/>
    <w:multiLevelType w:val="hybridMultilevel"/>
    <w:tmpl w:val="57D4E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31BFE"/>
    <w:multiLevelType w:val="hybridMultilevel"/>
    <w:tmpl w:val="FEAA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B1613"/>
    <w:multiLevelType w:val="hybridMultilevel"/>
    <w:tmpl w:val="F17A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61746"/>
    <w:multiLevelType w:val="hybridMultilevel"/>
    <w:tmpl w:val="EF4AA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D64228"/>
    <w:multiLevelType w:val="hybridMultilevel"/>
    <w:tmpl w:val="F424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26C78"/>
    <w:multiLevelType w:val="hybridMultilevel"/>
    <w:tmpl w:val="FFF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B5039"/>
    <w:multiLevelType w:val="hybridMultilevel"/>
    <w:tmpl w:val="9A9A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C7921"/>
    <w:multiLevelType w:val="multilevel"/>
    <w:tmpl w:val="61FA37D8"/>
    <w:lvl w:ilvl="0">
      <w:start w:val="1"/>
      <w:numFmt w:val="decimal"/>
      <w:lvlText w:val="%1."/>
      <w:lvlJc w:val="left"/>
      <w:pPr>
        <w:ind w:left="1080" w:hanging="360"/>
      </w:pPr>
      <w:rPr>
        <w:rFonts w:hint="default"/>
      </w:r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2160" w:hanging="144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880" w:hanging="2160"/>
      </w:pPr>
    </w:lvl>
    <w:lvl w:ilvl="8">
      <w:start w:val="1"/>
      <w:numFmt w:val="decimal"/>
      <w:lvlText w:val="%1.%2.%3.%4.%5.%6.%7.%8.%9"/>
      <w:lvlJc w:val="left"/>
      <w:pPr>
        <w:ind w:left="2880" w:hanging="2160"/>
      </w:pPr>
    </w:lvl>
  </w:abstractNum>
  <w:num w:numId="1">
    <w:abstractNumId w:val="3"/>
  </w:num>
  <w:num w:numId="2">
    <w:abstractNumId w:val="0"/>
  </w:num>
  <w:num w:numId="3">
    <w:abstractNumId w:val="14"/>
  </w:num>
  <w:num w:numId="4">
    <w:abstractNumId w:val="5"/>
  </w:num>
  <w:num w:numId="5">
    <w:abstractNumId w:val="12"/>
  </w:num>
  <w:num w:numId="6">
    <w:abstractNumId w:val="7"/>
  </w:num>
  <w:num w:numId="7">
    <w:abstractNumId w:val="10"/>
  </w:num>
  <w:num w:numId="8">
    <w:abstractNumId w:val="1"/>
  </w:num>
  <w:num w:numId="9">
    <w:abstractNumId w:val="8"/>
  </w:num>
  <w:num w:numId="10">
    <w:abstractNumId w:val="2"/>
  </w:num>
  <w:num w:numId="11">
    <w:abstractNumId w:val="6"/>
  </w:num>
  <w:num w:numId="12">
    <w:abstractNumId w:val="13"/>
  </w:num>
  <w:num w:numId="13">
    <w:abstractNumId w:val="9"/>
  </w:num>
  <w:num w:numId="14">
    <w:abstractNumId w:val="4"/>
  </w:num>
  <w:num w:numId="1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77"/>
    <w:rsid w:val="000003A9"/>
    <w:rsid w:val="000019E0"/>
    <w:rsid w:val="00004478"/>
    <w:rsid w:val="00004E11"/>
    <w:rsid w:val="0000592D"/>
    <w:rsid w:val="000128F7"/>
    <w:rsid w:val="00013A5A"/>
    <w:rsid w:val="00015F5D"/>
    <w:rsid w:val="000162C6"/>
    <w:rsid w:val="00016468"/>
    <w:rsid w:val="000302E3"/>
    <w:rsid w:val="00031FAE"/>
    <w:rsid w:val="00035ADE"/>
    <w:rsid w:val="000369E2"/>
    <w:rsid w:val="0004001E"/>
    <w:rsid w:val="000405D1"/>
    <w:rsid w:val="00040925"/>
    <w:rsid w:val="0004217C"/>
    <w:rsid w:val="00052C95"/>
    <w:rsid w:val="00056C4B"/>
    <w:rsid w:val="00057328"/>
    <w:rsid w:val="0005749C"/>
    <w:rsid w:val="00057732"/>
    <w:rsid w:val="00065638"/>
    <w:rsid w:val="00065A1E"/>
    <w:rsid w:val="00066024"/>
    <w:rsid w:val="00080298"/>
    <w:rsid w:val="0008553B"/>
    <w:rsid w:val="00086253"/>
    <w:rsid w:val="00086E79"/>
    <w:rsid w:val="0009285C"/>
    <w:rsid w:val="00096119"/>
    <w:rsid w:val="000964EB"/>
    <w:rsid w:val="000A06D8"/>
    <w:rsid w:val="000A1035"/>
    <w:rsid w:val="000A2E64"/>
    <w:rsid w:val="000A2FF4"/>
    <w:rsid w:val="000A40CF"/>
    <w:rsid w:val="000A6DD5"/>
    <w:rsid w:val="000A749E"/>
    <w:rsid w:val="000A7E6F"/>
    <w:rsid w:val="000B3FAB"/>
    <w:rsid w:val="000B5AE0"/>
    <w:rsid w:val="000B7B50"/>
    <w:rsid w:val="000C0B9A"/>
    <w:rsid w:val="000C51C1"/>
    <w:rsid w:val="000C55E9"/>
    <w:rsid w:val="000C5EB3"/>
    <w:rsid w:val="000C5F53"/>
    <w:rsid w:val="000D02A0"/>
    <w:rsid w:val="000D0399"/>
    <w:rsid w:val="000D0CD4"/>
    <w:rsid w:val="000D4058"/>
    <w:rsid w:val="000D6D3E"/>
    <w:rsid w:val="000E0915"/>
    <w:rsid w:val="000E40C6"/>
    <w:rsid w:val="000F0BE4"/>
    <w:rsid w:val="000F44FA"/>
    <w:rsid w:val="000F6A7E"/>
    <w:rsid w:val="000F6CEC"/>
    <w:rsid w:val="00110AE3"/>
    <w:rsid w:val="00113CAB"/>
    <w:rsid w:val="001208FA"/>
    <w:rsid w:val="0012186C"/>
    <w:rsid w:val="001223A8"/>
    <w:rsid w:val="0012465C"/>
    <w:rsid w:val="00125DAC"/>
    <w:rsid w:val="001266B4"/>
    <w:rsid w:val="00126E47"/>
    <w:rsid w:val="001327C4"/>
    <w:rsid w:val="0013501A"/>
    <w:rsid w:val="001415BD"/>
    <w:rsid w:val="00141B28"/>
    <w:rsid w:val="00143EAC"/>
    <w:rsid w:val="00145A1B"/>
    <w:rsid w:val="001466C9"/>
    <w:rsid w:val="001512C2"/>
    <w:rsid w:val="00152E6C"/>
    <w:rsid w:val="00160446"/>
    <w:rsid w:val="0016210E"/>
    <w:rsid w:val="0017144C"/>
    <w:rsid w:val="00172467"/>
    <w:rsid w:val="001773D0"/>
    <w:rsid w:val="001809BC"/>
    <w:rsid w:val="00186387"/>
    <w:rsid w:val="00186867"/>
    <w:rsid w:val="00190F7E"/>
    <w:rsid w:val="00192489"/>
    <w:rsid w:val="00194096"/>
    <w:rsid w:val="00194BD2"/>
    <w:rsid w:val="001A3568"/>
    <w:rsid w:val="001A3D1B"/>
    <w:rsid w:val="001B17AD"/>
    <w:rsid w:val="001B44E4"/>
    <w:rsid w:val="001B747A"/>
    <w:rsid w:val="001C39F8"/>
    <w:rsid w:val="001C66F5"/>
    <w:rsid w:val="001D0F9C"/>
    <w:rsid w:val="001D2A70"/>
    <w:rsid w:val="001D51C0"/>
    <w:rsid w:val="001E058E"/>
    <w:rsid w:val="001E0650"/>
    <w:rsid w:val="001E30D6"/>
    <w:rsid w:val="001E405C"/>
    <w:rsid w:val="001E4572"/>
    <w:rsid w:val="001E7EEC"/>
    <w:rsid w:val="001F274A"/>
    <w:rsid w:val="001F4950"/>
    <w:rsid w:val="002000FB"/>
    <w:rsid w:val="002132DA"/>
    <w:rsid w:val="00217810"/>
    <w:rsid w:val="0022792A"/>
    <w:rsid w:val="00230149"/>
    <w:rsid w:val="00230B3A"/>
    <w:rsid w:val="00235A32"/>
    <w:rsid w:val="00246E7C"/>
    <w:rsid w:val="002471BC"/>
    <w:rsid w:val="00250FAD"/>
    <w:rsid w:val="0025402B"/>
    <w:rsid w:val="002568F4"/>
    <w:rsid w:val="00260192"/>
    <w:rsid w:val="002631FD"/>
    <w:rsid w:val="00263D04"/>
    <w:rsid w:val="00264C18"/>
    <w:rsid w:val="00264DCC"/>
    <w:rsid w:val="002749DE"/>
    <w:rsid w:val="00280F62"/>
    <w:rsid w:val="00281B61"/>
    <w:rsid w:val="00286CE7"/>
    <w:rsid w:val="00292946"/>
    <w:rsid w:val="00293ACF"/>
    <w:rsid w:val="00294682"/>
    <w:rsid w:val="002963F0"/>
    <w:rsid w:val="002A674D"/>
    <w:rsid w:val="002B0969"/>
    <w:rsid w:val="002B0D24"/>
    <w:rsid w:val="002B4B38"/>
    <w:rsid w:val="002B6E58"/>
    <w:rsid w:val="002C22AD"/>
    <w:rsid w:val="002C74E3"/>
    <w:rsid w:val="002C75D6"/>
    <w:rsid w:val="002D16DC"/>
    <w:rsid w:val="002D3ACE"/>
    <w:rsid w:val="002D61BB"/>
    <w:rsid w:val="002D644E"/>
    <w:rsid w:val="002E17DC"/>
    <w:rsid w:val="002E39FC"/>
    <w:rsid w:val="002E4739"/>
    <w:rsid w:val="002F7E0F"/>
    <w:rsid w:val="003016E0"/>
    <w:rsid w:val="00311314"/>
    <w:rsid w:val="00314B23"/>
    <w:rsid w:val="00326A9C"/>
    <w:rsid w:val="00336F77"/>
    <w:rsid w:val="003374B0"/>
    <w:rsid w:val="003531A9"/>
    <w:rsid w:val="0035498F"/>
    <w:rsid w:val="00354DA8"/>
    <w:rsid w:val="00357637"/>
    <w:rsid w:val="003634D2"/>
    <w:rsid w:val="003669A4"/>
    <w:rsid w:val="00367545"/>
    <w:rsid w:val="00370C2D"/>
    <w:rsid w:val="00372A77"/>
    <w:rsid w:val="0037598C"/>
    <w:rsid w:val="003834E2"/>
    <w:rsid w:val="00384D8F"/>
    <w:rsid w:val="00392F3A"/>
    <w:rsid w:val="00393A96"/>
    <w:rsid w:val="003A1EF8"/>
    <w:rsid w:val="003A259A"/>
    <w:rsid w:val="003B272C"/>
    <w:rsid w:val="003B48A3"/>
    <w:rsid w:val="003B4D73"/>
    <w:rsid w:val="003B5C17"/>
    <w:rsid w:val="003B66E3"/>
    <w:rsid w:val="003B6733"/>
    <w:rsid w:val="003C1B52"/>
    <w:rsid w:val="003C1CB7"/>
    <w:rsid w:val="003C4533"/>
    <w:rsid w:val="003C4AE6"/>
    <w:rsid w:val="003C5627"/>
    <w:rsid w:val="003D1E5B"/>
    <w:rsid w:val="003D79E6"/>
    <w:rsid w:val="003F0539"/>
    <w:rsid w:val="003F43C1"/>
    <w:rsid w:val="003F5797"/>
    <w:rsid w:val="004039E4"/>
    <w:rsid w:val="00404C91"/>
    <w:rsid w:val="00405B72"/>
    <w:rsid w:val="00406D45"/>
    <w:rsid w:val="00407E68"/>
    <w:rsid w:val="00410127"/>
    <w:rsid w:val="00410850"/>
    <w:rsid w:val="0041135D"/>
    <w:rsid w:val="00417DCB"/>
    <w:rsid w:val="00420292"/>
    <w:rsid w:val="00420910"/>
    <w:rsid w:val="00421D69"/>
    <w:rsid w:val="00424D18"/>
    <w:rsid w:val="00426123"/>
    <w:rsid w:val="0042682A"/>
    <w:rsid w:val="00434A15"/>
    <w:rsid w:val="00450C6E"/>
    <w:rsid w:val="00451143"/>
    <w:rsid w:val="004617D2"/>
    <w:rsid w:val="00461BC2"/>
    <w:rsid w:val="00464974"/>
    <w:rsid w:val="004649EC"/>
    <w:rsid w:val="0047163A"/>
    <w:rsid w:val="00474682"/>
    <w:rsid w:val="00475B95"/>
    <w:rsid w:val="00475E96"/>
    <w:rsid w:val="00476130"/>
    <w:rsid w:val="00477D57"/>
    <w:rsid w:val="00477FC2"/>
    <w:rsid w:val="00483B47"/>
    <w:rsid w:val="0048735F"/>
    <w:rsid w:val="00490EFC"/>
    <w:rsid w:val="004913E8"/>
    <w:rsid w:val="00497391"/>
    <w:rsid w:val="004A2C47"/>
    <w:rsid w:val="004A3926"/>
    <w:rsid w:val="004A4D4D"/>
    <w:rsid w:val="004A4FB5"/>
    <w:rsid w:val="004A5EF2"/>
    <w:rsid w:val="004B51AC"/>
    <w:rsid w:val="004B7CF2"/>
    <w:rsid w:val="004C4CA3"/>
    <w:rsid w:val="004C4DE1"/>
    <w:rsid w:val="004C5557"/>
    <w:rsid w:val="004C7CC2"/>
    <w:rsid w:val="004D2E8B"/>
    <w:rsid w:val="004D7478"/>
    <w:rsid w:val="004E0045"/>
    <w:rsid w:val="004E48D9"/>
    <w:rsid w:val="004E565F"/>
    <w:rsid w:val="004F3D9C"/>
    <w:rsid w:val="004F4035"/>
    <w:rsid w:val="004F7BF6"/>
    <w:rsid w:val="005006AC"/>
    <w:rsid w:val="005027ED"/>
    <w:rsid w:val="005067B5"/>
    <w:rsid w:val="005077B5"/>
    <w:rsid w:val="00511325"/>
    <w:rsid w:val="005227BE"/>
    <w:rsid w:val="005319B8"/>
    <w:rsid w:val="00532A3E"/>
    <w:rsid w:val="00540DF1"/>
    <w:rsid w:val="00542F8B"/>
    <w:rsid w:val="00552315"/>
    <w:rsid w:val="005576A5"/>
    <w:rsid w:val="005578D4"/>
    <w:rsid w:val="005608AC"/>
    <w:rsid w:val="00567AD2"/>
    <w:rsid w:val="0057170F"/>
    <w:rsid w:val="00572E67"/>
    <w:rsid w:val="00577EC0"/>
    <w:rsid w:val="00583821"/>
    <w:rsid w:val="00590285"/>
    <w:rsid w:val="0059728E"/>
    <w:rsid w:val="00597AF7"/>
    <w:rsid w:val="005A16A8"/>
    <w:rsid w:val="005A5BF0"/>
    <w:rsid w:val="005A7500"/>
    <w:rsid w:val="005B325C"/>
    <w:rsid w:val="005B45B8"/>
    <w:rsid w:val="005C1716"/>
    <w:rsid w:val="005C2DE3"/>
    <w:rsid w:val="005C3C54"/>
    <w:rsid w:val="005C6D07"/>
    <w:rsid w:val="005C7BCD"/>
    <w:rsid w:val="005D1C59"/>
    <w:rsid w:val="005D238B"/>
    <w:rsid w:val="005D34BC"/>
    <w:rsid w:val="005D544C"/>
    <w:rsid w:val="005E373C"/>
    <w:rsid w:val="005E59B4"/>
    <w:rsid w:val="005E5DDB"/>
    <w:rsid w:val="005E6C51"/>
    <w:rsid w:val="005F29DE"/>
    <w:rsid w:val="00600E61"/>
    <w:rsid w:val="00601EA6"/>
    <w:rsid w:val="00602AD5"/>
    <w:rsid w:val="00603D08"/>
    <w:rsid w:val="0060659F"/>
    <w:rsid w:val="006069CA"/>
    <w:rsid w:val="00607A74"/>
    <w:rsid w:val="00610BF8"/>
    <w:rsid w:val="00610F73"/>
    <w:rsid w:val="00611F09"/>
    <w:rsid w:val="006121DC"/>
    <w:rsid w:val="00612C06"/>
    <w:rsid w:val="00615B4B"/>
    <w:rsid w:val="006176B9"/>
    <w:rsid w:val="00626195"/>
    <w:rsid w:val="00627FDC"/>
    <w:rsid w:val="006309C1"/>
    <w:rsid w:val="00637809"/>
    <w:rsid w:val="00637C65"/>
    <w:rsid w:val="00640A3E"/>
    <w:rsid w:val="00643730"/>
    <w:rsid w:val="00643DD5"/>
    <w:rsid w:val="00645DAB"/>
    <w:rsid w:val="00652AC3"/>
    <w:rsid w:val="00654355"/>
    <w:rsid w:val="00655278"/>
    <w:rsid w:val="00661C46"/>
    <w:rsid w:val="006625CC"/>
    <w:rsid w:val="00663288"/>
    <w:rsid w:val="006667DB"/>
    <w:rsid w:val="00667233"/>
    <w:rsid w:val="00667D83"/>
    <w:rsid w:val="00670000"/>
    <w:rsid w:val="00671482"/>
    <w:rsid w:val="00680855"/>
    <w:rsid w:val="00683F91"/>
    <w:rsid w:val="00687A0D"/>
    <w:rsid w:val="00690333"/>
    <w:rsid w:val="00693D4D"/>
    <w:rsid w:val="006A0A5E"/>
    <w:rsid w:val="006A3553"/>
    <w:rsid w:val="006A3944"/>
    <w:rsid w:val="006A3B08"/>
    <w:rsid w:val="006A6100"/>
    <w:rsid w:val="006B02DB"/>
    <w:rsid w:val="006C7D6A"/>
    <w:rsid w:val="006D01FD"/>
    <w:rsid w:val="006D07FC"/>
    <w:rsid w:val="006D21F8"/>
    <w:rsid w:val="006E215F"/>
    <w:rsid w:val="006E3B98"/>
    <w:rsid w:val="006E527F"/>
    <w:rsid w:val="006E64D7"/>
    <w:rsid w:val="006E7AE5"/>
    <w:rsid w:val="006F34DE"/>
    <w:rsid w:val="006F5A9C"/>
    <w:rsid w:val="006F5C7E"/>
    <w:rsid w:val="006F6774"/>
    <w:rsid w:val="00702277"/>
    <w:rsid w:val="007040BE"/>
    <w:rsid w:val="00707602"/>
    <w:rsid w:val="00710618"/>
    <w:rsid w:val="00711FE9"/>
    <w:rsid w:val="00726A4B"/>
    <w:rsid w:val="007324DE"/>
    <w:rsid w:val="00732CCB"/>
    <w:rsid w:val="00737189"/>
    <w:rsid w:val="007413CF"/>
    <w:rsid w:val="00742B90"/>
    <w:rsid w:val="00745D4E"/>
    <w:rsid w:val="0075064F"/>
    <w:rsid w:val="007509A0"/>
    <w:rsid w:val="007511E2"/>
    <w:rsid w:val="00755C83"/>
    <w:rsid w:val="00756B1F"/>
    <w:rsid w:val="007642BB"/>
    <w:rsid w:val="0076466D"/>
    <w:rsid w:val="00767554"/>
    <w:rsid w:val="00767FD4"/>
    <w:rsid w:val="0077516E"/>
    <w:rsid w:val="007762FA"/>
    <w:rsid w:val="0078242C"/>
    <w:rsid w:val="00790D4A"/>
    <w:rsid w:val="007A09AE"/>
    <w:rsid w:val="007A6A03"/>
    <w:rsid w:val="007A7E37"/>
    <w:rsid w:val="007B5719"/>
    <w:rsid w:val="007C14B0"/>
    <w:rsid w:val="007C1F73"/>
    <w:rsid w:val="007C2079"/>
    <w:rsid w:val="007C46BB"/>
    <w:rsid w:val="007C4AD2"/>
    <w:rsid w:val="007C54F4"/>
    <w:rsid w:val="007C7B1F"/>
    <w:rsid w:val="007D1120"/>
    <w:rsid w:val="007D25DF"/>
    <w:rsid w:val="007E0729"/>
    <w:rsid w:val="007F2079"/>
    <w:rsid w:val="007F421C"/>
    <w:rsid w:val="007F586D"/>
    <w:rsid w:val="00804852"/>
    <w:rsid w:val="00804E8B"/>
    <w:rsid w:val="00806204"/>
    <w:rsid w:val="00807BA4"/>
    <w:rsid w:val="00814890"/>
    <w:rsid w:val="00817BBB"/>
    <w:rsid w:val="00824CF5"/>
    <w:rsid w:val="00824DAA"/>
    <w:rsid w:val="00830769"/>
    <w:rsid w:val="0083247C"/>
    <w:rsid w:val="00834E99"/>
    <w:rsid w:val="008405B7"/>
    <w:rsid w:val="0084337F"/>
    <w:rsid w:val="00850019"/>
    <w:rsid w:val="008529F3"/>
    <w:rsid w:val="00854058"/>
    <w:rsid w:val="00857319"/>
    <w:rsid w:val="00860A93"/>
    <w:rsid w:val="0086321A"/>
    <w:rsid w:val="00863B6F"/>
    <w:rsid w:val="008663C4"/>
    <w:rsid w:val="0086683B"/>
    <w:rsid w:val="00866ECE"/>
    <w:rsid w:val="008713CC"/>
    <w:rsid w:val="00871615"/>
    <w:rsid w:val="00872E83"/>
    <w:rsid w:val="00873B6A"/>
    <w:rsid w:val="008745C1"/>
    <w:rsid w:val="00876ED6"/>
    <w:rsid w:val="00881712"/>
    <w:rsid w:val="00881ED3"/>
    <w:rsid w:val="0088261C"/>
    <w:rsid w:val="00885BED"/>
    <w:rsid w:val="0088675C"/>
    <w:rsid w:val="00887950"/>
    <w:rsid w:val="0089115F"/>
    <w:rsid w:val="008931C1"/>
    <w:rsid w:val="00897EBC"/>
    <w:rsid w:val="008A1C95"/>
    <w:rsid w:val="008A1EDF"/>
    <w:rsid w:val="008A40C6"/>
    <w:rsid w:val="008A757A"/>
    <w:rsid w:val="008B1CE7"/>
    <w:rsid w:val="008B6AF5"/>
    <w:rsid w:val="008C0184"/>
    <w:rsid w:val="008C0231"/>
    <w:rsid w:val="008C290F"/>
    <w:rsid w:val="008C2ED5"/>
    <w:rsid w:val="008C3966"/>
    <w:rsid w:val="008C556D"/>
    <w:rsid w:val="008D008D"/>
    <w:rsid w:val="008D043C"/>
    <w:rsid w:val="008D1267"/>
    <w:rsid w:val="008D1A52"/>
    <w:rsid w:val="008D3A21"/>
    <w:rsid w:val="008D4075"/>
    <w:rsid w:val="008D4534"/>
    <w:rsid w:val="008E38D5"/>
    <w:rsid w:val="008E3E59"/>
    <w:rsid w:val="008E7A03"/>
    <w:rsid w:val="008F07B0"/>
    <w:rsid w:val="008F2224"/>
    <w:rsid w:val="008F2877"/>
    <w:rsid w:val="0090043F"/>
    <w:rsid w:val="00901522"/>
    <w:rsid w:val="009049BF"/>
    <w:rsid w:val="009114FF"/>
    <w:rsid w:val="009117C7"/>
    <w:rsid w:val="00912245"/>
    <w:rsid w:val="00913508"/>
    <w:rsid w:val="009159B6"/>
    <w:rsid w:val="00916BC2"/>
    <w:rsid w:val="009173B4"/>
    <w:rsid w:val="00923597"/>
    <w:rsid w:val="00924C8E"/>
    <w:rsid w:val="00925E88"/>
    <w:rsid w:val="00926AB4"/>
    <w:rsid w:val="009367B6"/>
    <w:rsid w:val="009374A5"/>
    <w:rsid w:val="00941211"/>
    <w:rsid w:val="0094134E"/>
    <w:rsid w:val="009421CC"/>
    <w:rsid w:val="009431BD"/>
    <w:rsid w:val="0094561F"/>
    <w:rsid w:val="00947475"/>
    <w:rsid w:val="009474EF"/>
    <w:rsid w:val="00950DEB"/>
    <w:rsid w:val="00951728"/>
    <w:rsid w:val="00951AF5"/>
    <w:rsid w:val="00952805"/>
    <w:rsid w:val="009549B2"/>
    <w:rsid w:val="00960A0F"/>
    <w:rsid w:val="009621E9"/>
    <w:rsid w:val="0096240D"/>
    <w:rsid w:val="00963F1E"/>
    <w:rsid w:val="009650A8"/>
    <w:rsid w:val="00970E03"/>
    <w:rsid w:val="00971BA1"/>
    <w:rsid w:val="00974486"/>
    <w:rsid w:val="00974864"/>
    <w:rsid w:val="00974BF9"/>
    <w:rsid w:val="00974EAB"/>
    <w:rsid w:val="009760AA"/>
    <w:rsid w:val="00976AA5"/>
    <w:rsid w:val="00982914"/>
    <w:rsid w:val="00984CA2"/>
    <w:rsid w:val="009A0E44"/>
    <w:rsid w:val="009A3EFB"/>
    <w:rsid w:val="009A5E22"/>
    <w:rsid w:val="009A6843"/>
    <w:rsid w:val="009B0925"/>
    <w:rsid w:val="009B1768"/>
    <w:rsid w:val="009C1D3F"/>
    <w:rsid w:val="009C3FD4"/>
    <w:rsid w:val="009C589D"/>
    <w:rsid w:val="009D2425"/>
    <w:rsid w:val="009E4FE6"/>
    <w:rsid w:val="009F32E1"/>
    <w:rsid w:val="009F3655"/>
    <w:rsid w:val="00A03ED7"/>
    <w:rsid w:val="00A07FC2"/>
    <w:rsid w:val="00A15397"/>
    <w:rsid w:val="00A219B7"/>
    <w:rsid w:val="00A26074"/>
    <w:rsid w:val="00A26EB5"/>
    <w:rsid w:val="00A27476"/>
    <w:rsid w:val="00A32A34"/>
    <w:rsid w:val="00A3327C"/>
    <w:rsid w:val="00A43219"/>
    <w:rsid w:val="00A44AB5"/>
    <w:rsid w:val="00A51666"/>
    <w:rsid w:val="00A562FA"/>
    <w:rsid w:val="00A57746"/>
    <w:rsid w:val="00A601B6"/>
    <w:rsid w:val="00A607E7"/>
    <w:rsid w:val="00A614F6"/>
    <w:rsid w:val="00A62349"/>
    <w:rsid w:val="00A70720"/>
    <w:rsid w:val="00A72265"/>
    <w:rsid w:val="00A75285"/>
    <w:rsid w:val="00A75320"/>
    <w:rsid w:val="00A779AD"/>
    <w:rsid w:val="00A90BF1"/>
    <w:rsid w:val="00A94395"/>
    <w:rsid w:val="00A9565A"/>
    <w:rsid w:val="00A97DDC"/>
    <w:rsid w:val="00AB1DE7"/>
    <w:rsid w:val="00AB2046"/>
    <w:rsid w:val="00AB2B77"/>
    <w:rsid w:val="00AB69EC"/>
    <w:rsid w:val="00AC1BA0"/>
    <w:rsid w:val="00AC2EB6"/>
    <w:rsid w:val="00AD4CAA"/>
    <w:rsid w:val="00AD67D0"/>
    <w:rsid w:val="00AE0770"/>
    <w:rsid w:val="00AE2655"/>
    <w:rsid w:val="00AE30EF"/>
    <w:rsid w:val="00AE4443"/>
    <w:rsid w:val="00AE5E8D"/>
    <w:rsid w:val="00AE7601"/>
    <w:rsid w:val="00AE7FAE"/>
    <w:rsid w:val="00AF0842"/>
    <w:rsid w:val="00AF2224"/>
    <w:rsid w:val="00AF24F2"/>
    <w:rsid w:val="00AF2650"/>
    <w:rsid w:val="00AF4017"/>
    <w:rsid w:val="00AF487C"/>
    <w:rsid w:val="00AF615D"/>
    <w:rsid w:val="00B030C3"/>
    <w:rsid w:val="00B06A9C"/>
    <w:rsid w:val="00B07EB8"/>
    <w:rsid w:val="00B221C1"/>
    <w:rsid w:val="00B26894"/>
    <w:rsid w:val="00B26911"/>
    <w:rsid w:val="00B363B5"/>
    <w:rsid w:val="00B45644"/>
    <w:rsid w:val="00B4679D"/>
    <w:rsid w:val="00B5095E"/>
    <w:rsid w:val="00B514EF"/>
    <w:rsid w:val="00B52C1C"/>
    <w:rsid w:val="00B56FCF"/>
    <w:rsid w:val="00B60B69"/>
    <w:rsid w:val="00B638E1"/>
    <w:rsid w:val="00B73FF3"/>
    <w:rsid w:val="00B7418D"/>
    <w:rsid w:val="00B81A5F"/>
    <w:rsid w:val="00B83111"/>
    <w:rsid w:val="00B8420C"/>
    <w:rsid w:val="00B86709"/>
    <w:rsid w:val="00B871D2"/>
    <w:rsid w:val="00B92A07"/>
    <w:rsid w:val="00BA3793"/>
    <w:rsid w:val="00BA4DC7"/>
    <w:rsid w:val="00BA59CE"/>
    <w:rsid w:val="00BA64B9"/>
    <w:rsid w:val="00BB0245"/>
    <w:rsid w:val="00BB0874"/>
    <w:rsid w:val="00BB1012"/>
    <w:rsid w:val="00BB43FF"/>
    <w:rsid w:val="00BB515A"/>
    <w:rsid w:val="00BC5C25"/>
    <w:rsid w:val="00BD0270"/>
    <w:rsid w:val="00BD1B85"/>
    <w:rsid w:val="00BD38BC"/>
    <w:rsid w:val="00BF4018"/>
    <w:rsid w:val="00C05D7C"/>
    <w:rsid w:val="00C05D88"/>
    <w:rsid w:val="00C10C48"/>
    <w:rsid w:val="00C10CC5"/>
    <w:rsid w:val="00C11957"/>
    <w:rsid w:val="00C13C16"/>
    <w:rsid w:val="00C17D02"/>
    <w:rsid w:val="00C2094F"/>
    <w:rsid w:val="00C22CB0"/>
    <w:rsid w:val="00C271D4"/>
    <w:rsid w:val="00C279E4"/>
    <w:rsid w:val="00C301BC"/>
    <w:rsid w:val="00C3126A"/>
    <w:rsid w:val="00C42C00"/>
    <w:rsid w:val="00C55162"/>
    <w:rsid w:val="00C65569"/>
    <w:rsid w:val="00C7171E"/>
    <w:rsid w:val="00C73548"/>
    <w:rsid w:val="00C73DEE"/>
    <w:rsid w:val="00C73E69"/>
    <w:rsid w:val="00C7489F"/>
    <w:rsid w:val="00C74F76"/>
    <w:rsid w:val="00C75117"/>
    <w:rsid w:val="00C82422"/>
    <w:rsid w:val="00C84DA5"/>
    <w:rsid w:val="00C8717C"/>
    <w:rsid w:val="00C9138D"/>
    <w:rsid w:val="00C97823"/>
    <w:rsid w:val="00CA4B8A"/>
    <w:rsid w:val="00CA5D2B"/>
    <w:rsid w:val="00CA74FB"/>
    <w:rsid w:val="00CB1E4B"/>
    <w:rsid w:val="00CB44E8"/>
    <w:rsid w:val="00CB530E"/>
    <w:rsid w:val="00CB6FCB"/>
    <w:rsid w:val="00CB7729"/>
    <w:rsid w:val="00CC1B2D"/>
    <w:rsid w:val="00CC2244"/>
    <w:rsid w:val="00CC33F6"/>
    <w:rsid w:val="00CC5B2C"/>
    <w:rsid w:val="00CC7E82"/>
    <w:rsid w:val="00CD2C3B"/>
    <w:rsid w:val="00CD3056"/>
    <w:rsid w:val="00CD3E6F"/>
    <w:rsid w:val="00CD6B82"/>
    <w:rsid w:val="00CE6929"/>
    <w:rsid w:val="00CF60AE"/>
    <w:rsid w:val="00CF704C"/>
    <w:rsid w:val="00D005C2"/>
    <w:rsid w:val="00D0577B"/>
    <w:rsid w:val="00D12545"/>
    <w:rsid w:val="00D16359"/>
    <w:rsid w:val="00D168FC"/>
    <w:rsid w:val="00D20970"/>
    <w:rsid w:val="00D20AED"/>
    <w:rsid w:val="00D20C69"/>
    <w:rsid w:val="00D2385C"/>
    <w:rsid w:val="00D25DC1"/>
    <w:rsid w:val="00D262DA"/>
    <w:rsid w:val="00D2723A"/>
    <w:rsid w:val="00D30CE3"/>
    <w:rsid w:val="00D33A3A"/>
    <w:rsid w:val="00D414AD"/>
    <w:rsid w:val="00D42991"/>
    <w:rsid w:val="00D45A13"/>
    <w:rsid w:val="00D47254"/>
    <w:rsid w:val="00D52584"/>
    <w:rsid w:val="00D554B6"/>
    <w:rsid w:val="00D56641"/>
    <w:rsid w:val="00D61597"/>
    <w:rsid w:val="00D61904"/>
    <w:rsid w:val="00D64BC6"/>
    <w:rsid w:val="00D6638B"/>
    <w:rsid w:val="00D6731A"/>
    <w:rsid w:val="00D7270E"/>
    <w:rsid w:val="00D73159"/>
    <w:rsid w:val="00D73FC3"/>
    <w:rsid w:val="00D7759F"/>
    <w:rsid w:val="00D80400"/>
    <w:rsid w:val="00D85C8D"/>
    <w:rsid w:val="00D939DD"/>
    <w:rsid w:val="00D97FAD"/>
    <w:rsid w:val="00DA332E"/>
    <w:rsid w:val="00DA3836"/>
    <w:rsid w:val="00DB2E5A"/>
    <w:rsid w:val="00DB7861"/>
    <w:rsid w:val="00DC2C8F"/>
    <w:rsid w:val="00DC46B3"/>
    <w:rsid w:val="00DC6462"/>
    <w:rsid w:val="00DD01BC"/>
    <w:rsid w:val="00DF0267"/>
    <w:rsid w:val="00DF102C"/>
    <w:rsid w:val="00DF4584"/>
    <w:rsid w:val="00E07B65"/>
    <w:rsid w:val="00E119FB"/>
    <w:rsid w:val="00E13192"/>
    <w:rsid w:val="00E2001C"/>
    <w:rsid w:val="00E210D3"/>
    <w:rsid w:val="00E21AAA"/>
    <w:rsid w:val="00E30150"/>
    <w:rsid w:val="00E306DD"/>
    <w:rsid w:val="00E31792"/>
    <w:rsid w:val="00E31AB0"/>
    <w:rsid w:val="00E3390F"/>
    <w:rsid w:val="00E40E0D"/>
    <w:rsid w:val="00E4395C"/>
    <w:rsid w:val="00E456DF"/>
    <w:rsid w:val="00E500EB"/>
    <w:rsid w:val="00E50328"/>
    <w:rsid w:val="00E5124D"/>
    <w:rsid w:val="00E52AB1"/>
    <w:rsid w:val="00E560A5"/>
    <w:rsid w:val="00E609B0"/>
    <w:rsid w:val="00E61D6B"/>
    <w:rsid w:val="00E661A4"/>
    <w:rsid w:val="00E717A0"/>
    <w:rsid w:val="00E723AE"/>
    <w:rsid w:val="00E748C5"/>
    <w:rsid w:val="00E760EC"/>
    <w:rsid w:val="00E77736"/>
    <w:rsid w:val="00E83486"/>
    <w:rsid w:val="00E84449"/>
    <w:rsid w:val="00E86C4C"/>
    <w:rsid w:val="00EB552E"/>
    <w:rsid w:val="00EC03A1"/>
    <w:rsid w:val="00EC291A"/>
    <w:rsid w:val="00EC442F"/>
    <w:rsid w:val="00ED05AD"/>
    <w:rsid w:val="00ED09FF"/>
    <w:rsid w:val="00ED2C5A"/>
    <w:rsid w:val="00ED499A"/>
    <w:rsid w:val="00EE26C8"/>
    <w:rsid w:val="00EE6E2B"/>
    <w:rsid w:val="00EF303E"/>
    <w:rsid w:val="00EF34B7"/>
    <w:rsid w:val="00EF38DC"/>
    <w:rsid w:val="00EF501E"/>
    <w:rsid w:val="00EF7194"/>
    <w:rsid w:val="00F0049D"/>
    <w:rsid w:val="00F03683"/>
    <w:rsid w:val="00F0586A"/>
    <w:rsid w:val="00F06FB8"/>
    <w:rsid w:val="00F10C5D"/>
    <w:rsid w:val="00F10D1B"/>
    <w:rsid w:val="00F14055"/>
    <w:rsid w:val="00F24619"/>
    <w:rsid w:val="00F303E4"/>
    <w:rsid w:val="00F317E5"/>
    <w:rsid w:val="00F337BB"/>
    <w:rsid w:val="00F33AE9"/>
    <w:rsid w:val="00F36E77"/>
    <w:rsid w:val="00F404FD"/>
    <w:rsid w:val="00F428D4"/>
    <w:rsid w:val="00F466B1"/>
    <w:rsid w:val="00F50177"/>
    <w:rsid w:val="00F52C32"/>
    <w:rsid w:val="00F61314"/>
    <w:rsid w:val="00F61706"/>
    <w:rsid w:val="00F63829"/>
    <w:rsid w:val="00F65399"/>
    <w:rsid w:val="00F66F08"/>
    <w:rsid w:val="00F7533B"/>
    <w:rsid w:val="00F81FC0"/>
    <w:rsid w:val="00F8321A"/>
    <w:rsid w:val="00F85F73"/>
    <w:rsid w:val="00F8683D"/>
    <w:rsid w:val="00F90027"/>
    <w:rsid w:val="00F91AFC"/>
    <w:rsid w:val="00F922D8"/>
    <w:rsid w:val="00F9312F"/>
    <w:rsid w:val="00F96E9F"/>
    <w:rsid w:val="00F970B5"/>
    <w:rsid w:val="00F97825"/>
    <w:rsid w:val="00F97B25"/>
    <w:rsid w:val="00FA26FB"/>
    <w:rsid w:val="00FA292E"/>
    <w:rsid w:val="00FA3389"/>
    <w:rsid w:val="00FB0834"/>
    <w:rsid w:val="00FB1275"/>
    <w:rsid w:val="00FB147B"/>
    <w:rsid w:val="00FB18A2"/>
    <w:rsid w:val="00FB224D"/>
    <w:rsid w:val="00FB2B09"/>
    <w:rsid w:val="00FC1817"/>
    <w:rsid w:val="00FC57A9"/>
    <w:rsid w:val="00FC5A07"/>
    <w:rsid w:val="00FC687D"/>
    <w:rsid w:val="00FC704B"/>
    <w:rsid w:val="00FD1839"/>
    <w:rsid w:val="00FD3D86"/>
    <w:rsid w:val="00FD5068"/>
    <w:rsid w:val="00FD5B20"/>
    <w:rsid w:val="00FE20C7"/>
    <w:rsid w:val="00FE28D4"/>
    <w:rsid w:val="00FE322B"/>
    <w:rsid w:val="00FE3BA3"/>
    <w:rsid w:val="00FE6FEA"/>
    <w:rsid w:val="00FE7B60"/>
    <w:rsid w:val="00FF7DE9"/>
    <w:rsid w:val="068AAEDD"/>
    <w:rsid w:val="0A129207"/>
    <w:rsid w:val="0A3D1002"/>
    <w:rsid w:val="0F1389F2"/>
    <w:rsid w:val="0F42AFE6"/>
    <w:rsid w:val="12D051D8"/>
    <w:rsid w:val="13E092C2"/>
    <w:rsid w:val="14757700"/>
    <w:rsid w:val="14FFCEFB"/>
    <w:rsid w:val="166387B0"/>
    <w:rsid w:val="1A3F47ED"/>
    <w:rsid w:val="1A949D4A"/>
    <w:rsid w:val="1ADE266D"/>
    <w:rsid w:val="1C11A376"/>
    <w:rsid w:val="1DB8047A"/>
    <w:rsid w:val="1DCF9B07"/>
    <w:rsid w:val="1F720E60"/>
    <w:rsid w:val="241028A5"/>
    <w:rsid w:val="254A0632"/>
    <w:rsid w:val="26ABCC25"/>
    <w:rsid w:val="2A57711C"/>
    <w:rsid w:val="2B907FF5"/>
    <w:rsid w:val="30063B8B"/>
    <w:rsid w:val="30A102FF"/>
    <w:rsid w:val="36617519"/>
    <w:rsid w:val="3768C1F8"/>
    <w:rsid w:val="38316CB4"/>
    <w:rsid w:val="3EA1D80A"/>
    <w:rsid w:val="3FBBF1A3"/>
    <w:rsid w:val="434B0DA3"/>
    <w:rsid w:val="453BD0EB"/>
    <w:rsid w:val="45E6C114"/>
    <w:rsid w:val="48FD3406"/>
    <w:rsid w:val="49B4C8A5"/>
    <w:rsid w:val="4A73F1DD"/>
    <w:rsid w:val="4AF8D4B5"/>
    <w:rsid w:val="4D27EB72"/>
    <w:rsid w:val="54364BDE"/>
    <w:rsid w:val="55E35D46"/>
    <w:rsid w:val="571CB9C5"/>
    <w:rsid w:val="5920BB13"/>
    <w:rsid w:val="5A577A79"/>
    <w:rsid w:val="5C7B1E9C"/>
    <w:rsid w:val="5E09BCC8"/>
    <w:rsid w:val="611047B6"/>
    <w:rsid w:val="6196AFC7"/>
    <w:rsid w:val="654685D8"/>
    <w:rsid w:val="689C62D0"/>
    <w:rsid w:val="6C8665D9"/>
    <w:rsid w:val="6CDFF084"/>
    <w:rsid w:val="6FFC5227"/>
    <w:rsid w:val="76D75A83"/>
    <w:rsid w:val="77FCBF92"/>
    <w:rsid w:val="78F2EECB"/>
    <w:rsid w:val="7BE893C5"/>
    <w:rsid w:val="7D9449CA"/>
    <w:rsid w:val="7EB54186"/>
    <w:rsid w:val="7FC66780"/>
  </w:rsids>
  <m:mathPr>
    <m:mathFont m:val="Cambria Math"/>
    <m:brkBin m:val="before"/>
    <m:brkBinSub m:val="--"/>
    <m:smallFrac/>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16A91"/>
  <w15:docId w15:val="{D7E00872-87C3-471B-AA4C-E733E425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B0969"/>
    <w:pPr>
      <w:jc w:val="both"/>
    </w:pPr>
    <w:rPr>
      <w:rFonts w:asciiTheme="minorHAnsi" w:hAnsiTheme="minorHAnsi"/>
      <w:sz w:val="22"/>
      <w:lang w:val="en-GB"/>
    </w:rPr>
  </w:style>
  <w:style w:type="paragraph" w:styleId="Heading1">
    <w:name w:val="heading 1"/>
    <w:basedOn w:val="Normal"/>
    <w:next w:val="Normal"/>
    <w:qFormat/>
    <w:rsid w:val="003016E0"/>
    <w:pPr>
      <w:keepNext/>
      <w:outlineLvl w:val="0"/>
    </w:pPr>
    <w:rPr>
      <w:rFonts w:ascii="Arial" w:hAnsi="Arial"/>
      <w:b/>
    </w:rPr>
  </w:style>
  <w:style w:type="paragraph" w:styleId="Heading2">
    <w:name w:val="heading 2"/>
    <w:basedOn w:val="Normal"/>
    <w:next w:val="Normal"/>
    <w:link w:val="Heading2Char"/>
    <w:semiHidden/>
    <w:unhideWhenUsed/>
    <w:qFormat/>
    <w:rsid w:val="006672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16E0"/>
    <w:pPr>
      <w:jc w:val="center"/>
    </w:pPr>
    <w:rPr>
      <w:b/>
      <w:lang w:val="en-AU"/>
    </w:rPr>
  </w:style>
  <w:style w:type="paragraph" w:styleId="BodyText2">
    <w:name w:val="Body Text 2"/>
    <w:basedOn w:val="Normal"/>
    <w:rsid w:val="003016E0"/>
  </w:style>
  <w:style w:type="paragraph" w:styleId="BodyText3">
    <w:name w:val="Body Text 3"/>
    <w:basedOn w:val="Normal"/>
    <w:rsid w:val="003016E0"/>
    <w:pPr>
      <w:tabs>
        <w:tab w:val="left" w:pos="720"/>
      </w:tabs>
    </w:pPr>
    <w:rPr>
      <w:rFonts w:ascii="Arial" w:hAnsi="Arial"/>
    </w:rPr>
  </w:style>
  <w:style w:type="paragraph" w:styleId="BalloonText">
    <w:name w:val="Balloon Text"/>
    <w:basedOn w:val="Normal"/>
    <w:semiHidden/>
    <w:rsid w:val="007D25DF"/>
    <w:rPr>
      <w:rFonts w:ascii="Tahoma" w:hAnsi="Tahoma" w:cs="Tahoma"/>
      <w:sz w:val="16"/>
      <w:szCs w:val="16"/>
    </w:rPr>
  </w:style>
  <w:style w:type="paragraph" w:styleId="Header">
    <w:name w:val="header"/>
    <w:basedOn w:val="Normal"/>
    <w:link w:val="HeaderChar"/>
    <w:uiPriority w:val="99"/>
    <w:rsid w:val="004F3D9C"/>
    <w:pPr>
      <w:tabs>
        <w:tab w:val="center" w:pos="4320"/>
        <w:tab w:val="right" w:pos="8640"/>
      </w:tabs>
    </w:pPr>
  </w:style>
  <w:style w:type="paragraph" w:styleId="Footer">
    <w:name w:val="footer"/>
    <w:basedOn w:val="Normal"/>
    <w:rsid w:val="004F3D9C"/>
    <w:pPr>
      <w:tabs>
        <w:tab w:val="center" w:pos="4320"/>
        <w:tab w:val="right" w:pos="8640"/>
      </w:tabs>
    </w:pPr>
  </w:style>
  <w:style w:type="character" w:styleId="PageNumber">
    <w:name w:val="page number"/>
    <w:basedOn w:val="DefaultParagraphFont"/>
    <w:rsid w:val="004F3D9C"/>
  </w:style>
  <w:style w:type="paragraph" w:styleId="BodyTextIndent2">
    <w:name w:val="Body Text Indent 2"/>
    <w:basedOn w:val="Normal"/>
    <w:link w:val="BodyTextIndent2Char"/>
    <w:rsid w:val="006F5C7E"/>
    <w:pPr>
      <w:spacing w:after="120" w:line="480" w:lineRule="auto"/>
      <w:ind w:left="360"/>
    </w:pPr>
    <w:rPr>
      <w:rFonts w:ascii="Arial" w:hAnsi="Arial"/>
      <w:lang w:val="ru-RU" w:eastAsia="ru-RU"/>
    </w:rPr>
  </w:style>
  <w:style w:type="character" w:customStyle="1" w:styleId="BodyTextIndent2Char">
    <w:name w:val="Body Text Indent 2 Char"/>
    <w:link w:val="BodyTextIndent2"/>
    <w:rsid w:val="006F5C7E"/>
    <w:rPr>
      <w:rFonts w:ascii="Arial" w:hAnsi="Arial"/>
      <w:lang w:val="ru-RU" w:eastAsia="ru-RU" w:bidi="ar-SA"/>
    </w:rPr>
  </w:style>
  <w:style w:type="character" w:styleId="CommentReference">
    <w:name w:val="annotation reference"/>
    <w:semiHidden/>
    <w:rsid w:val="006F5C7E"/>
    <w:rPr>
      <w:sz w:val="16"/>
      <w:szCs w:val="16"/>
    </w:rPr>
  </w:style>
  <w:style w:type="character" w:customStyle="1" w:styleId="HeaderChar">
    <w:name w:val="Header Char"/>
    <w:basedOn w:val="DefaultParagraphFont"/>
    <w:link w:val="Header"/>
    <w:uiPriority w:val="99"/>
    <w:rsid w:val="003C4AE6"/>
  </w:style>
  <w:style w:type="paragraph" w:styleId="ListParagraph">
    <w:name w:val="List Paragraph"/>
    <w:aliases w:val="Bullets"/>
    <w:basedOn w:val="Normal"/>
    <w:next w:val="Normal"/>
    <w:link w:val="ListParagraphChar"/>
    <w:uiPriority w:val="34"/>
    <w:qFormat/>
    <w:rsid w:val="002B0969"/>
    <w:pPr>
      <w:spacing w:before="120" w:after="120"/>
      <w:contextualSpacing/>
    </w:pPr>
    <w:rPr>
      <w:b/>
    </w:rPr>
  </w:style>
  <w:style w:type="paragraph" w:styleId="CommentText">
    <w:name w:val="annotation text"/>
    <w:basedOn w:val="Normal"/>
    <w:link w:val="CommentTextChar"/>
    <w:rsid w:val="00294682"/>
  </w:style>
  <w:style w:type="character" w:customStyle="1" w:styleId="CommentTextChar">
    <w:name w:val="Comment Text Char"/>
    <w:link w:val="CommentText"/>
    <w:rsid w:val="00294682"/>
    <w:rPr>
      <w:lang w:val="en-GB"/>
    </w:rPr>
  </w:style>
  <w:style w:type="paragraph" w:styleId="CommentSubject">
    <w:name w:val="annotation subject"/>
    <w:basedOn w:val="CommentText"/>
    <w:next w:val="CommentText"/>
    <w:link w:val="CommentSubjectChar"/>
    <w:rsid w:val="00294682"/>
    <w:rPr>
      <w:b/>
      <w:bCs/>
    </w:rPr>
  </w:style>
  <w:style w:type="character" w:customStyle="1" w:styleId="CommentSubjectChar">
    <w:name w:val="Comment Subject Char"/>
    <w:link w:val="CommentSubject"/>
    <w:rsid w:val="00294682"/>
    <w:rPr>
      <w:b/>
      <w:bCs/>
      <w:lang w:val="en-GB"/>
    </w:rPr>
  </w:style>
  <w:style w:type="paragraph" w:customStyle="1" w:styleId="BodyText1">
    <w:name w:val="Body Text1"/>
    <w:aliases w:val="OPM"/>
    <w:basedOn w:val="Normal"/>
    <w:link w:val="BodytextChar"/>
    <w:rsid w:val="00D61597"/>
    <w:pPr>
      <w:spacing w:after="240"/>
    </w:pPr>
    <w:rPr>
      <w:rFonts w:ascii="Arial" w:hAnsi="Arial"/>
    </w:rPr>
  </w:style>
  <w:style w:type="character" w:customStyle="1" w:styleId="BodytextChar">
    <w:name w:val="Body text Char"/>
    <w:aliases w:val="OPM Char"/>
    <w:link w:val="BodyText1"/>
    <w:rsid w:val="00D61597"/>
    <w:rPr>
      <w:rFonts w:ascii="Arial" w:hAnsi="Arial"/>
      <w:sz w:val="22"/>
      <w:lang w:val="en-GB"/>
    </w:rPr>
  </w:style>
  <w:style w:type="character" w:customStyle="1" w:styleId="apple-style-span">
    <w:name w:val="apple-style-span"/>
    <w:basedOn w:val="DefaultParagraphFont"/>
    <w:rsid w:val="002B6E58"/>
  </w:style>
  <w:style w:type="paragraph" w:customStyle="1" w:styleId="A0E349F008B644AAB6A282E0D042D17E">
    <w:name w:val="A0E349F008B644AAB6A282E0D042D17E"/>
    <w:rsid w:val="00B06A9C"/>
    <w:pPr>
      <w:spacing w:after="200" w:line="276" w:lineRule="auto"/>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semiHidden/>
    <w:rsid w:val="00667233"/>
    <w:rPr>
      <w:rFonts w:asciiTheme="majorHAnsi" w:eastAsiaTheme="majorEastAsia" w:hAnsiTheme="majorHAnsi" w:cstheme="majorBidi"/>
      <w:b/>
      <w:bCs/>
      <w:color w:val="4F81BD" w:themeColor="accent1"/>
      <w:sz w:val="26"/>
      <w:szCs w:val="26"/>
      <w:lang w:val="en-GB"/>
    </w:rPr>
  </w:style>
  <w:style w:type="character" w:customStyle="1" w:styleId="ListParagraphChar">
    <w:name w:val="List Paragraph Char"/>
    <w:aliases w:val="Bullets Char"/>
    <w:basedOn w:val="DefaultParagraphFont"/>
    <w:link w:val="ListParagraph"/>
    <w:uiPriority w:val="34"/>
    <w:locked/>
    <w:rsid w:val="00CA5D2B"/>
    <w:rPr>
      <w:rFonts w:asciiTheme="minorHAnsi" w:hAnsiTheme="minorHAnsi"/>
      <w:b/>
      <w:sz w:val="22"/>
      <w:lang w:val="en-GB"/>
    </w:rPr>
  </w:style>
  <w:style w:type="table" w:styleId="TableGrid">
    <w:name w:val="Table Grid"/>
    <w:basedOn w:val="TableNormal"/>
    <w:uiPriority w:val="59"/>
    <w:rsid w:val="00DA3836"/>
    <w:rPr>
      <w:rFonts w:ascii="Cambria" w:eastAsia="MS Minngs"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07FC2"/>
    <w:rPr>
      <w:color w:val="0000FF" w:themeColor="hyperlink"/>
      <w:u w:val="single"/>
    </w:rPr>
  </w:style>
  <w:style w:type="character" w:styleId="UnresolvedMention">
    <w:name w:val="Unresolved Mention"/>
    <w:basedOn w:val="DefaultParagraphFont"/>
    <w:uiPriority w:val="99"/>
    <w:semiHidden/>
    <w:unhideWhenUsed/>
    <w:rsid w:val="00A07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6613">
      <w:bodyDiv w:val="1"/>
      <w:marLeft w:val="0"/>
      <w:marRight w:val="0"/>
      <w:marTop w:val="0"/>
      <w:marBottom w:val="0"/>
      <w:divBdr>
        <w:top w:val="none" w:sz="0" w:space="0" w:color="auto"/>
        <w:left w:val="none" w:sz="0" w:space="0" w:color="auto"/>
        <w:bottom w:val="none" w:sz="0" w:space="0" w:color="auto"/>
        <w:right w:val="none" w:sz="0" w:space="0" w:color="auto"/>
      </w:divBdr>
      <w:divsChild>
        <w:div w:id="741102035">
          <w:marLeft w:val="0"/>
          <w:marRight w:val="0"/>
          <w:marTop w:val="0"/>
          <w:marBottom w:val="0"/>
          <w:divBdr>
            <w:top w:val="none" w:sz="0" w:space="0" w:color="auto"/>
            <w:left w:val="none" w:sz="0" w:space="0" w:color="auto"/>
            <w:bottom w:val="none" w:sz="0" w:space="0" w:color="auto"/>
            <w:right w:val="none" w:sz="0" w:space="0" w:color="auto"/>
          </w:divBdr>
          <w:divsChild>
            <w:div w:id="1610813999">
              <w:marLeft w:val="0"/>
              <w:marRight w:val="0"/>
              <w:marTop w:val="0"/>
              <w:marBottom w:val="0"/>
              <w:divBdr>
                <w:top w:val="none" w:sz="0" w:space="0" w:color="auto"/>
                <w:left w:val="none" w:sz="0" w:space="0" w:color="auto"/>
                <w:bottom w:val="none" w:sz="0" w:space="0" w:color="auto"/>
                <w:right w:val="none" w:sz="0" w:space="0" w:color="auto"/>
              </w:divBdr>
            </w:div>
            <w:div w:id="1904020234">
              <w:marLeft w:val="0"/>
              <w:marRight w:val="0"/>
              <w:marTop w:val="0"/>
              <w:marBottom w:val="0"/>
              <w:divBdr>
                <w:top w:val="none" w:sz="0" w:space="0" w:color="auto"/>
                <w:left w:val="none" w:sz="0" w:space="0" w:color="auto"/>
                <w:bottom w:val="none" w:sz="0" w:space="0" w:color="auto"/>
                <w:right w:val="none" w:sz="0" w:space="0" w:color="auto"/>
              </w:divBdr>
            </w:div>
            <w:div w:id="2036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2539">
      <w:bodyDiv w:val="1"/>
      <w:marLeft w:val="0"/>
      <w:marRight w:val="0"/>
      <w:marTop w:val="0"/>
      <w:marBottom w:val="0"/>
      <w:divBdr>
        <w:top w:val="none" w:sz="0" w:space="0" w:color="auto"/>
        <w:left w:val="none" w:sz="0" w:space="0" w:color="auto"/>
        <w:bottom w:val="none" w:sz="0" w:space="0" w:color="auto"/>
        <w:right w:val="none" w:sz="0" w:space="0" w:color="auto"/>
      </w:divBdr>
      <w:divsChild>
        <w:div w:id="1752502240">
          <w:marLeft w:val="0"/>
          <w:marRight w:val="0"/>
          <w:marTop w:val="0"/>
          <w:marBottom w:val="0"/>
          <w:divBdr>
            <w:top w:val="none" w:sz="0" w:space="0" w:color="auto"/>
            <w:left w:val="none" w:sz="0" w:space="0" w:color="auto"/>
            <w:bottom w:val="none" w:sz="0" w:space="0" w:color="auto"/>
            <w:right w:val="none" w:sz="0" w:space="0" w:color="auto"/>
          </w:divBdr>
        </w:div>
      </w:divsChild>
    </w:div>
    <w:div w:id="692191784">
      <w:bodyDiv w:val="1"/>
      <w:marLeft w:val="0"/>
      <w:marRight w:val="0"/>
      <w:marTop w:val="0"/>
      <w:marBottom w:val="0"/>
      <w:divBdr>
        <w:top w:val="none" w:sz="0" w:space="0" w:color="auto"/>
        <w:left w:val="none" w:sz="0" w:space="0" w:color="auto"/>
        <w:bottom w:val="none" w:sz="0" w:space="0" w:color="auto"/>
        <w:right w:val="none" w:sz="0" w:space="0" w:color="auto"/>
      </w:divBdr>
      <w:divsChild>
        <w:div w:id="1757941905">
          <w:marLeft w:val="0"/>
          <w:marRight w:val="0"/>
          <w:marTop w:val="0"/>
          <w:marBottom w:val="0"/>
          <w:divBdr>
            <w:top w:val="none" w:sz="0" w:space="0" w:color="auto"/>
            <w:left w:val="none" w:sz="0" w:space="0" w:color="auto"/>
            <w:bottom w:val="none" w:sz="0" w:space="0" w:color="auto"/>
            <w:right w:val="none" w:sz="0" w:space="0" w:color="auto"/>
          </w:divBdr>
        </w:div>
      </w:divsChild>
    </w:div>
    <w:div w:id="1111122705">
      <w:bodyDiv w:val="1"/>
      <w:marLeft w:val="0"/>
      <w:marRight w:val="0"/>
      <w:marTop w:val="0"/>
      <w:marBottom w:val="0"/>
      <w:divBdr>
        <w:top w:val="none" w:sz="0" w:space="0" w:color="auto"/>
        <w:left w:val="none" w:sz="0" w:space="0" w:color="auto"/>
        <w:bottom w:val="none" w:sz="0" w:space="0" w:color="auto"/>
        <w:right w:val="none" w:sz="0" w:space="0" w:color="auto"/>
      </w:divBdr>
      <w:divsChild>
        <w:div w:id="1823698873">
          <w:marLeft w:val="0"/>
          <w:marRight w:val="0"/>
          <w:marTop w:val="0"/>
          <w:marBottom w:val="0"/>
          <w:divBdr>
            <w:top w:val="none" w:sz="0" w:space="0" w:color="auto"/>
            <w:left w:val="none" w:sz="0" w:space="0" w:color="auto"/>
            <w:bottom w:val="none" w:sz="0" w:space="0" w:color="auto"/>
            <w:right w:val="none" w:sz="0" w:space="0" w:color="auto"/>
          </w:divBdr>
          <w:divsChild>
            <w:div w:id="7842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881">
      <w:bodyDiv w:val="1"/>
      <w:marLeft w:val="0"/>
      <w:marRight w:val="0"/>
      <w:marTop w:val="0"/>
      <w:marBottom w:val="0"/>
      <w:divBdr>
        <w:top w:val="none" w:sz="0" w:space="0" w:color="auto"/>
        <w:left w:val="none" w:sz="0" w:space="0" w:color="auto"/>
        <w:bottom w:val="none" w:sz="0" w:space="0" w:color="auto"/>
        <w:right w:val="none" w:sz="0" w:space="0" w:color="auto"/>
      </w:divBdr>
      <w:divsChild>
        <w:div w:id="1367607101">
          <w:marLeft w:val="0"/>
          <w:marRight w:val="0"/>
          <w:marTop w:val="0"/>
          <w:marBottom w:val="0"/>
          <w:divBdr>
            <w:top w:val="none" w:sz="0" w:space="0" w:color="auto"/>
            <w:left w:val="none" w:sz="0" w:space="0" w:color="auto"/>
            <w:bottom w:val="none" w:sz="0" w:space="0" w:color="auto"/>
            <w:right w:val="none" w:sz="0" w:space="0" w:color="auto"/>
          </w:divBdr>
        </w:div>
      </w:divsChild>
    </w:div>
    <w:div w:id="1227644062">
      <w:bodyDiv w:val="1"/>
      <w:marLeft w:val="0"/>
      <w:marRight w:val="0"/>
      <w:marTop w:val="0"/>
      <w:marBottom w:val="0"/>
      <w:divBdr>
        <w:top w:val="none" w:sz="0" w:space="0" w:color="auto"/>
        <w:left w:val="none" w:sz="0" w:space="0" w:color="auto"/>
        <w:bottom w:val="none" w:sz="0" w:space="0" w:color="auto"/>
        <w:right w:val="none" w:sz="0" w:space="0" w:color="auto"/>
      </w:divBdr>
      <w:divsChild>
        <w:div w:id="1149633007">
          <w:marLeft w:val="0"/>
          <w:marRight w:val="0"/>
          <w:marTop w:val="0"/>
          <w:marBottom w:val="0"/>
          <w:divBdr>
            <w:top w:val="none" w:sz="0" w:space="0" w:color="auto"/>
            <w:left w:val="none" w:sz="0" w:space="0" w:color="auto"/>
            <w:bottom w:val="none" w:sz="0" w:space="0" w:color="auto"/>
            <w:right w:val="none" w:sz="0" w:space="0" w:color="auto"/>
          </w:divBdr>
          <w:divsChild>
            <w:div w:id="861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2327">
      <w:bodyDiv w:val="1"/>
      <w:marLeft w:val="0"/>
      <w:marRight w:val="0"/>
      <w:marTop w:val="0"/>
      <w:marBottom w:val="0"/>
      <w:divBdr>
        <w:top w:val="none" w:sz="0" w:space="0" w:color="auto"/>
        <w:left w:val="none" w:sz="0" w:space="0" w:color="auto"/>
        <w:bottom w:val="none" w:sz="0" w:space="0" w:color="auto"/>
        <w:right w:val="none" w:sz="0" w:space="0" w:color="auto"/>
      </w:divBdr>
      <w:divsChild>
        <w:div w:id="656300914">
          <w:marLeft w:val="0"/>
          <w:marRight w:val="0"/>
          <w:marTop w:val="0"/>
          <w:marBottom w:val="0"/>
          <w:divBdr>
            <w:top w:val="none" w:sz="0" w:space="0" w:color="auto"/>
            <w:left w:val="none" w:sz="0" w:space="0" w:color="auto"/>
            <w:bottom w:val="none" w:sz="0" w:space="0" w:color="auto"/>
            <w:right w:val="none" w:sz="0" w:space="0" w:color="auto"/>
          </w:divBdr>
          <w:divsChild>
            <w:div w:id="621115345">
              <w:marLeft w:val="0"/>
              <w:marRight w:val="0"/>
              <w:marTop w:val="0"/>
              <w:marBottom w:val="0"/>
              <w:divBdr>
                <w:top w:val="none" w:sz="0" w:space="0" w:color="auto"/>
                <w:left w:val="none" w:sz="0" w:space="0" w:color="auto"/>
                <w:bottom w:val="none" w:sz="0" w:space="0" w:color="auto"/>
                <w:right w:val="none" w:sz="0" w:space="0" w:color="auto"/>
              </w:divBdr>
            </w:div>
            <w:div w:id="9555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6814">
      <w:bodyDiv w:val="1"/>
      <w:marLeft w:val="0"/>
      <w:marRight w:val="0"/>
      <w:marTop w:val="0"/>
      <w:marBottom w:val="0"/>
      <w:divBdr>
        <w:top w:val="none" w:sz="0" w:space="0" w:color="auto"/>
        <w:left w:val="none" w:sz="0" w:space="0" w:color="auto"/>
        <w:bottom w:val="none" w:sz="0" w:space="0" w:color="auto"/>
        <w:right w:val="none" w:sz="0" w:space="0" w:color="auto"/>
      </w:divBdr>
    </w:div>
    <w:div w:id="1707368172">
      <w:bodyDiv w:val="1"/>
      <w:marLeft w:val="0"/>
      <w:marRight w:val="0"/>
      <w:marTop w:val="0"/>
      <w:marBottom w:val="0"/>
      <w:divBdr>
        <w:top w:val="none" w:sz="0" w:space="0" w:color="auto"/>
        <w:left w:val="none" w:sz="0" w:space="0" w:color="auto"/>
        <w:bottom w:val="none" w:sz="0" w:space="0" w:color="auto"/>
        <w:right w:val="none" w:sz="0" w:space="0" w:color="auto"/>
      </w:divBdr>
      <w:divsChild>
        <w:div w:id="445347023">
          <w:marLeft w:val="0"/>
          <w:marRight w:val="0"/>
          <w:marTop w:val="0"/>
          <w:marBottom w:val="0"/>
          <w:divBdr>
            <w:top w:val="none" w:sz="0" w:space="0" w:color="auto"/>
            <w:left w:val="none" w:sz="0" w:space="0" w:color="auto"/>
            <w:bottom w:val="none" w:sz="0" w:space="0" w:color="auto"/>
            <w:right w:val="none" w:sz="0" w:space="0" w:color="auto"/>
          </w:divBdr>
          <w:divsChild>
            <w:div w:id="12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0968">
      <w:bodyDiv w:val="1"/>
      <w:marLeft w:val="0"/>
      <w:marRight w:val="0"/>
      <w:marTop w:val="0"/>
      <w:marBottom w:val="0"/>
      <w:divBdr>
        <w:top w:val="none" w:sz="0" w:space="0" w:color="auto"/>
        <w:left w:val="none" w:sz="0" w:space="0" w:color="auto"/>
        <w:bottom w:val="none" w:sz="0" w:space="0" w:color="auto"/>
        <w:right w:val="none" w:sz="0" w:space="0" w:color="auto"/>
      </w:divBdr>
      <w:divsChild>
        <w:div w:id="255405819">
          <w:marLeft w:val="0"/>
          <w:marRight w:val="0"/>
          <w:marTop w:val="0"/>
          <w:marBottom w:val="0"/>
          <w:divBdr>
            <w:top w:val="none" w:sz="0" w:space="0" w:color="auto"/>
            <w:left w:val="none" w:sz="0" w:space="0" w:color="auto"/>
            <w:bottom w:val="none" w:sz="0" w:space="0" w:color="auto"/>
            <w:right w:val="none" w:sz="0" w:space="0" w:color="auto"/>
          </w:divBdr>
          <w:divsChild>
            <w:div w:id="266425538">
              <w:marLeft w:val="0"/>
              <w:marRight w:val="0"/>
              <w:marTop w:val="0"/>
              <w:marBottom w:val="0"/>
              <w:divBdr>
                <w:top w:val="none" w:sz="0" w:space="0" w:color="auto"/>
                <w:left w:val="none" w:sz="0" w:space="0" w:color="auto"/>
                <w:bottom w:val="none" w:sz="0" w:space="0" w:color="auto"/>
                <w:right w:val="none" w:sz="0" w:space="0" w:color="auto"/>
              </w:divBdr>
            </w:div>
            <w:div w:id="284388667">
              <w:marLeft w:val="0"/>
              <w:marRight w:val="0"/>
              <w:marTop w:val="0"/>
              <w:marBottom w:val="0"/>
              <w:divBdr>
                <w:top w:val="none" w:sz="0" w:space="0" w:color="auto"/>
                <w:left w:val="none" w:sz="0" w:space="0" w:color="auto"/>
                <w:bottom w:val="none" w:sz="0" w:space="0" w:color="auto"/>
                <w:right w:val="none" w:sz="0" w:space="0" w:color="auto"/>
              </w:divBdr>
            </w:div>
            <w:div w:id="749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433">
      <w:bodyDiv w:val="1"/>
      <w:marLeft w:val="0"/>
      <w:marRight w:val="0"/>
      <w:marTop w:val="0"/>
      <w:marBottom w:val="0"/>
      <w:divBdr>
        <w:top w:val="none" w:sz="0" w:space="0" w:color="auto"/>
        <w:left w:val="none" w:sz="0" w:space="0" w:color="auto"/>
        <w:bottom w:val="none" w:sz="0" w:space="0" w:color="auto"/>
        <w:right w:val="none" w:sz="0" w:space="0" w:color="auto"/>
      </w:divBdr>
      <w:divsChild>
        <w:div w:id="1599949095">
          <w:marLeft w:val="0"/>
          <w:marRight w:val="0"/>
          <w:marTop w:val="0"/>
          <w:marBottom w:val="0"/>
          <w:divBdr>
            <w:top w:val="none" w:sz="0" w:space="0" w:color="auto"/>
            <w:left w:val="none" w:sz="0" w:space="0" w:color="auto"/>
            <w:bottom w:val="none" w:sz="0" w:space="0" w:color="auto"/>
            <w:right w:val="none" w:sz="0" w:space="0" w:color="auto"/>
          </w:divBdr>
        </w:div>
      </w:divsChild>
    </w:div>
    <w:div w:id="1896811548">
      <w:bodyDiv w:val="1"/>
      <w:marLeft w:val="0"/>
      <w:marRight w:val="0"/>
      <w:marTop w:val="0"/>
      <w:marBottom w:val="0"/>
      <w:divBdr>
        <w:top w:val="none" w:sz="0" w:space="0" w:color="auto"/>
        <w:left w:val="none" w:sz="0" w:space="0" w:color="auto"/>
        <w:bottom w:val="none" w:sz="0" w:space="0" w:color="auto"/>
        <w:right w:val="none" w:sz="0" w:space="0" w:color="auto"/>
      </w:divBdr>
      <w:divsChild>
        <w:div w:id="1709644601">
          <w:marLeft w:val="0"/>
          <w:marRight w:val="0"/>
          <w:marTop w:val="0"/>
          <w:marBottom w:val="0"/>
          <w:divBdr>
            <w:top w:val="none" w:sz="0" w:space="0" w:color="auto"/>
            <w:left w:val="none" w:sz="0" w:space="0" w:color="auto"/>
            <w:bottom w:val="none" w:sz="0" w:space="0" w:color="auto"/>
            <w:right w:val="none" w:sz="0" w:space="0" w:color="auto"/>
          </w:divBdr>
          <w:divsChild>
            <w:div w:id="6448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4977">
      <w:bodyDiv w:val="1"/>
      <w:marLeft w:val="0"/>
      <w:marRight w:val="0"/>
      <w:marTop w:val="0"/>
      <w:marBottom w:val="0"/>
      <w:divBdr>
        <w:top w:val="none" w:sz="0" w:space="0" w:color="auto"/>
        <w:left w:val="none" w:sz="0" w:space="0" w:color="auto"/>
        <w:bottom w:val="none" w:sz="0" w:space="0" w:color="auto"/>
        <w:right w:val="none" w:sz="0" w:space="0" w:color="auto"/>
      </w:divBdr>
      <w:divsChild>
        <w:div w:id="1241677702">
          <w:marLeft w:val="0"/>
          <w:marRight w:val="0"/>
          <w:marTop w:val="0"/>
          <w:marBottom w:val="0"/>
          <w:divBdr>
            <w:top w:val="none" w:sz="0" w:space="0" w:color="auto"/>
            <w:left w:val="none" w:sz="0" w:space="0" w:color="auto"/>
            <w:bottom w:val="none" w:sz="0" w:space="0" w:color="auto"/>
            <w:right w:val="none" w:sz="0" w:space="0" w:color="auto"/>
          </w:divBdr>
          <w:divsChild>
            <w:div w:id="179975564">
              <w:marLeft w:val="0"/>
              <w:marRight w:val="0"/>
              <w:marTop w:val="0"/>
              <w:marBottom w:val="0"/>
              <w:divBdr>
                <w:top w:val="none" w:sz="0" w:space="0" w:color="auto"/>
                <w:left w:val="none" w:sz="0" w:space="0" w:color="auto"/>
                <w:bottom w:val="none" w:sz="0" w:space="0" w:color="auto"/>
                <w:right w:val="none" w:sz="0" w:space="0" w:color="auto"/>
              </w:divBdr>
            </w:div>
            <w:div w:id="1238831562">
              <w:marLeft w:val="0"/>
              <w:marRight w:val="0"/>
              <w:marTop w:val="0"/>
              <w:marBottom w:val="0"/>
              <w:divBdr>
                <w:top w:val="none" w:sz="0" w:space="0" w:color="auto"/>
                <w:left w:val="none" w:sz="0" w:space="0" w:color="auto"/>
                <w:bottom w:val="none" w:sz="0" w:space="0" w:color="auto"/>
                <w:right w:val="none" w:sz="0" w:space="0" w:color="auto"/>
              </w:divBdr>
            </w:div>
            <w:div w:id="1693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79109">
      <w:bodyDiv w:val="1"/>
      <w:marLeft w:val="0"/>
      <w:marRight w:val="0"/>
      <w:marTop w:val="0"/>
      <w:marBottom w:val="0"/>
      <w:divBdr>
        <w:top w:val="none" w:sz="0" w:space="0" w:color="auto"/>
        <w:left w:val="none" w:sz="0" w:space="0" w:color="auto"/>
        <w:bottom w:val="none" w:sz="0" w:space="0" w:color="auto"/>
        <w:right w:val="none" w:sz="0" w:space="0" w:color="auto"/>
      </w:divBdr>
      <w:divsChild>
        <w:div w:id="32343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ho.int/healthinfo/systems/sara_reference_manual/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2F82B8A79AAF844CA9B8FDE1659A23DA" ma:contentTypeVersion="37" ma:contentTypeDescription="" ma:contentTypeScope="" ma:versionID="74c08287eb1e2178c97939f402076add">
  <xsd:schema xmlns:xsd="http://www.w3.org/2001/XMLSchema" xmlns:xs="http://www.w3.org/2001/XMLSchema" xmlns:p="http://schemas.microsoft.com/office/2006/metadata/properties" xmlns:ns1="http://schemas.microsoft.com/sharepoint/v3" xmlns:ns2="ca283e0b-db31-4043-a2ef-b80661bf084a" xmlns:ns3="http://schemas.microsoft.com/sharepoint.v3" xmlns:ns4="b88ae345-31a1-401d-a315-20c30aab9178" xmlns:ns5="http://schemas.microsoft.com/sharepoint/v4" xmlns:ns6="ed724f69-3982-4ff8-9bce-556f4d02ae27" targetNamespace="http://schemas.microsoft.com/office/2006/metadata/properties" ma:root="true" ma:fieldsID="7bbdea3ca02956d86526a34ffeb26276" ns1:_="" ns2:_="" ns3:_="" ns4:_="" ns5:_="" ns6:_="">
    <xsd:import namespace="http://schemas.microsoft.com/sharepoint/v3"/>
    <xsd:import namespace="ca283e0b-db31-4043-a2ef-b80661bf084a"/>
    <xsd:import namespace="http://schemas.microsoft.com/sharepoint.v3"/>
    <xsd:import namespace="b88ae345-31a1-401d-a315-20c30aab9178"/>
    <xsd:import namespace="http://schemas.microsoft.com/sharepoint/v4"/>
    <xsd:import namespace="ed724f69-3982-4ff8-9bce-556f4d02ae27"/>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_dlc_DocId" minOccurs="0"/>
                <xsd:element ref="ns4:_dlc_DocIdUrl" minOccurs="0"/>
                <xsd:element ref="ns4:_dlc_DocIdPersistId" minOccurs="0"/>
                <xsd:element ref="ns5:IconOverlay" minOccurs="0"/>
                <xsd:element ref="ns1:_vti_ItemDeclaredRecord" minOccurs="0"/>
                <xsd:element ref="ns1:_vti_ItemHoldRecordStatus" minOccurs="0"/>
                <xsd:element ref="ns4:TaxKeywordTaxHTField" minOccurs="0"/>
                <xsd:element ref="ns6:MediaServiceMetadata" minOccurs="0"/>
                <xsd:element ref="ns6:MediaServiceFastMetadata" minOccurs="0"/>
                <xsd:element ref="ns6:MediaServiceAutoKeyPoints" minOccurs="0"/>
                <xsd:element ref="ns6:MediaServiceKeyPoints" minOccurs="0"/>
                <xsd:element ref="ns4:SharedWithUsers" minOccurs="0"/>
                <xsd:element ref="ns4:SharedWithDetails" minOccurs="0"/>
                <xsd:element ref="ns6:MediaServiceDateTaken" minOccurs="0"/>
                <xsd:element ref="ns6:MediaServiceAutoTags"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0" nillable="true" ma:displayName="Declared Record" ma:hidden="true" ma:internalName="_vti_ItemDeclaredRecord" ma:readOnly="true">
      <xsd:simpleType>
        <xsd:restriction base="dms:DateTime"/>
      </xsd:simpleType>
    </xsd:element>
    <xsd:element name="_vti_ItemHoldRecordStatus" ma:index="3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Myanmar-0600|2791d2ba-0b97-487e-9694-c5e0cf5d566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95572bb-d409-4a00-ac00-e0d80bc7b8a0}" ma:internalName="TaxCatchAllLabel" ma:readOnly="true" ma:showField="CatchAllDataLabel" ma:web="b88ae345-31a1-401d-a315-20c30aab9178">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95572bb-d409-4a00-ac00-e0d80bc7b8a0}" ma:internalName="TaxCatchAll" ma:showField="CatchAllData" ma:web="b88ae345-31a1-401d-a315-20c30aab9178">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ae345-31a1-401d-a315-20c30aab9178"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TaxKeywordTaxHTField" ma:index="3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24f69-3982-4ff8-9bce-556f4d02ae27"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Location" ma:index="4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_dlc_DocId xmlns="b88ae345-31a1-401d-a315-20c30aab9178">CDRWUWWTTX6A-1959028719-3761</_dlc_DocId>
    <_dlc_DocIdUrl xmlns="b88ae345-31a1-401d-a315-20c30aab9178">
      <Url>https://unicef.sharepoint.com/teams/MMR-HealthNutrition/_layouts/15/DocIdRedir.aspx?ID=CDRWUWWTTX6A-1959028719-3761</Url>
      <Description>CDRWUWWTTX6A-1959028719-3761</Description>
    </_dlc_DocIdUrl>
    <TaxCatchAll xmlns="ca283e0b-db31-4043-a2ef-b80661bf084a"/>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 xsi:nil="true"/>
    <h6a71f3e574e4344bc34f3fc9dd20054 xmlns="ca283e0b-db31-4043-a2ef-b80661bf084a">
      <Terms xmlns="http://schemas.microsoft.com/office/infopath/2007/PartnerControls"/>
    </h6a71f3e574e4344bc34f3fc9dd20054>
    <TaxKeywordTaxHTField xmlns="b88ae345-31a1-401d-a315-20c30aab9178">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SharedWithUsers xmlns="b88ae345-31a1-401d-a315-20c30aab9178">
      <UserInfo>
        <DisplayName/>
        <AccountId xsi:nil="true"/>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8A8D8-A247-4ADC-AEBE-E408EB0C19BD}">
  <ds:schemaRefs>
    <ds:schemaRef ds:uri="http://schemas.microsoft.com/sharepoint/v3/contenttype/forms"/>
  </ds:schemaRefs>
</ds:datastoreItem>
</file>

<file path=customXml/itemProps2.xml><?xml version="1.0" encoding="utf-8"?>
<ds:datastoreItem xmlns:ds="http://schemas.openxmlformats.org/officeDocument/2006/customXml" ds:itemID="{50A2FF68-39ED-4C92-9B84-CE9D926D1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b88ae345-31a1-401d-a315-20c30aab9178"/>
    <ds:schemaRef ds:uri="http://schemas.microsoft.com/sharepoint/v4"/>
    <ds:schemaRef ds:uri="ed724f69-3982-4ff8-9bce-556f4d02a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B4600-36B0-4119-A92A-5A1998A31345}">
  <ds:schemaRefs>
    <ds:schemaRef ds:uri="http://schemas.microsoft.com/sharepoint/events"/>
  </ds:schemaRefs>
</ds:datastoreItem>
</file>

<file path=customXml/itemProps4.xml><?xml version="1.0" encoding="utf-8"?>
<ds:datastoreItem xmlns:ds="http://schemas.openxmlformats.org/officeDocument/2006/customXml" ds:itemID="{59352A1C-B69C-497A-A7E3-3048F6E77256}">
  <ds:schemaRefs>
    <ds:schemaRef ds:uri="Microsoft.SharePoint.Taxonomy.ContentTypeSync"/>
  </ds:schemaRefs>
</ds:datastoreItem>
</file>

<file path=customXml/itemProps5.xml><?xml version="1.0" encoding="utf-8"?>
<ds:datastoreItem xmlns:ds="http://schemas.openxmlformats.org/officeDocument/2006/customXml" ds:itemID="{C1A4D41C-E6F5-4E74-A1C1-8589EA084A6F}">
  <ds:schemaRefs>
    <ds:schemaRef ds:uri="http://schemas.microsoft.com/office/2006/metadata/customXsn"/>
  </ds:schemaRefs>
</ds:datastoreItem>
</file>

<file path=customXml/itemProps6.xml><?xml version="1.0" encoding="utf-8"?>
<ds:datastoreItem xmlns:ds="http://schemas.openxmlformats.org/officeDocument/2006/customXml" ds:itemID="{F9898CA9-F117-4ECE-BB46-026CF1205399}">
  <ds:schemaRefs>
    <ds:schemaRef ds:uri="http://schemas.microsoft.com/office/2006/metadata/properties"/>
    <ds:schemaRef ds:uri="http://schemas.microsoft.com/office/infopath/2007/PartnerControls"/>
    <ds:schemaRef ds:uri="b88ae345-31a1-401d-a315-20c30aab9178"/>
    <ds:schemaRef ds:uri="ca283e0b-db31-4043-a2ef-b80661bf084a"/>
    <ds:schemaRef ds:uri="http://schemas.microsoft.com/sharepoint/v4"/>
    <ds:schemaRef ds:uri="http://schemas.microsoft.com/sharepoint.v3"/>
  </ds:schemaRefs>
</ds:datastoreItem>
</file>

<file path=customXml/itemProps7.xml><?xml version="1.0" encoding="utf-8"?>
<ds:datastoreItem xmlns:ds="http://schemas.openxmlformats.org/officeDocument/2006/customXml" ds:itemID="{09CD5972-C9E2-45AE-8391-96DA82D9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UNICEF Myanmar</vt:lpstr>
    </vt:vector>
  </TitlesOfParts>
  <Company>UNICEF</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Myanmar</dc:title>
  <dc:subject/>
  <dc:creator>Eduard Israyelyan</dc:creator>
  <cp:keywords/>
  <cp:lastModifiedBy>Pe Thet Khin</cp:lastModifiedBy>
  <cp:revision>4</cp:revision>
  <cp:lastPrinted>2014-04-28T23:21:00Z</cp:lastPrinted>
  <dcterms:created xsi:type="dcterms:W3CDTF">2020-08-13T12:37:00Z</dcterms:created>
  <dcterms:modified xsi:type="dcterms:W3CDTF">2020-08-24T07:04:00Z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0x0101009BA85F8052A6DA4FA3E31FF9F74C6970002F82B8A79AAF844CA9B8FDE1659A23DA</vt:lpwstr>
  </property>
  <property fmtid="{D5CDD505-2E9C-101B-9397-08002B2CF9AE}" pid="3" name="_dlc_DocIdItemGuid">
    <vt:lpwstr>e4697b7f-2562-4aa7-ba47-2e44efad64e4</vt:lpwstr>
  </property>
  <property fmtid="{D5CDD505-2E9C-101B-9397-08002B2CF9AE}" pid="4" name="TaxKeyword">
    <vt:lpwstr/>
  </property>
  <property fmtid="{D5CDD505-2E9C-101B-9397-08002B2CF9AE}" pid="5" name="Topic">
    <vt:lpwstr/>
  </property>
  <property fmtid="{D5CDD505-2E9C-101B-9397-08002B2CF9AE}" pid="6" name="OfficeDivision">
    <vt:lpwstr/>
  </property>
  <property fmtid="{D5CDD505-2E9C-101B-9397-08002B2CF9AE}" pid="7" name="DocumentType">
    <vt:lpwstr/>
  </property>
  <property fmtid="{D5CDD505-2E9C-101B-9397-08002B2CF9AE}" pid="8" name="GeographicScope">
    <vt:lpwstr/>
  </property>
</Properties>
</file>