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2881" w14:textId="77777777" w:rsidR="00ED477E" w:rsidRDefault="00ED477E" w:rsidP="00ED477E">
      <w:pPr>
        <w:tabs>
          <w:tab w:val="center" w:pos="5400"/>
        </w:tabs>
        <w:jc w:val="center"/>
        <w:outlineLvl w:val="0"/>
        <w:rPr>
          <w:rFonts w:ascii="Calibri" w:hAnsi="Calibri"/>
          <w:b/>
          <w:szCs w:val="24"/>
          <w:lang w:val="fr-FR"/>
        </w:rPr>
      </w:pPr>
    </w:p>
    <w:p w14:paraId="6F15CEFA" w14:textId="77777777" w:rsidR="00ED477E" w:rsidRPr="00DC591D" w:rsidRDefault="00ED477E" w:rsidP="00ED477E">
      <w:pPr>
        <w:tabs>
          <w:tab w:val="center" w:pos="5400"/>
        </w:tabs>
        <w:jc w:val="center"/>
        <w:outlineLvl w:val="0"/>
        <w:rPr>
          <w:rFonts w:ascii="Calibri" w:hAnsi="Calibri"/>
          <w:b/>
          <w:szCs w:val="24"/>
          <w:lang w:val="fr-FR"/>
        </w:rPr>
      </w:pPr>
      <w:r w:rsidRPr="00DC591D">
        <w:rPr>
          <w:rFonts w:ascii="Calibri" w:hAnsi="Calibri"/>
          <w:b/>
          <w:szCs w:val="24"/>
          <w:lang w:val="fr-FR"/>
        </w:rPr>
        <w:t>RECRUTEMENT - CONSULTANT INDIVIDUEL (SSA)</w:t>
      </w:r>
    </w:p>
    <w:p w14:paraId="32B23F29" w14:textId="77777777" w:rsidR="00ED477E" w:rsidRPr="00DC591D" w:rsidRDefault="00ED477E" w:rsidP="00ED477E">
      <w:pPr>
        <w:rPr>
          <w:rFonts w:ascii="Calibri" w:hAnsi="Calibri"/>
          <w:b/>
          <w:sz w:val="20"/>
          <w:lang w:val="fr-FR"/>
        </w:rPr>
      </w:pPr>
    </w:p>
    <w:p w14:paraId="7B2DE8EC" w14:textId="5E49A121" w:rsidR="00ED477E" w:rsidRPr="00DC591D" w:rsidRDefault="00ED477E" w:rsidP="00EA3762">
      <w:pPr>
        <w:jc w:val="center"/>
        <w:rPr>
          <w:rFonts w:ascii="Calibri" w:hAnsi="Calibri"/>
          <w:b/>
          <w:szCs w:val="24"/>
          <w:lang w:val="fr-FR"/>
        </w:rPr>
      </w:pPr>
      <w:r w:rsidRPr="00DC591D">
        <w:rPr>
          <w:rFonts w:ascii="Calibri" w:hAnsi="Calibri"/>
          <w:b/>
          <w:caps/>
          <w:szCs w:val="24"/>
          <w:lang w:val="fr-FR"/>
        </w:rPr>
        <w:t>TERMES DE REFERENCE (TDRs)</w:t>
      </w:r>
    </w:p>
    <w:p w14:paraId="2B4DAE8E" w14:textId="77777777" w:rsidR="00ED477E" w:rsidRPr="00DC591D" w:rsidRDefault="00ED477E" w:rsidP="00ED477E">
      <w:pPr>
        <w:tabs>
          <w:tab w:val="center" w:pos="5400"/>
        </w:tabs>
        <w:outlineLvl w:val="0"/>
        <w:rPr>
          <w:rFonts w:ascii="Calibri" w:hAnsi="Calibri"/>
          <w:sz w:val="20"/>
          <w:lang w:val="fr-FR"/>
        </w:rPr>
      </w:pPr>
    </w:p>
    <w:tbl>
      <w:tblPr>
        <w:tblW w:w="10833" w:type="dxa"/>
        <w:tblInd w:w="-3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6651"/>
        <w:gridCol w:w="4182"/>
      </w:tblGrid>
      <w:tr w:rsidR="00ED477E" w:rsidRPr="00C27AAD" w14:paraId="466C912C" w14:textId="77777777" w:rsidTr="00D310B9">
        <w:tc>
          <w:tcPr>
            <w:tcW w:w="10833" w:type="dxa"/>
            <w:gridSpan w:val="2"/>
            <w:vAlign w:val="center"/>
          </w:tcPr>
          <w:p w14:paraId="5E2E4B23" w14:textId="0FDD804C" w:rsidR="00ED477E" w:rsidRPr="00D310B9" w:rsidRDefault="000A004E" w:rsidP="00D310B9">
            <w:pPr>
              <w:widowControl w:val="0"/>
              <w:numPr>
                <w:ilvl w:val="0"/>
                <w:numId w:val="1"/>
              </w:numPr>
              <w:jc w:val="left"/>
              <w:rPr>
                <w:rFonts w:asciiTheme="minorHAnsi" w:hAnsiTheme="minorHAnsi" w:cstheme="minorHAnsi"/>
                <w:i/>
                <w:sz w:val="20"/>
                <w:lang w:val="fr-FR"/>
              </w:rPr>
            </w:pPr>
            <w:r w:rsidRPr="00D310B9">
              <w:rPr>
                <w:rFonts w:asciiTheme="minorHAnsi" w:hAnsiTheme="minorHAnsi" w:cstheme="minorHAnsi"/>
                <w:b/>
                <w:color w:val="0070C0"/>
                <w:sz w:val="20"/>
                <w:lang w:val="fr-FR"/>
              </w:rPr>
              <w:t xml:space="preserve">TITRE DE LA CONSULTATION </w:t>
            </w:r>
            <w:r w:rsidR="005729D8" w:rsidRPr="00D310B9">
              <w:rPr>
                <w:rFonts w:asciiTheme="minorHAnsi" w:hAnsiTheme="minorHAnsi" w:cstheme="minorHAnsi"/>
                <w:b/>
                <w:color w:val="0070C0"/>
                <w:sz w:val="20"/>
                <w:lang w:val="fr-FR"/>
              </w:rPr>
              <w:t>:</w:t>
            </w:r>
            <w:r w:rsidR="00ED477E" w:rsidRPr="00D310B9">
              <w:rPr>
                <w:rFonts w:asciiTheme="minorHAnsi" w:hAnsiTheme="minorHAnsi" w:cstheme="minorHAnsi"/>
                <w:b/>
                <w:sz w:val="20"/>
                <w:lang w:val="fr-FR"/>
              </w:rPr>
              <w:t xml:space="preserve"> </w:t>
            </w:r>
            <w:r w:rsidR="00C27085" w:rsidRPr="00D310B9">
              <w:rPr>
                <w:rFonts w:asciiTheme="minorHAnsi" w:hAnsiTheme="minorHAnsi" w:cstheme="minorHAnsi"/>
                <w:sz w:val="20"/>
                <w:lang w:val="fr-FR"/>
              </w:rPr>
              <w:t>Consultant</w:t>
            </w:r>
            <w:r w:rsidR="00F14937" w:rsidRPr="00D310B9">
              <w:rPr>
                <w:rFonts w:asciiTheme="minorHAnsi" w:hAnsiTheme="minorHAnsi" w:cstheme="minorHAnsi"/>
                <w:sz w:val="20"/>
                <w:lang w:val="fr-FR"/>
              </w:rPr>
              <w:t>(e)</w:t>
            </w:r>
            <w:r w:rsidR="00C27085" w:rsidRPr="00D310B9">
              <w:rPr>
                <w:rFonts w:asciiTheme="minorHAnsi" w:hAnsiTheme="minorHAnsi" w:cstheme="minorHAnsi"/>
                <w:sz w:val="20"/>
                <w:lang w:val="fr-FR"/>
              </w:rPr>
              <w:t xml:space="preserve"> national</w:t>
            </w:r>
            <w:r w:rsidR="00F14937" w:rsidRPr="00D310B9">
              <w:rPr>
                <w:rFonts w:asciiTheme="minorHAnsi" w:hAnsiTheme="minorHAnsi" w:cstheme="minorHAnsi"/>
                <w:sz w:val="20"/>
                <w:lang w:val="fr-FR"/>
              </w:rPr>
              <w:t>(e)</w:t>
            </w:r>
            <w:r w:rsidR="00C27085" w:rsidRPr="00D310B9">
              <w:rPr>
                <w:rFonts w:asciiTheme="minorHAnsi" w:hAnsiTheme="minorHAnsi" w:cstheme="minorHAnsi"/>
                <w:sz w:val="20"/>
                <w:lang w:val="fr-FR"/>
              </w:rPr>
              <w:t xml:space="preserve"> pour l’appui au Chef de file des partenaires techniques et financiers du secteur environnement, eau et assainissement</w:t>
            </w:r>
          </w:p>
          <w:p w14:paraId="3105577B" w14:textId="75EB84D6" w:rsidR="00ED477E" w:rsidRPr="00D310B9" w:rsidRDefault="000A004E" w:rsidP="00D310B9">
            <w:pPr>
              <w:widowControl w:val="0"/>
              <w:numPr>
                <w:ilvl w:val="0"/>
                <w:numId w:val="1"/>
              </w:numPr>
              <w:jc w:val="left"/>
              <w:rPr>
                <w:rFonts w:asciiTheme="minorHAnsi" w:hAnsiTheme="minorHAnsi" w:cstheme="minorHAnsi"/>
                <w:i/>
                <w:sz w:val="20"/>
                <w:lang w:val="fr-FR"/>
              </w:rPr>
            </w:pPr>
            <w:r w:rsidRPr="00D310B9">
              <w:rPr>
                <w:rFonts w:asciiTheme="minorHAnsi" w:hAnsiTheme="minorHAnsi" w:cstheme="minorHAnsi"/>
                <w:b/>
                <w:color w:val="0070C0"/>
                <w:sz w:val="20"/>
                <w:lang w:val="fr-FR"/>
              </w:rPr>
              <w:t>PROGRAMME :</w:t>
            </w:r>
            <w:r w:rsidR="00ED477E" w:rsidRPr="00D310B9">
              <w:rPr>
                <w:rFonts w:asciiTheme="minorHAnsi" w:hAnsiTheme="minorHAnsi" w:cstheme="minorHAnsi"/>
                <w:i/>
                <w:sz w:val="20"/>
                <w:lang w:val="fr-FR"/>
              </w:rPr>
              <w:t xml:space="preserve">                  </w:t>
            </w:r>
            <w:r w:rsidR="00840825" w:rsidRPr="00D310B9">
              <w:rPr>
                <w:rFonts w:asciiTheme="minorHAnsi" w:hAnsiTheme="minorHAnsi" w:cstheme="minorHAnsi"/>
                <w:i/>
                <w:sz w:val="20"/>
                <w:lang w:val="fr-FR"/>
              </w:rPr>
              <w:t xml:space="preserve">       </w:t>
            </w:r>
            <w:r w:rsidR="00ED477E" w:rsidRPr="00D310B9">
              <w:rPr>
                <w:rFonts w:asciiTheme="minorHAnsi" w:hAnsiTheme="minorHAnsi" w:cstheme="minorHAnsi"/>
                <w:i/>
                <w:sz w:val="20"/>
                <w:lang w:val="fr-FR"/>
              </w:rPr>
              <w:t xml:space="preserve"> </w:t>
            </w:r>
            <w:r w:rsidR="00C27085" w:rsidRPr="00D310B9">
              <w:rPr>
                <w:rFonts w:asciiTheme="minorHAnsi" w:hAnsiTheme="minorHAnsi" w:cstheme="minorHAnsi"/>
                <w:sz w:val="20"/>
                <w:lang w:val="fr-FR"/>
              </w:rPr>
              <w:t>WASH</w:t>
            </w:r>
          </w:p>
          <w:p w14:paraId="34F9D463" w14:textId="3CFE4836" w:rsidR="00ED477E" w:rsidRPr="00D310B9" w:rsidRDefault="000A004E" w:rsidP="00D310B9">
            <w:pPr>
              <w:widowControl w:val="0"/>
              <w:numPr>
                <w:ilvl w:val="0"/>
                <w:numId w:val="1"/>
              </w:numPr>
              <w:jc w:val="left"/>
              <w:rPr>
                <w:rFonts w:asciiTheme="minorHAnsi" w:hAnsiTheme="minorHAnsi" w:cstheme="minorHAnsi"/>
                <w:lang w:val="fr-FR"/>
              </w:rPr>
            </w:pPr>
            <w:r w:rsidRPr="00D310B9">
              <w:rPr>
                <w:rFonts w:asciiTheme="minorHAnsi" w:hAnsiTheme="minorHAnsi" w:cstheme="minorHAnsi"/>
                <w:b/>
                <w:color w:val="0070C0"/>
                <w:sz w:val="20"/>
                <w:lang w:val="fr-FR"/>
              </w:rPr>
              <w:t>SOURCE DE FINANCEMENT</w:t>
            </w:r>
            <w:r w:rsidRPr="00D310B9">
              <w:rPr>
                <w:rFonts w:asciiTheme="minorHAnsi" w:hAnsiTheme="minorHAnsi" w:cstheme="minorHAnsi"/>
                <w:color w:val="0070C0"/>
                <w:sz w:val="20"/>
                <w:lang w:val="fr-FR"/>
              </w:rPr>
              <w:t xml:space="preserve"> :</w:t>
            </w:r>
            <w:r w:rsidR="00ED477E" w:rsidRPr="00D310B9">
              <w:rPr>
                <w:rFonts w:asciiTheme="minorHAnsi" w:hAnsiTheme="minorHAnsi" w:cstheme="minorHAnsi"/>
                <w:i/>
                <w:sz w:val="20"/>
                <w:lang w:val="fr-FR"/>
              </w:rPr>
              <w:t xml:space="preserve">      WBS</w:t>
            </w:r>
            <w:r w:rsidR="005729D8" w:rsidRPr="00D310B9">
              <w:rPr>
                <w:rFonts w:asciiTheme="minorHAnsi" w:hAnsiTheme="minorHAnsi" w:cstheme="minorHAnsi"/>
                <w:i/>
                <w:sz w:val="20"/>
                <w:lang w:val="fr-FR"/>
              </w:rPr>
              <w:t xml:space="preserve"> : </w:t>
            </w:r>
            <w:r w:rsidR="00840825" w:rsidRPr="00D310B9">
              <w:rPr>
                <w:rFonts w:asciiTheme="minorHAnsi" w:hAnsiTheme="minorHAnsi" w:cstheme="minorHAnsi"/>
                <w:i/>
                <w:sz w:val="20"/>
                <w:lang w:val="fr-FR"/>
              </w:rPr>
              <w:t>883/007</w:t>
            </w:r>
            <w:r w:rsidR="00140C41" w:rsidRPr="00D310B9">
              <w:rPr>
                <w:rFonts w:asciiTheme="minorHAnsi" w:hAnsiTheme="minorHAnsi" w:cstheme="minorHAnsi"/>
                <w:i/>
                <w:sz w:val="20"/>
                <w:lang w:val="fr-FR"/>
              </w:rPr>
              <w:t xml:space="preserve">-WASH   </w:t>
            </w:r>
            <w:r w:rsidR="00C27085" w:rsidRPr="00D310B9">
              <w:rPr>
                <w:rFonts w:asciiTheme="minorHAnsi" w:hAnsiTheme="minorHAnsi" w:cstheme="minorHAnsi"/>
                <w:i/>
                <w:sz w:val="20"/>
                <w:lang w:val="fr-FR"/>
              </w:rPr>
              <w:t xml:space="preserve"> Grant : </w:t>
            </w:r>
            <w:r w:rsidR="00DB6B51" w:rsidRPr="00D310B9">
              <w:rPr>
                <w:rFonts w:asciiTheme="minorHAnsi" w:hAnsiTheme="minorHAnsi" w:cstheme="minorHAnsi"/>
                <w:i/>
                <w:sz w:val="20"/>
                <w:lang w:val="fr-FR"/>
              </w:rPr>
              <w:t>NON GRANT</w:t>
            </w:r>
          </w:p>
          <w:p w14:paraId="6F55B779" w14:textId="77777777" w:rsidR="00ED477E" w:rsidRPr="00D310B9" w:rsidRDefault="00ED477E" w:rsidP="00D310B9">
            <w:pPr>
              <w:spacing w:line="120" w:lineRule="exact"/>
              <w:jc w:val="left"/>
              <w:rPr>
                <w:rFonts w:asciiTheme="minorHAnsi" w:hAnsiTheme="minorHAnsi" w:cstheme="minorHAnsi"/>
                <w:sz w:val="20"/>
                <w:lang w:val="fr-FR"/>
              </w:rPr>
            </w:pPr>
          </w:p>
        </w:tc>
      </w:tr>
      <w:tr w:rsidR="00ED477E" w:rsidRPr="00C27AAD" w14:paraId="64739ED9" w14:textId="77777777" w:rsidTr="00D310B9">
        <w:tc>
          <w:tcPr>
            <w:tcW w:w="6651" w:type="dxa"/>
            <w:vAlign w:val="center"/>
          </w:tcPr>
          <w:p w14:paraId="4E0A1455" w14:textId="0A91DDE4" w:rsidR="00ED477E" w:rsidRPr="00D310B9" w:rsidRDefault="000A004E" w:rsidP="00D310B9">
            <w:pPr>
              <w:widowControl w:val="0"/>
              <w:numPr>
                <w:ilvl w:val="0"/>
                <w:numId w:val="1"/>
              </w:numPr>
              <w:spacing w:before="120" w:after="120"/>
              <w:jc w:val="left"/>
              <w:rPr>
                <w:rFonts w:asciiTheme="minorHAnsi" w:hAnsiTheme="minorHAnsi" w:cstheme="minorHAnsi"/>
                <w:b/>
                <w:sz w:val="20"/>
                <w:lang w:val="fr-FR"/>
              </w:rPr>
            </w:pPr>
            <w:r w:rsidRPr="00D310B9">
              <w:rPr>
                <w:rFonts w:asciiTheme="minorHAnsi" w:hAnsiTheme="minorHAnsi" w:cstheme="minorHAnsi"/>
                <w:b/>
                <w:color w:val="0070C0"/>
                <w:sz w:val="20"/>
                <w:lang w:val="fr-FR"/>
              </w:rPr>
              <w:t xml:space="preserve">PREPARE PAR : </w:t>
            </w:r>
            <w:r w:rsidR="00840825" w:rsidRPr="00D310B9">
              <w:rPr>
                <w:rFonts w:asciiTheme="minorHAnsi" w:hAnsiTheme="minorHAnsi" w:cstheme="minorHAnsi"/>
                <w:sz w:val="20"/>
                <w:lang w:val="fr-FR"/>
              </w:rPr>
              <w:t>Moustapha Ha</w:t>
            </w:r>
            <w:r w:rsidR="00076FB5" w:rsidRPr="00D310B9">
              <w:rPr>
                <w:rFonts w:asciiTheme="minorHAnsi" w:hAnsiTheme="minorHAnsi" w:cstheme="minorHAnsi"/>
                <w:sz w:val="20"/>
                <w:lang w:val="fr-FR"/>
              </w:rPr>
              <w:t>r</w:t>
            </w:r>
            <w:r w:rsidR="00840825" w:rsidRPr="00D310B9">
              <w:rPr>
                <w:rFonts w:asciiTheme="minorHAnsi" w:hAnsiTheme="minorHAnsi" w:cstheme="minorHAnsi"/>
                <w:sz w:val="20"/>
                <w:lang w:val="fr-FR"/>
              </w:rPr>
              <w:t>ouna</w:t>
            </w:r>
          </w:p>
        </w:tc>
        <w:tc>
          <w:tcPr>
            <w:tcW w:w="4182" w:type="dxa"/>
            <w:vAlign w:val="center"/>
          </w:tcPr>
          <w:p w14:paraId="73BAE86D" w14:textId="6E296A6D" w:rsidR="00ED477E" w:rsidRPr="00D310B9" w:rsidRDefault="000A004E" w:rsidP="00D310B9">
            <w:pPr>
              <w:widowControl w:val="0"/>
              <w:numPr>
                <w:ilvl w:val="0"/>
                <w:numId w:val="1"/>
              </w:numPr>
              <w:spacing w:before="120" w:after="120"/>
              <w:jc w:val="left"/>
              <w:rPr>
                <w:rFonts w:asciiTheme="minorHAnsi" w:hAnsiTheme="minorHAnsi" w:cstheme="minorHAnsi"/>
                <w:sz w:val="20"/>
                <w:lang w:val="fr-FR"/>
              </w:rPr>
            </w:pPr>
            <w:r w:rsidRPr="00D310B9">
              <w:rPr>
                <w:rFonts w:asciiTheme="minorHAnsi" w:hAnsiTheme="minorHAnsi" w:cstheme="minorHAnsi"/>
                <w:b/>
                <w:color w:val="0070C0"/>
                <w:sz w:val="20"/>
                <w:lang w:val="fr-FR"/>
              </w:rPr>
              <w:t xml:space="preserve">LIEU D’EXECUTION DU CONTRAT : </w:t>
            </w:r>
            <w:r w:rsidR="00977A98" w:rsidRPr="00D310B9">
              <w:rPr>
                <w:rFonts w:asciiTheme="minorHAnsi" w:hAnsiTheme="minorHAnsi" w:cstheme="minorHAnsi"/>
                <w:sz w:val="20"/>
                <w:lang w:val="fr-FR"/>
              </w:rPr>
              <w:t>Ouagadougou, Burkina Faso</w:t>
            </w:r>
          </w:p>
        </w:tc>
      </w:tr>
      <w:tr w:rsidR="00BD551A" w:rsidRPr="00C27AAD" w14:paraId="68214555" w14:textId="77777777" w:rsidTr="00C67447">
        <w:tc>
          <w:tcPr>
            <w:tcW w:w="10833" w:type="dxa"/>
            <w:gridSpan w:val="2"/>
          </w:tcPr>
          <w:p w14:paraId="459B3763" w14:textId="2933399B" w:rsidR="00611464" w:rsidRPr="00D310B9" w:rsidRDefault="000A004E" w:rsidP="007D7C8D">
            <w:pPr>
              <w:numPr>
                <w:ilvl w:val="0"/>
                <w:numId w:val="1"/>
              </w:numPr>
              <w:spacing w:line="260" w:lineRule="exact"/>
              <w:jc w:val="left"/>
              <w:rPr>
                <w:rFonts w:asciiTheme="minorHAnsi" w:hAnsiTheme="minorHAnsi" w:cstheme="minorHAnsi"/>
                <w:b/>
                <w:i/>
                <w:color w:val="0070C0"/>
                <w:sz w:val="20"/>
                <w:lang w:val="fr-FR"/>
              </w:rPr>
            </w:pPr>
            <w:r w:rsidRPr="00D310B9">
              <w:rPr>
                <w:rFonts w:asciiTheme="minorHAnsi" w:hAnsiTheme="minorHAnsi" w:cstheme="minorHAnsi"/>
                <w:b/>
                <w:color w:val="0070C0"/>
                <w:sz w:val="20"/>
                <w:lang w:val="fr-FR"/>
              </w:rPr>
              <w:t>CONTEXTE ET JUSTIFICATION :</w:t>
            </w:r>
          </w:p>
          <w:p w14:paraId="10BD664D" w14:textId="62BB6522" w:rsidR="009C07F1" w:rsidRPr="00D310B9" w:rsidRDefault="00611464" w:rsidP="009121EE">
            <w:pPr>
              <w:spacing w:before="120" w:after="120" w:line="260" w:lineRule="exact"/>
              <w:rPr>
                <w:rFonts w:asciiTheme="minorHAnsi" w:hAnsiTheme="minorHAnsi" w:cstheme="minorHAnsi"/>
                <w:sz w:val="20"/>
                <w:lang w:val="fr-FR"/>
              </w:rPr>
            </w:pPr>
            <w:r w:rsidRPr="00D310B9">
              <w:rPr>
                <w:rFonts w:asciiTheme="minorHAnsi" w:hAnsiTheme="minorHAnsi" w:cstheme="minorHAnsi"/>
                <w:sz w:val="20"/>
                <w:lang w:val="fr-FR"/>
              </w:rPr>
              <w:t xml:space="preserve">Le Burkina Faso, pays sahélien enclavé d’une superficie de 274 000 km2, a une population estimée en </w:t>
            </w:r>
            <w:r w:rsidR="00CC6970" w:rsidRPr="00D310B9">
              <w:rPr>
                <w:rFonts w:asciiTheme="minorHAnsi" w:hAnsiTheme="minorHAnsi" w:cstheme="minorHAnsi"/>
                <w:sz w:val="20"/>
                <w:lang w:val="fr-FR"/>
              </w:rPr>
              <w:t xml:space="preserve">2019 </w:t>
            </w:r>
            <w:r w:rsidRPr="00D310B9">
              <w:rPr>
                <w:rFonts w:asciiTheme="minorHAnsi" w:hAnsiTheme="minorHAnsi" w:cstheme="minorHAnsi"/>
                <w:sz w:val="20"/>
                <w:lang w:val="fr-FR"/>
              </w:rPr>
              <w:t>à 20 </w:t>
            </w:r>
            <w:r w:rsidR="00CC6970" w:rsidRPr="00D310B9">
              <w:rPr>
                <w:rFonts w:asciiTheme="minorHAnsi" w:hAnsiTheme="minorHAnsi" w:cstheme="minorHAnsi"/>
                <w:sz w:val="20"/>
                <w:lang w:val="fr-FR"/>
              </w:rPr>
              <w:t xml:space="preserve">505 155 </w:t>
            </w:r>
            <w:r w:rsidRPr="00D310B9">
              <w:rPr>
                <w:rFonts w:asciiTheme="minorHAnsi" w:hAnsiTheme="minorHAnsi" w:cstheme="minorHAnsi"/>
                <w:sz w:val="20"/>
                <w:lang w:val="fr-FR"/>
              </w:rPr>
              <w:t>habitants</w:t>
            </w:r>
            <w:r w:rsidR="00CC6970" w:rsidRPr="00D310B9">
              <w:rPr>
                <w:rFonts w:asciiTheme="minorHAnsi" w:hAnsiTheme="minorHAnsi" w:cstheme="minorHAnsi"/>
                <w:sz w:val="20"/>
                <w:lang w:val="fr-FR"/>
              </w:rPr>
              <w:t xml:space="preserve"> (RGPH, 2019)</w:t>
            </w:r>
            <w:r w:rsidRPr="00D310B9">
              <w:rPr>
                <w:rFonts w:asciiTheme="minorHAnsi" w:hAnsiTheme="minorHAnsi" w:cstheme="minorHAnsi"/>
                <w:sz w:val="20"/>
                <w:lang w:val="fr-FR"/>
              </w:rPr>
              <w:t xml:space="preserve">. Disposant de peu de ressources naturelles et soumis aux aléas d’un climat sahélien dont la pluviométrie est le plus souvent insuffisante ou mal répartie, le pays fait face à de nombreux défis de développement avec une économie peu diversifiée et très vulnérable aux chocs externes. </w:t>
            </w:r>
          </w:p>
          <w:p w14:paraId="7DE0D151" w14:textId="3CF7E0A1" w:rsidR="009C07F1" w:rsidRPr="00D310B9" w:rsidRDefault="009C07F1" w:rsidP="009121EE">
            <w:pPr>
              <w:spacing w:before="120" w:after="120" w:line="260" w:lineRule="exact"/>
              <w:rPr>
                <w:rFonts w:asciiTheme="minorHAnsi" w:hAnsiTheme="minorHAnsi" w:cstheme="minorHAnsi"/>
                <w:sz w:val="20"/>
                <w:lang w:val="fr-FR"/>
              </w:rPr>
            </w:pPr>
            <w:r w:rsidRPr="00D310B9">
              <w:rPr>
                <w:rFonts w:asciiTheme="minorHAnsi" w:hAnsiTheme="minorHAnsi" w:cstheme="minorHAnsi"/>
                <w:color w:val="111111"/>
                <w:sz w:val="20"/>
                <w:lang w:val="fr-FR"/>
              </w:rPr>
              <w:t xml:space="preserve">Le </w:t>
            </w:r>
            <w:r w:rsidRPr="00D310B9">
              <w:rPr>
                <w:rFonts w:asciiTheme="minorHAnsi" w:hAnsiTheme="minorHAnsi" w:cstheme="minorHAnsi"/>
                <w:sz w:val="20"/>
                <w:lang w:val="fr-FR"/>
              </w:rPr>
              <w:t>gouvernement du Burkina Faso a eu à adopter plusieurs plans pour le développement économique et social du pays. En 2016, le Plan national de développement économique et social (PNDES) a été adopté pour la période 2016-2020. Pour sa</w:t>
            </w:r>
            <w:r w:rsidR="00652EE5" w:rsidRPr="00D310B9">
              <w:rPr>
                <w:rFonts w:asciiTheme="minorHAnsi" w:hAnsiTheme="minorHAnsi" w:cstheme="minorHAnsi"/>
                <w:sz w:val="20"/>
                <w:lang w:val="fr-FR"/>
              </w:rPr>
              <w:t xml:space="preserve"> </w:t>
            </w:r>
            <w:r w:rsidRPr="00D310B9">
              <w:rPr>
                <w:rFonts w:asciiTheme="minorHAnsi" w:hAnsiTheme="minorHAnsi" w:cstheme="minorHAnsi"/>
                <w:sz w:val="20"/>
                <w:lang w:val="fr-FR"/>
              </w:rPr>
              <w:t>mise en œuvre, 14 secteurs de planification ont été institués, dont le secteur « Environnement, Eau et Assainissement /EEA » qui a établi une politique sectorielle en juin 2018. En juillet 2021, le PNDES II a été adopté pour la période 2021-2025. Cependant, en raison de</w:t>
            </w:r>
            <w:r w:rsidR="00652EE5" w:rsidRPr="00D310B9">
              <w:rPr>
                <w:rFonts w:asciiTheme="minorHAnsi" w:hAnsiTheme="minorHAnsi" w:cstheme="minorHAnsi"/>
                <w:sz w:val="20"/>
                <w:lang w:val="fr-FR"/>
              </w:rPr>
              <w:t>s</w:t>
            </w:r>
            <w:r w:rsidRPr="00D310B9">
              <w:rPr>
                <w:rFonts w:asciiTheme="minorHAnsi" w:hAnsiTheme="minorHAnsi" w:cstheme="minorHAnsi"/>
                <w:sz w:val="20"/>
                <w:lang w:val="fr-FR"/>
              </w:rPr>
              <w:t xml:space="preserve"> changements politico-institutionnels</w:t>
            </w:r>
            <w:r w:rsidR="00652EE5" w:rsidRPr="00D310B9">
              <w:rPr>
                <w:rFonts w:asciiTheme="minorHAnsi" w:hAnsiTheme="minorHAnsi" w:cstheme="minorHAnsi"/>
                <w:sz w:val="20"/>
                <w:lang w:val="fr-FR"/>
              </w:rPr>
              <w:t xml:space="preserve"> entre-temps survenus</w:t>
            </w:r>
            <w:r w:rsidRPr="00D310B9">
              <w:rPr>
                <w:rFonts w:asciiTheme="minorHAnsi" w:hAnsiTheme="minorHAnsi" w:cstheme="minorHAnsi"/>
                <w:sz w:val="20"/>
                <w:lang w:val="fr-FR"/>
              </w:rPr>
              <w:t>, le Gouvernement de la Transition a adopté en janvier 2023 le Plan d’action pour la stabilisation et le développement (PA-SD) de la période 2023-2025, pour servir désormais d’instrument principal de mise en œuvre de la politique nationale de développement.</w:t>
            </w:r>
          </w:p>
          <w:p w14:paraId="34CB1C78" w14:textId="1E69E51E" w:rsidR="009C07F1" w:rsidRDefault="009C07F1" w:rsidP="009121EE">
            <w:pPr>
              <w:spacing w:before="120" w:after="120" w:line="260" w:lineRule="exact"/>
              <w:rPr>
                <w:rFonts w:asciiTheme="minorHAnsi" w:hAnsiTheme="minorHAnsi" w:cstheme="minorHAnsi"/>
                <w:sz w:val="20"/>
                <w:lang w:val="fr-FR"/>
              </w:rPr>
            </w:pPr>
            <w:r w:rsidRPr="00D310B9">
              <w:rPr>
                <w:rFonts w:asciiTheme="minorHAnsi" w:hAnsiTheme="minorHAnsi" w:cstheme="minorHAnsi"/>
                <w:sz w:val="20"/>
                <w:lang w:val="fr-FR"/>
              </w:rPr>
              <w:t xml:space="preserve">L’activité économique en 2022 a été confrontée à plusieurs défis, dont la crise russo-ukrainienne, les tensions géostratégiques et les attaques terroristes, ce qui a entraîné une décélération de la croissance à 3,0%, contre 6,5% en 2021. L’incidence de la pauvreté monétaire a diminué, passant de 40,1% en 2014 à 36,2% en 2018. </w:t>
            </w:r>
            <w:r w:rsidR="007042CE" w:rsidRPr="00D310B9">
              <w:rPr>
                <w:rFonts w:asciiTheme="minorHAnsi" w:hAnsiTheme="minorHAnsi" w:cstheme="minorHAnsi"/>
                <w:sz w:val="20"/>
                <w:lang w:val="fr-FR"/>
              </w:rPr>
              <w:t>Par ailleurs, s</w:t>
            </w:r>
            <w:r w:rsidRPr="00D310B9">
              <w:rPr>
                <w:rFonts w:asciiTheme="minorHAnsi" w:hAnsiTheme="minorHAnsi" w:cstheme="minorHAnsi"/>
                <w:sz w:val="20"/>
                <w:lang w:val="fr-FR"/>
              </w:rPr>
              <w:t>elon le rapport 2021-2022 du Programme des Nations unies pour le développement (PNUD) sur l’Indice du développement humain (IDH), le Burkina Faso se classe 184</w:t>
            </w:r>
            <w:r w:rsidRPr="00D310B9">
              <w:rPr>
                <w:rFonts w:asciiTheme="minorHAnsi" w:hAnsiTheme="minorHAnsi" w:cstheme="minorHAnsi"/>
                <w:sz w:val="20"/>
                <w:vertAlign w:val="superscript"/>
                <w:lang w:val="fr-FR"/>
              </w:rPr>
              <w:t>ème</w:t>
            </w:r>
            <w:r w:rsidRPr="00D310B9">
              <w:rPr>
                <w:rFonts w:asciiTheme="minorHAnsi" w:hAnsiTheme="minorHAnsi" w:cstheme="minorHAnsi"/>
                <w:sz w:val="20"/>
                <w:lang w:val="fr-FR"/>
              </w:rPr>
              <w:t xml:space="preserve"> sur 191 pays en 2022.</w:t>
            </w:r>
          </w:p>
          <w:p w14:paraId="44350F70" w14:textId="66C57192" w:rsidR="00FC6714" w:rsidRPr="00FC6714" w:rsidRDefault="00FC6714" w:rsidP="00FC6714">
            <w:pPr>
              <w:spacing w:before="120" w:after="120" w:line="260" w:lineRule="exact"/>
              <w:rPr>
                <w:rFonts w:asciiTheme="minorHAnsi" w:hAnsiTheme="minorHAnsi" w:cstheme="minorHAnsi"/>
                <w:sz w:val="20"/>
                <w:lang w:val="fr-FR"/>
              </w:rPr>
            </w:pPr>
            <w:r>
              <w:rPr>
                <w:rFonts w:asciiTheme="minorHAnsi" w:hAnsiTheme="minorHAnsi" w:cstheme="minorHAnsi"/>
                <w:sz w:val="20"/>
                <w:lang w:val="fr-FR"/>
              </w:rPr>
              <w:t xml:space="preserve">Pour la mise </w:t>
            </w:r>
            <w:r w:rsidR="0018535D">
              <w:rPr>
                <w:rFonts w:asciiTheme="minorHAnsi" w:hAnsiTheme="minorHAnsi" w:cstheme="minorHAnsi"/>
                <w:sz w:val="20"/>
                <w:lang w:val="fr-FR"/>
              </w:rPr>
              <w:t>en œuvre</w:t>
            </w:r>
            <w:r w:rsidR="00EF1DFB">
              <w:rPr>
                <w:rFonts w:asciiTheme="minorHAnsi" w:hAnsiTheme="minorHAnsi" w:cstheme="minorHAnsi"/>
                <w:sz w:val="20"/>
                <w:lang w:val="fr-FR"/>
              </w:rPr>
              <w:t xml:space="preserve"> et </w:t>
            </w:r>
            <w:r>
              <w:rPr>
                <w:rFonts w:asciiTheme="minorHAnsi" w:hAnsiTheme="minorHAnsi" w:cstheme="minorHAnsi"/>
                <w:sz w:val="20"/>
                <w:lang w:val="fr-FR"/>
              </w:rPr>
              <w:t>le sui</w:t>
            </w:r>
            <w:r w:rsidR="00EF1DFB">
              <w:rPr>
                <w:rFonts w:asciiTheme="minorHAnsi" w:hAnsiTheme="minorHAnsi" w:cstheme="minorHAnsi"/>
                <w:sz w:val="20"/>
                <w:lang w:val="fr-FR"/>
              </w:rPr>
              <w:t>vi</w:t>
            </w:r>
            <w:r>
              <w:rPr>
                <w:rFonts w:asciiTheme="minorHAnsi" w:hAnsiTheme="minorHAnsi" w:cstheme="minorHAnsi"/>
                <w:sz w:val="20"/>
                <w:lang w:val="fr-FR"/>
              </w:rPr>
              <w:t xml:space="preserve"> </w:t>
            </w:r>
            <w:r w:rsidR="0018535D">
              <w:rPr>
                <w:rFonts w:asciiTheme="minorHAnsi" w:hAnsiTheme="minorHAnsi" w:cstheme="minorHAnsi"/>
                <w:sz w:val="20"/>
                <w:lang w:val="fr-FR"/>
              </w:rPr>
              <w:t>des politiques</w:t>
            </w:r>
            <w:r>
              <w:rPr>
                <w:rFonts w:asciiTheme="minorHAnsi" w:hAnsiTheme="minorHAnsi" w:cstheme="minorHAnsi"/>
                <w:sz w:val="20"/>
                <w:lang w:val="fr-FR"/>
              </w:rPr>
              <w:t xml:space="preserve"> et </w:t>
            </w:r>
            <w:r w:rsidR="0018535D">
              <w:rPr>
                <w:rFonts w:asciiTheme="minorHAnsi" w:hAnsiTheme="minorHAnsi" w:cstheme="minorHAnsi"/>
                <w:sz w:val="20"/>
                <w:lang w:val="fr-FR"/>
              </w:rPr>
              <w:t>stratégies s</w:t>
            </w:r>
            <w:r>
              <w:rPr>
                <w:rFonts w:asciiTheme="minorHAnsi" w:hAnsiTheme="minorHAnsi" w:cstheme="minorHAnsi"/>
                <w:sz w:val="20"/>
                <w:lang w:val="fr-FR"/>
              </w:rPr>
              <w:t>ectorielle</w:t>
            </w:r>
            <w:r w:rsidR="0018535D">
              <w:rPr>
                <w:rFonts w:asciiTheme="minorHAnsi" w:hAnsiTheme="minorHAnsi" w:cstheme="minorHAnsi"/>
                <w:sz w:val="20"/>
                <w:lang w:val="fr-FR"/>
              </w:rPr>
              <w:t>s</w:t>
            </w:r>
            <w:r>
              <w:rPr>
                <w:rFonts w:asciiTheme="minorHAnsi" w:hAnsiTheme="minorHAnsi" w:cstheme="minorHAnsi"/>
                <w:sz w:val="20"/>
                <w:lang w:val="fr-FR"/>
              </w:rPr>
              <w:t>, des</w:t>
            </w:r>
            <w:r w:rsidRPr="00FC6714">
              <w:rPr>
                <w:rFonts w:asciiTheme="minorHAnsi" w:hAnsiTheme="minorHAnsi" w:cstheme="minorHAnsi"/>
                <w:sz w:val="20"/>
                <w:lang w:val="fr-FR"/>
              </w:rPr>
              <w:t xml:space="preserve"> cadres de dialogue </w:t>
            </w:r>
            <w:r w:rsidR="0018535D" w:rsidRPr="00FC6714">
              <w:rPr>
                <w:rFonts w:asciiTheme="minorHAnsi" w:hAnsiTheme="minorHAnsi" w:cstheme="minorHAnsi"/>
                <w:sz w:val="20"/>
                <w:lang w:val="fr-FR"/>
              </w:rPr>
              <w:t>sectoriels</w:t>
            </w:r>
            <w:r w:rsidR="0018535D">
              <w:rPr>
                <w:rFonts w:asciiTheme="minorHAnsi" w:hAnsiTheme="minorHAnsi" w:cstheme="minorHAnsi"/>
                <w:sz w:val="20"/>
                <w:lang w:val="fr-FR"/>
              </w:rPr>
              <w:t xml:space="preserve"> ont</w:t>
            </w:r>
            <w:r>
              <w:rPr>
                <w:rFonts w:asciiTheme="minorHAnsi" w:hAnsiTheme="minorHAnsi" w:cstheme="minorHAnsi"/>
                <w:sz w:val="20"/>
                <w:lang w:val="fr-FR"/>
              </w:rPr>
              <w:t xml:space="preserve"> été mis en place </w:t>
            </w:r>
            <w:r w:rsidR="0018535D">
              <w:rPr>
                <w:rFonts w:asciiTheme="minorHAnsi" w:hAnsiTheme="minorHAnsi" w:cstheme="minorHAnsi"/>
                <w:sz w:val="20"/>
                <w:lang w:val="fr-FR"/>
              </w:rPr>
              <w:t xml:space="preserve">et </w:t>
            </w:r>
            <w:r w:rsidR="0018535D" w:rsidRPr="00FC6714">
              <w:rPr>
                <w:rFonts w:asciiTheme="minorHAnsi" w:hAnsiTheme="minorHAnsi" w:cstheme="minorHAnsi"/>
                <w:sz w:val="20"/>
                <w:lang w:val="fr-FR"/>
              </w:rPr>
              <w:t>constituent</w:t>
            </w:r>
            <w:r w:rsidRPr="00FC6714">
              <w:rPr>
                <w:rFonts w:asciiTheme="minorHAnsi" w:hAnsiTheme="minorHAnsi" w:cstheme="minorHAnsi"/>
                <w:sz w:val="20"/>
                <w:lang w:val="fr-FR"/>
              </w:rPr>
              <w:t xml:space="preserve"> des maillons essentiels du dispositif de suivi</w:t>
            </w:r>
            <w:r w:rsidR="0018535D">
              <w:rPr>
                <w:rFonts w:asciiTheme="minorHAnsi" w:hAnsiTheme="minorHAnsi" w:cstheme="minorHAnsi"/>
                <w:sz w:val="20"/>
                <w:lang w:val="fr-FR"/>
              </w:rPr>
              <w:t>. Parmi</w:t>
            </w:r>
            <w:r>
              <w:rPr>
                <w:rFonts w:asciiTheme="minorHAnsi" w:hAnsiTheme="minorHAnsi" w:cstheme="minorHAnsi"/>
                <w:sz w:val="20"/>
                <w:lang w:val="fr-FR"/>
              </w:rPr>
              <w:t xml:space="preserve"> ces cadres de dialogues, le g</w:t>
            </w:r>
            <w:r w:rsidR="0018535D">
              <w:rPr>
                <w:rFonts w:asciiTheme="minorHAnsi" w:hAnsiTheme="minorHAnsi" w:cstheme="minorHAnsi"/>
                <w:sz w:val="20"/>
                <w:lang w:val="fr-FR"/>
              </w:rPr>
              <w:t>ro</w:t>
            </w:r>
            <w:r>
              <w:rPr>
                <w:rFonts w:asciiTheme="minorHAnsi" w:hAnsiTheme="minorHAnsi" w:cstheme="minorHAnsi"/>
                <w:sz w:val="20"/>
                <w:lang w:val="fr-FR"/>
              </w:rPr>
              <w:t xml:space="preserve">upe des Partenaires </w:t>
            </w:r>
            <w:r w:rsidR="0018535D">
              <w:rPr>
                <w:rFonts w:asciiTheme="minorHAnsi" w:hAnsiTheme="minorHAnsi" w:cstheme="minorHAnsi"/>
                <w:sz w:val="20"/>
                <w:lang w:val="fr-FR"/>
              </w:rPr>
              <w:t>techniques</w:t>
            </w:r>
            <w:r>
              <w:rPr>
                <w:rFonts w:asciiTheme="minorHAnsi" w:hAnsiTheme="minorHAnsi" w:cstheme="minorHAnsi"/>
                <w:sz w:val="20"/>
                <w:lang w:val="fr-FR"/>
              </w:rPr>
              <w:t xml:space="preserve"> et financiers du Secteur de l’eau -Assainissement et envi</w:t>
            </w:r>
            <w:r w:rsidR="0018535D">
              <w:rPr>
                <w:rFonts w:asciiTheme="minorHAnsi" w:hAnsiTheme="minorHAnsi" w:cstheme="minorHAnsi"/>
                <w:sz w:val="20"/>
                <w:lang w:val="fr-FR"/>
              </w:rPr>
              <w:t>r</w:t>
            </w:r>
            <w:r>
              <w:rPr>
                <w:rFonts w:asciiTheme="minorHAnsi" w:hAnsiTheme="minorHAnsi" w:cstheme="minorHAnsi"/>
                <w:sz w:val="20"/>
                <w:lang w:val="fr-FR"/>
              </w:rPr>
              <w:t xml:space="preserve">onnement. </w:t>
            </w:r>
          </w:p>
          <w:p w14:paraId="6D29F4FE" w14:textId="7B685050" w:rsidR="00FC6714" w:rsidRPr="00FC6714" w:rsidRDefault="00FC6714" w:rsidP="00FC6714">
            <w:pPr>
              <w:spacing w:before="120" w:after="120" w:line="260" w:lineRule="exact"/>
              <w:rPr>
                <w:rFonts w:asciiTheme="minorHAnsi" w:hAnsiTheme="minorHAnsi" w:cstheme="minorHAnsi"/>
                <w:sz w:val="20"/>
                <w:lang w:val="fr-FR"/>
              </w:rPr>
            </w:pPr>
            <w:r>
              <w:rPr>
                <w:rFonts w:asciiTheme="minorHAnsi" w:hAnsiTheme="minorHAnsi" w:cstheme="minorHAnsi"/>
                <w:sz w:val="20"/>
                <w:lang w:val="fr-FR"/>
              </w:rPr>
              <w:t>Le Cadre</w:t>
            </w:r>
            <w:r w:rsidR="0018535D">
              <w:rPr>
                <w:rFonts w:asciiTheme="minorHAnsi" w:hAnsiTheme="minorHAnsi" w:cstheme="minorHAnsi"/>
                <w:sz w:val="20"/>
                <w:lang w:val="fr-FR"/>
              </w:rPr>
              <w:t xml:space="preserve"> </w:t>
            </w:r>
            <w:r>
              <w:rPr>
                <w:rFonts w:asciiTheme="minorHAnsi" w:hAnsiTheme="minorHAnsi" w:cstheme="minorHAnsi"/>
                <w:sz w:val="20"/>
                <w:lang w:val="fr-FR"/>
              </w:rPr>
              <w:t>de dialogues (</w:t>
            </w:r>
            <w:proofErr w:type="spellStart"/>
            <w:proofErr w:type="gramStart"/>
            <w:r>
              <w:rPr>
                <w:rFonts w:asciiTheme="minorHAnsi" w:hAnsiTheme="minorHAnsi" w:cstheme="minorHAnsi"/>
                <w:sz w:val="20"/>
                <w:lang w:val="fr-FR"/>
              </w:rPr>
              <w:t>PTFs</w:t>
            </w:r>
            <w:proofErr w:type="spellEnd"/>
            <w:r>
              <w:rPr>
                <w:rFonts w:asciiTheme="minorHAnsi" w:hAnsiTheme="minorHAnsi" w:cstheme="minorHAnsi"/>
                <w:sz w:val="20"/>
                <w:lang w:val="fr-FR"/>
              </w:rPr>
              <w:t xml:space="preserve"> )</w:t>
            </w:r>
            <w:proofErr w:type="gramEnd"/>
            <w:r>
              <w:rPr>
                <w:rFonts w:asciiTheme="minorHAnsi" w:hAnsiTheme="minorHAnsi" w:cstheme="minorHAnsi"/>
                <w:sz w:val="20"/>
                <w:lang w:val="fr-FR"/>
              </w:rPr>
              <w:t xml:space="preserve"> du secteur de l’eau et de l’</w:t>
            </w:r>
            <w:r w:rsidR="0018535D">
              <w:rPr>
                <w:rFonts w:asciiTheme="minorHAnsi" w:hAnsiTheme="minorHAnsi" w:cstheme="minorHAnsi"/>
                <w:sz w:val="20"/>
                <w:lang w:val="fr-FR"/>
              </w:rPr>
              <w:t>Assainissement</w:t>
            </w:r>
            <w:r>
              <w:rPr>
                <w:rFonts w:asciiTheme="minorHAnsi" w:hAnsiTheme="minorHAnsi" w:cstheme="minorHAnsi"/>
                <w:sz w:val="20"/>
                <w:lang w:val="fr-FR"/>
              </w:rPr>
              <w:t xml:space="preserve"> est donc actifs depuis plusieurs années avec un </w:t>
            </w:r>
            <w:r w:rsidR="0018535D">
              <w:rPr>
                <w:rFonts w:asciiTheme="minorHAnsi" w:hAnsiTheme="minorHAnsi" w:cstheme="minorHAnsi"/>
                <w:sz w:val="20"/>
                <w:lang w:val="fr-FR"/>
              </w:rPr>
              <w:t>secrétariat</w:t>
            </w:r>
            <w:r>
              <w:rPr>
                <w:rFonts w:asciiTheme="minorHAnsi" w:hAnsiTheme="minorHAnsi" w:cstheme="minorHAnsi"/>
                <w:sz w:val="20"/>
                <w:lang w:val="fr-FR"/>
              </w:rPr>
              <w:t xml:space="preserve"> techniques </w:t>
            </w:r>
            <w:r w:rsidR="0018535D">
              <w:rPr>
                <w:rFonts w:asciiTheme="minorHAnsi" w:hAnsiTheme="minorHAnsi" w:cstheme="minorHAnsi"/>
                <w:sz w:val="20"/>
                <w:lang w:val="fr-FR"/>
              </w:rPr>
              <w:t>chargé</w:t>
            </w:r>
            <w:r>
              <w:rPr>
                <w:rFonts w:asciiTheme="minorHAnsi" w:hAnsiTheme="minorHAnsi" w:cstheme="minorHAnsi"/>
                <w:sz w:val="20"/>
                <w:lang w:val="fr-FR"/>
              </w:rPr>
              <w:t xml:space="preserve">  d’aider le chef de files l’accomplissement de sa mission, notamment, l’organisation  technique et </w:t>
            </w:r>
            <w:r w:rsidR="0018535D">
              <w:rPr>
                <w:rFonts w:asciiTheme="minorHAnsi" w:hAnsiTheme="minorHAnsi" w:cstheme="minorHAnsi"/>
                <w:sz w:val="20"/>
                <w:lang w:val="fr-FR"/>
              </w:rPr>
              <w:t>matérielle</w:t>
            </w:r>
            <w:r>
              <w:rPr>
                <w:rFonts w:asciiTheme="minorHAnsi" w:hAnsiTheme="minorHAnsi" w:cstheme="minorHAnsi"/>
                <w:sz w:val="20"/>
                <w:lang w:val="fr-FR"/>
              </w:rPr>
              <w:t xml:space="preserve"> des réunions, la documentation e</w:t>
            </w:r>
            <w:r w:rsidR="00EF1DFB">
              <w:rPr>
                <w:rFonts w:asciiTheme="minorHAnsi" w:hAnsiTheme="minorHAnsi" w:cstheme="minorHAnsi"/>
                <w:sz w:val="20"/>
                <w:lang w:val="fr-FR"/>
              </w:rPr>
              <w:t xml:space="preserve">t le </w:t>
            </w:r>
            <w:r w:rsidR="0018535D">
              <w:rPr>
                <w:rFonts w:asciiTheme="minorHAnsi" w:hAnsiTheme="minorHAnsi" w:cstheme="minorHAnsi"/>
                <w:sz w:val="20"/>
                <w:lang w:val="fr-FR"/>
              </w:rPr>
              <w:t>partage</w:t>
            </w:r>
            <w:r w:rsidR="00EF1DFB">
              <w:rPr>
                <w:rFonts w:asciiTheme="minorHAnsi" w:hAnsiTheme="minorHAnsi" w:cstheme="minorHAnsi"/>
                <w:sz w:val="20"/>
                <w:lang w:val="fr-FR"/>
              </w:rPr>
              <w:t xml:space="preserve"> d’information</w:t>
            </w:r>
            <w:r w:rsidR="0018535D">
              <w:rPr>
                <w:rFonts w:asciiTheme="minorHAnsi" w:hAnsiTheme="minorHAnsi" w:cstheme="minorHAnsi"/>
                <w:sz w:val="20"/>
                <w:lang w:val="fr-FR"/>
              </w:rPr>
              <w:t>s</w:t>
            </w:r>
            <w:r>
              <w:rPr>
                <w:rFonts w:asciiTheme="minorHAnsi" w:hAnsiTheme="minorHAnsi" w:cstheme="minorHAnsi"/>
                <w:sz w:val="20"/>
                <w:lang w:val="fr-FR"/>
              </w:rPr>
              <w:t xml:space="preserve">. En 2023, La BAD </w:t>
            </w:r>
            <w:r w:rsidR="0018535D">
              <w:rPr>
                <w:rFonts w:asciiTheme="minorHAnsi" w:hAnsiTheme="minorHAnsi" w:cstheme="minorHAnsi"/>
                <w:sz w:val="20"/>
                <w:lang w:val="fr-FR"/>
              </w:rPr>
              <w:t>à</w:t>
            </w:r>
            <w:r>
              <w:rPr>
                <w:rFonts w:asciiTheme="minorHAnsi" w:hAnsiTheme="minorHAnsi" w:cstheme="minorHAnsi"/>
                <w:sz w:val="20"/>
                <w:lang w:val="fr-FR"/>
              </w:rPr>
              <w:t xml:space="preserve"> assumer le </w:t>
            </w:r>
            <w:r w:rsidR="0018535D">
              <w:rPr>
                <w:rFonts w:asciiTheme="minorHAnsi" w:hAnsiTheme="minorHAnsi" w:cstheme="minorHAnsi"/>
                <w:sz w:val="20"/>
                <w:lang w:val="fr-FR"/>
              </w:rPr>
              <w:t>rôle de</w:t>
            </w:r>
            <w:r>
              <w:rPr>
                <w:rFonts w:asciiTheme="minorHAnsi" w:hAnsiTheme="minorHAnsi" w:cstheme="minorHAnsi"/>
                <w:sz w:val="20"/>
                <w:lang w:val="fr-FR"/>
              </w:rPr>
              <w:t xml:space="preserve"> chef de file de</w:t>
            </w:r>
            <w:r w:rsidR="00EF1DFB">
              <w:rPr>
                <w:rFonts w:asciiTheme="minorHAnsi" w:hAnsiTheme="minorHAnsi" w:cstheme="minorHAnsi"/>
                <w:sz w:val="20"/>
                <w:lang w:val="fr-FR"/>
              </w:rPr>
              <w:t>s PT</w:t>
            </w:r>
            <w:r w:rsidR="00DF0254">
              <w:rPr>
                <w:rFonts w:asciiTheme="minorHAnsi" w:hAnsiTheme="minorHAnsi" w:cstheme="minorHAnsi"/>
                <w:sz w:val="20"/>
                <w:lang w:val="fr-FR"/>
              </w:rPr>
              <w:t>F</w:t>
            </w:r>
            <w:r w:rsidR="00EF1DFB">
              <w:rPr>
                <w:rFonts w:asciiTheme="minorHAnsi" w:hAnsiTheme="minorHAnsi" w:cstheme="minorHAnsi"/>
                <w:sz w:val="20"/>
                <w:lang w:val="fr-FR"/>
              </w:rPr>
              <w:t xml:space="preserve"> du secteur et depuis </w:t>
            </w:r>
            <w:proofErr w:type="gramStart"/>
            <w:r w:rsidR="0018535D">
              <w:rPr>
                <w:rFonts w:asciiTheme="minorHAnsi" w:hAnsiTheme="minorHAnsi" w:cstheme="minorHAnsi"/>
                <w:sz w:val="20"/>
                <w:lang w:val="fr-FR"/>
              </w:rPr>
              <w:t>Janvier</w:t>
            </w:r>
            <w:proofErr w:type="gramEnd"/>
            <w:r w:rsidR="00EF1DFB">
              <w:rPr>
                <w:rFonts w:asciiTheme="minorHAnsi" w:hAnsiTheme="minorHAnsi" w:cstheme="minorHAnsi"/>
                <w:sz w:val="20"/>
                <w:lang w:val="fr-FR"/>
              </w:rPr>
              <w:t xml:space="preserve"> 2024, UNICEF a pris lead en tant que nouveau chef de file des </w:t>
            </w:r>
            <w:proofErr w:type="spellStart"/>
            <w:r w:rsidR="00EF1DFB">
              <w:rPr>
                <w:rFonts w:asciiTheme="minorHAnsi" w:hAnsiTheme="minorHAnsi" w:cstheme="minorHAnsi"/>
                <w:sz w:val="20"/>
                <w:lang w:val="fr-FR"/>
              </w:rPr>
              <w:t>PTF</w:t>
            </w:r>
            <w:r w:rsidR="0018535D">
              <w:rPr>
                <w:rFonts w:asciiTheme="minorHAnsi" w:hAnsiTheme="minorHAnsi" w:cstheme="minorHAnsi"/>
                <w:sz w:val="20"/>
                <w:lang w:val="fr-FR"/>
              </w:rPr>
              <w:t>s</w:t>
            </w:r>
            <w:proofErr w:type="spellEnd"/>
            <w:r w:rsidR="00EF1DFB">
              <w:rPr>
                <w:rFonts w:asciiTheme="minorHAnsi" w:hAnsiTheme="minorHAnsi" w:cstheme="minorHAnsi"/>
                <w:sz w:val="20"/>
                <w:lang w:val="fr-FR"/>
              </w:rPr>
              <w:t xml:space="preserve"> du secteur de l’eau et de l’</w:t>
            </w:r>
            <w:r w:rsidR="0018535D">
              <w:rPr>
                <w:rFonts w:asciiTheme="minorHAnsi" w:hAnsiTheme="minorHAnsi" w:cstheme="minorHAnsi"/>
                <w:sz w:val="20"/>
                <w:lang w:val="fr-FR"/>
              </w:rPr>
              <w:t>assainissement</w:t>
            </w:r>
            <w:r w:rsidR="00EF1DFB">
              <w:rPr>
                <w:rFonts w:asciiTheme="minorHAnsi" w:hAnsiTheme="minorHAnsi" w:cstheme="minorHAnsi"/>
                <w:sz w:val="20"/>
                <w:lang w:val="fr-FR"/>
              </w:rPr>
              <w:t>. Il s’agit donc d’importante responsabilité a assumer avec professionnalisme et hauteur stratégique.</w:t>
            </w:r>
          </w:p>
          <w:p w14:paraId="54EB762B" w14:textId="739C594C" w:rsidR="006960CE" w:rsidRPr="00D310B9" w:rsidRDefault="00EF1DFB" w:rsidP="009121EE">
            <w:pPr>
              <w:spacing w:before="120" w:after="120" w:line="260" w:lineRule="exact"/>
              <w:rPr>
                <w:rFonts w:asciiTheme="minorHAnsi" w:hAnsiTheme="minorHAnsi" w:cstheme="minorHAnsi"/>
                <w:i/>
                <w:sz w:val="20"/>
                <w:lang w:val="fr-FR"/>
              </w:rPr>
            </w:pPr>
            <w:r>
              <w:rPr>
                <w:rFonts w:asciiTheme="minorHAnsi" w:hAnsiTheme="minorHAnsi" w:cstheme="minorHAnsi"/>
                <w:sz w:val="20"/>
                <w:lang w:val="fr-FR"/>
              </w:rPr>
              <w:t xml:space="preserve">A cet effet, et pour son mandat en tant que nous chef de </w:t>
            </w:r>
            <w:r w:rsidR="0018535D">
              <w:rPr>
                <w:rFonts w:asciiTheme="minorHAnsi" w:hAnsiTheme="minorHAnsi" w:cstheme="minorHAnsi"/>
                <w:sz w:val="20"/>
                <w:lang w:val="fr-FR"/>
              </w:rPr>
              <w:t>file,</w:t>
            </w:r>
            <w:r>
              <w:rPr>
                <w:rFonts w:asciiTheme="minorHAnsi" w:hAnsiTheme="minorHAnsi" w:cstheme="minorHAnsi"/>
                <w:sz w:val="20"/>
                <w:lang w:val="fr-FR"/>
              </w:rPr>
              <w:t xml:space="preserve"> dans l’optique de garder un niveau </w:t>
            </w:r>
            <w:r w:rsidR="0018535D">
              <w:rPr>
                <w:rFonts w:asciiTheme="minorHAnsi" w:hAnsiTheme="minorHAnsi" w:cstheme="minorHAnsi"/>
                <w:sz w:val="20"/>
                <w:lang w:val="fr-FR"/>
              </w:rPr>
              <w:t>organisationnel à</w:t>
            </w:r>
            <w:r>
              <w:rPr>
                <w:rFonts w:asciiTheme="minorHAnsi" w:hAnsiTheme="minorHAnsi" w:cstheme="minorHAnsi"/>
                <w:sz w:val="20"/>
                <w:lang w:val="fr-FR"/>
              </w:rPr>
              <w:t xml:space="preserve"> la </w:t>
            </w:r>
            <w:r w:rsidR="0018535D">
              <w:rPr>
                <w:rFonts w:asciiTheme="minorHAnsi" w:hAnsiTheme="minorHAnsi" w:cstheme="minorHAnsi"/>
                <w:sz w:val="20"/>
                <w:lang w:val="fr-FR"/>
              </w:rPr>
              <w:t xml:space="preserve">hauteur des enjeux, </w:t>
            </w:r>
            <w:r>
              <w:rPr>
                <w:rFonts w:asciiTheme="minorHAnsi" w:hAnsiTheme="minorHAnsi" w:cstheme="minorHAnsi"/>
                <w:sz w:val="20"/>
                <w:lang w:val="fr-FR"/>
              </w:rPr>
              <w:t xml:space="preserve">ainsi </w:t>
            </w:r>
            <w:r w:rsidR="0018535D">
              <w:rPr>
                <w:rFonts w:asciiTheme="minorHAnsi" w:hAnsiTheme="minorHAnsi" w:cstheme="minorHAnsi"/>
                <w:sz w:val="20"/>
                <w:lang w:val="fr-FR"/>
              </w:rPr>
              <w:t>que d’assurer une très</w:t>
            </w:r>
            <w:r>
              <w:rPr>
                <w:rFonts w:asciiTheme="minorHAnsi" w:hAnsiTheme="minorHAnsi" w:cstheme="minorHAnsi"/>
                <w:sz w:val="20"/>
                <w:lang w:val="fr-FR"/>
              </w:rPr>
              <w:t xml:space="preserve"> bonne </w:t>
            </w:r>
            <w:r w:rsidR="0018535D">
              <w:rPr>
                <w:rFonts w:asciiTheme="minorHAnsi" w:hAnsiTheme="minorHAnsi" w:cstheme="minorHAnsi"/>
                <w:sz w:val="20"/>
                <w:lang w:val="fr-FR"/>
              </w:rPr>
              <w:t>performance</w:t>
            </w:r>
            <w:r>
              <w:rPr>
                <w:rFonts w:asciiTheme="minorHAnsi" w:hAnsiTheme="minorHAnsi" w:cstheme="minorHAnsi"/>
                <w:sz w:val="20"/>
                <w:lang w:val="fr-FR"/>
              </w:rPr>
              <w:t xml:space="preserve">, </w:t>
            </w:r>
            <w:r w:rsidR="0018535D">
              <w:rPr>
                <w:rFonts w:asciiTheme="minorHAnsi" w:hAnsiTheme="minorHAnsi" w:cstheme="minorHAnsi"/>
                <w:sz w:val="20"/>
                <w:lang w:val="fr-FR"/>
              </w:rPr>
              <w:t>UNICEF</w:t>
            </w:r>
            <w:r>
              <w:rPr>
                <w:rFonts w:asciiTheme="minorHAnsi" w:hAnsiTheme="minorHAnsi" w:cstheme="minorHAnsi"/>
                <w:sz w:val="20"/>
                <w:lang w:val="fr-FR"/>
              </w:rPr>
              <w:t xml:space="preserve"> se </w:t>
            </w:r>
            <w:r w:rsidR="0018535D">
              <w:rPr>
                <w:rFonts w:asciiTheme="minorHAnsi" w:hAnsiTheme="minorHAnsi" w:cstheme="minorHAnsi"/>
                <w:sz w:val="20"/>
                <w:lang w:val="fr-FR"/>
              </w:rPr>
              <w:t>propose</w:t>
            </w:r>
            <w:r>
              <w:rPr>
                <w:rFonts w:asciiTheme="minorHAnsi" w:hAnsiTheme="minorHAnsi" w:cstheme="minorHAnsi"/>
                <w:sz w:val="20"/>
                <w:lang w:val="fr-FR"/>
              </w:rPr>
              <w:t xml:space="preserve"> de </w:t>
            </w:r>
            <w:r w:rsidR="0018535D">
              <w:rPr>
                <w:rFonts w:asciiTheme="minorHAnsi" w:hAnsiTheme="minorHAnsi" w:cstheme="minorHAnsi"/>
                <w:sz w:val="20"/>
                <w:lang w:val="fr-FR"/>
              </w:rPr>
              <w:t>continuer</w:t>
            </w:r>
            <w:r>
              <w:rPr>
                <w:rFonts w:asciiTheme="minorHAnsi" w:hAnsiTheme="minorHAnsi" w:cstheme="minorHAnsi"/>
                <w:sz w:val="20"/>
                <w:lang w:val="fr-FR"/>
              </w:rPr>
              <w:t xml:space="preserve"> avec le </w:t>
            </w:r>
            <w:r w:rsidR="0018535D">
              <w:rPr>
                <w:rFonts w:asciiTheme="minorHAnsi" w:hAnsiTheme="minorHAnsi" w:cstheme="minorHAnsi"/>
                <w:sz w:val="20"/>
                <w:lang w:val="fr-FR"/>
              </w:rPr>
              <w:t>secrétariat</w:t>
            </w:r>
            <w:r>
              <w:rPr>
                <w:rFonts w:asciiTheme="minorHAnsi" w:hAnsiTheme="minorHAnsi" w:cstheme="minorHAnsi"/>
                <w:sz w:val="20"/>
                <w:lang w:val="fr-FR"/>
              </w:rPr>
              <w:t xml:space="preserve"> technique.  </w:t>
            </w:r>
            <w:r w:rsidR="0018535D">
              <w:rPr>
                <w:rFonts w:asciiTheme="minorHAnsi" w:hAnsiTheme="minorHAnsi" w:cstheme="minorHAnsi"/>
                <w:sz w:val="20"/>
                <w:lang w:val="fr-FR"/>
              </w:rPr>
              <w:t>Ainsi,</w:t>
            </w:r>
            <w:r>
              <w:rPr>
                <w:rFonts w:asciiTheme="minorHAnsi" w:hAnsiTheme="minorHAnsi" w:cstheme="minorHAnsi"/>
                <w:sz w:val="20"/>
                <w:lang w:val="fr-FR"/>
              </w:rPr>
              <w:t xml:space="preserve"> le consulta</w:t>
            </w:r>
            <w:r w:rsidR="0018535D">
              <w:rPr>
                <w:rFonts w:asciiTheme="minorHAnsi" w:hAnsiTheme="minorHAnsi" w:cstheme="minorHAnsi"/>
                <w:sz w:val="20"/>
                <w:lang w:val="fr-FR"/>
              </w:rPr>
              <w:t>n</w:t>
            </w:r>
            <w:r>
              <w:rPr>
                <w:rFonts w:asciiTheme="minorHAnsi" w:hAnsiTheme="minorHAnsi" w:cstheme="minorHAnsi"/>
                <w:sz w:val="20"/>
                <w:lang w:val="fr-FR"/>
              </w:rPr>
              <w:t xml:space="preserve">t </w:t>
            </w:r>
            <w:r w:rsidR="0018535D">
              <w:rPr>
                <w:rFonts w:asciiTheme="minorHAnsi" w:hAnsiTheme="minorHAnsi" w:cstheme="minorHAnsi"/>
                <w:sz w:val="20"/>
                <w:lang w:val="fr-FR"/>
              </w:rPr>
              <w:t>chargé</w:t>
            </w:r>
            <w:r>
              <w:rPr>
                <w:rFonts w:asciiTheme="minorHAnsi" w:hAnsiTheme="minorHAnsi" w:cstheme="minorHAnsi"/>
                <w:sz w:val="20"/>
                <w:lang w:val="fr-FR"/>
              </w:rPr>
              <w:t xml:space="preserve"> du </w:t>
            </w:r>
            <w:r w:rsidR="0018535D">
              <w:rPr>
                <w:rFonts w:asciiTheme="minorHAnsi" w:hAnsiTheme="minorHAnsi" w:cstheme="minorHAnsi"/>
                <w:sz w:val="20"/>
                <w:lang w:val="fr-FR"/>
              </w:rPr>
              <w:t>secrétariat technique</w:t>
            </w:r>
            <w:r>
              <w:rPr>
                <w:rFonts w:asciiTheme="minorHAnsi" w:hAnsiTheme="minorHAnsi" w:cstheme="minorHAnsi"/>
                <w:sz w:val="20"/>
                <w:lang w:val="fr-FR"/>
              </w:rPr>
              <w:t xml:space="preserve"> sera </w:t>
            </w:r>
            <w:r w:rsidR="0018535D">
              <w:rPr>
                <w:rFonts w:asciiTheme="minorHAnsi" w:hAnsiTheme="minorHAnsi" w:cstheme="minorHAnsi"/>
                <w:sz w:val="20"/>
                <w:lang w:val="fr-FR"/>
              </w:rPr>
              <w:t>recruté</w:t>
            </w:r>
            <w:r>
              <w:rPr>
                <w:rFonts w:asciiTheme="minorHAnsi" w:hAnsiTheme="minorHAnsi" w:cstheme="minorHAnsi"/>
                <w:sz w:val="20"/>
                <w:lang w:val="fr-FR"/>
              </w:rPr>
              <w:t xml:space="preserve"> pour accompagner le </w:t>
            </w:r>
            <w:r w:rsidR="0018535D">
              <w:rPr>
                <w:rFonts w:asciiTheme="minorHAnsi" w:hAnsiTheme="minorHAnsi" w:cstheme="minorHAnsi"/>
                <w:sz w:val="20"/>
                <w:lang w:val="fr-FR"/>
              </w:rPr>
              <w:t>mandat</w:t>
            </w:r>
            <w:r>
              <w:rPr>
                <w:rFonts w:asciiTheme="minorHAnsi" w:hAnsiTheme="minorHAnsi" w:cstheme="minorHAnsi"/>
                <w:sz w:val="20"/>
                <w:lang w:val="fr-FR"/>
              </w:rPr>
              <w:t xml:space="preserve"> de l UNICEF en tant que chef de file pour l’</w:t>
            </w:r>
            <w:r w:rsidR="0018535D">
              <w:rPr>
                <w:rFonts w:asciiTheme="minorHAnsi" w:hAnsiTheme="minorHAnsi" w:cstheme="minorHAnsi"/>
                <w:sz w:val="20"/>
                <w:lang w:val="fr-FR"/>
              </w:rPr>
              <w:t>année</w:t>
            </w:r>
            <w:r>
              <w:rPr>
                <w:rFonts w:asciiTheme="minorHAnsi" w:hAnsiTheme="minorHAnsi" w:cstheme="minorHAnsi"/>
                <w:sz w:val="20"/>
                <w:lang w:val="fr-FR"/>
              </w:rPr>
              <w:t xml:space="preserve"> 22024. </w:t>
            </w:r>
            <w:r w:rsidR="00D245C7" w:rsidRPr="00D245C7">
              <w:rPr>
                <w:rFonts w:asciiTheme="minorHAnsi" w:hAnsiTheme="minorHAnsi" w:cstheme="minorHAnsi"/>
                <w:sz w:val="20"/>
                <w:lang w:val="fr-FR"/>
              </w:rPr>
              <w:t>Ainsi, ces Termes de Référence (TDR) sont élaborés pour engager le processus de recrutement.</w:t>
            </w:r>
          </w:p>
        </w:tc>
      </w:tr>
      <w:tr w:rsidR="00BD551A" w:rsidRPr="00C27AAD" w14:paraId="543B458E" w14:textId="77777777" w:rsidTr="00C67447">
        <w:tc>
          <w:tcPr>
            <w:tcW w:w="10833" w:type="dxa"/>
            <w:gridSpan w:val="2"/>
          </w:tcPr>
          <w:p w14:paraId="1EC92352" w14:textId="18C15B26" w:rsidR="00611464" w:rsidRPr="00D310B9" w:rsidRDefault="007B0BD7" w:rsidP="007D7C8D">
            <w:pPr>
              <w:numPr>
                <w:ilvl w:val="0"/>
                <w:numId w:val="1"/>
              </w:numPr>
              <w:spacing w:line="260" w:lineRule="exact"/>
              <w:rPr>
                <w:rFonts w:asciiTheme="minorHAnsi" w:hAnsiTheme="minorHAnsi" w:cstheme="minorHAnsi"/>
                <w:b/>
                <w:color w:val="0070C0"/>
                <w:sz w:val="20"/>
                <w:lang w:val="fr-FR"/>
              </w:rPr>
            </w:pPr>
            <w:r w:rsidRPr="00D310B9">
              <w:rPr>
                <w:rFonts w:asciiTheme="minorHAnsi" w:hAnsiTheme="minorHAnsi" w:cstheme="minorHAnsi"/>
                <w:b/>
                <w:color w:val="0070C0"/>
                <w:sz w:val="20"/>
                <w:lang w:val="fr-FR"/>
              </w:rPr>
              <w:t>OBJECTIF DE LA CONSULTATION :</w:t>
            </w:r>
          </w:p>
          <w:p w14:paraId="35352E3A" w14:textId="7110FB49" w:rsidR="00B62B88" w:rsidRPr="00D310B9" w:rsidRDefault="00B62B88" w:rsidP="007B5BD5">
            <w:pPr>
              <w:spacing w:before="120" w:after="120" w:line="260" w:lineRule="exact"/>
              <w:rPr>
                <w:rFonts w:asciiTheme="minorHAnsi" w:hAnsiTheme="minorHAnsi" w:cstheme="minorHAnsi"/>
                <w:sz w:val="20"/>
                <w:lang w:val="fr-FR"/>
              </w:rPr>
            </w:pPr>
            <w:r w:rsidRPr="00D310B9">
              <w:rPr>
                <w:rFonts w:asciiTheme="minorHAnsi" w:hAnsiTheme="minorHAnsi" w:cstheme="minorHAnsi"/>
                <w:sz w:val="20"/>
                <w:lang w:val="fr-FR"/>
              </w:rPr>
              <w:t xml:space="preserve">Les présents TDRs visent à sélectionner un consultant individuel ayant les capacités techniques et l’expérience requises afin </w:t>
            </w:r>
            <w:r w:rsidR="00D73A75" w:rsidRPr="00D310B9">
              <w:rPr>
                <w:rFonts w:asciiTheme="minorHAnsi" w:hAnsiTheme="minorHAnsi" w:cstheme="minorHAnsi"/>
                <w:sz w:val="20"/>
                <w:lang w:val="fr-FR"/>
              </w:rPr>
              <w:t>d’</w:t>
            </w:r>
            <w:r w:rsidR="00B56345" w:rsidRPr="00D310B9">
              <w:rPr>
                <w:rFonts w:asciiTheme="minorHAnsi" w:hAnsiTheme="minorHAnsi" w:cstheme="minorHAnsi"/>
                <w:sz w:val="20"/>
                <w:lang w:val="fr-FR"/>
              </w:rPr>
              <w:t xml:space="preserve">appuyer le chef de file des </w:t>
            </w:r>
            <w:proofErr w:type="spellStart"/>
            <w:r w:rsidR="00B56345" w:rsidRPr="00D310B9">
              <w:rPr>
                <w:rFonts w:asciiTheme="minorHAnsi" w:hAnsiTheme="minorHAnsi" w:cstheme="minorHAnsi"/>
                <w:sz w:val="20"/>
                <w:lang w:val="fr-FR"/>
              </w:rPr>
              <w:t>PTFs</w:t>
            </w:r>
            <w:proofErr w:type="spellEnd"/>
            <w:r w:rsidR="00B56345" w:rsidRPr="00D310B9">
              <w:rPr>
                <w:rFonts w:asciiTheme="minorHAnsi" w:hAnsiTheme="minorHAnsi" w:cstheme="minorHAnsi"/>
                <w:sz w:val="20"/>
                <w:lang w:val="fr-FR"/>
              </w:rPr>
              <w:t xml:space="preserve"> Environnement, Eau et Assainissement assuré par l’UNICEF</w:t>
            </w:r>
            <w:r w:rsidR="009D06FD" w:rsidRPr="00D310B9">
              <w:rPr>
                <w:rFonts w:asciiTheme="minorHAnsi" w:hAnsiTheme="minorHAnsi" w:cstheme="minorHAnsi"/>
                <w:sz w:val="20"/>
                <w:lang w:val="fr-FR"/>
              </w:rPr>
              <w:t>. Sous la direction et la supervision générale du Chef de Section WASH, le</w:t>
            </w:r>
            <w:r w:rsidR="001D5FF4" w:rsidRPr="00D310B9">
              <w:rPr>
                <w:rFonts w:asciiTheme="minorHAnsi" w:hAnsiTheme="minorHAnsi" w:cstheme="minorHAnsi"/>
                <w:sz w:val="20"/>
                <w:lang w:val="fr-FR"/>
              </w:rPr>
              <w:t>/la consultant</w:t>
            </w:r>
            <w:r w:rsidR="00250809" w:rsidRPr="00D310B9">
              <w:rPr>
                <w:rFonts w:asciiTheme="minorHAnsi" w:hAnsiTheme="minorHAnsi" w:cstheme="minorHAnsi"/>
                <w:sz w:val="20"/>
                <w:lang w:val="fr-FR"/>
              </w:rPr>
              <w:t xml:space="preserve"> devra </w:t>
            </w:r>
            <w:r w:rsidR="00DB7F2D" w:rsidRPr="00D310B9">
              <w:rPr>
                <w:rFonts w:asciiTheme="minorHAnsi" w:hAnsiTheme="minorHAnsi" w:cstheme="minorHAnsi"/>
                <w:sz w:val="20"/>
                <w:lang w:val="fr-FR"/>
              </w:rPr>
              <w:t>p</w:t>
            </w:r>
            <w:r w:rsidRPr="00D310B9">
              <w:rPr>
                <w:rFonts w:asciiTheme="minorHAnsi" w:hAnsiTheme="minorHAnsi" w:cstheme="minorHAnsi"/>
                <w:sz w:val="20"/>
                <w:lang w:val="fr-FR"/>
              </w:rPr>
              <w:t>roduire les analyses nécessaires au dialogue politique pour le Chef de file en concertation avec les autres partenaires membres du cadre partenarial</w:t>
            </w:r>
            <w:r w:rsidR="007B5BD5" w:rsidRPr="00D310B9">
              <w:rPr>
                <w:rFonts w:asciiTheme="minorHAnsi" w:hAnsiTheme="minorHAnsi" w:cstheme="minorHAnsi"/>
                <w:sz w:val="20"/>
                <w:lang w:val="fr-FR"/>
              </w:rPr>
              <w:t>.</w:t>
            </w:r>
          </w:p>
        </w:tc>
      </w:tr>
      <w:tr w:rsidR="00E7085A" w:rsidRPr="00C27AAD" w14:paraId="0D1691BD" w14:textId="77777777" w:rsidTr="00C67447">
        <w:tc>
          <w:tcPr>
            <w:tcW w:w="10833" w:type="dxa"/>
            <w:gridSpan w:val="2"/>
          </w:tcPr>
          <w:p w14:paraId="0CE9D337" w14:textId="49AD2642" w:rsidR="00E7085A" w:rsidRPr="00D310B9" w:rsidRDefault="007B0BD7" w:rsidP="007D7C8D">
            <w:pPr>
              <w:numPr>
                <w:ilvl w:val="0"/>
                <w:numId w:val="1"/>
              </w:numPr>
              <w:spacing w:line="260" w:lineRule="exact"/>
              <w:rPr>
                <w:rFonts w:asciiTheme="minorHAnsi" w:hAnsiTheme="minorHAnsi" w:cstheme="minorHAnsi"/>
                <w:b/>
                <w:color w:val="0070C0"/>
                <w:sz w:val="20"/>
                <w:lang w:val="fr-FR"/>
              </w:rPr>
            </w:pPr>
            <w:r w:rsidRPr="00D310B9">
              <w:rPr>
                <w:rFonts w:asciiTheme="minorHAnsi" w:hAnsiTheme="minorHAnsi" w:cstheme="minorHAnsi"/>
                <w:b/>
                <w:color w:val="0070C0"/>
                <w:sz w:val="20"/>
                <w:lang w:val="fr-FR"/>
              </w:rPr>
              <w:t>ACTIVITES PLANIFIES :</w:t>
            </w:r>
          </w:p>
          <w:p w14:paraId="01589FA7" w14:textId="77777777" w:rsidR="00E7085A" w:rsidRPr="00D310B9" w:rsidRDefault="00E7085A" w:rsidP="00E7085A">
            <w:pPr>
              <w:spacing w:before="120" w:after="120"/>
              <w:rPr>
                <w:rFonts w:asciiTheme="minorHAnsi" w:hAnsiTheme="minorHAnsi" w:cstheme="minorHAnsi"/>
                <w:sz w:val="20"/>
                <w:lang w:val="fr-FR"/>
              </w:rPr>
            </w:pPr>
            <w:r w:rsidRPr="00D310B9">
              <w:rPr>
                <w:rFonts w:asciiTheme="minorHAnsi" w:hAnsiTheme="minorHAnsi" w:cstheme="minorHAnsi"/>
                <w:sz w:val="20"/>
                <w:lang w:val="fr-FR"/>
              </w:rPr>
              <w:t>Le/la consultant(e) travaillera sous la supervision du chef de section Eau, Hygiène et Assainissement (WASH) de l’UNICEF et s’occupera de manière spécifique des tâches suivantes :</w:t>
            </w:r>
          </w:p>
          <w:p w14:paraId="3FF185C3" w14:textId="7F1B72DD" w:rsidR="00E7085A" w:rsidRPr="00D310B9" w:rsidRDefault="00E7085A" w:rsidP="007D7C8D">
            <w:pPr>
              <w:pStyle w:val="ListParagraph"/>
              <w:numPr>
                <w:ilvl w:val="0"/>
                <w:numId w:val="6"/>
              </w:numPr>
              <w:spacing w:before="120" w:after="120"/>
              <w:jc w:val="left"/>
              <w:rPr>
                <w:rFonts w:asciiTheme="minorHAnsi" w:hAnsiTheme="minorHAnsi" w:cstheme="minorHAnsi"/>
                <w:sz w:val="20"/>
                <w:u w:val="single"/>
                <w:lang w:val="fr-FR"/>
              </w:rPr>
            </w:pPr>
            <w:r w:rsidRPr="00D310B9">
              <w:rPr>
                <w:rFonts w:asciiTheme="minorHAnsi" w:hAnsiTheme="minorHAnsi" w:cstheme="minorHAnsi"/>
                <w:sz w:val="20"/>
                <w:lang w:val="fr-FR"/>
              </w:rPr>
              <w:lastRenderedPageBreak/>
              <w:t xml:space="preserve">Appui au Chef de file des </w:t>
            </w:r>
            <w:proofErr w:type="spellStart"/>
            <w:r w:rsidRPr="00D310B9">
              <w:rPr>
                <w:rFonts w:asciiTheme="minorHAnsi" w:hAnsiTheme="minorHAnsi" w:cstheme="minorHAnsi"/>
                <w:sz w:val="20"/>
                <w:lang w:val="fr-FR"/>
              </w:rPr>
              <w:t>PTFs</w:t>
            </w:r>
            <w:proofErr w:type="spellEnd"/>
            <w:r w:rsidRPr="00D310B9">
              <w:rPr>
                <w:rFonts w:asciiTheme="minorHAnsi" w:hAnsiTheme="minorHAnsi" w:cstheme="minorHAnsi"/>
                <w:sz w:val="20"/>
                <w:lang w:val="fr-FR"/>
              </w:rPr>
              <w:t xml:space="preserve"> pour l’organisation interne et l’animation du groupe des Partenaires Techniques et Financiers :</w:t>
            </w:r>
          </w:p>
          <w:p w14:paraId="2FA5573E" w14:textId="251FDCCF"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Préparer les réunions internes des Partenaires Techniques et Financiers</w:t>
            </w:r>
            <w:r w:rsidR="00E563BB" w:rsidRPr="00D310B9">
              <w:rPr>
                <w:rFonts w:asciiTheme="minorHAnsi" w:hAnsiTheme="minorHAnsi" w:cstheme="minorHAnsi"/>
                <w:sz w:val="20"/>
                <w:lang w:val="fr-FR"/>
              </w:rPr>
              <w:t> ;</w:t>
            </w:r>
          </w:p>
          <w:p w14:paraId="7510BCD0" w14:textId="49D90F37"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 xml:space="preserve">Assister le Chef de file des </w:t>
            </w:r>
            <w:proofErr w:type="spellStart"/>
            <w:r w:rsidRPr="00D310B9">
              <w:rPr>
                <w:rFonts w:asciiTheme="minorHAnsi" w:hAnsiTheme="minorHAnsi" w:cstheme="minorHAnsi"/>
                <w:sz w:val="20"/>
                <w:lang w:val="fr-FR"/>
              </w:rPr>
              <w:t>PTFs</w:t>
            </w:r>
            <w:proofErr w:type="spellEnd"/>
            <w:r w:rsidRPr="00D310B9">
              <w:rPr>
                <w:rFonts w:asciiTheme="minorHAnsi" w:hAnsiTheme="minorHAnsi" w:cstheme="minorHAnsi"/>
                <w:sz w:val="20"/>
                <w:lang w:val="fr-FR"/>
              </w:rPr>
              <w:t xml:space="preserve"> pour la modération des réunions du groupe</w:t>
            </w:r>
            <w:r w:rsidR="00E563BB" w:rsidRPr="00D310B9">
              <w:rPr>
                <w:rFonts w:asciiTheme="minorHAnsi" w:hAnsiTheme="minorHAnsi" w:cstheme="minorHAnsi"/>
                <w:sz w:val="20"/>
                <w:lang w:val="fr-FR"/>
              </w:rPr>
              <w:t> ;</w:t>
            </w:r>
          </w:p>
          <w:p w14:paraId="1E2868DB" w14:textId="7DCE2255"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Assister le cas échéant les Chefs de file de groupes thématiques dans l’organisation et l’animation de leurs réunions</w:t>
            </w:r>
            <w:r w:rsidR="00E563BB" w:rsidRPr="00D310B9">
              <w:rPr>
                <w:rFonts w:asciiTheme="minorHAnsi" w:hAnsiTheme="minorHAnsi" w:cstheme="minorHAnsi"/>
                <w:sz w:val="20"/>
                <w:lang w:val="fr-FR"/>
              </w:rPr>
              <w:t> ;</w:t>
            </w:r>
          </w:p>
          <w:p w14:paraId="0F4B659D" w14:textId="16F4CEA0"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 xml:space="preserve">Etablir les comptes rendus de toutes les réunions du groupe des </w:t>
            </w:r>
            <w:proofErr w:type="spellStart"/>
            <w:r w:rsidRPr="00D310B9">
              <w:rPr>
                <w:rFonts w:asciiTheme="minorHAnsi" w:hAnsiTheme="minorHAnsi" w:cstheme="minorHAnsi"/>
                <w:sz w:val="20"/>
                <w:lang w:val="fr-FR"/>
              </w:rPr>
              <w:t>PTFs</w:t>
            </w:r>
            <w:proofErr w:type="spellEnd"/>
            <w:r w:rsidR="00E563BB" w:rsidRPr="00D310B9">
              <w:rPr>
                <w:rFonts w:asciiTheme="minorHAnsi" w:hAnsiTheme="minorHAnsi" w:cstheme="minorHAnsi"/>
                <w:sz w:val="20"/>
                <w:lang w:val="fr-FR"/>
              </w:rPr>
              <w:t> ;</w:t>
            </w:r>
          </w:p>
          <w:p w14:paraId="5A85F985" w14:textId="60647A9A"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Suivre et documenter la mise en œuvre des résolutions et recommandations issues des réunions du groupe des Partenaires Techniques et Financiers</w:t>
            </w:r>
            <w:r w:rsidR="00E563BB" w:rsidRPr="00D310B9">
              <w:rPr>
                <w:rFonts w:asciiTheme="minorHAnsi" w:hAnsiTheme="minorHAnsi" w:cstheme="minorHAnsi"/>
                <w:sz w:val="20"/>
                <w:lang w:val="fr-FR"/>
              </w:rPr>
              <w:t> ;</w:t>
            </w:r>
          </w:p>
          <w:p w14:paraId="60C25A13" w14:textId="77777777"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 xml:space="preserve">Participer aux rencontres du cadre de concertation inclusif (CCI) de la Troïka des </w:t>
            </w:r>
            <w:proofErr w:type="spellStart"/>
            <w:r w:rsidRPr="00D310B9">
              <w:rPr>
                <w:rFonts w:asciiTheme="minorHAnsi" w:hAnsiTheme="minorHAnsi" w:cstheme="minorHAnsi"/>
                <w:sz w:val="20"/>
                <w:lang w:val="fr-FR"/>
              </w:rPr>
              <w:t>PTFs</w:t>
            </w:r>
            <w:proofErr w:type="spellEnd"/>
            <w:r w:rsidRPr="00D310B9">
              <w:rPr>
                <w:rFonts w:asciiTheme="minorHAnsi" w:hAnsiTheme="minorHAnsi" w:cstheme="minorHAnsi"/>
                <w:sz w:val="20"/>
                <w:lang w:val="fr-FR"/>
              </w:rPr>
              <w:t xml:space="preserve"> et en rendre compte au Chef de file.</w:t>
            </w:r>
          </w:p>
          <w:p w14:paraId="1B068749" w14:textId="77777777" w:rsidR="00E7085A" w:rsidRPr="00D310B9" w:rsidRDefault="00E7085A" w:rsidP="007D7C8D">
            <w:pPr>
              <w:pStyle w:val="ListParagraph"/>
              <w:numPr>
                <w:ilvl w:val="0"/>
                <w:numId w:val="6"/>
              </w:numPr>
              <w:spacing w:before="120" w:after="120"/>
              <w:jc w:val="left"/>
              <w:rPr>
                <w:rFonts w:asciiTheme="minorHAnsi" w:hAnsiTheme="minorHAnsi" w:cstheme="minorHAnsi"/>
                <w:sz w:val="20"/>
                <w:lang w:val="fr-FR"/>
              </w:rPr>
            </w:pPr>
            <w:r w:rsidRPr="00D310B9">
              <w:rPr>
                <w:rFonts w:asciiTheme="minorHAnsi" w:hAnsiTheme="minorHAnsi" w:cstheme="minorHAnsi"/>
                <w:sz w:val="20"/>
                <w:lang w:val="fr-FR"/>
              </w:rPr>
              <w:t xml:space="preserve">Appui au Chef de file des </w:t>
            </w:r>
            <w:proofErr w:type="spellStart"/>
            <w:r w:rsidRPr="00D310B9">
              <w:rPr>
                <w:rFonts w:asciiTheme="minorHAnsi" w:hAnsiTheme="minorHAnsi" w:cstheme="minorHAnsi"/>
                <w:sz w:val="20"/>
                <w:lang w:val="fr-FR"/>
              </w:rPr>
              <w:t>PTFs</w:t>
            </w:r>
            <w:proofErr w:type="spellEnd"/>
            <w:r w:rsidRPr="00D310B9">
              <w:rPr>
                <w:rFonts w:asciiTheme="minorHAnsi" w:hAnsiTheme="minorHAnsi" w:cstheme="minorHAnsi"/>
                <w:sz w:val="20"/>
                <w:lang w:val="fr-FR"/>
              </w:rPr>
              <w:t xml:space="preserve"> pour le suivi des développements dans le secteur Environnement, Eau et Assainissement au niveau national :</w:t>
            </w:r>
          </w:p>
          <w:p w14:paraId="6480C313" w14:textId="4EE4B12B"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Observer les avancées en matière de législation relative au secteur Environnement, Eau et Assainissement en général et établir des synthèses trimestrielles sur les développements majeurs</w:t>
            </w:r>
            <w:r w:rsidR="00E563BB" w:rsidRPr="00D310B9">
              <w:rPr>
                <w:rFonts w:asciiTheme="minorHAnsi" w:hAnsiTheme="minorHAnsi" w:cstheme="minorHAnsi"/>
                <w:sz w:val="20"/>
                <w:lang w:val="fr-FR"/>
              </w:rPr>
              <w:t> ;</w:t>
            </w:r>
          </w:p>
          <w:p w14:paraId="3AC89BA6" w14:textId="77777777"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Assurer un suivi continu des évolutions en matière de décentralisation pour le sous-secteur Eau, Hygiène et Assainissement, notamment l’assistance à la maitrise d’ouvrage communale et en établir des synthèses trimestrielles.</w:t>
            </w:r>
          </w:p>
          <w:p w14:paraId="48196AB8" w14:textId="2F15026C" w:rsidR="00E7085A" w:rsidRPr="00D310B9" w:rsidRDefault="00E7085A" w:rsidP="007D7C8D">
            <w:pPr>
              <w:pStyle w:val="ListParagraph"/>
              <w:numPr>
                <w:ilvl w:val="0"/>
                <w:numId w:val="6"/>
              </w:numPr>
              <w:spacing w:before="120" w:after="120"/>
              <w:jc w:val="left"/>
              <w:rPr>
                <w:rFonts w:asciiTheme="minorHAnsi" w:hAnsiTheme="minorHAnsi" w:cstheme="minorHAnsi"/>
                <w:sz w:val="20"/>
                <w:lang w:val="fr-FR"/>
              </w:rPr>
            </w:pPr>
            <w:r w:rsidRPr="00D310B9">
              <w:rPr>
                <w:rFonts w:asciiTheme="minorHAnsi" w:hAnsiTheme="minorHAnsi" w:cstheme="minorHAnsi"/>
                <w:sz w:val="20"/>
                <w:lang w:val="fr-FR"/>
              </w:rPr>
              <w:t xml:space="preserve">Appui au Chef de file des </w:t>
            </w:r>
            <w:proofErr w:type="spellStart"/>
            <w:r w:rsidRPr="00D310B9">
              <w:rPr>
                <w:rFonts w:asciiTheme="minorHAnsi" w:hAnsiTheme="minorHAnsi" w:cstheme="minorHAnsi"/>
                <w:sz w:val="20"/>
                <w:lang w:val="fr-FR"/>
              </w:rPr>
              <w:t>PTFs</w:t>
            </w:r>
            <w:proofErr w:type="spellEnd"/>
            <w:r w:rsidRPr="00D310B9">
              <w:rPr>
                <w:rFonts w:asciiTheme="minorHAnsi" w:hAnsiTheme="minorHAnsi" w:cstheme="minorHAnsi"/>
                <w:sz w:val="20"/>
                <w:lang w:val="fr-FR"/>
              </w:rPr>
              <w:t xml:space="preserve"> pour la conduite du dialogue sectoriel avec le Gouvernement</w:t>
            </w:r>
            <w:r w:rsidR="0054290B" w:rsidRPr="00D310B9">
              <w:rPr>
                <w:rFonts w:asciiTheme="minorHAnsi" w:hAnsiTheme="minorHAnsi" w:cstheme="minorHAnsi"/>
                <w:sz w:val="20"/>
                <w:lang w:val="fr-FR"/>
              </w:rPr>
              <w:t xml:space="preserve">. </w:t>
            </w:r>
            <w:r w:rsidRPr="00D310B9">
              <w:rPr>
                <w:rFonts w:asciiTheme="minorHAnsi" w:hAnsiTheme="minorHAnsi" w:cstheme="minorHAnsi"/>
                <w:sz w:val="20"/>
                <w:lang w:val="fr-FR"/>
              </w:rPr>
              <w:t>Le dialogue sectoriel se situe au niveau des instances suivantes :</w:t>
            </w:r>
          </w:p>
          <w:p w14:paraId="121FF80D" w14:textId="37410F55" w:rsidR="00E7085A" w:rsidRPr="00D310B9" w:rsidRDefault="00E7085A" w:rsidP="007D7C8D">
            <w:pPr>
              <w:pStyle w:val="ListParagraph"/>
              <w:numPr>
                <w:ilvl w:val="0"/>
                <w:numId w:val="3"/>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Cadre partenarial (Capa)</w:t>
            </w:r>
            <w:r w:rsidR="00846A99" w:rsidRPr="00D310B9">
              <w:rPr>
                <w:rFonts w:asciiTheme="minorHAnsi" w:hAnsiTheme="minorHAnsi" w:cstheme="minorHAnsi"/>
                <w:sz w:val="20"/>
                <w:lang w:val="fr-FR"/>
              </w:rPr>
              <w:t> ;</w:t>
            </w:r>
          </w:p>
          <w:p w14:paraId="6F7BD114" w14:textId="57255473" w:rsidR="00E7085A" w:rsidRPr="00D310B9" w:rsidRDefault="00E7085A" w:rsidP="007D7C8D">
            <w:pPr>
              <w:pStyle w:val="ListParagraph"/>
              <w:numPr>
                <w:ilvl w:val="0"/>
                <w:numId w:val="3"/>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Groupes thématiques (GT) du Cadre Sectoriel de Dialogue Environnement, Eau et Assainissement</w:t>
            </w:r>
            <w:r w:rsidR="00846A99" w:rsidRPr="00D310B9">
              <w:rPr>
                <w:rFonts w:asciiTheme="minorHAnsi" w:hAnsiTheme="minorHAnsi" w:cstheme="minorHAnsi"/>
                <w:sz w:val="20"/>
                <w:lang w:val="fr-FR"/>
              </w:rPr>
              <w:t> ;</w:t>
            </w:r>
          </w:p>
          <w:p w14:paraId="7C10DB9B" w14:textId="174328E1" w:rsidR="00E7085A" w:rsidRPr="00D310B9" w:rsidRDefault="00E7085A" w:rsidP="007D7C8D">
            <w:pPr>
              <w:pStyle w:val="ListParagraph"/>
              <w:numPr>
                <w:ilvl w:val="0"/>
                <w:numId w:val="3"/>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Cadre Sectoriel de Dialogue Environnement, Eau et Assainissement (CSD-EEA)</w:t>
            </w:r>
            <w:r w:rsidR="00846A99" w:rsidRPr="00D310B9">
              <w:rPr>
                <w:rFonts w:asciiTheme="minorHAnsi" w:hAnsiTheme="minorHAnsi" w:cstheme="minorHAnsi"/>
                <w:sz w:val="20"/>
                <w:lang w:val="fr-FR"/>
              </w:rPr>
              <w:t> ;</w:t>
            </w:r>
          </w:p>
          <w:p w14:paraId="2DC5C684" w14:textId="0FB74F6A" w:rsidR="00E7085A" w:rsidRPr="00D310B9" w:rsidRDefault="00E7085A" w:rsidP="007D7C8D">
            <w:pPr>
              <w:pStyle w:val="ListParagraph"/>
              <w:numPr>
                <w:ilvl w:val="0"/>
                <w:numId w:val="3"/>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Comités de pilotage des projets et programmes de la politique sectorielle EEA</w:t>
            </w:r>
            <w:r w:rsidR="00846A99" w:rsidRPr="00D310B9">
              <w:rPr>
                <w:rFonts w:asciiTheme="minorHAnsi" w:hAnsiTheme="minorHAnsi" w:cstheme="minorHAnsi"/>
                <w:sz w:val="20"/>
                <w:lang w:val="fr-FR"/>
              </w:rPr>
              <w:t> ;</w:t>
            </w:r>
          </w:p>
          <w:p w14:paraId="175D7D83" w14:textId="4FCA7F07" w:rsidR="00E7085A" w:rsidRPr="00D310B9" w:rsidRDefault="00E7085A" w:rsidP="007D7C8D">
            <w:pPr>
              <w:pStyle w:val="ListParagraph"/>
              <w:numPr>
                <w:ilvl w:val="0"/>
                <w:numId w:val="3"/>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Réunion des Chefs de file sectoriels au niveau de la politique nationale de développement</w:t>
            </w:r>
            <w:r w:rsidR="00846A99" w:rsidRPr="00D310B9">
              <w:rPr>
                <w:rFonts w:asciiTheme="minorHAnsi" w:hAnsiTheme="minorHAnsi" w:cstheme="minorHAnsi"/>
                <w:sz w:val="20"/>
                <w:lang w:val="fr-FR"/>
              </w:rPr>
              <w:t> ;</w:t>
            </w:r>
          </w:p>
          <w:p w14:paraId="78A4CFF8" w14:textId="68E125AE" w:rsidR="00E7085A" w:rsidRPr="00D310B9" w:rsidRDefault="00E7085A" w:rsidP="007D7C8D">
            <w:pPr>
              <w:pStyle w:val="ListParagraph"/>
              <w:numPr>
                <w:ilvl w:val="0"/>
                <w:numId w:val="3"/>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Réunions ad hoc avec le Gouvernement</w:t>
            </w:r>
            <w:r w:rsidR="00846A99" w:rsidRPr="00D310B9">
              <w:rPr>
                <w:rFonts w:asciiTheme="minorHAnsi" w:hAnsiTheme="minorHAnsi" w:cstheme="minorHAnsi"/>
                <w:sz w:val="20"/>
                <w:lang w:val="fr-FR"/>
              </w:rPr>
              <w:t> ;</w:t>
            </w:r>
          </w:p>
          <w:p w14:paraId="4675BA2F" w14:textId="206F8145" w:rsidR="0054290B" w:rsidRPr="00D310B9" w:rsidRDefault="00E7085A" w:rsidP="007D7C8D">
            <w:pPr>
              <w:pStyle w:val="ListParagraph"/>
              <w:numPr>
                <w:ilvl w:val="0"/>
                <w:numId w:val="3"/>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Réunion de Haut Niveau « Assainissement et Eau pour tous » (SWA)</w:t>
            </w:r>
            <w:r w:rsidR="00846A99" w:rsidRPr="00D310B9">
              <w:rPr>
                <w:rFonts w:asciiTheme="minorHAnsi" w:hAnsiTheme="minorHAnsi" w:cstheme="minorHAnsi"/>
                <w:sz w:val="20"/>
                <w:lang w:val="fr-FR"/>
              </w:rPr>
              <w:t>.</w:t>
            </w:r>
          </w:p>
          <w:p w14:paraId="46EC312A" w14:textId="4E716011" w:rsidR="00E7085A" w:rsidRPr="00D310B9" w:rsidRDefault="0054290B" w:rsidP="0054290B">
            <w:p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 xml:space="preserve">                      </w:t>
            </w:r>
            <w:r w:rsidR="00E7085A" w:rsidRPr="00D310B9">
              <w:rPr>
                <w:rFonts w:asciiTheme="minorHAnsi" w:hAnsiTheme="minorHAnsi" w:cstheme="minorHAnsi"/>
                <w:sz w:val="20"/>
                <w:lang w:val="fr-FR"/>
              </w:rPr>
              <w:t>Dans ce cadre, le/la consultant(e) devra :</w:t>
            </w:r>
          </w:p>
          <w:p w14:paraId="6E26FA43" w14:textId="67AE66B1"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Préparer les réunions entre le Gouvernement et les Partenaires Techniques et Financiers</w:t>
            </w:r>
            <w:r w:rsidR="00846A99" w:rsidRPr="00D310B9">
              <w:rPr>
                <w:rFonts w:asciiTheme="minorHAnsi" w:hAnsiTheme="minorHAnsi" w:cstheme="minorHAnsi"/>
                <w:sz w:val="20"/>
                <w:lang w:val="fr-FR"/>
              </w:rPr>
              <w:t> ;</w:t>
            </w:r>
          </w:p>
          <w:p w14:paraId="685BCCA8" w14:textId="1585999D"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Préparer les dossiers techniques à discuter avec le Gouvernement</w:t>
            </w:r>
            <w:r w:rsidR="00846A99" w:rsidRPr="00D310B9">
              <w:rPr>
                <w:rFonts w:asciiTheme="minorHAnsi" w:hAnsiTheme="minorHAnsi" w:cstheme="minorHAnsi"/>
                <w:sz w:val="20"/>
                <w:lang w:val="fr-FR"/>
              </w:rPr>
              <w:t> ;</w:t>
            </w:r>
          </w:p>
          <w:p w14:paraId="24C72DA9" w14:textId="0743E051"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 xml:space="preserve">Assister le Chef de file des </w:t>
            </w:r>
            <w:proofErr w:type="spellStart"/>
            <w:r w:rsidRPr="00D310B9">
              <w:rPr>
                <w:rFonts w:asciiTheme="minorHAnsi" w:hAnsiTheme="minorHAnsi" w:cstheme="minorHAnsi"/>
                <w:sz w:val="20"/>
                <w:lang w:val="fr-FR"/>
              </w:rPr>
              <w:t>PTFs</w:t>
            </w:r>
            <w:proofErr w:type="spellEnd"/>
            <w:r w:rsidRPr="00D310B9">
              <w:rPr>
                <w:rFonts w:asciiTheme="minorHAnsi" w:hAnsiTheme="minorHAnsi" w:cstheme="minorHAnsi"/>
                <w:sz w:val="20"/>
                <w:lang w:val="fr-FR"/>
              </w:rPr>
              <w:t xml:space="preserve"> pour la modération des réunions</w:t>
            </w:r>
            <w:r w:rsidR="00846A99" w:rsidRPr="00D310B9">
              <w:rPr>
                <w:rFonts w:asciiTheme="minorHAnsi" w:hAnsiTheme="minorHAnsi" w:cstheme="minorHAnsi"/>
                <w:sz w:val="20"/>
                <w:lang w:val="fr-FR"/>
              </w:rPr>
              <w:t> ;</w:t>
            </w:r>
          </w:p>
          <w:p w14:paraId="082F8410" w14:textId="13E90A7D"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Etablir les comptes rendus de toutes les réunions</w:t>
            </w:r>
            <w:r w:rsidR="00846A99" w:rsidRPr="00D310B9">
              <w:rPr>
                <w:rFonts w:asciiTheme="minorHAnsi" w:hAnsiTheme="minorHAnsi" w:cstheme="minorHAnsi"/>
                <w:sz w:val="20"/>
                <w:lang w:val="fr-FR"/>
              </w:rPr>
              <w:t> ;</w:t>
            </w:r>
          </w:p>
          <w:p w14:paraId="21EA2139" w14:textId="46A44AFA" w:rsidR="00E7085A" w:rsidRPr="00D310B9" w:rsidRDefault="00E7085A"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Suivre la mise en œuvre des résolutions et recommandations issues de ces réunions</w:t>
            </w:r>
            <w:r w:rsidR="00846A99" w:rsidRPr="00D310B9">
              <w:rPr>
                <w:rFonts w:asciiTheme="minorHAnsi" w:hAnsiTheme="minorHAnsi" w:cstheme="minorHAnsi"/>
                <w:sz w:val="20"/>
                <w:lang w:val="fr-FR"/>
              </w:rPr>
              <w:t> ;</w:t>
            </w:r>
          </w:p>
          <w:p w14:paraId="151B021A" w14:textId="6E65B29D" w:rsidR="00CA39CC" w:rsidRPr="00D310B9" w:rsidRDefault="00CA39CC"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Drafter les projets de discours à l’occasion des réunions et célébrations officielles</w:t>
            </w:r>
            <w:r w:rsidR="00846A99" w:rsidRPr="00D310B9">
              <w:rPr>
                <w:rFonts w:asciiTheme="minorHAnsi" w:hAnsiTheme="minorHAnsi" w:cstheme="minorHAnsi"/>
                <w:sz w:val="20"/>
                <w:lang w:val="fr-FR"/>
              </w:rPr>
              <w:t> ;</w:t>
            </w:r>
          </w:p>
          <w:p w14:paraId="482C4AFA" w14:textId="0976E448" w:rsidR="00CA39CC" w:rsidRPr="00D310B9" w:rsidRDefault="00CA39CC" w:rsidP="007D7C8D">
            <w:pPr>
              <w:pStyle w:val="ListParagraph"/>
              <w:numPr>
                <w:ilvl w:val="0"/>
                <w:numId w:val="2"/>
              </w:numPr>
              <w:spacing w:before="120" w:after="120"/>
              <w:contextualSpacing/>
              <w:jc w:val="left"/>
              <w:rPr>
                <w:rFonts w:asciiTheme="minorHAnsi" w:hAnsiTheme="minorHAnsi" w:cstheme="minorHAnsi"/>
                <w:sz w:val="20"/>
                <w:lang w:val="fr-FR"/>
              </w:rPr>
            </w:pPr>
            <w:r w:rsidRPr="00D310B9">
              <w:rPr>
                <w:rFonts w:asciiTheme="minorHAnsi" w:hAnsiTheme="minorHAnsi" w:cstheme="minorHAnsi"/>
                <w:sz w:val="20"/>
                <w:lang w:val="fr-FR"/>
              </w:rPr>
              <w:t xml:space="preserve">Appuyer le ministère de l’Environnement, de l’Eau et de l’Assainissement (MEEA) et les </w:t>
            </w:r>
            <w:proofErr w:type="spellStart"/>
            <w:r w:rsidRPr="00D310B9">
              <w:rPr>
                <w:rFonts w:asciiTheme="minorHAnsi" w:hAnsiTheme="minorHAnsi" w:cstheme="minorHAnsi"/>
                <w:sz w:val="20"/>
                <w:lang w:val="fr-FR"/>
              </w:rPr>
              <w:t>PTFs</w:t>
            </w:r>
            <w:proofErr w:type="spellEnd"/>
            <w:r w:rsidRPr="00D310B9">
              <w:rPr>
                <w:rFonts w:asciiTheme="minorHAnsi" w:hAnsiTheme="minorHAnsi" w:cstheme="minorHAnsi"/>
                <w:sz w:val="20"/>
                <w:lang w:val="fr-FR"/>
              </w:rPr>
              <w:t xml:space="preserve"> dans le suivi des engagements SWA du Burkina Faso et la préparation des réunions de Haut Niveau SWA (ministres sectoriels, ministres des finances).</w:t>
            </w:r>
          </w:p>
          <w:p w14:paraId="5DEAA05A" w14:textId="0EC62B39" w:rsidR="00E7085A" w:rsidRPr="00D310B9" w:rsidRDefault="00CA39CC" w:rsidP="007D7C8D">
            <w:pPr>
              <w:pStyle w:val="ListParagraph"/>
              <w:numPr>
                <w:ilvl w:val="0"/>
                <w:numId w:val="6"/>
              </w:numPr>
              <w:spacing w:before="120" w:after="120"/>
              <w:jc w:val="left"/>
              <w:rPr>
                <w:rFonts w:asciiTheme="minorHAnsi" w:hAnsiTheme="minorHAnsi" w:cstheme="minorHAnsi"/>
                <w:sz w:val="20"/>
                <w:lang w:val="fr-FR"/>
              </w:rPr>
            </w:pPr>
            <w:r w:rsidRPr="00D310B9">
              <w:rPr>
                <w:rFonts w:asciiTheme="minorHAnsi" w:hAnsiTheme="minorHAnsi" w:cstheme="minorHAnsi"/>
                <w:sz w:val="20"/>
                <w:lang w:val="fr-FR"/>
              </w:rPr>
              <w:t>Mettre en œuvre, à la discrétion du chef de file des Partenaires Techniques et Financiers, toute autre tâche en relation avec le dialogue stratégique ou opérationnel dans le secteur Environnement, Eau et Assainissement.</w:t>
            </w:r>
          </w:p>
        </w:tc>
      </w:tr>
      <w:tr w:rsidR="005E2807" w:rsidRPr="00C27AAD" w14:paraId="7D0E64D5" w14:textId="77777777" w:rsidTr="00C67447">
        <w:tc>
          <w:tcPr>
            <w:tcW w:w="10833" w:type="dxa"/>
            <w:gridSpan w:val="2"/>
          </w:tcPr>
          <w:p w14:paraId="67AB8324" w14:textId="6CAC4F6D" w:rsidR="005E2807" w:rsidRPr="00D310B9" w:rsidRDefault="004D5DDB" w:rsidP="007D7C8D">
            <w:pPr>
              <w:numPr>
                <w:ilvl w:val="0"/>
                <w:numId w:val="1"/>
              </w:numPr>
              <w:spacing w:line="260" w:lineRule="exact"/>
              <w:rPr>
                <w:rFonts w:asciiTheme="minorHAnsi" w:hAnsiTheme="minorHAnsi" w:cstheme="minorHAnsi"/>
                <w:b/>
                <w:color w:val="0070C0"/>
                <w:sz w:val="20"/>
                <w:lang w:val="fr-FR"/>
              </w:rPr>
            </w:pPr>
            <w:r w:rsidRPr="00D310B9">
              <w:rPr>
                <w:rFonts w:asciiTheme="minorHAnsi" w:hAnsiTheme="minorHAnsi" w:cstheme="minorHAnsi"/>
                <w:b/>
                <w:color w:val="0070C0"/>
                <w:sz w:val="20"/>
                <w:lang w:val="fr-FR"/>
              </w:rPr>
              <w:lastRenderedPageBreak/>
              <w:t>RESULATS ATTENDUS :</w:t>
            </w:r>
          </w:p>
          <w:p w14:paraId="2714E540" w14:textId="77777777" w:rsidR="005E2807" w:rsidRPr="00D310B9" w:rsidRDefault="005E2807" w:rsidP="005E2807">
            <w:pPr>
              <w:pStyle w:val="Caption"/>
              <w:rPr>
                <w:rFonts w:asciiTheme="minorHAnsi" w:hAnsiTheme="minorHAnsi" w:cstheme="minorHAnsi"/>
                <w:b w:val="0"/>
                <w:bCs w:val="0"/>
                <w:sz w:val="20"/>
                <w:lang w:val="fr-FR"/>
              </w:rPr>
            </w:pPr>
          </w:p>
          <w:p w14:paraId="7969CBF3" w14:textId="77777777" w:rsidR="004D5DDB" w:rsidRPr="00D310B9" w:rsidRDefault="005E2807" w:rsidP="007D7C8D">
            <w:pPr>
              <w:pStyle w:val="Caption"/>
              <w:numPr>
                <w:ilvl w:val="0"/>
                <w:numId w:val="7"/>
              </w:numPr>
              <w:rPr>
                <w:rFonts w:asciiTheme="minorHAnsi" w:hAnsiTheme="minorHAnsi" w:cstheme="minorHAnsi"/>
                <w:b w:val="0"/>
                <w:bCs w:val="0"/>
                <w:sz w:val="20"/>
                <w:lang w:val="fr-FR"/>
              </w:rPr>
            </w:pPr>
            <w:r w:rsidRPr="00D310B9">
              <w:rPr>
                <w:rFonts w:asciiTheme="minorHAnsi" w:hAnsiTheme="minorHAnsi" w:cstheme="minorHAnsi"/>
                <w:b w:val="0"/>
                <w:bCs w:val="0"/>
                <w:sz w:val="20"/>
                <w:lang w:val="fr-FR"/>
              </w:rPr>
              <w:t xml:space="preserve">Les </w:t>
            </w:r>
            <w:proofErr w:type="spellStart"/>
            <w:r w:rsidRPr="00D310B9">
              <w:rPr>
                <w:rFonts w:asciiTheme="minorHAnsi" w:hAnsiTheme="minorHAnsi" w:cstheme="minorHAnsi"/>
                <w:b w:val="0"/>
                <w:bCs w:val="0"/>
                <w:sz w:val="20"/>
                <w:lang w:val="fr-FR"/>
              </w:rPr>
              <w:t>PTFs</w:t>
            </w:r>
            <w:proofErr w:type="spellEnd"/>
            <w:r w:rsidRPr="00D310B9">
              <w:rPr>
                <w:rFonts w:asciiTheme="minorHAnsi" w:hAnsiTheme="minorHAnsi" w:cstheme="minorHAnsi"/>
                <w:b w:val="0"/>
                <w:bCs w:val="0"/>
                <w:sz w:val="20"/>
                <w:lang w:val="fr-FR"/>
              </w:rPr>
              <w:t xml:space="preserve"> sont informés de toutes les avancées et développements majeurs en matière de législation et stratégies du gouvernement relatives au secteur EEA, et donnent leur positionnement par rapport à celles-ci</w:t>
            </w:r>
            <w:r w:rsidR="004D5DDB" w:rsidRPr="00D310B9">
              <w:rPr>
                <w:rFonts w:asciiTheme="minorHAnsi" w:hAnsiTheme="minorHAnsi" w:cstheme="minorHAnsi"/>
                <w:b w:val="0"/>
                <w:bCs w:val="0"/>
                <w:sz w:val="20"/>
                <w:lang w:val="fr-FR"/>
              </w:rPr>
              <w:t> ;</w:t>
            </w:r>
          </w:p>
          <w:p w14:paraId="3A0C7145" w14:textId="77777777" w:rsidR="004D5DDB" w:rsidRPr="00D310B9" w:rsidRDefault="005E2807" w:rsidP="007D7C8D">
            <w:pPr>
              <w:pStyle w:val="Caption"/>
              <w:numPr>
                <w:ilvl w:val="0"/>
                <w:numId w:val="7"/>
              </w:numPr>
              <w:rPr>
                <w:rFonts w:asciiTheme="minorHAnsi" w:hAnsiTheme="minorHAnsi" w:cstheme="minorHAnsi"/>
                <w:b w:val="0"/>
                <w:bCs w:val="0"/>
                <w:sz w:val="20"/>
                <w:lang w:val="fr-FR"/>
              </w:rPr>
            </w:pPr>
            <w:r w:rsidRPr="00D310B9">
              <w:rPr>
                <w:rFonts w:asciiTheme="minorHAnsi" w:hAnsiTheme="minorHAnsi" w:cstheme="minorHAnsi"/>
                <w:b w:val="0"/>
                <w:bCs w:val="0"/>
                <w:sz w:val="20"/>
                <w:lang w:val="fr-FR"/>
              </w:rPr>
              <w:t xml:space="preserve">Toutes les rencontres statutaires des </w:t>
            </w:r>
            <w:proofErr w:type="spellStart"/>
            <w:r w:rsidRPr="00D310B9">
              <w:rPr>
                <w:rFonts w:asciiTheme="minorHAnsi" w:hAnsiTheme="minorHAnsi" w:cstheme="minorHAnsi"/>
                <w:b w:val="0"/>
                <w:bCs w:val="0"/>
                <w:sz w:val="20"/>
                <w:lang w:val="fr-FR"/>
              </w:rPr>
              <w:t>PTFs</w:t>
            </w:r>
            <w:proofErr w:type="spellEnd"/>
            <w:r w:rsidRPr="00D310B9">
              <w:rPr>
                <w:rFonts w:asciiTheme="minorHAnsi" w:hAnsiTheme="minorHAnsi" w:cstheme="minorHAnsi"/>
                <w:b w:val="0"/>
                <w:bCs w:val="0"/>
                <w:sz w:val="20"/>
                <w:lang w:val="fr-FR"/>
              </w:rPr>
              <w:t xml:space="preserve"> EEA, ainsi que celles avec le Gouvernement, sont tenues dans le respect du calendrier et les participants disposent en avance de la documentation nécessaire pour les discussions</w:t>
            </w:r>
            <w:r w:rsidR="004D5DDB" w:rsidRPr="00D310B9">
              <w:rPr>
                <w:rFonts w:asciiTheme="minorHAnsi" w:hAnsiTheme="minorHAnsi" w:cstheme="minorHAnsi"/>
                <w:b w:val="0"/>
                <w:bCs w:val="0"/>
                <w:sz w:val="20"/>
                <w:lang w:val="fr-FR"/>
              </w:rPr>
              <w:t> ;</w:t>
            </w:r>
          </w:p>
          <w:p w14:paraId="10CDA317" w14:textId="77777777" w:rsidR="004D5DDB" w:rsidRPr="00D310B9" w:rsidRDefault="005E2807" w:rsidP="007D7C8D">
            <w:pPr>
              <w:pStyle w:val="Caption"/>
              <w:numPr>
                <w:ilvl w:val="0"/>
                <w:numId w:val="7"/>
              </w:numPr>
              <w:rPr>
                <w:rFonts w:asciiTheme="minorHAnsi" w:hAnsiTheme="minorHAnsi" w:cstheme="minorHAnsi"/>
                <w:b w:val="0"/>
                <w:bCs w:val="0"/>
                <w:sz w:val="20"/>
                <w:lang w:val="fr-FR"/>
              </w:rPr>
            </w:pPr>
            <w:r w:rsidRPr="00D310B9">
              <w:rPr>
                <w:rFonts w:asciiTheme="minorHAnsi" w:hAnsiTheme="minorHAnsi" w:cstheme="minorHAnsi"/>
                <w:b w:val="0"/>
                <w:bCs w:val="0"/>
                <w:sz w:val="20"/>
                <w:lang w:val="fr-FR"/>
              </w:rPr>
              <w:t xml:space="preserve">La mise en œuvre des résolutions et recommandations issues des réunions de </w:t>
            </w:r>
            <w:proofErr w:type="spellStart"/>
            <w:r w:rsidRPr="00D310B9">
              <w:rPr>
                <w:rFonts w:asciiTheme="minorHAnsi" w:hAnsiTheme="minorHAnsi" w:cstheme="minorHAnsi"/>
                <w:b w:val="0"/>
                <w:bCs w:val="0"/>
                <w:sz w:val="20"/>
                <w:lang w:val="fr-FR"/>
              </w:rPr>
              <w:t>PTFs</w:t>
            </w:r>
            <w:proofErr w:type="spellEnd"/>
            <w:r w:rsidRPr="00D310B9">
              <w:rPr>
                <w:rFonts w:asciiTheme="minorHAnsi" w:hAnsiTheme="minorHAnsi" w:cstheme="minorHAnsi"/>
                <w:b w:val="0"/>
                <w:bCs w:val="0"/>
                <w:sz w:val="20"/>
                <w:lang w:val="fr-FR"/>
              </w:rPr>
              <w:t xml:space="preserve"> est suivie de façon régulière jusqu’à leur terme, avec le cas échéant des rappels et réajustements</w:t>
            </w:r>
            <w:r w:rsidR="004D5DDB" w:rsidRPr="00D310B9">
              <w:rPr>
                <w:rFonts w:asciiTheme="minorHAnsi" w:hAnsiTheme="minorHAnsi" w:cstheme="minorHAnsi"/>
                <w:b w:val="0"/>
                <w:bCs w:val="0"/>
                <w:sz w:val="20"/>
                <w:lang w:val="fr-FR"/>
              </w:rPr>
              <w:t> ;</w:t>
            </w:r>
          </w:p>
          <w:p w14:paraId="60FDA0CB" w14:textId="3BF65A36" w:rsidR="005E2807" w:rsidRPr="00D310B9" w:rsidRDefault="005E2807" w:rsidP="007D7C8D">
            <w:pPr>
              <w:pStyle w:val="Caption"/>
              <w:numPr>
                <w:ilvl w:val="0"/>
                <w:numId w:val="7"/>
              </w:numPr>
              <w:rPr>
                <w:rFonts w:asciiTheme="minorHAnsi" w:hAnsiTheme="minorHAnsi" w:cstheme="minorHAnsi"/>
                <w:b w:val="0"/>
                <w:bCs w:val="0"/>
                <w:sz w:val="20"/>
                <w:lang w:val="fr-FR"/>
              </w:rPr>
            </w:pPr>
            <w:r w:rsidRPr="00D310B9">
              <w:rPr>
                <w:rFonts w:asciiTheme="minorHAnsi" w:hAnsiTheme="minorHAnsi" w:cstheme="minorHAnsi"/>
                <w:b w:val="0"/>
                <w:bCs w:val="0"/>
                <w:sz w:val="20"/>
                <w:lang w:val="fr-FR"/>
              </w:rPr>
              <w:t xml:space="preserve">Les </w:t>
            </w:r>
            <w:proofErr w:type="spellStart"/>
            <w:r w:rsidRPr="00D310B9">
              <w:rPr>
                <w:rFonts w:asciiTheme="minorHAnsi" w:hAnsiTheme="minorHAnsi" w:cstheme="minorHAnsi"/>
                <w:b w:val="0"/>
                <w:bCs w:val="0"/>
                <w:sz w:val="20"/>
                <w:lang w:val="fr-FR"/>
              </w:rPr>
              <w:t>PTFs</w:t>
            </w:r>
            <w:proofErr w:type="spellEnd"/>
            <w:r w:rsidRPr="00D310B9">
              <w:rPr>
                <w:rFonts w:asciiTheme="minorHAnsi" w:hAnsiTheme="minorHAnsi" w:cstheme="minorHAnsi"/>
                <w:b w:val="0"/>
                <w:bCs w:val="0"/>
                <w:sz w:val="20"/>
                <w:lang w:val="fr-FR"/>
              </w:rPr>
              <w:t xml:space="preserve"> EEA participent activement au dialogue sectoriel et à tous les exercices de revue des programmes du secteur et de la politique nationale de développement</w:t>
            </w:r>
            <w:r w:rsidR="004D5DDB" w:rsidRPr="00D310B9">
              <w:rPr>
                <w:rFonts w:asciiTheme="minorHAnsi" w:hAnsiTheme="minorHAnsi" w:cstheme="minorHAnsi"/>
                <w:b w:val="0"/>
                <w:bCs w:val="0"/>
                <w:sz w:val="20"/>
                <w:lang w:val="fr-FR"/>
              </w:rPr>
              <w:t>.</w:t>
            </w:r>
          </w:p>
        </w:tc>
      </w:tr>
      <w:tr w:rsidR="0083062A" w:rsidRPr="00C27AAD" w14:paraId="6C78097C" w14:textId="77777777" w:rsidTr="00C67447">
        <w:tc>
          <w:tcPr>
            <w:tcW w:w="10833" w:type="dxa"/>
            <w:gridSpan w:val="2"/>
          </w:tcPr>
          <w:p w14:paraId="41880FCA" w14:textId="77777777" w:rsidR="0083062A" w:rsidRPr="00D310B9" w:rsidRDefault="0083062A" w:rsidP="007D7C8D">
            <w:pPr>
              <w:numPr>
                <w:ilvl w:val="0"/>
                <w:numId w:val="5"/>
              </w:numPr>
              <w:spacing w:line="260" w:lineRule="exact"/>
              <w:rPr>
                <w:rFonts w:asciiTheme="minorHAnsi" w:hAnsiTheme="minorHAnsi" w:cstheme="minorHAnsi"/>
                <w:b/>
                <w:sz w:val="20"/>
                <w:lang w:val="fr-FR"/>
              </w:rPr>
            </w:pPr>
            <w:r w:rsidRPr="00D310B9">
              <w:rPr>
                <w:rFonts w:asciiTheme="minorHAnsi" w:hAnsiTheme="minorHAnsi" w:cstheme="minorHAnsi"/>
                <w:b/>
                <w:sz w:val="20"/>
                <w:lang w:val="fr-FR"/>
              </w:rPr>
              <w:t>Livrables</w:t>
            </w:r>
          </w:p>
          <w:p w14:paraId="2F73B78B" w14:textId="5960CDF3" w:rsidR="0083062A" w:rsidRPr="00D310B9" w:rsidRDefault="00C67447" w:rsidP="007D7C8D">
            <w:pPr>
              <w:numPr>
                <w:ilvl w:val="0"/>
                <w:numId w:val="1"/>
              </w:numPr>
              <w:spacing w:line="260" w:lineRule="exact"/>
              <w:rPr>
                <w:rFonts w:asciiTheme="minorHAnsi" w:hAnsiTheme="minorHAnsi" w:cstheme="minorHAnsi"/>
                <w:b/>
                <w:color w:val="0070C0"/>
                <w:sz w:val="20"/>
                <w:lang w:val="fr-FR"/>
              </w:rPr>
            </w:pPr>
            <w:r w:rsidRPr="00D310B9">
              <w:rPr>
                <w:rFonts w:asciiTheme="minorHAnsi" w:hAnsiTheme="minorHAnsi" w:cstheme="minorHAnsi"/>
                <w:b/>
                <w:color w:val="0070C0"/>
                <w:sz w:val="20"/>
                <w:lang w:val="fr-FR"/>
              </w:rPr>
              <w:t>LIVRABLES CLÉS/CALENDRIER/CALENDRIER DE PAIEMENT</w:t>
            </w:r>
          </w:p>
          <w:p w14:paraId="7E27999D" w14:textId="77777777" w:rsidR="006F7DE6" w:rsidRPr="00D310B9" w:rsidRDefault="006F7DE6" w:rsidP="006F7DE6">
            <w:pPr>
              <w:spacing w:line="260" w:lineRule="exact"/>
              <w:ind w:left="410"/>
              <w:rPr>
                <w:rFonts w:asciiTheme="minorHAnsi" w:hAnsiTheme="minorHAnsi" w:cstheme="minorHAnsi"/>
                <w:b/>
                <w:color w:val="0070C0"/>
                <w:sz w:val="20"/>
                <w:lang w:val="fr-FR"/>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6521"/>
              <w:gridCol w:w="1560"/>
              <w:gridCol w:w="1882"/>
            </w:tblGrid>
            <w:tr w:rsidR="007875E6" w:rsidRPr="00D310B9" w14:paraId="039300FB" w14:textId="77777777" w:rsidTr="0055467E">
              <w:trPr>
                <w:trHeight w:val="304"/>
                <w:jc w:val="center"/>
              </w:trPr>
              <w:tc>
                <w:tcPr>
                  <w:tcW w:w="210" w:type="pct"/>
                  <w:shd w:val="clear" w:color="000000" w:fill="C6D9F1"/>
                  <w:vAlign w:val="center"/>
                  <w:hideMark/>
                </w:tcPr>
                <w:p w14:paraId="3FDE8266" w14:textId="77777777" w:rsidR="007875E6" w:rsidRPr="00D310B9" w:rsidRDefault="007875E6" w:rsidP="007875E6">
                  <w:pPr>
                    <w:jc w:val="center"/>
                    <w:rPr>
                      <w:rFonts w:asciiTheme="minorHAnsi" w:hAnsiTheme="minorHAnsi" w:cstheme="minorHAnsi"/>
                      <w:color w:val="000000"/>
                      <w:sz w:val="20"/>
                      <w:lang w:val="en-US"/>
                    </w:rPr>
                  </w:pPr>
                  <w:r w:rsidRPr="00D310B9">
                    <w:rPr>
                      <w:rFonts w:asciiTheme="minorHAnsi" w:hAnsiTheme="minorHAnsi" w:cstheme="minorHAnsi"/>
                      <w:color w:val="000000"/>
                      <w:sz w:val="20"/>
                    </w:rPr>
                    <w:t>#</w:t>
                  </w:r>
                </w:p>
              </w:tc>
              <w:tc>
                <w:tcPr>
                  <w:tcW w:w="3135" w:type="pct"/>
                  <w:shd w:val="clear" w:color="000000" w:fill="C6D9F1"/>
                  <w:vAlign w:val="center"/>
                  <w:hideMark/>
                </w:tcPr>
                <w:p w14:paraId="563D4A03" w14:textId="77777777" w:rsidR="007875E6" w:rsidRPr="00D310B9" w:rsidRDefault="007875E6" w:rsidP="007875E6">
                  <w:pPr>
                    <w:rPr>
                      <w:rFonts w:asciiTheme="minorHAnsi" w:hAnsiTheme="minorHAnsi" w:cstheme="minorHAnsi"/>
                      <w:color w:val="000000"/>
                      <w:sz w:val="20"/>
                      <w:lang w:val="en-US"/>
                    </w:rPr>
                  </w:pPr>
                  <w:proofErr w:type="spellStart"/>
                  <w:r w:rsidRPr="00D310B9">
                    <w:rPr>
                      <w:rFonts w:asciiTheme="minorHAnsi" w:hAnsiTheme="minorHAnsi" w:cstheme="minorHAnsi"/>
                      <w:color w:val="000000"/>
                      <w:sz w:val="20"/>
                    </w:rPr>
                    <w:t>Livrables</w:t>
                  </w:r>
                  <w:proofErr w:type="spellEnd"/>
                </w:p>
              </w:tc>
              <w:tc>
                <w:tcPr>
                  <w:tcW w:w="750" w:type="pct"/>
                  <w:shd w:val="clear" w:color="000000" w:fill="C6D9F1"/>
                  <w:vAlign w:val="center"/>
                  <w:hideMark/>
                </w:tcPr>
                <w:p w14:paraId="084D2F75" w14:textId="77777777" w:rsidR="007875E6" w:rsidRPr="00D310B9" w:rsidRDefault="007875E6" w:rsidP="0055467E">
                  <w:pPr>
                    <w:jc w:val="left"/>
                    <w:rPr>
                      <w:rFonts w:asciiTheme="minorHAnsi" w:hAnsiTheme="minorHAnsi" w:cstheme="minorHAnsi"/>
                      <w:color w:val="000000"/>
                      <w:sz w:val="20"/>
                      <w:lang w:val="en-US"/>
                    </w:rPr>
                  </w:pPr>
                  <w:proofErr w:type="spellStart"/>
                  <w:r w:rsidRPr="00D310B9">
                    <w:rPr>
                      <w:rFonts w:asciiTheme="minorHAnsi" w:hAnsiTheme="minorHAnsi" w:cstheme="minorHAnsi"/>
                      <w:color w:val="000000"/>
                      <w:sz w:val="20"/>
                    </w:rPr>
                    <w:t>Périodicité</w:t>
                  </w:r>
                  <w:proofErr w:type="spellEnd"/>
                </w:p>
              </w:tc>
              <w:tc>
                <w:tcPr>
                  <w:tcW w:w="905" w:type="pct"/>
                  <w:shd w:val="clear" w:color="000000" w:fill="C6D9F1"/>
                  <w:vAlign w:val="center"/>
                  <w:hideMark/>
                </w:tcPr>
                <w:p w14:paraId="1422513B" w14:textId="77777777" w:rsidR="007875E6" w:rsidRPr="00D310B9" w:rsidRDefault="007875E6" w:rsidP="007875E6">
                  <w:pPr>
                    <w:jc w:val="center"/>
                    <w:rPr>
                      <w:rFonts w:asciiTheme="minorHAnsi" w:hAnsiTheme="minorHAnsi" w:cstheme="minorHAnsi"/>
                      <w:color w:val="000000"/>
                      <w:sz w:val="20"/>
                      <w:lang w:val="en-US"/>
                    </w:rPr>
                  </w:pPr>
                  <w:proofErr w:type="spellStart"/>
                  <w:r w:rsidRPr="00D310B9">
                    <w:rPr>
                      <w:rFonts w:asciiTheme="minorHAnsi" w:hAnsiTheme="minorHAnsi" w:cstheme="minorHAnsi"/>
                      <w:color w:val="000000"/>
                      <w:sz w:val="20"/>
                    </w:rPr>
                    <w:t>Echéancier</w:t>
                  </w:r>
                  <w:proofErr w:type="spellEnd"/>
                  <w:r w:rsidRPr="00D310B9">
                    <w:rPr>
                      <w:rFonts w:asciiTheme="minorHAnsi" w:hAnsiTheme="minorHAnsi" w:cstheme="minorHAnsi"/>
                      <w:color w:val="000000"/>
                      <w:sz w:val="20"/>
                    </w:rPr>
                    <w:t xml:space="preserve"> de </w:t>
                  </w:r>
                  <w:proofErr w:type="spellStart"/>
                  <w:r w:rsidRPr="00D310B9">
                    <w:rPr>
                      <w:rFonts w:asciiTheme="minorHAnsi" w:hAnsiTheme="minorHAnsi" w:cstheme="minorHAnsi"/>
                      <w:color w:val="000000"/>
                      <w:sz w:val="20"/>
                    </w:rPr>
                    <w:t>paiement</w:t>
                  </w:r>
                  <w:proofErr w:type="spellEnd"/>
                </w:p>
              </w:tc>
            </w:tr>
            <w:tr w:rsidR="002616B6" w:rsidRPr="00D310B9" w14:paraId="7C2E3363" w14:textId="77777777" w:rsidTr="0055467E">
              <w:trPr>
                <w:trHeight w:val="541"/>
                <w:jc w:val="center"/>
              </w:trPr>
              <w:tc>
                <w:tcPr>
                  <w:tcW w:w="210" w:type="pct"/>
                  <w:shd w:val="clear" w:color="auto" w:fill="auto"/>
                  <w:vAlign w:val="center"/>
                </w:tcPr>
                <w:p w14:paraId="399947AB" w14:textId="77777777" w:rsidR="002616B6" w:rsidRPr="00D310B9" w:rsidRDefault="002616B6" w:rsidP="007D7C8D">
                  <w:pPr>
                    <w:pStyle w:val="ListParagraph"/>
                    <w:numPr>
                      <w:ilvl w:val="0"/>
                      <w:numId w:val="4"/>
                    </w:numPr>
                    <w:jc w:val="left"/>
                    <w:rPr>
                      <w:rFonts w:asciiTheme="minorHAnsi" w:hAnsiTheme="minorHAnsi" w:cstheme="minorHAnsi"/>
                      <w:color w:val="000000"/>
                      <w:sz w:val="20"/>
                      <w:lang w:val="en-US"/>
                    </w:rPr>
                  </w:pPr>
                </w:p>
              </w:tc>
              <w:tc>
                <w:tcPr>
                  <w:tcW w:w="3135" w:type="pct"/>
                  <w:shd w:val="clear" w:color="auto" w:fill="auto"/>
                  <w:vAlign w:val="center"/>
                </w:tcPr>
                <w:p w14:paraId="485F4496" w14:textId="178AB82C" w:rsidR="002616B6" w:rsidRPr="00D310B9" w:rsidRDefault="002616B6" w:rsidP="002616B6">
                  <w:pPr>
                    <w:rPr>
                      <w:rFonts w:asciiTheme="minorHAnsi" w:hAnsiTheme="minorHAnsi" w:cstheme="minorHAnsi"/>
                      <w:sz w:val="20"/>
                      <w:lang w:val="fr-FR"/>
                    </w:rPr>
                  </w:pPr>
                  <w:r w:rsidRPr="00D310B9">
                    <w:rPr>
                      <w:rFonts w:asciiTheme="minorHAnsi" w:hAnsiTheme="minorHAnsi" w:cstheme="minorHAnsi"/>
                      <w:sz w:val="20"/>
                      <w:lang w:val="fr-FR"/>
                    </w:rPr>
                    <w:t xml:space="preserve">Préparer la lettre de mission à l’attention des </w:t>
                  </w:r>
                  <w:proofErr w:type="spellStart"/>
                  <w:r w:rsidRPr="00D310B9">
                    <w:rPr>
                      <w:rFonts w:asciiTheme="minorHAnsi" w:hAnsiTheme="minorHAnsi" w:cstheme="minorHAnsi"/>
                      <w:sz w:val="20"/>
                      <w:lang w:val="fr-FR"/>
                    </w:rPr>
                    <w:t>PTFs</w:t>
                  </w:r>
                  <w:proofErr w:type="spellEnd"/>
                  <w:r w:rsidRPr="00D310B9">
                    <w:rPr>
                      <w:rFonts w:asciiTheme="minorHAnsi" w:hAnsiTheme="minorHAnsi" w:cstheme="minorHAnsi"/>
                      <w:sz w:val="20"/>
                      <w:lang w:val="fr-FR"/>
                    </w:rPr>
                    <w:t xml:space="preserve"> et prendre en compte leurs attentes</w:t>
                  </w:r>
                </w:p>
              </w:tc>
              <w:tc>
                <w:tcPr>
                  <w:tcW w:w="750" w:type="pct"/>
                  <w:shd w:val="clear" w:color="auto" w:fill="auto"/>
                </w:tcPr>
                <w:p w14:paraId="09D703B0" w14:textId="454039C1" w:rsidR="002616B6" w:rsidRPr="00D310B9" w:rsidRDefault="002616B6" w:rsidP="002616B6">
                  <w:pPr>
                    <w:jc w:val="left"/>
                    <w:rPr>
                      <w:rFonts w:asciiTheme="minorHAnsi" w:hAnsiTheme="minorHAnsi" w:cstheme="minorHAnsi"/>
                      <w:sz w:val="20"/>
                      <w:lang w:val="fr-FR"/>
                    </w:rPr>
                  </w:pPr>
                  <w:r w:rsidRPr="00D310B9">
                    <w:rPr>
                      <w:rFonts w:asciiTheme="minorHAnsi" w:hAnsiTheme="minorHAnsi" w:cstheme="minorHAnsi"/>
                      <w:sz w:val="20"/>
                      <w:lang w:val="fr-FR"/>
                    </w:rPr>
                    <w:t>En début de mandat</w:t>
                  </w:r>
                </w:p>
              </w:tc>
              <w:tc>
                <w:tcPr>
                  <w:tcW w:w="905" w:type="pct"/>
                  <w:vMerge w:val="restart"/>
                  <w:shd w:val="clear" w:color="auto" w:fill="auto"/>
                  <w:vAlign w:val="center"/>
                  <w:hideMark/>
                </w:tcPr>
                <w:p w14:paraId="18B53E92" w14:textId="77777777" w:rsidR="002616B6" w:rsidRPr="00D310B9" w:rsidRDefault="002616B6" w:rsidP="0055467E">
                  <w:pPr>
                    <w:jc w:val="center"/>
                    <w:rPr>
                      <w:rFonts w:asciiTheme="minorHAnsi" w:hAnsiTheme="minorHAnsi" w:cstheme="minorHAnsi"/>
                      <w:color w:val="000000"/>
                      <w:sz w:val="20"/>
                      <w:lang w:val="en-US"/>
                    </w:rPr>
                  </w:pPr>
                  <w:proofErr w:type="spellStart"/>
                  <w:r w:rsidRPr="00D310B9">
                    <w:rPr>
                      <w:rFonts w:asciiTheme="minorHAnsi" w:hAnsiTheme="minorHAnsi" w:cstheme="minorHAnsi"/>
                      <w:color w:val="000000"/>
                      <w:sz w:val="20"/>
                      <w:lang w:val="en-US"/>
                    </w:rPr>
                    <w:t>Mensuel</w:t>
                  </w:r>
                  <w:proofErr w:type="spellEnd"/>
                </w:p>
              </w:tc>
            </w:tr>
            <w:tr w:rsidR="002616B6" w:rsidRPr="00D310B9" w14:paraId="2472D68E" w14:textId="77777777" w:rsidTr="00FB4933">
              <w:trPr>
                <w:trHeight w:val="541"/>
                <w:jc w:val="center"/>
              </w:trPr>
              <w:tc>
                <w:tcPr>
                  <w:tcW w:w="210" w:type="pct"/>
                  <w:shd w:val="clear" w:color="auto" w:fill="auto"/>
                  <w:vAlign w:val="center"/>
                </w:tcPr>
                <w:p w14:paraId="137660B1" w14:textId="77777777" w:rsidR="002616B6" w:rsidRPr="00D310B9" w:rsidRDefault="002616B6" w:rsidP="007D7C8D">
                  <w:pPr>
                    <w:pStyle w:val="ListParagraph"/>
                    <w:numPr>
                      <w:ilvl w:val="0"/>
                      <w:numId w:val="4"/>
                    </w:numPr>
                    <w:jc w:val="left"/>
                    <w:rPr>
                      <w:rFonts w:asciiTheme="minorHAnsi" w:hAnsiTheme="minorHAnsi" w:cstheme="minorHAnsi"/>
                      <w:color w:val="000000"/>
                      <w:sz w:val="20"/>
                    </w:rPr>
                  </w:pPr>
                </w:p>
              </w:tc>
              <w:tc>
                <w:tcPr>
                  <w:tcW w:w="3135" w:type="pct"/>
                  <w:shd w:val="clear" w:color="auto" w:fill="auto"/>
                  <w:vAlign w:val="center"/>
                </w:tcPr>
                <w:p w14:paraId="3F68265D" w14:textId="53D2BF80" w:rsidR="002616B6" w:rsidRPr="00D310B9" w:rsidRDefault="004D5DDB" w:rsidP="002616B6">
                  <w:pPr>
                    <w:rPr>
                      <w:rFonts w:asciiTheme="minorHAnsi" w:eastAsia="Times" w:hAnsiTheme="minorHAnsi" w:cstheme="minorHAnsi"/>
                      <w:sz w:val="20"/>
                      <w:lang w:val="fr-FR" w:eastAsia="en-GB"/>
                    </w:rPr>
                  </w:pPr>
                  <w:r w:rsidRPr="00D310B9">
                    <w:rPr>
                      <w:rFonts w:asciiTheme="minorHAnsi" w:eastAsia="Times" w:hAnsiTheme="minorHAnsi" w:cstheme="minorHAnsi"/>
                      <w:sz w:val="20"/>
                      <w:lang w:val="fr-FR" w:eastAsia="en-GB"/>
                    </w:rPr>
                    <w:t>P</w:t>
                  </w:r>
                  <w:r w:rsidR="00432A7D" w:rsidRPr="00D310B9">
                    <w:rPr>
                      <w:rFonts w:asciiTheme="minorHAnsi" w:eastAsia="Times" w:hAnsiTheme="minorHAnsi" w:cstheme="minorHAnsi"/>
                      <w:sz w:val="20"/>
                      <w:lang w:val="fr-FR" w:eastAsia="en-GB"/>
                    </w:rPr>
                    <w:t xml:space="preserve">réparer </w:t>
                  </w:r>
                  <w:r w:rsidR="0045094C" w:rsidRPr="00D310B9">
                    <w:rPr>
                      <w:rFonts w:asciiTheme="minorHAnsi" w:eastAsia="Times" w:hAnsiTheme="minorHAnsi" w:cstheme="minorHAnsi"/>
                      <w:sz w:val="20"/>
                      <w:lang w:val="fr-FR" w:eastAsia="en-GB"/>
                    </w:rPr>
                    <w:t xml:space="preserve">un agenda </w:t>
                  </w:r>
                  <w:r w:rsidR="00457631" w:rsidRPr="00D310B9">
                    <w:rPr>
                      <w:rFonts w:asciiTheme="minorHAnsi" w:eastAsia="Times" w:hAnsiTheme="minorHAnsi" w:cstheme="minorHAnsi"/>
                      <w:sz w:val="20"/>
                      <w:lang w:val="fr-FR" w:eastAsia="en-GB"/>
                    </w:rPr>
                    <w:t>détaillé de la mission</w:t>
                  </w:r>
                </w:p>
              </w:tc>
              <w:tc>
                <w:tcPr>
                  <w:tcW w:w="750" w:type="pct"/>
                  <w:shd w:val="clear" w:color="auto" w:fill="auto"/>
                </w:tcPr>
                <w:p w14:paraId="1994A33E" w14:textId="142FE1F1" w:rsidR="002616B6" w:rsidRPr="00D310B9" w:rsidRDefault="0027345D" w:rsidP="002616B6">
                  <w:pPr>
                    <w:jc w:val="left"/>
                    <w:rPr>
                      <w:rFonts w:asciiTheme="minorHAnsi" w:hAnsiTheme="minorHAnsi" w:cstheme="minorHAnsi"/>
                      <w:sz w:val="20"/>
                      <w:lang w:val="fr-FR"/>
                    </w:rPr>
                  </w:pPr>
                  <w:r w:rsidRPr="00D310B9">
                    <w:rPr>
                      <w:rFonts w:asciiTheme="minorHAnsi" w:hAnsiTheme="minorHAnsi" w:cstheme="minorHAnsi"/>
                      <w:sz w:val="20"/>
                      <w:lang w:val="fr-FR"/>
                    </w:rPr>
                    <w:t>En début de mandat</w:t>
                  </w:r>
                </w:p>
              </w:tc>
              <w:tc>
                <w:tcPr>
                  <w:tcW w:w="905" w:type="pct"/>
                  <w:vMerge/>
                  <w:shd w:val="clear" w:color="auto" w:fill="auto"/>
                  <w:vAlign w:val="center"/>
                </w:tcPr>
                <w:p w14:paraId="764732C0" w14:textId="77777777" w:rsidR="002616B6" w:rsidRPr="00D310B9" w:rsidRDefault="002616B6" w:rsidP="002616B6">
                  <w:pPr>
                    <w:jc w:val="center"/>
                    <w:rPr>
                      <w:rFonts w:asciiTheme="minorHAnsi" w:hAnsiTheme="minorHAnsi" w:cstheme="minorHAnsi"/>
                      <w:color w:val="000000"/>
                      <w:sz w:val="20"/>
                      <w:lang w:val="fr-FR"/>
                    </w:rPr>
                  </w:pPr>
                </w:p>
              </w:tc>
            </w:tr>
            <w:tr w:rsidR="00DA239B" w:rsidRPr="00C27AAD" w14:paraId="3068B09D" w14:textId="77777777" w:rsidTr="00FB4933">
              <w:trPr>
                <w:trHeight w:val="60"/>
                <w:jc w:val="center"/>
              </w:trPr>
              <w:tc>
                <w:tcPr>
                  <w:tcW w:w="210" w:type="pct"/>
                  <w:shd w:val="clear" w:color="auto" w:fill="auto"/>
                  <w:vAlign w:val="center"/>
                </w:tcPr>
                <w:p w14:paraId="649DC127" w14:textId="77777777" w:rsidR="00DA239B" w:rsidRPr="00D310B9" w:rsidRDefault="00DA239B" w:rsidP="007D7C8D">
                  <w:pPr>
                    <w:pStyle w:val="ListParagraph"/>
                    <w:numPr>
                      <w:ilvl w:val="0"/>
                      <w:numId w:val="4"/>
                    </w:numPr>
                    <w:jc w:val="left"/>
                    <w:rPr>
                      <w:rFonts w:asciiTheme="minorHAnsi" w:hAnsiTheme="minorHAnsi" w:cstheme="minorHAnsi"/>
                      <w:color w:val="000000"/>
                      <w:sz w:val="20"/>
                      <w:lang w:val="fr-FR"/>
                    </w:rPr>
                  </w:pPr>
                </w:p>
              </w:tc>
              <w:tc>
                <w:tcPr>
                  <w:tcW w:w="3135" w:type="pct"/>
                  <w:shd w:val="clear" w:color="auto" w:fill="auto"/>
                  <w:vAlign w:val="center"/>
                </w:tcPr>
                <w:p w14:paraId="1307DE85" w14:textId="11A9B73C" w:rsidR="00DA239B" w:rsidRPr="00D310B9" w:rsidRDefault="00DA239B" w:rsidP="00DA239B">
                  <w:pPr>
                    <w:rPr>
                      <w:rFonts w:asciiTheme="minorHAnsi" w:hAnsiTheme="minorHAnsi" w:cstheme="minorHAnsi"/>
                      <w:sz w:val="20"/>
                      <w:lang w:val="fr-FR"/>
                    </w:rPr>
                  </w:pPr>
                  <w:r w:rsidRPr="00D310B9">
                    <w:rPr>
                      <w:rFonts w:asciiTheme="minorHAnsi" w:hAnsiTheme="minorHAnsi" w:cstheme="minorHAnsi"/>
                      <w:sz w:val="20"/>
                      <w:lang w:val="fr-FR"/>
                    </w:rPr>
                    <w:t xml:space="preserve">Commentaires consolidés de l’ensemble des </w:t>
                  </w:r>
                  <w:proofErr w:type="spellStart"/>
                  <w:r w:rsidRPr="00D310B9">
                    <w:rPr>
                      <w:rFonts w:asciiTheme="minorHAnsi" w:hAnsiTheme="minorHAnsi" w:cstheme="minorHAnsi"/>
                      <w:sz w:val="20"/>
                      <w:lang w:val="fr-FR"/>
                    </w:rPr>
                    <w:t>PTFs</w:t>
                  </w:r>
                  <w:proofErr w:type="spellEnd"/>
                </w:p>
              </w:tc>
              <w:tc>
                <w:tcPr>
                  <w:tcW w:w="750" w:type="pct"/>
                  <w:shd w:val="clear" w:color="auto" w:fill="auto"/>
                </w:tcPr>
                <w:p w14:paraId="2FF056A1" w14:textId="7AF00D66" w:rsidR="00DA239B" w:rsidRPr="00D310B9" w:rsidRDefault="00DA239B" w:rsidP="00DA239B">
                  <w:pPr>
                    <w:jc w:val="left"/>
                    <w:rPr>
                      <w:rFonts w:asciiTheme="minorHAnsi" w:hAnsiTheme="minorHAnsi" w:cstheme="minorHAnsi"/>
                      <w:sz w:val="20"/>
                      <w:lang w:val="fr-FR"/>
                    </w:rPr>
                  </w:pPr>
                  <w:r w:rsidRPr="00D310B9">
                    <w:rPr>
                      <w:rFonts w:asciiTheme="minorHAnsi" w:hAnsiTheme="minorHAnsi" w:cstheme="minorHAnsi"/>
                      <w:sz w:val="20"/>
                      <w:lang w:val="fr-FR"/>
                    </w:rPr>
                    <w:t>Chaque fois que de besoin</w:t>
                  </w:r>
                </w:p>
              </w:tc>
              <w:tc>
                <w:tcPr>
                  <w:tcW w:w="905" w:type="pct"/>
                  <w:vMerge/>
                  <w:vAlign w:val="center"/>
                  <w:hideMark/>
                </w:tcPr>
                <w:p w14:paraId="32382ED0" w14:textId="77777777" w:rsidR="00DA239B" w:rsidRPr="00D310B9" w:rsidRDefault="00DA239B" w:rsidP="00DA239B">
                  <w:pPr>
                    <w:jc w:val="left"/>
                    <w:rPr>
                      <w:rFonts w:asciiTheme="minorHAnsi" w:hAnsiTheme="minorHAnsi" w:cstheme="minorHAnsi"/>
                      <w:color w:val="000000"/>
                      <w:sz w:val="20"/>
                      <w:lang w:val="fr-FR"/>
                    </w:rPr>
                  </w:pPr>
                </w:p>
              </w:tc>
            </w:tr>
            <w:tr w:rsidR="00DA239B" w:rsidRPr="00C27AAD" w14:paraId="656D74D5" w14:textId="77777777" w:rsidTr="00FB4933">
              <w:trPr>
                <w:trHeight w:val="541"/>
                <w:jc w:val="center"/>
              </w:trPr>
              <w:tc>
                <w:tcPr>
                  <w:tcW w:w="210" w:type="pct"/>
                  <w:shd w:val="clear" w:color="auto" w:fill="auto"/>
                  <w:vAlign w:val="center"/>
                </w:tcPr>
                <w:p w14:paraId="3B4C42B7" w14:textId="77777777" w:rsidR="00DA239B" w:rsidRPr="00D310B9" w:rsidRDefault="00DA239B" w:rsidP="007D7C8D">
                  <w:pPr>
                    <w:pStyle w:val="ListParagraph"/>
                    <w:numPr>
                      <w:ilvl w:val="0"/>
                      <w:numId w:val="4"/>
                    </w:numPr>
                    <w:jc w:val="left"/>
                    <w:rPr>
                      <w:rFonts w:asciiTheme="minorHAnsi" w:hAnsiTheme="minorHAnsi" w:cstheme="minorHAnsi"/>
                      <w:color w:val="000000"/>
                      <w:sz w:val="20"/>
                      <w:lang w:val="fr-FR"/>
                    </w:rPr>
                  </w:pPr>
                </w:p>
              </w:tc>
              <w:tc>
                <w:tcPr>
                  <w:tcW w:w="3135" w:type="pct"/>
                  <w:shd w:val="clear" w:color="auto" w:fill="auto"/>
                  <w:vAlign w:val="center"/>
                </w:tcPr>
                <w:p w14:paraId="77A82B7D" w14:textId="36E7356A" w:rsidR="00DA239B" w:rsidRPr="00D310B9" w:rsidRDefault="00DA239B" w:rsidP="00DA239B">
                  <w:pPr>
                    <w:rPr>
                      <w:rFonts w:asciiTheme="minorHAnsi" w:hAnsiTheme="minorHAnsi" w:cstheme="minorHAnsi"/>
                      <w:sz w:val="20"/>
                      <w:lang w:val="fr-FR"/>
                    </w:rPr>
                  </w:pPr>
                  <w:r w:rsidRPr="00D310B9">
                    <w:rPr>
                      <w:rFonts w:asciiTheme="minorHAnsi" w:eastAsia="Times" w:hAnsiTheme="minorHAnsi" w:cstheme="minorHAnsi"/>
                      <w:sz w:val="20"/>
                      <w:lang w:val="fr-FR" w:eastAsia="en-GB"/>
                    </w:rPr>
                    <w:t xml:space="preserve">Ebauches de lettres officielles adressées au MENAPLN pour consultation des </w:t>
                  </w:r>
                  <w:proofErr w:type="spellStart"/>
                  <w:r w:rsidRPr="00D310B9">
                    <w:rPr>
                      <w:rFonts w:asciiTheme="minorHAnsi" w:eastAsia="Times" w:hAnsiTheme="minorHAnsi" w:cstheme="minorHAnsi"/>
                      <w:sz w:val="20"/>
                      <w:lang w:val="fr-FR" w:eastAsia="en-GB"/>
                    </w:rPr>
                    <w:t>PTFs</w:t>
                  </w:r>
                  <w:proofErr w:type="spellEnd"/>
                </w:p>
              </w:tc>
              <w:tc>
                <w:tcPr>
                  <w:tcW w:w="750" w:type="pct"/>
                  <w:shd w:val="clear" w:color="auto" w:fill="auto"/>
                  <w:vAlign w:val="center"/>
                  <w:hideMark/>
                </w:tcPr>
                <w:p w14:paraId="09993F6B" w14:textId="77777777" w:rsidR="00DA239B" w:rsidRPr="00D310B9" w:rsidRDefault="00DA239B" w:rsidP="00DA239B">
                  <w:pPr>
                    <w:jc w:val="left"/>
                    <w:rPr>
                      <w:rFonts w:asciiTheme="minorHAnsi" w:hAnsiTheme="minorHAnsi" w:cstheme="minorHAnsi"/>
                      <w:color w:val="000000"/>
                      <w:sz w:val="20"/>
                      <w:lang w:val="fr-FR"/>
                    </w:rPr>
                  </w:pPr>
                  <w:r w:rsidRPr="00D310B9">
                    <w:rPr>
                      <w:rFonts w:asciiTheme="minorHAnsi" w:hAnsiTheme="minorHAnsi" w:cstheme="minorHAnsi"/>
                      <w:color w:val="000000"/>
                      <w:sz w:val="20"/>
                      <w:lang w:val="fr-FR"/>
                    </w:rPr>
                    <w:t>Chaque fois que de besoin</w:t>
                  </w:r>
                </w:p>
              </w:tc>
              <w:tc>
                <w:tcPr>
                  <w:tcW w:w="905" w:type="pct"/>
                  <w:vMerge/>
                  <w:vAlign w:val="center"/>
                  <w:hideMark/>
                </w:tcPr>
                <w:p w14:paraId="572299A7" w14:textId="77777777" w:rsidR="00DA239B" w:rsidRPr="00D310B9" w:rsidRDefault="00DA239B" w:rsidP="00DA239B">
                  <w:pPr>
                    <w:jc w:val="left"/>
                    <w:rPr>
                      <w:rFonts w:asciiTheme="minorHAnsi" w:hAnsiTheme="minorHAnsi" w:cstheme="minorHAnsi"/>
                      <w:color w:val="000000"/>
                      <w:sz w:val="20"/>
                      <w:lang w:val="fr-FR"/>
                    </w:rPr>
                  </w:pPr>
                </w:p>
              </w:tc>
            </w:tr>
            <w:tr w:rsidR="00DA239B" w:rsidRPr="00C27AAD" w14:paraId="7AC0DC32" w14:textId="77777777" w:rsidTr="00FB4933">
              <w:trPr>
                <w:trHeight w:val="60"/>
                <w:jc w:val="center"/>
              </w:trPr>
              <w:tc>
                <w:tcPr>
                  <w:tcW w:w="210" w:type="pct"/>
                  <w:shd w:val="clear" w:color="auto" w:fill="auto"/>
                  <w:vAlign w:val="center"/>
                </w:tcPr>
                <w:p w14:paraId="3327EF10" w14:textId="77777777" w:rsidR="00DA239B" w:rsidRPr="00D310B9" w:rsidRDefault="00DA239B" w:rsidP="007D7C8D">
                  <w:pPr>
                    <w:pStyle w:val="ListParagraph"/>
                    <w:numPr>
                      <w:ilvl w:val="0"/>
                      <w:numId w:val="4"/>
                    </w:numPr>
                    <w:jc w:val="left"/>
                    <w:rPr>
                      <w:rFonts w:asciiTheme="minorHAnsi" w:hAnsiTheme="minorHAnsi" w:cstheme="minorHAnsi"/>
                      <w:color w:val="000000"/>
                      <w:sz w:val="20"/>
                      <w:lang w:val="fr-FR"/>
                    </w:rPr>
                  </w:pPr>
                </w:p>
              </w:tc>
              <w:tc>
                <w:tcPr>
                  <w:tcW w:w="3135" w:type="pct"/>
                  <w:shd w:val="clear" w:color="auto" w:fill="auto"/>
                  <w:vAlign w:val="center"/>
                  <w:hideMark/>
                </w:tcPr>
                <w:p w14:paraId="1E0B10EE" w14:textId="10CE7480" w:rsidR="00DA239B" w:rsidRPr="00D310B9" w:rsidRDefault="00DA239B" w:rsidP="00DA239B">
                  <w:pPr>
                    <w:rPr>
                      <w:rFonts w:asciiTheme="minorHAnsi" w:hAnsiTheme="minorHAnsi" w:cstheme="minorHAnsi"/>
                      <w:sz w:val="20"/>
                      <w:lang w:val="fr-FR"/>
                    </w:rPr>
                  </w:pPr>
                  <w:r w:rsidRPr="00D310B9">
                    <w:rPr>
                      <w:rFonts w:asciiTheme="minorHAnsi" w:eastAsia="Times" w:hAnsiTheme="minorHAnsi" w:cstheme="minorHAnsi"/>
                      <w:sz w:val="20"/>
                      <w:lang w:val="fr-FR" w:eastAsia="en-GB"/>
                    </w:rPr>
                    <w:t xml:space="preserve">Ebauches de discours pour divers évènements officiels en rassemblant les éléments de message souhaités par les </w:t>
                  </w:r>
                  <w:proofErr w:type="spellStart"/>
                  <w:r w:rsidRPr="00D310B9">
                    <w:rPr>
                      <w:rFonts w:asciiTheme="minorHAnsi" w:eastAsia="Times" w:hAnsiTheme="minorHAnsi" w:cstheme="minorHAnsi"/>
                      <w:sz w:val="20"/>
                      <w:lang w:val="fr-FR" w:eastAsia="en-GB"/>
                    </w:rPr>
                    <w:t>PTFs</w:t>
                  </w:r>
                  <w:proofErr w:type="spellEnd"/>
                </w:p>
              </w:tc>
              <w:tc>
                <w:tcPr>
                  <w:tcW w:w="750" w:type="pct"/>
                  <w:shd w:val="clear" w:color="auto" w:fill="auto"/>
                  <w:vAlign w:val="center"/>
                  <w:hideMark/>
                </w:tcPr>
                <w:p w14:paraId="29954551" w14:textId="77777777" w:rsidR="00DA239B" w:rsidRPr="00D310B9" w:rsidRDefault="00DA239B" w:rsidP="00DA239B">
                  <w:pPr>
                    <w:jc w:val="left"/>
                    <w:rPr>
                      <w:rFonts w:asciiTheme="minorHAnsi" w:hAnsiTheme="minorHAnsi" w:cstheme="minorHAnsi"/>
                      <w:color w:val="000000"/>
                      <w:sz w:val="20"/>
                      <w:lang w:val="fr-FR"/>
                    </w:rPr>
                  </w:pPr>
                  <w:r w:rsidRPr="00D310B9">
                    <w:rPr>
                      <w:rFonts w:asciiTheme="minorHAnsi" w:hAnsiTheme="minorHAnsi" w:cstheme="minorHAnsi"/>
                      <w:color w:val="000000"/>
                      <w:sz w:val="20"/>
                      <w:lang w:val="fr-FR"/>
                    </w:rPr>
                    <w:t>Chaque fois que de besoin</w:t>
                  </w:r>
                </w:p>
              </w:tc>
              <w:tc>
                <w:tcPr>
                  <w:tcW w:w="905" w:type="pct"/>
                  <w:vMerge/>
                  <w:vAlign w:val="center"/>
                  <w:hideMark/>
                </w:tcPr>
                <w:p w14:paraId="5E90F982" w14:textId="77777777" w:rsidR="00DA239B" w:rsidRPr="00D310B9" w:rsidRDefault="00DA239B" w:rsidP="00DA239B">
                  <w:pPr>
                    <w:jc w:val="left"/>
                    <w:rPr>
                      <w:rFonts w:asciiTheme="minorHAnsi" w:hAnsiTheme="minorHAnsi" w:cstheme="minorHAnsi"/>
                      <w:color w:val="000000"/>
                      <w:sz w:val="20"/>
                      <w:lang w:val="fr-FR"/>
                    </w:rPr>
                  </w:pPr>
                </w:p>
              </w:tc>
            </w:tr>
            <w:tr w:rsidR="00DA239B" w:rsidRPr="00D310B9" w14:paraId="2F74C21A" w14:textId="77777777" w:rsidTr="00FB4933">
              <w:trPr>
                <w:trHeight w:val="541"/>
                <w:jc w:val="center"/>
              </w:trPr>
              <w:tc>
                <w:tcPr>
                  <w:tcW w:w="210" w:type="pct"/>
                  <w:shd w:val="clear" w:color="auto" w:fill="auto"/>
                  <w:vAlign w:val="center"/>
                </w:tcPr>
                <w:p w14:paraId="53CC608D" w14:textId="77777777" w:rsidR="00DA239B" w:rsidRPr="00D310B9" w:rsidRDefault="00DA239B" w:rsidP="007D7C8D">
                  <w:pPr>
                    <w:pStyle w:val="ListParagraph"/>
                    <w:numPr>
                      <w:ilvl w:val="0"/>
                      <w:numId w:val="4"/>
                    </w:numPr>
                    <w:jc w:val="left"/>
                    <w:rPr>
                      <w:rFonts w:asciiTheme="minorHAnsi" w:hAnsiTheme="minorHAnsi" w:cstheme="minorHAnsi"/>
                      <w:color w:val="000000"/>
                      <w:sz w:val="20"/>
                      <w:lang w:val="fr-FR"/>
                    </w:rPr>
                  </w:pPr>
                </w:p>
              </w:tc>
              <w:tc>
                <w:tcPr>
                  <w:tcW w:w="3135" w:type="pct"/>
                  <w:shd w:val="clear" w:color="auto" w:fill="auto"/>
                  <w:vAlign w:val="center"/>
                </w:tcPr>
                <w:p w14:paraId="62A0DAC3" w14:textId="460A058E" w:rsidR="00DA239B" w:rsidRPr="00D310B9" w:rsidRDefault="00DA239B" w:rsidP="00DA239B">
                  <w:pPr>
                    <w:rPr>
                      <w:rFonts w:asciiTheme="minorHAnsi" w:hAnsiTheme="minorHAnsi" w:cstheme="minorHAnsi"/>
                      <w:sz w:val="20"/>
                      <w:lang w:val="fr-FR"/>
                    </w:rPr>
                  </w:pPr>
                  <w:r w:rsidRPr="00D310B9">
                    <w:rPr>
                      <w:rFonts w:asciiTheme="minorHAnsi" w:hAnsiTheme="minorHAnsi" w:cstheme="minorHAnsi"/>
                      <w:sz w:val="20"/>
                    </w:rPr>
                    <w:t xml:space="preserve">Rapports </w:t>
                  </w:r>
                  <w:proofErr w:type="spellStart"/>
                  <w:r w:rsidRPr="00D310B9">
                    <w:rPr>
                      <w:rFonts w:asciiTheme="minorHAnsi" w:hAnsiTheme="minorHAnsi" w:cstheme="minorHAnsi"/>
                      <w:sz w:val="20"/>
                    </w:rPr>
                    <w:t>mensuels</w:t>
                  </w:r>
                  <w:proofErr w:type="spellEnd"/>
                  <w:r w:rsidRPr="00D310B9">
                    <w:rPr>
                      <w:rFonts w:asciiTheme="minorHAnsi" w:hAnsiTheme="minorHAnsi" w:cstheme="minorHAnsi"/>
                      <w:sz w:val="20"/>
                    </w:rPr>
                    <w:t xml:space="preserve"> de </w:t>
                  </w:r>
                  <w:proofErr w:type="spellStart"/>
                  <w:r w:rsidRPr="00D310B9">
                    <w:rPr>
                      <w:rFonts w:asciiTheme="minorHAnsi" w:hAnsiTheme="minorHAnsi" w:cstheme="minorHAnsi"/>
                      <w:sz w:val="20"/>
                    </w:rPr>
                    <w:t>prestations</w:t>
                  </w:r>
                  <w:proofErr w:type="spellEnd"/>
                </w:p>
              </w:tc>
              <w:tc>
                <w:tcPr>
                  <w:tcW w:w="750" w:type="pct"/>
                  <w:shd w:val="clear" w:color="auto" w:fill="auto"/>
                  <w:vAlign w:val="center"/>
                  <w:hideMark/>
                </w:tcPr>
                <w:p w14:paraId="4FF54700" w14:textId="09BA3BF9" w:rsidR="00DA239B" w:rsidRPr="00D310B9" w:rsidRDefault="00DA239B" w:rsidP="00DA239B">
                  <w:pPr>
                    <w:jc w:val="left"/>
                    <w:rPr>
                      <w:rFonts w:asciiTheme="minorHAnsi" w:hAnsiTheme="minorHAnsi" w:cstheme="minorHAnsi"/>
                      <w:color w:val="000000"/>
                      <w:sz w:val="20"/>
                      <w:lang w:val="fr-FR"/>
                    </w:rPr>
                  </w:pPr>
                  <w:r w:rsidRPr="00D310B9">
                    <w:rPr>
                      <w:rFonts w:asciiTheme="minorHAnsi" w:hAnsiTheme="minorHAnsi" w:cstheme="minorHAnsi"/>
                      <w:color w:val="000000"/>
                      <w:sz w:val="20"/>
                      <w:lang w:val="fr-FR"/>
                    </w:rPr>
                    <w:t>Mensuel</w:t>
                  </w:r>
                </w:p>
              </w:tc>
              <w:tc>
                <w:tcPr>
                  <w:tcW w:w="905" w:type="pct"/>
                  <w:vMerge/>
                  <w:vAlign w:val="center"/>
                  <w:hideMark/>
                </w:tcPr>
                <w:p w14:paraId="0FB1B4E0" w14:textId="77777777" w:rsidR="00DA239B" w:rsidRPr="00D310B9" w:rsidRDefault="00DA239B" w:rsidP="00DA239B">
                  <w:pPr>
                    <w:jc w:val="left"/>
                    <w:rPr>
                      <w:rFonts w:asciiTheme="minorHAnsi" w:hAnsiTheme="minorHAnsi" w:cstheme="minorHAnsi"/>
                      <w:color w:val="000000"/>
                      <w:sz w:val="20"/>
                      <w:lang w:val="fr-FR"/>
                    </w:rPr>
                  </w:pPr>
                </w:p>
              </w:tc>
            </w:tr>
            <w:tr w:rsidR="00DA239B" w:rsidRPr="00C27AAD" w14:paraId="6526724B" w14:textId="77777777" w:rsidTr="00FB4933">
              <w:trPr>
                <w:trHeight w:val="812"/>
                <w:jc w:val="center"/>
              </w:trPr>
              <w:tc>
                <w:tcPr>
                  <w:tcW w:w="210" w:type="pct"/>
                  <w:shd w:val="clear" w:color="auto" w:fill="auto"/>
                  <w:vAlign w:val="center"/>
                </w:tcPr>
                <w:p w14:paraId="2D473949" w14:textId="77777777" w:rsidR="00DA239B" w:rsidRPr="00D310B9" w:rsidRDefault="00DA239B" w:rsidP="007D7C8D">
                  <w:pPr>
                    <w:pStyle w:val="ListParagraph"/>
                    <w:numPr>
                      <w:ilvl w:val="0"/>
                      <w:numId w:val="4"/>
                    </w:numPr>
                    <w:jc w:val="left"/>
                    <w:rPr>
                      <w:rFonts w:asciiTheme="minorHAnsi" w:hAnsiTheme="minorHAnsi" w:cstheme="minorHAnsi"/>
                      <w:color w:val="000000"/>
                      <w:sz w:val="20"/>
                      <w:lang w:val="fr-FR"/>
                    </w:rPr>
                  </w:pPr>
                </w:p>
              </w:tc>
              <w:tc>
                <w:tcPr>
                  <w:tcW w:w="3135" w:type="pct"/>
                  <w:shd w:val="clear" w:color="auto" w:fill="auto"/>
                  <w:vAlign w:val="center"/>
                </w:tcPr>
                <w:p w14:paraId="206D7732" w14:textId="5E6A1E58" w:rsidR="00DA239B" w:rsidRPr="00D310B9" w:rsidRDefault="00DA239B" w:rsidP="00DA239B">
                  <w:pPr>
                    <w:rPr>
                      <w:rFonts w:asciiTheme="minorHAnsi" w:hAnsiTheme="minorHAnsi" w:cstheme="minorHAnsi"/>
                      <w:sz w:val="20"/>
                      <w:lang w:val="fr-FR"/>
                    </w:rPr>
                  </w:pPr>
                  <w:r w:rsidRPr="00D310B9">
                    <w:rPr>
                      <w:rFonts w:asciiTheme="minorHAnsi" w:hAnsiTheme="minorHAnsi" w:cstheme="minorHAnsi"/>
                      <w:sz w:val="20"/>
                      <w:lang w:val="fr-FR"/>
                    </w:rPr>
                    <w:t xml:space="preserve">Un rapport final de la consultation incluant des recommandations pour la suite de la mission du chef de file des </w:t>
                  </w:r>
                  <w:proofErr w:type="spellStart"/>
                  <w:r w:rsidRPr="00D310B9">
                    <w:rPr>
                      <w:rFonts w:asciiTheme="minorHAnsi" w:hAnsiTheme="minorHAnsi" w:cstheme="minorHAnsi"/>
                      <w:sz w:val="20"/>
                      <w:lang w:val="fr-FR"/>
                    </w:rPr>
                    <w:t>PTFs</w:t>
                  </w:r>
                  <w:proofErr w:type="spellEnd"/>
                </w:p>
              </w:tc>
              <w:tc>
                <w:tcPr>
                  <w:tcW w:w="750" w:type="pct"/>
                  <w:shd w:val="clear" w:color="auto" w:fill="auto"/>
                  <w:vAlign w:val="center"/>
                  <w:hideMark/>
                </w:tcPr>
                <w:p w14:paraId="22826C31" w14:textId="521609DF" w:rsidR="00DA239B" w:rsidRPr="00D310B9" w:rsidRDefault="00FB4933" w:rsidP="00DA239B">
                  <w:pPr>
                    <w:jc w:val="left"/>
                    <w:rPr>
                      <w:rFonts w:asciiTheme="minorHAnsi" w:hAnsiTheme="minorHAnsi" w:cstheme="minorHAnsi"/>
                      <w:color w:val="000000"/>
                      <w:sz w:val="20"/>
                      <w:lang w:val="fr-FR"/>
                    </w:rPr>
                  </w:pPr>
                  <w:r w:rsidRPr="00D310B9">
                    <w:rPr>
                      <w:rFonts w:asciiTheme="minorHAnsi" w:hAnsiTheme="minorHAnsi" w:cstheme="minorHAnsi"/>
                      <w:color w:val="000000"/>
                      <w:sz w:val="20"/>
                      <w:lang w:val="fr-FR"/>
                    </w:rPr>
                    <w:t>A la fin de la consultation</w:t>
                  </w:r>
                </w:p>
              </w:tc>
              <w:tc>
                <w:tcPr>
                  <w:tcW w:w="905" w:type="pct"/>
                  <w:vMerge/>
                  <w:vAlign w:val="center"/>
                  <w:hideMark/>
                </w:tcPr>
                <w:p w14:paraId="007D6208" w14:textId="77777777" w:rsidR="00DA239B" w:rsidRPr="00D310B9" w:rsidRDefault="00DA239B" w:rsidP="00DA239B">
                  <w:pPr>
                    <w:jc w:val="left"/>
                    <w:rPr>
                      <w:rFonts w:asciiTheme="minorHAnsi" w:hAnsiTheme="minorHAnsi" w:cstheme="minorHAnsi"/>
                      <w:color w:val="000000"/>
                      <w:sz w:val="20"/>
                      <w:lang w:val="fr-FR"/>
                    </w:rPr>
                  </w:pPr>
                </w:p>
              </w:tc>
            </w:tr>
          </w:tbl>
          <w:p w14:paraId="2E6A8210" w14:textId="77777777" w:rsidR="0083062A" w:rsidRPr="00D310B9" w:rsidRDefault="0083062A" w:rsidP="0083062A">
            <w:pPr>
              <w:spacing w:line="260" w:lineRule="exact"/>
              <w:ind w:left="410"/>
              <w:rPr>
                <w:rFonts w:asciiTheme="minorHAnsi" w:hAnsiTheme="minorHAnsi" w:cstheme="minorHAnsi"/>
                <w:b/>
                <w:sz w:val="20"/>
                <w:lang w:val="fr-FR"/>
              </w:rPr>
            </w:pPr>
          </w:p>
          <w:p w14:paraId="0230CCAC" w14:textId="77777777" w:rsidR="00FC58DE" w:rsidRPr="00D310B9" w:rsidRDefault="00FC58DE" w:rsidP="00196535">
            <w:p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Outre les différents produits mentionnés ci-dessus et découlant des tâches spécifiques ci-haut mentionnés, l’Administrateur produira :</w:t>
            </w:r>
          </w:p>
          <w:p w14:paraId="2DB7658F" w14:textId="2E06A51D" w:rsidR="00FC58DE" w:rsidRPr="00D310B9" w:rsidRDefault="00FC58DE"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En fin de chaque mois, un Rapport synthèse sous la forme électronique sur les activités menées, les défis qui se posent au secteur et les points de vigilance qui devront faire l’objet de suivi au cours du mois suivant. Il devra également joindre en annexes tous les documents produits, puis les archiver ;</w:t>
            </w:r>
          </w:p>
          <w:p w14:paraId="433C7D81" w14:textId="0B21E36A" w:rsidR="0083062A" w:rsidRPr="00D310B9" w:rsidRDefault="00FC58DE"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En fin de mission, un rapport de bilan du mandat de chef de file sous la forme d’un rapport électronique et en format papier</w:t>
            </w:r>
            <w:r w:rsidR="001E17BC" w:rsidRPr="00D310B9">
              <w:rPr>
                <w:rFonts w:asciiTheme="minorHAnsi" w:hAnsiTheme="minorHAnsi" w:cstheme="minorHAnsi"/>
                <w:bCs/>
                <w:sz w:val="20"/>
                <w:lang w:val="fr-FR"/>
              </w:rPr>
              <w:t xml:space="preserve"> </w:t>
            </w:r>
            <w:r w:rsidRPr="00D310B9">
              <w:rPr>
                <w:rFonts w:asciiTheme="minorHAnsi" w:hAnsiTheme="minorHAnsi" w:cstheme="minorHAnsi"/>
                <w:bCs/>
                <w:sz w:val="20"/>
                <w:lang w:val="fr-FR"/>
              </w:rPr>
              <w:t xml:space="preserve">décrivant les activités menées, les difficultés, les leçons apprises et les perspectives en termes de recommandations à l’endroit des </w:t>
            </w:r>
            <w:proofErr w:type="spellStart"/>
            <w:r w:rsidRPr="00D310B9">
              <w:rPr>
                <w:rFonts w:asciiTheme="minorHAnsi" w:hAnsiTheme="minorHAnsi" w:cstheme="minorHAnsi"/>
                <w:bCs/>
                <w:sz w:val="20"/>
                <w:lang w:val="fr-FR"/>
              </w:rPr>
              <w:t>PTFs</w:t>
            </w:r>
            <w:proofErr w:type="spellEnd"/>
            <w:r w:rsidRPr="00D310B9">
              <w:rPr>
                <w:rFonts w:asciiTheme="minorHAnsi" w:hAnsiTheme="minorHAnsi" w:cstheme="minorHAnsi"/>
                <w:bCs/>
                <w:sz w:val="20"/>
                <w:lang w:val="fr-FR"/>
              </w:rPr>
              <w:t xml:space="preserve"> et du Chef de file entrant en fonction.</w:t>
            </w:r>
          </w:p>
          <w:p w14:paraId="4108D82C" w14:textId="77777777" w:rsidR="006A40BB" w:rsidRPr="00D310B9" w:rsidRDefault="006A40BB" w:rsidP="006A40BB">
            <w:pPr>
              <w:spacing w:line="260" w:lineRule="exact"/>
              <w:ind w:left="410"/>
              <w:rPr>
                <w:rFonts w:asciiTheme="minorHAnsi" w:hAnsiTheme="minorHAnsi" w:cstheme="minorHAnsi"/>
                <w:b/>
                <w:sz w:val="20"/>
                <w:lang w:val="fr-FR"/>
              </w:rPr>
            </w:pPr>
          </w:p>
          <w:p w14:paraId="6F0EF922" w14:textId="6B874FAF" w:rsidR="006A40BB" w:rsidRPr="00D310B9" w:rsidRDefault="006A40BB" w:rsidP="00196535">
            <w:pPr>
              <w:spacing w:line="260" w:lineRule="exact"/>
              <w:rPr>
                <w:rFonts w:asciiTheme="minorHAnsi" w:hAnsiTheme="minorHAnsi" w:cstheme="minorHAnsi"/>
                <w:b/>
                <w:sz w:val="20"/>
                <w:lang w:val="fr-FR"/>
              </w:rPr>
            </w:pPr>
            <w:r w:rsidRPr="00D310B9">
              <w:rPr>
                <w:rFonts w:asciiTheme="minorHAnsi" w:hAnsiTheme="minorHAnsi" w:cstheme="minorHAnsi"/>
                <w:b/>
                <w:sz w:val="20"/>
                <w:lang w:val="fr-FR"/>
              </w:rPr>
              <w:t>Résultats attendus :</w:t>
            </w:r>
          </w:p>
          <w:p w14:paraId="6DF38AD7" w14:textId="07AECCA7" w:rsidR="00196535" w:rsidRPr="00D310B9" w:rsidRDefault="006A40BB"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 xml:space="preserve">Les </w:t>
            </w:r>
            <w:proofErr w:type="spellStart"/>
            <w:r w:rsidRPr="00D310B9">
              <w:rPr>
                <w:rFonts w:asciiTheme="minorHAnsi" w:hAnsiTheme="minorHAnsi" w:cstheme="minorHAnsi"/>
                <w:bCs/>
                <w:sz w:val="20"/>
                <w:lang w:val="fr-FR"/>
              </w:rPr>
              <w:t>PTFs</w:t>
            </w:r>
            <w:proofErr w:type="spellEnd"/>
            <w:r w:rsidRPr="00D310B9">
              <w:rPr>
                <w:rFonts w:asciiTheme="minorHAnsi" w:hAnsiTheme="minorHAnsi" w:cstheme="minorHAnsi"/>
                <w:bCs/>
                <w:sz w:val="20"/>
                <w:lang w:val="fr-FR"/>
              </w:rPr>
              <w:t xml:space="preserve"> sont informés de toutes les avancées et développements majeurs en matière de législation et stratégies du gouvernement relatives au secteur EEA, et donnent leur positionnement par rapport à celles-ci</w:t>
            </w:r>
            <w:r w:rsidR="00196535" w:rsidRPr="00D310B9">
              <w:rPr>
                <w:rFonts w:asciiTheme="minorHAnsi" w:hAnsiTheme="minorHAnsi" w:cstheme="minorHAnsi"/>
                <w:bCs/>
                <w:sz w:val="20"/>
                <w:lang w:val="fr-FR"/>
              </w:rPr>
              <w:t> ;</w:t>
            </w:r>
          </w:p>
          <w:p w14:paraId="4C14D573" w14:textId="595FC512" w:rsidR="00196535" w:rsidRPr="00D310B9" w:rsidRDefault="006A40BB"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 xml:space="preserve">Toutes les rencontres statutaires des </w:t>
            </w:r>
            <w:proofErr w:type="spellStart"/>
            <w:r w:rsidRPr="00D310B9">
              <w:rPr>
                <w:rFonts w:asciiTheme="minorHAnsi" w:hAnsiTheme="minorHAnsi" w:cstheme="minorHAnsi"/>
                <w:bCs/>
                <w:sz w:val="20"/>
                <w:lang w:val="fr-FR"/>
              </w:rPr>
              <w:t>PTFs</w:t>
            </w:r>
            <w:proofErr w:type="spellEnd"/>
            <w:r w:rsidRPr="00D310B9">
              <w:rPr>
                <w:rFonts w:asciiTheme="minorHAnsi" w:hAnsiTheme="minorHAnsi" w:cstheme="minorHAnsi"/>
                <w:bCs/>
                <w:sz w:val="20"/>
                <w:lang w:val="fr-FR"/>
              </w:rPr>
              <w:t xml:space="preserve"> EEA, ainsi que celles avec le Gouvernement, sont tenues dans le respect du calendrier et les participants disposent en avance de la documentation nécessaire pour les discussions</w:t>
            </w:r>
            <w:r w:rsidR="00196535" w:rsidRPr="00D310B9">
              <w:rPr>
                <w:rFonts w:asciiTheme="minorHAnsi" w:hAnsiTheme="minorHAnsi" w:cstheme="minorHAnsi"/>
                <w:bCs/>
                <w:sz w:val="20"/>
                <w:lang w:val="fr-FR"/>
              </w:rPr>
              <w:t> ;</w:t>
            </w:r>
          </w:p>
          <w:p w14:paraId="7239D5AD" w14:textId="1BAA32B6" w:rsidR="00196535" w:rsidRPr="00D310B9" w:rsidRDefault="006A40BB"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 xml:space="preserve">La mise en œuvre des résolutions et recommandations issues des réunions de </w:t>
            </w:r>
            <w:proofErr w:type="spellStart"/>
            <w:r w:rsidRPr="00D310B9">
              <w:rPr>
                <w:rFonts w:asciiTheme="minorHAnsi" w:hAnsiTheme="minorHAnsi" w:cstheme="minorHAnsi"/>
                <w:bCs/>
                <w:sz w:val="20"/>
                <w:lang w:val="fr-FR"/>
              </w:rPr>
              <w:t>PTFs</w:t>
            </w:r>
            <w:proofErr w:type="spellEnd"/>
            <w:r w:rsidRPr="00D310B9">
              <w:rPr>
                <w:rFonts w:asciiTheme="minorHAnsi" w:hAnsiTheme="minorHAnsi" w:cstheme="minorHAnsi"/>
                <w:bCs/>
                <w:sz w:val="20"/>
                <w:lang w:val="fr-FR"/>
              </w:rPr>
              <w:t xml:space="preserve"> est suivie de façon régulière jusqu’à leur terme, avec le cas échéant des rappels et réajustements</w:t>
            </w:r>
            <w:r w:rsidR="00196535" w:rsidRPr="00D310B9">
              <w:rPr>
                <w:rFonts w:asciiTheme="minorHAnsi" w:hAnsiTheme="minorHAnsi" w:cstheme="minorHAnsi"/>
                <w:bCs/>
                <w:sz w:val="20"/>
                <w:lang w:val="fr-FR"/>
              </w:rPr>
              <w:t> ;</w:t>
            </w:r>
            <w:r w:rsidRPr="00D310B9">
              <w:rPr>
                <w:rFonts w:asciiTheme="minorHAnsi" w:hAnsiTheme="minorHAnsi" w:cstheme="minorHAnsi"/>
                <w:bCs/>
                <w:sz w:val="20"/>
                <w:lang w:val="fr-FR"/>
              </w:rPr>
              <w:t xml:space="preserve"> </w:t>
            </w:r>
          </w:p>
          <w:p w14:paraId="35F67EA0" w14:textId="77777777" w:rsidR="0083062A" w:rsidRPr="00D310B9" w:rsidRDefault="006A40BB"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 xml:space="preserve">Les </w:t>
            </w:r>
            <w:proofErr w:type="spellStart"/>
            <w:r w:rsidRPr="00D310B9">
              <w:rPr>
                <w:rFonts w:asciiTheme="minorHAnsi" w:hAnsiTheme="minorHAnsi" w:cstheme="minorHAnsi"/>
                <w:bCs/>
                <w:sz w:val="20"/>
                <w:lang w:val="fr-FR"/>
              </w:rPr>
              <w:t>PTFs</w:t>
            </w:r>
            <w:proofErr w:type="spellEnd"/>
            <w:r w:rsidRPr="00D310B9">
              <w:rPr>
                <w:rFonts w:asciiTheme="minorHAnsi" w:hAnsiTheme="minorHAnsi" w:cstheme="minorHAnsi"/>
                <w:bCs/>
                <w:sz w:val="20"/>
                <w:lang w:val="fr-FR"/>
              </w:rPr>
              <w:t xml:space="preserve"> EEA participent activement au dialogue sectoriel et à tous les exercices de revue des programmes du secteur et de la politique nationale de développement</w:t>
            </w:r>
            <w:r w:rsidR="00196535" w:rsidRPr="00D310B9">
              <w:rPr>
                <w:rFonts w:asciiTheme="minorHAnsi" w:hAnsiTheme="minorHAnsi" w:cstheme="minorHAnsi"/>
                <w:bCs/>
                <w:sz w:val="20"/>
                <w:lang w:val="fr-FR"/>
              </w:rPr>
              <w:t>.</w:t>
            </w:r>
          </w:p>
          <w:p w14:paraId="6A9F5B46" w14:textId="77777777" w:rsidR="00FF2F83" w:rsidRPr="00D310B9" w:rsidRDefault="00FF2F83" w:rsidP="00B024E6">
            <w:pPr>
              <w:spacing w:line="260" w:lineRule="exact"/>
              <w:rPr>
                <w:rFonts w:asciiTheme="minorHAnsi" w:hAnsiTheme="minorHAnsi" w:cstheme="minorHAnsi"/>
                <w:sz w:val="20"/>
                <w:lang w:val="fr-FR"/>
              </w:rPr>
            </w:pPr>
          </w:p>
          <w:p w14:paraId="1589F3E0" w14:textId="756400EA" w:rsidR="00B024E6" w:rsidRPr="00D310B9" w:rsidRDefault="00FF2F83" w:rsidP="00B024E6">
            <w:pPr>
              <w:spacing w:line="260" w:lineRule="exact"/>
              <w:rPr>
                <w:rFonts w:asciiTheme="minorHAnsi" w:hAnsiTheme="minorHAnsi" w:cstheme="minorHAnsi"/>
                <w:b/>
                <w:bCs/>
                <w:sz w:val="20"/>
                <w:lang w:val="fr-FR"/>
              </w:rPr>
            </w:pPr>
            <w:r w:rsidRPr="00D310B9">
              <w:rPr>
                <w:rFonts w:asciiTheme="minorHAnsi" w:hAnsiTheme="minorHAnsi" w:cstheme="minorHAnsi"/>
                <w:sz w:val="20"/>
                <w:lang w:val="fr-FR"/>
              </w:rPr>
              <w:t xml:space="preserve">La durée de la consultation </w:t>
            </w:r>
            <w:r w:rsidRPr="00D310B9">
              <w:rPr>
                <w:rFonts w:asciiTheme="minorHAnsi" w:hAnsiTheme="minorHAnsi" w:cstheme="minorHAnsi"/>
                <w:b/>
                <w:bCs/>
                <w:sz w:val="20"/>
                <w:lang w:val="fr-FR"/>
              </w:rPr>
              <w:t>est de douze (12) mois du 1er février 2024</w:t>
            </w:r>
            <w:r w:rsidR="00296D6D" w:rsidRPr="00D310B9">
              <w:rPr>
                <w:rFonts w:asciiTheme="minorHAnsi" w:hAnsiTheme="minorHAnsi" w:cstheme="minorHAnsi"/>
                <w:b/>
                <w:bCs/>
                <w:sz w:val="20"/>
                <w:lang w:val="fr-FR"/>
              </w:rPr>
              <w:t xml:space="preserve"> au 31 janvier 2025</w:t>
            </w:r>
            <w:r w:rsidRPr="00D310B9">
              <w:rPr>
                <w:rFonts w:asciiTheme="minorHAnsi" w:hAnsiTheme="minorHAnsi" w:cstheme="minorHAnsi"/>
                <w:b/>
                <w:bCs/>
                <w:sz w:val="20"/>
                <w:lang w:val="fr-FR"/>
              </w:rPr>
              <w:t>.</w:t>
            </w:r>
          </w:p>
          <w:p w14:paraId="49F58EE7" w14:textId="78C24B55" w:rsidR="00FF2F83" w:rsidRPr="00D310B9" w:rsidRDefault="00FF2F83" w:rsidP="00B024E6">
            <w:pPr>
              <w:spacing w:line="260" w:lineRule="exact"/>
              <w:rPr>
                <w:rFonts w:asciiTheme="minorHAnsi" w:hAnsiTheme="minorHAnsi" w:cstheme="minorHAnsi"/>
                <w:sz w:val="20"/>
                <w:lang w:val="fr-FR"/>
              </w:rPr>
            </w:pPr>
          </w:p>
        </w:tc>
      </w:tr>
      <w:tr w:rsidR="00BD551A" w:rsidRPr="00D310B9" w14:paraId="589AD6FE" w14:textId="77777777" w:rsidTr="00C67447">
        <w:tc>
          <w:tcPr>
            <w:tcW w:w="10833" w:type="dxa"/>
            <w:gridSpan w:val="2"/>
          </w:tcPr>
          <w:p w14:paraId="686D207B" w14:textId="21FEF8DF" w:rsidR="00053163" w:rsidRPr="00D310B9" w:rsidRDefault="00AD11EF" w:rsidP="007D7C8D">
            <w:pPr>
              <w:numPr>
                <w:ilvl w:val="0"/>
                <w:numId w:val="1"/>
              </w:numPr>
              <w:spacing w:line="260" w:lineRule="exact"/>
              <w:rPr>
                <w:rFonts w:asciiTheme="minorHAnsi" w:hAnsiTheme="minorHAnsi" w:cstheme="minorHAnsi"/>
                <w:b/>
                <w:color w:val="0070C0"/>
                <w:sz w:val="20"/>
                <w:lang w:val="fr-FR"/>
              </w:rPr>
            </w:pPr>
            <w:r w:rsidRPr="00D310B9">
              <w:rPr>
                <w:rFonts w:asciiTheme="minorHAnsi" w:hAnsiTheme="minorHAnsi" w:cstheme="minorHAnsi"/>
                <w:b/>
                <w:color w:val="0070C0"/>
                <w:sz w:val="20"/>
                <w:lang w:val="fr-FR"/>
              </w:rPr>
              <w:lastRenderedPageBreak/>
              <w:t>QUALIFICATIONS ET CONNAISSANCES :</w:t>
            </w:r>
          </w:p>
          <w:p w14:paraId="4E8DF22E" w14:textId="77777777" w:rsidR="00AD11EF" w:rsidRPr="00D310B9" w:rsidRDefault="00AD11EF" w:rsidP="00AD11EF">
            <w:pPr>
              <w:spacing w:line="260" w:lineRule="exact"/>
              <w:ind w:left="410"/>
              <w:rPr>
                <w:rFonts w:asciiTheme="minorHAnsi" w:hAnsiTheme="minorHAnsi" w:cstheme="minorHAnsi"/>
                <w:b/>
                <w:color w:val="0070C0"/>
                <w:sz w:val="20"/>
                <w:lang w:val="fr-FR"/>
              </w:rPr>
            </w:pPr>
          </w:p>
          <w:p w14:paraId="4CD3B304" w14:textId="5135E45D" w:rsidR="00B76E46" w:rsidRPr="00D310B9" w:rsidRDefault="00B76E46" w:rsidP="00813A0E">
            <w:pPr>
              <w:spacing w:line="260" w:lineRule="exact"/>
              <w:rPr>
                <w:rFonts w:asciiTheme="minorHAnsi" w:hAnsiTheme="minorHAnsi" w:cstheme="minorHAnsi"/>
                <w:b/>
                <w:sz w:val="20"/>
                <w:lang w:val="fr-FR"/>
              </w:rPr>
            </w:pPr>
            <w:r w:rsidRPr="00D310B9">
              <w:rPr>
                <w:rFonts w:asciiTheme="minorHAnsi" w:hAnsiTheme="minorHAnsi" w:cstheme="minorHAnsi"/>
                <w:b/>
                <w:sz w:val="20"/>
                <w:lang w:val="fr-FR"/>
              </w:rPr>
              <w:t xml:space="preserve">Formation Académique </w:t>
            </w:r>
          </w:p>
          <w:p w14:paraId="0B870CD4" w14:textId="77777777" w:rsidR="00C2659F" w:rsidRPr="00D310B9" w:rsidRDefault="006073C9"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Être</w:t>
            </w:r>
            <w:r w:rsidR="00053163" w:rsidRPr="00D310B9">
              <w:rPr>
                <w:rFonts w:asciiTheme="minorHAnsi" w:hAnsiTheme="minorHAnsi" w:cstheme="minorHAnsi"/>
                <w:bCs/>
                <w:sz w:val="20"/>
                <w:lang w:val="fr-FR"/>
              </w:rPr>
              <w:t xml:space="preserve"> titulaire d’au moins un diplôme universitaire de niveau bac + 5 dans les domaines WASH, génie sanitaire, santé publique</w:t>
            </w:r>
            <w:r w:rsidR="00CF1FFC" w:rsidRPr="00D310B9">
              <w:rPr>
                <w:rFonts w:asciiTheme="minorHAnsi" w:hAnsiTheme="minorHAnsi" w:cstheme="minorHAnsi"/>
                <w:bCs/>
                <w:sz w:val="20"/>
                <w:lang w:val="fr-FR"/>
              </w:rPr>
              <w:t>, environnement, socio-économie</w:t>
            </w:r>
            <w:r w:rsidR="00053163" w:rsidRPr="00D310B9">
              <w:rPr>
                <w:rFonts w:asciiTheme="minorHAnsi" w:hAnsiTheme="minorHAnsi" w:cstheme="minorHAnsi"/>
                <w:bCs/>
                <w:sz w:val="20"/>
                <w:lang w:val="fr-FR"/>
              </w:rPr>
              <w:t xml:space="preserve"> ou tout autre domaine reconnu équivalent</w:t>
            </w:r>
            <w:r w:rsidR="005C1667" w:rsidRPr="00D310B9">
              <w:rPr>
                <w:rFonts w:asciiTheme="minorHAnsi" w:hAnsiTheme="minorHAnsi" w:cstheme="minorHAnsi"/>
                <w:bCs/>
                <w:sz w:val="20"/>
                <w:lang w:val="fr-FR"/>
              </w:rPr>
              <w:t> ;</w:t>
            </w:r>
          </w:p>
          <w:p w14:paraId="790A5F4C" w14:textId="7545A2E4" w:rsidR="005C1667" w:rsidRPr="00D310B9" w:rsidRDefault="005C1667"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Une spécialisation avérée dans la planification et la coordination sectorielle du pays serait un atout.</w:t>
            </w:r>
          </w:p>
          <w:p w14:paraId="3174A8D1" w14:textId="77777777" w:rsidR="00D93A20" w:rsidRPr="00D310B9" w:rsidRDefault="00D93A20" w:rsidP="00C2659F">
            <w:pPr>
              <w:spacing w:line="260" w:lineRule="exact"/>
              <w:rPr>
                <w:rFonts w:asciiTheme="minorHAnsi" w:hAnsiTheme="minorHAnsi" w:cstheme="minorHAnsi"/>
                <w:b/>
                <w:sz w:val="20"/>
                <w:lang w:val="fr-FR"/>
              </w:rPr>
            </w:pPr>
            <w:r w:rsidRPr="00D310B9">
              <w:rPr>
                <w:rFonts w:asciiTheme="minorHAnsi" w:hAnsiTheme="minorHAnsi" w:cstheme="minorHAnsi"/>
                <w:b/>
                <w:sz w:val="20"/>
                <w:lang w:val="fr-FR"/>
              </w:rPr>
              <w:t>Expériences spécifiques à la mission</w:t>
            </w:r>
          </w:p>
          <w:p w14:paraId="4C0808F7" w14:textId="04A4F8F1" w:rsidR="00053163" w:rsidRPr="00D310B9" w:rsidRDefault="00053163"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 xml:space="preserve">Au moins </w:t>
            </w:r>
            <w:r w:rsidR="000E4831" w:rsidRPr="00D310B9">
              <w:rPr>
                <w:rFonts w:asciiTheme="minorHAnsi" w:hAnsiTheme="minorHAnsi" w:cstheme="minorHAnsi"/>
                <w:bCs/>
                <w:sz w:val="20"/>
                <w:lang w:val="fr-FR"/>
              </w:rPr>
              <w:t>5</w:t>
            </w:r>
            <w:r w:rsidR="00977A98" w:rsidRPr="00D310B9">
              <w:rPr>
                <w:rFonts w:asciiTheme="minorHAnsi" w:hAnsiTheme="minorHAnsi" w:cstheme="minorHAnsi"/>
                <w:bCs/>
                <w:sz w:val="20"/>
                <w:lang w:val="fr-FR"/>
              </w:rPr>
              <w:t xml:space="preserve"> </w:t>
            </w:r>
            <w:r w:rsidRPr="00D310B9">
              <w:rPr>
                <w:rFonts w:asciiTheme="minorHAnsi" w:hAnsiTheme="minorHAnsi" w:cstheme="minorHAnsi"/>
                <w:bCs/>
                <w:sz w:val="20"/>
                <w:lang w:val="fr-FR"/>
              </w:rPr>
              <w:t xml:space="preserve">ans d’expérience dans le développement et la mise en œuvre de politiques </w:t>
            </w:r>
            <w:r w:rsidR="002051D0" w:rsidRPr="00D310B9">
              <w:rPr>
                <w:rFonts w:asciiTheme="minorHAnsi" w:hAnsiTheme="minorHAnsi" w:cstheme="minorHAnsi"/>
                <w:bCs/>
                <w:sz w:val="20"/>
                <w:lang w:val="fr-FR"/>
              </w:rPr>
              <w:t xml:space="preserve">et stratégies sectorielles </w:t>
            </w:r>
            <w:r w:rsidR="00F14937" w:rsidRPr="00D310B9">
              <w:rPr>
                <w:rFonts w:asciiTheme="minorHAnsi" w:hAnsiTheme="minorHAnsi" w:cstheme="minorHAnsi"/>
                <w:bCs/>
                <w:sz w:val="20"/>
                <w:lang w:val="fr-FR"/>
              </w:rPr>
              <w:t>Environnement</w:t>
            </w:r>
            <w:r w:rsidR="002051D0" w:rsidRPr="00D310B9">
              <w:rPr>
                <w:rFonts w:asciiTheme="minorHAnsi" w:hAnsiTheme="minorHAnsi" w:cstheme="minorHAnsi"/>
                <w:bCs/>
                <w:sz w:val="20"/>
                <w:lang w:val="fr-FR"/>
              </w:rPr>
              <w:t xml:space="preserve"> ou </w:t>
            </w:r>
            <w:r w:rsidRPr="00D310B9">
              <w:rPr>
                <w:rFonts w:asciiTheme="minorHAnsi" w:hAnsiTheme="minorHAnsi" w:cstheme="minorHAnsi"/>
                <w:bCs/>
                <w:sz w:val="20"/>
                <w:lang w:val="fr-FR"/>
              </w:rPr>
              <w:t>Eau, Hygiène et Assainissement</w:t>
            </w:r>
            <w:r w:rsidR="005B2AC4" w:rsidRPr="00D310B9">
              <w:rPr>
                <w:rFonts w:asciiTheme="minorHAnsi" w:hAnsiTheme="minorHAnsi" w:cstheme="minorHAnsi"/>
                <w:bCs/>
                <w:sz w:val="20"/>
                <w:lang w:val="fr-FR"/>
              </w:rPr>
              <w:t xml:space="preserve"> (EHA)</w:t>
            </w:r>
            <w:r w:rsidR="00C2659F" w:rsidRPr="00D310B9">
              <w:rPr>
                <w:rFonts w:asciiTheme="minorHAnsi" w:hAnsiTheme="minorHAnsi" w:cstheme="minorHAnsi"/>
                <w:bCs/>
                <w:sz w:val="20"/>
                <w:lang w:val="fr-FR"/>
              </w:rPr>
              <w:t> ;</w:t>
            </w:r>
          </w:p>
          <w:p w14:paraId="6B4CC2CB" w14:textId="325A8FA2" w:rsidR="00053163" w:rsidRPr="00D310B9" w:rsidRDefault="00053163"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 xml:space="preserve">Justifier d’une expérience pratique dans le dialogue </w:t>
            </w:r>
            <w:r w:rsidR="00041D85" w:rsidRPr="00D310B9">
              <w:rPr>
                <w:rFonts w:asciiTheme="minorHAnsi" w:hAnsiTheme="minorHAnsi" w:cstheme="minorHAnsi"/>
                <w:bCs/>
                <w:sz w:val="20"/>
                <w:lang w:val="fr-FR"/>
              </w:rPr>
              <w:t xml:space="preserve">stratégique ou opérationnel </w:t>
            </w:r>
            <w:r w:rsidRPr="00D310B9">
              <w:rPr>
                <w:rFonts w:asciiTheme="minorHAnsi" w:hAnsiTheme="minorHAnsi" w:cstheme="minorHAnsi"/>
                <w:bCs/>
                <w:sz w:val="20"/>
                <w:lang w:val="fr-FR"/>
              </w:rPr>
              <w:t>avec le gouvernement dans le</w:t>
            </w:r>
            <w:r w:rsidR="00B758F6" w:rsidRPr="00D310B9">
              <w:rPr>
                <w:rFonts w:asciiTheme="minorHAnsi" w:hAnsiTheme="minorHAnsi" w:cstheme="minorHAnsi"/>
                <w:bCs/>
                <w:sz w:val="20"/>
                <w:lang w:val="fr-FR"/>
              </w:rPr>
              <w:t>s</w:t>
            </w:r>
            <w:r w:rsidRPr="00D310B9">
              <w:rPr>
                <w:rFonts w:asciiTheme="minorHAnsi" w:hAnsiTheme="minorHAnsi" w:cstheme="minorHAnsi"/>
                <w:bCs/>
                <w:sz w:val="20"/>
                <w:lang w:val="fr-FR"/>
              </w:rPr>
              <w:t xml:space="preserve"> domaine</w:t>
            </w:r>
            <w:r w:rsidR="00B758F6" w:rsidRPr="00D310B9">
              <w:rPr>
                <w:rFonts w:asciiTheme="minorHAnsi" w:hAnsiTheme="minorHAnsi" w:cstheme="minorHAnsi"/>
                <w:bCs/>
                <w:sz w:val="20"/>
                <w:lang w:val="fr-FR"/>
              </w:rPr>
              <w:t>s</w:t>
            </w:r>
            <w:r w:rsidRPr="00D310B9">
              <w:rPr>
                <w:rFonts w:asciiTheme="minorHAnsi" w:hAnsiTheme="minorHAnsi" w:cstheme="minorHAnsi"/>
                <w:bCs/>
                <w:sz w:val="20"/>
                <w:lang w:val="fr-FR"/>
              </w:rPr>
              <w:t xml:space="preserve"> </w:t>
            </w:r>
            <w:r w:rsidR="00F14937" w:rsidRPr="00D310B9">
              <w:rPr>
                <w:rFonts w:asciiTheme="minorHAnsi" w:hAnsiTheme="minorHAnsi" w:cstheme="minorHAnsi"/>
                <w:bCs/>
                <w:sz w:val="20"/>
                <w:lang w:val="fr-FR"/>
              </w:rPr>
              <w:t>de l’Environnement</w:t>
            </w:r>
            <w:r w:rsidR="00B758F6" w:rsidRPr="00D310B9">
              <w:rPr>
                <w:rFonts w:asciiTheme="minorHAnsi" w:hAnsiTheme="minorHAnsi" w:cstheme="minorHAnsi"/>
                <w:bCs/>
                <w:sz w:val="20"/>
                <w:lang w:val="fr-FR"/>
              </w:rPr>
              <w:t xml:space="preserve"> ou</w:t>
            </w:r>
            <w:r w:rsidR="00F14937" w:rsidRPr="00D310B9">
              <w:rPr>
                <w:rFonts w:asciiTheme="minorHAnsi" w:hAnsiTheme="minorHAnsi" w:cstheme="minorHAnsi"/>
                <w:bCs/>
                <w:sz w:val="20"/>
                <w:lang w:val="fr-FR"/>
              </w:rPr>
              <w:t xml:space="preserve"> </w:t>
            </w:r>
            <w:r w:rsidRPr="00D310B9">
              <w:rPr>
                <w:rFonts w:asciiTheme="minorHAnsi" w:hAnsiTheme="minorHAnsi" w:cstheme="minorHAnsi"/>
                <w:bCs/>
                <w:sz w:val="20"/>
                <w:lang w:val="fr-FR"/>
              </w:rPr>
              <w:t>de l’Eau, l’Hygiène et l’Assainissement</w:t>
            </w:r>
            <w:r w:rsidR="005B2AC4" w:rsidRPr="00D310B9">
              <w:rPr>
                <w:rFonts w:asciiTheme="minorHAnsi" w:hAnsiTheme="minorHAnsi" w:cstheme="minorHAnsi"/>
                <w:bCs/>
                <w:sz w:val="20"/>
                <w:lang w:val="fr-FR"/>
              </w:rPr>
              <w:t xml:space="preserve"> (EHA)</w:t>
            </w:r>
            <w:r w:rsidR="00C2659F" w:rsidRPr="00D310B9">
              <w:rPr>
                <w:rFonts w:asciiTheme="minorHAnsi" w:hAnsiTheme="minorHAnsi" w:cstheme="minorHAnsi"/>
                <w:bCs/>
                <w:sz w:val="20"/>
                <w:lang w:val="fr-FR"/>
              </w:rPr>
              <w:t> ;</w:t>
            </w:r>
          </w:p>
          <w:p w14:paraId="7AD9E87E" w14:textId="0C0C2D46" w:rsidR="00053163" w:rsidRPr="00D310B9" w:rsidRDefault="00053163"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lastRenderedPageBreak/>
              <w:t xml:space="preserve">Avoir une bonne connaissance du contexte </w:t>
            </w:r>
            <w:r w:rsidR="00B758F6" w:rsidRPr="00D310B9">
              <w:rPr>
                <w:rFonts w:asciiTheme="minorHAnsi" w:hAnsiTheme="minorHAnsi" w:cstheme="minorHAnsi"/>
                <w:bCs/>
                <w:sz w:val="20"/>
                <w:lang w:val="fr-FR"/>
              </w:rPr>
              <w:t xml:space="preserve">stratégique, législatif </w:t>
            </w:r>
            <w:r w:rsidRPr="00D310B9">
              <w:rPr>
                <w:rFonts w:asciiTheme="minorHAnsi" w:hAnsiTheme="minorHAnsi" w:cstheme="minorHAnsi"/>
                <w:bCs/>
                <w:sz w:val="20"/>
                <w:lang w:val="fr-FR"/>
              </w:rPr>
              <w:t xml:space="preserve">et règlementaire </w:t>
            </w:r>
            <w:r w:rsidR="00041D85" w:rsidRPr="00D310B9">
              <w:rPr>
                <w:rFonts w:asciiTheme="minorHAnsi" w:hAnsiTheme="minorHAnsi" w:cstheme="minorHAnsi"/>
                <w:bCs/>
                <w:sz w:val="20"/>
                <w:lang w:val="fr-FR"/>
              </w:rPr>
              <w:t xml:space="preserve">du secteur </w:t>
            </w:r>
            <w:r w:rsidR="00F14937" w:rsidRPr="00D310B9">
              <w:rPr>
                <w:rFonts w:asciiTheme="minorHAnsi" w:hAnsiTheme="minorHAnsi" w:cstheme="minorHAnsi"/>
                <w:bCs/>
                <w:sz w:val="20"/>
                <w:lang w:val="fr-FR"/>
              </w:rPr>
              <w:t xml:space="preserve">Environnement, </w:t>
            </w:r>
            <w:r w:rsidRPr="00D310B9">
              <w:rPr>
                <w:rFonts w:asciiTheme="minorHAnsi" w:hAnsiTheme="minorHAnsi" w:cstheme="minorHAnsi"/>
                <w:bCs/>
                <w:sz w:val="20"/>
                <w:lang w:val="fr-FR"/>
              </w:rPr>
              <w:t>Eau et Assainissement au Burkina Faso et des défis à relev</w:t>
            </w:r>
            <w:r w:rsidR="00041D85" w:rsidRPr="00D310B9">
              <w:rPr>
                <w:rFonts w:asciiTheme="minorHAnsi" w:hAnsiTheme="minorHAnsi" w:cstheme="minorHAnsi"/>
                <w:bCs/>
                <w:sz w:val="20"/>
                <w:lang w:val="fr-FR"/>
              </w:rPr>
              <w:t>e</w:t>
            </w:r>
            <w:r w:rsidRPr="00D310B9">
              <w:rPr>
                <w:rFonts w:asciiTheme="minorHAnsi" w:hAnsiTheme="minorHAnsi" w:cstheme="minorHAnsi"/>
                <w:bCs/>
                <w:sz w:val="20"/>
                <w:lang w:val="fr-FR"/>
              </w:rPr>
              <w:t>r</w:t>
            </w:r>
            <w:r w:rsidR="00C2659F" w:rsidRPr="00D310B9">
              <w:rPr>
                <w:rFonts w:asciiTheme="minorHAnsi" w:hAnsiTheme="minorHAnsi" w:cstheme="minorHAnsi"/>
                <w:bCs/>
                <w:sz w:val="20"/>
                <w:lang w:val="fr-FR"/>
              </w:rPr>
              <w:t> ;</w:t>
            </w:r>
          </w:p>
          <w:p w14:paraId="14B928A1" w14:textId="6C13BD77" w:rsidR="00053163" w:rsidRPr="00D310B9" w:rsidRDefault="00053163"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Avoir la capacité de travailler sous pression avec la contrainte de produire des résultats de qualité</w:t>
            </w:r>
            <w:r w:rsidR="00C2659F" w:rsidRPr="00D310B9">
              <w:rPr>
                <w:rFonts w:asciiTheme="minorHAnsi" w:hAnsiTheme="minorHAnsi" w:cstheme="minorHAnsi"/>
                <w:bCs/>
                <w:sz w:val="20"/>
                <w:lang w:val="fr-FR"/>
              </w:rPr>
              <w:t> ;</w:t>
            </w:r>
          </w:p>
          <w:p w14:paraId="250890C6" w14:textId="77777777" w:rsidR="00ED477E" w:rsidRPr="00D310B9" w:rsidRDefault="00053163"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Avoir une bonne expérience de travail avec les services du gouvernement, les bailleurs de fonds et les ONG.</w:t>
            </w:r>
          </w:p>
          <w:p w14:paraId="005357B3" w14:textId="77777777" w:rsidR="00C70968" w:rsidRPr="00D310B9" w:rsidRDefault="00C70968" w:rsidP="00977984">
            <w:pPr>
              <w:spacing w:line="260" w:lineRule="exact"/>
              <w:rPr>
                <w:rFonts w:asciiTheme="minorHAnsi" w:hAnsiTheme="minorHAnsi" w:cstheme="minorHAnsi"/>
                <w:b/>
                <w:sz w:val="20"/>
                <w:lang w:val="fr-FR"/>
              </w:rPr>
            </w:pPr>
            <w:r w:rsidRPr="00D310B9">
              <w:rPr>
                <w:rFonts w:asciiTheme="minorHAnsi" w:hAnsiTheme="minorHAnsi" w:cstheme="minorHAnsi"/>
                <w:b/>
                <w:sz w:val="20"/>
                <w:lang w:val="fr-FR"/>
              </w:rPr>
              <w:t xml:space="preserve">Aptitudes linguistiques </w:t>
            </w:r>
          </w:p>
          <w:p w14:paraId="40B41BC9" w14:textId="44C1364F" w:rsidR="00C70968" w:rsidRPr="00D310B9" w:rsidRDefault="00C70968" w:rsidP="007D7C8D">
            <w:pPr>
              <w:pStyle w:val="ListParagraph"/>
              <w:numPr>
                <w:ilvl w:val="0"/>
                <w:numId w:val="8"/>
              </w:numPr>
              <w:spacing w:line="260" w:lineRule="exact"/>
              <w:rPr>
                <w:rFonts w:asciiTheme="minorHAnsi" w:hAnsiTheme="minorHAnsi" w:cstheme="minorHAnsi"/>
                <w:b/>
                <w:bCs/>
                <w:sz w:val="20"/>
                <w:lang w:val="fr-FR"/>
              </w:rPr>
            </w:pPr>
            <w:r w:rsidRPr="00D310B9">
              <w:rPr>
                <w:rFonts w:asciiTheme="minorHAnsi" w:hAnsiTheme="minorHAnsi" w:cstheme="minorHAnsi"/>
                <w:bCs/>
                <w:sz w:val="20"/>
                <w:lang w:val="fr-FR"/>
              </w:rPr>
              <w:t>Le</w:t>
            </w:r>
            <w:r w:rsidR="00F14937" w:rsidRPr="00D310B9">
              <w:rPr>
                <w:rFonts w:asciiTheme="minorHAnsi" w:hAnsiTheme="minorHAnsi" w:cstheme="minorHAnsi"/>
                <w:bCs/>
                <w:sz w:val="20"/>
                <w:lang w:val="fr-FR"/>
              </w:rPr>
              <w:t>/la</w:t>
            </w:r>
            <w:r w:rsidRPr="00D310B9">
              <w:rPr>
                <w:rFonts w:asciiTheme="minorHAnsi" w:hAnsiTheme="minorHAnsi" w:cstheme="minorHAnsi"/>
                <w:bCs/>
                <w:sz w:val="20"/>
                <w:lang w:val="fr-FR"/>
              </w:rPr>
              <w:t xml:space="preserve"> Consultant</w:t>
            </w:r>
            <w:r w:rsidR="00F14937" w:rsidRPr="00D310B9">
              <w:rPr>
                <w:rFonts w:asciiTheme="minorHAnsi" w:hAnsiTheme="minorHAnsi" w:cstheme="minorHAnsi"/>
                <w:bCs/>
                <w:sz w:val="20"/>
                <w:lang w:val="fr-FR"/>
              </w:rPr>
              <w:t>(e)</w:t>
            </w:r>
            <w:r w:rsidRPr="00D310B9">
              <w:rPr>
                <w:rFonts w:asciiTheme="minorHAnsi" w:hAnsiTheme="minorHAnsi" w:cstheme="minorHAnsi"/>
                <w:bCs/>
                <w:sz w:val="20"/>
                <w:lang w:val="fr-FR"/>
              </w:rPr>
              <w:t xml:space="preserve"> devra travailler et faire usage du Français comme langue de travail. Une bonne connaissance de l’anglais sera un atout</w:t>
            </w:r>
          </w:p>
        </w:tc>
      </w:tr>
      <w:tr w:rsidR="00BD551A" w:rsidRPr="00C27AAD" w14:paraId="1A853529" w14:textId="77777777" w:rsidTr="00C67447">
        <w:trPr>
          <w:trHeight w:val="1345"/>
        </w:trPr>
        <w:tc>
          <w:tcPr>
            <w:tcW w:w="10833" w:type="dxa"/>
            <w:gridSpan w:val="2"/>
          </w:tcPr>
          <w:p w14:paraId="1C30CB68" w14:textId="50FD401B" w:rsidR="00490890" w:rsidRPr="00D310B9" w:rsidRDefault="00187A80" w:rsidP="00AD11EF">
            <w:pPr>
              <w:pStyle w:val="Heading2"/>
              <w:rPr>
                <w:rFonts w:asciiTheme="minorHAnsi" w:hAnsiTheme="minorHAnsi" w:cstheme="minorHAnsi"/>
                <w:iCs w:val="0"/>
                <w:sz w:val="20"/>
                <w:u w:val="none"/>
                <w:lang w:val="fr-FR"/>
              </w:rPr>
            </w:pPr>
            <w:r w:rsidRPr="00D310B9">
              <w:rPr>
                <w:rFonts w:asciiTheme="minorHAnsi" w:hAnsiTheme="minorHAnsi" w:cstheme="minorHAnsi"/>
                <w:iCs w:val="0"/>
                <w:sz w:val="20"/>
                <w:u w:val="none"/>
                <w:lang w:val="fr-FR"/>
              </w:rPr>
              <w:lastRenderedPageBreak/>
              <w:t>Autres compétences</w:t>
            </w:r>
          </w:p>
          <w:p w14:paraId="43862E18" w14:textId="414F4F8D" w:rsidR="00490890" w:rsidRPr="00D310B9" w:rsidRDefault="0049089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Avoir une capacité d’analyse, de négociation et de plaidoyer ; être capable de prendre des initiatives et faire preuve de disponibilité et du sens des responsabilités.</w:t>
            </w:r>
          </w:p>
          <w:p w14:paraId="0DA33573" w14:textId="45EE3CBF" w:rsidR="00490890" w:rsidRPr="00D310B9" w:rsidRDefault="0049089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Être disposé à travailler sous pression dans un environnement multiculturel et avoir la capacité d’établir des relations de travail harmonieuses et efficaces aussi bien à l’intérieur qu’à l’extérieur de l’organisation et avoir une autonomie dans la conduite des activités avec des échéances très limitées.</w:t>
            </w:r>
          </w:p>
          <w:p w14:paraId="49463160" w14:textId="2D8729FD" w:rsidR="00490890" w:rsidRPr="00D310B9" w:rsidRDefault="0049089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Avoir une expérience antérieure dans le domaine de l’appui à la coordination sectorielle.</w:t>
            </w:r>
          </w:p>
          <w:p w14:paraId="24E11D59" w14:textId="21DD02DC" w:rsidR="00490890" w:rsidRPr="00D310B9" w:rsidRDefault="0049089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Avoir une connaissance du Système des Nations Unies et de ses procédures.</w:t>
            </w:r>
          </w:p>
          <w:p w14:paraId="46ADF462" w14:textId="0382AFCC" w:rsidR="00490890" w:rsidRPr="00D310B9" w:rsidRDefault="00490890" w:rsidP="007D7C8D">
            <w:pPr>
              <w:pStyle w:val="ListParagraph"/>
              <w:numPr>
                <w:ilvl w:val="0"/>
                <w:numId w:val="8"/>
              </w:numPr>
              <w:spacing w:line="260" w:lineRule="exact"/>
              <w:rPr>
                <w:rFonts w:asciiTheme="minorHAnsi" w:hAnsiTheme="minorHAnsi" w:cstheme="minorHAnsi"/>
                <w:b/>
                <w:bCs/>
                <w:sz w:val="20"/>
                <w:lang w:val="fr-FR"/>
              </w:rPr>
            </w:pPr>
            <w:r w:rsidRPr="00D310B9">
              <w:rPr>
                <w:rFonts w:asciiTheme="minorHAnsi" w:hAnsiTheme="minorHAnsi" w:cstheme="minorHAnsi"/>
                <w:bCs/>
                <w:sz w:val="20"/>
                <w:lang w:val="fr-FR"/>
              </w:rPr>
              <w:t>Avoir une maîtrise des logiciels informatiques (Word, Excel, Powerpoint …).</w:t>
            </w:r>
          </w:p>
        </w:tc>
      </w:tr>
      <w:tr w:rsidR="00187A80" w:rsidRPr="00C27AAD" w14:paraId="7B1BD8AC" w14:textId="77777777" w:rsidTr="00D310B9">
        <w:trPr>
          <w:trHeight w:val="1345"/>
        </w:trPr>
        <w:tc>
          <w:tcPr>
            <w:tcW w:w="10833" w:type="dxa"/>
            <w:gridSpan w:val="2"/>
            <w:vAlign w:val="center"/>
          </w:tcPr>
          <w:p w14:paraId="011A3010" w14:textId="0678B55C" w:rsidR="00187A80" w:rsidRPr="00D310B9" w:rsidRDefault="00187A80" w:rsidP="00D310B9">
            <w:pPr>
              <w:numPr>
                <w:ilvl w:val="0"/>
                <w:numId w:val="1"/>
              </w:numPr>
              <w:spacing w:line="260" w:lineRule="exact"/>
              <w:jc w:val="left"/>
              <w:rPr>
                <w:rFonts w:asciiTheme="minorHAnsi" w:hAnsiTheme="minorHAnsi" w:cstheme="minorHAnsi"/>
                <w:b/>
                <w:color w:val="0070C0"/>
                <w:sz w:val="20"/>
                <w:lang w:val="fr-FR"/>
              </w:rPr>
            </w:pPr>
            <w:r w:rsidRPr="00D310B9">
              <w:rPr>
                <w:rFonts w:asciiTheme="minorHAnsi" w:hAnsiTheme="minorHAnsi" w:cstheme="minorHAnsi"/>
                <w:b/>
                <w:color w:val="0070C0"/>
                <w:sz w:val="20"/>
                <w:lang w:val="fr-FR"/>
              </w:rPr>
              <w:t xml:space="preserve">COUT DE LA CONSULTANCE : </w:t>
            </w:r>
          </w:p>
          <w:p w14:paraId="32AB9264" w14:textId="10E4D481" w:rsidR="00187A80" w:rsidRPr="00D310B9" w:rsidRDefault="00187A80" w:rsidP="00D310B9">
            <w:pPr>
              <w:pStyle w:val="ListParagraph"/>
              <w:numPr>
                <w:ilvl w:val="0"/>
                <w:numId w:val="8"/>
              </w:numPr>
              <w:spacing w:line="260" w:lineRule="exact"/>
              <w:jc w:val="left"/>
              <w:rPr>
                <w:rFonts w:asciiTheme="minorHAnsi" w:hAnsiTheme="minorHAnsi" w:cstheme="minorHAnsi"/>
                <w:b/>
                <w:bCs/>
                <w:sz w:val="20"/>
                <w:lang w:val="fr-FR"/>
              </w:rPr>
            </w:pPr>
            <w:r w:rsidRPr="00D310B9">
              <w:rPr>
                <w:rFonts w:asciiTheme="minorHAnsi" w:hAnsiTheme="minorHAnsi" w:cstheme="minorHAnsi"/>
                <w:bCs/>
                <w:sz w:val="20"/>
                <w:lang w:val="fr-FR"/>
              </w:rPr>
              <w:t>Les paiements seront conditionnés par l’atteinte des résultats escomptés (finalisation des livrables et transmission des rapports intermédiaires à la section WASH)</w:t>
            </w:r>
          </w:p>
        </w:tc>
      </w:tr>
      <w:tr w:rsidR="00BD551A" w:rsidRPr="00C27AAD" w14:paraId="7A1EABB1" w14:textId="77777777" w:rsidTr="00D310B9">
        <w:tc>
          <w:tcPr>
            <w:tcW w:w="10833" w:type="dxa"/>
            <w:gridSpan w:val="2"/>
            <w:vAlign w:val="center"/>
          </w:tcPr>
          <w:p w14:paraId="2EA0DA5B" w14:textId="42CAF430" w:rsidR="00053163" w:rsidRPr="00D310B9" w:rsidRDefault="00AD11EF" w:rsidP="00D310B9">
            <w:pPr>
              <w:numPr>
                <w:ilvl w:val="0"/>
                <w:numId w:val="1"/>
              </w:numPr>
              <w:spacing w:line="260" w:lineRule="exact"/>
              <w:jc w:val="left"/>
              <w:rPr>
                <w:rFonts w:asciiTheme="minorHAnsi" w:hAnsiTheme="minorHAnsi" w:cstheme="minorHAnsi"/>
                <w:b/>
                <w:color w:val="0070C0"/>
                <w:sz w:val="20"/>
                <w:lang w:val="fr-FR"/>
              </w:rPr>
            </w:pPr>
            <w:r w:rsidRPr="00D310B9">
              <w:rPr>
                <w:rFonts w:asciiTheme="minorHAnsi" w:hAnsiTheme="minorHAnsi" w:cstheme="minorHAnsi"/>
                <w:b/>
                <w:color w:val="0070C0"/>
                <w:sz w:val="20"/>
                <w:lang w:val="fr-FR"/>
              </w:rPr>
              <w:t>CONDITIONS DE TRAVAIL :</w:t>
            </w:r>
          </w:p>
          <w:p w14:paraId="64FDD653" w14:textId="58CCA9FC" w:rsidR="00ED477E" w:rsidRPr="00D310B9" w:rsidRDefault="00053163" w:rsidP="00D310B9">
            <w:pPr>
              <w:pBdr>
                <w:top w:val="nil"/>
                <w:left w:val="nil"/>
                <w:bottom w:val="nil"/>
                <w:right w:val="nil"/>
                <w:between w:val="nil"/>
                <w:bar w:val="nil"/>
              </w:pBdr>
              <w:spacing w:before="120" w:after="120" w:line="260" w:lineRule="exact"/>
              <w:rPr>
                <w:rFonts w:asciiTheme="minorHAnsi" w:hAnsiTheme="minorHAnsi" w:cstheme="minorHAnsi"/>
                <w:sz w:val="20"/>
                <w:lang w:val="fr-FR"/>
              </w:rPr>
            </w:pPr>
            <w:r w:rsidRPr="00D310B9">
              <w:rPr>
                <w:rFonts w:asciiTheme="minorHAnsi" w:hAnsiTheme="minorHAnsi" w:cstheme="minorHAnsi"/>
                <w:sz w:val="20"/>
                <w:lang w:val="fr-FR"/>
              </w:rPr>
              <w:t>Le</w:t>
            </w:r>
            <w:r w:rsidR="008F2160" w:rsidRPr="00D310B9">
              <w:rPr>
                <w:rFonts w:asciiTheme="minorHAnsi" w:hAnsiTheme="minorHAnsi" w:cstheme="minorHAnsi"/>
                <w:sz w:val="20"/>
                <w:lang w:val="fr-FR"/>
              </w:rPr>
              <w:t>/la</w:t>
            </w:r>
            <w:r w:rsidRPr="00D310B9">
              <w:rPr>
                <w:rFonts w:asciiTheme="minorHAnsi" w:hAnsiTheme="minorHAnsi" w:cstheme="minorHAnsi"/>
                <w:sz w:val="20"/>
                <w:lang w:val="fr-FR"/>
              </w:rPr>
              <w:t xml:space="preserve"> consultant</w:t>
            </w:r>
            <w:r w:rsidR="008F2160" w:rsidRPr="00D310B9">
              <w:rPr>
                <w:rFonts w:asciiTheme="minorHAnsi" w:hAnsiTheme="minorHAnsi" w:cstheme="minorHAnsi"/>
                <w:sz w:val="20"/>
                <w:lang w:val="fr-FR"/>
              </w:rPr>
              <w:t>(e)</w:t>
            </w:r>
            <w:r w:rsidRPr="00D310B9">
              <w:rPr>
                <w:rFonts w:asciiTheme="minorHAnsi" w:hAnsiTheme="minorHAnsi" w:cstheme="minorHAnsi"/>
                <w:sz w:val="20"/>
                <w:lang w:val="fr-FR"/>
              </w:rPr>
              <w:t xml:space="preserve"> sera basé</w:t>
            </w:r>
            <w:r w:rsidR="008F2160" w:rsidRPr="00D310B9">
              <w:rPr>
                <w:rFonts w:asciiTheme="minorHAnsi" w:hAnsiTheme="minorHAnsi" w:cstheme="minorHAnsi"/>
                <w:sz w:val="20"/>
                <w:lang w:val="fr-FR"/>
              </w:rPr>
              <w:t>(e)</w:t>
            </w:r>
            <w:r w:rsidRPr="00D310B9">
              <w:rPr>
                <w:rFonts w:asciiTheme="minorHAnsi" w:hAnsiTheme="minorHAnsi" w:cstheme="minorHAnsi"/>
                <w:sz w:val="20"/>
                <w:lang w:val="fr-FR"/>
              </w:rPr>
              <w:t xml:space="preserve"> à domicile mais pourra disposer </w:t>
            </w:r>
            <w:r w:rsidR="00C70968" w:rsidRPr="00D310B9">
              <w:rPr>
                <w:rFonts w:asciiTheme="minorHAnsi" w:hAnsiTheme="minorHAnsi" w:cstheme="minorHAnsi"/>
                <w:sz w:val="20"/>
                <w:lang w:val="fr-FR"/>
              </w:rPr>
              <w:t>au</w:t>
            </w:r>
            <w:r w:rsidRPr="00D310B9">
              <w:rPr>
                <w:rFonts w:asciiTheme="minorHAnsi" w:hAnsiTheme="minorHAnsi" w:cstheme="minorHAnsi"/>
                <w:sz w:val="20"/>
                <w:lang w:val="fr-FR"/>
              </w:rPr>
              <w:t xml:space="preserve"> besoin d’un espace de travail ainsi qu’un accès à internet à l’UNICEF à Ouagadougou.</w:t>
            </w:r>
            <w:r w:rsidR="00C70968" w:rsidRPr="00D310B9">
              <w:rPr>
                <w:rFonts w:asciiTheme="minorHAnsi" w:hAnsiTheme="minorHAnsi" w:cstheme="minorHAnsi"/>
                <w:sz w:val="20"/>
                <w:lang w:val="fr-FR"/>
              </w:rPr>
              <w:t xml:space="preserve"> Le/la consultant(e) sera tenu responsable d’amener son propre ordinateur et autres équipements informatiques standards pour effectuer son travail. Les appels téléphoniques personnels seront intégralement à la charge du Consultant. </w:t>
            </w:r>
            <w:r w:rsidRPr="00D310B9">
              <w:rPr>
                <w:rFonts w:asciiTheme="minorHAnsi" w:hAnsiTheme="minorHAnsi" w:cstheme="minorHAnsi"/>
                <w:sz w:val="20"/>
                <w:lang w:val="fr-FR"/>
              </w:rPr>
              <w:t>Les déplacements du consultant dans le cadre du travail seront assurés par UNICEF</w:t>
            </w:r>
            <w:r w:rsidR="005729D8" w:rsidRPr="00D310B9">
              <w:rPr>
                <w:rFonts w:asciiTheme="minorHAnsi" w:hAnsiTheme="minorHAnsi" w:cstheme="minorHAnsi"/>
                <w:sz w:val="20"/>
                <w:lang w:val="fr-FR"/>
              </w:rPr>
              <w:t>.</w:t>
            </w:r>
          </w:p>
          <w:p w14:paraId="75954255" w14:textId="4BEBCB4B" w:rsidR="00C70968" w:rsidRPr="00D310B9" w:rsidRDefault="00C70968" w:rsidP="00D310B9">
            <w:pPr>
              <w:spacing w:before="120" w:after="120" w:line="260" w:lineRule="exact"/>
              <w:rPr>
                <w:rFonts w:asciiTheme="minorHAnsi" w:hAnsiTheme="minorHAnsi" w:cstheme="minorHAnsi"/>
                <w:sz w:val="20"/>
                <w:lang w:val="fr-FR"/>
              </w:rPr>
            </w:pPr>
            <w:r w:rsidRPr="00D310B9">
              <w:rPr>
                <w:rFonts w:asciiTheme="minorHAnsi" w:hAnsiTheme="minorHAnsi" w:cstheme="minorHAnsi"/>
                <w:sz w:val="20"/>
                <w:lang w:val="fr-FR"/>
              </w:rPr>
              <w:t>Durant la période du contrat, le</w:t>
            </w:r>
            <w:r w:rsidR="00F14937" w:rsidRPr="00D310B9">
              <w:rPr>
                <w:rFonts w:asciiTheme="minorHAnsi" w:hAnsiTheme="minorHAnsi" w:cstheme="minorHAnsi"/>
                <w:sz w:val="20"/>
                <w:lang w:val="fr-FR"/>
              </w:rPr>
              <w:t>/la</w:t>
            </w:r>
            <w:r w:rsidRPr="00D310B9">
              <w:rPr>
                <w:rFonts w:asciiTheme="minorHAnsi" w:hAnsiTheme="minorHAnsi" w:cstheme="minorHAnsi"/>
                <w:sz w:val="20"/>
                <w:lang w:val="fr-FR"/>
              </w:rPr>
              <w:t xml:space="preserve"> consultant(e) </w:t>
            </w:r>
            <w:r w:rsidR="00F14937" w:rsidRPr="00D310B9">
              <w:rPr>
                <w:rFonts w:asciiTheme="minorHAnsi" w:hAnsiTheme="minorHAnsi" w:cstheme="minorHAnsi"/>
                <w:sz w:val="20"/>
                <w:lang w:val="fr-FR"/>
              </w:rPr>
              <w:t xml:space="preserve">sera </w:t>
            </w:r>
            <w:r w:rsidRPr="00D310B9">
              <w:rPr>
                <w:rFonts w:asciiTheme="minorHAnsi" w:hAnsiTheme="minorHAnsi" w:cstheme="minorHAnsi"/>
                <w:sz w:val="20"/>
                <w:lang w:val="fr-FR"/>
              </w:rPr>
              <w:t>assujettis(e) aux dispositions en vigueur à l’UNICEF relatives à la sécurité</w:t>
            </w:r>
            <w:r w:rsidR="00176286" w:rsidRPr="00D310B9">
              <w:rPr>
                <w:rFonts w:asciiTheme="minorHAnsi" w:hAnsiTheme="minorHAnsi" w:cstheme="minorHAnsi"/>
                <w:sz w:val="20"/>
                <w:lang w:val="fr-FR"/>
              </w:rPr>
              <w:t>, au respect des règles, normes</w:t>
            </w:r>
            <w:r w:rsidRPr="00D310B9">
              <w:rPr>
                <w:rFonts w:asciiTheme="minorHAnsi" w:hAnsiTheme="minorHAnsi" w:cstheme="minorHAnsi"/>
                <w:sz w:val="20"/>
                <w:lang w:val="fr-FR"/>
              </w:rPr>
              <w:t xml:space="preserve"> et procédures régissant le personnel des Nations Unies et </w:t>
            </w:r>
            <w:r w:rsidR="00F14937" w:rsidRPr="00D310B9">
              <w:rPr>
                <w:rFonts w:asciiTheme="minorHAnsi" w:hAnsiTheme="minorHAnsi" w:cstheme="minorHAnsi"/>
                <w:sz w:val="20"/>
                <w:lang w:val="fr-FR"/>
              </w:rPr>
              <w:t xml:space="preserve">de </w:t>
            </w:r>
            <w:r w:rsidRPr="00D310B9">
              <w:rPr>
                <w:rFonts w:asciiTheme="minorHAnsi" w:hAnsiTheme="minorHAnsi" w:cstheme="minorHAnsi"/>
                <w:sz w:val="20"/>
                <w:lang w:val="fr-FR"/>
              </w:rPr>
              <w:t>l’UNICEF en particulier.</w:t>
            </w:r>
          </w:p>
        </w:tc>
      </w:tr>
      <w:tr w:rsidR="008F2160" w:rsidRPr="00C27AAD" w14:paraId="3FC37E8F" w14:textId="77777777" w:rsidTr="00C67447">
        <w:tc>
          <w:tcPr>
            <w:tcW w:w="10833" w:type="dxa"/>
            <w:gridSpan w:val="2"/>
          </w:tcPr>
          <w:p w14:paraId="6D161D00" w14:textId="68F75E16" w:rsidR="008F2160" w:rsidRPr="00D310B9" w:rsidRDefault="00272429" w:rsidP="007D7C8D">
            <w:pPr>
              <w:numPr>
                <w:ilvl w:val="0"/>
                <w:numId w:val="1"/>
              </w:numPr>
              <w:spacing w:line="260" w:lineRule="exact"/>
              <w:rPr>
                <w:rFonts w:asciiTheme="minorHAnsi" w:hAnsiTheme="minorHAnsi" w:cstheme="minorHAnsi"/>
                <w:b/>
                <w:color w:val="0070C0"/>
                <w:sz w:val="20"/>
                <w:lang w:val="fr-FR"/>
              </w:rPr>
            </w:pPr>
            <w:r w:rsidRPr="00D310B9">
              <w:rPr>
                <w:rFonts w:asciiTheme="minorHAnsi" w:hAnsiTheme="minorHAnsi" w:cstheme="minorHAnsi"/>
                <w:b/>
                <w:color w:val="0070C0"/>
                <w:sz w:val="20"/>
                <w:lang w:val="fr-FR"/>
              </w:rPr>
              <w:t>FORMALITES ADMINISTRATIVES :</w:t>
            </w:r>
          </w:p>
          <w:p w14:paraId="01AC0640" w14:textId="77777777" w:rsidR="008F2160" w:rsidRPr="00D310B9" w:rsidRDefault="008F2160" w:rsidP="00E16C16">
            <w:pPr>
              <w:pStyle w:val="Caption"/>
              <w:rPr>
                <w:rFonts w:asciiTheme="minorHAnsi" w:hAnsiTheme="minorHAnsi" w:cstheme="minorHAnsi"/>
                <w:b w:val="0"/>
                <w:bCs w:val="0"/>
                <w:sz w:val="20"/>
                <w:lang w:val="fr-FR"/>
              </w:rPr>
            </w:pPr>
            <w:r w:rsidRPr="00D310B9">
              <w:rPr>
                <w:rFonts w:asciiTheme="minorHAnsi" w:hAnsiTheme="minorHAnsi" w:cstheme="minorHAnsi"/>
                <w:b w:val="0"/>
                <w:bCs w:val="0"/>
                <w:sz w:val="20"/>
                <w:lang w:val="fr-FR"/>
              </w:rPr>
              <w:t>Le/la consultant (e) devra fournir avant signature du contrat les documents suivants :</w:t>
            </w:r>
          </w:p>
          <w:p w14:paraId="3F786518" w14:textId="77777777" w:rsidR="008F2160" w:rsidRPr="00D310B9" w:rsidRDefault="008F216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1 formulaire « </w:t>
            </w:r>
            <w:proofErr w:type="spellStart"/>
            <w:r w:rsidRPr="00D310B9">
              <w:rPr>
                <w:rFonts w:asciiTheme="minorHAnsi" w:hAnsiTheme="minorHAnsi" w:cstheme="minorHAnsi"/>
                <w:bCs/>
                <w:sz w:val="20"/>
                <w:lang w:val="fr-FR"/>
              </w:rPr>
              <w:t>Health</w:t>
            </w:r>
            <w:proofErr w:type="spellEnd"/>
            <w:r w:rsidRPr="00D310B9">
              <w:rPr>
                <w:rFonts w:asciiTheme="minorHAnsi" w:hAnsiTheme="minorHAnsi" w:cstheme="minorHAnsi"/>
                <w:bCs/>
                <w:sz w:val="20"/>
                <w:lang w:val="fr-FR"/>
              </w:rPr>
              <w:t xml:space="preserve"> </w:t>
            </w:r>
            <w:proofErr w:type="spellStart"/>
            <w:r w:rsidRPr="00D310B9">
              <w:rPr>
                <w:rFonts w:asciiTheme="minorHAnsi" w:hAnsiTheme="minorHAnsi" w:cstheme="minorHAnsi"/>
                <w:bCs/>
                <w:sz w:val="20"/>
                <w:lang w:val="fr-FR"/>
              </w:rPr>
              <w:t>Statement</w:t>
            </w:r>
            <w:proofErr w:type="spellEnd"/>
            <w:r w:rsidRPr="00D310B9">
              <w:rPr>
                <w:rFonts w:asciiTheme="minorHAnsi" w:hAnsiTheme="minorHAnsi" w:cstheme="minorHAnsi"/>
                <w:bCs/>
                <w:sz w:val="20"/>
                <w:lang w:val="fr-FR"/>
              </w:rPr>
              <w:t> » dument rempli et visé</w:t>
            </w:r>
          </w:p>
          <w:p w14:paraId="08CB2B22" w14:textId="77777777" w:rsidR="008F2160" w:rsidRPr="00D310B9" w:rsidRDefault="008F216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1 formulaire « Good Standing » dument rempli et visé</w:t>
            </w:r>
          </w:p>
          <w:p w14:paraId="7542608F" w14:textId="77777777" w:rsidR="008F2160" w:rsidRPr="00D310B9" w:rsidRDefault="008F216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1 formulaire de désignation des bénéficiaires pour l’assurance MAIP</w:t>
            </w:r>
          </w:p>
          <w:p w14:paraId="0E7F4A69" w14:textId="77777777" w:rsidR="008F2160" w:rsidRPr="00D310B9" w:rsidRDefault="008F216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1 preuve d’assurance maladie pour la période de la consultation</w:t>
            </w:r>
          </w:p>
          <w:p w14:paraId="44564662" w14:textId="77777777" w:rsidR="008F2160" w:rsidRPr="00D310B9" w:rsidRDefault="008F216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1 formulaire « </w:t>
            </w:r>
            <w:proofErr w:type="spellStart"/>
            <w:r w:rsidRPr="00D310B9">
              <w:rPr>
                <w:rFonts w:asciiTheme="minorHAnsi" w:hAnsiTheme="minorHAnsi" w:cstheme="minorHAnsi"/>
                <w:bCs/>
                <w:sz w:val="20"/>
                <w:lang w:val="fr-FR"/>
              </w:rPr>
              <w:t>Vendor</w:t>
            </w:r>
            <w:proofErr w:type="spellEnd"/>
            <w:r w:rsidRPr="00D310B9">
              <w:rPr>
                <w:rFonts w:asciiTheme="minorHAnsi" w:hAnsiTheme="minorHAnsi" w:cstheme="minorHAnsi"/>
                <w:bCs/>
                <w:sz w:val="20"/>
                <w:lang w:val="fr-FR"/>
              </w:rPr>
              <w:t> » dument rempli et signé</w:t>
            </w:r>
          </w:p>
          <w:p w14:paraId="3CD6E5D5" w14:textId="77777777" w:rsidR="008F2160" w:rsidRPr="00D310B9" w:rsidRDefault="008F216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1 Relevé d’Identité bancaire</w:t>
            </w:r>
          </w:p>
          <w:p w14:paraId="1B3BFA1E" w14:textId="77777777" w:rsidR="008F2160" w:rsidRPr="00D310B9" w:rsidRDefault="008F216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1 copie du passeport</w:t>
            </w:r>
          </w:p>
          <w:p w14:paraId="66F70D4A" w14:textId="77777777" w:rsidR="008F2160" w:rsidRPr="00D310B9" w:rsidRDefault="008F216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1 copie du certificat de formation en ligne « </w:t>
            </w:r>
            <w:proofErr w:type="spellStart"/>
            <w:proofErr w:type="gramStart"/>
            <w:r w:rsidRPr="00D310B9">
              <w:rPr>
                <w:rFonts w:asciiTheme="minorHAnsi" w:hAnsiTheme="minorHAnsi" w:cstheme="minorHAnsi"/>
                <w:bCs/>
                <w:sz w:val="20"/>
                <w:lang w:val="fr-FR"/>
              </w:rPr>
              <w:t>Bsafe</w:t>
            </w:r>
            <w:proofErr w:type="spellEnd"/>
            <w:r w:rsidRPr="00D310B9">
              <w:rPr>
                <w:rFonts w:asciiTheme="minorHAnsi" w:hAnsiTheme="minorHAnsi" w:cstheme="minorHAnsi"/>
                <w:bCs/>
                <w:sz w:val="20"/>
                <w:lang w:val="fr-FR"/>
              </w:rPr>
              <w:t>»</w:t>
            </w:r>
            <w:proofErr w:type="gramEnd"/>
            <w:r w:rsidRPr="00D310B9">
              <w:rPr>
                <w:rFonts w:asciiTheme="minorHAnsi" w:hAnsiTheme="minorHAnsi" w:cstheme="minorHAnsi"/>
                <w:bCs/>
                <w:sz w:val="20"/>
                <w:lang w:val="fr-FR"/>
              </w:rPr>
              <w:t xml:space="preserve"> </w:t>
            </w:r>
          </w:p>
          <w:p w14:paraId="2EC5B929" w14:textId="77777777" w:rsidR="008F2160" w:rsidRPr="00D310B9" w:rsidRDefault="008F216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 xml:space="preserve">1 copie du certificat de formation en ligne « Ethics and </w:t>
            </w:r>
            <w:proofErr w:type="spellStart"/>
            <w:r w:rsidRPr="00D310B9">
              <w:rPr>
                <w:rFonts w:asciiTheme="minorHAnsi" w:hAnsiTheme="minorHAnsi" w:cstheme="minorHAnsi"/>
                <w:bCs/>
                <w:sz w:val="20"/>
                <w:lang w:val="fr-FR"/>
              </w:rPr>
              <w:t>Integrity</w:t>
            </w:r>
            <w:proofErr w:type="spellEnd"/>
            <w:r w:rsidRPr="00D310B9">
              <w:rPr>
                <w:rFonts w:asciiTheme="minorHAnsi" w:hAnsiTheme="minorHAnsi" w:cstheme="minorHAnsi"/>
                <w:bCs/>
                <w:sz w:val="20"/>
                <w:lang w:val="fr-FR"/>
              </w:rPr>
              <w:t xml:space="preserve"> at </w:t>
            </w:r>
            <w:proofErr w:type="gramStart"/>
            <w:r w:rsidRPr="00D310B9">
              <w:rPr>
                <w:rFonts w:asciiTheme="minorHAnsi" w:hAnsiTheme="minorHAnsi" w:cstheme="minorHAnsi"/>
                <w:bCs/>
                <w:sz w:val="20"/>
                <w:lang w:val="fr-FR"/>
              </w:rPr>
              <w:t>UNICEF»</w:t>
            </w:r>
            <w:proofErr w:type="gramEnd"/>
            <w:r w:rsidRPr="00D310B9">
              <w:rPr>
                <w:rFonts w:asciiTheme="minorHAnsi" w:hAnsiTheme="minorHAnsi" w:cstheme="minorHAnsi"/>
                <w:bCs/>
                <w:sz w:val="20"/>
                <w:lang w:val="fr-FR"/>
              </w:rPr>
              <w:t xml:space="preserve"> </w:t>
            </w:r>
          </w:p>
          <w:p w14:paraId="725D153C" w14:textId="77777777" w:rsidR="008F2160" w:rsidRPr="00D310B9" w:rsidRDefault="008F2160"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 xml:space="preserve">1 copie du certificat de formation en ligne « Prevention of </w:t>
            </w:r>
            <w:proofErr w:type="spellStart"/>
            <w:r w:rsidRPr="00D310B9">
              <w:rPr>
                <w:rFonts w:asciiTheme="minorHAnsi" w:hAnsiTheme="minorHAnsi" w:cstheme="minorHAnsi"/>
                <w:bCs/>
                <w:sz w:val="20"/>
                <w:lang w:val="fr-FR"/>
              </w:rPr>
              <w:t>Sexual</w:t>
            </w:r>
            <w:proofErr w:type="spellEnd"/>
            <w:r w:rsidRPr="00D310B9">
              <w:rPr>
                <w:rFonts w:asciiTheme="minorHAnsi" w:hAnsiTheme="minorHAnsi" w:cstheme="minorHAnsi"/>
                <w:bCs/>
                <w:sz w:val="20"/>
                <w:lang w:val="fr-FR"/>
              </w:rPr>
              <w:t xml:space="preserve"> </w:t>
            </w:r>
            <w:proofErr w:type="spellStart"/>
            <w:r w:rsidRPr="00D310B9">
              <w:rPr>
                <w:rFonts w:asciiTheme="minorHAnsi" w:hAnsiTheme="minorHAnsi" w:cstheme="minorHAnsi"/>
                <w:bCs/>
                <w:sz w:val="20"/>
                <w:lang w:val="fr-FR"/>
              </w:rPr>
              <w:t>Harassment</w:t>
            </w:r>
            <w:proofErr w:type="spellEnd"/>
            <w:r w:rsidRPr="00D310B9">
              <w:rPr>
                <w:rFonts w:asciiTheme="minorHAnsi" w:hAnsiTheme="minorHAnsi" w:cstheme="minorHAnsi"/>
                <w:bCs/>
                <w:sz w:val="20"/>
                <w:lang w:val="fr-FR"/>
              </w:rPr>
              <w:t xml:space="preserve"> and Abuse of </w:t>
            </w:r>
            <w:proofErr w:type="spellStart"/>
            <w:r w:rsidRPr="00D310B9">
              <w:rPr>
                <w:rFonts w:asciiTheme="minorHAnsi" w:hAnsiTheme="minorHAnsi" w:cstheme="minorHAnsi"/>
                <w:bCs/>
                <w:sz w:val="20"/>
                <w:lang w:val="fr-FR"/>
              </w:rPr>
              <w:t>Authority</w:t>
            </w:r>
            <w:proofErr w:type="spellEnd"/>
            <w:r w:rsidRPr="00D310B9">
              <w:rPr>
                <w:rFonts w:asciiTheme="minorHAnsi" w:hAnsiTheme="minorHAnsi" w:cstheme="minorHAnsi"/>
                <w:bCs/>
                <w:sz w:val="20"/>
                <w:lang w:val="fr-FR"/>
              </w:rPr>
              <w:t xml:space="preserve"> » </w:t>
            </w:r>
          </w:p>
          <w:p w14:paraId="66A76B12" w14:textId="0936F283" w:rsidR="008F2160" w:rsidRPr="00D310B9" w:rsidRDefault="008F2160" w:rsidP="007D7C8D">
            <w:pPr>
              <w:pStyle w:val="ListParagraph"/>
              <w:numPr>
                <w:ilvl w:val="0"/>
                <w:numId w:val="8"/>
              </w:numPr>
              <w:spacing w:line="260" w:lineRule="exact"/>
              <w:rPr>
                <w:rFonts w:asciiTheme="minorHAnsi" w:hAnsiTheme="minorHAnsi" w:cstheme="minorHAnsi"/>
                <w:b/>
                <w:bCs/>
                <w:sz w:val="20"/>
                <w:lang w:val="fr-FR"/>
              </w:rPr>
            </w:pPr>
            <w:r w:rsidRPr="00D310B9">
              <w:rPr>
                <w:rFonts w:asciiTheme="minorHAnsi" w:hAnsiTheme="minorHAnsi" w:cstheme="minorHAnsi"/>
                <w:bCs/>
                <w:sz w:val="20"/>
                <w:lang w:val="fr-FR"/>
              </w:rPr>
              <w:t xml:space="preserve">1 copie du certificat de formation en ligne « Prevention of </w:t>
            </w:r>
            <w:proofErr w:type="spellStart"/>
            <w:r w:rsidRPr="00D310B9">
              <w:rPr>
                <w:rFonts w:asciiTheme="minorHAnsi" w:hAnsiTheme="minorHAnsi" w:cstheme="minorHAnsi"/>
                <w:bCs/>
                <w:sz w:val="20"/>
                <w:lang w:val="fr-FR"/>
              </w:rPr>
              <w:t>Sexual</w:t>
            </w:r>
            <w:proofErr w:type="spellEnd"/>
            <w:r w:rsidRPr="00D310B9">
              <w:rPr>
                <w:rFonts w:asciiTheme="minorHAnsi" w:hAnsiTheme="minorHAnsi" w:cstheme="minorHAnsi"/>
                <w:bCs/>
                <w:sz w:val="20"/>
                <w:lang w:val="fr-FR"/>
              </w:rPr>
              <w:t xml:space="preserve"> Exploitation and Abuse</w:t>
            </w:r>
            <w:r w:rsidRPr="00D310B9">
              <w:rPr>
                <w:rFonts w:asciiTheme="minorHAnsi" w:hAnsiTheme="minorHAnsi" w:cstheme="minorHAnsi"/>
                <w:b/>
                <w:bCs/>
                <w:sz w:val="20"/>
                <w:lang w:val="fr-FR"/>
              </w:rPr>
              <w:t xml:space="preserve"> » </w:t>
            </w:r>
          </w:p>
        </w:tc>
      </w:tr>
      <w:tr w:rsidR="008F2160" w:rsidRPr="00D310B9" w14:paraId="6C694539" w14:textId="77777777" w:rsidTr="00C67447">
        <w:tc>
          <w:tcPr>
            <w:tcW w:w="10833" w:type="dxa"/>
            <w:gridSpan w:val="2"/>
          </w:tcPr>
          <w:p w14:paraId="6968C7E8" w14:textId="2D59916E" w:rsidR="008F2160" w:rsidRPr="00D310B9" w:rsidRDefault="00DC1862" w:rsidP="007D7C8D">
            <w:pPr>
              <w:numPr>
                <w:ilvl w:val="0"/>
                <w:numId w:val="1"/>
              </w:numPr>
              <w:spacing w:line="260" w:lineRule="exact"/>
              <w:rPr>
                <w:rFonts w:asciiTheme="minorHAnsi" w:hAnsiTheme="minorHAnsi" w:cstheme="minorHAnsi"/>
                <w:b/>
                <w:color w:val="0070C0"/>
                <w:sz w:val="20"/>
                <w:lang w:val="fr-FR"/>
              </w:rPr>
            </w:pPr>
            <w:r w:rsidRPr="00D310B9">
              <w:rPr>
                <w:rFonts w:asciiTheme="minorHAnsi" w:hAnsiTheme="minorHAnsi" w:cstheme="minorHAnsi"/>
                <w:b/>
                <w:color w:val="0070C0"/>
                <w:sz w:val="20"/>
                <w:lang w:val="fr-FR"/>
              </w:rPr>
              <w:t>DOSSIER DE CANDIDATURE</w:t>
            </w:r>
            <w:r w:rsidR="003367F5" w:rsidRPr="00D310B9">
              <w:rPr>
                <w:rFonts w:asciiTheme="minorHAnsi" w:hAnsiTheme="minorHAnsi" w:cstheme="minorHAnsi"/>
                <w:b/>
                <w:color w:val="0070C0"/>
                <w:sz w:val="20"/>
                <w:lang w:val="fr-FR"/>
              </w:rPr>
              <w:t> :</w:t>
            </w:r>
          </w:p>
          <w:p w14:paraId="1DFF804D" w14:textId="77777777" w:rsidR="00E20B36" w:rsidRPr="00D310B9" w:rsidRDefault="00E20B36" w:rsidP="00E20B36">
            <w:pPr>
              <w:pStyle w:val="Caption"/>
              <w:rPr>
                <w:rFonts w:asciiTheme="minorHAnsi" w:hAnsiTheme="minorHAnsi" w:cstheme="minorHAnsi"/>
                <w:b w:val="0"/>
                <w:bCs w:val="0"/>
                <w:sz w:val="20"/>
                <w:lang w:val="fr-FR"/>
              </w:rPr>
            </w:pPr>
            <w:r w:rsidRPr="00D310B9">
              <w:rPr>
                <w:rFonts w:asciiTheme="minorHAnsi" w:hAnsiTheme="minorHAnsi" w:cstheme="minorHAnsi"/>
                <w:b w:val="0"/>
                <w:bCs w:val="0"/>
                <w:sz w:val="20"/>
                <w:lang w:val="fr-FR"/>
              </w:rPr>
              <w:t>Les personnes intéressées devront soumettre :</w:t>
            </w:r>
          </w:p>
          <w:p w14:paraId="6DE9C04B" w14:textId="77777777" w:rsidR="00E20B36" w:rsidRPr="00D310B9" w:rsidRDefault="00E20B36" w:rsidP="00E20B36">
            <w:pPr>
              <w:pStyle w:val="Caption"/>
              <w:rPr>
                <w:rFonts w:asciiTheme="minorHAnsi" w:hAnsiTheme="minorHAnsi" w:cstheme="minorHAnsi"/>
                <w:b w:val="0"/>
                <w:bCs w:val="0"/>
                <w:sz w:val="20"/>
                <w:lang w:val="fr-FR"/>
              </w:rPr>
            </w:pPr>
            <w:r w:rsidRPr="00D310B9">
              <w:rPr>
                <w:rFonts w:asciiTheme="minorHAnsi" w:hAnsiTheme="minorHAnsi" w:cstheme="minorHAnsi"/>
                <w:b w:val="0"/>
                <w:bCs w:val="0"/>
                <w:sz w:val="20"/>
                <w:lang w:val="fr-FR"/>
              </w:rPr>
              <w:t>-</w:t>
            </w:r>
            <w:r w:rsidRPr="00D310B9">
              <w:rPr>
                <w:rFonts w:asciiTheme="minorHAnsi" w:hAnsiTheme="minorHAnsi" w:cstheme="minorHAnsi"/>
                <w:b w:val="0"/>
                <w:bCs w:val="0"/>
                <w:sz w:val="20"/>
                <w:lang w:val="fr-FR"/>
              </w:rPr>
              <w:tab/>
            </w:r>
            <w:r w:rsidRPr="00D310B9">
              <w:rPr>
                <w:rFonts w:asciiTheme="minorHAnsi" w:hAnsiTheme="minorHAnsi" w:cstheme="minorHAnsi"/>
                <w:sz w:val="20"/>
                <w:lang w:val="fr-FR"/>
              </w:rPr>
              <w:t>Une offre technique composée de</w:t>
            </w:r>
            <w:r w:rsidRPr="00D310B9">
              <w:rPr>
                <w:rFonts w:asciiTheme="minorHAnsi" w:hAnsiTheme="minorHAnsi" w:cstheme="minorHAnsi"/>
                <w:b w:val="0"/>
                <w:bCs w:val="0"/>
                <w:sz w:val="20"/>
                <w:lang w:val="fr-FR"/>
              </w:rPr>
              <w:t xml:space="preserve"> : </w:t>
            </w:r>
          </w:p>
          <w:p w14:paraId="3B82F189" w14:textId="792FF0F0" w:rsidR="00E20B36" w:rsidRPr="00D310B9" w:rsidRDefault="00C14B23"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Un</w:t>
            </w:r>
            <w:r w:rsidR="00E20B36" w:rsidRPr="00D310B9">
              <w:rPr>
                <w:rFonts w:asciiTheme="minorHAnsi" w:hAnsiTheme="minorHAnsi" w:cstheme="minorHAnsi"/>
                <w:bCs/>
                <w:sz w:val="20"/>
                <w:lang w:val="fr-FR"/>
              </w:rPr>
              <w:t xml:space="preserve"> CV détaillé faisant ressortir les compétences académiques, l’expérience professionnelle et tout autre information utile pour ce dossier ; </w:t>
            </w:r>
          </w:p>
          <w:p w14:paraId="2978EB04" w14:textId="685EE136" w:rsidR="00E20B36" w:rsidRPr="00D310B9" w:rsidRDefault="00C14B23"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La</w:t>
            </w:r>
            <w:r w:rsidR="00E20B36" w:rsidRPr="00D310B9">
              <w:rPr>
                <w:rFonts w:asciiTheme="minorHAnsi" w:hAnsiTheme="minorHAnsi" w:cstheme="minorHAnsi"/>
                <w:bCs/>
                <w:sz w:val="20"/>
                <w:lang w:val="fr-FR"/>
              </w:rPr>
              <w:t xml:space="preserve"> copie certifiée du diplôme, attestation de travail ou de bonnes fins des services ;</w:t>
            </w:r>
          </w:p>
          <w:p w14:paraId="1EDCAE8E" w14:textId="3E944CEA" w:rsidR="00E20B36" w:rsidRPr="00D310B9" w:rsidRDefault="00E20B36"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Un ou des exemples (lien vers documents publiés) de productions similaires requises pour la position.</w:t>
            </w:r>
          </w:p>
          <w:p w14:paraId="1321369C" w14:textId="77777777" w:rsidR="00E20B36" w:rsidRPr="00D310B9" w:rsidRDefault="00E20B36" w:rsidP="00E20B36">
            <w:pPr>
              <w:pStyle w:val="Caption"/>
              <w:rPr>
                <w:rFonts w:asciiTheme="minorHAnsi" w:hAnsiTheme="minorHAnsi" w:cstheme="minorHAnsi"/>
                <w:b w:val="0"/>
                <w:bCs w:val="0"/>
                <w:sz w:val="20"/>
                <w:lang w:val="fr-FR"/>
              </w:rPr>
            </w:pPr>
            <w:r w:rsidRPr="00D310B9">
              <w:rPr>
                <w:rFonts w:asciiTheme="minorHAnsi" w:hAnsiTheme="minorHAnsi" w:cstheme="minorHAnsi"/>
                <w:b w:val="0"/>
                <w:bCs w:val="0"/>
                <w:sz w:val="20"/>
                <w:lang w:val="fr-FR"/>
              </w:rPr>
              <w:t>-</w:t>
            </w:r>
            <w:r w:rsidRPr="00D310B9">
              <w:rPr>
                <w:rFonts w:asciiTheme="minorHAnsi" w:hAnsiTheme="minorHAnsi" w:cstheme="minorHAnsi"/>
                <w:b w:val="0"/>
                <w:bCs w:val="0"/>
                <w:sz w:val="20"/>
                <w:lang w:val="fr-FR"/>
              </w:rPr>
              <w:tab/>
            </w:r>
            <w:r w:rsidRPr="00D310B9">
              <w:rPr>
                <w:rFonts w:asciiTheme="minorHAnsi" w:hAnsiTheme="minorHAnsi" w:cstheme="minorHAnsi"/>
                <w:sz w:val="20"/>
                <w:lang w:val="fr-FR"/>
              </w:rPr>
              <w:t>Une offre financière indiquant clairement :</w:t>
            </w:r>
            <w:r w:rsidRPr="00D310B9">
              <w:rPr>
                <w:rFonts w:asciiTheme="minorHAnsi" w:hAnsiTheme="minorHAnsi" w:cstheme="minorHAnsi"/>
                <w:b w:val="0"/>
                <w:bCs w:val="0"/>
                <w:sz w:val="20"/>
                <w:lang w:val="fr-FR"/>
              </w:rPr>
              <w:t xml:space="preserve"> </w:t>
            </w:r>
          </w:p>
          <w:p w14:paraId="10ED54F0" w14:textId="027B7DF2" w:rsidR="00C14B23" w:rsidRPr="00D310B9" w:rsidRDefault="00E20B36"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bCs/>
                <w:sz w:val="20"/>
                <w:lang w:val="fr-FR"/>
              </w:rPr>
              <w:t>Les honoraires et les frais de communication</w:t>
            </w:r>
            <w:r w:rsidR="00EF5E2B" w:rsidRPr="00D310B9">
              <w:rPr>
                <w:rFonts w:asciiTheme="minorHAnsi" w:hAnsiTheme="minorHAnsi" w:cstheme="minorHAnsi"/>
                <w:bCs/>
                <w:sz w:val="20"/>
                <w:lang w:val="fr-FR"/>
              </w:rPr>
              <w:t> ;</w:t>
            </w:r>
          </w:p>
          <w:p w14:paraId="56718DE9" w14:textId="77777777" w:rsidR="00B366C3" w:rsidRPr="00D310B9" w:rsidRDefault="00E20B36"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sz w:val="20"/>
                <w:lang w:val="fr-FR"/>
              </w:rPr>
              <w:lastRenderedPageBreak/>
              <w:t xml:space="preserve">Les </w:t>
            </w:r>
            <w:proofErr w:type="spellStart"/>
            <w:r w:rsidRPr="00D310B9">
              <w:rPr>
                <w:rFonts w:asciiTheme="minorHAnsi" w:hAnsiTheme="minorHAnsi" w:cstheme="minorHAnsi"/>
                <w:sz w:val="20"/>
                <w:lang w:val="fr-FR"/>
              </w:rPr>
              <w:t>perdiems</w:t>
            </w:r>
            <w:proofErr w:type="spellEnd"/>
            <w:r w:rsidRPr="00D310B9">
              <w:rPr>
                <w:rFonts w:asciiTheme="minorHAnsi" w:hAnsiTheme="minorHAnsi" w:cstheme="minorHAnsi"/>
                <w:sz w:val="20"/>
                <w:lang w:val="fr-FR"/>
              </w:rPr>
              <w:t xml:space="preserve"> seront pris en charge par l’UNICEF selon le barème en vigueur des Nations Unies. Aucun autre coût ne sera pris en charge par l’UNICEF</w:t>
            </w:r>
            <w:r w:rsidR="00C9389A" w:rsidRPr="00D310B9">
              <w:rPr>
                <w:rFonts w:asciiTheme="minorHAnsi" w:hAnsiTheme="minorHAnsi" w:cstheme="minorHAnsi"/>
                <w:sz w:val="20"/>
                <w:lang w:val="fr-FR"/>
              </w:rPr>
              <w:t>,</w:t>
            </w:r>
          </w:p>
          <w:p w14:paraId="4866DFFE" w14:textId="57C9092B" w:rsidR="00E20B36" w:rsidRPr="00D310B9" w:rsidRDefault="00E20B36" w:rsidP="007D7C8D">
            <w:pPr>
              <w:pStyle w:val="ListParagraph"/>
              <w:numPr>
                <w:ilvl w:val="0"/>
                <w:numId w:val="8"/>
              </w:numPr>
              <w:spacing w:line="260" w:lineRule="exact"/>
              <w:rPr>
                <w:rFonts w:asciiTheme="minorHAnsi" w:hAnsiTheme="minorHAnsi" w:cstheme="minorHAnsi"/>
                <w:bCs/>
                <w:sz w:val="20"/>
                <w:lang w:val="fr-FR"/>
              </w:rPr>
            </w:pPr>
            <w:r w:rsidRPr="00D310B9">
              <w:rPr>
                <w:rFonts w:asciiTheme="minorHAnsi" w:hAnsiTheme="minorHAnsi" w:cstheme="minorHAnsi"/>
                <w:sz w:val="20"/>
                <w:lang w:val="fr-FR"/>
              </w:rPr>
              <w:t>Les offres incomplètes ne seront pas prises en compte.</w:t>
            </w:r>
          </w:p>
          <w:p w14:paraId="37D3E1C9" w14:textId="68609702" w:rsidR="00E20B36" w:rsidRPr="00D310B9" w:rsidRDefault="00E20B36" w:rsidP="00E20B36">
            <w:pPr>
              <w:pStyle w:val="Caption"/>
              <w:rPr>
                <w:rFonts w:asciiTheme="minorHAnsi" w:hAnsiTheme="minorHAnsi" w:cstheme="minorHAnsi"/>
                <w:sz w:val="20"/>
                <w:lang w:val="fr-FR"/>
              </w:rPr>
            </w:pPr>
            <w:r w:rsidRPr="00D310B9">
              <w:rPr>
                <w:rFonts w:asciiTheme="minorHAnsi" w:hAnsiTheme="minorHAnsi" w:cstheme="minorHAnsi"/>
                <w:b w:val="0"/>
                <w:bCs w:val="0"/>
                <w:sz w:val="20"/>
                <w:lang w:val="fr-FR"/>
              </w:rPr>
              <w:t>-</w:t>
            </w:r>
            <w:r w:rsidRPr="00D310B9">
              <w:rPr>
                <w:rFonts w:asciiTheme="minorHAnsi" w:hAnsiTheme="minorHAnsi" w:cstheme="minorHAnsi"/>
                <w:b w:val="0"/>
                <w:bCs w:val="0"/>
                <w:sz w:val="20"/>
                <w:lang w:val="fr-FR"/>
              </w:rPr>
              <w:tab/>
            </w:r>
            <w:r w:rsidRPr="00D310B9">
              <w:rPr>
                <w:rFonts w:asciiTheme="minorHAnsi" w:hAnsiTheme="minorHAnsi" w:cstheme="minorHAnsi"/>
                <w:sz w:val="20"/>
                <w:lang w:val="fr-FR"/>
              </w:rPr>
              <w:t>Un ou deux exemples de travail similaire pertinent, idéalement sur la coordination sectorielle (lien vers document public accepté).</w:t>
            </w:r>
          </w:p>
          <w:p w14:paraId="352B39B0" w14:textId="77777777" w:rsidR="008F2160" w:rsidRPr="00D310B9" w:rsidRDefault="00E20B36" w:rsidP="00E20B36">
            <w:pPr>
              <w:pStyle w:val="Caption"/>
              <w:rPr>
                <w:rFonts w:asciiTheme="minorHAnsi" w:hAnsiTheme="minorHAnsi" w:cstheme="minorHAnsi"/>
                <w:b w:val="0"/>
                <w:bCs w:val="0"/>
                <w:sz w:val="20"/>
                <w:lang w:val="fr-FR"/>
              </w:rPr>
            </w:pPr>
            <w:r w:rsidRPr="00D310B9">
              <w:rPr>
                <w:rFonts w:asciiTheme="minorHAnsi" w:hAnsiTheme="minorHAnsi" w:cstheme="minorHAnsi"/>
                <w:b w:val="0"/>
                <w:bCs w:val="0"/>
                <w:sz w:val="20"/>
                <w:lang w:val="fr-FR"/>
              </w:rPr>
              <w:t>Les frais de voyage et DSA seront couverts conformément aux règles et règlements de l’UNICEF. Aucune autre rémunération ne s'applique.</w:t>
            </w:r>
          </w:p>
          <w:p w14:paraId="584F11C3" w14:textId="5689AE71" w:rsidR="003367F5" w:rsidRPr="00D310B9" w:rsidRDefault="003367F5" w:rsidP="003367F5">
            <w:pPr>
              <w:rPr>
                <w:rFonts w:asciiTheme="minorHAnsi" w:hAnsiTheme="minorHAnsi" w:cstheme="minorHAnsi"/>
                <w:lang w:val="fr-FR"/>
              </w:rPr>
            </w:pPr>
          </w:p>
        </w:tc>
      </w:tr>
      <w:tr w:rsidR="002E54DD" w:rsidRPr="00C27AAD" w14:paraId="1184DDFD" w14:textId="77777777" w:rsidTr="00C67447">
        <w:tc>
          <w:tcPr>
            <w:tcW w:w="10833" w:type="dxa"/>
            <w:gridSpan w:val="2"/>
          </w:tcPr>
          <w:p w14:paraId="437EEA5C" w14:textId="29C5F07F" w:rsidR="003367F5" w:rsidRPr="00D310B9" w:rsidRDefault="003367F5" w:rsidP="007D7C8D">
            <w:pPr>
              <w:numPr>
                <w:ilvl w:val="0"/>
                <w:numId w:val="1"/>
              </w:numPr>
              <w:spacing w:line="260" w:lineRule="exact"/>
              <w:rPr>
                <w:rFonts w:asciiTheme="minorHAnsi" w:hAnsiTheme="minorHAnsi" w:cstheme="minorHAnsi"/>
                <w:b/>
                <w:color w:val="0070C0"/>
                <w:sz w:val="20"/>
                <w:lang w:val="fr-FR"/>
              </w:rPr>
            </w:pPr>
            <w:r w:rsidRPr="00D310B9">
              <w:rPr>
                <w:rFonts w:asciiTheme="minorHAnsi" w:hAnsiTheme="minorHAnsi" w:cstheme="minorHAnsi"/>
                <w:b/>
                <w:color w:val="0070C0"/>
                <w:sz w:val="20"/>
                <w:lang w:val="fr-FR"/>
              </w:rPr>
              <w:lastRenderedPageBreak/>
              <w:t>CRITERES D’EVALUATION DES CANDIDATURES :</w:t>
            </w:r>
          </w:p>
          <w:p w14:paraId="76F1AB2D" w14:textId="77777777" w:rsidR="003367F5" w:rsidRPr="00D310B9" w:rsidRDefault="003367F5" w:rsidP="003367F5">
            <w:pPr>
              <w:rPr>
                <w:rFonts w:asciiTheme="minorHAnsi" w:hAnsiTheme="minorHAnsi" w:cstheme="minorHAnsi"/>
                <w:sz w:val="20"/>
                <w:lang w:val="fr-FR"/>
              </w:rPr>
            </w:pPr>
            <w:r w:rsidRPr="00D310B9">
              <w:rPr>
                <w:rFonts w:asciiTheme="minorHAnsi" w:hAnsiTheme="minorHAnsi" w:cstheme="minorHAnsi"/>
                <w:sz w:val="20"/>
                <w:lang w:val="fr-FR"/>
              </w:rPr>
              <w:t>L’évaluation des candidatures va être faite en 3 étapes</w:t>
            </w:r>
          </w:p>
          <w:p w14:paraId="3040E2CC" w14:textId="77777777" w:rsidR="003367F5" w:rsidRPr="00D310B9" w:rsidRDefault="003367F5" w:rsidP="003367F5">
            <w:pPr>
              <w:rPr>
                <w:rFonts w:asciiTheme="minorHAnsi" w:hAnsiTheme="minorHAnsi" w:cstheme="minorHAnsi"/>
                <w:sz w:val="20"/>
                <w:lang w:val="fr-FR"/>
              </w:rPr>
            </w:pPr>
          </w:p>
          <w:p w14:paraId="444972EB" w14:textId="77777777" w:rsidR="003367F5" w:rsidRPr="00D310B9" w:rsidRDefault="003367F5" w:rsidP="003367F5">
            <w:pPr>
              <w:rPr>
                <w:rFonts w:asciiTheme="minorHAnsi" w:hAnsiTheme="minorHAnsi" w:cstheme="minorHAnsi"/>
                <w:b/>
                <w:bCs/>
                <w:sz w:val="20"/>
                <w:lang w:val="fr-FR"/>
              </w:rPr>
            </w:pPr>
            <w:r w:rsidRPr="00D310B9">
              <w:rPr>
                <w:rFonts w:asciiTheme="minorHAnsi" w:hAnsiTheme="minorHAnsi" w:cstheme="minorHAnsi"/>
                <w:b/>
                <w:bCs/>
                <w:sz w:val="20"/>
                <w:lang w:val="fr-FR"/>
              </w:rPr>
              <w:t>1. Evaluation technique</w:t>
            </w:r>
          </w:p>
          <w:p w14:paraId="50CA6DCC" w14:textId="77777777" w:rsidR="003367F5" w:rsidRPr="00D310B9" w:rsidRDefault="003367F5" w:rsidP="003367F5">
            <w:pPr>
              <w:rPr>
                <w:rFonts w:asciiTheme="minorHAnsi" w:hAnsiTheme="minorHAnsi" w:cstheme="minorHAnsi"/>
                <w:sz w:val="20"/>
                <w:lang w:val="fr-FR"/>
              </w:rPr>
            </w:pPr>
            <w:r w:rsidRPr="00D310B9">
              <w:rPr>
                <w:rFonts w:asciiTheme="minorHAnsi" w:hAnsiTheme="minorHAnsi" w:cstheme="minorHAnsi"/>
                <w:sz w:val="20"/>
                <w:lang w:val="fr-FR"/>
              </w:rPr>
              <w:t>Elle va être faite selon les critères ci-dessous</w:t>
            </w:r>
          </w:p>
          <w:p w14:paraId="00E30F71" w14:textId="77777777" w:rsidR="003367F5" w:rsidRPr="00D310B9" w:rsidRDefault="003367F5" w:rsidP="003367F5">
            <w:pPr>
              <w:rPr>
                <w:rFonts w:asciiTheme="minorHAnsi" w:hAnsiTheme="minorHAnsi" w:cstheme="minorHAnsi"/>
                <w:sz w:val="20"/>
                <w:lang w:val="fr-FR"/>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75"/>
              <w:gridCol w:w="1680"/>
            </w:tblGrid>
            <w:tr w:rsidR="003367F5" w:rsidRPr="00D310B9" w14:paraId="7C7F143B" w14:textId="77777777" w:rsidTr="003367F5">
              <w:trPr>
                <w:trHeight w:val="292"/>
              </w:trPr>
              <w:tc>
                <w:tcPr>
                  <w:tcW w:w="8875" w:type="dxa"/>
                  <w:shd w:val="clear" w:color="auto" w:fill="00B0F0"/>
                  <w:tcMar>
                    <w:top w:w="0" w:type="dxa"/>
                    <w:left w:w="108" w:type="dxa"/>
                    <w:bottom w:w="0" w:type="dxa"/>
                    <w:right w:w="108" w:type="dxa"/>
                  </w:tcMar>
                  <w:vAlign w:val="center"/>
                  <w:hideMark/>
                </w:tcPr>
                <w:p w14:paraId="21D41DD9" w14:textId="77777777" w:rsidR="003367F5" w:rsidRPr="00D310B9" w:rsidRDefault="003367F5" w:rsidP="003367F5">
                  <w:pPr>
                    <w:rPr>
                      <w:rFonts w:asciiTheme="minorHAnsi" w:hAnsiTheme="minorHAnsi" w:cstheme="minorHAnsi"/>
                      <w:bCs/>
                      <w:color w:val="FFFFFF" w:themeColor="background1"/>
                      <w:sz w:val="20"/>
                    </w:rPr>
                  </w:pPr>
                  <w:proofErr w:type="spellStart"/>
                  <w:r w:rsidRPr="00D310B9">
                    <w:rPr>
                      <w:rFonts w:asciiTheme="minorHAnsi" w:hAnsiTheme="minorHAnsi" w:cstheme="minorHAnsi"/>
                      <w:bCs/>
                      <w:color w:val="FFFFFF" w:themeColor="background1"/>
                      <w:sz w:val="20"/>
                    </w:rPr>
                    <w:t>Critères</w:t>
                  </w:r>
                  <w:proofErr w:type="spellEnd"/>
                </w:p>
              </w:tc>
              <w:tc>
                <w:tcPr>
                  <w:tcW w:w="1680" w:type="dxa"/>
                  <w:shd w:val="clear" w:color="auto" w:fill="00B0F0"/>
                  <w:tcMar>
                    <w:top w:w="0" w:type="dxa"/>
                    <w:left w:w="108" w:type="dxa"/>
                    <w:bottom w:w="0" w:type="dxa"/>
                    <w:right w:w="108" w:type="dxa"/>
                  </w:tcMar>
                  <w:hideMark/>
                </w:tcPr>
                <w:p w14:paraId="6189BF5C" w14:textId="67EB7A69" w:rsidR="003367F5" w:rsidRPr="00D310B9" w:rsidRDefault="003367F5" w:rsidP="003367F5">
                  <w:pPr>
                    <w:rPr>
                      <w:rFonts w:asciiTheme="minorHAnsi" w:hAnsiTheme="minorHAnsi" w:cstheme="minorHAnsi"/>
                      <w:bCs/>
                      <w:color w:val="FFFFFF" w:themeColor="background1"/>
                      <w:sz w:val="20"/>
                    </w:rPr>
                  </w:pPr>
                  <w:proofErr w:type="spellStart"/>
                  <w:r w:rsidRPr="00D310B9">
                    <w:rPr>
                      <w:rFonts w:asciiTheme="minorHAnsi" w:hAnsiTheme="minorHAnsi" w:cstheme="minorHAnsi"/>
                      <w:bCs/>
                      <w:color w:val="FFFFFF" w:themeColor="background1"/>
                      <w:sz w:val="20"/>
                    </w:rPr>
                    <w:t>Nombre</w:t>
                  </w:r>
                  <w:proofErr w:type="spellEnd"/>
                  <w:r w:rsidRPr="00D310B9">
                    <w:rPr>
                      <w:rFonts w:asciiTheme="minorHAnsi" w:hAnsiTheme="minorHAnsi" w:cstheme="minorHAnsi"/>
                      <w:bCs/>
                      <w:color w:val="FFFFFF" w:themeColor="background1"/>
                      <w:sz w:val="20"/>
                    </w:rPr>
                    <w:t xml:space="preserve"> de points</w:t>
                  </w:r>
                </w:p>
              </w:tc>
            </w:tr>
            <w:tr w:rsidR="003367F5" w:rsidRPr="00D310B9" w14:paraId="3EC0AB85" w14:textId="77777777" w:rsidTr="003367F5">
              <w:trPr>
                <w:trHeight w:val="377"/>
              </w:trPr>
              <w:tc>
                <w:tcPr>
                  <w:tcW w:w="8875" w:type="dxa"/>
                  <w:shd w:val="clear" w:color="auto" w:fill="C6D9F1" w:themeFill="text2" w:themeFillTint="33"/>
                  <w:tcMar>
                    <w:top w:w="0" w:type="dxa"/>
                    <w:left w:w="108" w:type="dxa"/>
                    <w:bottom w:w="0" w:type="dxa"/>
                    <w:right w:w="108" w:type="dxa"/>
                  </w:tcMar>
                  <w:vAlign w:val="center"/>
                  <w:hideMark/>
                </w:tcPr>
                <w:p w14:paraId="323821DB" w14:textId="77777777" w:rsidR="003367F5" w:rsidRPr="00D310B9" w:rsidRDefault="003367F5" w:rsidP="003367F5">
                  <w:pPr>
                    <w:jc w:val="left"/>
                    <w:rPr>
                      <w:rFonts w:asciiTheme="minorHAnsi" w:hAnsiTheme="minorHAnsi" w:cstheme="minorHAnsi"/>
                      <w:bCs/>
                      <w:sz w:val="20"/>
                    </w:rPr>
                  </w:pPr>
                  <w:r w:rsidRPr="00D310B9">
                    <w:rPr>
                      <w:rFonts w:asciiTheme="minorHAnsi" w:hAnsiTheme="minorHAnsi" w:cstheme="minorHAnsi"/>
                      <w:bCs/>
                      <w:sz w:val="20"/>
                    </w:rPr>
                    <w:t xml:space="preserve">QUALIFICATION TECHNIQUE </w:t>
                  </w:r>
                </w:p>
              </w:tc>
              <w:tc>
                <w:tcPr>
                  <w:tcW w:w="1680" w:type="dxa"/>
                  <w:shd w:val="clear" w:color="auto" w:fill="C6D9F1" w:themeFill="text2" w:themeFillTint="33"/>
                  <w:tcMar>
                    <w:top w:w="0" w:type="dxa"/>
                    <w:left w:w="108" w:type="dxa"/>
                    <w:bottom w:w="0" w:type="dxa"/>
                    <w:right w:w="108" w:type="dxa"/>
                  </w:tcMar>
                  <w:vAlign w:val="center"/>
                  <w:hideMark/>
                </w:tcPr>
                <w:p w14:paraId="2E77A34E" w14:textId="77777777" w:rsidR="003367F5" w:rsidRPr="00D310B9" w:rsidRDefault="003367F5" w:rsidP="003367F5">
                  <w:pPr>
                    <w:rPr>
                      <w:rFonts w:asciiTheme="minorHAnsi" w:hAnsiTheme="minorHAnsi" w:cstheme="minorHAnsi"/>
                      <w:bCs/>
                      <w:sz w:val="20"/>
                    </w:rPr>
                  </w:pPr>
                </w:p>
              </w:tc>
            </w:tr>
            <w:tr w:rsidR="003367F5" w:rsidRPr="00D310B9" w14:paraId="41CC9EE2" w14:textId="77777777" w:rsidTr="003367F5">
              <w:trPr>
                <w:trHeight w:val="369"/>
              </w:trPr>
              <w:tc>
                <w:tcPr>
                  <w:tcW w:w="8875" w:type="dxa"/>
                  <w:tcMar>
                    <w:top w:w="0" w:type="dxa"/>
                    <w:left w:w="108" w:type="dxa"/>
                    <w:bottom w:w="0" w:type="dxa"/>
                    <w:right w:w="108" w:type="dxa"/>
                  </w:tcMar>
                  <w:vAlign w:val="center"/>
                </w:tcPr>
                <w:p w14:paraId="0080F266" w14:textId="77777777" w:rsidR="003367F5" w:rsidRPr="00D310B9" w:rsidRDefault="003367F5" w:rsidP="003367F5">
                  <w:pPr>
                    <w:jc w:val="left"/>
                    <w:rPr>
                      <w:rFonts w:asciiTheme="minorHAnsi" w:hAnsiTheme="minorHAnsi" w:cstheme="minorHAnsi"/>
                      <w:bCs/>
                      <w:sz w:val="20"/>
                      <w:lang w:val="fr-FR"/>
                    </w:rPr>
                  </w:pPr>
                  <w:r w:rsidRPr="00D310B9">
                    <w:rPr>
                      <w:rFonts w:asciiTheme="minorHAnsi" w:hAnsiTheme="minorHAnsi" w:cstheme="minorHAnsi"/>
                      <w:bCs/>
                      <w:sz w:val="20"/>
                      <w:lang w:val="fr-FR"/>
                    </w:rPr>
                    <w:t xml:space="preserve">Au moins </w:t>
                  </w:r>
                  <w:r w:rsidRPr="00D310B9">
                    <w:rPr>
                      <w:rFonts w:asciiTheme="minorHAnsi" w:hAnsiTheme="minorHAnsi" w:cstheme="minorHAnsi"/>
                      <w:sz w:val="20"/>
                      <w:lang w:val="fr-FR"/>
                    </w:rPr>
                    <w:t>5</w:t>
                  </w:r>
                  <w:r w:rsidRPr="00D310B9">
                    <w:rPr>
                      <w:rFonts w:asciiTheme="minorHAnsi" w:hAnsiTheme="minorHAnsi" w:cstheme="minorHAnsi"/>
                      <w:bCs/>
                      <w:sz w:val="20"/>
                      <w:lang w:val="fr-FR"/>
                    </w:rPr>
                    <w:t xml:space="preserve"> ans d'expérience de travail dans le domaine pertinent (Planification et coordination sectorielle)</w:t>
                  </w:r>
                </w:p>
              </w:tc>
              <w:tc>
                <w:tcPr>
                  <w:tcW w:w="1680" w:type="dxa"/>
                  <w:tcMar>
                    <w:top w:w="0" w:type="dxa"/>
                    <w:left w:w="108" w:type="dxa"/>
                    <w:bottom w:w="0" w:type="dxa"/>
                    <w:right w:w="108" w:type="dxa"/>
                  </w:tcMar>
                  <w:vAlign w:val="center"/>
                </w:tcPr>
                <w:p w14:paraId="6DDFE7CD" w14:textId="77777777" w:rsidR="003367F5" w:rsidRPr="00D310B9" w:rsidRDefault="003367F5" w:rsidP="003367F5">
                  <w:pPr>
                    <w:jc w:val="center"/>
                    <w:rPr>
                      <w:rFonts w:asciiTheme="minorHAnsi" w:hAnsiTheme="minorHAnsi" w:cstheme="minorHAnsi"/>
                      <w:bCs/>
                      <w:sz w:val="20"/>
                    </w:rPr>
                  </w:pPr>
                  <w:r w:rsidRPr="00D310B9">
                    <w:rPr>
                      <w:rFonts w:asciiTheme="minorHAnsi" w:hAnsiTheme="minorHAnsi" w:cstheme="minorHAnsi"/>
                      <w:bCs/>
                      <w:sz w:val="20"/>
                    </w:rPr>
                    <w:t>25</w:t>
                  </w:r>
                </w:p>
              </w:tc>
            </w:tr>
            <w:tr w:rsidR="003367F5" w:rsidRPr="00D310B9" w14:paraId="7430A60D" w14:textId="77777777" w:rsidTr="003367F5">
              <w:trPr>
                <w:trHeight w:val="323"/>
              </w:trPr>
              <w:tc>
                <w:tcPr>
                  <w:tcW w:w="8875" w:type="dxa"/>
                  <w:tcMar>
                    <w:top w:w="0" w:type="dxa"/>
                    <w:left w:w="108" w:type="dxa"/>
                    <w:bottom w:w="0" w:type="dxa"/>
                    <w:right w:w="108" w:type="dxa"/>
                  </w:tcMar>
                  <w:vAlign w:val="center"/>
                </w:tcPr>
                <w:p w14:paraId="61F80969" w14:textId="77777777" w:rsidR="003367F5" w:rsidRPr="00D310B9" w:rsidRDefault="003367F5" w:rsidP="003367F5">
                  <w:pPr>
                    <w:jc w:val="left"/>
                    <w:rPr>
                      <w:rFonts w:asciiTheme="minorHAnsi" w:hAnsiTheme="minorHAnsi" w:cstheme="minorHAnsi"/>
                      <w:bCs/>
                      <w:sz w:val="20"/>
                      <w:lang w:val="fr-FR"/>
                    </w:rPr>
                  </w:pPr>
                  <w:r w:rsidRPr="00D310B9">
                    <w:rPr>
                      <w:rFonts w:asciiTheme="minorHAnsi" w:hAnsiTheme="minorHAnsi" w:cstheme="minorHAnsi"/>
                      <w:bCs/>
                      <w:sz w:val="20"/>
                      <w:lang w:val="fr-FR"/>
                    </w:rPr>
                    <w:t>Bonne connaissance des plans et politiques sectoriels du Burkina Faso</w:t>
                  </w:r>
                </w:p>
              </w:tc>
              <w:tc>
                <w:tcPr>
                  <w:tcW w:w="1680" w:type="dxa"/>
                  <w:tcMar>
                    <w:top w:w="0" w:type="dxa"/>
                    <w:left w:w="108" w:type="dxa"/>
                    <w:bottom w:w="0" w:type="dxa"/>
                    <w:right w:w="108" w:type="dxa"/>
                  </w:tcMar>
                  <w:vAlign w:val="center"/>
                </w:tcPr>
                <w:p w14:paraId="038DDBA9" w14:textId="77777777" w:rsidR="003367F5" w:rsidRPr="00D310B9" w:rsidRDefault="003367F5" w:rsidP="003367F5">
                  <w:pPr>
                    <w:jc w:val="center"/>
                    <w:rPr>
                      <w:rFonts w:asciiTheme="minorHAnsi" w:hAnsiTheme="minorHAnsi" w:cstheme="minorHAnsi"/>
                      <w:bCs/>
                      <w:sz w:val="20"/>
                    </w:rPr>
                  </w:pPr>
                  <w:r w:rsidRPr="00D310B9">
                    <w:rPr>
                      <w:rFonts w:asciiTheme="minorHAnsi" w:hAnsiTheme="minorHAnsi" w:cstheme="minorHAnsi"/>
                      <w:bCs/>
                      <w:sz w:val="20"/>
                    </w:rPr>
                    <w:t>20</w:t>
                  </w:r>
                </w:p>
              </w:tc>
            </w:tr>
            <w:tr w:rsidR="003367F5" w:rsidRPr="00D310B9" w14:paraId="536CCC7E" w14:textId="77777777" w:rsidTr="003367F5">
              <w:trPr>
                <w:trHeight w:val="134"/>
              </w:trPr>
              <w:tc>
                <w:tcPr>
                  <w:tcW w:w="8875" w:type="dxa"/>
                  <w:tcMar>
                    <w:top w:w="0" w:type="dxa"/>
                    <w:left w:w="108" w:type="dxa"/>
                    <w:bottom w:w="0" w:type="dxa"/>
                    <w:right w:w="108" w:type="dxa"/>
                  </w:tcMar>
                  <w:vAlign w:val="center"/>
                </w:tcPr>
                <w:p w14:paraId="095F41C1" w14:textId="77777777" w:rsidR="003367F5" w:rsidRPr="00D310B9" w:rsidRDefault="003367F5" w:rsidP="003367F5">
                  <w:pPr>
                    <w:jc w:val="left"/>
                    <w:rPr>
                      <w:rFonts w:asciiTheme="minorHAnsi" w:hAnsiTheme="minorHAnsi" w:cstheme="minorHAnsi"/>
                      <w:bCs/>
                      <w:sz w:val="20"/>
                      <w:lang w:val="fr-FR"/>
                    </w:rPr>
                  </w:pPr>
                  <w:r w:rsidRPr="00D310B9">
                    <w:rPr>
                      <w:rFonts w:asciiTheme="minorHAnsi" w:hAnsiTheme="minorHAnsi" w:cstheme="minorHAnsi"/>
                      <w:bCs/>
                      <w:sz w:val="20"/>
                      <w:lang w:val="fr-FR"/>
                    </w:rPr>
                    <w:t>Expérience approfondie en matière d’accompagnement de la coordination sectorielle</w:t>
                  </w:r>
                </w:p>
              </w:tc>
              <w:tc>
                <w:tcPr>
                  <w:tcW w:w="1680" w:type="dxa"/>
                  <w:tcMar>
                    <w:top w:w="0" w:type="dxa"/>
                    <w:left w:w="108" w:type="dxa"/>
                    <w:bottom w:w="0" w:type="dxa"/>
                    <w:right w:w="108" w:type="dxa"/>
                  </w:tcMar>
                  <w:vAlign w:val="center"/>
                </w:tcPr>
                <w:p w14:paraId="266A3480" w14:textId="77777777" w:rsidR="003367F5" w:rsidRPr="00D310B9" w:rsidRDefault="003367F5" w:rsidP="003367F5">
                  <w:pPr>
                    <w:jc w:val="center"/>
                    <w:rPr>
                      <w:rFonts w:asciiTheme="minorHAnsi" w:hAnsiTheme="minorHAnsi" w:cstheme="minorHAnsi"/>
                      <w:bCs/>
                      <w:sz w:val="20"/>
                    </w:rPr>
                  </w:pPr>
                  <w:r w:rsidRPr="00D310B9">
                    <w:rPr>
                      <w:rFonts w:asciiTheme="minorHAnsi" w:hAnsiTheme="minorHAnsi" w:cstheme="minorHAnsi"/>
                      <w:bCs/>
                      <w:sz w:val="20"/>
                    </w:rPr>
                    <w:t>25</w:t>
                  </w:r>
                </w:p>
              </w:tc>
            </w:tr>
            <w:tr w:rsidR="003367F5" w:rsidRPr="00D310B9" w14:paraId="75F5AB1F" w14:textId="77777777" w:rsidTr="003367F5">
              <w:trPr>
                <w:trHeight w:val="287"/>
              </w:trPr>
              <w:tc>
                <w:tcPr>
                  <w:tcW w:w="8875" w:type="dxa"/>
                  <w:tcMar>
                    <w:top w:w="0" w:type="dxa"/>
                    <w:left w:w="108" w:type="dxa"/>
                    <w:bottom w:w="0" w:type="dxa"/>
                    <w:right w:w="108" w:type="dxa"/>
                  </w:tcMar>
                  <w:vAlign w:val="center"/>
                </w:tcPr>
                <w:p w14:paraId="0FEDEE3E" w14:textId="77777777" w:rsidR="003367F5" w:rsidRPr="00D310B9" w:rsidRDefault="003367F5" w:rsidP="003367F5">
                  <w:pPr>
                    <w:jc w:val="left"/>
                    <w:rPr>
                      <w:rFonts w:asciiTheme="minorHAnsi" w:hAnsiTheme="minorHAnsi" w:cstheme="minorHAnsi"/>
                      <w:bCs/>
                      <w:sz w:val="20"/>
                      <w:lang w:val="fr-FR"/>
                    </w:rPr>
                  </w:pPr>
                  <w:r w:rsidRPr="00D310B9">
                    <w:rPr>
                      <w:rFonts w:asciiTheme="minorHAnsi" w:hAnsiTheme="minorHAnsi" w:cstheme="minorHAnsi"/>
                      <w:bCs/>
                      <w:sz w:val="20"/>
                      <w:lang w:val="fr-FR"/>
                    </w:rPr>
                    <w:t>Capacités de rédaction (sur la base d’exemples de rapports/documents fournis)</w:t>
                  </w:r>
                </w:p>
              </w:tc>
              <w:tc>
                <w:tcPr>
                  <w:tcW w:w="1680" w:type="dxa"/>
                  <w:shd w:val="clear" w:color="auto" w:fill="auto"/>
                  <w:tcMar>
                    <w:top w:w="0" w:type="dxa"/>
                    <w:left w:w="108" w:type="dxa"/>
                    <w:bottom w:w="0" w:type="dxa"/>
                    <w:right w:w="108" w:type="dxa"/>
                  </w:tcMar>
                  <w:vAlign w:val="center"/>
                </w:tcPr>
                <w:p w14:paraId="35D98CA7" w14:textId="77777777" w:rsidR="003367F5" w:rsidRPr="00D310B9" w:rsidRDefault="003367F5" w:rsidP="003367F5">
                  <w:pPr>
                    <w:jc w:val="center"/>
                    <w:rPr>
                      <w:rFonts w:asciiTheme="minorHAnsi" w:hAnsiTheme="minorHAnsi" w:cstheme="minorHAnsi"/>
                      <w:bCs/>
                      <w:sz w:val="20"/>
                    </w:rPr>
                  </w:pPr>
                  <w:r w:rsidRPr="00D310B9">
                    <w:rPr>
                      <w:rFonts w:asciiTheme="minorHAnsi" w:hAnsiTheme="minorHAnsi" w:cstheme="minorHAnsi"/>
                      <w:bCs/>
                      <w:sz w:val="20"/>
                    </w:rPr>
                    <w:t>15</w:t>
                  </w:r>
                </w:p>
              </w:tc>
            </w:tr>
            <w:tr w:rsidR="003367F5" w:rsidRPr="00C27AAD" w14:paraId="19428AEB" w14:textId="77777777" w:rsidTr="003367F5">
              <w:trPr>
                <w:trHeight w:val="300"/>
              </w:trPr>
              <w:tc>
                <w:tcPr>
                  <w:tcW w:w="8875" w:type="dxa"/>
                  <w:tcMar>
                    <w:top w:w="0" w:type="dxa"/>
                    <w:left w:w="108" w:type="dxa"/>
                    <w:bottom w:w="0" w:type="dxa"/>
                    <w:right w:w="108" w:type="dxa"/>
                  </w:tcMar>
                  <w:vAlign w:val="center"/>
                </w:tcPr>
                <w:p w14:paraId="6CB2B6E6" w14:textId="77777777" w:rsidR="003367F5" w:rsidRPr="00D310B9" w:rsidRDefault="003367F5" w:rsidP="003367F5">
                  <w:pPr>
                    <w:jc w:val="left"/>
                    <w:rPr>
                      <w:rFonts w:asciiTheme="minorHAnsi" w:hAnsiTheme="minorHAnsi" w:cstheme="minorHAnsi"/>
                      <w:bCs/>
                      <w:sz w:val="20"/>
                      <w:lang w:val="fr-FR"/>
                    </w:rPr>
                  </w:pPr>
                  <w:r w:rsidRPr="00D310B9">
                    <w:rPr>
                      <w:rFonts w:asciiTheme="minorHAnsi" w:hAnsiTheme="minorHAnsi" w:cstheme="minorHAnsi"/>
                      <w:bCs/>
                      <w:sz w:val="20"/>
                      <w:lang w:val="fr-FR"/>
                    </w:rPr>
                    <w:t>Avoir une connaissance du Système des Nations Unies et de ses procédures</w:t>
                  </w:r>
                </w:p>
              </w:tc>
              <w:tc>
                <w:tcPr>
                  <w:tcW w:w="1680" w:type="dxa"/>
                  <w:tcMar>
                    <w:top w:w="0" w:type="dxa"/>
                    <w:left w:w="108" w:type="dxa"/>
                    <w:bottom w:w="0" w:type="dxa"/>
                    <w:right w:w="108" w:type="dxa"/>
                  </w:tcMar>
                  <w:vAlign w:val="center"/>
                </w:tcPr>
                <w:p w14:paraId="1F1F9276" w14:textId="77777777" w:rsidR="003367F5" w:rsidRPr="00D310B9" w:rsidRDefault="003367F5" w:rsidP="003367F5">
                  <w:pPr>
                    <w:jc w:val="center"/>
                    <w:rPr>
                      <w:rFonts w:asciiTheme="minorHAnsi" w:hAnsiTheme="minorHAnsi" w:cstheme="minorHAnsi"/>
                      <w:bCs/>
                      <w:sz w:val="20"/>
                      <w:lang w:val="fr-FR"/>
                    </w:rPr>
                  </w:pPr>
                  <w:r w:rsidRPr="00D310B9">
                    <w:rPr>
                      <w:rFonts w:asciiTheme="minorHAnsi" w:hAnsiTheme="minorHAnsi" w:cstheme="minorHAnsi"/>
                      <w:bCs/>
                      <w:sz w:val="20"/>
                      <w:lang w:val="fr-FR"/>
                    </w:rPr>
                    <w:t>15</w:t>
                  </w:r>
                </w:p>
              </w:tc>
            </w:tr>
            <w:tr w:rsidR="003367F5" w:rsidRPr="00C27AAD" w14:paraId="6745EC0C" w14:textId="77777777" w:rsidTr="003367F5">
              <w:trPr>
                <w:trHeight w:val="269"/>
              </w:trPr>
              <w:tc>
                <w:tcPr>
                  <w:tcW w:w="8875" w:type="dxa"/>
                  <w:shd w:val="clear" w:color="auto" w:fill="00B0F0"/>
                  <w:tcMar>
                    <w:top w:w="0" w:type="dxa"/>
                    <w:left w:w="108" w:type="dxa"/>
                    <w:bottom w:w="0" w:type="dxa"/>
                    <w:right w:w="108" w:type="dxa"/>
                  </w:tcMar>
                  <w:vAlign w:val="center"/>
                </w:tcPr>
                <w:p w14:paraId="28D808E1" w14:textId="77777777" w:rsidR="003367F5" w:rsidRPr="00D310B9" w:rsidRDefault="003367F5" w:rsidP="003367F5">
                  <w:pPr>
                    <w:rPr>
                      <w:rFonts w:asciiTheme="minorHAnsi" w:hAnsiTheme="minorHAnsi" w:cstheme="minorHAnsi"/>
                      <w:bCs/>
                      <w:sz w:val="20"/>
                      <w:lang w:val="fr-FR"/>
                    </w:rPr>
                  </w:pPr>
                  <w:r w:rsidRPr="00D310B9">
                    <w:rPr>
                      <w:rFonts w:asciiTheme="minorHAnsi" w:hAnsiTheme="minorHAnsi" w:cstheme="minorHAnsi"/>
                      <w:bCs/>
                      <w:color w:val="FFFFFF" w:themeColor="background1"/>
                      <w:sz w:val="20"/>
                      <w:lang w:val="fr-FR"/>
                    </w:rPr>
                    <w:t>TOTAL SCORE (max. 100 points)</w:t>
                  </w:r>
                </w:p>
              </w:tc>
              <w:tc>
                <w:tcPr>
                  <w:tcW w:w="1680" w:type="dxa"/>
                  <w:shd w:val="clear" w:color="auto" w:fill="00B0F0"/>
                  <w:tcMar>
                    <w:top w:w="0" w:type="dxa"/>
                    <w:left w:w="108" w:type="dxa"/>
                    <w:bottom w:w="0" w:type="dxa"/>
                    <w:right w:w="108" w:type="dxa"/>
                  </w:tcMar>
                  <w:vAlign w:val="center"/>
                  <w:hideMark/>
                </w:tcPr>
                <w:p w14:paraId="02D9595D" w14:textId="77777777" w:rsidR="003367F5" w:rsidRPr="00D310B9" w:rsidRDefault="003367F5" w:rsidP="003367F5">
                  <w:pPr>
                    <w:jc w:val="center"/>
                    <w:rPr>
                      <w:rFonts w:asciiTheme="minorHAnsi" w:hAnsiTheme="minorHAnsi" w:cstheme="minorHAnsi"/>
                      <w:bCs/>
                      <w:sz w:val="20"/>
                      <w:lang w:val="fr-FR"/>
                    </w:rPr>
                  </w:pPr>
                  <w:r w:rsidRPr="00D310B9">
                    <w:rPr>
                      <w:rFonts w:asciiTheme="minorHAnsi" w:hAnsiTheme="minorHAnsi" w:cstheme="minorHAnsi"/>
                      <w:bCs/>
                      <w:color w:val="FFFFFF" w:themeColor="background1"/>
                      <w:sz w:val="20"/>
                      <w:lang w:val="fr-FR"/>
                    </w:rPr>
                    <w:t>100</w:t>
                  </w:r>
                </w:p>
              </w:tc>
            </w:tr>
          </w:tbl>
          <w:p w14:paraId="007D6919" w14:textId="77777777" w:rsidR="003367F5" w:rsidRPr="00D310B9" w:rsidRDefault="003367F5" w:rsidP="003367F5">
            <w:pPr>
              <w:spacing w:after="240"/>
              <w:rPr>
                <w:rFonts w:asciiTheme="minorHAnsi" w:hAnsiTheme="minorHAnsi" w:cstheme="minorHAnsi"/>
                <w:sz w:val="20"/>
                <w:lang w:val="fr-FR"/>
              </w:rPr>
            </w:pPr>
            <w:r w:rsidRPr="00D310B9">
              <w:rPr>
                <w:rFonts w:asciiTheme="minorHAnsi" w:hAnsiTheme="minorHAnsi" w:cstheme="minorHAnsi"/>
                <w:sz w:val="20"/>
                <w:lang w:val="fr-FR"/>
              </w:rPr>
              <w:t>Les candidats qui auront obtenu une note de 70 points sur 100 seront considérés comme techniquement qualifiés</w:t>
            </w:r>
          </w:p>
          <w:p w14:paraId="66359B4D" w14:textId="77777777" w:rsidR="003367F5" w:rsidRPr="00D310B9" w:rsidRDefault="003367F5" w:rsidP="003367F5">
            <w:pPr>
              <w:rPr>
                <w:rFonts w:asciiTheme="minorHAnsi" w:hAnsiTheme="minorHAnsi" w:cstheme="minorHAnsi"/>
                <w:b/>
                <w:bCs/>
                <w:sz w:val="20"/>
                <w:lang w:val="fr-FR"/>
              </w:rPr>
            </w:pPr>
            <w:r w:rsidRPr="00D310B9">
              <w:rPr>
                <w:rFonts w:asciiTheme="minorHAnsi" w:hAnsiTheme="minorHAnsi" w:cstheme="minorHAnsi"/>
                <w:b/>
                <w:bCs/>
                <w:sz w:val="20"/>
                <w:lang w:val="fr-FR"/>
              </w:rPr>
              <w:t>2. Evaluation Financière</w:t>
            </w:r>
          </w:p>
          <w:p w14:paraId="3193D428" w14:textId="77777777" w:rsidR="003367F5" w:rsidRPr="00D310B9" w:rsidRDefault="003367F5" w:rsidP="003367F5">
            <w:pPr>
              <w:spacing w:after="240"/>
              <w:rPr>
                <w:rFonts w:asciiTheme="minorHAnsi" w:hAnsiTheme="minorHAnsi" w:cstheme="minorHAnsi"/>
                <w:sz w:val="20"/>
                <w:lang w:val="fr-FR"/>
              </w:rPr>
            </w:pPr>
            <w:r w:rsidRPr="00D310B9">
              <w:rPr>
                <w:rFonts w:asciiTheme="minorHAnsi" w:hAnsiTheme="minorHAnsi" w:cstheme="minorHAnsi"/>
                <w:sz w:val="20"/>
                <w:lang w:val="fr-FR"/>
              </w:rPr>
              <w:t xml:space="preserve">Seules seront ouvertes les offres financières des candidats ayant obtenu au moins 70 points/100 à l’évaluation technique. L’évaluation financière la moins </w:t>
            </w:r>
            <w:proofErr w:type="spellStart"/>
            <w:r w:rsidRPr="00D310B9">
              <w:rPr>
                <w:rFonts w:asciiTheme="minorHAnsi" w:hAnsiTheme="minorHAnsi" w:cstheme="minorHAnsi"/>
                <w:sz w:val="20"/>
                <w:lang w:val="fr-FR"/>
              </w:rPr>
              <w:t>disante</w:t>
            </w:r>
            <w:proofErr w:type="spellEnd"/>
            <w:r w:rsidRPr="00D310B9">
              <w:rPr>
                <w:rFonts w:asciiTheme="minorHAnsi" w:hAnsiTheme="minorHAnsi" w:cstheme="minorHAnsi"/>
                <w:sz w:val="20"/>
                <w:lang w:val="fr-FR"/>
              </w:rPr>
              <w:t xml:space="preserve"> des candidats techniquement qualifiés obtiendra la note de 30 points. </w:t>
            </w:r>
          </w:p>
          <w:p w14:paraId="0F3ED927" w14:textId="77777777" w:rsidR="003367F5" w:rsidRPr="00D310B9" w:rsidRDefault="003367F5" w:rsidP="003367F5">
            <w:pPr>
              <w:spacing w:after="240"/>
              <w:rPr>
                <w:rFonts w:asciiTheme="minorHAnsi" w:hAnsiTheme="minorHAnsi" w:cstheme="minorHAnsi"/>
                <w:sz w:val="20"/>
                <w:lang w:val="fr-FR"/>
              </w:rPr>
            </w:pPr>
            <w:r w:rsidRPr="00D310B9">
              <w:rPr>
                <w:rFonts w:asciiTheme="minorHAnsi" w:hAnsiTheme="minorHAnsi" w:cstheme="minorHAnsi"/>
                <w:sz w:val="20"/>
                <w:lang w:val="fr-FR"/>
              </w:rPr>
              <w:t xml:space="preserve">Si nous désignons l’offre financière la moins </w:t>
            </w:r>
            <w:proofErr w:type="spellStart"/>
            <w:r w:rsidRPr="00D310B9">
              <w:rPr>
                <w:rFonts w:asciiTheme="minorHAnsi" w:hAnsiTheme="minorHAnsi" w:cstheme="minorHAnsi"/>
                <w:sz w:val="20"/>
                <w:lang w:val="fr-FR"/>
              </w:rPr>
              <w:t>disante</w:t>
            </w:r>
            <w:proofErr w:type="spellEnd"/>
            <w:r w:rsidRPr="00D310B9">
              <w:rPr>
                <w:rFonts w:asciiTheme="minorHAnsi" w:hAnsiTheme="minorHAnsi" w:cstheme="minorHAnsi"/>
                <w:sz w:val="20"/>
                <w:lang w:val="fr-FR"/>
              </w:rPr>
              <w:t xml:space="preserve"> par A, les autres offres financières seront évaluées comme suit : </w:t>
            </w:r>
          </w:p>
          <w:p w14:paraId="791D5FBE" w14:textId="77777777" w:rsidR="003367F5" w:rsidRPr="00D310B9" w:rsidRDefault="003367F5" w:rsidP="003367F5">
            <w:pPr>
              <w:spacing w:after="240"/>
              <w:ind w:left="720"/>
              <w:rPr>
                <w:rFonts w:asciiTheme="minorHAnsi" w:hAnsiTheme="minorHAnsi" w:cstheme="minorHAnsi"/>
                <w:sz w:val="20"/>
                <w:lang w:val="fr-FR"/>
              </w:rPr>
            </w:pPr>
            <w:r w:rsidRPr="00D310B9">
              <w:rPr>
                <w:rFonts w:asciiTheme="minorHAnsi" w:hAnsiTheme="minorHAnsi" w:cstheme="minorHAnsi"/>
                <w:sz w:val="20"/>
                <w:lang w:val="fr-FR"/>
              </w:rPr>
              <w:t xml:space="preserve">Offre financière (A) divisée par offre financière du soumissionnaire considéré et le résultat obtenu est multiplié par 30. Soit l’offre financière la moins </w:t>
            </w:r>
            <w:proofErr w:type="spellStart"/>
            <w:r w:rsidRPr="00D310B9">
              <w:rPr>
                <w:rFonts w:asciiTheme="minorHAnsi" w:hAnsiTheme="minorHAnsi" w:cstheme="minorHAnsi"/>
                <w:sz w:val="20"/>
                <w:lang w:val="fr-FR"/>
              </w:rPr>
              <w:t>disante</w:t>
            </w:r>
            <w:proofErr w:type="spellEnd"/>
            <w:r w:rsidRPr="00D310B9">
              <w:rPr>
                <w:rFonts w:asciiTheme="minorHAnsi" w:hAnsiTheme="minorHAnsi" w:cstheme="minorHAnsi"/>
                <w:sz w:val="20"/>
                <w:lang w:val="fr-FR"/>
              </w:rPr>
              <w:t xml:space="preserve"> X 30 / offre financière du soumissionnaire. </w:t>
            </w:r>
          </w:p>
          <w:p w14:paraId="76EEED2A" w14:textId="77777777" w:rsidR="003367F5" w:rsidRPr="00D310B9" w:rsidRDefault="003367F5" w:rsidP="003367F5">
            <w:pPr>
              <w:rPr>
                <w:rFonts w:asciiTheme="minorHAnsi" w:hAnsiTheme="minorHAnsi" w:cstheme="minorHAnsi"/>
                <w:sz w:val="20"/>
                <w:lang w:val="fr-FR"/>
              </w:rPr>
            </w:pPr>
            <w:r w:rsidRPr="00D310B9">
              <w:rPr>
                <w:rFonts w:asciiTheme="minorHAnsi" w:hAnsiTheme="minorHAnsi" w:cstheme="minorHAnsi"/>
                <w:b/>
                <w:bCs/>
                <w:sz w:val="20"/>
                <w:lang w:val="fr-FR"/>
              </w:rPr>
              <w:t>3. Évaluation finale</w:t>
            </w:r>
          </w:p>
          <w:p w14:paraId="117D5DD1" w14:textId="470D48E3" w:rsidR="002E54DD" w:rsidRPr="00D310B9" w:rsidRDefault="003367F5" w:rsidP="003367F5">
            <w:pPr>
              <w:pStyle w:val="Caption"/>
              <w:rPr>
                <w:rFonts w:asciiTheme="minorHAnsi" w:hAnsiTheme="minorHAnsi" w:cstheme="minorHAnsi"/>
                <w:b w:val="0"/>
                <w:bCs w:val="0"/>
                <w:sz w:val="20"/>
                <w:lang w:val="fr-FR"/>
              </w:rPr>
            </w:pPr>
            <w:r w:rsidRPr="00D310B9">
              <w:rPr>
                <w:rFonts w:asciiTheme="minorHAnsi" w:hAnsiTheme="minorHAnsi" w:cstheme="minorHAnsi"/>
                <w:b w:val="0"/>
                <w:bCs w:val="0"/>
                <w:sz w:val="20"/>
                <w:lang w:val="fr-FR"/>
              </w:rPr>
              <w:t>L’évaluation finale combinera les deux évaluations précédentes à raison d’une pondération de 70% pour l’évaluation technique et de 30% pour l’évaluation financière.</w:t>
            </w:r>
          </w:p>
        </w:tc>
      </w:tr>
    </w:tbl>
    <w:p w14:paraId="47CEFBC5" w14:textId="1F5D72AF" w:rsidR="00E869A9" w:rsidRPr="00BD551A" w:rsidRDefault="00E869A9" w:rsidP="00315513">
      <w:pPr>
        <w:tabs>
          <w:tab w:val="left" w:pos="-480"/>
          <w:tab w:val="left" w:pos="0"/>
          <w:tab w:val="left" w:pos="420"/>
          <w:tab w:val="left" w:pos="1050"/>
          <w:tab w:val="left" w:pos="2160"/>
        </w:tabs>
      </w:pPr>
    </w:p>
    <w:sectPr w:rsidR="00E869A9" w:rsidRPr="00BD551A" w:rsidSect="00D059FB">
      <w:headerReference w:type="default" r:id="rId11"/>
      <w:footerReference w:type="even" r:id="rId12"/>
      <w:footerReference w:type="default" r:id="rId13"/>
      <w:headerReference w:type="first" r:id="rId14"/>
      <w:pgSz w:w="11906" w:h="16838"/>
      <w:pgMar w:top="720" w:right="1008" w:bottom="720" w:left="1008"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9E4B" w14:textId="77777777" w:rsidR="00287C15" w:rsidRDefault="00287C15">
      <w:r>
        <w:separator/>
      </w:r>
    </w:p>
  </w:endnote>
  <w:endnote w:type="continuationSeparator" w:id="0">
    <w:p w14:paraId="4F45940F" w14:textId="77777777" w:rsidR="00287C15" w:rsidRDefault="0028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72A3" w14:textId="77777777" w:rsidR="00E869A9" w:rsidRDefault="00E86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153">
      <w:rPr>
        <w:rStyle w:val="PageNumber"/>
        <w:noProof/>
      </w:rPr>
      <w:t>4</w:t>
    </w:r>
    <w:r>
      <w:rPr>
        <w:rStyle w:val="PageNumber"/>
      </w:rPr>
      <w:fldChar w:fldCharType="end"/>
    </w:r>
  </w:p>
  <w:p w14:paraId="3ABFAAE9" w14:textId="77777777" w:rsidR="00E869A9" w:rsidRDefault="00E869A9">
    <w:pPr>
      <w:pStyle w:val="Footer"/>
      <w:ind w:right="360"/>
    </w:pPr>
  </w:p>
  <w:p w14:paraId="660C825C" w14:textId="77777777" w:rsidR="00E869A9" w:rsidRDefault="00E86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F03F" w14:textId="77777777" w:rsidR="00E869A9" w:rsidRDefault="00E86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513">
      <w:rPr>
        <w:rStyle w:val="PageNumber"/>
        <w:noProof/>
      </w:rPr>
      <w:t>2</w:t>
    </w:r>
    <w:r>
      <w:rPr>
        <w:rStyle w:val="PageNumber"/>
      </w:rPr>
      <w:fldChar w:fldCharType="end"/>
    </w:r>
  </w:p>
  <w:p w14:paraId="104B80E0" w14:textId="77777777" w:rsidR="00E869A9" w:rsidRDefault="00E869A9">
    <w:pPr>
      <w:pStyle w:val="Footer"/>
      <w:ind w:right="360"/>
    </w:pPr>
  </w:p>
  <w:p w14:paraId="3B9BB8A3" w14:textId="77777777" w:rsidR="00E869A9" w:rsidRDefault="00E869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4FD5" w14:textId="77777777" w:rsidR="00287C15" w:rsidRDefault="00287C15">
      <w:r>
        <w:separator/>
      </w:r>
    </w:p>
  </w:footnote>
  <w:footnote w:type="continuationSeparator" w:id="0">
    <w:p w14:paraId="5D42910C" w14:textId="77777777" w:rsidR="00287C15" w:rsidRDefault="0028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B3E2" w14:textId="77777777" w:rsidR="003F048E" w:rsidRDefault="003A7F32">
    <w:pPr>
      <w:pStyle w:val="Header"/>
    </w:pPr>
    <w:r>
      <w:rPr>
        <w:rFonts w:ascii="Calibri" w:hAnsi="Calibri"/>
        <w:b/>
        <w:noProof/>
        <w:sz w:val="32"/>
      </w:rPr>
      <w:drawing>
        <wp:inline distT="0" distB="0" distL="0" distR="0" wp14:anchorId="1A9A34F6" wp14:editId="28EE7991">
          <wp:extent cx="4157980" cy="530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5302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A1DD" w14:textId="77777777" w:rsidR="00E869A9" w:rsidRPr="00ED477E" w:rsidRDefault="00E869A9">
    <w:pPr>
      <w:pStyle w:val="Header"/>
      <w:jc w:val="right"/>
      <w:rPr>
        <w:rFonts w:ascii="Calibri" w:hAnsi="Calibri"/>
        <w:b/>
      </w:rPr>
    </w:pPr>
    <w:r w:rsidRPr="00ED477E">
      <w:rPr>
        <w:rFonts w:ascii="Calibri" w:hAnsi="Calibri"/>
        <w:b/>
        <w:sz w:val="32"/>
      </w:rPr>
      <w:t xml:space="preserve">UNICEF </w:t>
    </w:r>
    <w:r w:rsidR="003A7F32">
      <w:rPr>
        <w:rFonts w:ascii="Calibri" w:hAnsi="Calibri"/>
        <w:b/>
        <w:sz w:val="28"/>
        <w:szCs w:val="28"/>
      </w:rPr>
      <w:t>Burkina Faso</w:t>
    </w:r>
    <w:r w:rsidRPr="00ED477E">
      <w:rPr>
        <w:rFonts w:ascii="Calibri" w:hAnsi="Calibri"/>
        <w:b/>
      </w:rPr>
      <w:t xml:space="preserve"> </w:t>
    </w:r>
  </w:p>
  <w:p w14:paraId="101952CF" w14:textId="77777777" w:rsidR="00E869A9" w:rsidRDefault="003A7F32">
    <w:pPr>
      <w:pStyle w:val="Header"/>
    </w:pPr>
    <w:r>
      <w:rPr>
        <w:rFonts w:ascii="Calibri" w:hAnsi="Calibri"/>
        <w:b/>
        <w:noProof/>
        <w:sz w:val="32"/>
      </w:rPr>
      <w:drawing>
        <wp:inline distT="0" distB="0" distL="0" distR="0" wp14:anchorId="1A9A34F6" wp14:editId="28EE7991">
          <wp:extent cx="415798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900"/>
    <w:multiLevelType w:val="hybridMultilevel"/>
    <w:tmpl w:val="32020762"/>
    <w:lvl w:ilvl="0" w:tplc="8292911E">
      <w:numFmt w:val="bullet"/>
      <w:lvlText w:val="-"/>
      <w:lvlJc w:val="left"/>
      <w:pPr>
        <w:ind w:left="1710" w:hanging="360"/>
      </w:pPr>
      <w:rPr>
        <w:rFonts w:ascii="Calibri" w:eastAsia="Times New Roman" w:hAnsi="Calibri" w:cs="Calibri"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2F3C3B4F"/>
    <w:multiLevelType w:val="hybridMultilevel"/>
    <w:tmpl w:val="2662E208"/>
    <w:lvl w:ilvl="0" w:tplc="F8A2FCE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15B24"/>
    <w:multiLevelType w:val="hybridMultilevel"/>
    <w:tmpl w:val="D354C7E2"/>
    <w:lvl w:ilvl="0" w:tplc="C7BC2DF6">
      <w:start w:val="1"/>
      <w:numFmt w:val="decimal"/>
      <w:lvlText w:val="%1."/>
      <w:lvlJc w:val="left"/>
      <w:pPr>
        <w:ind w:left="410" w:hanging="360"/>
      </w:pPr>
      <w:rPr>
        <w:rFonts w:ascii="Times New Roman" w:hAnsi="Times New Roman" w:cs="Times New Roman" w:hint="default"/>
        <w:b/>
        <w:bCs/>
        <w:i w:val="0"/>
        <w:color w:val="0070C0"/>
        <w:sz w:val="20"/>
        <w:szCs w:val="20"/>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55817231"/>
    <w:multiLevelType w:val="hybridMultilevel"/>
    <w:tmpl w:val="E32CC336"/>
    <w:lvl w:ilvl="0" w:tplc="FFFFFFFF">
      <w:start w:val="1"/>
      <w:numFmt w:val="decimal"/>
      <w:lvlText w:val="%1."/>
      <w:lvlJc w:val="left"/>
      <w:pPr>
        <w:ind w:left="-1836" w:hanging="360"/>
      </w:pPr>
      <w:rPr>
        <w:rFonts w:ascii="Times New Roman" w:hAnsi="Times New Roman" w:cs="Times New Roman" w:hint="default"/>
        <w:b w:val="0"/>
        <w:i w:val="0"/>
        <w:sz w:val="20"/>
        <w:szCs w:val="20"/>
      </w:rPr>
    </w:lvl>
    <w:lvl w:ilvl="1" w:tplc="FFFFFFFF">
      <w:start w:val="1"/>
      <w:numFmt w:val="lowerLetter"/>
      <w:lvlText w:val="%2."/>
      <w:lvlJc w:val="left"/>
      <w:pPr>
        <w:ind w:left="-1116" w:hanging="360"/>
      </w:pPr>
    </w:lvl>
    <w:lvl w:ilvl="2" w:tplc="FFFFFFFF" w:tentative="1">
      <w:start w:val="1"/>
      <w:numFmt w:val="lowerRoman"/>
      <w:lvlText w:val="%3."/>
      <w:lvlJc w:val="right"/>
      <w:pPr>
        <w:ind w:left="-396" w:hanging="180"/>
      </w:pPr>
    </w:lvl>
    <w:lvl w:ilvl="3" w:tplc="FFFFFFFF" w:tentative="1">
      <w:start w:val="1"/>
      <w:numFmt w:val="decimal"/>
      <w:lvlText w:val="%4."/>
      <w:lvlJc w:val="left"/>
      <w:pPr>
        <w:ind w:left="324" w:hanging="360"/>
      </w:pPr>
    </w:lvl>
    <w:lvl w:ilvl="4" w:tplc="FFFFFFFF" w:tentative="1">
      <w:start w:val="1"/>
      <w:numFmt w:val="lowerLetter"/>
      <w:lvlText w:val="%5."/>
      <w:lvlJc w:val="left"/>
      <w:pPr>
        <w:ind w:left="1044" w:hanging="360"/>
      </w:pPr>
    </w:lvl>
    <w:lvl w:ilvl="5" w:tplc="FFFFFFFF" w:tentative="1">
      <w:start w:val="1"/>
      <w:numFmt w:val="lowerRoman"/>
      <w:lvlText w:val="%6."/>
      <w:lvlJc w:val="right"/>
      <w:pPr>
        <w:ind w:left="1764" w:hanging="180"/>
      </w:pPr>
    </w:lvl>
    <w:lvl w:ilvl="6" w:tplc="FFFFFFFF" w:tentative="1">
      <w:start w:val="1"/>
      <w:numFmt w:val="decimal"/>
      <w:lvlText w:val="%7."/>
      <w:lvlJc w:val="left"/>
      <w:pPr>
        <w:ind w:left="2484" w:hanging="360"/>
      </w:pPr>
    </w:lvl>
    <w:lvl w:ilvl="7" w:tplc="FFFFFFFF" w:tentative="1">
      <w:start w:val="1"/>
      <w:numFmt w:val="lowerLetter"/>
      <w:lvlText w:val="%8."/>
      <w:lvlJc w:val="left"/>
      <w:pPr>
        <w:ind w:left="3204" w:hanging="360"/>
      </w:pPr>
    </w:lvl>
    <w:lvl w:ilvl="8" w:tplc="FFFFFFFF" w:tentative="1">
      <w:start w:val="1"/>
      <w:numFmt w:val="lowerRoman"/>
      <w:lvlText w:val="%9."/>
      <w:lvlJc w:val="right"/>
      <w:pPr>
        <w:ind w:left="3924" w:hanging="180"/>
      </w:pPr>
    </w:lvl>
  </w:abstractNum>
  <w:abstractNum w:abstractNumId="4" w15:restartNumberingAfterBreak="0">
    <w:nsid w:val="621B725A"/>
    <w:multiLevelType w:val="hybridMultilevel"/>
    <w:tmpl w:val="65225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242DB3"/>
    <w:multiLevelType w:val="hybridMultilevel"/>
    <w:tmpl w:val="FD7292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6" w15:restartNumberingAfterBreak="0">
    <w:nsid w:val="6E324C4F"/>
    <w:multiLevelType w:val="hybridMultilevel"/>
    <w:tmpl w:val="D74C2358"/>
    <w:lvl w:ilvl="0" w:tplc="8C3C45A2">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B3FE4"/>
    <w:multiLevelType w:val="hybridMultilevel"/>
    <w:tmpl w:val="B200262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16cid:durableId="640234876">
    <w:abstractNumId w:val="2"/>
  </w:num>
  <w:num w:numId="2" w16cid:durableId="1685202031">
    <w:abstractNumId w:val="5"/>
  </w:num>
  <w:num w:numId="3" w16cid:durableId="2060278181">
    <w:abstractNumId w:val="0"/>
  </w:num>
  <w:num w:numId="4" w16cid:durableId="1879705598">
    <w:abstractNumId w:val="4"/>
  </w:num>
  <w:num w:numId="5" w16cid:durableId="257521176">
    <w:abstractNumId w:val="3"/>
  </w:num>
  <w:num w:numId="6" w16cid:durableId="951934206">
    <w:abstractNumId w:val="6"/>
  </w:num>
  <w:num w:numId="7" w16cid:durableId="1022243076">
    <w:abstractNumId w:val="1"/>
  </w:num>
  <w:num w:numId="8" w16cid:durableId="2137391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94"/>
    <w:rsid w:val="00002697"/>
    <w:rsid w:val="000176CE"/>
    <w:rsid w:val="00023093"/>
    <w:rsid w:val="00024833"/>
    <w:rsid w:val="00032B46"/>
    <w:rsid w:val="00036829"/>
    <w:rsid w:val="000374D6"/>
    <w:rsid w:val="00041D85"/>
    <w:rsid w:val="00045764"/>
    <w:rsid w:val="00046C9D"/>
    <w:rsid w:val="00051FAF"/>
    <w:rsid w:val="00052FAE"/>
    <w:rsid w:val="00053163"/>
    <w:rsid w:val="000606A8"/>
    <w:rsid w:val="00065FAA"/>
    <w:rsid w:val="000711AC"/>
    <w:rsid w:val="00076F6D"/>
    <w:rsid w:val="00076FB5"/>
    <w:rsid w:val="000A004E"/>
    <w:rsid w:val="000A1D9F"/>
    <w:rsid w:val="000A5517"/>
    <w:rsid w:val="000B0079"/>
    <w:rsid w:val="000B11BF"/>
    <w:rsid w:val="000B2023"/>
    <w:rsid w:val="000B302B"/>
    <w:rsid w:val="000B5030"/>
    <w:rsid w:val="000B71CC"/>
    <w:rsid w:val="000C402A"/>
    <w:rsid w:val="000C729E"/>
    <w:rsid w:val="000D1E40"/>
    <w:rsid w:val="000E4831"/>
    <w:rsid w:val="000F3D54"/>
    <w:rsid w:val="000F4910"/>
    <w:rsid w:val="00105310"/>
    <w:rsid w:val="00110519"/>
    <w:rsid w:val="001160F7"/>
    <w:rsid w:val="00125CE8"/>
    <w:rsid w:val="0013107B"/>
    <w:rsid w:val="00140C41"/>
    <w:rsid w:val="00144AC4"/>
    <w:rsid w:val="001467C9"/>
    <w:rsid w:val="00146AB8"/>
    <w:rsid w:val="00153289"/>
    <w:rsid w:val="00155298"/>
    <w:rsid w:val="0016257F"/>
    <w:rsid w:val="001626A4"/>
    <w:rsid w:val="00164471"/>
    <w:rsid w:val="00172152"/>
    <w:rsid w:val="00176286"/>
    <w:rsid w:val="0018019B"/>
    <w:rsid w:val="00181A9F"/>
    <w:rsid w:val="0018535D"/>
    <w:rsid w:val="00186772"/>
    <w:rsid w:val="00187A80"/>
    <w:rsid w:val="0019301C"/>
    <w:rsid w:val="0019631E"/>
    <w:rsid w:val="00196535"/>
    <w:rsid w:val="00196A04"/>
    <w:rsid w:val="001A6027"/>
    <w:rsid w:val="001B1A4C"/>
    <w:rsid w:val="001B1CBD"/>
    <w:rsid w:val="001B4B4F"/>
    <w:rsid w:val="001B5FED"/>
    <w:rsid w:val="001B7CA1"/>
    <w:rsid w:val="001C0131"/>
    <w:rsid w:val="001C234A"/>
    <w:rsid w:val="001D23BA"/>
    <w:rsid w:val="001D3950"/>
    <w:rsid w:val="001D5E9C"/>
    <w:rsid w:val="001D5FF4"/>
    <w:rsid w:val="001D686A"/>
    <w:rsid w:val="001E0F9E"/>
    <w:rsid w:val="001E17BC"/>
    <w:rsid w:val="001E5D6D"/>
    <w:rsid w:val="001E67B9"/>
    <w:rsid w:val="001E7151"/>
    <w:rsid w:val="001E7CAC"/>
    <w:rsid w:val="001F1F6D"/>
    <w:rsid w:val="001F41D2"/>
    <w:rsid w:val="001F564E"/>
    <w:rsid w:val="00201D9E"/>
    <w:rsid w:val="002051D0"/>
    <w:rsid w:val="00214F15"/>
    <w:rsid w:val="0022000A"/>
    <w:rsid w:val="002265BD"/>
    <w:rsid w:val="00231860"/>
    <w:rsid w:val="00236795"/>
    <w:rsid w:val="00241BB0"/>
    <w:rsid w:val="00243ED7"/>
    <w:rsid w:val="0024438F"/>
    <w:rsid w:val="00250809"/>
    <w:rsid w:val="002616B6"/>
    <w:rsid w:val="002638F9"/>
    <w:rsid w:val="0026417A"/>
    <w:rsid w:val="00272429"/>
    <w:rsid w:val="0027345D"/>
    <w:rsid w:val="0027362B"/>
    <w:rsid w:val="0027432D"/>
    <w:rsid w:val="00274A1E"/>
    <w:rsid w:val="00280A64"/>
    <w:rsid w:val="00281B12"/>
    <w:rsid w:val="00281B79"/>
    <w:rsid w:val="002833DA"/>
    <w:rsid w:val="00285416"/>
    <w:rsid w:val="00287C15"/>
    <w:rsid w:val="00296D6D"/>
    <w:rsid w:val="002B66DC"/>
    <w:rsid w:val="002C2016"/>
    <w:rsid w:val="002C4B0C"/>
    <w:rsid w:val="002C6BE0"/>
    <w:rsid w:val="002D191C"/>
    <w:rsid w:val="002D23DD"/>
    <w:rsid w:val="002D4D95"/>
    <w:rsid w:val="002D611D"/>
    <w:rsid w:val="002E0658"/>
    <w:rsid w:val="002E0C6F"/>
    <w:rsid w:val="002E0C88"/>
    <w:rsid w:val="002E11C7"/>
    <w:rsid w:val="002E2C7C"/>
    <w:rsid w:val="002E54DD"/>
    <w:rsid w:val="002F3F59"/>
    <w:rsid w:val="002F613A"/>
    <w:rsid w:val="002F6A46"/>
    <w:rsid w:val="002F6CC9"/>
    <w:rsid w:val="003029B6"/>
    <w:rsid w:val="00311433"/>
    <w:rsid w:val="00312B6D"/>
    <w:rsid w:val="003152DE"/>
    <w:rsid w:val="003154F3"/>
    <w:rsid w:val="00315513"/>
    <w:rsid w:val="00315560"/>
    <w:rsid w:val="00315715"/>
    <w:rsid w:val="0032105F"/>
    <w:rsid w:val="003243F5"/>
    <w:rsid w:val="00325C27"/>
    <w:rsid w:val="00326E95"/>
    <w:rsid w:val="003367F5"/>
    <w:rsid w:val="0034102C"/>
    <w:rsid w:val="00341476"/>
    <w:rsid w:val="00343BEC"/>
    <w:rsid w:val="00345E2E"/>
    <w:rsid w:val="003478E5"/>
    <w:rsid w:val="00370352"/>
    <w:rsid w:val="00370B35"/>
    <w:rsid w:val="00376B79"/>
    <w:rsid w:val="003848BA"/>
    <w:rsid w:val="003A0FC7"/>
    <w:rsid w:val="003A1D1E"/>
    <w:rsid w:val="003A7F32"/>
    <w:rsid w:val="003B01DC"/>
    <w:rsid w:val="003C4539"/>
    <w:rsid w:val="003D0343"/>
    <w:rsid w:val="003D05CA"/>
    <w:rsid w:val="003D18FF"/>
    <w:rsid w:val="003D499F"/>
    <w:rsid w:val="003E79F5"/>
    <w:rsid w:val="003F048E"/>
    <w:rsid w:val="003F1021"/>
    <w:rsid w:val="003F117A"/>
    <w:rsid w:val="003F15FF"/>
    <w:rsid w:val="003F242F"/>
    <w:rsid w:val="003F2792"/>
    <w:rsid w:val="003F455D"/>
    <w:rsid w:val="00406339"/>
    <w:rsid w:val="0041122F"/>
    <w:rsid w:val="00416AB8"/>
    <w:rsid w:val="00416E0E"/>
    <w:rsid w:val="0041712B"/>
    <w:rsid w:val="00426436"/>
    <w:rsid w:val="00427D63"/>
    <w:rsid w:val="004304F3"/>
    <w:rsid w:val="00430EF5"/>
    <w:rsid w:val="00431300"/>
    <w:rsid w:val="00432A7D"/>
    <w:rsid w:val="00445978"/>
    <w:rsid w:val="00447374"/>
    <w:rsid w:val="0045094C"/>
    <w:rsid w:val="00451DC9"/>
    <w:rsid w:val="00451F7B"/>
    <w:rsid w:val="004537AA"/>
    <w:rsid w:val="004559FE"/>
    <w:rsid w:val="00455BE1"/>
    <w:rsid w:val="00456134"/>
    <w:rsid w:val="00457631"/>
    <w:rsid w:val="00460B96"/>
    <w:rsid w:val="00460F6B"/>
    <w:rsid w:val="00466DCA"/>
    <w:rsid w:val="00482125"/>
    <w:rsid w:val="00482926"/>
    <w:rsid w:val="00482DED"/>
    <w:rsid w:val="00490890"/>
    <w:rsid w:val="0049489F"/>
    <w:rsid w:val="004949F6"/>
    <w:rsid w:val="004955BF"/>
    <w:rsid w:val="00497A0C"/>
    <w:rsid w:val="004A25AF"/>
    <w:rsid w:val="004A5EF2"/>
    <w:rsid w:val="004A7491"/>
    <w:rsid w:val="004B3241"/>
    <w:rsid w:val="004C0E81"/>
    <w:rsid w:val="004C6453"/>
    <w:rsid w:val="004C786D"/>
    <w:rsid w:val="004D0AAD"/>
    <w:rsid w:val="004D24D8"/>
    <w:rsid w:val="004D3845"/>
    <w:rsid w:val="004D5DDB"/>
    <w:rsid w:val="004E43C0"/>
    <w:rsid w:val="004F2DE7"/>
    <w:rsid w:val="004F5A10"/>
    <w:rsid w:val="004F6D3B"/>
    <w:rsid w:val="004F7F09"/>
    <w:rsid w:val="00501CD6"/>
    <w:rsid w:val="00501EE5"/>
    <w:rsid w:val="00502C20"/>
    <w:rsid w:val="005249B7"/>
    <w:rsid w:val="005301BC"/>
    <w:rsid w:val="00531758"/>
    <w:rsid w:val="00531AFB"/>
    <w:rsid w:val="0054290B"/>
    <w:rsid w:val="00551686"/>
    <w:rsid w:val="00552C7C"/>
    <w:rsid w:val="00554234"/>
    <w:rsid w:val="0055467E"/>
    <w:rsid w:val="00557AA6"/>
    <w:rsid w:val="00557CB9"/>
    <w:rsid w:val="005610B6"/>
    <w:rsid w:val="00563555"/>
    <w:rsid w:val="00564FF5"/>
    <w:rsid w:val="005705DC"/>
    <w:rsid w:val="00572515"/>
    <w:rsid w:val="005729D8"/>
    <w:rsid w:val="0057318D"/>
    <w:rsid w:val="00573CA5"/>
    <w:rsid w:val="00577F8D"/>
    <w:rsid w:val="005867CB"/>
    <w:rsid w:val="00591330"/>
    <w:rsid w:val="00592153"/>
    <w:rsid w:val="005A4851"/>
    <w:rsid w:val="005A61D4"/>
    <w:rsid w:val="005B18D1"/>
    <w:rsid w:val="005B2AC4"/>
    <w:rsid w:val="005B4648"/>
    <w:rsid w:val="005C1667"/>
    <w:rsid w:val="005C41C8"/>
    <w:rsid w:val="005D2D27"/>
    <w:rsid w:val="005D5771"/>
    <w:rsid w:val="005D7E28"/>
    <w:rsid w:val="005E2807"/>
    <w:rsid w:val="005E51D2"/>
    <w:rsid w:val="005E649A"/>
    <w:rsid w:val="005F7598"/>
    <w:rsid w:val="00603B86"/>
    <w:rsid w:val="00604E98"/>
    <w:rsid w:val="00606839"/>
    <w:rsid w:val="00607061"/>
    <w:rsid w:val="006073C9"/>
    <w:rsid w:val="00611464"/>
    <w:rsid w:val="006179C5"/>
    <w:rsid w:val="00623673"/>
    <w:rsid w:val="006270AD"/>
    <w:rsid w:val="006319D4"/>
    <w:rsid w:val="006322ED"/>
    <w:rsid w:val="00634283"/>
    <w:rsid w:val="006464CA"/>
    <w:rsid w:val="00650B48"/>
    <w:rsid w:val="006520CF"/>
    <w:rsid w:val="00652EE5"/>
    <w:rsid w:val="00661211"/>
    <w:rsid w:val="00662FD7"/>
    <w:rsid w:val="00666302"/>
    <w:rsid w:val="006721CC"/>
    <w:rsid w:val="00674316"/>
    <w:rsid w:val="006800EC"/>
    <w:rsid w:val="0068284F"/>
    <w:rsid w:val="006850B7"/>
    <w:rsid w:val="0068753A"/>
    <w:rsid w:val="00691C64"/>
    <w:rsid w:val="006960CE"/>
    <w:rsid w:val="006961B4"/>
    <w:rsid w:val="006A188B"/>
    <w:rsid w:val="006A40BB"/>
    <w:rsid w:val="006A68ED"/>
    <w:rsid w:val="006A6D63"/>
    <w:rsid w:val="006A7D9B"/>
    <w:rsid w:val="006B189F"/>
    <w:rsid w:val="006B20F1"/>
    <w:rsid w:val="006B3907"/>
    <w:rsid w:val="006B5AEF"/>
    <w:rsid w:val="006B67EF"/>
    <w:rsid w:val="006C1ED0"/>
    <w:rsid w:val="006D051E"/>
    <w:rsid w:val="006D0D27"/>
    <w:rsid w:val="006E5ECD"/>
    <w:rsid w:val="006E5FE6"/>
    <w:rsid w:val="006F7DE6"/>
    <w:rsid w:val="00700103"/>
    <w:rsid w:val="007042CE"/>
    <w:rsid w:val="0071744C"/>
    <w:rsid w:val="00726697"/>
    <w:rsid w:val="00727DDD"/>
    <w:rsid w:val="00734D5C"/>
    <w:rsid w:val="0075331C"/>
    <w:rsid w:val="00753393"/>
    <w:rsid w:val="007538C5"/>
    <w:rsid w:val="00757B1E"/>
    <w:rsid w:val="007600CA"/>
    <w:rsid w:val="00761C21"/>
    <w:rsid w:val="00765455"/>
    <w:rsid w:val="0077139E"/>
    <w:rsid w:val="0077174B"/>
    <w:rsid w:val="00776C9A"/>
    <w:rsid w:val="00777663"/>
    <w:rsid w:val="00781CF9"/>
    <w:rsid w:val="00782D73"/>
    <w:rsid w:val="00785AE6"/>
    <w:rsid w:val="007875E6"/>
    <w:rsid w:val="0079111B"/>
    <w:rsid w:val="007920CC"/>
    <w:rsid w:val="007965B1"/>
    <w:rsid w:val="007A017C"/>
    <w:rsid w:val="007A17F7"/>
    <w:rsid w:val="007A32C9"/>
    <w:rsid w:val="007A32EA"/>
    <w:rsid w:val="007A482D"/>
    <w:rsid w:val="007A5C84"/>
    <w:rsid w:val="007B0BD7"/>
    <w:rsid w:val="007B5BD5"/>
    <w:rsid w:val="007B7AC3"/>
    <w:rsid w:val="007D6B53"/>
    <w:rsid w:val="007D7C8D"/>
    <w:rsid w:val="007E53FB"/>
    <w:rsid w:val="007F4B3B"/>
    <w:rsid w:val="00813A0E"/>
    <w:rsid w:val="0083062A"/>
    <w:rsid w:val="00832A39"/>
    <w:rsid w:val="00833B8D"/>
    <w:rsid w:val="00840825"/>
    <w:rsid w:val="008410BD"/>
    <w:rsid w:val="00841C5C"/>
    <w:rsid w:val="00841C70"/>
    <w:rsid w:val="00844550"/>
    <w:rsid w:val="00846A99"/>
    <w:rsid w:val="00851A42"/>
    <w:rsid w:val="00851E8C"/>
    <w:rsid w:val="00860050"/>
    <w:rsid w:val="00860992"/>
    <w:rsid w:val="00866650"/>
    <w:rsid w:val="00872636"/>
    <w:rsid w:val="00873594"/>
    <w:rsid w:val="008741C4"/>
    <w:rsid w:val="00876650"/>
    <w:rsid w:val="00880CD2"/>
    <w:rsid w:val="00895BC0"/>
    <w:rsid w:val="008A2F3D"/>
    <w:rsid w:val="008A47B4"/>
    <w:rsid w:val="008C0832"/>
    <w:rsid w:val="008C2E42"/>
    <w:rsid w:val="008D2A36"/>
    <w:rsid w:val="008D5044"/>
    <w:rsid w:val="008E411C"/>
    <w:rsid w:val="008E5874"/>
    <w:rsid w:val="008F0799"/>
    <w:rsid w:val="008F2160"/>
    <w:rsid w:val="008F604C"/>
    <w:rsid w:val="00900E37"/>
    <w:rsid w:val="00904CD5"/>
    <w:rsid w:val="009100F9"/>
    <w:rsid w:val="00911480"/>
    <w:rsid w:val="009121EE"/>
    <w:rsid w:val="009129C2"/>
    <w:rsid w:val="0092103D"/>
    <w:rsid w:val="009225E2"/>
    <w:rsid w:val="009275AF"/>
    <w:rsid w:val="00931152"/>
    <w:rsid w:val="009312BD"/>
    <w:rsid w:val="00934F02"/>
    <w:rsid w:val="00935749"/>
    <w:rsid w:val="00942919"/>
    <w:rsid w:val="00950B94"/>
    <w:rsid w:val="00962601"/>
    <w:rsid w:val="009657F4"/>
    <w:rsid w:val="00971A23"/>
    <w:rsid w:val="00972EE3"/>
    <w:rsid w:val="00977984"/>
    <w:rsid w:val="00977A98"/>
    <w:rsid w:val="0098217D"/>
    <w:rsid w:val="009824FA"/>
    <w:rsid w:val="009828FE"/>
    <w:rsid w:val="00986138"/>
    <w:rsid w:val="0099121A"/>
    <w:rsid w:val="00991A54"/>
    <w:rsid w:val="009A00F9"/>
    <w:rsid w:val="009A0345"/>
    <w:rsid w:val="009A7F12"/>
    <w:rsid w:val="009B0B14"/>
    <w:rsid w:val="009B5B8F"/>
    <w:rsid w:val="009B5CC3"/>
    <w:rsid w:val="009B72FC"/>
    <w:rsid w:val="009C07F1"/>
    <w:rsid w:val="009C221D"/>
    <w:rsid w:val="009C6D26"/>
    <w:rsid w:val="009D06FD"/>
    <w:rsid w:val="009E05B3"/>
    <w:rsid w:val="009E2469"/>
    <w:rsid w:val="009E3B7F"/>
    <w:rsid w:val="009E6165"/>
    <w:rsid w:val="009F133C"/>
    <w:rsid w:val="009F436E"/>
    <w:rsid w:val="00A0095C"/>
    <w:rsid w:val="00A013E3"/>
    <w:rsid w:val="00A0447F"/>
    <w:rsid w:val="00A059DD"/>
    <w:rsid w:val="00A13639"/>
    <w:rsid w:val="00A1794C"/>
    <w:rsid w:val="00A20AB1"/>
    <w:rsid w:val="00A210B2"/>
    <w:rsid w:val="00A3229F"/>
    <w:rsid w:val="00A365F2"/>
    <w:rsid w:val="00A4067E"/>
    <w:rsid w:val="00A41737"/>
    <w:rsid w:val="00A41BCA"/>
    <w:rsid w:val="00A44031"/>
    <w:rsid w:val="00A45DFE"/>
    <w:rsid w:val="00A46B7F"/>
    <w:rsid w:val="00A47697"/>
    <w:rsid w:val="00A5000C"/>
    <w:rsid w:val="00A547A2"/>
    <w:rsid w:val="00A77681"/>
    <w:rsid w:val="00A8227D"/>
    <w:rsid w:val="00A91CD2"/>
    <w:rsid w:val="00A96E32"/>
    <w:rsid w:val="00AC1280"/>
    <w:rsid w:val="00AC3CDE"/>
    <w:rsid w:val="00AC5C9A"/>
    <w:rsid w:val="00AC7464"/>
    <w:rsid w:val="00AD11EF"/>
    <w:rsid w:val="00AD28CF"/>
    <w:rsid w:val="00AD4B7F"/>
    <w:rsid w:val="00AE3F6B"/>
    <w:rsid w:val="00AF2632"/>
    <w:rsid w:val="00B024E6"/>
    <w:rsid w:val="00B06FAA"/>
    <w:rsid w:val="00B12239"/>
    <w:rsid w:val="00B14A3B"/>
    <w:rsid w:val="00B16E66"/>
    <w:rsid w:val="00B24BED"/>
    <w:rsid w:val="00B31862"/>
    <w:rsid w:val="00B32FBF"/>
    <w:rsid w:val="00B356A4"/>
    <w:rsid w:val="00B366C3"/>
    <w:rsid w:val="00B40704"/>
    <w:rsid w:val="00B41CC3"/>
    <w:rsid w:val="00B5314C"/>
    <w:rsid w:val="00B56345"/>
    <w:rsid w:val="00B60478"/>
    <w:rsid w:val="00B62B88"/>
    <w:rsid w:val="00B62DCF"/>
    <w:rsid w:val="00B66033"/>
    <w:rsid w:val="00B67F8E"/>
    <w:rsid w:val="00B730EE"/>
    <w:rsid w:val="00B758F6"/>
    <w:rsid w:val="00B76E46"/>
    <w:rsid w:val="00B8074F"/>
    <w:rsid w:val="00B82B1D"/>
    <w:rsid w:val="00B8647B"/>
    <w:rsid w:val="00B86EF0"/>
    <w:rsid w:val="00B93607"/>
    <w:rsid w:val="00B93CE6"/>
    <w:rsid w:val="00B961D9"/>
    <w:rsid w:val="00B96FA7"/>
    <w:rsid w:val="00BA2C6A"/>
    <w:rsid w:val="00BA5C51"/>
    <w:rsid w:val="00BA6183"/>
    <w:rsid w:val="00BA7F07"/>
    <w:rsid w:val="00BB152A"/>
    <w:rsid w:val="00BC1A60"/>
    <w:rsid w:val="00BC26E3"/>
    <w:rsid w:val="00BD3AB9"/>
    <w:rsid w:val="00BD3F0B"/>
    <w:rsid w:val="00BD551A"/>
    <w:rsid w:val="00BE08CA"/>
    <w:rsid w:val="00BE0A78"/>
    <w:rsid w:val="00C00606"/>
    <w:rsid w:val="00C03239"/>
    <w:rsid w:val="00C036CA"/>
    <w:rsid w:val="00C03A11"/>
    <w:rsid w:val="00C04E64"/>
    <w:rsid w:val="00C0626F"/>
    <w:rsid w:val="00C14B23"/>
    <w:rsid w:val="00C262D8"/>
    <w:rsid w:val="00C2659F"/>
    <w:rsid w:val="00C27085"/>
    <w:rsid w:val="00C27AAD"/>
    <w:rsid w:val="00C35920"/>
    <w:rsid w:val="00C35A19"/>
    <w:rsid w:val="00C36271"/>
    <w:rsid w:val="00C436AD"/>
    <w:rsid w:val="00C453BF"/>
    <w:rsid w:val="00C510BE"/>
    <w:rsid w:val="00C54324"/>
    <w:rsid w:val="00C550A2"/>
    <w:rsid w:val="00C57BAF"/>
    <w:rsid w:val="00C6075A"/>
    <w:rsid w:val="00C6467D"/>
    <w:rsid w:val="00C65C91"/>
    <w:rsid w:val="00C67447"/>
    <w:rsid w:val="00C7041D"/>
    <w:rsid w:val="00C70968"/>
    <w:rsid w:val="00C70F08"/>
    <w:rsid w:val="00C74353"/>
    <w:rsid w:val="00C75B87"/>
    <w:rsid w:val="00C777E4"/>
    <w:rsid w:val="00C85477"/>
    <w:rsid w:val="00C85A8D"/>
    <w:rsid w:val="00C9389A"/>
    <w:rsid w:val="00CA35B9"/>
    <w:rsid w:val="00CA39CC"/>
    <w:rsid w:val="00CA7EB8"/>
    <w:rsid w:val="00CB407C"/>
    <w:rsid w:val="00CB6631"/>
    <w:rsid w:val="00CC64C3"/>
    <w:rsid w:val="00CC6840"/>
    <w:rsid w:val="00CC6970"/>
    <w:rsid w:val="00CC725B"/>
    <w:rsid w:val="00CC7D35"/>
    <w:rsid w:val="00CD1198"/>
    <w:rsid w:val="00CD7847"/>
    <w:rsid w:val="00CE20D6"/>
    <w:rsid w:val="00CE46CC"/>
    <w:rsid w:val="00CE668E"/>
    <w:rsid w:val="00CE67FC"/>
    <w:rsid w:val="00CF14FD"/>
    <w:rsid w:val="00CF1FFC"/>
    <w:rsid w:val="00CF36A3"/>
    <w:rsid w:val="00CF6A23"/>
    <w:rsid w:val="00D059FB"/>
    <w:rsid w:val="00D245C7"/>
    <w:rsid w:val="00D310B9"/>
    <w:rsid w:val="00D33EE2"/>
    <w:rsid w:val="00D34404"/>
    <w:rsid w:val="00D37782"/>
    <w:rsid w:val="00D41B8B"/>
    <w:rsid w:val="00D42164"/>
    <w:rsid w:val="00D44874"/>
    <w:rsid w:val="00D63D96"/>
    <w:rsid w:val="00D70292"/>
    <w:rsid w:val="00D71B3C"/>
    <w:rsid w:val="00D73A75"/>
    <w:rsid w:val="00D7735B"/>
    <w:rsid w:val="00D80503"/>
    <w:rsid w:val="00D82F97"/>
    <w:rsid w:val="00D85381"/>
    <w:rsid w:val="00D87BC6"/>
    <w:rsid w:val="00D92462"/>
    <w:rsid w:val="00D93A20"/>
    <w:rsid w:val="00D94202"/>
    <w:rsid w:val="00D9423B"/>
    <w:rsid w:val="00D97E12"/>
    <w:rsid w:val="00DA0FA3"/>
    <w:rsid w:val="00DA1B70"/>
    <w:rsid w:val="00DA239B"/>
    <w:rsid w:val="00DA6BF6"/>
    <w:rsid w:val="00DB23D6"/>
    <w:rsid w:val="00DB2F9A"/>
    <w:rsid w:val="00DB3A9B"/>
    <w:rsid w:val="00DB67BF"/>
    <w:rsid w:val="00DB6B51"/>
    <w:rsid w:val="00DB7F2D"/>
    <w:rsid w:val="00DC1862"/>
    <w:rsid w:val="00DC591D"/>
    <w:rsid w:val="00DD1BDD"/>
    <w:rsid w:val="00DD1EDC"/>
    <w:rsid w:val="00DE1A2D"/>
    <w:rsid w:val="00DE2E44"/>
    <w:rsid w:val="00DF0254"/>
    <w:rsid w:val="00DF04B8"/>
    <w:rsid w:val="00DF5108"/>
    <w:rsid w:val="00E0069E"/>
    <w:rsid w:val="00E013CB"/>
    <w:rsid w:val="00E10627"/>
    <w:rsid w:val="00E13A9D"/>
    <w:rsid w:val="00E16C16"/>
    <w:rsid w:val="00E205F8"/>
    <w:rsid w:val="00E20B36"/>
    <w:rsid w:val="00E2144B"/>
    <w:rsid w:val="00E225B1"/>
    <w:rsid w:val="00E51242"/>
    <w:rsid w:val="00E5160B"/>
    <w:rsid w:val="00E53B4D"/>
    <w:rsid w:val="00E563BB"/>
    <w:rsid w:val="00E57AEE"/>
    <w:rsid w:val="00E615DB"/>
    <w:rsid w:val="00E61B00"/>
    <w:rsid w:val="00E65AE3"/>
    <w:rsid w:val="00E7085A"/>
    <w:rsid w:val="00E7118B"/>
    <w:rsid w:val="00E73B02"/>
    <w:rsid w:val="00E869A9"/>
    <w:rsid w:val="00E90B0E"/>
    <w:rsid w:val="00EA1602"/>
    <w:rsid w:val="00EA17C2"/>
    <w:rsid w:val="00EA3762"/>
    <w:rsid w:val="00EA5506"/>
    <w:rsid w:val="00EB00E8"/>
    <w:rsid w:val="00EC1A9E"/>
    <w:rsid w:val="00EC59CE"/>
    <w:rsid w:val="00ED16BB"/>
    <w:rsid w:val="00ED40BC"/>
    <w:rsid w:val="00ED477E"/>
    <w:rsid w:val="00ED52E9"/>
    <w:rsid w:val="00EE2B32"/>
    <w:rsid w:val="00EE726B"/>
    <w:rsid w:val="00EF1DFB"/>
    <w:rsid w:val="00EF5E2B"/>
    <w:rsid w:val="00F0444F"/>
    <w:rsid w:val="00F05081"/>
    <w:rsid w:val="00F05A63"/>
    <w:rsid w:val="00F065FB"/>
    <w:rsid w:val="00F14937"/>
    <w:rsid w:val="00F17713"/>
    <w:rsid w:val="00F3528D"/>
    <w:rsid w:val="00F37DFA"/>
    <w:rsid w:val="00F415B3"/>
    <w:rsid w:val="00F44C0B"/>
    <w:rsid w:val="00F51341"/>
    <w:rsid w:val="00F51CD1"/>
    <w:rsid w:val="00F5319A"/>
    <w:rsid w:val="00F54F23"/>
    <w:rsid w:val="00F56F57"/>
    <w:rsid w:val="00F62802"/>
    <w:rsid w:val="00F6488E"/>
    <w:rsid w:val="00F84B62"/>
    <w:rsid w:val="00F85AF3"/>
    <w:rsid w:val="00F92EAF"/>
    <w:rsid w:val="00F96047"/>
    <w:rsid w:val="00FA0EFA"/>
    <w:rsid w:val="00FA3998"/>
    <w:rsid w:val="00FA52DE"/>
    <w:rsid w:val="00FB4933"/>
    <w:rsid w:val="00FB7FB1"/>
    <w:rsid w:val="00FC23B0"/>
    <w:rsid w:val="00FC3334"/>
    <w:rsid w:val="00FC58DE"/>
    <w:rsid w:val="00FC5EC0"/>
    <w:rsid w:val="00FC6714"/>
    <w:rsid w:val="00FC6CC2"/>
    <w:rsid w:val="00FD3127"/>
    <w:rsid w:val="00FD443A"/>
    <w:rsid w:val="00FD72F9"/>
    <w:rsid w:val="00FE458B"/>
    <w:rsid w:val="00FE4F43"/>
    <w:rsid w:val="00FE7C66"/>
    <w:rsid w:val="00FF2F83"/>
    <w:rsid w:val="00F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FF23F"/>
  <w15:docId w15:val="{170CE256-6945-4C25-A251-5F284FA3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Book Antiqua" w:hAnsi="Book Antiqua"/>
      <w:sz w:val="22"/>
      <w:lang w:val="en-A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outlineLvl w:val="2"/>
    </w:pPr>
    <w:rPr>
      <w:rFonts w:ascii="Arial" w:hAnsi="Arial"/>
      <w:i/>
      <w:iCs/>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tabs>
        <w:tab w:val="left" w:pos="720"/>
      </w:tabs>
      <w:outlineLvl w:val="4"/>
    </w:pPr>
    <w:rPr>
      <w:rFonts w:ascii="Arial" w:hAnsi="Arial"/>
      <w:b/>
      <w:bCs/>
      <w:lang w:val="en-GB"/>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b/>
    </w:rPr>
  </w:style>
  <w:style w:type="paragraph" w:styleId="BodyText3">
    <w:name w:val="Body Text 3"/>
    <w:basedOn w:val="Normal"/>
    <w:pPr>
      <w:tabs>
        <w:tab w:val="left" w:pos="720"/>
      </w:tabs>
    </w:pPr>
    <w:rPr>
      <w:rFonts w:ascii="Arial" w:hAnsi="Arial"/>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outlineLvl w:val="0"/>
    </w:pPr>
    <w:rPr>
      <w:b/>
      <w:bCs/>
    </w:rPr>
  </w:style>
  <w:style w:type="paragraph" w:styleId="Title">
    <w:name w:val="Title"/>
    <w:basedOn w:val="Normal"/>
    <w:qFormat/>
    <w:pPr>
      <w:jc w:val="center"/>
    </w:pPr>
    <w:rPr>
      <w:b/>
      <w:sz w:val="28"/>
      <w:lang w:val="en-GB"/>
    </w:rPr>
  </w:style>
  <w:style w:type="character" w:styleId="Hyperlink">
    <w:name w:val="Hyperlink"/>
    <w:rsid w:val="00972EE3"/>
    <w:rPr>
      <w:color w:val="0000FF"/>
      <w:u w:val="single"/>
    </w:rPr>
  </w:style>
  <w:style w:type="character" w:styleId="CommentReference">
    <w:name w:val="annotation reference"/>
    <w:semiHidden/>
    <w:rsid w:val="00A4067E"/>
    <w:rPr>
      <w:sz w:val="16"/>
      <w:szCs w:val="16"/>
    </w:rPr>
  </w:style>
  <w:style w:type="paragraph" w:styleId="CommentText">
    <w:name w:val="annotation text"/>
    <w:basedOn w:val="Normal"/>
    <w:semiHidden/>
    <w:rsid w:val="00A4067E"/>
    <w:rPr>
      <w:sz w:val="20"/>
    </w:rPr>
  </w:style>
  <w:style w:type="paragraph" w:styleId="CommentSubject">
    <w:name w:val="annotation subject"/>
    <w:basedOn w:val="CommentText"/>
    <w:next w:val="CommentText"/>
    <w:semiHidden/>
    <w:rsid w:val="00A4067E"/>
    <w:rPr>
      <w:b/>
      <w:bCs/>
    </w:rPr>
  </w:style>
  <w:style w:type="paragraph" w:customStyle="1" w:styleId="Bookman11">
    <w:name w:val="Bookman11"/>
    <w:basedOn w:val="Normal"/>
    <w:rsid w:val="002E2C7C"/>
    <w:pPr>
      <w:widowControl w:val="0"/>
      <w:tabs>
        <w:tab w:val="left" w:pos="360"/>
        <w:tab w:val="left" w:pos="720"/>
        <w:tab w:val="left" w:pos="1080"/>
        <w:tab w:val="left" w:pos="1440"/>
      </w:tabs>
      <w:suppressAutoHyphens/>
      <w:jc w:val="left"/>
    </w:pPr>
    <w:rPr>
      <w:rFonts w:ascii="Times New Roman" w:hAnsi="Times New Roman"/>
      <w:lang w:val="en-US"/>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列出"/>
    <w:basedOn w:val="Normal"/>
    <w:link w:val="ListParagraphChar"/>
    <w:uiPriority w:val="34"/>
    <w:qFormat/>
    <w:rsid w:val="00B66033"/>
    <w:pPr>
      <w:ind w:left="720"/>
    </w:pPr>
  </w:style>
  <w:style w:type="paragraph" w:customStyle="1" w:styleId="BodyA">
    <w:name w:val="Body A"/>
    <w:rsid w:val="00053163"/>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8F2160"/>
    <w:rPr>
      <w:rFonts w:ascii="Book Antiqua" w:hAnsi="Book Antiqua"/>
      <w:sz w:val="22"/>
      <w:lang w:val="en-AU"/>
    </w:rPr>
  </w:style>
  <w:style w:type="paragraph" w:styleId="Revision">
    <w:name w:val="Revision"/>
    <w:hidden/>
    <w:uiPriority w:val="99"/>
    <w:semiHidden/>
    <w:rsid w:val="00CC6970"/>
    <w:rPr>
      <w:rFonts w:ascii="Book Antiqua" w:hAnsi="Book Antiqu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CEEB130DE27F48904ACEE2645C2681" ma:contentTypeVersion="11" ma:contentTypeDescription="Create a new document." ma:contentTypeScope="" ma:versionID="8f287290832b2bd6ae9973b3351df514">
  <xsd:schema xmlns:xsd="http://www.w3.org/2001/XMLSchema" xmlns:xs="http://www.w3.org/2001/XMLSchema" xmlns:p="http://schemas.microsoft.com/office/2006/metadata/properties" xmlns:ns3="9b35e4c9-559f-4a2a-8495-f0bcb68c0f10" xmlns:ns4="121ea6b6-9dfa-4002-bb0f-04911a24d35f" targetNamespace="http://schemas.microsoft.com/office/2006/metadata/properties" ma:root="true" ma:fieldsID="983e29a9eec8285aeadcff8e2ae74561" ns3:_="" ns4:_="">
    <xsd:import namespace="9b35e4c9-559f-4a2a-8495-f0bcb68c0f10"/>
    <xsd:import namespace="121ea6b6-9dfa-4002-bb0f-04911a24d3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ea6b6-9dfa-4002-bb0f-04911a24d3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B677C-14F3-4772-9192-03B206174246}">
  <ds:schemaRefs>
    <ds:schemaRef ds:uri="http://schemas.openxmlformats.org/officeDocument/2006/bibliography"/>
  </ds:schemaRefs>
</ds:datastoreItem>
</file>

<file path=customXml/itemProps2.xml><?xml version="1.0" encoding="utf-8"?>
<ds:datastoreItem xmlns:ds="http://schemas.openxmlformats.org/officeDocument/2006/customXml" ds:itemID="{BEF07F36-71F5-4B90-A6F3-8D5013C568EE}">
  <ds:schemaRefs>
    <ds:schemaRef ds:uri="http://schemas.microsoft.com/sharepoint/v3/contenttype/forms"/>
  </ds:schemaRefs>
</ds:datastoreItem>
</file>

<file path=customXml/itemProps3.xml><?xml version="1.0" encoding="utf-8"?>
<ds:datastoreItem xmlns:ds="http://schemas.openxmlformats.org/officeDocument/2006/customXml" ds:itemID="{400D9408-F1EE-46A7-A515-C503F5961A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145E68-D959-476C-AFEA-BEC971BE7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121ea6b6-9dfa-4002-bb0f-04911a24d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2619</Words>
  <Characters>14270</Characters>
  <Application>Microsoft Office Word</Application>
  <DocSecurity>4</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(I)</vt:lpstr>
      <vt:lpstr>Terms of Reference (I)</vt:lpstr>
    </vt:vector>
  </TitlesOfParts>
  <Company>UNICEF,ACO</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(I)</dc:title>
  <dc:creator>PS</dc:creator>
  <cp:lastModifiedBy>Alix Nyaburerwa</cp:lastModifiedBy>
  <cp:revision>2</cp:revision>
  <cp:lastPrinted>2015-12-22T09:52:00Z</cp:lastPrinted>
  <dcterms:created xsi:type="dcterms:W3CDTF">2024-03-19T19:08:00Z</dcterms:created>
  <dcterms:modified xsi:type="dcterms:W3CDTF">2024-03-19T19:08:00Z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0x0101009CCEEB130DE27F48904ACEE2645C2681</vt:lpwstr>
  </property>
</Properties>
</file>