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3D39" w14:textId="77777777" w:rsidR="00BA5C8B" w:rsidRDefault="00BA5C8B">
      <w:pPr>
        <w:spacing w:after="0"/>
        <w:ind w:left="-1440" w:right="7552"/>
      </w:pPr>
    </w:p>
    <w:tbl>
      <w:tblPr>
        <w:tblStyle w:val="TableGrid"/>
        <w:tblW w:w="10350" w:type="dxa"/>
        <w:tblInd w:w="-453" w:type="dxa"/>
        <w:tblCellMar>
          <w:top w:w="14" w:type="dxa"/>
          <w:left w:w="2" w:type="dxa"/>
          <w:right w:w="24" w:type="dxa"/>
        </w:tblCellMar>
        <w:tblLook w:val="04A0" w:firstRow="1" w:lastRow="0" w:firstColumn="1" w:lastColumn="0" w:noHBand="0" w:noVBand="1"/>
      </w:tblPr>
      <w:tblGrid>
        <w:gridCol w:w="3536"/>
        <w:gridCol w:w="1278"/>
        <w:gridCol w:w="5536"/>
      </w:tblGrid>
      <w:tr w:rsidR="00BA5C8B" w14:paraId="07478BDB" w14:textId="77777777" w:rsidTr="00CF6865">
        <w:trPr>
          <w:trHeight w:val="1650"/>
        </w:trPr>
        <w:tc>
          <w:tcPr>
            <w:tcW w:w="3536" w:type="dxa"/>
            <w:tcBorders>
              <w:top w:val="single" w:sz="2" w:space="0" w:color="000000"/>
              <w:left w:val="single" w:sz="2" w:space="0" w:color="000000"/>
              <w:bottom w:val="single" w:sz="2" w:space="0" w:color="000000"/>
              <w:right w:val="nil"/>
            </w:tcBorders>
            <w:vAlign w:val="bottom"/>
          </w:tcPr>
          <w:p w14:paraId="13758070" w14:textId="77777777" w:rsidR="00BA5C8B" w:rsidRDefault="00000000">
            <w:pPr>
              <w:spacing w:after="10"/>
              <w:ind w:left="154"/>
            </w:pPr>
            <w:r>
              <w:rPr>
                <w:noProof/>
              </w:rPr>
              <w:drawing>
                <wp:inline distT="0" distB="0" distL="0" distR="0" wp14:anchorId="45CD5B67" wp14:editId="72385C9A">
                  <wp:extent cx="820077" cy="673800"/>
                  <wp:effectExtent l="0" t="0" r="0" b="0"/>
                  <wp:docPr id="9132" name="Picture 9132"/>
                  <wp:cNvGraphicFramePr/>
                  <a:graphic xmlns:a="http://schemas.openxmlformats.org/drawingml/2006/main">
                    <a:graphicData uri="http://schemas.openxmlformats.org/drawingml/2006/picture">
                      <pic:pic xmlns:pic="http://schemas.openxmlformats.org/drawingml/2006/picture">
                        <pic:nvPicPr>
                          <pic:cNvPr id="9132" name="Picture 9132"/>
                          <pic:cNvPicPr/>
                        </pic:nvPicPr>
                        <pic:blipFill>
                          <a:blip r:embed="rId5"/>
                          <a:stretch>
                            <a:fillRect/>
                          </a:stretch>
                        </pic:blipFill>
                        <pic:spPr>
                          <a:xfrm>
                            <a:off x="0" y="0"/>
                            <a:ext cx="820077" cy="673800"/>
                          </a:xfrm>
                          <a:prstGeom prst="rect">
                            <a:avLst/>
                          </a:prstGeom>
                        </pic:spPr>
                      </pic:pic>
                    </a:graphicData>
                  </a:graphic>
                </wp:inline>
              </w:drawing>
            </w:r>
          </w:p>
          <w:p w14:paraId="1DCCFC2A" w14:textId="77777777" w:rsidR="00BA5C8B" w:rsidRDefault="00000000">
            <w:pPr>
              <w:spacing w:after="0"/>
              <w:ind w:left="110"/>
            </w:pPr>
            <w:r>
              <w:rPr>
                <w:sz w:val="56"/>
              </w:rPr>
              <w:t>unicef</w:t>
            </w:r>
          </w:p>
        </w:tc>
        <w:tc>
          <w:tcPr>
            <w:tcW w:w="6814" w:type="dxa"/>
            <w:gridSpan w:val="2"/>
            <w:tcBorders>
              <w:top w:val="single" w:sz="2" w:space="0" w:color="000000"/>
              <w:left w:val="nil"/>
              <w:bottom w:val="single" w:sz="2" w:space="0" w:color="000000"/>
              <w:right w:val="single" w:sz="2" w:space="0" w:color="000000"/>
            </w:tcBorders>
            <w:vAlign w:val="bottom"/>
          </w:tcPr>
          <w:p w14:paraId="5BF2A8EE" w14:textId="77777777" w:rsidR="00BA5C8B" w:rsidRDefault="00000000">
            <w:pPr>
              <w:spacing w:after="0"/>
              <w:ind w:left="706" w:right="442" w:hanging="706"/>
            </w:pPr>
            <w:r>
              <w:rPr>
                <w:sz w:val="28"/>
              </w:rPr>
              <w:t>UNITED NATIONS CHILDREN'S FUND SPECIFIC JOB PROFILE</w:t>
            </w:r>
          </w:p>
        </w:tc>
      </w:tr>
      <w:tr w:rsidR="00BA5C8B" w14:paraId="786312FC" w14:textId="77777777" w:rsidTr="00CF6865">
        <w:trPr>
          <w:trHeight w:val="557"/>
        </w:trPr>
        <w:tc>
          <w:tcPr>
            <w:tcW w:w="10350" w:type="dxa"/>
            <w:gridSpan w:val="3"/>
            <w:tcBorders>
              <w:top w:val="single" w:sz="2" w:space="0" w:color="000000"/>
              <w:left w:val="single" w:sz="2" w:space="0" w:color="000000"/>
              <w:bottom w:val="single" w:sz="2" w:space="0" w:color="000000"/>
              <w:right w:val="single" w:sz="2" w:space="0" w:color="000000"/>
            </w:tcBorders>
          </w:tcPr>
          <w:p w14:paraId="5ECCF86B" w14:textId="77777777" w:rsidR="00BA5C8B" w:rsidRDefault="00000000">
            <w:pPr>
              <w:spacing w:after="0"/>
              <w:ind w:left="0"/>
            </w:pPr>
            <w:r>
              <w:rPr>
                <w:noProof/>
              </w:rPr>
              <w:drawing>
                <wp:inline distT="0" distB="0" distL="0" distR="0" wp14:anchorId="77456625" wp14:editId="3C6C905A">
                  <wp:extent cx="5463118" cy="335375"/>
                  <wp:effectExtent l="0" t="0" r="0" b="0"/>
                  <wp:docPr id="30234" name="Picture 30234"/>
                  <wp:cNvGraphicFramePr/>
                  <a:graphic xmlns:a="http://schemas.openxmlformats.org/drawingml/2006/main">
                    <a:graphicData uri="http://schemas.openxmlformats.org/drawingml/2006/picture">
                      <pic:pic xmlns:pic="http://schemas.openxmlformats.org/drawingml/2006/picture">
                        <pic:nvPicPr>
                          <pic:cNvPr id="30234" name="Picture 30234"/>
                          <pic:cNvPicPr/>
                        </pic:nvPicPr>
                        <pic:blipFill>
                          <a:blip r:embed="rId6"/>
                          <a:stretch>
                            <a:fillRect/>
                          </a:stretch>
                        </pic:blipFill>
                        <pic:spPr>
                          <a:xfrm>
                            <a:off x="0" y="0"/>
                            <a:ext cx="5463118" cy="335375"/>
                          </a:xfrm>
                          <a:prstGeom prst="rect">
                            <a:avLst/>
                          </a:prstGeom>
                        </pic:spPr>
                      </pic:pic>
                    </a:graphicData>
                  </a:graphic>
                </wp:inline>
              </w:drawing>
            </w:r>
          </w:p>
        </w:tc>
      </w:tr>
      <w:tr w:rsidR="00BA5C8B" w14:paraId="07F4B32B" w14:textId="77777777" w:rsidTr="00CF6865">
        <w:trPr>
          <w:trHeight w:val="1632"/>
        </w:trPr>
        <w:tc>
          <w:tcPr>
            <w:tcW w:w="4814" w:type="dxa"/>
            <w:gridSpan w:val="2"/>
            <w:tcBorders>
              <w:top w:val="single" w:sz="2" w:space="0" w:color="000000"/>
              <w:left w:val="single" w:sz="2" w:space="0" w:color="000000"/>
              <w:bottom w:val="single" w:sz="2" w:space="0" w:color="000000"/>
              <w:right w:val="single" w:sz="2" w:space="0" w:color="000000"/>
            </w:tcBorders>
          </w:tcPr>
          <w:p w14:paraId="0BDC3FE4" w14:textId="77777777" w:rsidR="00BA5C8B" w:rsidRDefault="00000000">
            <w:pPr>
              <w:spacing w:after="0" w:line="216" w:lineRule="auto"/>
              <w:ind w:left="106" w:hanging="10"/>
            </w:pPr>
            <w:r>
              <w:rPr>
                <w:sz w:val="24"/>
              </w:rPr>
              <w:t>JOB TITLE: Chief of Planning, Monitoring &amp; Evaluation</w:t>
            </w:r>
          </w:p>
          <w:p w14:paraId="1B8BC880" w14:textId="77777777" w:rsidR="00BA5C8B" w:rsidRDefault="00000000">
            <w:pPr>
              <w:spacing w:after="0"/>
              <w:ind w:left="101"/>
            </w:pPr>
            <w:r>
              <w:rPr>
                <w:sz w:val="26"/>
              </w:rPr>
              <w:t>SUPERVISOR TITLE/LEVEL: Deputy</w:t>
            </w:r>
          </w:p>
          <w:p w14:paraId="5C979297" w14:textId="77777777" w:rsidR="00BA5C8B" w:rsidRDefault="00000000">
            <w:pPr>
              <w:spacing w:after="0"/>
              <w:ind w:left="106"/>
            </w:pPr>
            <w:r>
              <w:rPr>
                <w:sz w:val="24"/>
              </w:rPr>
              <w:t>Representative Programmes/D1</w:t>
            </w:r>
          </w:p>
          <w:p w14:paraId="3DDF9E9F" w14:textId="77777777" w:rsidR="00BA5C8B" w:rsidRDefault="00000000">
            <w:pPr>
              <w:spacing w:after="0" w:line="216" w:lineRule="auto"/>
              <w:ind w:left="101" w:right="151"/>
            </w:pPr>
            <w:r>
              <w:rPr>
                <w:sz w:val="24"/>
              </w:rPr>
              <w:t>ORGANIZATIONAL UNIT: Programme, sco</w:t>
            </w:r>
          </w:p>
          <w:p w14:paraId="46D50597" w14:textId="640613BB" w:rsidR="00BA5C8B" w:rsidRDefault="00000000">
            <w:pPr>
              <w:spacing w:after="0"/>
              <w:ind w:left="110"/>
            </w:pPr>
            <w:r>
              <w:rPr>
                <w:sz w:val="24"/>
              </w:rPr>
              <w:t xml:space="preserve">LOCATION: </w:t>
            </w:r>
            <w:r w:rsidR="00BF445E">
              <w:rPr>
                <w:sz w:val="24"/>
              </w:rPr>
              <w:t xml:space="preserve">Port </w:t>
            </w:r>
            <w:r w:rsidR="00CF6865">
              <w:rPr>
                <w:sz w:val="24"/>
              </w:rPr>
              <w:t>Sudan,</w:t>
            </w:r>
            <w:r>
              <w:rPr>
                <w:sz w:val="24"/>
              </w:rPr>
              <w:t xml:space="preserve"> Sudan</w:t>
            </w:r>
          </w:p>
        </w:tc>
        <w:tc>
          <w:tcPr>
            <w:tcW w:w="5536" w:type="dxa"/>
            <w:tcBorders>
              <w:top w:val="single" w:sz="2" w:space="0" w:color="000000"/>
              <w:left w:val="single" w:sz="2" w:space="0" w:color="000000"/>
              <w:bottom w:val="single" w:sz="2" w:space="0" w:color="000000"/>
              <w:right w:val="single" w:sz="2" w:space="0" w:color="000000"/>
            </w:tcBorders>
          </w:tcPr>
          <w:p w14:paraId="754444CC" w14:textId="77777777" w:rsidR="00BA5C8B" w:rsidRDefault="00000000">
            <w:pPr>
              <w:spacing w:after="0" w:line="216" w:lineRule="auto"/>
              <w:ind w:left="99" w:right="2304"/>
              <w:jc w:val="both"/>
            </w:pPr>
            <w:r>
              <w:rPr>
                <w:sz w:val="26"/>
              </w:rPr>
              <w:t>JOB LEVEL: P-5 JOB PROFLE NO.:</w:t>
            </w:r>
          </w:p>
          <w:p w14:paraId="5710493C" w14:textId="77777777" w:rsidR="00BA5C8B" w:rsidRDefault="00000000">
            <w:pPr>
              <w:spacing w:after="0"/>
              <w:ind w:left="104"/>
            </w:pPr>
            <w:r>
              <w:rPr>
                <w:sz w:val="22"/>
              </w:rPr>
              <w:t>CCOG CODE:</w:t>
            </w:r>
          </w:p>
          <w:p w14:paraId="26D657D8" w14:textId="77777777" w:rsidR="00BA5C8B" w:rsidRDefault="00000000">
            <w:pPr>
              <w:spacing w:after="0"/>
              <w:ind w:left="109"/>
            </w:pPr>
            <w:r>
              <w:rPr>
                <w:sz w:val="24"/>
              </w:rPr>
              <w:t>FUNCTIONAL CODE:</w:t>
            </w:r>
          </w:p>
        </w:tc>
      </w:tr>
      <w:tr w:rsidR="00BA5C8B" w14:paraId="3C0155CF" w14:textId="77777777" w:rsidTr="00CF6865">
        <w:trPr>
          <w:trHeight w:val="498"/>
        </w:trPr>
        <w:tc>
          <w:tcPr>
            <w:tcW w:w="10350" w:type="dxa"/>
            <w:gridSpan w:val="3"/>
            <w:tcBorders>
              <w:top w:val="single" w:sz="2" w:space="0" w:color="000000"/>
              <w:left w:val="single" w:sz="2" w:space="0" w:color="000000"/>
              <w:bottom w:val="single" w:sz="2" w:space="0" w:color="000000"/>
              <w:right w:val="single" w:sz="2" w:space="0" w:color="000000"/>
            </w:tcBorders>
          </w:tcPr>
          <w:p w14:paraId="518A26DA" w14:textId="77777777" w:rsidR="00BA5C8B" w:rsidRDefault="00000000">
            <w:pPr>
              <w:spacing w:after="0"/>
              <w:ind w:left="106"/>
            </w:pPr>
            <w:r>
              <w:t>Il. Job organizational context and purpose for the job</w:t>
            </w:r>
          </w:p>
        </w:tc>
      </w:tr>
      <w:tr w:rsidR="00BA5C8B" w14:paraId="00BC1282" w14:textId="77777777" w:rsidTr="00CF6865">
        <w:trPr>
          <w:trHeight w:val="8137"/>
        </w:trPr>
        <w:tc>
          <w:tcPr>
            <w:tcW w:w="10350" w:type="dxa"/>
            <w:gridSpan w:val="3"/>
            <w:tcBorders>
              <w:top w:val="single" w:sz="2" w:space="0" w:color="000000"/>
              <w:left w:val="single" w:sz="2" w:space="0" w:color="000000"/>
              <w:bottom w:val="single" w:sz="2" w:space="0" w:color="000000"/>
              <w:right w:val="single" w:sz="2" w:space="0" w:color="000000"/>
            </w:tcBorders>
          </w:tcPr>
          <w:p w14:paraId="1A45AD29" w14:textId="77777777" w:rsidR="00BA5C8B" w:rsidRDefault="00000000">
            <w:pPr>
              <w:spacing w:after="2" w:line="216" w:lineRule="auto"/>
              <w:ind w:left="96" w:right="96" w:firstLine="14"/>
              <w:jc w:val="both"/>
            </w:pPr>
            <w:r>
              <w:rPr>
                <w:sz w:val="22"/>
              </w:rPr>
              <w:t xml:space="preserve">UNICEF has been in Sudan since 1952 and provides long-term humanitarian, development and peacebuilding assistance to children and young people, their mothers, </w:t>
            </w:r>
            <w:proofErr w:type="gramStart"/>
            <w:r>
              <w:rPr>
                <w:sz w:val="22"/>
              </w:rPr>
              <w:t>families</w:t>
            </w:r>
            <w:proofErr w:type="gramEnd"/>
            <w:r>
              <w:rPr>
                <w:sz w:val="22"/>
              </w:rPr>
              <w:t xml:space="preserve"> and communities. We target the most vulnerable children, including refugees and internally displaced persons, through lifesaving programmes, especially at the household and community levels; while strengthening systems and working to sustain peace and advocate for respect, dignity and the full realization of children's rights.</w:t>
            </w:r>
          </w:p>
          <w:p w14:paraId="7E10B1E4" w14:textId="77777777" w:rsidR="00BA5C8B" w:rsidRDefault="00000000">
            <w:pPr>
              <w:spacing w:after="112"/>
              <w:ind w:left="96"/>
            </w:pPr>
            <w:r>
              <w:rPr>
                <w:sz w:val="24"/>
                <w:u w:val="single" w:color="000000"/>
              </w:rPr>
              <w:t>Job orqanizational context and purpose for the job:</w:t>
            </w:r>
          </w:p>
          <w:p w14:paraId="61857A47" w14:textId="77777777" w:rsidR="00BA5C8B" w:rsidRDefault="00000000">
            <w:pPr>
              <w:spacing w:after="250" w:line="216" w:lineRule="auto"/>
              <w:ind w:left="106" w:right="91" w:hanging="5"/>
              <w:jc w:val="both"/>
            </w:pPr>
            <w:r>
              <w:rPr>
                <w:sz w:val="22"/>
              </w:rPr>
              <w:t>The Chief of PME will play a key leadership role in the Sudan Country Office in a context that is highly complex, at a critical moment for Sudan's political, economic and historical transition. All taking place within the constant backdrop of cyclical, yet often unexpected and complex compounded humanitarian emergencies across its states.</w:t>
            </w:r>
          </w:p>
          <w:p w14:paraId="58B0D8C6" w14:textId="77777777" w:rsidR="00BA5C8B" w:rsidRDefault="00000000">
            <w:pPr>
              <w:spacing w:after="340" w:line="219" w:lineRule="auto"/>
              <w:ind w:left="101" w:right="192" w:firstLine="5"/>
              <w:jc w:val="both"/>
            </w:pPr>
            <w:r>
              <w:rPr>
                <w:sz w:val="22"/>
              </w:rPr>
              <w:t>The Chief of Strategic PME is responsible for UNICEF's country program planning together with the UN system, Government of Sudan and partners; supporting the design, improvement and implementation of monitoring and real-time monitoring systems; national surveys (i.e. MICS); review and strengthening the PME function in the Country Office in Khartoum and across the 12 field offices and sub-offices; and providing excellent leadership, motivation and support to the PME team. Given the size and scope of the programme and the complexity of the context and to ensure excellence in the SCO's management of results, the Chief of PME will be expected to innovate with the team and partners for improving data collection systems, vulnerability mapping, programme convergence and integration for clear priority setting and strategic planning and delivery. The Chief also leads and supports programme delivery with the inter-agency planning frameworks and yearly appeals processes and the UN country team in support of the attainment of the SDGs.</w:t>
            </w:r>
          </w:p>
          <w:p w14:paraId="1378FBC0" w14:textId="77777777" w:rsidR="00BA5C8B" w:rsidRDefault="00000000">
            <w:pPr>
              <w:spacing w:after="224"/>
              <w:ind w:left="130"/>
            </w:pPr>
            <w:r>
              <w:rPr>
                <w:sz w:val="26"/>
              </w:rPr>
              <w:t>KEY END-RESULTS</w:t>
            </w:r>
          </w:p>
          <w:p w14:paraId="235EA3BB" w14:textId="77777777" w:rsidR="00BA5C8B" w:rsidRDefault="00000000">
            <w:pPr>
              <w:spacing w:after="0"/>
              <w:ind w:left="485" w:right="451" w:hanging="346"/>
              <w:jc w:val="both"/>
            </w:pPr>
            <w:r>
              <w:rPr>
                <w:sz w:val="22"/>
              </w:rPr>
              <w:t>1. The Country Office has a sound strategic framework that addresses the development, humanitarian, and peace building nexus — based on clear situation and vulnerability analyses. This includes the CPD development and monitoring, harmonized and aligned with intera enc and overnment lannin and monitorin frameworks.</w:t>
            </w:r>
          </w:p>
        </w:tc>
      </w:tr>
    </w:tbl>
    <w:p w14:paraId="4A1EA2F9" w14:textId="77777777" w:rsidR="00BA5C8B" w:rsidRDefault="00BA5C8B">
      <w:pPr>
        <w:spacing w:after="0"/>
        <w:ind w:left="-1440" w:right="370"/>
      </w:pPr>
    </w:p>
    <w:tbl>
      <w:tblPr>
        <w:tblStyle w:val="TableGrid"/>
        <w:tblW w:w="10440" w:type="dxa"/>
        <w:tblInd w:w="-543" w:type="dxa"/>
        <w:tblCellMar>
          <w:top w:w="42" w:type="dxa"/>
          <w:right w:w="128" w:type="dxa"/>
        </w:tblCellMar>
        <w:tblLook w:val="04A0" w:firstRow="1" w:lastRow="0" w:firstColumn="1" w:lastColumn="0" w:noHBand="0" w:noVBand="1"/>
      </w:tblPr>
      <w:tblGrid>
        <w:gridCol w:w="409"/>
        <w:gridCol w:w="10031"/>
      </w:tblGrid>
      <w:tr w:rsidR="00BA5C8B" w14:paraId="020B6719" w14:textId="77777777" w:rsidTr="00CF6865">
        <w:trPr>
          <w:trHeight w:val="5309"/>
        </w:trPr>
        <w:tc>
          <w:tcPr>
            <w:tcW w:w="404" w:type="dxa"/>
            <w:tcBorders>
              <w:top w:val="single" w:sz="2" w:space="0" w:color="000000"/>
              <w:left w:val="single" w:sz="2" w:space="0" w:color="000000"/>
              <w:bottom w:val="single" w:sz="2" w:space="0" w:color="000000"/>
              <w:right w:val="nil"/>
            </w:tcBorders>
          </w:tcPr>
          <w:p w14:paraId="145F0892" w14:textId="77777777" w:rsidR="00BA5C8B" w:rsidRDefault="00000000" w:rsidP="00CF6865">
            <w:pPr>
              <w:spacing w:after="632"/>
              <w:ind w:left="109"/>
            </w:pPr>
            <w:r>
              <w:rPr>
                <w:sz w:val="22"/>
              </w:rPr>
              <w:lastRenderedPageBreak/>
              <w:t>2.</w:t>
            </w:r>
          </w:p>
          <w:p w14:paraId="1CD88D60" w14:textId="77777777" w:rsidR="00BA5C8B" w:rsidRDefault="00000000" w:rsidP="00CF6865">
            <w:pPr>
              <w:spacing w:after="627"/>
              <w:ind w:left="113"/>
            </w:pPr>
            <w:r>
              <w:rPr>
                <w:sz w:val="22"/>
              </w:rPr>
              <w:t>3.</w:t>
            </w:r>
          </w:p>
          <w:p w14:paraId="3AB46887" w14:textId="77777777" w:rsidR="00BA5C8B" w:rsidRDefault="00000000" w:rsidP="00CF6865">
            <w:pPr>
              <w:spacing w:after="512"/>
              <w:ind w:left="109"/>
            </w:pPr>
            <w:r>
              <w:rPr>
                <w:sz w:val="22"/>
              </w:rPr>
              <w:t>4.</w:t>
            </w:r>
          </w:p>
          <w:p w14:paraId="361AD5EA" w14:textId="77777777" w:rsidR="00BA5C8B" w:rsidRDefault="00000000" w:rsidP="00CF6865">
            <w:pPr>
              <w:spacing w:after="632"/>
              <w:ind w:left="113"/>
            </w:pPr>
            <w:r>
              <w:rPr>
                <w:sz w:val="22"/>
              </w:rPr>
              <w:t>5.</w:t>
            </w:r>
          </w:p>
          <w:p w14:paraId="3E8D47CD" w14:textId="77777777" w:rsidR="00BA5C8B" w:rsidRDefault="00000000" w:rsidP="00CF6865">
            <w:pPr>
              <w:spacing w:after="401"/>
              <w:ind w:left="113"/>
            </w:pPr>
            <w:r>
              <w:rPr>
                <w:sz w:val="22"/>
              </w:rPr>
              <w:t>6.</w:t>
            </w:r>
          </w:p>
          <w:p w14:paraId="4D085C7D" w14:textId="77777777" w:rsidR="00BA5C8B" w:rsidRDefault="00000000" w:rsidP="00CF6865">
            <w:pPr>
              <w:spacing w:after="0"/>
              <w:ind w:left="113"/>
            </w:pPr>
            <w:r>
              <w:rPr>
                <w:sz w:val="22"/>
              </w:rPr>
              <w:t>7.</w:t>
            </w:r>
          </w:p>
        </w:tc>
        <w:tc>
          <w:tcPr>
            <w:tcW w:w="10036" w:type="dxa"/>
            <w:tcBorders>
              <w:top w:val="single" w:sz="2" w:space="0" w:color="000000"/>
              <w:left w:val="nil"/>
              <w:bottom w:val="single" w:sz="2" w:space="0" w:color="000000"/>
              <w:right w:val="single" w:sz="2" w:space="0" w:color="000000"/>
            </w:tcBorders>
          </w:tcPr>
          <w:p w14:paraId="54D0F928" w14:textId="77777777" w:rsidR="00BA5C8B" w:rsidRDefault="00000000" w:rsidP="00CF6865">
            <w:pPr>
              <w:spacing w:after="176" w:line="216" w:lineRule="auto"/>
              <w:ind w:left="10" w:right="259" w:hanging="5"/>
            </w:pPr>
            <w:r>
              <w:rPr>
                <w:sz w:val="22"/>
              </w:rPr>
              <w:t>The Country Office has accurate, coherent and reliable up to date information disaggregated by gender on the situation of children's and women's rights in Sudan and how they may contribute to the attainment of the SDGs.</w:t>
            </w:r>
          </w:p>
          <w:p w14:paraId="6FF353E3" w14:textId="77777777" w:rsidR="00BA5C8B" w:rsidRDefault="00000000" w:rsidP="00CF6865">
            <w:pPr>
              <w:spacing w:after="230" w:line="216" w:lineRule="auto"/>
              <w:ind w:left="10" w:right="5" w:hanging="5"/>
            </w:pPr>
            <w:r>
              <w:rPr>
                <w:sz w:val="22"/>
              </w:rPr>
              <w:t>The performance of UNICEF-supported programmes is monitored for results for children and young people, including for relevance, efficiency, effectiveness, and sustainability, and in Sudan's context, their coverage, coordination and coherence with priorities.</w:t>
            </w:r>
          </w:p>
          <w:p w14:paraId="64E61BEE" w14:textId="77777777" w:rsidR="00BA5C8B" w:rsidRDefault="00000000" w:rsidP="00CF6865">
            <w:pPr>
              <w:spacing w:after="315" w:line="216" w:lineRule="auto"/>
              <w:ind w:left="10" w:hanging="10"/>
            </w:pPr>
            <w:r>
              <w:rPr>
                <w:sz w:val="22"/>
              </w:rPr>
              <w:t>All programmes are effectively monitored on a regular basis and there is sufficient capacity and clarity on how programme staff can carry out the monitoring function.</w:t>
            </w:r>
          </w:p>
          <w:p w14:paraId="6ACA6C06" w14:textId="77777777" w:rsidR="00BA5C8B" w:rsidRDefault="00000000" w:rsidP="00CF6865">
            <w:pPr>
              <w:spacing w:after="217" w:line="216" w:lineRule="auto"/>
              <w:ind w:left="10" w:right="504"/>
            </w:pPr>
            <w:r>
              <w:rPr>
                <w:sz w:val="22"/>
              </w:rPr>
              <w:t>Capacities for evaluation and research are strengthened, with special attention to the gender equity and equality and the interest, concern and participation of government, community, and civil society stakeholders.</w:t>
            </w:r>
          </w:p>
          <w:p w14:paraId="729F17F7" w14:textId="77777777" w:rsidR="00BA5C8B" w:rsidRDefault="00000000" w:rsidP="00CF6865">
            <w:pPr>
              <w:spacing w:after="206" w:line="216" w:lineRule="auto"/>
              <w:ind w:left="10"/>
            </w:pPr>
            <w:r>
              <w:rPr>
                <w:sz w:val="22"/>
              </w:rPr>
              <w:t>Good effective NGO/CSO partnerships are in place and HACT quality assurance activities are monitored, analysed and reported on systematically.</w:t>
            </w:r>
          </w:p>
          <w:p w14:paraId="5C674D40" w14:textId="77777777" w:rsidR="00BA5C8B" w:rsidRDefault="00000000" w:rsidP="00CF6865">
            <w:pPr>
              <w:spacing w:after="0"/>
              <w:ind w:left="10" w:right="581" w:firstLine="10"/>
            </w:pPr>
            <w:r>
              <w:rPr>
                <w:sz w:val="22"/>
              </w:rPr>
              <w:t>In close collaboration with the Resource Mobilisation and Partnerships Section, the Country Office has appropriate plan and monitoring of resources mobilized including analysis of prospective resource mobilization opportunities in support of programme implementation.</w:t>
            </w:r>
          </w:p>
        </w:tc>
      </w:tr>
      <w:tr w:rsidR="00BA5C8B" w14:paraId="3D46484F" w14:textId="77777777" w:rsidTr="00CF6865">
        <w:trPr>
          <w:trHeight w:val="499"/>
        </w:trPr>
        <w:tc>
          <w:tcPr>
            <w:tcW w:w="10440" w:type="dxa"/>
            <w:gridSpan w:val="2"/>
            <w:tcBorders>
              <w:top w:val="single" w:sz="2" w:space="0" w:color="000000"/>
              <w:left w:val="single" w:sz="2" w:space="0" w:color="000000"/>
              <w:bottom w:val="single" w:sz="2" w:space="0" w:color="000000"/>
              <w:right w:val="single" w:sz="2" w:space="0" w:color="000000"/>
            </w:tcBorders>
          </w:tcPr>
          <w:p w14:paraId="0A7ECB34" w14:textId="77777777" w:rsidR="00BA5C8B" w:rsidRDefault="00000000">
            <w:pPr>
              <w:spacing w:after="0"/>
              <w:ind w:left="0"/>
            </w:pPr>
            <w:r>
              <w:rPr>
                <w:sz w:val="28"/>
              </w:rPr>
              <w:t>Ill. Key functions, accountabilities and related duties/tasks.</w:t>
            </w:r>
          </w:p>
        </w:tc>
      </w:tr>
      <w:tr w:rsidR="00BA5C8B" w14:paraId="43507136" w14:textId="77777777" w:rsidTr="00CF6865">
        <w:trPr>
          <w:trHeight w:val="7461"/>
        </w:trPr>
        <w:tc>
          <w:tcPr>
            <w:tcW w:w="10440" w:type="dxa"/>
            <w:gridSpan w:val="2"/>
            <w:tcBorders>
              <w:top w:val="single" w:sz="2" w:space="0" w:color="000000"/>
              <w:left w:val="single" w:sz="2" w:space="0" w:color="000000"/>
              <w:bottom w:val="single" w:sz="2" w:space="0" w:color="000000"/>
              <w:right w:val="single" w:sz="2" w:space="0" w:color="000000"/>
            </w:tcBorders>
          </w:tcPr>
          <w:p w14:paraId="4C50D4EF" w14:textId="77777777" w:rsidR="00BA5C8B" w:rsidRDefault="00000000">
            <w:pPr>
              <w:numPr>
                <w:ilvl w:val="0"/>
                <w:numId w:val="1"/>
              </w:numPr>
              <w:spacing w:after="153"/>
              <w:ind w:hanging="283"/>
            </w:pPr>
            <w:r>
              <w:rPr>
                <w:sz w:val="24"/>
              </w:rPr>
              <w:t>Strategic Planning:</w:t>
            </w:r>
          </w:p>
          <w:p w14:paraId="5405A200" w14:textId="77777777" w:rsidR="00BA5C8B" w:rsidRDefault="00000000">
            <w:pPr>
              <w:spacing w:after="224" w:line="216" w:lineRule="auto"/>
              <w:ind w:left="331" w:firstLine="19"/>
            </w:pPr>
            <w:r>
              <w:rPr>
                <w:sz w:val="22"/>
              </w:rPr>
              <w:t>In close collaboration with the Deputy Representative Programmes, and with support from the Planning Specialist, lead, manage and coordinate all strategic planning processes for the Sudan CO, including the CPD development and alignment with and development of the UNSDCF and Integrated Strategic Framework with the UN, Government of Sudan and partners.</w:t>
            </w:r>
          </w:p>
          <w:p w14:paraId="7724B748" w14:textId="77777777" w:rsidR="00BA5C8B" w:rsidRDefault="00000000">
            <w:pPr>
              <w:numPr>
                <w:ilvl w:val="0"/>
                <w:numId w:val="1"/>
              </w:numPr>
              <w:spacing w:after="353" w:line="216" w:lineRule="auto"/>
              <w:ind w:hanging="283"/>
            </w:pPr>
            <w:r>
              <w:rPr>
                <w:sz w:val="22"/>
              </w:rPr>
              <w:t>Annual Review, Reporting and Planning: As part of the annual planning cycle, together with the planning specialist, guide the end of year review, reporting and 2022 work planning.</w:t>
            </w:r>
          </w:p>
          <w:p w14:paraId="56984AD4" w14:textId="77777777" w:rsidR="00BA5C8B" w:rsidRDefault="00000000">
            <w:pPr>
              <w:numPr>
                <w:ilvl w:val="0"/>
                <w:numId w:val="1"/>
              </w:numPr>
              <w:spacing w:after="12"/>
              <w:ind w:hanging="283"/>
            </w:pPr>
            <w:r>
              <w:rPr>
                <w:sz w:val="26"/>
              </w:rPr>
              <w:t>Situation Analysis and Assessment</w:t>
            </w:r>
          </w:p>
          <w:p w14:paraId="2B7B82A8" w14:textId="77777777" w:rsidR="00BA5C8B" w:rsidRDefault="00000000">
            <w:pPr>
              <w:spacing w:after="319" w:line="216" w:lineRule="auto"/>
              <w:ind w:left="336" w:right="14" w:firstLine="19"/>
              <w:jc w:val="both"/>
            </w:pPr>
            <w:r>
              <w:rPr>
                <w:sz w:val="22"/>
              </w:rPr>
              <w:t>Ensure that the Country Office and national partners have timely and accurate and genderspecific measurement of change in conditions in the country or region, including monitoring of socio-economic trends and the country's wider policy, economic or institutional context, to facilitate planning and to draw conclusions about the impact of programmes or policies.</w:t>
            </w:r>
          </w:p>
          <w:p w14:paraId="3C502021" w14:textId="77777777" w:rsidR="00BA5C8B" w:rsidRDefault="00000000">
            <w:pPr>
              <w:numPr>
                <w:ilvl w:val="0"/>
                <w:numId w:val="1"/>
              </w:numPr>
              <w:spacing w:after="32"/>
              <w:ind w:hanging="283"/>
            </w:pPr>
            <w:r>
              <w:rPr>
                <w:sz w:val="24"/>
              </w:rPr>
              <w:t>Programme and Management Performance Monitoring</w:t>
            </w:r>
          </w:p>
          <w:p w14:paraId="68ED5532" w14:textId="77777777" w:rsidR="00BA5C8B" w:rsidRDefault="00000000">
            <w:pPr>
              <w:spacing w:line="216" w:lineRule="auto"/>
              <w:ind w:left="340" w:right="67" w:hanging="38"/>
              <w:jc w:val="both"/>
            </w:pPr>
            <w:r>
              <w:rPr>
                <w:sz w:val="22"/>
              </w:rPr>
              <w:t>Ensure that the monitoring and planning capacities of Country Office staff are strengthened enabling them to increasingly engage in and lead programme monitoring processes — with an emphasis on field offices and real time monitoring using innovative and effective approaches.</w:t>
            </w:r>
          </w:p>
          <w:p w14:paraId="73EA5CBE" w14:textId="77777777" w:rsidR="00BA5C8B" w:rsidRDefault="00000000">
            <w:pPr>
              <w:numPr>
                <w:ilvl w:val="0"/>
                <w:numId w:val="1"/>
              </w:numPr>
              <w:spacing w:after="34"/>
              <w:ind w:hanging="283"/>
            </w:pPr>
            <w:r>
              <w:rPr>
                <w:sz w:val="24"/>
              </w:rPr>
              <w:t>Evaluation</w:t>
            </w:r>
          </w:p>
          <w:p w14:paraId="00F4CF5A" w14:textId="77777777" w:rsidR="00BA5C8B" w:rsidRDefault="00000000">
            <w:pPr>
              <w:spacing w:after="204" w:line="216" w:lineRule="auto"/>
              <w:ind w:left="341" w:firstLine="19"/>
              <w:jc w:val="both"/>
            </w:pPr>
            <w:r>
              <w:rPr>
                <w:sz w:val="22"/>
              </w:rPr>
              <w:t>Ensure country and programme evaluations are well-prioritised and strategically selected and managed in order that each evaluation is designed and carried out with quality process and products and that evaluation results are useful to the intended audience.</w:t>
            </w:r>
          </w:p>
          <w:p w14:paraId="4AC35994" w14:textId="77777777" w:rsidR="00BA5C8B" w:rsidRDefault="00000000">
            <w:pPr>
              <w:numPr>
                <w:ilvl w:val="0"/>
                <w:numId w:val="1"/>
              </w:numPr>
              <w:spacing w:after="0"/>
              <w:ind w:hanging="283"/>
            </w:pPr>
            <w:r>
              <w:rPr>
                <w:sz w:val="24"/>
              </w:rPr>
              <w:t>Data Pro ramme Desi n and Conver ence:</w:t>
            </w:r>
          </w:p>
        </w:tc>
      </w:tr>
    </w:tbl>
    <w:p w14:paraId="0013FFE2" w14:textId="77777777" w:rsidR="00BA5C8B" w:rsidRDefault="00BA5C8B">
      <w:pPr>
        <w:spacing w:after="0"/>
        <w:ind w:left="-1440" w:right="394"/>
      </w:pPr>
    </w:p>
    <w:tbl>
      <w:tblPr>
        <w:tblStyle w:val="TableGrid"/>
        <w:tblW w:w="10440" w:type="dxa"/>
        <w:tblInd w:w="-543" w:type="dxa"/>
        <w:tblCellMar>
          <w:left w:w="285" w:type="dxa"/>
          <w:right w:w="110" w:type="dxa"/>
        </w:tblCellMar>
        <w:tblLook w:val="04A0" w:firstRow="1" w:lastRow="0" w:firstColumn="1" w:lastColumn="0" w:noHBand="0" w:noVBand="1"/>
      </w:tblPr>
      <w:tblGrid>
        <w:gridCol w:w="10440"/>
      </w:tblGrid>
      <w:tr w:rsidR="00BA5C8B" w14:paraId="60492CC2" w14:textId="77777777" w:rsidTr="00CF6865">
        <w:trPr>
          <w:trHeight w:val="6002"/>
        </w:trPr>
        <w:tc>
          <w:tcPr>
            <w:tcW w:w="10440" w:type="dxa"/>
            <w:tcBorders>
              <w:top w:val="single" w:sz="2" w:space="0" w:color="000000"/>
              <w:left w:val="single" w:sz="2" w:space="0" w:color="000000"/>
              <w:bottom w:val="single" w:sz="2" w:space="0" w:color="000000"/>
              <w:right w:val="single" w:sz="2" w:space="0" w:color="000000"/>
            </w:tcBorders>
            <w:vAlign w:val="center"/>
          </w:tcPr>
          <w:p w14:paraId="1A4C3DB9" w14:textId="77777777" w:rsidR="00BA5C8B" w:rsidRDefault="00000000">
            <w:pPr>
              <w:spacing w:after="205" w:line="216" w:lineRule="auto"/>
              <w:ind w:left="264" w:right="10" w:firstLine="19"/>
              <w:jc w:val="both"/>
            </w:pPr>
            <w:r>
              <w:rPr>
                <w:sz w:val="22"/>
              </w:rPr>
              <w:lastRenderedPageBreak/>
              <w:t>Lead data excellence for strategic decision making, including supporting and guiding the design, roll out and consultations around vulnerability mapping to lay the strategic basis for programme prioritization, convergence and integration for the most vulnerable children and women in Sudan.</w:t>
            </w:r>
          </w:p>
          <w:p w14:paraId="79E893A8" w14:textId="77777777" w:rsidR="00BA5C8B" w:rsidRDefault="00000000">
            <w:pPr>
              <w:numPr>
                <w:ilvl w:val="0"/>
                <w:numId w:val="2"/>
              </w:numPr>
              <w:spacing w:after="150"/>
              <w:ind w:hanging="283"/>
            </w:pPr>
            <w:r>
              <w:rPr>
                <w:sz w:val="24"/>
              </w:rPr>
              <w:t>Continuous Strengthening of the PME function:</w:t>
            </w:r>
          </w:p>
          <w:p w14:paraId="6A759D64" w14:textId="77777777" w:rsidR="00BA5C8B" w:rsidRDefault="00000000">
            <w:pPr>
              <w:spacing w:after="204" w:line="216" w:lineRule="auto"/>
              <w:ind w:left="269" w:firstLine="5"/>
              <w:jc w:val="both"/>
            </w:pPr>
            <w:r>
              <w:rPr>
                <w:sz w:val="22"/>
              </w:rPr>
              <w:t>With continuous improvement and innovations in the PME space (locally and globally), work to strengthen the function and build capacities and stronger connections with program sections, field offices and with the partnerships team (the latter especially for planning, proposals, CSO/NGO partnerships, and reporting) to ensure SCO excellence in Management for Results.</w:t>
            </w:r>
          </w:p>
          <w:p w14:paraId="3D23FBCA" w14:textId="77777777" w:rsidR="00BA5C8B" w:rsidRDefault="00000000">
            <w:pPr>
              <w:numPr>
                <w:ilvl w:val="0"/>
                <w:numId w:val="2"/>
              </w:numPr>
              <w:spacing w:after="97"/>
              <w:ind w:hanging="283"/>
            </w:pPr>
            <w:r>
              <w:rPr>
                <w:sz w:val="22"/>
              </w:rPr>
              <w:t>Risk Management:</w:t>
            </w:r>
          </w:p>
          <w:p w14:paraId="287F54E4" w14:textId="77777777" w:rsidR="00BA5C8B" w:rsidRDefault="00000000">
            <w:pPr>
              <w:spacing w:after="224" w:line="216" w:lineRule="auto"/>
              <w:ind w:left="283" w:right="5" w:firstLine="5"/>
              <w:jc w:val="both"/>
            </w:pPr>
            <w:r>
              <w:rPr>
                <w:sz w:val="22"/>
              </w:rPr>
              <w:t xml:space="preserve">Collaborate with the Deputy Representatives for both </w:t>
            </w:r>
            <w:proofErr w:type="spellStart"/>
            <w:r>
              <w:rPr>
                <w:sz w:val="22"/>
              </w:rPr>
              <w:t>Programmes</w:t>
            </w:r>
            <w:proofErr w:type="spellEnd"/>
            <w:r>
              <w:rPr>
                <w:sz w:val="22"/>
              </w:rPr>
              <w:t xml:space="preserve"> and Operations and advise on risk management issues in relation to field monitoring and partnership management.</w:t>
            </w:r>
          </w:p>
          <w:p w14:paraId="37E886DF" w14:textId="77777777" w:rsidR="00BA5C8B" w:rsidRDefault="00000000">
            <w:pPr>
              <w:numPr>
                <w:ilvl w:val="0"/>
                <w:numId w:val="2"/>
              </w:numPr>
              <w:spacing w:after="154"/>
              <w:ind w:hanging="283"/>
            </w:pPr>
            <w:r>
              <w:rPr>
                <w:sz w:val="24"/>
              </w:rPr>
              <w:t>Leadership and Management:</w:t>
            </w:r>
          </w:p>
          <w:p w14:paraId="6E8ADCE5" w14:textId="77777777" w:rsidR="00BA5C8B" w:rsidRDefault="00000000">
            <w:pPr>
              <w:spacing w:after="0"/>
              <w:ind w:left="269" w:right="5" w:firstLine="24"/>
              <w:jc w:val="both"/>
            </w:pPr>
            <w:r>
              <w:rPr>
                <w:sz w:val="22"/>
              </w:rPr>
              <w:t>Lead, manage and motivate a strong team of planning, monitoring, evaluation and information management experts. Actively participate in senior management discussions as relevant.</w:t>
            </w:r>
          </w:p>
        </w:tc>
      </w:tr>
      <w:tr w:rsidR="00BA5C8B" w14:paraId="27F75E52" w14:textId="77777777" w:rsidTr="00CF6865">
        <w:tblPrEx>
          <w:tblCellMar>
            <w:top w:w="11" w:type="dxa"/>
            <w:left w:w="0" w:type="dxa"/>
            <w:bottom w:w="7" w:type="dxa"/>
            <w:right w:w="29" w:type="dxa"/>
          </w:tblCellMar>
        </w:tblPrEx>
        <w:trPr>
          <w:trHeight w:val="290"/>
        </w:trPr>
        <w:tc>
          <w:tcPr>
            <w:tcW w:w="10440" w:type="dxa"/>
            <w:tcBorders>
              <w:top w:val="single" w:sz="2" w:space="0" w:color="000000"/>
              <w:left w:val="single" w:sz="2" w:space="0" w:color="000000"/>
              <w:bottom w:val="single" w:sz="2" w:space="0" w:color="000000"/>
              <w:right w:val="single" w:sz="2" w:space="0" w:color="000000"/>
            </w:tcBorders>
          </w:tcPr>
          <w:p w14:paraId="7246FA25" w14:textId="77777777" w:rsidR="00BA5C8B" w:rsidRDefault="00000000">
            <w:pPr>
              <w:spacing w:after="0"/>
              <w:ind w:left="103"/>
            </w:pPr>
            <w:r>
              <w:rPr>
                <w:sz w:val="24"/>
              </w:rPr>
              <w:t>IV. QUALIFICATION AND COMPETENCIES</w:t>
            </w:r>
          </w:p>
        </w:tc>
      </w:tr>
      <w:tr w:rsidR="00BA5C8B" w14:paraId="2D10B5CB" w14:textId="77777777" w:rsidTr="00CF6865">
        <w:tblPrEx>
          <w:tblCellMar>
            <w:top w:w="11" w:type="dxa"/>
            <w:left w:w="0" w:type="dxa"/>
            <w:bottom w:w="7" w:type="dxa"/>
            <w:right w:w="29" w:type="dxa"/>
          </w:tblCellMar>
        </w:tblPrEx>
        <w:trPr>
          <w:trHeight w:val="6861"/>
        </w:trPr>
        <w:tc>
          <w:tcPr>
            <w:tcW w:w="10440" w:type="dxa"/>
            <w:tcBorders>
              <w:top w:val="single" w:sz="2" w:space="0" w:color="000000"/>
              <w:left w:val="single" w:sz="2" w:space="0" w:color="000000"/>
              <w:bottom w:val="single" w:sz="2" w:space="0" w:color="000000"/>
              <w:right w:val="single" w:sz="2" w:space="0" w:color="000000"/>
            </w:tcBorders>
            <w:vAlign w:val="bottom"/>
          </w:tcPr>
          <w:p w14:paraId="57EA3373" w14:textId="77777777" w:rsidR="00BA5C8B" w:rsidRDefault="00000000">
            <w:pPr>
              <w:spacing w:after="65"/>
              <w:ind w:left="151"/>
            </w:pPr>
            <w:r>
              <w:rPr>
                <w:sz w:val="18"/>
              </w:rPr>
              <w:t>(L ] indicates the level of proficiency required for the job.)</w:t>
            </w:r>
          </w:p>
          <w:p w14:paraId="4EC49D71" w14:textId="77777777" w:rsidR="00BA5C8B" w:rsidRDefault="00000000">
            <w:pPr>
              <w:numPr>
                <w:ilvl w:val="0"/>
                <w:numId w:val="3"/>
              </w:numPr>
              <w:spacing w:after="40"/>
              <w:ind w:hanging="365"/>
            </w:pPr>
            <w:r>
              <w:rPr>
                <w:sz w:val="24"/>
              </w:rPr>
              <w:t xml:space="preserve">. </w:t>
            </w:r>
            <w:r>
              <w:rPr>
                <w:sz w:val="24"/>
                <w:u w:val="single" w:color="000000"/>
              </w:rPr>
              <w:t>Education</w:t>
            </w:r>
          </w:p>
          <w:p w14:paraId="67D8C9A5" w14:textId="77777777" w:rsidR="00BA5C8B" w:rsidRDefault="00000000">
            <w:pPr>
              <w:spacing w:after="144" w:line="216" w:lineRule="auto"/>
              <w:ind w:left="885" w:right="182"/>
              <w:jc w:val="both"/>
            </w:pPr>
            <w:r>
              <w:rPr>
                <w:sz w:val="22"/>
              </w:rPr>
              <w:t>Advanced university degree in social sciences or other relevant disciplines. Practical training in programme management and evaluation, survey and research analysis, or applied statistical data analysis in social sciences an asset.</w:t>
            </w:r>
          </w:p>
          <w:p w14:paraId="02BCB7BB" w14:textId="77777777" w:rsidR="00BA5C8B" w:rsidRDefault="00000000">
            <w:pPr>
              <w:numPr>
                <w:ilvl w:val="0"/>
                <w:numId w:val="3"/>
              </w:numPr>
              <w:spacing w:after="54"/>
              <w:ind w:hanging="365"/>
            </w:pPr>
            <w:r>
              <w:rPr>
                <w:sz w:val="24"/>
                <w:u w:val="single" w:color="000000"/>
              </w:rPr>
              <w:t>Work Experience</w:t>
            </w:r>
          </w:p>
          <w:p w14:paraId="1CE12CEB" w14:textId="77777777" w:rsidR="00BA5C8B" w:rsidRDefault="00000000">
            <w:pPr>
              <w:numPr>
                <w:ilvl w:val="1"/>
                <w:numId w:val="3"/>
              </w:numPr>
              <w:spacing w:after="119" w:line="216" w:lineRule="auto"/>
              <w:ind w:left="958" w:hanging="130"/>
            </w:pPr>
            <w:r>
              <w:rPr>
                <w:sz w:val="22"/>
              </w:rPr>
              <w:t>Professional work experience in programme development and implementation including monitoring and evaluation activities.</w:t>
            </w:r>
          </w:p>
          <w:p w14:paraId="0584FEC1" w14:textId="77777777" w:rsidR="00BA5C8B" w:rsidRDefault="00000000">
            <w:pPr>
              <w:spacing w:after="93" w:line="216" w:lineRule="auto"/>
              <w:ind w:left="1980" w:hanging="893"/>
            </w:pPr>
            <w:r>
              <w:rPr>
                <w:sz w:val="22"/>
              </w:rPr>
              <w:t>Level 5 - Ten years of relevant professional work experience, including both International and national work experiences.</w:t>
            </w:r>
          </w:p>
          <w:p w14:paraId="5A2DF240" w14:textId="77777777" w:rsidR="00BA5C8B" w:rsidRDefault="00000000">
            <w:pPr>
              <w:numPr>
                <w:ilvl w:val="1"/>
                <w:numId w:val="3"/>
              </w:numPr>
              <w:spacing w:after="274" w:line="216" w:lineRule="auto"/>
              <w:ind w:left="958" w:hanging="130"/>
            </w:pPr>
            <w:r>
              <w:rPr>
                <w:sz w:val="22"/>
              </w:rPr>
              <w:t>At least one instance of exposure to emergency programming, including preparedness planning. Active involvement in a humanitarian crisis response programme is an asset</w:t>
            </w:r>
          </w:p>
          <w:p w14:paraId="2FB36DAC" w14:textId="77777777" w:rsidR="00BA5C8B" w:rsidRDefault="00000000">
            <w:pPr>
              <w:numPr>
                <w:ilvl w:val="0"/>
                <w:numId w:val="3"/>
              </w:numPr>
              <w:spacing w:after="60"/>
              <w:ind w:hanging="365"/>
            </w:pPr>
            <w:r>
              <w:rPr>
                <w:sz w:val="24"/>
                <w:u w:val="single" w:color="000000"/>
              </w:rPr>
              <w:t>Lanquaqe Proficiency</w:t>
            </w:r>
          </w:p>
          <w:p w14:paraId="118332F5" w14:textId="77777777" w:rsidR="00BA5C8B" w:rsidRDefault="00000000">
            <w:pPr>
              <w:spacing w:after="3"/>
              <w:ind w:left="914"/>
            </w:pPr>
            <w:r>
              <w:rPr>
                <w:sz w:val="22"/>
              </w:rPr>
              <w:t>Fluency in English. Knowledge of Arabic is a strong asset.</w:t>
            </w:r>
          </w:p>
          <w:p w14:paraId="7146A1D0" w14:textId="77777777" w:rsidR="00BA5C8B" w:rsidRDefault="00000000">
            <w:pPr>
              <w:numPr>
                <w:ilvl w:val="0"/>
                <w:numId w:val="3"/>
              </w:numPr>
              <w:spacing w:after="0"/>
              <w:ind w:hanging="365"/>
            </w:pPr>
            <w:r>
              <w:rPr>
                <w:sz w:val="18"/>
                <w:u w:val="single" w:color="000000"/>
              </w:rPr>
              <w:t>Competency Profile</w:t>
            </w:r>
            <w:r>
              <w:rPr>
                <w:sz w:val="18"/>
              </w:rPr>
              <w:t xml:space="preserve"> (For details on competencies please refer to UNICEF Professional Competency</w:t>
            </w:r>
          </w:p>
          <w:p w14:paraId="3DBAAD56" w14:textId="77777777" w:rsidR="00BA5C8B" w:rsidRDefault="00000000">
            <w:pPr>
              <w:spacing w:after="218"/>
              <w:ind w:left="122"/>
            </w:pPr>
            <w:r>
              <w:rPr>
                <w:sz w:val="18"/>
              </w:rPr>
              <w:t>Profiles.)</w:t>
            </w:r>
          </w:p>
          <w:p w14:paraId="3D9890FD" w14:textId="77777777" w:rsidR="00BA5C8B" w:rsidRDefault="00000000">
            <w:pPr>
              <w:spacing w:after="0"/>
              <w:ind w:left="818"/>
            </w:pPr>
            <w:r>
              <w:rPr>
                <w:sz w:val="24"/>
              </w:rPr>
              <w:t>i) Core Values</w:t>
            </w:r>
          </w:p>
          <w:p w14:paraId="20FEFE19" w14:textId="77777777" w:rsidR="00BA5C8B" w:rsidRDefault="00000000">
            <w:pPr>
              <w:spacing w:after="0"/>
              <w:ind w:left="933"/>
            </w:pPr>
            <w:r>
              <w:rPr>
                <w:sz w:val="24"/>
              </w:rPr>
              <w:t>Care</w:t>
            </w:r>
          </w:p>
          <w:p w14:paraId="7166C3CB" w14:textId="77777777" w:rsidR="00BA5C8B" w:rsidRDefault="00000000">
            <w:pPr>
              <w:numPr>
                <w:ilvl w:val="1"/>
                <w:numId w:val="3"/>
              </w:numPr>
              <w:spacing w:after="0"/>
              <w:ind w:left="958" w:hanging="130"/>
            </w:pPr>
            <w:r>
              <w:rPr>
                <w:sz w:val="24"/>
              </w:rPr>
              <w:t>Respect</w:t>
            </w:r>
          </w:p>
          <w:p w14:paraId="0E72443A" w14:textId="77777777" w:rsidR="00BA5C8B" w:rsidRDefault="00000000">
            <w:pPr>
              <w:numPr>
                <w:ilvl w:val="1"/>
                <w:numId w:val="3"/>
              </w:numPr>
              <w:spacing w:after="0"/>
              <w:ind w:left="958" w:hanging="130"/>
            </w:pPr>
            <w:r>
              <w:rPr>
                <w:sz w:val="24"/>
              </w:rPr>
              <w:t>Integrity</w:t>
            </w:r>
          </w:p>
          <w:p w14:paraId="50B013C0" w14:textId="77777777" w:rsidR="00BA5C8B" w:rsidRDefault="00000000">
            <w:pPr>
              <w:numPr>
                <w:ilvl w:val="1"/>
                <w:numId w:val="3"/>
              </w:numPr>
              <w:spacing w:after="0"/>
              <w:ind w:left="958" w:hanging="130"/>
            </w:pPr>
            <w:r>
              <w:rPr>
                <w:sz w:val="24"/>
              </w:rPr>
              <w:t>Trust</w:t>
            </w:r>
          </w:p>
          <w:p w14:paraId="0DF28CD0" w14:textId="77777777" w:rsidR="00BA5C8B" w:rsidRDefault="00000000">
            <w:pPr>
              <w:numPr>
                <w:ilvl w:val="1"/>
                <w:numId w:val="3"/>
              </w:numPr>
              <w:spacing w:after="0"/>
              <w:ind w:left="958" w:hanging="130"/>
            </w:pPr>
            <w:r>
              <w:rPr>
                <w:sz w:val="24"/>
              </w:rPr>
              <w:t>Accountabili</w:t>
            </w:r>
          </w:p>
        </w:tc>
      </w:tr>
    </w:tbl>
    <w:p w14:paraId="751B095B" w14:textId="77777777" w:rsidR="00BA5C8B" w:rsidRDefault="00BA5C8B">
      <w:pPr>
        <w:spacing w:after="0"/>
        <w:ind w:left="-1440" w:right="362"/>
      </w:pPr>
    </w:p>
    <w:tbl>
      <w:tblPr>
        <w:tblStyle w:val="TableGrid"/>
        <w:tblW w:w="9846" w:type="dxa"/>
        <w:tblInd w:w="51" w:type="dxa"/>
        <w:tblCellMar>
          <w:top w:w="264" w:type="dxa"/>
          <w:left w:w="732" w:type="dxa"/>
          <w:right w:w="137" w:type="dxa"/>
        </w:tblCellMar>
        <w:tblLook w:val="04A0" w:firstRow="1" w:lastRow="0" w:firstColumn="1" w:lastColumn="0" w:noHBand="0" w:noVBand="1"/>
      </w:tblPr>
      <w:tblGrid>
        <w:gridCol w:w="9846"/>
      </w:tblGrid>
      <w:tr w:rsidR="00BA5C8B" w14:paraId="5A0A5472" w14:textId="77777777" w:rsidTr="00CF6865">
        <w:trPr>
          <w:trHeight w:val="12679"/>
        </w:trPr>
        <w:tc>
          <w:tcPr>
            <w:tcW w:w="9846" w:type="dxa"/>
            <w:tcBorders>
              <w:top w:val="single" w:sz="2" w:space="0" w:color="000000"/>
              <w:left w:val="single" w:sz="2" w:space="0" w:color="000000"/>
              <w:bottom w:val="single" w:sz="2" w:space="0" w:color="000000"/>
              <w:right w:val="single" w:sz="2" w:space="0" w:color="000000"/>
            </w:tcBorders>
          </w:tcPr>
          <w:p w14:paraId="2942D561" w14:textId="77777777" w:rsidR="00BA5C8B" w:rsidRDefault="00000000">
            <w:pPr>
              <w:numPr>
                <w:ilvl w:val="0"/>
                <w:numId w:val="4"/>
              </w:numPr>
              <w:spacing w:after="123"/>
              <w:ind w:hanging="326"/>
            </w:pPr>
            <w:r>
              <w:rPr>
                <w:sz w:val="24"/>
              </w:rPr>
              <w:lastRenderedPageBreak/>
              <w:t>Core Values (Required)</w:t>
            </w:r>
          </w:p>
          <w:p w14:paraId="0400C4AE" w14:textId="77777777" w:rsidR="00BA5C8B" w:rsidRDefault="00000000">
            <w:pPr>
              <w:spacing w:after="0"/>
              <w:ind w:left="787"/>
            </w:pPr>
            <w:r>
              <w:rPr>
                <w:sz w:val="22"/>
              </w:rPr>
              <w:t>Nurtures, Leads and Manages People (3)</w:t>
            </w:r>
          </w:p>
          <w:p w14:paraId="2C8603E8" w14:textId="77777777" w:rsidR="00BA5C8B" w:rsidRDefault="00000000">
            <w:pPr>
              <w:spacing w:after="0"/>
              <w:ind w:left="787"/>
            </w:pPr>
            <w:r>
              <w:rPr>
                <w:sz w:val="24"/>
              </w:rPr>
              <w:t>Demonstrates Self Awareness and Ethical Awareness (3)</w:t>
            </w:r>
          </w:p>
          <w:p w14:paraId="2C5093B4" w14:textId="77777777" w:rsidR="00BA5C8B" w:rsidRDefault="00000000">
            <w:pPr>
              <w:spacing w:after="0"/>
              <w:ind w:left="773"/>
            </w:pPr>
            <w:r>
              <w:rPr>
                <w:sz w:val="22"/>
              </w:rPr>
              <w:t>Works Collaboratively with others (3)</w:t>
            </w:r>
          </w:p>
          <w:p w14:paraId="2A3F319D" w14:textId="77777777" w:rsidR="00BA5C8B" w:rsidRDefault="00000000">
            <w:pPr>
              <w:spacing w:after="0"/>
              <w:ind w:left="787"/>
            </w:pPr>
            <w:r>
              <w:rPr>
                <w:sz w:val="22"/>
              </w:rPr>
              <w:t>Builds and Maintains Partnerships (3)</w:t>
            </w:r>
          </w:p>
          <w:p w14:paraId="555F29FA" w14:textId="77777777" w:rsidR="00BA5C8B" w:rsidRDefault="00000000">
            <w:pPr>
              <w:spacing w:after="0"/>
              <w:ind w:left="787"/>
            </w:pPr>
            <w:r>
              <w:rPr>
                <w:sz w:val="24"/>
              </w:rPr>
              <w:t>Innovates and Embraces Change (3)</w:t>
            </w:r>
          </w:p>
          <w:p w14:paraId="3EDA42C6" w14:textId="77777777" w:rsidR="00BA5C8B" w:rsidRDefault="00000000">
            <w:pPr>
              <w:spacing w:after="0"/>
              <w:ind w:left="773"/>
            </w:pPr>
            <w:r>
              <w:rPr>
                <w:sz w:val="22"/>
              </w:rPr>
              <w:t>Thinks and Acts Strategically (3)</w:t>
            </w:r>
          </w:p>
          <w:p w14:paraId="56406F6F" w14:textId="77777777" w:rsidR="00BA5C8B" w:rsidRDefault="00000000">
            <w:pPr>
              <w:spacing w:after="0"/>
              <w:ind w:left="787"/>
            </w:pPr>
            <w:r>
              <w:rPr>
                <w:sz w:val="22"/>
              </w:rPr>
              <w:t>Drive to achieve impactful results (3)</w:t>
            </w:r>
          </w:p>
          <w:p w14:paraId="00FFD66F" w14:textId="77777777" w:rsidR="00BA5C8B" w:rsidRDefault="00000000">
            <w:pPr>
              <w:spacing w:after="135"/>
              <w:ind w:left="783"/>
            </w:pPr>
            <w:r>
              <w:rPr>
                <w:sz w:val="22"/>
              </w:rPr>
              <w:t>Manages ambiguity and complexity (3)</w:t>
            </w:r>
          </w:p>
          <w:p w14:paraId="71D22362" w14:textId="77777777" w:rsidR="00BA5C8B" w:rsidRDefault="00000000">
            <w:pPr>
              <w:numPr>
                <w:ilvl w:val="0"/>
                <w:numId w:val="4"/>
              </w:numPr>
              <w:spacing w:after="0"/>
              <w:ind w:hanging="326"/>
            </w:pPr>
            <w:r>
              <w:rPr>
                <w:sz w:val="24"/>
              </w:rPr>
              <w:t>Technical Knowledge</w:t>
            </w:r>
          </w:p>
          <w:p w14:paraId="25A4563F" w14:textId="77777777" w:rsidR="00BA5C8B" w:rsidRDefault="00000000">
            <w:pPr>
              <w:numPr>
                <w:ilvl w:val="1"/>
                <w:numId w:val="4"/>
              </w:numPr>
              <w:spacing w:after="202"/>
              <w:ind w:hanging="235"/>
            </w:pPr>
            <w:r>
              <w:rPr>
                <w:sz w:val="24"/>
              </w:rPr>
              <w:t>Specific Technical Knowledge Required (for the job)</w:t>
            </w:r>
          </w:p>
          <w:p w14:paraId="2C8D86A1" w14:textId="77777777" w:rsidR="00BA5C8B" w:rsidRDefault="00000000">
            <w:pPr>
              <w:numPr>
                <w:ilvl w:val="2"/>
                <w:numId w:val="4"/>
              </w:numPr>
              <w:spacing w:after="0" w:line="216" w:lineRule="auto"/>
              <w:ind w:hanging="130"/>
              <w:jc w:val="both"/>
            </w:pPr>
            <w:r>
              <w:rPr>
                <w:sz w:val="22"/>
              </w:rPr>
              <w:t xml:space="preserve">Comprehensive understanding of various approaches and methods of </w:t>
            </w:r>
            <w:proofErr w:type="spellStart"/>
            <w:r>
              <w:rPr>
                <w:sz w:val="22"/>
              </w:rPr>
              <w:t>Programme</w:t>
            </w:r>
            <w:proofErr w:type="spellEnd"/>
            <w:r>
              <w:rPr>
                <w:sz w:val="22"/>
              </w:rPr>
              <w:t xml:space="preserve"> Planning, Monitoring &amp; Evaluation.</w:t>
            </w:r>
          </w:p>
          <w:p w14:paraId="4C729CDD" w14:textId="77777777" w:rsidR="00BA5C8B" w:rsidRDefault="00000000">
            <w:pPr>
              <w:numPr>
                <w:ilvl w:val="2"/>
                <w:numId w:val="4"/>
              </w:numPr>
              <w:spacing w:after="0" w:line="216" w:lineRule="auto"/>
              <w:ind w:hanging="130"/>
              <w:jc w:val="both"/>
            </w:pPr>
            <w:r>
              <w:rPr>
                <w:sz w:val="22"/>
              </w:rPr>
              <w:t>Professional technical knowledge/expertise in methodological guides for all types of Monitoring &amp; Evaluation.</w:t>
            </w:r>
          </w:p>
          <w:p w14:paraId="63F8A3F9" w14:textId="77777777" w:rsidR="00BA5C8B" w:rsidRDefault="00000000">
            <w:pPr>
              <w:numPr>
                <w:ilvl w:val="2"/>
                <w:numId w:val="4"/>
              </w:numPr>
              <w:spacing w:after="3" w:line="216" w:lineRule="auto"/>
              <w:ind w:hanging="130"/>
              <w:jc w:val="both"/>
            </w:pPr>
            <w:r>
              <w:rPr>
                <w:sz w:val="22"/>
              </w:rPr>
              <w:t>Knowledge of Human Rights, Gender and Equity issues and their implications of projects/</w:t>
            </w:r>
            <w:proofErr w:type="spellStart"/>
            <w:r>
              <w:rPr>
                <w:sz w:val="22"/>
              </w:rPr>
              <w:t>programmes</w:t>
            </w:r>
            <w:proofErr w:type="spellEnd"/>
            <w:r>
              <w:rPr>
                <w:sz w:val="22"/>
              </w:rPr>
              <w:t>.</w:t>
            </w:r>
          </w:p>
          <w:p w14:paraId="54B7718E" w14:textId="77777777" w:rsidR="00BA5C8B" w:rsidRDefault="00000000">
            <w:pPr>
              <w:numPr>
                <w:ilvl w:val="2"/>
                <w:numId w:val="4"/>
              </w:numPr>
              <w:spacing w:after="0" w:line="216" w:lineRule="auto"/>
              <w:ind w:hanging="130"/>
              <w:jc w:val="both"/>
            </w:pPr>
            <w:r>
              <w:rPr>
                <w:sz w:val="22"/>
              </w:rPr>
              <w:t>Knowledge of Institutional Evaluation, Environment Assessment, Result Based Management and Strategic Evaluation.</w:t>
            </w:r>
          </w:p>
          <w:p w14:paraId="1C8C3638" w14:textId="77777777" w:rsidR="00BA5C8B" w:rsidRDefault="00000000">
            <w:pPr>
              <w:numPr>
                <w:ilvl w:val="2"/>
                <w:numId w:val="4"/>
              </w:numPr>
              <w:spacing w:after="1" w:line="216" w:lineRule="auto"/>
              <w:ind w:hanging="130"/>
              <w:jc w:val="both"/>
            </w:pPr>
            <w:r>
              <w:rPr>
                <w:sz w:val="22"/>
              </w:rPr>
              <w:t>Professional technical knowledge/expertise in Planning for Influential Evaluation, Project Evaluation.</w:t>
            </w:r>
          </w:p>
          <w:p w14:paraId="4A08CFD2" w14:textId="77777777" w:rsidR="00BA5C8B" w:rsidRDefault="00000000">
            <w:pPr>
              <w:numPr>
                <w:ilvl w:val="2"/>
                <w:numId w:val="4"/>
              </w:numPr>
              <w:spacing w:after="336" w:line="216" w:lineRule="auto"/>
              <w:ind w:hanging="130"/>
              <w:jc w:val="both"/>
            </w:pPr>
            <w:r>
              <w:rPr>
                <w:sz w:val="22"/>
              </w:rPr>
              <w:t>Emerging international good practice in monitoring and evaluation partnerships.</w:t>
            </w:r>
          </w:p>
          <w:p w14:paraId="4F197E16" w14:textId="77777777" w:rsidR="00BA5C8B" w:rsidRDefault="00000000">
            <w:pPr>
              <w:numPr>
                <w:ilvl w:val="1"/>
                <w:numId w:val="4"/>
              </w:numPr>
              <w:spacing w:after="19"/>
              <w:ind w:hanging="235"/>
            </w:pPr>
            <w:r>
              <w:rPr>
                <w:sz w:val="24"/>
              </w:rPr>
              <w:t>Common Technical Knowledge Required (for the job group)</w:t>
            </w:r>
          </w:p>
          <w:p w14:paraId="2006E0D2" w14:textId="77777777" w:rsidR="00BA5C8B" w:rsidRDefault="00000000">
            <w:pPr>
              <w:numPr>
                <w:ilvl w:val="2"/>
                <w:numId w:val="4"/>
              </w:numPr>
              <w:spacing w:after="0" w:line="216" w:lineRule="auto"/>
              <w:ind w:hanging="130"/>
              <w:jc w:val="both"/>
            </w:pPr>
            <w:r>
              <w:rPr>
                <w:sz w:val="22"/>
              </w:rPr>
              <w:t>Professional technical knowledge/expertise in demography, statistics, and data management.</w:t>
            </w:r>
          </w:p>
          <w:p w14:paraId="42EB8F10" w14:textId="77777777" w:rsidR="00BA5C8B" w:rsidRDefault="00000000">
            <w:pPr>
              <w:numPr>
                <w:ilvl w:val="2"/>
                <w:numId w:val="4"/>
              </w:numPr>
              <w:spacing w:after="0" w:line="216" w:lineRule="auto"/>
              <w:ind w:hanging="130"/>
              <w:jc w:val="both"/>
            </w:pPr>
            <w:r>
              <w:rPr>
                <w:sz w:val="22"/>
              </w:rPr>
              <w:t>Professional technical knowledge/expertise in methodology of Monitoring &amp; Evaluation, including theories, standards and models, quantitative/qualitative/mixed methods, validity/reliability testing of data, data analysis and interpretation, and statistical inference methods.</w:t>
            </w:r>
          </w:p>
          <w:p w14:paraId="61DC2A2F" w14:textId="77777777" w:rsidR="00BA5C8B" w:rsidRDefault="00000000">
            <w:pPr>
              <w:numPr>
                <w:ilvl w:val="2"/>
                <w:numId w:val="4"/>
              </w:numPr>
              <w:spacing w:after="220" w:line="216" w:lineRule="auto"/>
              <w:ind w:hanging="130"/>
              <w:jc w:val="both"/>
            </w:pPr>
            <w:r>
              <w:rPr>
                <w:sz w:val="22"/>
              </w:rPr>
              <w:t>Professional technical knowledge/expertise in Activity Monitoring &amp; Evaluation, Evaluation Design, data analysis, and reporting.</w:t>
            </w:r>
          </w:p>
          <w:p w14:paraId="564B30F4" w14:textId="77777777" w:rsidR="00BA5C8B" w:rsidRDefault="00000000">
            <w:pPr>
              <w:numPr>
                <w:ilvl w:val="1"/>
                <w:numId w:val="4"/>
              </w:numPr>
              <w:spacing w:after="20"/>
              <w:ind w:hanging="235"/>
            </w:pPr>
            <w:r>
              <w:rPr>
                <w:sz w:val="24"/>
              </w:rPr>
              <w:t>Technical Knowledge to be Acquired/Enhanced (for the Job)</w:t>
            </w:r>
          </w:p>
          <w:p w14:paraId="1DA1DF5A" w14:textId="77777777" w:rsidR="00BA5C8B" w:rsidRDefault="00000000">
            <w:pPr>
              <w:numPr>
                <w:ilvl w:val="2"/>
                <w:numId w:val="4"/>
              </w:numPr>
              <w:spacing w:after="0" w:line="216" w:lineRule="auto"/>
              <w:ind w:hanging="130"/>
              <w:jc w:val="both"/>
            </w:pPr>
            <w:r>
              <w:rPr>
                <w:sz w:val="22"/>
              </w:rPr>
              <w:t>Professional/technical knowledge of best practices, lessons learned, follow-up on recommendations, communication and dissemination</w:t>
            </w:r>
          </w:p>
          <w:p w14:paraId="660249F2" w14:textId="77777777" w:rsidR="00BA5C8B" w:rsidRDefault="00000000">
            <w:pPr>
              <w:numPr>
                <w:ilvl w:val="2"/>
                <w:numId w:val="4"/>
              </w:numPr>
              <w:spacing w:after="0" w:line="216" w:lineRule="auto"/>
              <w:ind w:hanging="130"/>
              <w:jc w:val="both"/>
            </w:pPr>
            <w:r>
              <w:rPr>
                <w:sz w:val="22"/>
              </w:rPr>
              <w:t>Understanding of UNICEF's policies and procedures for programming, monitoring and evaluation guidelines.</w:t>
            </w:r>
          </w:p>
          <w:p w14:paraId="00DBC958" w14:textId="77777777" w:rsidR="00BA5C8B" w:rsidRDefault="00000000">
            <w:pPr>
              <w:numPr>
                <w:ilvl w:val="2"/>
                <w:numId w:val="4"/>
              </w:numPr>
              <w:spacing w:after="0"/>
              <w:ind w:hanging="130"/>
              <w:jc w:val="both"/>
            </w:pPr>
            <w:r>
              <w:rPr>
                <w:sz w:val="22"/>
              </w:rPr>
              <w:t>UNICEF strategic framework for partnerships and collaborative relationships.</w:t>
            </w:r>
          </w:p>
          <w:p w14:paraId="0AC7F530" w14:textId="77777777" w:rsidR="00BA5C8B" w:rsidRDefault="00000000">
            <w:pPr>
              <w:numPr>
                <w:ilvl w:val="2"/>
                <w:numId w:val="4"/>
              </w:numPr>
              <w:spacing w:after="0" w:line="216" w:lineRule="auto"/>
              <w:ind w:hanging="130"/>
              <w:jc w:val="both"/>
            </w:pPr>
            <w:r>
              <w:rPr>
                <w:sz w:val="22"/>
              </w:rPr>
              <w:t xml:space="preserve">Latest </w:t>
            </w:r>
            <w:proofErr w:type="spellStart"/>
            <w:r>
              <w:rPr>
                <w:sz w:val="22"/>
              </w:rPr>
              <w:t>programme</w:t>
            </w:r>
            <w:proofErr w:type="spellEnd"/>
            <w:r>
              <w:rPr>
                <w:sz w:val="22"/>
              </w:rPr>
              <w:t xml:space="preserve"> monitoring and evaluation theory, methodology, technology and tools.</w:t>
            </w:r>
          </w:p>
          <w:p w14:paraId="3415D91A" w14:textId="77777777" w:rsidR="00BA5C8B" w:rsidRDefault="00000000">
            <w:pPr>
              <w:numPr>
                <w:ilvl w:val="2"/>
                <w:numId w:val="4"/>
              </w:numPr>
              <w:spacing w:after="0" w:line="216" w:lineRule="auto"/>
              <w:ind w:hanging="130"/>
              <w:jc w:val="both"/>
            </w:pPr>
            <w:r>
              <w:rPr>
                <w:sz w:val="22"/>
              </w:rPr>
              <w:t>Understanding of UN Mission and system, current key UN topics; and International Code of Conduct.</w:t>
            </w:r>
          </w:p>
          <w:p w14:paraId="4536954C" w14:textId="77777777" w:rsidR="00BA5C8B" w:rsidRDefault="00000000">
            <w:pPr>
              <w:numPr>
                <w:ilvl w:val="2"/>
                <w:numId w:val="4"/>
              </w:numPr>
              <w:spacing w:after="0"/>
              <w:ind w:hanging="130"/>
              <w:jc w:val="both"/>
            </w:pPr>
            <w:r>
              <w:rPr>
                <w:sz w:val="22"/>
              </w:rPr>
              <w:t>Understanding of UNICEF Mission Statement and UNICEF Guiding Principles.</w:t>
            </w:r>
          </w:p>
        </w:tc>
      </w:tr>
    </w:tbl>
    <w:p w14:paraId="682537B8" w14:textId="77E73A53" w:rsidR="00BA5C8B" w:rsidRDefault="00BA5C8B" w:rsidP="00B74A5D">
      <w:pPr>
        <w:spacing w:after="0"/>
        <w:ind w:left="0" w:right="-552"/>
        <w:sectPr w:rsidR="00BA5C8B">
          <w:pgSz w:w="11906" w:h="16838"/>
          <w:pgMar w:top="1208" w:right="1440" w:bottom="1440" w:left="1440" w:header="720" w:footer="720" w:gutter="0"/>
          <w:cols w:space="720"/>
        </w:sectPr>
      </w:pPr>
    </w:p>
    <w:p w14:paraId="76D789C6" w14:textId="036D47B0" w:rsidR="00BA5C8B" w:rsidRDefault="00BA5C8B" w:rsidP="00B74A5D">
      <w:pPr>
        <w:spacing w:after="0"/>
        <w:ind w:left="0" w:right="10466"/>
      </w:pPr>
    </w:p>
    <w:sectPr w:rsidR="00BA5C8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AD2"/>
    <w:multiLevelType w:val="hybridMultilevel"/>
    <w:tmpl w:val="AF70D150"/>
    <w:lvl w:ilvl="0" w:tplc="68F86432">
      <w:start w:val="1"/>
      <w:numFmt w:val="decimal"/>
      <w:lvlText w:val="%1."/>
      <w:lvlJc w:val="left"/>
      <w:pPr>
        <w:ind w:left="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F21BEC">
      <w:start w:val="1"/>
      <w:numFmt w:val="lowerLetter"/>
      <w:lvlText w:val="%2"/>
      <w:lvlJc w:val="left"/>
      <w:pPr>
        <w:ind w:left="1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B8747A">
      <w:start w:val="1"/>
      <w:numFmt w:val="lowerRoman"/>
      <w:lvlText w:val="%3"/>
      <w:lvlJc w:val="left"/>
      <w:pPr>
        <w:ind w:left="2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BCC650">
      <w:start w:val="1"/>
      <w:numFmt w:val="decimal"/>
      <w:lvlText w:val="%4"/>
      <w:lvlJc w:val="left"/>
      <w:pPr>
        <w:ind w:left="2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2CC574">
      <w:start w:val="1"/>
      <w:numFmt w:val="lowerLetter"/>
      <w:lvlText w:val="%5"/>
      <w:lvlJc w:val="left"/>
      <w:pPr>
        <w:ind w:left="3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0041F2">
      <w:start w:val="1"/>
      <w:numFmt w:val="lowerRoman"/>
      <w:lvlText w:val="%6"/>
      <w:lvlJc w:val="left"/>
      <w:pPr>
        <w:ind w:left="4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C47A24">
      <w:start w:val="1"/>
      <w:numFmt w:val="decimal"/>
      <w:lvlText w:val="%7"/>
      <w:lvlJc w:val="left"/>
      <w:pPr>
        <w:ind w:left="4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22E3A">
      <w:start w:val="1"/>
      <w:numFmt w:val="lowerLetter"/>
      <w:lvlText w:val="%8"/>
      <w:lvlJc w:val="left"/>
      <w:pPr>
        <w:ind w:left="5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14C33C">
      <w:start w:val="1"/>
      <w:numFmt w:val="lowerRoman"/>
      <w:lvlText w:val="%9"/>
      <w:lvlJc w:val="left"/>
      <w:pPr>
        <w:ind w:left="6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50705E"/>
    <w:multiLevelType w:val="hybridMultilevel"/>
    <w:tmpl w:val="32E614C0"/>
    <w:lvl w:ilvl="0" w:tplc="68A03E34">
      <w:start w:val="7"/>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9868CC">
      <w:start w:val="1"/>
      <w:numFmt w:val="lowerLetter"/>
      <w:lvlText w:val="%2"/>
      <w:lvlJc w:val="left"/>
      <w:pPr>
        <w:ind w:left="1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86F192">
      <w:start w:val="1"/>
      <w:numFmt w:val="lowerRoman"/>
      <w:lvlText w:val="%3"/>
      <w:lvlJc w:val="left"/>
      <w:pPr>
        <w:ind w:left="2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68B1DC">
      <w:start w:val="1"/>
      <w:numFmt w:val="decimal"/>
      <w:lvlText w:val="%4"/>
      <w:lvlJc w:val="left"/>
      <w:pPr>
        <w:ind w:left="2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E034E0">
      <w:start w:val="1"/>
      <w:numFmt w:val="lowerLetter"/>
      <w:lvlText w:val="%5"/>
      <w:lvlJc w:val="left"/>
      <w:pPr>
        <w:ind w:left="3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E8B8FA">
      <w:start w:val="1"/>
      <w:numFmt w:val="lowerRoman"/>
      <w:lvlText w:val="%6"/>
      <w:lvlJc w:val="left"/>
      <w:pPr>
        <w:ind w:left="4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0C757C">
      <w:start w:val="1"/>
      <w:numFmt w:val="decimal"/>
      <w:lvlText w:val="%7"/>
      <w:lvlJc w:val="left"/>
      <w:pPr>
        <w:ind w:left="4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B0FB6C">
      <w:start w:val="1"/>
      <w:numFmt w:val="lowerLetter"/>
      <w:lvlText w:val="%8"/>
      <w:lvlJc w:val="left"/>
      <w:pPr>
        <w:ind w:left="5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C29DA2">
      <w:start w:val="1"/>
      <w:numFmt w:val="lowerRoman"/>
      <w:lvlText w:val="%9"/>
      <w:lvlJc w:val="left"/>
      <w:pPr>
        <w:ind w:left="6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3B6BD3"/>
    <w:multiLevelType w:val="hybridMultilevel"/>
    <w:tmpl w:val="BEB01508"/>
    <w:lvl w:ilvl="0" w:tplc="42EE2E66">
      <w:start w:val="2"/>
      <w:numFmt w:val="lowerRoman"/>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1DEB636">
      <w:start w:val="1"/>
      <w:numFmt w:val="lowerLetter"/>
      <w:lvlText w:val="%2)"/>
      <w:lvlJc w:val="left"/>
      <w:pPr>
        <w:ind w:left="5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3C23E64">
      <w:start w:val="1"/>
      <w:numFmt w:val="bullet"/>
      <w:lvlText w:val="•"/>
      <w:lvlJc w:val="left"/>
      <w:pPr>
        <w:ind w:left="8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5CC9B98">
      <w:start w:val="1"/>
      <w:numFmt w:val="bullet"/>
      <w:lvlText w:val="•"/>
      <w:lvlJc w:val="left"/>
      <w:pPr>
        <w:ind w:left="25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6C4C2C">
      <w:start w:val="1"/>
      <w:numFmt w:val="bullet"/>
      <w:lvlText w:val="o"/>
      <w:lvlJc w:val="left"/>
      <w:pPr>
        <w:ind w:left="32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0F082A2">
      <w:start w:val="1"/>
      <w:numFmt w:val="bullet"/>
      <w:lvlText w:val="▪"/>
      <w:lvlJc w:val="left"/>
      <w:pPr>
        <w:ind w:left="39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CA05A44">
      <w:start w:val="1"/>
      <w:numFmt w:val="bullet"/>
      <w:lvlText w:val="•"/>
      <w:lvlJc w:val="left"/>
      <w:pPr>
        <w:ind w:left="46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626497E">
      <w:start w:val="1"/>
      <w:numFmt w:val="bullet"/>
      <w:lvlText w:val="o"/>
      <w:lvlJc w:val="left"/>
      <w:pPr>
        <w:ind w:left="53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3AAF57E">
      <w:start w:val="1"/>
      <w:numFmt w:val="bullet"/>
      <w:lvlText w:val="▪"/>
      <w:lvlJc w:val="left"/>
      <w:pPr>
        <w:ind w:left="61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2906BEA"/>
    <w:multiLevelType w:val="hybridMultilevel"/>
    <w:tmpl w:val="7D72133E"/>
    <w:lvl w:ilvl="0" w:tplc="B1E40DBE">
      <w:start w:val="1"/>
      <w:numFmt w:val="decimal"/>
      <w:lvlText w:val="%1"/>
      <w:lvlJc w:val="left"/>
      <w:pPr>
        <w:ind w:left="8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3440B30">
      <w:start w:val="1"/>
      <w:numFmt w:val="bullet"/>
      <w:lvlText w:val="•"/>
      <w:lvlJc w:val="left"/>
      <w:pPr>
        <w:ind w:left="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F82CE24">
      <w:start w:val="1"/>
      <w:numFmt w:val="bullet"/>
      <w:lvlText w:val="▪"/>
      <w:lvlJc w:val="left"/>
      <w:pPr>
        <w:ind w:left="1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828D582">
      <w:start w:val="1"/>
      <w:numFmt w:val="bullet"/>
      <w:lvlText w:val="•"/>
      <w:lvlJc w:val="left"/>
      <w:pPr>
        <w:ind w:left="2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CC876A0">
      <w:start w:val="1"/>
      <w:numFmt w:val="bullet"/>
      <w:lvlText w:val="o"/>
      <w:lvlJc w:val="left"/>
      <w:pPr>
        <w:ind w:left="34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616B46C">
      <w:start w:val="1"/>
      <w:numFmt w:val="bullet"/>
      <w:lvlText w:val="▪"/>
      <w:lvlJc w:val="left"/>
      <w:pPr>
        <w:ind w:left="4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2DC43B0">
      <w:start w:val="1"/>
      <w:numFmt w:val="bullet"/>
      <w:lvlText w:val="•"/>
      <w:lvlJc w:val="left"/>
      <w:pPr>
        <w:ind w:left="48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3FC7980">
      <w:start w:val="1"/>
      <w:numFmt w:val="bullet"/>
      <w:lvlText w:val="o"/>
      <w:lvlJc w:val="left"/>
      <w:pPr>
        <w:ind w:left="55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A30BDAE">
      <w:start w:val="1"/>
      <w:numFmt w:val="bullet"/>
      <w:lvlText w:val="▪"/>
      <w:lvlJc w:val="left"/>
      <w:pPr>
        <w:ind w:left="63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182207414">
    <w:abstractNumId w:val="0"/>
  </w:num>
  <w:num w:numId="2" w16cid:durableId="969701771">
    <w:abstractNumId w:val="1"/>
  </w:num>
  <w:num w:numId="3" w16cid:durableId="649022508">
    <w:abstractNumId w:val="3"/>
  </w:num>
  <w:num w:numId="4" w16cid:durableId="467475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8B"/>
    <w:rsid w:val="00180835"/>
    <w:rsid w:val="008247BA"/>
    <w:rsid w:val="008258C9"/>
    <w:rsid w:val="008F6BF0"/>
    <w:rsid w:val="00B74A5D"/>
    <w:rsid w:val="00BA5C8B"/>
    <w:rsid w:val="00BF445E"/>
    <w:rsid w:val="00CF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6513"/>
  <w15:docId w15:val="{D243254B-5DBA-4EFE-A74C-3FC2F84D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2"/>
      <w:ind w:left="413"/>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Mohammed Adam Safe Eldeen</dc:creator>
  <cp:keywords/>
  <cp:lastModifiedBy>Ali Mohammed Adam Safe Eldeen</cp:lastModifiedBy>
  <cp:revision>8</cp:revision>
  <dcterms:created xsi:type="dcterms:W3CDTF">2024-02-25T12:44:00Z</dcterms:created>
  <dcterms:modified xsi:type="dcterms:W3CDTF">2024-02-25T13:26:00Z</dcterms:modified>
</cp:coreProperties>
</file>