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8EA2" w14:textId="77777777" w:rsidR="00EF2125" w:rsidRPr="00C21AA3" w:rsidRDefault="00EF2125" w:rsidP="000D162F">
      <w:pPr>
        <w:pStyle w:val="Heading3"/>
        <w:rPr>
          <w:snapToGrid w:val="0"/>
          <w:lang w:val="pt-PT"/>
        </w:rPr>
      </w:pPr>
      <w:r w:rsidRPr="00C21AA3">
        <w:rPr>
          <w:snapToGrid w:val="0"/>
          <w:lang w:val="pt-PT"/>
        </w:rPr>
        <w:t>TERMS OF REFERENCE</w:t>
      </w:r>
    </w:p>
    <w:p w14:paraId="1359AB02" w14:textId="77777777" w:rsidR="00EF2125" w:rsidRPr="00C21AA3" w:rsidRDefault="00EF2125" w:rsidP="00EF2125">
      <w:pPr>
        <w:pStyle w:val="BodyTextIndent"/>
        <w:ind w:left="0"/>
        <w:contextualSpacing/>
        <w:rPr>
          <w:rFonts w:ascii="Calibri" w:hAnsi="Calibri" w:cs="Calibri"/>
          <w:b/>
          <w:snapToGrid w:val="0"/>
          <w:sz w:val="22"/>
          <w:szCs w:val="22"/>
          <w:lang w:val="pt-PT"/>
        </w:rPr>
      </w:pPr>
    </w:p>
    <w:p w14:paraId="7202159C" w14:textId="6ADBB62E" w:rsidR="00EF2125" w:rsidRDefault="00EF2125" w:rsidP="00EF2125">
      <w:pPr>
        <w:pStyle w:val="BodyTextIndent"/>
        <w:ind w:left="0"/>
        <w:rPr>
          <w:rFonts w:ascii="Calibri" w:hAnsi="Calibri"/>
          <w:b/>
          <w:snapToGrid w:val="0"/>
          <w:sz w:val="24"/>
          <w:szCs w:val="24"/>
          <w:lang w:val="pt-PT"/>
        </w:rPr>
      </w:pPr>
      <w:r w:rsidRPr="005C1C2E">
        <w:rPr>
          <w:rFonts w:ascii="Calibri" w:hAnsi="Calibri"/>
          <w:b/>
          <w:snapToGrid w:val="0"/>
          <w:sz w:val="24"/>
          <w:szCs w:val="24"/>
          <w:lang w:val="pt-PT"/>
        </w:rPr>
        <w:t xml:space="preserve">Purpose of the Assignment: </w:t>
      </w:r>
      <w:r w:rsidRPr="001E0F1B">
        <w:rPr>
          <w:rFonts w:ascii="Calibri" w:hAnsi="Calibri"/>
          <w:snapToGrid w:val="0"/>
          <w:sz w:val="24"/>
          <w:szCs w:val="24"/>
          <w:lang w:val="pt-PT"/>
        </w:rPr>
        <w:t>Fornecer Assistência Técnica para a Comissão Parlamentar do Plano e Orçamento na área de transparência, participação e investimento para criança</w:t>
      </w:r>
      <w:r w:rsidRPr="005C1C2E">
        <w:rPr>
          <w:rFonts w:ascii="Calibri" w:hAnsi="Calibri"/>
          <w:b/>
          <w:snapToGrid w:val="0"/>
          <w:sz w:val="24"/>
          <w:szCs w:val="24"/>
          <w:lang w:val="pt-PT"/>
        </w:rPr>
        <w:t>.</w:t>
      </w:r>
    </w:p>
    <w:p w14:paraId="09E8FB93" w14:textId="77777777" w:rsidR="00EF2125" w:rsidRPr="005C1C2E" w:rsidRDefault="00EF2125" w:rsidP="00EF2125">
      <w:pPr>
        <w:pStyle w:val="BodyTextIndent"/>
        <w:ind w:left="0"/>
        <w:rPr>
          <w:rFonts w:ascii="Calibri" w:hAnsi="Calibri"/>
          <w:b/>
          <w:snapToGrid w:val="0"/>
          <w:sz w:val="24"/>
          <w:szCs w:val="24"/>
          <w:lang w:val="pt-PT"/>
        </w:rPr>
      </w:pPr>
    </w:p>
    <w:p w14:paraId="5503F01D" w14:textId="77777777" w:rsidR="00EF2125" w:rsidRPr="00174F95" w:rsidRDefault="00EF2125" w:rsidP="00EF2125">
      <w:pPr>
        <w:spacing w:line="240" w:lineRule="auto"/>
        <w:rPr>
          <w:b/>
          <w:sz w:val="24"/>
          <w:szCs w:val="24"/>
          <w:lang w:val="en-GB"/>
        </w:rPr>
      </w:pPr>
      <w:r w:rsidRPr="00174F95">
        <w:rPr>
          <w:b/>
          <w:sz w:val="24"/>
          <w:szCs w:val="24"/>
          <w:lang w:val="en-GB"/>
        </w:rPr>
        <w:t>Section Submitting:</w:t>
      </w:r>
      <w:r>
        <w:rPr>
          <w:b/>
          <w:sz w:val="24"/>
          <w:szCs w:val="24"/>
          <w:lang w:val="en-GB"/>
        </w:rPr>
        <w:t xml:space="preserve"> SPEAR</w:t>
      </w:r>
    </w:p>
    <w:p w14:paraId="131F7EDA" w14:textId="77777777" w:rsidR="00EF2125" w:rsidRPr="00174F95" w:rsidRDefault="00EF2125" w:rsidP="00EF2125">
      <w:pPr>
        <w:spacing w:line="240" w:lineRule="auto"/>
        <w:rPr>
          <w:b/>
          <w:sz w:val="24"/>
          <w:szCs w:val="24"/>
          <w:lang w:val="en-GB"/>
        </w:rPr>
      </w:pPr>
    </w:p>
    <w:p w14:paraId="3A521D67" w14:textId="77777777" w:rsidR="00EF2125" w:rsidRPr="00F644EC" w:rsidRDefault="00EF2125" w:rsidP="00EF2125">
      <w:pPr>
        <w:spacing w:line="240" w:lineRule="auto"/>
        <w:jc w:val="both"/>
        <w:rPr>
          <w:szCs w:val="22"/>
          <w:lang w:val="en-GB"/>
        </w:rPr>
      </w:pPr>
    </w:p>
    <w:p w14:paraId="7B3ED8B3" w14:textId="77777777" w:rsidR="00EF2125" w:rsidRPr="00C21AA3" w:rsidRDefault="00EF2125" w:rsidP="00EF2125">
      <w:pPr>
        <w:spacing w:line="240" w:lineRule="auto"/>
        <w:jc w:val="both"/>
        <w:rPr>
          <w:b/>
          <w:szCs w:val="22"/>
        </w:rPr>
      </w:pPr>
      <w:r w:rsidRPr="00C21AA3">
        <w:rPr>
          <w:b/>
          <w:szCs w:val="22"/>
          <w:u w:val="single"/>
        </w:rPr>
        <w:t>Purpose and Objective:</w:t>
      </w:r>
    </w:p>
    <w:p w14:paraId="350C3487" w14:textId="77777777" w:rsidR="00EF2125" w:rsidRPr="00C21AA3" w:rsidRDefault="00EF2125" w:rsidP="00EF2125">
      <w:pPr>
        <w:spacing w:line="240" w:lineRule="auto"/>
        <w:ind w:left="360"/>
        <w:jc w:val="both"/>
        <w:rPr>
          <w:b/>
          <w:szCs w:val="22"/>
        </w:rPr>
      </w:pPr>
      <w:r w:rsidRPr="00C21AA3">
        <w:rPr>
          <w:b/>
          <w:szCs w:val="22"/>
        </w:rPr>
        <w:t xml:space="preserve"> </w:t>
      </w:r>
    </w:p>
    <w:p w14:paraId="3047EF4B" w14:textId="77777777" w:rsidR="00EF2125" w:rsidRPr="00A86E41" w:rsidRDefault="00EF2125" w:rsidP="00EF2125">
      <w:pPr>
        <w:spacing w:line="240" w:lineRule="auto"/>
        <w:jc w:val="both"/>
        <w:rPr>
          <w:szCs w:val="22"/>
          <w:lang w:val="pt-PT"/>
        </w:rPr>
      </w:pPr>
      <w:r w:rsidRPr="00A86E41">
        <w:rPr>
          <w:szCs w:val="22"/>
          <w:lang w:val="pt-PT"/>
        </w:rPr>
        <w:t>A Convenção sobre os Direitos da Criança (CDC) reconhece o importante papel do Parlamento como protetor dos direitos da criança; os parlamentares são vistos como tendo a "principal obrigação de apoiar e defender os direitos das crianças e de prestar contas tanto aos seus cidadãos, incluindo crianças, quanto para normas, tratados e padrões internacionais como a CDC." [1] Seus papéis em influenciar e fiscalizar os recursos dos orçamentos nacionais, fornecer orientações políticas, e debater, orientar e fazer cumprir leis que protegem as crianças fazem com que os parlamentos sejam intervenientes essenciais para a promoção dos direitos e o bem-estar das crianças. Parlamentares podem fazer perguntas importantes e responsabilizar os governos, quando se trata de investir nas crianças. Os parlamentos são singularmente posicionados para garantir que questões relacionadas às crianças sejam visíveis em uma sociedade e recebam a atenção necessária por governos, certificando-se de que o investimento em crianças é mais do que uma retórica, mas verdadeiramente refletido em planos e orçamentos de um país.</w:t>
      </w:r>
    </w:p>
    <w:p w14:paraId="52B3D854" w14:textId="77777777" w:rsidR="00EF2125" w:rsidRPr="00A86E41" w:rsidRDefault="00EF2125" w:rsidP="00EF2125">
      <w:pPr>
        <w:spacing w:line="240" w:lineRule="auto"/>
        <w:ind w:left="360"/>
        <w:jc w:val="both"/>
        <w:rPr>
          <w:szCs w:val="22"/>
          <w:lang w:val="pt-PT"/>
        </w:rPr>
      </w:pPr>
      <w:r w:rsidRPr="00A86E41">
        <w:rPr>
          <w:szCs w:val="22"/>
          <w:lang w:val="pt-PT"/>
        </w:rPr>
        <w:t xml:space="preserve"> </w:t>
      </w:r>
    </w:p>
    <w:p w14:paraId="587EDE50" w14:textId="77777777" w:rsidR="00EF2125" w:rsidRPr="00A86E41" w:rsidRDefault="00EF2125" w:rsidP="00EF2125">
      <w:pPr>
        <w:spacing w:line="240" w:lineRule="auto"/>
        <w:jc w:val="both"/>
        <w:rPr>
          <w:szCs w:val="22"/>
          <w:lang w:val="pt-PT"/>
        </w:rPr>
      </w:pPr>
      <w:r w:rsidRPr="00A86E41">
        <w:rPr>
          <w:szCs w:val="22"/>
          <w:lang w:val="pt-PT"/>
        </w:rPr>
        <w:t>Os parlamentos são também importantes instituições democráticas que representam os cidadãos, e, portanto, um papel essencial para os parlamentos é criar espaços para contato com os eleitores, para descobrir seus desejos, necessidades, preocupações, etc. no que diz respeito à legislação, alocação de recursos, eficiência dos gastos e a situação geral do país, ou, em particular, de grupos específicos como crianças, idosos, mulheres, trabalhadores, etc. Participação pública na governança parlamentar, portanto, é fundamental para dar aos cidadãos a oportunidade de discutir suas circunstâncias e para expressar suas necessidades e queixas.</w:t>
      </w:r>
    </w:p>
    <w:p w14:paraId="16238E10" w14:textId="77777777" w:rsidR="00EF2125" w:rsidRPr="00A86E41" w:rsidRDefault="00EF2125" w:rsidP="00EF2125">
      <w:pPr>
        <w:spacing w:line="240" w:lineRule="auto"/>
        <w:ind w:left="360"/>
        <w:jc w:val="both"/>
        <w:rPr>
          <w:szCs w:val="22"/>
          <w:lang w:val="pt-PT"/>
        </w:rPr>
      </w:pPr>
      <w:r w:rsidRPr="00A86E41">
        <w:rPr>
          <w:szCs w:val="22"/>
          <w:lang w:val="pt-PT"/>
        </w:rPr>
        <w:t xml:space="preserve"> </w:t>
      </w:r>
    </w:p>
    <w:p w14:paraId="6D0DBDF9" w14:textId="77777777" w:rsidR="00EF2125" w:rsidRDefault="00EF2125" w:rsidP="00EF2125">
      <w:pPr>
        <w:spacing w:line="240" w:lineRule="auto"/>
        <w:jc w:val="both"/>
        <w:rPr>
          <w:szCs w:val="22"/>
          <w:lang w:val="pt-PT"/>
        </w:rPr>
      </w:pPr>
      <w:r w:rsidRPr="00A86E41">
        <w:rPr>
          <w:szCs w:val="22"/>
          <w:lang w:val="pt-PT"/>
        </w:rPr>
        <w:t xml:space="preserve">No entanto, no mais recente Índice do Orçamento Aberto, realizado pela International Budget Partnership (IBP), que avalia, entre outras coisas, o grau a que o governo e o Parlamento fornecem oportunidades para o público a participar em processos orçamentais, Moçambique recebeu uma das menores pontuações na componente de participação. </w:t>
      </w:r>
      <w:r>
        <w:rPr>
          <w:szCs w:val="22"/>
          <w:lang w:val="pt-PT"/>
        </w:rPr>
        <w:t xml:space="preserve">No entanto o Parlamento tem estado a melhorar a sua interação com o publico cada vez mais que pode-se também ver na melhora do pontuações. </w:t>
      </w:r>
    </w:p>
    <w:p w14:paraId="433DE235" w14:textId="77777777" w:rsidR="00EF2125" w:rsidRPr="00A86E41" w:rsidRDefault="00EF2125" w:rsidP="00EF2125">
      <w:pPr>
        <w:spacing w:line="240" w:lineRule="auto"/>
        <w:jc w:val="both"/>
        <w:rPr>
          <w:szCs w:val="22"/>
          <w:lang w:val="pt-PT"/>
        </w:rPr>
      </w:pPr>
    </w:p>
    <w:p w14:paraId="381BE2B2" w14:textId="77777777" w:rsidR="00EF2125" w:rsidRDefault="00EF2125" w:rsidP="00EF2125">
      <w:pPr>
        <w:spacing w:line="240" w:lineRule="auto"/>
        <w:jc w:val="both"/>
        <w:rPr>
          <w:szCs w:val="22"/>
          <w:lang w:val="pt-PT"/>
        </w:rPr>
      </w:pPr>
      <w:r w:rsidRPr="00A86E41">
        <w:rPr>
          <w:szCs w:val="22"/>
          <w:lang w:val="pt-PT"/>
        </w:rPr>
        <w:t>A Comissão Parlamentar do Plano e Orçamento está empenhada em tornar-se cada vez mais aberta à participação do cidadão e engajar em diálogo durante as diferentes partes do ciclo orçamental. A assistência técnica proposta, como uma assistência anual em tempo integral baseada no Parlamento, ajudará a materializar este compromisso, trabalhando em medidas concretas</w:t>
      </w:r>
      <w:r>
        <w:rPr>
          <w:szCs w:val="22"/>
          <w:lang w:val="pt-PT"/>
        </w:rPr>
        <w:t xml:space="preserve"> e strategicas</w:t>
      </w:r>
      <w:r w:rsidRPr="00A86E41">
        <w:rPr>
          <w:szCs w:val="22"/>
          <w:lang w:val="pt-PT"/>
        </w:rPr>
        <w:t xml:space="preserve"> no sentido de tornar a Comissão mais aberta e sensível à participação do cidadão, tanto a nível nacional quanto a subnacional. </w:t>
      </w:r>
    </w:p>
    <w:p w14:paraId="20D49F88" w14:textId="77777777" w:rsidR="00EF2125" w:rsidRDefault="00EF2125" w:rsidP="00EF2125">
      <w:pPr>
        <w:spacing w:line="240" w:lineRule="auto"/>
        <w:jc w:val="both"/>
        <w:rPr>
          <w:szCs w:val="22"/>
          <w:lang w:val="pt-PT"/>
        </w:rPr>
      </w:pPr>
    </w:p>
    <w:p w14:paraId="42F16E95" w14:textId="77777777" w:rsidR="00EF2125" w:rsidRDefault="00EF2125" w:rsidP="00EF2125">
      <w:pPr>
        <w:spacing w:line="240" w:lineRule="auto"/>
        <w:jc w:val="both"/>
        <w:rPr>
          <w:b/>
          <w:szCs w:val="22"/>
          <w:u w:val="single"/>
          <w:lang w:val="pt-PT"/>
        </w:rPr>
      </w:pPr>
      <w:r w:rsidRPr="00A86E41">
        <w:rPr>
          <w:b/>
          <w:szCs w:val="22"/>
          <w:u w:val="single"/>
          <w:lang w:val="pt-PT"/>
        </w:rPr>
        <w:t>Methodolog</w:t>
      </w:r>
      <w:r>
        <w:rPr>
          <w:b/>
          <w:szCs w:val="22"/>
          <w:u w:val="single"/>
          <w:lang w:val="pt-PT"/>
        </w:rPr>
        <w:t>y</w:t>
      </w:r>
      <w:r w:rsidRPr="00A86E41">
        <w:rPr>
          <w:b/>
          <w:szCs w:val="22"/>
          <w:u w:val="single"/>
          <w:lang w:val="pt-PT"/>
        </w:rPr>
        <w:t xml:space="preserve"> and Technical Approach:</w:t>
      </w:r>
    </w:p>
    <w:p w14:paraId="432C137C" w14:textId="77777777" w:rsidR="00EF2125" w:rsidRDefault="00EF2125" w:rsidP="00EF2125">
      <w:pPr>
        <w:spacing w:line="240" w:lineRule="auto"/>
        <w:jc w:val="both"/>
        <w:rPr>
          <w:szCs w:val="22"/>
          <w:lang w:val="pt-PT"/>
        </w:rPr>
      </w:pPr>
    </w:p>
    <w:p w14:paraId="0CF44F39" w14:textId="77777777" w:rsidR="00EF2125" w:rsidRPr="00C21AA3" w:rsidRDefault="00EF2125" w:rsidP="00EF2125">
      <w:pPr>
        <w:spacing w:line="240" w:lineRule="auto"/>
        <w:jc w:val="both"/>
        <w:rPr>
          <w:szCs w:val="22"/>
          <w:lang w:val="pt-PT"/>
        </w:rPr>
      </w:pPr>
      <w:r w:rsidRPr="00A86E41">
        <w:rPr>
          <w:szCs w:val="22"/>
          <w:lang w:val="pt-PT"/>
        </w:rPr>
        <w:t xml:space="preserve"> Prestação de assistência técnica qualificada para a Comissão Parlamentar do Plano e Orçamento (CPO) </w:t>
      </w:r>
      <w:r>
        <w:rPr>
          <w:szCs w:val="22"/>
          <w:lang w:val="pt-PT"/>
        </w:rPr>
        <w:t xml:space="preserve">O consultor apoia o CPO na área de comunicação estratégico e interação com o publico </w:t>
      </w:r>
      <w:r w:rsidRPr="00A86E41">
        <w:rPr>
          <w:szCs w:val="22"/>
          <w:lang w:val="pt-PT"/>
        </w:rPr>
        <w:t xml:space="preserve"> e assistência técnica nas actividades de Programa de Desenvolvimento de Capacidade</w:t>
      </w:r>
      <w:r>
        <w:rPr>
          <w:szCs w:val="22"/>
          <w:lang w:val="pt-PT"/>
        </w:rPr>
        <w:t xml:space="preserve"> na área de transparência e participação,</w:t>
      </w:r>
      <w:r w:rsidRPr="00A86E41">
        <w:rPr>
          <w:szCs w:val="22"/>
          <w:lang w:val="pt-PT"/>
        </w:rPr>
        <w:t xml:space="preserve"> área de Criança </w:t>
      </w:r>
      <w:r>
        <w:rPr>
          <w:szCs w:val="22"/>
          <w:lang w:val="pt-PT"/>
        </w:rPr>
        <w:t>e sectores sociais</w:t>
      </w:r>
      <w:r w:rsidRPr="00A86E41">
        <w:rPr>
          <w:szCs w:val="22"/>
          <w:lang w:val="pt-PT"/>
        </w:rPr>
        <w:t>.</w:t>
      </w:r>
      <w:r>
        <w:rPr>
          <w:szCs w:val="22"/>
          <w:lang w:val="pt-PT"/>
        </w:rPr>
        <w:t xml:space="preserve"> </w:t>
      </w:r>
      <w:r w:rsidRPr="00A86E41">
        <w:rPr>
          <w:szCs w:val="22"/>
          <w:lang w:val="pt-PT"/>
        </w:rPr>
        <w:t xml:space="preserve">O consultor estará baseado no Parlamento, trabalhando em conformidade com as estipulações da Comissão (no que se refere a dias e horas de trabalho) e reportará mensalmente ao UNICEF, em termos de principais actividades empreendidas, desafios e progresso. O Consultor vai ainda participar nas reuniões semanais do SPEAR e nas reuniões de mensais de planificação. </w:t>
      </w:r>
    </w:p>
    <w:p w14:paraId="138FE2A6" w14:textId="77777777" w:rsidR="00EF2125" w:rsidRPr="00C21AA3" w:rsidRDefault="00EF2125" w:rsidP="00EF2125">
      <w:pPr>
        <w:spacing w:line="240" w:lineRule="auto"/>
        <w:ind w:left="426"/>
        <w:jc w:val="both"/>
        <w:rPr>
          <w:szCs w:val="22"/>
          <w:lang w:val="pt-PT"/>
        </w:rPr>
      </w:pPr>
    </w:p>
    <w:p w14:paraId="11F6C2D7" w14:textId="77777777" w:rsidR="00EF2125" w:rsidRDefault="00EF2125" w:rsidP="00EF2125">
      <w:pPr>
        <w:spacing w:line="240" w:lineRule="auto"/>
        <w:jc w:val="both"/>
        <w:rPr>
          <w:szCs w:val="22"/>
          <w:lang w:val="pt-PT"/>
        </w:rPr>
      </w:pPr>
      <w:r w:rsidRPr="00A86E41">
        <w:rPr>
          <w:b/>
          <w:szCs w:val="22"/>
          <w:u w:val="single"/>
          <w:lang w:val="pt-PT"/>
        </w:rPr>
        <w:lastRenderedPageBreak/>
        <w:t>Activities and Tasks:</w:t>
      </w:r>
      <w:r w:rsidRPr="00A86E41">
        <w:rPr>
          <w:szCs w:val="22"/>
          <w:lang w:val="pt-PT"/>
        </w:rPr>
        <w:t xml:space="preserve"> </w:t>
      </w:r>
    </w:p>
    <w:p w14:paraId="429D5EFD" w14:textId="77777777" w:rsidR="00EF2125" w:rsidRDefault="00EF2125" w:rsidP="00EF2125">
      <w:pPr>
        <w:spacing w:line="240" w:lineRule="auto"/>
        <w:jc w:val="both"/>
        <w:rPr>
          <w:szCs w:val="22"/>
          <w:lang w:val="pt-PT"/>
        </w:rPr>
      </w:pPr>
    </w:p>
    <w:p w14:paraId="2A51E22F" w14:textId="77777777" w:rsidR="00EF2125" w:rsidRPr="009B35A5" w:rsidRDefault="00EF2125" w:rsidP="00EF2125">
      <w:pPr>
        <w:spacing w:line="240" w:lineRule="auto"/>
        <w:jc w:val="both"/>
        <w:rPr>
          <w:szCs w:val="22"/>
          <w:lang w:val="pt-PT"/>
        </w:rPr>
      </w:pPr>
      <w:r w:rsidRPr="00A86E41">
        <w:rPr>
          <w:szCs w:val="22"/>
          <w:lang w:val="pt-PT"/>
        </w:rPr>
        <w:t>O consultor irá apoiar a CPO em implementar acções que ajudam a abrir a Comissão, e o Parlamento mais amplamente quando relevante, aos cidadãos, tanto para aumentar a transparência e partilha de informações quanto para ampliar as oportunidades de participação dos cidadãos no processo legislativo no que se refere ao ciclo de planificação e orçamentação. O consultor também irá reforçar a coordenação entre comissões e órgãos relevantes nos assuntos de politicas sociais e investimento social ao CPO dentro do Parlamento dando um enfoque especial nas atividades de</w:t>
      </w:r>
      <w:r w:rsidRPr="009B35A5">
        <w:rPr>
          <w:szCs w:val="22"/>
          <w:lang w:val="pt-PT"/>
        </w:rPr>
        <w:t>s tarefas incluirão, entre outras:</w:t>
      </w:r>
    </w:p>
    <w:p w14:paraId="225EE97C" w14:textId="77777777" w:rsidR="00EF2125" w:rsidRPr="009B35A5" w:rsidRDefault="00EF2125" w:rsidP="00EF2125">
      <w:pPr>
        <w:spacing w:line="240" w:lineRule="auto"/>
        <w:ind w:left="360"/>
        <w:jc w:val="both"/>
        <w:rPr>
          <w:szCs w:val="22"/>
          <w:lang w:val="pt-PT"/>
        </w:rPr>
      </w:pPr>
    </w:p>
    <w:p w14:paraId="2E300DAB" w14:textId="77777777" w:rsidR="00EF2125" w:rsidRPr="00A86E41" w:rsidRDefault="00EF2125" w:rsidP="00EF2125">
      <w:pPr>
        <w:pStyle w:val="ListParagraph"/>
        <w:numPr>
          <w:ilvl w:val="0"/>
          <w:numId w:val="55"/>
        </w:numPr>
        <w:spacing w:line="240" w:lineRule="auto"/>
        <w:jc w:val="both"/>
        <w:rPr>
          <w:szCs w:val="22"/>
          <w:lang w:val="pt-PT"/>
        </w:rPr>
      </w:pPr>
      <w:r>
        <w:rPr>
          <w:szCs w:val="22"/>
          <w:lang w:val="pt-PT"/>
        </w:rPr>
        <w:t>Preparação de Estratégia de CPO de Comunicação e interação e plano anual com cidadão para e</w:t>
      </w:r>
      <w:r w:rsidRPr="009C505A">
        <w:rPr>
          <w:szCs w:val="22"/>
          <w:lang w:val="pt-PT"/>
        </w:rPr>
        <w:t>sforço proactivo de comunicação com os cidadãos, OSC, mídia e outras partes interessadas através da utilização de mídias tradicionais e sociais para assegurar que o maior número</w:t>
      </w:r>
      <w:r w:rsidRPr="0031013C">
        <w:rPr>
          <w:szCs w:val="22"/>
          <w:lang w:val="pt-PT"/>
        </w:rPr>
        <w:t xml:space="preserve"> de pessoas saiba o papel do CPO nos processos de planificação e orçamentação, a importância de se envolver nestes processos através do Parlamento, as datas, a agenda, o conteúdo das reuniões relacionadas com estes processos, etc.;</w:t>
      </w:r>
      <w:r w:rsidRPr="008137EE">
        <w:rPr>
          <w:szCs w:val="22"/>
          <w:lang w:val="pt-PT"/>
        </w:rPr>
        <w:t xml:space="preserve"> </w:t>
      </w:r>
      <w:r>
        <w:rPr>
          <w:szCs w:val="22"/>
          <w:lang w:val="pt-PT"/>
        </w:rPr>
        <w:t>especialmente integração</w:t>
      </w:r>
      <w:r w:rsidRPr="00A86E41">
        <w:rPr>
          <w:szCs w:val="22"/>
          <w:lang w:val="pt-PT"/>
        </w:rPr>
        <w:t xml:space="preserve"> </w:t>
      </w:r>
      <w:r>
        <w:rPr>
          <w:szCs w:val="22"/>
          <w:lang w:val="pt-PT"/>
        </w:rPr>
        <w:t>do</w:t>
      </w:r>
      <w:r w:rsidRPr="00A86E41">
        <w:rPr>
          <w:szCs w:val="22"/>
          <w:lang w:val="pt-PT"/>
        </w:rPr>
        <w:t xml:space="preserve"> seguimento das principais recomendações constantes </w:t>
      </w:r>
      <w:r>
        <w:rPr>
          <w:szCs w:val="22"/>
          <w:lang w:val="pt-PT"/>
        </w:rPr>
        <w:t>no Inquerito de Orcamento Aberto,</w:t>
      </w:r>
      <w:r w:rsidRPr="00A86E41">
        <w:rPr>
          <w:szCs w:val="22"/>
          <w:lang w:val="pt-PT"/>
        </w:rPr>
        <w:t xml:space="preserve"> dos relatórios e pareceres do Tribunal Administrativo sobre a Conta Geral do Estado assim como dos comentários da sociedade civil aos mesmos;</w:t>
      </w:r>
    </w:p>
    <w:p w14:paraId="048927E0" w14:textId="77777777" w:rsidR="00EF2125" w:rsidRDefault="00EF2125" w:rsidP="00EF2125">
      <w:pPr>
        <w:pStyle w:val="ListParagraph"/>
        <w:numPr>
          <w:ilvl w:val="0"/>
          <w:numId w:val="55"/>
        </w:numPr>
        <w:spacing w:line="240" w:lineRule="auto"/>
        <w:jc w:val="both"/>
        <w:rPr>
          <w:szCs w:val="22"/>
          <w:lang w:val="pt-PT"/>
        </w:rPr>
      </w:pPr>
      <w:r>
        <w:rPr>
          <w:szCs w:val="22"/>
          <w:lang w:val="pt-PT"/>
        </w:rPr>
        <w:t>Melhoramento de Pagina WEB de CPO (Nota Conceptual)</w:t>
      </w:r>
    </w:p>
    <w:p w14:paraId="1CCB6C2F" w14:textId="77777777" w:rsidR="00EF2125" w:rsidRPr="00A86E41" w:rsidRDefault="00EF2125" w:rsidP="00EF2125">
      <w:pPr>
        <w:pStyle w:val="ListParagraph"/>
        <w:numPr>
          <w:ilvl w:val="0"/>
          <w:numId w:val="55"/>
        </w:numPr>
        <w:spacing w:line="240" w:lineRule="auto"/>
        <w:jc w:val="both"/>
        <w:rPr>
          <w:szCs w:val="22"/>
          <w:lang w:val="pt-PT"/>
        </w:rPr>
      </w:pPr>
      <w:r>
        <w:rPr>
          <w:szCs w:val="22"/>
          <w:lang w:val="pt-PT"/>
        </w:rPr>
        <w:t>Apoio de secretariado na p</w:t>
      </w:r>
      <w:r w:rsidRPr="00A86E41">
        <w:rPr>
          <w:szCs w:val="22"/>
          <w:lang w:val="pt-PT"/>
        </w:rPr>
        <w:t>romoção de um papel activo da CPO em apoiar a participação de organizações da sociedade civil na planificação e orçamentação a níveis nacionais e subnacionais, centrais e sectoriais;</w:t>
      </w:r>
    </w:p>
    <w:p w14:paraId="4301F634" w14:textId="77777777" w:rsidR="00EF2125" w:rsidRPr="00A86E41" w:rsidRDefault="00EF2125" w:rsidP="00EF2125">
      <w:pPr>
        <w:pStyle w:val="ListParagraph"/>
        <w:numPr>
          <w:ilvl w:val="0"/>
          <w:numId w:val="55"/>
        </w:numPr>
        <w:spacing w:line="240" w:lineRule="auto"/>
        <w:jc w:val="both"/>
        <w:rPr>
          <w:szCs w:val="22"/>
          <w:lang w:val="pt-PT"/>
        </w:rPr>
      </w:pPr>
      <w:r w:rsidRPr="00A86E41">
        <w:rPr>
          <w:szCs w:val="22"/>
          <w:lang w:val="pt-PT"/>
        </w:rPr>
        <w:t xml:space="preserve">Oportuna divulgação de informações sobre </w:t>
      </w:r>
      <w:r>
        <w:rPr>
          <w:szCs w:val="22"/>
          <w:lang w:val="pt-PT"/>
        </w:rPr>
        <w:t xml:space="preserve">visitas nos instituições do Estado e </w:t>
      </w:r>
      <w:r w:rsidRPr="00A86E41">
        <w:rPr>
          <w:szCs w:val="22"/>
          <w:lang w:val="pt-PT"/>
        </w:rPr>
        <w:t>viagens de trabalho da CPO às províncias a fim de assegurar uma participação significativa de organizações da sociedade civil nos distritos e províncias</w:t>
      </w:r>
      <w:r>
        <w:rPr>
          <w:szCs w:val="22"/>
          <w:lang w:val="pt-PT"/>
        </w:rPr>
        <w:t xml:space="preserve"> e accoes de follow-up</w:t>
      </w:r>
    </w:p>
    <w:p w14:paraId="3D4F0C65" w14:textId="77777777" w:rsidR="00EF2125" w:rsidRPr="00A86E41" w:rsidRDefault="00EF2125" w:rsidP="00EF2125">
      <w:pPr>
        <w:pStyle w:val="ListParagraph"/>
        <w:numPr>
          <w:ilvl w:val="0"/>
          <w:numId w:val="55"/>
        </w:numPr>
        <w:spacing w:line="240" w:lineRule="auto"/>
        <w:jc w:val="both"/>
        <w:rPr>
          <w:szCs w:val="22"/>
          <w:lang w:val="pt-PT"/>
        </w:rPr>
      </w:pPr>
      <w:r w:rsidRPr="00A86E41">
        <w:rPr>
          <w:szCs w:val="22"/>
          <w:lang w:val="pt-PT"/>
        </w:rPr>
        <w:t>Reforço de coordenação e colaboração entre CPO</w:t>
      </w:r>
      <w:r>
        <w:rPr>
          <w:szCs w:val="22"/>
          <w:lang w:val="pt-PT"/>
        </w:rPr>
        <w:t>, UEEFO</w:t>
      </w:r>
      <w:r w:rsidRPr="00A86E41">
        <w:rPr>
          <w:szCs w:val="22"/>
          <w:lang w:val="pt-PT"/>
        </w:rPr>
        <w:t xml:space="preserve"> e outros comissões relevantes da área de Criança e órgãos relevantes nos assuntos das politicas sociais e investimento social dentro do Parlamento nos momentos chave de ciclo de planificação e orçamentação do estado.</w:t>
      </w:r>
    </w:p>
    <w:p w14:paraId="1C9B60ED" w14:textId="77777777" w:rsidR="00EF2125" w:rsidRPr="00A86E41" w:rsidRDefault="00EF2125" w:rsidP="00EF2125">
      <w:pPr>
        <w:pStyle w:val="ListParagraph"/>
        <w:numPr>
          <w:ilvl w:val="0"/>
          <w:numId w:val="55"/>
        </w:numPr>
        <w:spacing w:line="240" w:lineRule="auto"/>
        <w:jc w:val="both"/>
        <w:rPr>
          <w:szCs w:val="22"/>
          <w:lang w:val="pt-PT"/>
        </w:rPr>
      </w:pPr>
      <w:r>
        <w:rPr>
          <w:szCs w:val="22"/>
          <w:lang w:val="pt-PT"/>
        </w:rPr>
        <w:t>Apoio de c</w:t>
      </w:r>
      <w:r w:rsidRPr="00A86E41">
        <w:rPr>
          <w:szCs w:val="22"/>
          <w:lang w:val="pt-PT"/>
        </w:rPr>
        <w:t xml:space="preserve">ompilação de informação-chave útil para os parlamentares da CPO </w:t>
      </w:r>
      <w:r>
        <w:rPr>
          <w:szCs w:val="22"/>
          <w:lang w:val="pt-PT"/>
        </w:rPr>
        <w:t xml:space="preserve">da material na área de direitos da criança, </w:t>
      </w:r>
      <w:r w:rsidRPr="00A86E41">
        <w:rPr>
          <w:szCs w:val="22"/>
          <w:lang w:val="pt-PT"/>
        </w:rPr>
        <w:t>no exercício de análise e escrutínio e monitoria dos documentos de planificação e orçamentais em colaboração de UEEFO (e.g., principais aspectos encontrados durante as actividades de monitoria do PES e OE das várias organizações da sociedade civil, como auditoria social, PETS (Public Expenditure Tracking Survey), monitoria da qualidade dos serviços públicos, etc.)</w:t>
      </w:r>
    </w:p>
    <w:p w14:paraId="0FE21C99" w14:textId="77777777" w:rsidR="00EF2125" w:rsidRPr="00A86E41" w:rsidRDefault="00EF2125" w:rsidP="00EF2125">
      <w:pPr>
        <w:pStyle w:val="ListParagraph"/>
        <w:spacing w:line="240" w:lineRule="auto"/>
        <w:ind w:left="1080"/>
        <w:jc w:val="both"/>
        <w:rPr>
          <w:szCs w:val="22"/>
          <w:lang w:val="pt-PT"/>
        </w:rPr>
      </w:pPr>
    </w:p>
    <w:p w14:paraId="706FCB68" w14:textId="77777777" w:rsidR="00EF2125" w:rsidRPr="008137EE" w:rsidRDefault="00EF2125" w:rsidP="00EF2125">
      <w:pPr>
        <w:pStyle w:val="ListParagraph"/>
        <w:numPr>
          <w:ilvl w:val="0"/>
          <w:numId w:val="55"/>
        </w:numPr>
        <w:spacing w:line="240" w:lineRule="auto"/>
        <w:jc w:val="both"/>
        <w:rPr>
          <w:szCs w:val="22"/>
          <w:lang w:val="pt-PT"/>
        </w:rPr>
      </w:pPr>
      <w:r w:rsidRPr="008137EE">
        <w:rPr>
          <w:szCs w:val="22"/>
          <w:lang w:val="pt-PT"/>
        </w:rPr>
        <w:t>Identificação de práticas relevantes de outros países na região ou globalmente que possam ser usadas como exemplo pela CPO para promover transparência e participação orçamental.</w:t>
      </w:r>
      <w:r w:rsidRPr="008137EE" w:rsidDel="00245352">
        <w:rPr>
          <w:i/>
          <w:snapToGrid w:val="0"/>
          <w:color w:val="7F7F7F" w:themeColor="text1" w:themeTint="80"/>
          <w:szCs w:val="22"/>
          <w:lang w:val="pt-PT"/>
        </w:rPr>
        <w:t xml:space="preserve"> </w:t>
      </w:r>
    </w:p>
    <w:p w14:paraId="0BDB4CF8" w14:textId="77777777" w:rsidR="00EF2125" w:rsidRPr="00A86E41" w:rsidRDefault="00EF2125" w:rsidP="00EF2125">
      <w:pPr>
        <w:spacing w:line="240" w:lineRule="auto"/>
        <w:ind w:left="360"/>
        <w:jc w:val="both"/>
        <w:rPr>
          <w:szCs w:val="22"/>
          <w:lang w:val="pt-PT"/>
        </w:rPr>
      </w:pPr>
    </w:p>
    <w:p w14:paraId="7724870E" w14:textId="77777777" w:rsidR="00EF2125" w:rsidRPr="00C21AA3" w:rsidRDefault="00EF2125" w:rsidP="00EF2125">
      <w:pPr>
        <w:spacing w:line="240" w:lineRule="auto"/>
        <w:jc w:val="both"/>
        <w:rPr>
          <w:szCs w:val="22"/>
          <w:lang w:val="pt-PT"/>
        </w:rPr>
      </w:pPr>
      <w:r w:rsidRPr="00C21AA3">
        <w:rPr>
          <w:b/>
          <w:szCs w:val="22"/>
          <w:u w:val="single"/>
          <w:lang w:val="pt-PT"/>
        </w:rPr>
        <w:t>Deliverables and Payments:</w:t>
      </w:r>
      <w:r w:rsidRPr="00C21AA3">
        <w:rPr>
          <w:szCs w:val="22"/>
          <w:lang w:val="pt-PT"/>
        </w:rPr>
        <w:t xml:space="preserve">  </w:t>
      </w:r>
    </w:p>
    <w:p w14:paraId="4F5E106F" w14:textId="77777777" w:rsidR="00EF2125" w:rsidRPr="00C21AA3" w:rsidRDefault="00EF2125" w:rsidP="00EF2125">
      <w:pPr>
        <w:spacing w:line="240" w:lineRule="auto"/>
        <w:jc w:val="both"/>
        <w:rPr>
          <w:b/>
          <w:i/>
          <w:szCs w:val="22"/>
          <w:u w:val="single"/>
          <w:lang w:val="pt-PT"/>
        </w:rPr>
      </w:pPr>
    </w:p>
    <w:p w14:paraId="66A93EF9" w14:textId="77777777" w:rsidR="00EF2125" w:rsidRPr="00D10844" w:rsidRDefault="00EF2125" w:rsidP="00EF2125">
      <w:pPr>
        <w:spacing w:line="240" w:lineRule="auto"/>
        <w:jc w:val="both"/>
        <w:rPr>
          <w:szCs w:val="22"/>
          <w:lang w:val="pt-PT"/>
        </w:rPr>
      </w:pPr>
      <w:r w:rsidRPr="00D10844">
        <w:rPr>
          <w:szCs w:val="22"/>
          <w:lang w:val="pt-PT"/>
        </w:rPr>
        <w:t xml:space="preserve">O consultor será pago mediante apresentação de um relatório de cada produto, listando ainda as principais actividades desenvolvidas, os principais desafios e progressos da assistência. </w:t>
      </w:r>
    </w:p>
    <w:p w14:paraId="05E1CFB2" w14:textId="77777777" w:rsidR="00EF2125" w:rsidRPr="00D10844" w:rsidRDefault="00EF2125" w:rsidP="00EF2125">
      <w:pPr>
        <w:spacing w:line="240" w:lineRule="auto"/>
        <w:ind w:left="360"/>
        <w:jc w:val="both"/>
        <w:rPr>
          <w:szCs w:val="22"/>
          <w:lang w:val="pt-PT"/>
        </w:rPr>
      </w:pPr>
    </w:p>
    <w:p w14:paraId="42E98F18" w14:textId="77777777" w:rsidR="00EF2125" w:rsidRPr="00C21AA3" w:rsidRDefault="00EF2125" w:rsidP="00EF2125">
      <w:pPr>
        <w:spacing w:line="240" w:lineRule="auto"/>
        <w:ind w:left="360"/>
        <w:jc w:val="both"/>
        <w:rPr>
          <w:szCs w:val="22"/>
          <w:lang w:val="pt-PT"/>
        </w:rPr>
      </w:pPr>
      <w:r w:rsidRPr="00C21AA3">
        <w:rPr>
          <w:szCs w:val="22"/>
          <w:lang w:val="pt-PT"/>
        </w:rPr>
        <w:t>Produtos:</w:t>
      </w:r>
    </w:p>
    <w:p w14:paraId="152364BD" w14:textId="1BEED031"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5 </w:t>
      </w:r>
      <w:r>
        <w:rPr>
          <w:szCs w:val="22"/>
          <w:u w:val="single"/>
          <w:lang w:val="pt-PT"/>
        </w:rPr>
        <w:t>Junho</w:t>
      </w:r>
      <w:r w:rsidRPr="00C21AA3">
        <w:rPr>
          <w:szCs w:val="22"/>
          <w:u w:val="single"/>
          <w:lang w:val="pt-PT"/>
        </w:rPr>
        <w:t xml:space="preserve"> 202</w:t>
      </w:r>
      <w:r>
        <w:rPr>
          <w:szCs w:val="22"/>
          <w:u w:val="single"/>
          <w:lang w:val="pt-PT"/>
        </w:rPr>
        <w:t>1</w:t>
      </w:r>
      <w:r w:rsidRPr="00C21AA3">
        <w:rPr>
          <w:szCs w:val="22"/>
          <w:u w:val="single"/>
          <w:lang w:val="pt-PT"/>
        </w:rPr>
        <w:t xml:space="preserve"> </w:t>
      </w:r>
    </w:p>
    <w:p w14:paraId="09DC520C" w14:textId="09695CFF"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)Apoio a Sessão preparativa de visitas de fiscalização</w:t>
      </w:r>
      <w:r w:rsidRPr="00D10844">
        <w:rPr>
          <w:szCs w:val="22"/>
          <w:lang w:val="pt-PT"/>
        </w:rPr>
        <w:t xml:space="preserve"> </w:t>
      </w:r>
      <w:r>
        <w:rPr>
          <w:szCs w:val="22"/>
          <w:lang w:val="pt-PT"/>
        </w:rPr>
        <w:t>2</w:t>
      </w:r>
      <w:r w:rsidRPr="00D10844">
        <w:rPr>
          <w:szCs w:val="22"/>
          <w:lang w:val="pt-PT"/>
        </w:rPr>
        <w:t>) Plano de trabalho 202</w:t>
      </w:r>
      <w:r>
        <w:rPr>
          <w:szCs w:val="22"/>
          <w:lang w:val="pt-PT"/>
        </w:rPr>
        <w:t>1-2022</w:t>
      </w:r>
      <w:r w:rsidRPr="00D10844">
        <w:rPr>
          <w:szCs w:val="22"/>
          <w:lang w:val="pt-PT"/>
        </w:rPr>
        <w:t xml:space="preserve">actividades </w:t>
      </w:r>
    </w:p>
    <w:p w14:paraId="6444505A" w14:textId="77777777" w:rsidR="00EF2125" w:rsidRPr="00D10844" w:rsidRDefault="00EF2125" w:rsidP="00EF2125">
      <w:pPr>
        <w:spacing w:line="240" w:lineRule="auto"/>
        <w:ind w:left="360"/>
        <w:jc w:val="both"/>
        <w:rPr>
          <w:szCs w:val="22"/>
          <w:lang w:val="pt-PT"/>
        </w:rPr>
      </w:pPr>
      <w:r>
        <w:rPr>
          <w:szCs w:val="22"/>
          <w:lang w:val="pt-PT"/>
        </w:rPr>
        <w:t>Pagamento:</w:t>
      </w:r>
    </w:p>
    <w:p w14:paraId="2BCB7D2A" w14:textId="77777777" w:rsidR="00EF2125" w:rsidRPr="00D10844" w:rsidRDefault="00EF2125" w:rsidP="00EF2125">
      <w:pPr>
        <w:spacing w:line="240" w:lineRule="auto"/>
        <w:ind w:left="360"/>
        <w:jc w:val="both"/>
        <w:rPr>
          <w:szCs w:val="22"/>
          <w:lang w:val="pt-PT"/>
        </w:rPr>
      </w:pPr>
    </w:p>
    <w:p w14:paraId="388D8063" w14:textId="7498BB59" w:rsidR="00EF2125" w:rsidRPr="00C21AA3" w:rsidRDefault="00EF2125" w:rsidP="00EF2125">
      <w:pPr>
        <w:spacing w:line="240" w:lineRule="auto"/>
        <w:ind w:left="360"/>
        <w:jc w:val="both"/>
        <w:rPr>
          <w:szCs w:val="22"/>
          <w:u w:val="single"/>
          <w:lang w:val="pt-PT"/>
        </w:rPr>
      </w:pPr>
      <w:r w:rsidRPr="00C21AA3">
        <w:rPr>
          <w:szCs w:val="22"/>
          <w:u w:val="single"/>
          <w:lang w:val="pt-PT"/>
        </w:rPr>
        <w:lastRenderedPageBreak/>
        <w:t xml:space="preserve">Prazo de entrega : 05 </w:t>
      </w:r>
      <w:r>
        <w:rPr>
          <w:szCs w:val="22"/>
          <w:u w:val="single"/>
          <w:lang w:val="pt-PT"/>
        </w:rPr>
        <w:t xml:space="preserve">Julho </w:t>
      </w:r>
      <w:r w:rsidRPr="00C21AA3">
        <w:rPr>
          <w:szCs w:val="22"/>
          <w:u w:val="single"/>
          <w:lang w:val="pt-PT"/>
        </w:rPr>
        <w:t>202</w:t>
      </w:r>
      <w:r>
        <w:rPr>
          <w:szCs w:val="22"/>
          <w:u w:val="single"/>
          <w:lang w:val="pt-PT"/>
        </w:rPr>
        <w:t>1</w:t>
      </w:r>
      <w:r w:rsidRPr="00C21AA3">
        <w:rPr>
          <w:szCs w:val="22"/>
          <w:u w:val="single"/>
          <w:lang w:val="pt-PT"/>
        </w:rPr>
        <w:t xml:space="preserve"> </w:t>
      </w:r>
    </w:p>
    <w:p w14:paraId="27831E6C" w14:textId="0447381A" w:rsidR="00EF2125" w:rsidRDefault="00EF2125" w:rsidP="00EF2125">
      <w:pPr>
        <w:spacing w:line="240" w:lineRule="auto"/>
        <w:ind w:left="360"/>
        <w:jc w:val="both"/>
        <w:rPr>
          <w:szCs w:val="22"/>
          <w:lang w:val="pt-PT"/>
        </w:rPr>
      </w:pPr>
      <w:r w:rsidRPr="00D10844">
        <w:rPr>
          <w:szCs w:val="22"/>
          <w:lang w:val="pt-PT"/>
        </w:rPr>
        <w:t xml:space="preserve">Produto(s): 1) Relatório mensal de actividades; 2) </w:t>
      </w:r>
      <w:r>
        <w:rPr>
          <w:szCs w:val="22"/>
          <w:lang w:val="pt-PT"/>
        </w:rPr>
        <w:t xml:space="preserve">Plano de Comunicação e interação de CPO, draft 1 </w:t>
      </w:r>
      <w:r w:rsidRPr="00D10844">
        <w:rPr>
          <w:szCs w:val="22"/>
          <w:lang w:val="pt-PT"/>
        </w:rPr>
        <w:t xml:space="preserve">; 3) </w:t>
      </w:r>
      <w:r>
        <w:rPr>
          <w:szCs w:val="22"/>
          <w:lang w:val="pt-PT"/>
        </w:rPr>
        <w:t>On-job training para secretariado</w:t>
      </w:r>
      <w:r w:rsidRPr="00D10844">
        <w:rPr>
          <w:szCs w:val="22"/>
          <w:lang w:val="pt-PT"/>
        </w:rPr>
        <w:t xml:space="preserve">. </w:t>
      </w:r>
    </w:p>
    <w:p w14:paraId="6C32E182" w14:textId="77777777" w:rsidR="00EF2125" w:rsidRPr="00D10844" w:rsidRDefault="00EF2125" w:rsidP="00EF2125">
      <w:pPr>
        <w:spacing w:line="240" w:lineRule="auto"/>
        <w:ind w:left="360"/>
        <w:jc w:val="both"/>
        <w:rPr>
          <w:szCs w:val="22"/>
          <w:lang w:val="pt-PT"/>
        </w:rPr>
      </w:pPr>
      <w:r>
        <w:rPr>
          <w:szCs w:val="22"/>
          <w:lang w:val="pt-PT"/>
        </w:rPr>
        <w:t xml:space="preserve">Pagamento: </w:t>
      </w:r>
    </w:p>
    <w:p w14:paraId="770234FB" w14:textId="77777777" w:rsidR="00EF2125" w:rsidRPr="00D10844" w:rsidRDefault="00EF2125" w:rsidP="00EF2125">
      <w:pPr>
        <w:spacing w:line="240" w:lineRule="auto"/>
        <w:ind w:left="360"/>
        <w:jc w:val="both"/>
        <w:rPr>
          <w:szCs w:val="22"/>
          <w:lang w:val="pt-PT"/>
        </w:rPr>
      </w:pPr>
    </w:p>
    <w:p w14:paraId="2AB76BA9"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Agosto</w:t>
      </w:r>
      <w:r w:rsidRPr="00C21AA3">
        <w:rPr>
          <w:szCs w:val="22"/>
          <w:u w:val="single"/>
          <w:lang w:val="pt-PT"/>
        </w:rPr>
        <w:t xml:space="preserve"> 202</w:t>
      </w:r>
      <w:r>
        <w:rPr>
          <w:szCs w:val="22"/>
          <w:u w:val="single"/>
          <w:lang w:val="pt-PT"/>
        </w:rPr>
        <w:t>1</w:t>
      </w:r>
      <w:r w:rsidRPr="00C21AA3">
        <w:rPr>
          <w:szCs w:val="22"/>
          <w:u w:val="single"/>
          <w:lang w:val="pt-PT"/>
        </w:rPr>
        <w:t xml:space="preserve"> </w:t>
      </w:r>
    </w:p>
    <w:p w14:paraId="59A9EA37" w14:textId="1E3888D9"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 xml:space="preserve"> Nota Conceptual de pagina web de CPO </w:t>
      </w:r>
      <w:r w:rsidRPr="00D10844">
        <w:rPr>
          <w:szCs w:val="22"/>
          <w:lang w:val="pt-PT"/>
        </w:rPr>
        <w:t xml:space="preserve"> 3)</w:t>
      </w:r>
      <w:r>
        <w:rPr>
          <w:szCs w:val="22"/>
          <w:lang w:val="pt-PT"/>
        </w:rPr>
        <w:t xml:space="preserve"> </w:t>
      </w:r>
      <w:r w:rsidRPr="00D10844">
        <w:rPr>
          <w:szCs w:val="22"/>
          <w:lang w:val="pt-PT"/>
        </w:rPr>
        <w:t>Revisão do guião de visitas de fiscalização da actividade governativa nas províncias</w:t>
      </w:r>
      <w:r>
        <w:rPr>
          <w:szCs w:val="22"/>
          <w:lang w:val="pt-PT"/>
        </w:rPr>
        <w:t xml:space="preserve"> 4. On-job training para secretariado.</w:t>
      </w:r>
    </w:p>
    <w:p w14:paraId="668B262E" w14:textId="77777777" w:rsidR="00EF2125" w:rsidRPr="00D10844" w:rsidRDefault="00EF2125" w:rsidP="00EF2125">
      <w:pPr>
        <w:spacing w:line="240" w:lineRule="auto"/>
        <w:ind w:left="360"/>
        <w:jc w:val="both"/>
        <w:rPr>
          <w:szCs w:val="22"/>
          <w:lang w:val="pt-PT"/>
        </w:rPr>
      </w:pPr>
      <w:r>
        <w:rPr>
          <w:szCs w:val="22"/>
          <w:lang w:val="pt-PT"/>
        </w:rPr>
        <w:t>Pagamento:</w:t>
      </w:r>
    </w:p>
    <w:p w14:paraId="0344A9A0" w14:textId="77777777" w:rsidR="00EF2125" w:rsidRPr="00D10844" w:rsidRDefault="00EF2125" w:rsidP="00EF2125">
      <w:pPr>
        <w:spacing w:line="240" w:lineRule="auto"/>
        <w:ind w:left="360"/>
        <w:jc w:val="both"/>
        <w:rPr>
          <w:szCs w:val="22"/>
          <w:lang w:val="pt-PT"/>
        </w:rPr>
      </w:pPr>
    </w:p>
    <w:p w14:paraId="7C2C1CB6"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 05 </w:t>
      </w:r>
      <w:r>
        <w:rPr>
          <w:szCs w:val="22"/>
          <w:u w:val="single"/>
          <w:lang w:val="pt-PT"/>
        </w:rPr>
        <w:t>Setembro</w:t>
      </w:r>
      <w:r w:rsidRPr="00C21AA3">
        <w:rPr>
          <w:szCs w:val="22"/>
          <w:u w:val="single"/>
          <w:lang w:val="pt-PT"/>
        </w:rPr>
        <w:t xml:space="preserve"> 202</w:t>
      </w:r>
      <w:r>
        <w:rPr>
          <w:szCs w:val="22"/>
          <w:u w:val="single"/>
          <w:lang w:val="pt-PT"/>
        </w:rPr>
        <w:t>1</w:t>
      </w:r>
      <w:r w:rsidRPr="00C21AA3">
        <w:rPr>
          <w:szCs w:val="22"/>
          <w:u w:val="single"/>
          <w:lang w:val="pt-PT"/>
        </w:rPr>
        <w:t xml:space="preserve"> </w:t>
      </w:r>
    </w:p>
    <w:p w14:paraId="43567E29" w14:textId="028C3829"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Apoio a comunicação de visitas de fiscalização 3) Relatórios de visitas de fiscalização 4. On-job training para secretariado.</w:t>
      </w:r>
    </w:p>
    <w:p w14:paraId="6832C807" w14:textId="77777777" w:rsidR="00EF2125" w:rsidRPr="00D10844" w:rsidRDefault="00EF2125" w:rsidP="00EF2125">
      <w:pPr>
        <w:spacing w:line="240" w:lineRule="auto"/>
        <w:ind w:left="360"/>
        <w:jc w:val="both"/>
        <w:rPr>
          <w:szCs w:val="22"/>
          <w:lang w:val="pt-PT"/>
        </w:rPr>
      </w:pPr>
      <w:r>
        <w:rPr>
          <w:szCs w:val="22"/>
          <w:lang w:val="pt-PT"/>
        </w:rPr>
        <w:t xml:space="preserve">Pagamento: </w:t>
      </w:r>
    </w:p>
    <w:p w14:paraId="7F30AC46" w14:textId="77777777" w:rsidR="00EF2125" w:rsidRPr="00D10844" w:rsidRDefault="00EF2125" w:rsidP="00EF2125">
      <w:pPr>
        <w:spacing w:line="240" w:lineRule="auto"/>
        <w:ind w:left="360"/>
        <w:jc w:val="both"/>
        <w:rPr>
          <w:szCs w:val="22"/>
          <w:lang w:val="pt-PT"/>
        </w:rPr>
      </w:pPr>
    </w:p>
    <w:p w14:paraId="094E03AD" w14:textId="691D7E56"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Outubro</w:t>
      </w:r>
      <w:r w:rsidRPr="00C21AA3">
        <w:rPr>
          <w:szCs w:val="22"/>
          <w:u w:val="single"/>
          <w:lang w:val="pt-PT"/>
        </w:rPr>
        <w:t xml:space="preserve"> 202</w:t>
      </w:r>
      <w:r>
        <w:rPr>
          <w:szCs w:val="22"/>
          <w:u w:val="single"/>
          <w:lang w:val="pt-PT"/>
        </w:rPr>
        <w:t>1</w:t>
      </w:r>
    </w:p>
    <w:p w14:paraId="10EFBC46" w14:textId="77777777"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 xml:space="preserve"> Plano de Comunicação e interação de CPO Final</w:t>
      </w:r>
      <w:r w:rsidRPr="00D10844">
        <w:rPr>
          <w:szCs w:val="22"/>
          <w:lang w:val="pt-PT"/>
        </w:rPr>
        <w:t>; 3)</w:t>
      </w:r>
      <w:r>
        <w:rPr>
          <w:szCs w:val="22"/>
          <w:lang w:val="pt-PT"/>
        </w:rPr>
        <w:t xml:space="preserve"> On-job training para secretariado</w:t>
      </w:r>
      <w:r w:rsidRPr="00D10844">
        <w:rPr>
          <w:szCs w:val="22"/>
          <w:lang w:val="pt-PT"/>
        </w:rPr>
        <w:t xml:space="preserve"> </w:t>
      </w:r>
    </w:p>
    <w:p w14:paraId="5816744A" w14:textId="77777777" w:rsidR="00EF2125" w:rsidRPr="00D10844" w:rsidRDefault="00EF2125" w:rsidP="00EF2125">
      <w:pPr>
        <w:spacing w:line="240" w:lineRule="auto"/>
        <w:ind w:left="360"/>
        <w:jc w:val="both"/>
        <w:rPr>
          <w:szCs w:val="22"/>
          <w:lang w:val="pt-PT"/>
        </w:rPr>
      </w:pPr>
      <w:r>
        <w:rPr>
          <w:szCs w:val="22"/>
          <w:lang w:val="pt-PT"/>
        </w:rPr>
        <w:t xml:space="preserve">Pagamento: </w:t>
      </w:r>
    </w:p>
    <w:p w14:paraId="707810D3" w14:textId="77777777" w:rsidR="00EF2125" w:rsidRPr="00D10844" w:rsidRDefault="00EF2125" w:rsidP="00EF2125">
      <w:pPr>
        <w:spacing w:line="240" w:lineRule="auto"/>
        <w:ind w:left="360"/>
        <w:jc w:val="both"/>
        <w:rPr>
          <w:szCs w:val="22"/>
          <w:lang w:val="pt-PT"/>
        </w:rPr>
      </w:pPr>
    </w:p>
    <w:p w14:paraId="492A559B"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Novembro</w:t>
      </w:r>
      <w:r w:rsidRPr="00C21AA3">
        <w:rPr>
          <w:szCs w:val="22"/>
          <w:u w:val="single"/>
          <w:lang w:val="pt-PT"/>
        </w:rPr>
        <w:t xml:space="preserve"> 202</w:t>
      </w:r>
      <w:r>
        <w:rPr>
          <w:szCs w:val="22"/>
          <w:u w:val="single"/>
          <w:lang w:val="pt-PT"/>
        </w:rPr>
        <w:t>1</w:t>
      </w:r>
      <w:r w:rsidRPr="00C21AA3">
        <w:rPr>
          <w:szCs w:val="22"/>
          <w:u w:val="single"/>
          <w:lang w:val="pt-PT"/>
        </w:rPr>
        <w:t xml:space="preserve"> </w:t>
      </w:r>
    </w:p>
    <w:p w14:paraId="7822E4F6" w14:textId="77777777" w:rsidR="00EF2125" w:rsidRDefault="00EF2125" w:rsidP="00EF2125">
      <w:pPr>
        <w:spacing w:line="240" w:lineRule="auto"/>
        <w:ind w:left="360"/>
        <w:jc w:val="both"/>
        <w:rPr>
          <w:szCs w:val="22"/>
          <w:lang w:val="pt-PT"/>
        </w:rPr>
      </w:pPr>
      <w:r w:rsidRPr="00D10844">
        <w:rPr>
          <w:szCs w:val="22"/>
          <w:lang w:val="pt-PT"/>
        </w:rPr>
        <w:t xml:space="preserve">Produto(s): 1) Relatório mensal de actividades; 2) </w:t>
      </w:r>
      <w:r>
        <w:rPr>
          <w:szCs w:val="22"/>
          <w:lang w:val="pt-PT"/>
        </w:rPr>
        <w:t>Apoio as sessão de consulta PESOE 2022.</w:t>
      </w:r>
      <w:r w:rsidRPr="00D10844">
        <w:rPr>
          <w:szCs w:val="22"/>
          <w:lang w:val="pt-PT"/>
        </w:rPr>
        <w:t xml:space="preserve">3) </w:t>
      </w:r>
      <w:r>
        <w:rPr>
          <w:szCs w:val="22"/>
          <w:lang w:val="pt-PT"/>
        </w:rPr>
        <w:t>On-job training</w:t>
      </w:r>
      <w:r w:rsidRPr="00D10844">
        <w:rPr>
          <w:szCs w:val="22"/>
          <w:lang w:val="pt-PT"/>
        </w:rPr>
        <w:t xml:space="preserve">4) Mecanismo de retorno (feedback)  monitorado e melhorado através da página da CPO </w:t>
      </w:r>
    </w:p>
    <w:p w14:paraId="6DB6A069" w14:textId="77777777" w:rsidR="00EF2125" w:rsidRDefault="00EF2125" w:rsidP="00EF2125">
      <w:pPr>
        <w:spacing w:line="240" w:lineRule="auto"/>
        <w:ind w:left="360"/>
        <w:jc w:val="both"/>
        <w:rPr>
          <w:szCs w:val="22"/>
          <w:lang w:val="pt-PT"/>
        </w:rPr>
      </w:pPr>
      <w:r>
        <w:rPr>
          <w:szCs w:val="22"/>
          <w:lang w:val="pt-PT"/>
        </w:rPr>
        <w:t xml:space="preserve">Pagamento: </w:t>
      </w:r>
    </w:p>
    <w:p w14:paraId="1234BD7B" w14:textId="77777777" w:rsidR="00EF2125" w:rsidRPr="00D10844" w:rsidRDefault="00EF2125" w:rsidP="00EF2125">
      <w:pPr>
        <w:spacing w:line="240" w:lineRule="auto"/>
        <w:ind w:left="360"/>
        <w:jc w:val="both"/>
        <w:rPr>
          <w:szCs w:val="22"/>
          <w:lang w:val="pt-PT"/>
        </w:rPr>
      </w:pPr>
    </w:p>
    <w:p w14:paraId="0C55C95D" w14:textId="77777777" w:rsidR="00EF2125" w:rsidRPr="00D10844" w:rsidRDefault="00EF2125" w:rsidP="00EF2125">
      <w:pPr>
        <w:spacing w:line="240" w:lineRule="auto"/>
        <w:ind w:left="360"/>
        <w:jc w:val="both"/>
        <w:rPr>
          <w:szCs w:val="22"/>
          <w:lang w:val="pt-PT"/>
        </w:rPr>
      </w:pPr>
    </w:p>
    <w:p w14:paraId="521AB8AB" w14:textId="1AE9B1A6"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Dezembro</w:t>
      </w:r>
      <w:r w:rsidRPr="00C21AA3">
        <w:rPr>
          <w:szCs w:val="22"/>
          <w:u w:val="single"/>
          <w:lang w:val="pt-PT"/>
        </w:rPr>
        <w:t xml:space="preserve"> 202</w:t>
      </w:r>
      <w:r>
        <w:rPr>
          <w:szCs w:val="22"/>
          <w:u w:val="single"/>
          <w:lang w:val="pt-PT"/>
        </w:rPr>
        <w:t>1</w:t>
      </w:r>
    </w:p>
    <w:p w14:paraId="662B67B0" w14:textId="6931EDBD"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 xml:space="preserve"> SWOT Communications and engagement plan</w:t>
      </w:r>
      <w:r w:rsidRPr="00D10844">
        <w:rPr>
          <w:szCs w:val="22"/>
          <w:lang w:val="pt-PT"/>
        </w:rPr>
        <w:t xml:space="preserve">; 3) </w:t>
      </w:r>
      <w:r>
        <w:rPr>
          <w:szCs w:val="22"/>
          <w:lang w:val="pt-PT"/>
        </w:rPr>
        <w:t>Revisão de pagina web de CPO</w:t>
      </w:r>
    </w:p>
    <w:p w14:paraId="2A35B689" w14:textId="77777777" w:rsidR="00EF2125" w:rsidRDefault="00EF2125" w:rsidP="00EF2125">
      <w:pPr>
        <w:spacing w:line="240" w:lineRule="auto"/>
        <w:ind w:left="360"/>
        <w:jc w:val="both"/>
        <w:rPr>
          <w:szCs w:val="22"/>
          <w:lang w:val="pt-PT"/>
        </w:rPr>
      </w:pPr>
      <w:r>
        <w:rPr>
          <w:szCs w:val="22"/>
          <w:lang w:val="pt-PT"/>
        </w:rPr>
        <w:t xml:space="preserve">Pagamento: </w:t>
      </w:r>
    </w:p>
    <w:p w14:paraId="69A87950" w14:textId="77777777" w:rsidR="00EF2125" w:rsidRDefault="00EF2125" w:rsidP="00EF2125">
      <w:pPr>
        <w:spacing w:line="240" w:lineRule="auto"/>
        <w:ind w:left="360"/>
        <w:jc w:val="both"/>
        <w:rPr>
          <w:szCs w:val="22"/>
          <w:lang w:val="pt-PT"/>
        </w:rPr>
      </w:pPr>
    </w:p>
    <w:p w14:paraId="7F42E034"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Janeiro</w:t>
      </w:r>
      <w:r w:rsidRPr="00C21AA3">
        <w:rPr>
          <w:szCs w:val="22"/>
          <w:u w:val="single"/>
          <w:lang w:val="pt-PT"/>
        </w:rPr>
        <w:t xml:space="preserve"> 202</w:t>
      </w:r>
      <w:r>
        <w:rPr>
          <w:szCs w:val="22"/>
          <w:u w:val="single"/>
          <w:lang w:val="pt-PT"/>
        </w:rPr>
        <w:t>2</w:t>
      </w:r>
    </w:p>
    <w:p w14:paraId="43A02B8B" w14:textId="77777777" w:rsidR="00EF2125"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Plano anual de comunicação e consulta (OBS)</w:t>
      </w:r>
      <w:r w:rsidRPr="00D10844">
        <w:rPr>
          <w:szCs w:val="22"/>
          <w:lang w:val="pt-PT"/>
        </w:rPr>
        <w:t xml:space="preserve">; 3) Relatórios de monitoria do acesso à página da CPO através do Google Analytics; </w:t>
      </w:r>
    </w:p>
    <w:p w14:paraId="72B348B0" w14:textId="77777777" w:rsidR="00EF2125" w:rsidRPr="00D10844" w:rsidRDefault="00EF2125" w:rsidP="00EF2125">
      <w:pPr>
        <w:spacing w:line="240" w:lineRule="auto"/>
        <w:ind w:left="360"/>
        <w:jc w:val="both"/>
        <w:rPr>
          <w:szCs w:val="22"/>
          <w:lang w:val="pt-PT"/>
        </w:rPr>
      </w:pPr>
      <w:r>
        <w:rPr>
          <w:szCs w:val="22"/>
          <w:lang w:val="pt-PT"/>
        </w:rPr>
        <w:t xml:space="preserve">Pagamento: </w:t>
      </w:r>
    </w:p>
    <w:p w14:paraId="62F875EE" w14:textId="77777777" w:rsidR="00EF2125" w:rsidRPr="00D10844" w:rsidRDefault="00EF2125" w:rsidP="00EF2125">
      <w:pPr>
        <w:spacing w:line="240" w:lineRule="auto"/>
        <w:jc w:val="both"/>
        <w:rPr>
          <w:szCs w:val="22"/>
          <w:lang w:val="pt-PT"/>
        </w:rPr>
      </w:pPr>
    </w:p>
    <w:p w14:paraId="70D11E2C"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Fevereiro</w:t>
      </w:r>
      <w:r w:rsidRPr="00C21AA3">
        <w:rPr>
          <w:szCs w:val="22"/>
          <w:u w:val="single"/>
          <w:lang w:val="pt-PT"/>
        </w:rPr>
        <w:t>202</w:t>
      </w:r>
      <w:r>
        <w:rPr>
          <w:szCs w:val="22"/>
          <w:u w:val="single"/>
          <w:lang w:val="pt-PT"/>
        </w:rPr>
        <w:t>2</w:t>
      </w:r>
    </w:p>
    <w:p w14:paraId="217F81B6" w14:textId="158240B6" w:rsidR="00EF2125" w:rsidRPr="008A4A1A" w:rsidRDefault="00EF2125" w:rsidP="00EF2125">
      <w:pPr>
        <w:spacing w:line="240" w:lineRule="auto"/>
        <w:ind w:left="360"/>
        <w:jc w:val="both"/>
        <w:rPr>
          <w:szCs w:val="22"/>
          <w:lang w:val="pt-PT"/>
        </w:rPr>
      </w:pPr>
      <w:r w:rsidRPr="00D10844">
        <w:rPr>
          <w:szCs w:val="22"/>
          <w:lang w:val="pt-PT"/>
        </w:rPr>
        <w:t>Produto(s): 1) Relatório mensal de actividades; 2)</w:t>
      </w:r>
      <w:r>
        <w:rPr>
          <w:szCs w:val="22"/>
          <w:lang w:val="pt-PT"/>
        </w:rPr>
        <w:t xml:space="preserve"> Apoio preparação de sessões de consulta (BdPES, REO, CGE)</w:t>
      </w:r>
      <w:r w:rsidRPr="00D10844">
        <w:rPr>
          <w:szCs w:val="22"/>
          <w:lang w:val="pt-PT"/>
        </w:rPr>
        <w:t xml:space="preserve">; </w:t>
      </w:r>
      <w:r>
        <w:rPr>
          <w:szCs w:val="22"/>
          <w:lang w:val="pt-PT"/>
        </w:rPr>
        <w:t>4</w:t>
      </w:r>
      <w:r w:rsidRPr="00D10844">
        <w:rPr>
          <w:szCs w:val="22"/>
          <w:lang w:val="pt-PT"/>
        </w:rPr>
        <w:t xml:space="preserve">); </w:t>
      </w:r>
      <w:r w:rsidRPr="008A4A1A">
        <w:rPr>
          <w:szCs w:val="22"/>
          <w:lang w:val="pt-PT"/>
        </w:rPr>
        <w:t>On job training de secretariado.</w:t>
      </w:r>
    </w:p>
    <w:p w14:paraId="339FE32F" w14:textId="77777777" w:rsidR="00EF2125" w:rsidRPr="008A4A1A" w:rsidRDefault="00EF2125" w:rsidP="00EF2125">
      <w:pPr>
        <w:spacing w:line="240" w:lineRule="auto"/>
        <w:ind w:left="360"/>
        <w:jc w:val="both"/>
        <w:rPr>
          <w:szCs w:val="22"/>
          <w:lang w:val="pt-PT"/>
        </w:rPr>
      </w:pPr>
    </w:p>
    <w:p w14:paraId="17DB412B" w14:textId="77777777"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05 </w:t>
      </w:r>
      <w:r>
        <w:rPr>
          <w:szCs w:val="22"/>
          <w:u w:val="single"/>
          <w:lang w:val="pt-PT"/>
        </w:rPr>
        <w:t>Marco</w:t>
      </w:r>
      <w:r w:rsidRPr="00C21AA3">
        <w:rPr>
          <w:szCs w:val="22"/>
          <w:u w:val="single"/>
          <w:lang w:val="pt-PT"/>
        </w:rPr>
        <w:t xml:space="preserve"> 202</w:t>
      </w:r>
      <w:r>
        <w:rPr>
          <w:szCs w:val="22"/>
          <w:u w:val="single"/>
          <w:lang w:val="pt-PT"/>
        </w:rPr>
        <w:t>2</w:t>
      </w:r>
    </w:p>
    <w:p w14:paraId="515FBFD9" w14:textId="4185A9F3" w:rsidR="00EF2125" w:rsidRDefault="00EF2125" w:rsidP="00EF2125">
      <w:pPr>
        <w:spacing w:line="240" w:lineRule="auto"/>
        <w:ind w:left="360"/>
        <w:jc w:val="both"/>
        <w:rPr>
          <w:szCs w:val="22"/>
          <w:lang w:val="pt-PT"/>
        </w:rPr>
      </w:pPr>
      <w:r w:rsidRPr="00D10844">
        <w:rPr>
          <w:szCs w:val="22"/>
          <w:lang w:val="pt-PT"/>
        </w:rPr>
        <w:t xml:space="preserve">Produto(s): 1) Relatório mensal de actividades; 2) </w:t>
      </w:r>
      <w:r>
        <w:rPr>
          <w:szCs w:val="22"/>
          <w:lang w:val="pt-PT"/>
        </w:rPr>
        <w:t xml:space="preserve">Coordenação de Sessão sobre OBS 3) </w:t>
      </w:r>
      <w:r w:rsidRPr="00D10844">
        <w:rPr>
          <w:szCs w:val="22"/>
          <w:lang w:val="pt-PT"/>
        </w:rPr>
        <w:t xml:space="preserve">Partilha de informação-chave na plataforma web da CPO; </w:t>
      </w:r>
      <w:r>
        <w:rPr>
          <w:szCs w:val="22"/>
          <w:lang w:val="pt-PT"/>
        </w:rPr>
        <w:t>4</w:t>
      </w:r>
      <w:r w:rsidRPr="00D10844">
        <w:rPr>
          <w:szCs w:val="22"/>
          <w:lang w:val="pt-PT"/>
        </w:rPr>
        <w:t>) Coordenação de oficinas de analises orçamental com enfoque especial a Criança.</w:t>
      </w:r>
    </w:p>
    <w:p w14:paraId="614FCEA2" w14:textId="77777777" w:rsidR="00EF2125" w:rsidRPr="00D10844" w:rsidRDefault="00EF2125" w:rsidP="00EF2125">
      <w:pPr>
        <w:spacing w:line="240" w:lineRule="auto"/>
        <w:ind w:left="360"/>
        <w:jc w:val="both"/>
        <w:rPr>
          <w:szCs w:val="22"/>
          <w:lang w:val="pt-PT"/>
        </w:rPr>
      </w:pPr>
      <w:r>
        <w:rPr>
          <w:szCs w:val="22"/>
          <w:lang w:val="pt-PT"/>
        </w:rPr>
        <w:t xml:space="preserve">Pagamento: </w:t>
      </w:r>
    </w:p>
    <w:p w14:paraId="4DB6FEC8" w14:textId="77777777" w:rsidR="00EF2125" w:rsidRPr="00D10844" w:rsidRDefault="00EF2125" w:rsidP="00EF2125">
      <w:pPr>
        <w:spacing w:line="240" w:lineRule="auto"/>
        <w:ind w:left="360"/>
        <w:jc w:val="both"/>
        <w:rPr>
          <w:szCs w:val="22"/>
          <w:lang w:val="pt-PT"/>
        </w:rPr>
      </w:pPr>
    </w:p>
    <w:p w14:paraId="00592802" w14:textId="3A6798EE" w:rsidR="00EF2125" w:rsidRPr="00C21AA3" w:rsidRDefault="00EF2125" w:rsidP="00EF2125">
      <w:pPr>
        <w:spacing w:line="240" w:lineRule="auto"/>
        <w:ind w:left="360"/>
        <w:jc w:val="both"/>
        <w:rPr>
          <w:szCs w:val="22"/>
          <w:u w:val="single"/>
          <w:lang w:val="pt-PT"/>
        </w:rPr>
      </w:pPr>
      <w:r w:rsidRPr="00C21AA3">
        <w:rPr>
          <w:szCs w:val="22"/>
          <w:u w:val="single"/>
          <w:lang w:val="pt-PT"/>
        </w:rPr>
        <w:t xml:space="preserve">Prazo de entrega: 5 </w:t>
      </w:r>
      <w:r>
        <w:rPr>
          <w:szCs w:val="22"/>
          <w:u w:val="single"/>
          <w:lang w:val="pt-PT"/>
        </w:rPr>
        <w:t>Abril</w:t>
      </w:r>
      <w:r w:rsidRPr="00C21AA3">
        <w:rPr>
          <w:szCs w:val="22"/>
          <w:u w:val="single"/>
          <w:lang w:val="pt-PT"/>
        </w:rPr>
        <w:t xml:space="preserve"> 202</w:t>
      </w:r>
      <w:r>
        <w:rPr>
          <w:szCs w:val="22"/>
          <w:u w:val="single"/>
          <w:lang w:val="pt-PT"/>
        </w:rPr>
        <w:t>2</w:t>
      </w:r>
    </w:p>
    <w:p w14:paraId="77609709" w14:textId="7578E5C1" w:rsidR="00EF2125" w:rsidRDefault="00EF2125" w:rsidP="00EF2125">
      <w:pPr>
        <w:spacing w:line="240" w:lineRule="auto"/>
        <w:ind w:left="360"/>
        <w:jc w:val="both"/>
        <w:rPr>
          <w:szCs w:val="22"/>
          <w:lang w:val="pt-PT"/>
        </w:rPr>
      </w:pPr>
      <w:r w:rsidRPr="00AA5745">
        <w:rPr>
          <w:szCs w:val="22"/>
          <w:lang w:val="pt-PT"/>
        </w:rPr>
        <w:t xml:space="preserve">Productos: </w:t>
      </w:r>
      <w:r>
        <w:rPr>
          <w:szCs w:val="22"/>
          <w:lang w:val="pt-PT"/>
        </w:rPr>
        <w:t>1)</w:t>
      </w:r>
      <w:r w:rsidRPr="00C21AA3">
        <w:rPr>
          <w:szCs w:val="22"/>
          <w:lang w:val="pt-PT"/>
        </w:rPr>
        <w:t xml:space="preserve"> Relatório final da consultoria com plano de continuação do trabalho pelo staff da CPO</w:t>
      </w:r>
    </w:p>
    <w:p w14:paraId="4F8F2AF5" w14:textId="77777777" w:rsidR="00EF2125" w:rsidRPr="00C21AA3" w:rsidRDefault="00EF2125" w:rsidP="00EF2125">
      <w:pPr>
        <w:spacing w:line="240" w:lineRule="auto"/>
        <w:ind w:left="360"/>
        <w:jc w:val="both"/>
        <w:rPr>
          <w:szCs w:val="22"/>
          <w:lang w:val="pt-PT"/>
        </w:rPr>
      </w:pPr>
      <w:r>
        <w:rPr>
          <w:szCs w:val="22"/>
          <w:lang w:val="pt-PT"/>
        </w:rPr>
        <w:t xml:space="preserve">Pagamento: </w:t>
      </w:r>
    </w:p>
    <w:p w14:paraId="426FD671" w14:textId="77777777" w:rsidR="00EF2125" w:rsidRPr="00C21AA3" w:rsidRDefault="00EF2125" w:rsidP="00EF2125">
      <w:pPr>
        <w:pStyle w:val="ListParagraph"/>
        <w:spacing w:line="240" w:lineRule="auto"/>
        <w:jc w:val="both"/>
        <w:rPr>
          <w:szCs w:val="22"/>
          <w:lang w:val="pt-PT"/>
        </w:rPr>
      </w:pPr>
    </w:p>
    <w:p w14:paraId="578273EF" w14:textId="77777777" w:rsidR="00EF2125" w:rsidRPr="00D10844" w:rsidRDefault="00EF2125" w:rsidP="00EF2125">
      <w:pPr>
        <w:spacing w:line="240" w:lineRule="auto"/>
        <w:ind w:left="426"/>
        <w:jc w:val="both"/>
        <w:rPr>
          <w:szCs w:val="22"/>
          <w:lang w:val="pt-PT"/>
        </w:rPr>
      </w:pPr>
    </w:p>
    <w:p w14:paraId="42A66B38" w14:textId="77777777" w:rsidR="00EF2125" w:rsidRPr="00C21AA3" w:rsidRDefault="00EF2125" w:rsidP="00EF2125">
      <w:pPr>
        <w:spacing w:line="240" w:lineRule="auto"/>
        <w:ind w:left="426"/>
        <w:jc w:val="both"/>
        <w:rPr>
          <w:szCs w:val="22"/>
          <w:lang w:val="pt-PT"/>
        </w:rPr>
      </w:pPr>
    </w:p>
    <w:p w14:paraId="056C238E" w14:textId="77777777" w:rsidR="00EF2125" w:rsidRPr="00C21AA3" w:rsidRDefault="00EF2125" w:rsidP="00EF2125">
      <w:pPr>
        <w:spacing w:line="240" w:lineRule="auto"/>
        <w:ind w:left="426"/>
        <w:jc w:val="both"/>
        <w:rPr>
          <w:szCs w:val="22"/>
          <w:lang w:val="pt-PT"/>
        </w:rPr>
      </w:pPr>
    </w:p>
    <w:p w14:paraId="209CBAC1" w14:textId="77777777" w:rsidR="00EF2125" w:rsidRDefault="00EF2125" w:rsidP="00EF2125">
      <w:pPr>
        <w:numPr>
          <w:ilvl w:val="0"/>
          <w:numId w:val="25"/>
        </w:numPr>
        <w:spacing w:line="240" w:lineRule="auto"/>
        <w:jc w:val="both"/>
        <w:rPr>
          <w:i/>
          <w:color w:val="7F7F7F" w:themeColor="text1" w:themeTint="80"/>
          <w:szCs w:val="22"/>
          <w:lang w:val="pt-PT"/>
        </w:rPr>
      </w:pPr>
      <w:r w:rsidRPr="00A86E41">
        <w:rPr>
          <w:b/>
          <w:szCs w:val="22"/>
          <w:u w:val="single"/>
          <w:lang w:val="pt-PT"/>
        </w:rPr>
        <w:t xml:space="preserve">Management and Supervision: </w:t>
      </w:r>
      <w:r w:rsidRPr="00A86E41">
        <w:rPr>
          <w:lang w:val="pt-PT"/>
        </w:rPr>
        <w:t xml:space="preserve"> </w:t>
      </w:r>
    </w:p>
    <w:p w14:paraId="37B5527C" w14:textId="77777777" w:rsidR="00EF2125" w:rsidRDefault="00EF2125" w:rsidP="00EF2125">
      <w:pPr>
        <w:spacing w:line="240" w:lineRule="auto"/>
        <w:jc w:val="both"/>
        <w:rPr>
          <w:color w:val="000000" w:themeColor="text1"/>
          <w:szCs w:val="22"/>
          <w:lang w:val="pt-PT"/>
        </w:rPr>
      </w:pPr>
      <w:r w:rsidRPr="005C1C2E">
        <w:rPr>
          <w:color w:val="000000" w:themeColor="text1"/>
          <w:szCs w:val="22"/>
          <w:lang w:val="pt-PT"/>
        </w:rPr>
        <w:t>Orientação e Supervisão serão fornecidos pelo Especialista</w:t>
      </w:r>
      <w:r>
        <w:rPr>
          <w:color w:val="000000" w:themeColor="text1"/>
          <w:szCs w:val="22"/>
          <w:lang w:val="pt-PT"/>
        </w:rPr>
        <w:t>/Official</w:t>
      </w:r>
      <w:r w:rsidRPr="005C1C2E">
        <w:rPr>
          <w:color w:val="000000" w:themeColor="text1"/>
          <w:szCs w:val="22"/>
          <w:lang w:val="pt-PT"/>
        </w:rPr>
        <w:t xml:space="preserve"> de Políticas Sociais. A consultoria iniciará em </w:t>
      </w:r>
      <w:r>
        <w:rPr>
          <w:color w:val="000000" w:themeColor="text1"/>
          <w:szCs w:val="22"/>
          <w:lang w:val="pt-PT"/>
        </w:rPr>
        <w:t>5</w:t>
      </w:r>
      <w:r w:rsidRPr="005C1C2E">
        <w:rPr>
          <w:color w:val="000000" w:themeColor="text1"/>
          <w:szCs w:val="22"/>
          <w:lang w:val="pt-PT"/>
        </w:rPr>
        <w:t xml:space="preserve"> de </w:t>
      </w:r>
      <w:r>
        <w:rPr>
          <w:color w:val="000000" w:themeColor="text1"/>
          <w:szCs w:val="22"/>
          <w:lang w:val="pt-PT"/>
        </w:rPr>
        <w:t>Maio</w:t>
      </w:r>
      <w:r w:rsidRPr="005C1C2E">
        <w:rPr>
          <w:color w:val="000000" w:themeColor="text1"/>
          <w:szCs w:val="22"/>
          <w:lang w:val="pt-PT"/>
        </w:rPr>
        <w:t xml:space="preserve"> de 202</w:t>
      </w:r>
      <w:r>
        <w:rPr>
          <w:color w:val="000000" w:themeColor="text1"/>
          <w:szCs w:val="22"/>
          <w:lang w:val="pt-PT"/>
        </w:rPr>
        <w:t>1</w:t>
      </w:r>
      <w:r w:rsidRPr="005C1C2E">
        <w:rPr>
          <w:color w:val="000000" w:themeColor="text1"/>
          <w:szCs w:val="22"/>
          <w:lang w:val="pt-PT"/>
        </w:rPr>
        <w:t xml:space="preserve"> e terminará em </w:t>
      </w:r>
      <w:r>
        <w:rPr>
          <w:color w:val="000000" w:themeColor="text1"/>
          <w:szCs w:val="22"/>
          <w:lang w:val="pt-PT"/>
        </w:rPr>
        <w:t>5</w:t>
      </w:r>
      <w:r w:rsidRPr="005C1C2E">
        <w:rPr>
          <w:color w:val="000000" w:themeColor="text1"/>
          <w:szCs w:val="22"/>
          <w:lang w:val="pt-PT"/>
        </w:rPr>
        <w:t xml:space="preserve"> d</w:t>
      </w:r>
      <w:r>
        <w:rPr>
          <w:color w:val="000000" w:themeColor="text1"/>
          <w:szCs w:val="22"/>
          <w:lang w:val="pt-PT"/>
        </w:rPr>
        <w:t>e Avril</w:t>
      </w:r>
      <w:r w:rsidRPr="005C1C2E">
        <w:rPr>
          <w:color w:val="000000" w:themeColor="text1"/>
          <w:szCs w:val="22"/>
          <w:lang w:val="pt-PT"/>
        </w:rPr>
        <w:t xml:space="preserve"> 202</w:t>
      </w:r>
      <w:r>
        <w:rPr>
          <w:color w:val="000000" w:themeColor="text1"/>
          <w:szCs w:val="22"/>
          <w:lang w:val="pt-PT"/>
        </w:rPr>
        <w:t>2</w:t>
      </w:r>
      <w:r w:rsidRPr="005C1C2E">
        <w:rPr>
          <w:color w:val="000000" w:themeColor="text1"/>
          <w:szCs w:val="22"/>
          <w:lang w:val="pt-PT"/>
        </w:rPr>
        <w:t>.</w:t>
      </w:r>
    </w:p>
    <w:p w14:paraId="422A26C1" w14:textId="77777777" w:rsidR="00EF2125" w:rsidRPr="005C1C2E" w:rsidRDefault="00EF2125" w:rsidP="00EF2125">
      <w:pPr>
        <w:spacing w:line="240" w:lineRule="auto"/>
        <w:jc w:val="both"/>
        <w:rPr>
          <w:i/>
          <w:color w:val="7F7F7F" w:themeColor="text1" w:themeTint="80"/>
          <w:szCs w:val="22"/>
          <w:lang w:val="pt-PT"/>
        </w:rPr>
      </w:pPr>
    </w:p>
    <w:p w14:paraId="661D8D6E" w14:textId="77777777" w:rsidR="00EF2125" w:rsidRPr="00C21AA3" w:rsidRDefault="00EF2125" w:rsidP="00EF2125">
      <w:pPr>
        <w:spacing w:line="240" w:lineRule="auto"/>
        <w:jc w:val="both"/>
        <w:rPr>
          <w:b/>
          <w:szCs w:val="22"/>
          <w:u w:val="single"/>
          <w:lang w:val="pt-PT"/>
        </w:rPr>
      </w:pPr>
      <w:r w:rsidRPr="00C21AA3">
        <w:rPr>
          <w:b/>
          <w:szCs w:val="22"/>
          <w:u w:val="single"/>
          <w:lang w:val="pt-PT"/>
        </w:rPr>
        <w:t xml:space="preserve">Qualifications and Specialized Knowledge: </w:t>
      </w:r>
    </w:p>
    <w:p w14:paraId="16C7B491" w14:textId="77777777" w:rsidR="00EF2125" w:rsidRPr="00C21AA3" w:rsidRDefault="00EF2125" w:rsidP="00EF2125">
      <w:pPr>
        <w:spacing w:line="240" w:lineRule="auto"/>
        <w:jc w:val="both"/>
        <w:rPr>
          <w:b/>
          <w:szCs w:val="22"/>
          <w:u w:val="single"/>
          <w:lang w:val="pt-PT"/>
        </w:rPr>
      </w:pPr>
    </w:p>
    <w:p w14:paraId="0666DEF8" w14:textId="77777777"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 xml:space="preserve">Habilitações Académicas: </w:t>
      </w:r>
    </w:p>
    <w:p w14:paraId="33847DBA" w14:textId="77777777" w:rsidR="00EF2125" w:rsidRDefault="00EF2125" w:rsidP="00EF2125">
      <w:pPr>
        <w:spacing w:line="240" w:lineRule="auto"/>
        <w:rPr>
          <w:rFonts w:cs="Calibri"/>
          <w:color w:val="000000" w:themeColor="text1"/>
          <w:sz w:val="24"/>
          <w:szCs w:val="24"/>
          <w:lang w:val="pt-PT"/>
        </w:rPr>
      </w:pPr>
    </w:p>
    <w:p w14:paraId="7CD813CC" w14:textId="6680E585" w:rsidR="00EF2125" w:rsidRPr="00D10844"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Licenciatura em Ciências Sociais</w:t>
      </w:r>
      <w:r>
        <w:rPr>
          <w:rFonts w:cs="Calibri"/>
          <w:color w:val="000000" w:themeColor="text1"/>
          <w:sz w:val="24"/>
          <w:szCs w:val="24"/>
          <w:lang w:val="pt-PT"/>
        </w:rPr>
        <w:t>, politicas publicas e comunicação</w:t>
      </w:r>
      <w:r w:rsidRPr="00D10844">
        <w:rPr>
          <w:rFonts w:cs="Calibri"/>
          <w:color w:val="000000" w:themeColor="text1"/>
          <w:sz w:val="24"/>
          <w:szCs w:val="24"/>
          <w:lang w:val="pt-PT"/>
        </w:rPr>
        <w:t xml:space="preserve"> outras áreas relevantes.</w:t>
      </w:r>
    </w:p>
    <w:p w14:paraId="087C610A" w14:textId="77777777" w:rsidR="00EF2125" w:rsidRPr="00D10844" w:rsidRDefault="00EF2125" w:rsidP="00EF2125">
      <w:pPr>
        <w:spacing w:line="240" w:lineRule="auto"/>
        <w:ind w:left="426"/>
        <w:rPr>
          <w:rFonts w:cs="Calibri"/>
          <w:color w:val="000000" w:themeColor="text1"/>
          <w:sz w:val="24"/>
          <w:szCs w:val="24"/>
          <w:lang w:val="pt-PT"/>
        </w:rPr>
      </w:pPr>
    </w:p>
    <w:p w14:paraId="26A36DB6" w14:textId="041BFB3F" w:rsidR="00EF2125" w:rsidRPr="00D10844"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Experiência de trabalho: Pelo menos 3 anos de experiência profissional nas áreas de ciências sociais, administração pública, ciências políticas, governação, desenvolvimento, comunicação social, jornalismo ou áreas afins.</w:t>
      </w:r>
    </w:p>
    <w:p w14:paraId="66B4B7FB" w14:textId="77777777" w:rsidR="00EF2125" w:rsidRDefault="00EF2125" w:rsidP="00EF2125">
      <w:pPr>
        <w:spacing w:line="240" w:lineRule="auto"/>
        <w:rPr>
          <w:rFonts w:cs="Calibri"/>
          <w:color w:val="000000" w:themeColor="text1"/>
          <w:lang w:val="pt-PT"/>
        </w:rPr>
      </w:pPr>
    </w:p>
    <w:p w14:paraId="3E03025C" w14:textId="77777777" w:rsidR="00EF2125" w:rsidRPr="00D10844" w:rsidRDefault="00EF2125" w:rsidP="00EF2125">
      <w:pPr>
        <w:spacing w:line="240" w:lineRule="auto"/>
        <w:rPr>
          <w:rFonts w:cs="Calibri"/>
          <w:color w:val="000000" w:themeColor="text1"/>
          <w:lang w:val="pt-PT"/>
        </w:rPr>
      </w:pPr>
      <w:r w:rsidRPr="00D10844">
        <w:rPr>
          <w:rFonts w:cs="Calibri"/>
          <w:color w:val="000000" w:themeColor="text1"/>
          <w:lang w:val="pt-PT"/>
        </w:rPr>
        <w:t>Conhecimentos, competências e habilidades requeridas:</w:t>
      </w:r>
    </w:p>
    <w:p w14:paraId="147E45A9" w14:textId="77777777" w:rsidR="00EF2125" w:rsidRDefault="00EF2125" w:rsidP="00EF2125">
      <w:pPr>
        <w:spacing w:line="240" w:lineRule="auto"/>
        <w:rPr>
          <w:rFonts w:cs="Calibri"/>
          <w:color w:val="000000" w:themeColor="text1"/>
          <w:lang w:val="pt-PT"/>
        </w:rPr>
      </w:pPr>
    </w:p>
    <w:p w14:paraId="4B432DC0" w14:textId="77777777" w:rsidR="00EF2125" w:rsidRPr="00D10844" w:rsidRDefault="00EF2125" w:rsidP="00EF2125">
      <w:pPr>
        <w:spacing w:line="240" w:lineRule="auto"/>
        <w:rPr>
          <w:rFonts w:cs="Calibri"/>
          <w:color w:val="000000" w:themeColor="text1"/>
          <w:lang w:val="pt-PT"/>
        </w:rPr>
      </w:pPr>
      <w:r w:rsidRPr="00D10844">
        <w:rPr>
          <w:rFonts w:cs="Calibri"/>
          <w:color w:val="000000" w:themeColor="text1"/>
          <w:lang w:val="pt-PT"/>
        </w:rPr>
        <w:t xml:space="preserve">Excelente habilidade de escrita e a capacidade de apresentar informações em uma linguagem simples, mas poderosa </w:t>
      </w:r>
    </w:p>
    <w:p w14:paraId="6B3EF1EB" w14:textId="77777777" w:rsidR="00EF2125" w:rsidRDefault="00EF2125" w:rsidP="00EF2125">
      <w:pPr>
        <w:spacing w:line="240" w:lineRule="auto"/>
        <w:rPr>
          <w:rFonts w:cs="Calibri"/>
          <w:color w:val="000000" w:themeColor="text1"/>
          <w:sz w:val="24"/>
          <w:szCs w:val="24"/>
          <w:lang w:val="pt-PT"/>
        </w:rPr>
      </w:pPr>
    </w:p>
    <w:p w14:paraId="68D3B609" w14:textId="77777777" w:rsidR="00EF2125" w:rsidRPr="00D10844"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Capacidade de ou alto desejo de aprender a usar novas tecnologias de mídia (adequada e eficaz utilização dos meios de comunicação social para alcance dos cidadãos)</w:t>
      </w:r>
    </w:p>
    <w:p w14:paraId="1CFB663E" w14:textId="77777777" w:rsidR="00EF2125" w:rsidRDefault="00EF2125" w:rsidP="00EF2125">
      <w:pPr>
        <w:spacing w:line="240" w:lineRule="auto"/>
        <w:ind w:left="1080"/>
        <w:rPr>
          <w:rFonts w:cs="Calibri"/>
          <w:color w:val="000000" w:themeColor="text1"/>
          <w:sz w:val="24"/>
          <w:szCs w:val="24"/>
          <w:lang w:val="pt-PT"/>
        </w:rPr>
      </w:pPr>
    </w:p>
    <w:p w14:paraId="738E0C5F" w14:textId="0E993AAB"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Fortes habilidades de organização, proactividade e habilidades interpessoais</w:t>
      </w:r>
    </w:p>
    <w:p w14:paraId="276C61DA" w14:textId="77777777" w:rsidR="00EF2125" w:rsidRPr="00D10844" w:rsidRDefault="00EF2125" w:rsidP="00EF2125">
      <w:pPr>
        <w:spacing w:line="240" w:lineRule="auto"/>
        <w:rPr>
          <w:rFonts w:cs="Calibri"/>
          <w:color w:val="000000" w:themeColor="text1"/>
          <w:sz w:val="24"/>
          <w:szCs w:val="24"/>
          <w:lang w:val="pt-PT"/>
        </w:rPr>
      </w:pPr>
    </w:p>
    <w:p w14:paraId="2B7D8D07" w14:textId="03F2B6B9"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 xml:space="preserve">Forte motivação, dinamismo e capacidade de bom desempenho mesmo com prazos curtos </w:t>
      </w:r>
    </w:p>
    <w:p w14:paraId="11589879" w14:textId="77777777" w:rsidR="00EF2125" w:rsidRPr="00D10844" w:rsidRDefault="00EF2125" w:rsidP="00EF2125">
      <w:pPr>
        <w:spacing w:line="240" w:lineRule="auto"/>
        <w:rPr>
          <w:rFonts w:cs="Calibri"/>
          <w:color w:val="000000" w:themeColor="text1"/>
          <w:sz w:val="24"/>
          <w:szCs w:val="24"/>
          <w:lang w:val="pt-PT"/>
        </w:rPr>
      </w:pPr>
    </w:p>
    <w:p w14:paraId="0A980A68" w14:textId="3A574E54"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Sensibilidade às dinâmicas partidárias em Moçambique e capacidade de trabalhar diplomaticamente e em neutralidade</w:t>
      </w:r>
    </w:p>
    <w:p w14:paraId="4264BC77" w14:textId="77777777" w:rsidR="00EF2125" w:rsidRPr="00D10844" w:rsidRDefault="00EF2125" w:rsidP="00EF2125">
      <w:pPr>
        <w:spacing w:line="240" w:lineRule="auto"/>
        <w:rPr>
          <w:rFonts w:cs="Calibri"/>
          <w:color w:val="000000" w:themeColor="text1"/>
          <w:sz w:val="24"/>
          <w:szCs w:val="24"/>
          <w:lang w:val="pt-PT"/>
        </w:rPr>
      </w:pPr>
    </w:p>
    <w:p w14:paraId="05D3E87D" w14:textId="2D9EF3CE"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Habilidade de viajar para as províncias, conforme necessário</w:t>
      </w:r>
    </w:p>
    <w:p w14:paraId="45FBDFC1" w14:textId="77777777" w:rsidR="00EF2125" w:rsidRPr="00D10844" w:rsidRDefault="00EF2125" w:rsidP="00EF2125">
      <w:pPr>
        <w:spacing w:line="240" w:lineRule="auto"/>
        <w:rPr>
          <w:rFonts w:cs="Calibri"/>
          <w:color w:val="000000" w:themeColor="text1"/>
          <w:sz w:val="24"/>
          <w:szCs w:val="24"/>
          <w:lang w:val="pt-PT"/>
        </w:rPr>
      </w:pPr>
    </w:p>
    <w:p w14:paraId="2D8AB96F" w14:textId="6AC3D89C"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Capacidade de construir bons relacionamentos e trabalhar num ambiente multicultural</w:t>
      </w:r>
    </w:p>
    <w:p w14:paraId="7659CF48" w14:textId="77777777" w:rsidR="00EF2125" w:rsidRPr="00D10844" w:rsidRDefault="00EF2125" w:rsidP="00EF2125">
      <w:pPr>
        <w:spacing w:line="240" w:lineRule="auto"/>
        <w:rPr>
          <w:rFonts w:cs="Calibri"/>
          <w:color w:val="000000" w:themeColor="text1"/>
          <w:sz w:val="24"/>
          <w:szCs w:val="24"/>
          <w:lang w:val="pt-PT"/>
        </w:rPr>
      </w:pPr>
    </w:p>
    <w:p w14:paraId="3DF8AFBD" w14:textId="71DB1DD6"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Conhecimento ou experiência nas áreas de planificação e orçamentação em Moçambique é uma vantagem</w:t>
      </w:r>
    </w:p>
    <w:p w14:paraId="7E1481FD" w14:textId="77777777" w:rsidR="00EF2125" w:rsidRPr="00D10844" w:rsidRDefault="00EF2125" w:rsidP="00EF2125">
      <w:pPr>
        <w:spacing w:line="240" w:lineRule="auto"/>
        <w:rPr>
          <w:rFonts w:cs="Calibri"/>
          <w:color w:val="000000" w:themeColor="text1"/>
          <w:sz w:val="24"/>
          <w:szCs w:val="24"/>
          <w:lang w:val="pt-PT"/>
        </w:rPr>
      </w:pPr>
    </w:p>
    <w:p w14:paraId="087ACC64" w14:textId="73CBD2CC" w:rsidR="00EF2125"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Experiência em fazer semelhante tipo de trabalho com parlamento é uma grande vantagem.</w:t>
      </w:r>
    </w:p>
    <w:p w14:paraId="6D62E11B" w14:textId="77777777" w:rsidR="00EF2125" w:rsidRPr="00D10844" w:rsidRDefault="00EF2125" w:rsidP="00EF2125">
      <w:pPr>
        <w:spacing w:line="240" w:lineRule="auto"/>
        <w:rPr>
          <w:rFonts w:cs="Calibri"/>
          <w:color w:val="000000" w:themeColor="text1"/>
          <w:sz w:val="24"/>
          <w:szCs w:val="24"/>
          <w:lang w:val="pt-PT"/>
        </w:rPr>
      </w:pPr>
    </w:p>
    <w:p w14:paraId="69FFCCED" w14:textId="77777777" w:rsidR="00EF2125" w:rsidRPr="00D10844" w:rsidRDefault="00EF2125" w:rsidP="00EF2125">
      <w:pPr>
        <w:spacing w:line="240" w:lineRule="auto"/>
        <w:rPr>
          <w:rFonts w:cs="Calibri"/>
          <w:color w:val="000000" w:themeColor="text1"/>
          <w:sz w:val="24"/>
          <w:szCs w:val="24"/>
          <w:lang w:val="pt-PT"/>
        </w:rPr>
      </w:pPr>
      <w:r w:rsidRPr="00D10844">
        <w:rPr>
          <w:rFonts w:cs="Calibri"/>
          <w:color w:val="000000" w:themeColor="text1"/>
          <w:sz w:val="24"/>
          <w:szCs w:val="24"/>
          <w:lang w:val="pt-PT"/>
        </w:rPr>
        <w:t>Conhecimento do Convenção do Direito da Criança (CDC) e trabalho de UNICEF e uma vantagem.</w:t>
      </w:r>
    </w:p>
    <w:p w14:paraId="15658D92" w14:textId="77777777" w:rsidR="00EF2125" w:rsidRPr="00D10844" w:rsidRDefault="00EF2125" w:rsidP="00EF2125">
      <w:pPr>
        <w:spacing w:line="240" w:lineRule="auto"/>
        <w:rPr>
          <w:rFonts w:cs="Calibri"/>
          <w:i/>
          <w:color w:val="000000" w:themeColor="text1"/>
          <w:sz w:val="24"/>
          <w:szCs w:val="24"/>
          <w:lang w:val="pt-PT"/>
        </w:rPr>
      </w:pPr>
    </w:p>
    <w:p w14:paraId="73F4DBF9" w14:textId="77777777" w:rsidR="00EF2125" w:rsidRPr="00C21AA3" w:rsidRDefault="00EF2125" w:rsidP="00EF2125">
      <w:pPr>
        <w:spacing w:line="240" w:lineRule="auto"/>
        <w:jc w:val="both"/>
        <w:rPr>
          <w:color w:val="000000" w:themeColor="text1"/>
          <w:szCs w:val="22"/>
          <w:lang w:val="pt-PT"/>
        </w:rPr>
      </w:pPr>
      <w:r w:rsidRPr="00C21AA3">
        <w:rPr>
          <w:color w:val="000000" w:themeColor="text1"/>
          <w:szCs w:val="22"/>
          <w:lang w:val="pt-PT"/>
        </w:rPr>
        <w:t>Competências linguísticas:</w:t>
      </w:r>
    </w:p>
    <w:p w14:paraId="13A7D9AB" w14:textId="77777777" w:rsidR="00EF2125" w:rsidRPr="00C21AA3" w:rsidRDefault="00EF2125" w:rsidP="00EF2125">
      <w:pPr>
        <w:spacing w:line="240" w:lineRule="auto"/>
        <w:jc w:val="both"/>
        <w:rPr>
          <w:color w:val="000000" w:themeColor="text1"/>
          <w:szCs w:val="22"/>
          <w:lang w:val="pt-PT"/>
        </w:rPr>
      </w:pPr>
    </w:p>
    <w:p w14:paraId="2956327D" w14:textId="77777777" w:rsidR="00EF2125" w:rsidRPr="00A86E41" w:rsidRDefault="00EF2125" w:rsidP="00EF2125">
      <w:pPr>
        <w:spacing w:line="240" w:lineRule="auto"/>
        <w:jc w:val="both"/>
        <w:rPr>
          <w:i/>
          <w:color w:val="7F7F7F" w:themeColor="text1" w:themeTint="80"/>
          <w:szCs w:val="22"/>
          <w:lang w:val="pt-PT"/>
        </w:rPr>
      </w:pPr>
      <w:r w:rsidRPr="005C1C2E">
        <w:rPr>
          <w:color w:val="000000" w:themeColor="text1"/>
          <w:szCs w:val="22"/>
          <w:lang w:val="pt-PT"/>
        </w:rPr>
        <w:t>Alta proficiência em Português é obrigatória, e proficiência em inglês é desejável.</w:t>
      </w:r>
    </w:p>
    <w:p w14:paraId="76715BD1" w14:textId="77777777" w:rsidR="005200E2" w:rsidRPr="00EF2125" w:rsidRDefault="005200E2" w:rsidP="00714B3C">
      <w:pPr>
        <w:spacing w:line="240" w:lineRule="auto"/>
        <w:contextualSpacing/>
        <w:jc w:val="both"/>
        <w:rPr>
          <w:rFonts w:cs="Calibri"/>
          <w:szCs w:val="22"/>
          <w:lang w:val="pt-PT"/>
        </w:rPr>
      </w:pPr>
    </w:p>
    <w:p w14:paraId="38EC6A63" w14:textId="2DB34EFA" w:rsidR="00714B3C" w:rsidRPr="00714B3C" w:rsidRDefault="00714B3C" w:rsidP="00714B3C">
      <w:pPr>
        <w:spacing w:line="240" w:lineRule="auto"/>
        <w:contextualSpacing/>
        <w:jc w:val="both"/>
        <w:rPr>
          <w:rFonts w:cs="Calibri"/>
          <w:b/>
          <w:color w:val="FF6600"/>
          <w:sz w:val="24"/>
          <w:szCs w:val="24"/>
          <w:lang w:val="en-GB"/>
        </w:rPr>
      </w:pPr>
      <w:r w:rsidRPr="00714B3C">
        <w:rPr>
          <w:rFonts w:cs="Calibri"/>
          <w:b/>
          <w:color w:val="FF6600"/>
          <w:sz w:val="24"/>
          <w:szCs w:val="24"/>
          <w:lang w:val="en-GB"/>
        </w:rPr>
        <w:t>CONDITIONS OF WORK.</w:t>
      </w:r>
      <w:r w:rsidR="002945C8" w:rsidRPr="00714B3C">
        <w:rPr>
          <w:rFonts w:cs="Calibri"/>
          <w:b/>
          <w:color w:val="FF6600"/>
          <w:sz w:val="24"/>
          <w:szCs w:val="24"/>
          <w:lang w:val="en-GB"/>
        </w:rPr>
        <w:t xml:space="preserve"> </w:t>
      </w:r>
    </w:p>
    <w:tbl>
      <w:tblPr>
        <w:tblW w:w="5000" w:type="pct"/>
        <w:tblBorders>
          <w:top w:val="single" w:sz="8" w:space="0" w:color="999999"/>
          <w:left w:val="single" w:sz="8" w:space="0" w:color="999999"/>
          <w:bottom w:val="single" w:sz="8" w:space="0" w:color="999999"/>
          <w:right w:val="single" w:sz="8" w:space="0" w:color="999999"/>
          <w:insideH w:val="single" w:sz="6" w:space="0" w:color="999999"/>
          <w:insideV w:val="single" w:sz="6" w:space="0" w:color="999999"/>
        </w:tblBorders>
        <w:tblLook w:val="01E0" w:firstRow="1" w:lastRow="1" w:firstColumn="1" w:lastColumn="1" w:noHBand="0" w:noVBand="0"/>
      </w:tblPr>
      <w:tblGrid>
        <w:gridCol w:w="2963"/>
        <w:gridCol w:w="1078"/>
        <w:gridCol w:w="1078"/>
        <w:gridCol w:w="5328"/>
      </w:tblGrid>
      <w:tr w:rsidR="00714B3C" w:rsidRPr="00714B3C" w14:paraId="55ABE49E" w14:textId="77777777" w:rsidTr="00FC2E01">
        <w:trPr>
          <w:trHeight w:val="20"/>
        </w:trPr>
        <w:tc>
          <w:tcPr>
            <w:tcW w:w="1418" w:type="pct"/>
            <w:vMerge w:val="restart"/>
            <w:shd w:val="clear" w:color="auto" w:fill="DDD9C3" w:themeFill="background2" w:themeFillShade="E6"/>
            <w:vAlign w:val="center"/>
          </w:tcPr>
          <w:p w14:paraId="7A47C192" w14:textId="77777777" w:rsidR="002945C8" w:rsidRPr="00714B3C" w:rsidRDefault="002945C8" w:rsidP="00714B3C">
            <w:pPr>
              <w:spacing w:line="240" w:lineRule="auto"/>
              <w:contextualSpacing/>
              <w:jc w:val="center"/>
              <w:rPr>
                <w:rFonts w:cs="Calibri"/>
                <w:b/>
                <w:szCs w:val="22"/>
                <w:lang w:val="es-419"/>
              </w:rPr>
            </w:pPr>
            <w:proofErr w:type="spellStart"/>
            <w:r w:rsidRPr="00714B3C">
              <w:rPr>
                <w:rFonts w:cs="Calibri"/>
                <w:b/>
                <w:szCs w:val="22"/>
                <w:lang w:val="es-419"/>
              </w:rPr>
              <w:t>Items</w:t>
            </w:r>
            <w:proofErr w:type="spellEnd"/>
          </w:p>
        </w:tc>
        <w:tc>
          <w:tcPr>
            <w:tcW w:w="1032" w:type="pct"/>
            <w:gridSpan w:val="2"/>
            <w:shd w:val="clear" w:color="auto" w:fill="DDD9C3" w:themeFill="background2" w:themeFillShade="E6"/>
          </w:tcPr>
          <w:p w14:paraId="2DD9EAD7" w14:textId="77777777" w:rsidR="002945C8" w:rsidRPr="00714B3C" w:rsidRDefault="002945C8" w:rsidP="00714B3C">
            <w:pPr>
              <w:spacing w:line="240" w:lineRule="auto"/>
              <w:contextualSpacing/>
              <w:jc w:val="center"/>
              <w:rPr>
                <w:rFonts w:cs="Calibri"/>
                <w:b/>
                <w:szCs w:val="22"/>
              </w:rPr>
            </w:pPr>
            <w:r w:rsidRPr="00714B3C">
              <w:rPr>
                <w:rFonts w:cs="Calibri"/>
                <w:b/>
                <w:szCs w:val="22"/>
                <w:lang w:val="es-419"/>
              </w:rPr>
              <w:t>P</w:t>
            </w:r>
            <w:proofErr w:type="spellStart"/>
            <w:r w:rsidRPr="00714B3C">
              <w:rPr>
                <w:rFonts w:cs="Calibri"/>
                <w:b/>
                <w:szCs w:val="22"/>
              </w:rPr>
              <w:t>rovided</w:t>
            </w:r>
            <w:proofErr w:type="spellEnd"/>
            <w:r w:rsidRPr="00714B3C">
              <w:rPr>
                <w:rFonts w:cs="Calibri"/>
                <w:b/>
                <w:szCs w:val="22"/>
              </w:rPr>
              <w:t xml:space="preserve"> by UNICEF</w:t>
            </w:r>
          </w:p>
        </w:tc>
        <w:tc>
          <w:tcPr>
            <w:tcW w:w="2550" w:type="pct"/>
            <w:vMerge w:val="restart"/>
            <w:shd w:val="clear" w:color="auto" w:fill="DDD9C3" w:themeFill="background2" w:themeFillShade="E6"/>
            <w:vAlign w:val="center"/>
          </w:tcPr>
          <w:p w14:paraId="1C12FAC5" w14:textId="77777777" w:rsidR="002945C8" w:rsidRPr="00714B3C" w:rsidRDefault="002945C8" w:rsidP="00714B3C">
            <w:pPr>
              <w:spacing w:line="240" w:lineRule="auto"/>
              <w:contextualSpacing/>
              <w:jc w:val="center"/>
              <w:rPr>
                <w:rFonts w:cs="Calibri"/>
                <w:b/>
                <w:szCs w:val="22"/>
              </w:rPr>
            </w:pPr>
          </w:p>
          <w:p w14:paraId="1F2B280B" w14:textId="77777777" w:rsidR="002945C8" w:rsidRPr="00714B3C" w:rsidRDefault="002945C8" w:rsidP="00714B3C">
            <w:pPr>
              <w:spacing w:line="240" w:lineRule="auto"/>
              <w:contextualSpacing/>
              <w:jc w:val="center"/>
              <w:rPr>
                <w:rFonts w:cs="Calibri"/>
                <w:b/>
                <w:szCs w:val="22"/>
              </w:rPr>
            </w:pPr>
            <w:r w:rsidRPr="00714B3C">
              <w:rPr>
                <w:rFonts w:cs="Calibri"/>
                <w:b/>
                <w:szCs w:val="22"/>
              </w:rPr>
              <w:t>Remarks</w:t>
            </w:r>
          </w:p>
        </w:tc>
      </w:tr>
      <w:tr w:rsidR="00714B3C" w:rsidRPr="00714B3C" w14:paraId="41158818" w14:textId="77777777" w:rsidTr="00FC2E01">
        <w:trPr>
          <w:trHeight w:val="20"/>
        </w:trPr>
        <w:tc>
          <w:tcPr>
            <w:tcW w:w="1418" w:type="pct"/>
            <w:vMerge/>
            <w:shd w:val="clear" w:color="auto" w:fill="DDD9C3" w:themeFill="background2" w:themeFillShade="E6"/>
          </w:tcPr>
          <w:p w14:paraId="3E6E6B33" w14:textId="77777777" w:rsidR="002945C8" w:rsidRPr="00714B3C" w:rsidRDefault="002945C8" w:rsidP="00714B3C">
            <w:pPr>
              <w:spacing w:line="240" w:lineRule="auto"/>
              <w:contextualSpacing/>
              <w:jc w:val="both"/>
              <w:rPr>
                <w:rFonts w:cs="Calibri"/>
                <w:szCs w:val="22"/>
              </w:rPr>
            </w:pPr>
          </w:p>
        </w:tc>
        <w:tc>
          <w:tcPr>
            <w:tcW w:w="516" w:type="pct"/>
            <w:shd w:val="clear" w:color="auto" w:fill="DDD9C3" w:themeFill="background2" w:themeFillShade="E6"/>
          </w:tcPr>
          <w:p w14:paraId="2D134949" w14:textId="77777777" w:rsidR="002945C8" w:rsidRPr="00714B3C" w:rsidRDefault="002945C8" w:rsidP="00714B3C">
            <w:pPr>
              <w:spacing w:line="240" w:lineRule="auto"/>
              <w:contextualSpacing/>
              <w:jc w:val="center"/>
              <w:rPr>
                <w:rFonts w:cs="Calibri"/>
                <w:b/>
                <w:szCs w:val="22"/>
              </w:rPr>
            </w:pPr>
            <w:r w:rsidRPr="00714B3C">
              <w:rPr>
                <w:rFonts w:cs="Calibri"/>
                <w:b/>
                <w:szCs w:val="22"/>
              </w:rPr>
              <w:t>Yes</w:t>
            </w:r>
          </w:p>
        </w:tc>
        <w:tc>
          <w:tcPr>
            <w:tcW w:w="516" w:type="pct"/>
            <w:shd w:val="clear" w:color="auto" w:fill="DDD9C3" w:themeFill="background2" w:themeFillShade="E6"/>
          </w:tcPr>
          <w:p w14:paraId="57EF537A" w14:textId="77777777" w:rsidR="002945C8" w:rsidRPr="00714B3C" w:rsidRDefault="002945C8" w:rsidP="00714B3C">
            <w:pPr>
              <w:spacing w:line="240" w:lineRule="auto"/>
              <w:contextualSpacing/>
              <w:jc w:val="center"/>
              <w:rPr>
                <w:rFonts w:cs="Calibri"/>
                <w:b/>
                <w:szCs w:val="22"/>
              </w:rPr>
            </w:pPr>
            <w:r w:rsidRPr="00714B3C">
              <w:rPr>
                <w:rFonts w:cs="Calibri"/>
                <w:b/>
                <w:szCs w:val="22"/>
              </w:rPr>
              <w:t>No</w:t>
            </w:r>
          </w:p>
        </w:tc>
        <w:tc>
          <w:tcPr>
            <w:tcW w:w="2550" w:type="pct"/>
            <w:vMerge/>
            <w:shd w:val="clear" w:color="auto" w:fill="DDD9C3" w:themeFill="background2" w:themeFillShade="E6"/>
          </w:tcPr>
          <w:p w14:paraId="136266FC" w14:textId="77777777" w:rsidR="002945C8" w:rsidRPr="00714B3C" w:rsidRDefault="002945C8" w:rsidP="00714B3C">
            <w:pPr>
              <w:spacing w:line="240" w:lineRule="auto"/>
              <w:contextualSpacing/>
              <w:jc w:val="center"/>
              <w:rPr>
                <w:rFonts w:cs="Calibri"/>
                <w:b/>
                <w:szCs w:val="22"/>
              </w:rPr>
            </w:pPr>
          </w:p>
        </w:tc>
      </w:tr>
      <w:tr w:rsidR="00714B3C" w:rsidRPr="00714B3C" w14:paraId="50FA0E81" w14:textId="77777777" w:rsidTr="00FC2E01">
        <w:trPr>
          <w:trHeight w:val="20"/>
        </w:trPr>
        <w:tc>
          <w:tcPr>
            <w:tcW w:w="1418" w:type="pct"/>
            <w:shd w:val="clear" w:color="auto" w:fill="auto"/>
            <w:vAlign w:val="center"/>
          </w:tcPr>
          <w:p w14:paraId="7212E38C" w14:textId="77777777" w:rsidR="002945C8" w:rsidRPr="00714B3C" w:rsidRDefault="002945C8" w:rsidP="00714B3C">
            <w:pPr>
              <w:spacing w:line="240" w:lineRule="auto"/>
              <w:contextualSpacing/>
              <w:rPr>
                <w:rFonts w:cs="Calibri"/>
                <w:szCs w:val="22"/>
              </w:rPr>
            </w:pPr>
            <w:r w:rsidRPr="00714B3C">
              <w:rPr>
                <w:rFonts w:cs="Calibri"/>
                <w:szCs w:val="22"/>
              </w:rPr>
              <w:lastRenderedPageBreak/>
              <w:t xml:space="preserve">Service incurred death, </w:t>
            </w:r>
            <w:proofErr w:type="gramStart"/>
            <w:r w:rsidRPr="00714B3C">
              <w:rPr>
                <w:rFonts w:cs="Calibri"/>
                <w:szCs w:val="22"/>
              </w:rPr>
              <w:t>injury</w:t>
            </w:r>
            <w:proofErr w:type="gramEnd"/>
            <w:r w:rsidRPr="00714B3C">
              <w:rPr>
                <w:rFonts w:cs="Calibri"/>
                <w:szCs w:val="22"/>
              </w:rPr>
              <w:t xml:space="preserve"> or illness</w:t>
            </w:r>
          </w:p>
        </w:tc>
        <w:tc>
          <w:tcPr>
            <w:tcW w:w="516" w:type="pct"/>
            <w:shd w:val="clear" w:color="auto" w:fill="auto"/>
            <w:vAlign w:val="center"/>
          </w:tcPr>
          <w:p w14:paraId="59B0621A" w14:textId="33556654" w:rsidR="002945C8" w:rsidRPr="00714B3C" w:rsidRDefault="00714B3C" w:rsidP="00714B3C">
            <w:pPr>
              <w:spacing w:line="240" w:lineRule="auto"/>
              <w:contextualSpacing/>
              <w:jc w:val="center"/>
              <w:rPr>
                <w:rFonts w:cs="Calibri"/>
                <w:szCs w:val="22"/>
                <w:lang w:val="es-419"/>
              </w:rPr>
            </w:pPr>
            <w:r w:rsidRPr="00714B3C">
              <w:rPr>
                <w:rFonts w:cs="Calibri"/>
                <w:szCs w:val="22"/>
                <w:lang w:val="es-419"/>
              </w:rPr>
              <w:t>X</w:t>
            </w:r>
          </w:p>
        </w:tc>
        <w:tc>
          <w:tcPr>
            <w:tcW w:w="516" w:type="pct"/>
            <w:shd w:val="clear" w:color="auto" w:fill="auto"/>
            <w:vAlign w:val="center"/>
          </w:tcPr>
          <w:p w14:paraId="5EB05D2E" w14:textId="77777777" w:rsidR="002945C8" w:rsidRPr="00714B3C" w:rsidRDefault="002945C8" w:rsidP="00714B3C">
            <w:pPr>
              <w:spacing w:line="240" w:lineRule="auto"/>
              <w:contextualSpacing/>
              <w:jc w:val="center"/>
              <w:rPr>
                <w:rFonts w:cs="Calibri"/>
                <w:szCs w:val="22"/>
              </w:rPr>
            </w:pPr>
          </w:p>
        </w:tc>
        <w:tc>
          <w:tcPr>
            <w:tcW w:w="2550" w:type="pct"/>
            <w:shd w:val="clear" w:color="auto" w:fill="auto"/>
            <w:vAlign w:val="center"/>
          </w:tcPr>
          <w:p w14:paraId="2EF39078" w14:textId="77777777" w:rsidR="002945C8" w:rsidRPr="00714B3C" w:rsidRDefault="002945C8" w:rsidP="00714B3C">
            <w:pPr>
              <w:spacing w:line="240" w:lineRule="auto"/>
              <w:contextualSpacing/>
              <w:rPr>
                <w:rFonts w:cs="Calibri"/>
                <w:szCs w:val="22"/>
              </w:rPr>
            </w:pPr>
            <w:r w:rsidRPr="00714B3C">
              <w:rPr>
                <w:rFonts w:cs="Calibri"/>
                <w:szCs w:val="22"/>
              </w:rPr>
              <w:t>Per the provisions of CF/IC/2013-001 on insurance coverage “in cases of service-incurred injury, illness or death under a third-party provider”.</w:t>
            </w:r>
          </w:p>
        </w:tc>
      </w:tr>
      <w:tr w:rsidR="00714B3C" w:rsidRPr="00714B3C" w14:paraId="1EA42779" w14:textId="77777777" w:rsidTr="00FC2E01">
        <w:trPr>
          <w:trHeight w:val="20"/>
        </w:trPr>
        <w:tc>
          <w:tcPr>
            <w:tcW w:w="1418" w:type="pct"/>
            <w:shd w:val="clear" w:color="auto" w:fill="auto"/>
            <w:vAlign w:val="center"/>
          </w:tcPr>
          <w:p w14:paraId="240B4C92" w14:textId="77777777" w:rsidR="002945C8" w:rsidRPr="00714B3C" w:rsidRDefault="002945C8" w:rsidP="00714B3C">
            <w:pPr>
              <w:spacing w:line="240" w:lineRule="auto"/>
              <w:contextualSpacing/>
              <w:rPr>
                <w:rFonts w:cs="Calibri"/>
                <w:szCs w:val="22"/>
              </w:rPr>
            </w:pPr>
            <w:r w:rsidRPr="00714B3C">
              <w:rPr>
                <w:rFonts w:cs="Calibri"/>
                <w:szCs w:val="22"/>
              </w:rPr>
              <w:t>Health Insurance</w:t>
            </w:r>
          </w:p>
        </w:tc>
        <w:tc>
          <w:tcPr>
            <w:tcW w:w="516" w:type="pct"/>
            <w:shd w:val="clear" w:color="auto" w:fill="auto"/>
            <w:vAlign w:val="center"/>
          </w:tcPr>
          <w:p w14:paraId="6085517B" w14:textId="77777777" w:rsidR="002945C8" w:rsidRPr="00714B3C" w:rsidRDefault="002945C8" w:rsidP="00714B3C">
            <w:pPr>
              <w:spacing w:line="240" w:lineRule="auto"/>
              <w:contextualSpacing/>
              <w:jc w:val="center"/>
              <w:rPr>
                <w:rFonts w:cs="Calibri"/>
                <w:szCs w:val="22"/>
              </w:rPr>
            </w:pPr>
          </w:p>
        </w:tc>
        <w:tc>
          <w:tcPr>
            <w:tcW w:w="516" w:type="pct"/>
            <w:shd w:val="clear" w:color="auto" w:fill="auto"/>
            <w:vAlign w:val="center"/>
          </w:tcPr>
          <w:p w14:paraId="7593D0B8" w14:textId="14B0FC66" w:rsidR="002945C8" w:rsidRPr="00714B3C" w:rsidRDefault="00714B3C" w:rsidP="00714B3C">
            <w:pPr>
              <w:spacing w:line="240" w:lineRule="auto"/>
              <w:contextualSpacing/>
              <w:jc w:val="center"/>
              <w:rPr>
                <w:rFonts w:cs="Calibri"/>
                <w:szCs w:val="22"/>
                <w:lang w:val="es-419"/>
              </w:rPr>
            </w:pPr>
            <w:r w:rsidRPr="00714B3C">
              <w:rPr>
                <w:rFonts w:cs="Calibri"/>
                <w:szCs w:val="22"/>
                <w:lang w:val="es-419"/>
              </w:rPr>
              <w:t>X</w:t>
            </w:r>
          </w:p>
        </w:tc>
        <w:tc>
          <w:tcPr>
            <w:tcW w:w="2550" w:type="pct"/>
            <w:shd w:val="clear" w:color="auto" w:fill="auto"/>
            <w:vAlign w:val="center"/>
          </w:tcPr>
          <w:p w14:paraId="42BB1868" w14:textId="7BBFA0E9" w:rsidR="002945C8" w:rsidRPr="00714B3C" w:rsidRDefault="00714B3C" w:rsidP="00714B3C">
            <w:pPr>
              <w:spacing w:line="240" w:lineRule="auto"/>
              <w:contextualSpacing/>
              <w:rPr>
                <w:rFonts w:cs="Calibri"/>
                <w:szCs w:val="22"/>
              </w:rPr>
            </w:pPr>
            <w:r w:rsidRPr="00714B3C">
              <w:rPr>
                <w:rFonts w:cs="Calibri"/>
                <w:szCs w:val="22"/>
              </w:rPr>
              <w:t>Consultants are to provide their own health insurance when the assignment requires traveling beyond commuting distance.</w:t>
            </w:r>
          </w:p>
        </w:tc>
      </w:tr>
      <w:tr w:rsidR="00714B3C" w:rsidRPr="00714B3C" w14:paraId="04B2E165" w14:textId="77777777" w:rsidTr="00FC2E01">
        <w:trPr>
          <w:trHeight w:val="20"/>
        </w:trPr>
        <w:tc>
          <w:tcPr>
            <w:tcW w:w="1418" w:type="pct"/>
            <w:shd w:val="clear" w:color="auto" w:fill="auto"/>
            <w:vAlign w:val="center"/>
          </w:tcPr>
          <w:p w14:paraId="1A8B10B2" w14:textId="77777777" w:rsidR="002945C8" w:rsidRPr="00714B3C" w:rsidRDefault="002945C8" w:rsidP="00714B3C">
            <w:pPr>
              <w:spacing w:line="240" w:lineRule="auto"/>
              <w:contextualSpacing/>
              <w:rPr>
                <w:rFonts w:cs="Calibri"/>
                <w:szCs w:val="22"/>
              </w:rPr>
            </w:pPr>
            <w:r w:rsidRPr="00714B3C">
              <w:rPr>
                <w:rFonts w:cs="Calibri"/>
                <w:szCs w:val="22"/>
              </w:rPr>
              <w:t>Office Space</w:t>
            </w:r>
          </w:p>
        </w:tc>
        <w:tc>
          <w:tcPr>
            <w:tcW w:w="516" w:type="pct"/>
            <w:shd w:val="clear" w:color="auto" w:fill="auto"/>
            <w:vAlign w:val="center"/>
          </w:tcPr>
          <w:p w14:paraId="640C37EE" w14:textId="77777777" w:rsidR="002945C8" w:rsidRPr="00714B3C" w:rsidRDefault="002945C8" w:rsidP="00714B3C">
            <w:pPr>
              <w:spacing w:line="240" w:lineRule="auto"/>
              <w:contextualSpacing/>
              <w:jc w:val="center"/>
              <w:rPr>
                <w:rFonts w:cs="Calibri"/>
                <w:szCs w:val="22"/>
              </w:rPr>
            </w:pPr>
          </w:p>
        </w:tc>
        <w:tc>
          <w:tcPr>
            <w:tcW w:w="516" w:type="pct"/>
            <w:shd w:val="clear" w:color="auto" w:fill="auto"/>
            <w:vAlign w:val="center"/>
          </w:tcPr>
          <w:p w14:paraId="43CA994D" w14:textId="31295CA1" w:rsidR="002945C8" w:rsidRPr="00714B3C" w:rsidRDefault="00F32D30" w:rsidP="00714B3C">
            <w:pPr>
              <w:spacing w:line="240" w:lineRule="auto"/>
              <w:contextualSpacing/>
              <w:jc w:val="center"/>
              <w:rPr>
                <w:rFonts w:cs="Calibri"/>
                <w:szCs w:val="22"/>
              </w:rPr>
            </w:pPr>
            <w:r>
              <w:rPr>
                <w:rFonts w:cs="Calibri"/>
                <w:szCs w:val="22"/>
              </w:rPr>
              <w:t>X</w:t>
            </w:r>
          </w:p>
        </w:tc>
        <w:tc>
          <w:tcPr>
            <w:tcW w:w="2550" w:type="pct"/>
            <w:shd w:val="clear" w:color="auto" w:fill="auto"/>
            <w:vAlign w:val="center"/>
          </w:tcPr>
          <w:p w14:paraId="4E67F1C5" w14:textId="77777777" w:rsidR="002945C8" w:rsidRPr="00714B3C" w:rsidRDefault="002945C8" w:rsidP="00714B3C">
            <w:pPr>
              <w:spacing w:line="240" w:lineRule="auto"/>
              <w:contextualSpacing/>
              <w:rPr>
                <w:rFonts w:cs="Calibri"/>
                <w:szCs w:val="22"/>
              </w:rPr>
            </w:pPr>
          </w:p>
        </w:tc>
      </w:tr>
      <w:tr w:rsidR="00714B3C" w:rsidRPr="00714B3C" w14:paraId="2094C60B" w14:textId="77777777" w:rsidTr="00FC2E01">
        <w:trPr>
          <w:trHeight w:val="20"/>
        </w:trPr>
        <w:tc>
          <w:tcPr>
            <w:tcW w:w="1418" w:type="pct"/>
            <w:shd w:val="clear" w:color="auto" w:fill="auto"/>
            <w:vAlign w:val="center"/>
          </w:tcPr>
          <w:p w14:paraId="5D7D9676" w14:textId="77777777" w:rsidR="002945C8" w:rsidRPr="00714B3C" w:rsidRDefault="002945C8" w:rsidP="00714B3C">
            <w:pPr>
              <w:spacing w:line="240" w:lineRule="auto"/>
              <w:contextualSpacing/>
              <w:rPr>
                <w:rFonts w:cs="Calibri"/>
                <w:szCs w:val="22"/>
                <w:lang w:val="es-419"/>
              </w:rPr>
            </w:pPr>
            <w:r w:rsidRPr="00714B3C">
              <w:rPr>
                <w:rFonts w:cs="Calibri"/>
                <w:szCs w:val="22"/>
              </w:rPr>
              <w:t>Computer</w:t>
            </w:r>
            <w:r w:rsidRPr="00714B3C">
              <w:rPr>
                <w:rFonts w:cs="Calibri"/>
                <w:szCs w:val="22"/>
                <w:lang w:val="es-419"/>
              </w:rPr>
              <w:t xml:space="preserve"> in office </w:t>
            </w:r>
            <w:proofErr w:type="spellStart"/>
            <w:r w:rsidRPr="00714B3C">
              <w:rPr>
                <w:rFonts w:cs="Calibri"/>
                <w:szCs w:val="22"/>
                <w:lang w:val="es-419"/>
              </w:rPr>
              <w:t>premises</w:t>
            </w:r>
            <w:proofErr w:type="spellEnd"/>
          </w:p>
        </w:tc>
        <w:tc>
          <w:tcPr>
            <w:tcW w:w="516" w:type="pct"/>
            <w:shd w:val="clear" w:color="auto" w:fill="auto"/>
            <w:vAlign w:val="center"/>
          </w:tcPr>
          <w:p w14:paraId="3602249B" w14:textId="10F556E3" w:rsidR="002945C8" w:rsidRPr="00714B3C" w:rsidRDefault="002945C8" w:rsidP="00714B3C">
            <w:pPr>
              <w:spacing w:line="240" w:lineRule="auto"/>
              <w:contextualSpacing/>
              <w:jc w:val="center"/>
              <w:rPr>
                <w:rFonts w:cs="Calibri"/>
                <w:szCs w:val="22"/>
              </w:rPr>
            </w:pPr>
          </w:p>
        </w:tc>
        <w:tc>
          <w:tcPr>
            <w:tcW w:w="516" w:type="pct"/>
            <w:shd w:val="clear" w:color="auto" w:fill="auto"/>
            <w:vAlign w:val="center"/>
          </w:tcPr>
          <w:p w14:paraId="0B430BD4" w14:textId="428FDF17" w:rsidR="002945C8" w:rsidRPr="00714B3C" w:rsidRDefault="00F32D30" w:rsidP="00714B3C">
            <w:pPr>
              <w:spacing w:line="240" w:lineRule="auto"/>
              <w:contextualSpacing/>
              <w:jc w:val="center"/>
              <w:rPr>
                <w:rFonts w:cs="Calibri"/>
                <w:szCs w:val="22"/>
              </w:rPr>
            </w:pPr>
            <w:r>
              <w:rPr>
                <w:rFonts w:cs="Calibri"/>
                <w:szCs w:val="22"/>
              </w:rPr>
              <w:t>X</w:t>
            </w:r>
          </w:p>
        </w:tc>
        <w:tc>
          <w:tcPr>
            <w:tcW w:w="2550" w:type="pct"/>
            <w:shd w:val="clear" w:color="auto" w:fill="auto"/>
            <w:vAlign w:val="center"/>
          </w:tcPr>
          <w:p w14:paraId="26297C5D" w14:textId="77777777" w:rsidR="002945C8" w:rsidRPr="00714B3C" w:rsidRDefault="002945C8" w:rsidP="00714B3C">
            <w:pPr>
              <w:spacing w:line="240" w:lineRule="auto"/>
              <w:contextualSpacing/>
              <w:rPr>
                <w:rFonts w:cs="Calibri"/>
                <w:szCs w:val="22"/>
              </w:rPr>
            </w:pPr>
          </w:p>
        </w:tc>
      </w:tr>
      <w:tr w:rsidR="00714B3C" w:rsidRPr="00714B3C" w14:paraId="53B0DD97" w14:textId="77777777" w:rsidTr="00FC2E01">
        <w:trPr>
          <w:trHeight w:val="20"/>
        </w:trPr>
        <w:tc>
          <w:tcPr>
            <w:tcW w:w="1418" w:type="pct"/>
            <w:shd w:val="clear" w:color="auto" w:fill="auto"/>
            <w:vAlign w:val="center"/>
          </w:tcPr>
          <w:p w14:paraId="067E47B3" w14:textId="77777777" w:rsidR="002945C8" w:rsidRPr="00714B3C" w:rsidRDefault="002945C8" w:rsidP="00714B3C">
            <w:pPr>
              <w:spacing w:line="240" w:lineRule="auto"/>
              <w:contextualSpacing/>
              <w:rPr>
                <w:rFonts w:cs="Calibri"/>
                <w:szCs w:val="22"/>
              </w:rPr>
            </w:pPr>
            <w:r w:rsidRPr="00714B3C">
              <w:rPr>
                <w:rFonts w:cs="Calibri"/>
                <w:szCs w:val="22"/>
              </w:rPr>
              <w:t>Access to printer in the office premises</w:t>
            </w:r>
          </w:p>
        </w:tc>
        <w:tc>
          <w:tcPr>
            <w:tcW w:w="516" w:type="pct"/>
            <w:shd w:val="clear" w:color="auto" w:fill="auto"/>
            <w:vAlign w:val="center"/>
          </w:tcPr>
          <w:p w14:paraId="35915E3E" w14:textId="014AF74A" w:rsidR="002945C8" w:rsidRPr="00714B3C" w:rsidRDefault="002945C8" w:rsidP="00714B3C">
            <w:pPr>
              <w:spacing w:line="240" w:lineRule="auto"/>
              <w:contextualSpacing/>
              <w:jc w:val="center"/>
              <w:rPr>
                <w:rFonts w:cs="Calibri"/>
                <w:szCs w:val="22"/>
              </w:rPr>
            </w:pPr>
          </w:p>
        </w:tc>
        <w:tc>
          <w:tcPr>
            <w:tcW w:w="516" w:type="pct"/>
            <w:shd w:val="clear" w:color="auto" w:fill="auto"/>
            <w:vAlign w:val="center"/>
          </w:tcPr>
          <w:p w14:paraId="24D93D8D" w14:textId="41CC52C9" w:rsidR="002945C8" w:rsidRPr="00714B3C" w:rsidRDefault="00F32D30" w:rsidP="00714B3C">
            <w:pPr>
              <w:spacing w:line="240" w:lineRule="auto"/>
              <w:contextualSpacing/>
              <w:jc w:val="center"/>
              <w:rPr>
                <w:rFonts w:cs="Calibri"/>
                <w:szCs w:val="22"/>
              </w:rPr>
            </w:pPr>
            <w:r>
              <w:rPr>
                <w:rFonts w:cs="Calibri"/>
                <w:szCs w:val="22"/>
              </w:rPr>
              <w:t>X</w:t>
            </w:r>
          </w:p>
        </w:tc>
        <w:tc>
          <w:tcPr>
            <w:tcW w:w="2550" w:type="pct"/>
            <w:shd w:val="clear" w:color="auto" w:fill="auto"/>
            <w:vAlign w:val="center"/>
          </w:tcPr>
          <w:p w14:paraId="3D1B1992" w14:textId="77777777" w:rsidR="002945C8" w:rsidRPr="00714B3C" w:rsidRDefault="002945C8" w:rsidP="00714B3C">
            <w:pPr>
              <w:spacing w:line="240" w:lineRule="auto"/>
              <w:contextualSpacing/>
              <w:rPr>
                <w:rFonts w:cs="Calibri"/>
                <w:szCs w:val="22"/>
              </w:rPr>
            </w:pPr>
          </w:p>
        </w:tc>
      </w:tr>
      <w:tr w:rsidR="00714B3C" w:rsidRPr="00714B3C" w14:paraId="48B8817C" w14:textId="77777777" w:rsidTr="00FC2E01">
        <w:trPr>
          <w:trHeight w:val="20"/>
        </w:trPr>
        <w:tc>
          <w:tcPr>
            <w:tcW w:w="1418" w:type="pct"/>
            <w:shd w:val="clear" w:color="auto" w:fill="auto"/>
            <w:vAlign w:val="center"/>
          </w:tcPr>
          <w:p w14:paraId="4331C4BE" w14:textId="77777777" w:rsidR="002945C8" w:rsidRPr="00714B3C" w:rsidRDefault="002945C8" w:rsidP="00714B3C">
            <w:pPr>
              <w:spacing w:line="240" w:lineRule="auto"/>
              <w:contextualSpacing/>
              <w:rPr>
                <w:rFonts w:cs="Calibri"/>
                <w:szCs w:val="22"/>
                <w:lang w:val="es-419"/>
              </w:rPr>
            </w:pPr>
            <w:proofErr w:type="spellStart"/>
            <w:r w:rsidRPr="00714B3C">
              <w:rPr>
                <w:rFonts w:cs="Calibri"/>
                <w:szCs w:val="22"/>
                <w:lang w:val="es-419"/>
              </w:rPr>
              <w:t>Airtime</w:t>
            </w:r>
            <w:proofErr w:type="spellEnd"/>
          </w:p>
        </w:tc>
        <w:tc>
          <w:tcPr>
            <w:tcW w:w="516" w:type="pct"/>
            <w:shd w:val="clear" w:color="auto" w:fill="auto"/>
            <w:vAlign w:val="center"/>
          </w:tcPr>
          <w:p w14:paraId="67559386" w14:textId="77777777" w:rsidR="002945C8" w:rsidRPr="00714B3C" w:rsidRDefault="002945C8" w:rsidP="00714B3C">
            <w:pPr>
              <w:spacing w:line="240" w:lineRule="auto"/>
              <w:contextualSpacing/>
              <w:jc w:val="center"/>
              <w:rPr>
                <w:rFonts w:cs="Calibri"/>
                <w:szCs w:val="22"/>
              </w:rPr>
            </w:pPr>
          </w:p>
        </w:tc>
        <w:tc>
          <w:tcPr>
            <w:tcW w:w="516" w:type="pct"/>
            <w:shd w:val="clear" w:color="auto" w:fill="auto"/>
            <w:vAlign w:val="center"/>
          </w:tcPr>
          <w:p w14:paraId="5909681A" w14:textId="0C8C6C56" w:rsidR="002945C8" w:rsidRPr="00714B3C" w:rsidRDefault="00F32D30" w:rsidP="00714B3C">
            <w:pPr>
              <w:spacing w:line="240" w:lineRule="auto"/>
              <w:contextualSpacing/>
              <w:jc w:val="center"/>
              <w:rPr>
                <w:rFonts w:cs="Calibri"/>
                <w:szCs w:val="22"/>
              </w:rPr>
            </w:pPr>
            <w:r>
              <w:rPr>
                <w:rFonts w:cs="Calibri"/>
                <w:szCs w:val="22"/>
              </w:rPr>
              <w:t>X</w:t>
            </w:r>
          </w:p>
        </w:tc>
        <w:tc>
          <w:tcPr>
            <w:tcW w:w="2550" w:type="pct"/>
            <w:shd w:val="clear" w:color="auto" w:fill="auto"/>
            <w:vAlign w:val="center"/>
          </w:tcPr>
          <w:p w14:paraId="58EB80EA" w14:textId="68125ED8" w:rsidR="002945C8" w:rsidRPr="00714B3C" w:rsidRDefault="002945C8" w:rsidP="00714B3C">
            <w:pPr>
              <w:spacing w:line="240" w:lineRule="auto"/>
              <w:contextualSpacing/>
              <w:rPr>
                <w:rFonts w:cs="Calibri"/>
                <w:szCs w:val="22"/>
              </w:rPr>
            </w:pPr>
            <w:r w:rsidRPr="00714B3C">
              <w:rPr>
                <w:rFonts w:cs="Calibri"/>
                <w:szCs w:val="22"/>
              </w:rPr>
              <w:t xml:space="preserve">Data up to: </w:t>
            </w:r>
            <w:r w:rsidR="00714B3C" w:rsidRPr="00714B3C">
              <w:rPr>
                <w:rFonts w:cs="Calibri"/>
                <w:szCs w:val="22"/>
              </w:rPr>
              <w:t>[Insert as applicable]</w:t>
            </w:r>
          </w:p>
          <w:p w14:paraId="5DBD782F" w14:textId="5648CFFA" w:rsidR="002945C8" w:rsidRPr="00714B3C" w:rsidRDefault="002945C8" w:rsidP="00714B3C">
            <w:pPr>
              <w:spacing w:line="240" w:lineRule="auto"/>
              <w:contextualSpacing/>
              <w:rPr>
                <w:rFonts w:cs="Calibri"/>
                <w:szCs w:val="22"/>
              </w:rPr>
            </w:pPr>
            <w:r w:rsidRPr="00714B3C">
              <w:rPr>
                <w:rFonts w:cs="Calibri"/>
                <w:szCs w:val="22"/>
              </w:rPr>
              <w:t xml:space="preserve">Voice up to: </w:t>
            </w:r>
            <w:r w:rsidR="00714B3C" w:rsidRPr="00714B3C">
              <w:rPr>
                <w:rFonts w:cs="Calibri"/>
                <w:szCs w:val="22"/>
              </w:rPr>
              <w:t>[Insert as applicable]</w:t>
            </w:r>
          </w:p>
        </w:tc>
      </w:tr>
    </w:tbl>
    <w:p w14:paraId="694C46CA" w14:textId="77777777" w:rsidR="002945C8" w:rsidRPr="00714B3C" w:rsidRDefault="002945C8" w:rsidP="00714B3C">
      <w:pPr>
        <w:spacing w:line="240" w:lineRule="auto"/>
        <w:ind w:left="360"/>
        <w:contextualSpacing/>
        <w:jc w:val="both"/>
        <w:rPr>
          <w:rFonts w:cs="Calibri"/>
          <w:b/>
          <w:szCs w:val="22"/>
          <w:lang w:val="en-GB"/>
        </w:rPr>
      </w:pPr>
    </w:p>
    <w:p w14:paraId="2E449DEF" w14:textId="77777777" w:rsidR="002945C8" w:rsidRPr="00714B3C" w:rsidRDefault="002945C8" w:rsidP="00714B3C">
      <w:pPr>
        <w:spacing w:line="240" w:lineRule="auto"/>
        <w:ind w:left="360"/>
        <w:contextualSpacing/>
        <w:jc w:val="both"/>
        <w:rPr>
          <w:rFonts w:cs="Calibri"/>
          <w:b/>
          <w:szCs w:val="22"/>
          <w:lang w:val="en-GB"/>
        </w:rPr>
      </w:pPr>
    </w:p>
    <w:p w14:paraId="15887EF0" w14:textId="2774270A" w:rsidR="00714B3C" w:rsidRPr="00714B3C" w:rsidRDefault="00714B3C" w:rsidP="00714B3C">
      <w:pPr>
        <w:spacing w:line="240" w:lineRule="auto"/>
        <w:contextualSpacing/>
        <w:jc w:val="both"/>
        <w:rPr>
          <w:rFonts w:cs="Calibri"/>
          <w:b/>
          <w:color w:val="FF6600"/>
          <w:sz w:val="24"/>
          <w:szCs w:val="22"/>
          <w:lang w:val="en-GB"/>
        </w:rPr>
      </w:pPr>
      <w:r w:rsidRPr="00714B3C">
        <w:rPr>
          <w:rFonts w:cs="Calibri"/>
          <w:b/>
          <w:color w:val="FF6600"/>
          <w:sz w:val="24"/>
          <w:szCs w:val="22"/>
          <w:lang w:val="en-GB"/>
        </w:rPr>
        <w:t xml:space="preserve">IN-COUNTRY TRAVEL. </w:t>
      </w:r>
    </w:p>
    <w:p w14:paraId="3667F0A3" w14:textId="6CA815CE" w:rsidR="00EF2125" w:rsidRDefault="00EF2125" w:rsidP="00714B3C">
      <w:pPr>
        <w:spacing w:line="240" w:lineRule="auto"/>
        <w:contextualSpacing/>
        <w:jc w:val="both"/>
        <w:rPr>
          <w:rFonts w:cs="Calibri"/>
          <w:szCs w:val="22"/>
        </w:rPr>
      </w:pPr>
    </w:p>
    <w:p w14:paraId="0FD83925" w14:textId="77777777" w:rsidR="00EF2125" w:rsidRDefault="00EF2125" w:rsidP="00EF2125">
      <w:pPr>
        <w:spacing w:line="240" w:lineRule="auto"/>
        <w:jc w:val="both"/>
        <w:rPr>
          <w:rFonts w:cs="Calibri"/>
          <w:szCs w:val="22"/>
        </w:rPr>
      </w:pPr>
      <w:r>
        <w:rPr>
          <w:rFonts w:cs="Calibri"/>
          <w:szCs w:val="22"/>
        </w:rPr>
        <w:t>Approved travel within Mozambique will be covered/reimbursed by UNICEF as follows:</w:t>
      </w:r>
    </w:p>
    <w:p w14:paraId="7514F38A" w14:textId="77777777" w:rsidR="00EF2125" w:rsidRDefault="00EF2125" w:rsidP="00EF2125">
      <w:pPr>
        <w:spacing w:line="240" w:lineRule="auto"/>
        <w:jc w:val="both"/>
        <w:rPr>
          <w:rFonts w:cs="Calibri"/>
          <w:szCs w:val="22"/>
        </w:rPr>
      </w:pPr>
    </w:p>
    <w:p w14:paraId="3FCFF0B1" w14:textId="77777777" w:rsidR="00EF2125" w:rsidRDefault="00EF2125" w:rsidP="00EF2125">
      <w:pPr>
        <w:spacing w:line="240" w:lineRule="auto"/>
        <w:jc w:val="both"/>
        <w:rPr>
          <w:rFonts w:cs="Calibri"/>
          <w:szCs w:val="22"/>
        </w:rPr>
      </w:pPr>
      <w:r>
        <w:rPr>
          <w:rFonts w:cs="Calibri"/>
          <w:szCs w:val="22"/>
        </w:rPr>
        <w:t xml:space="preserve">Travel organised by UNICEF through a Travel </w:t>
      </w:r>
      <w:proofErr w:type="spellStart"/>
      <w:r>
        <w:rPr>
          <w:rFonts w:cs="Calibri"/>
          <w:szCs w:val="22"/>
        </w:rPr>
        <w:t>Authorisation</w:t>
      </w:r>
      <w:proofErr w:type="spellEnd"/>
      <w:r>
        <w:rPr>
          <w:rFonts w:cs="Calibri"/>
          <w:szCs w:val="22"/>
        </w:rPr>
        <w:t xml:space="preserve"> per the applicable policy, with standard terminal expenses, and per diem at 75% of the applicable UN Mozambique DSA rate.</w:t>
      </w:r>
    </w:p>
    <w:p w14:paraId="631B3FAC" w14:textId="32E95B4F" w:rsidR="002945C8" w:rsidRDefault="00EF2125" w:rsidP="00EF2125">
      <w:pPr>
        <w:tabs>
          <w:tab w:val="left" w:pos="6210"/>
        </w:tabs>
        <w:spacing w:line="240" w:lineRule="auto"/>
        <w:contextualSpacing/>
        <w:rPr>
          <w:rFonts w:cs="Calibri"/>
          <w:szCs w:val="22"/>
        </w:rPr>
      </w:pPr>
      <w:r>
        <w:rPr>
          <w:rFonts w:cs="Calibri"/>
          <w:szCs w:val="22"/>
        </w:rPr>
        <w:tab/>
      </w:r>
    </w:p>
    <w:p w14:paraId="3D60C0BD" w14:textId="3C0AF438" w:rsidR="00EF2125" w:rsidRPr="00714B3C" w:rsidRDefault="00EF2125" w:rsidP="00EF2125">
      <w:pPr>
        <w:tabs>
          <w:tab w:val="left" w:pos="6210"/>
        </w:tabs>
        <w:spacing w:line="240" w:lineRule="auto"/>
        <w:contextualSpacing/>
        <w:rPr>
          <w:rFonts w:cs="Calibri"/>
          <w:szCs w:val="22"/>
        </w:rPr>
      </w:pPr>
    </w:p>
    <w:p w14:paraId="27669A54" w14:textId="6F1522EB" w:rsidR="002945C8" w:rsidRPr="00714B3C" w:rsidRDefault="00714B3C" w:rsidP="00714B3C">
      <w:pPr>
        <w:spacing w:line="240" w:lineRule="auto"/>
        <w:contextualSpacing/>
        <w:jc w:val="both"/>
        <w:rPr>
          <w:rFonts w:cs="Calibri"/>
          <w:b/>
          <w:color w:val="FF6600"/>
          <w:sz w:val="24"/>
          <w:szCs w:val="22"/>
          <w:lang w:val="en-GB"/>
        </w:rPr>
      </w:pPr>
      <w:r w:rsidRPr="00714B3C">
        <w:rPr>
          <w:rFonts w:cs="Calibri"/>
          <w:b/>
          <w:color w:val="FF6600"/>
          <w:sz w:val="24"/>
          <w:szCs w:val="22"/>
          <w:lang w:val="en-GB"/>
        </w:rPr>
        <w:t>EVALUATION CRITERIA.</w:t>
      </w:r>
    </w:p>
    <w:p w14:paraId="6DE5AAE8" w14:textId="77777777" w:rsidR="0094273D" w:rsidRPr="002D042D" w:rsidRDefault="0094273D" w:rsidP="0094273D">
      <w:r>
        <w:t xml:space="preserve">The selection of the </w:t>
      </w:r>
      <w:r w:rsidRPr="002D042D">
        <w:t xml:space="preserve">consultant </w:t>
      </w:r>
      <w:r>
        <w:t>will be</w:t>
      </w:r>
      <w:r w:rsidRPr="002D042D">
        <w:t xml:space="preserve"> based on </w:t>
      </w:r>
      <w:r>
        <w:t xml:space="preserve">a </w:t>
      </w:r>
      <w:r w:rsidRPr="002D042D">
        <w:t xml:space="preserve">“best value for money” principle.  </w:t>
      </w:r>
      <w:r>
        <w:t>Interested candidates</w:t>
      </w:r>
      <w:r w:rsidRPr="00090FB2">
        <w:t xml:space="preserve"> </w:t>
      </w:r>
      <w:r w:rsidRPr="002D042D">
        <w:t>should</w:t>
      </w:r>
      <w:r>
        <w:t>, in addition to submitting their CV and cover letter,</w:t>
      </w:r>
      <w:r w:rsidRPr="002D042D">
        <w:t xml:space="preserve"> indicate their all-inclusive fees (including travel, subsistence costs, etc</w:t>
      </w:r>
      <w:r>
        <w:t>.)</w:t>
      </w:r>
      <w:r w:rsidRPr="002D042D">
        <w:t xml:space="preserve"> for the services to be provided.  The office shall select the individual who quoted the lowest fee from the list of individuals who are deemed </w:t>
      </w:r>
      <w:r>
        <w:t>technically s</w:t>
      </w:r>
      <w:r w:rsidRPr="002D042D">
        <w:t>uitable for achieving all tasks in time</w:t>
      </w:r>
      <w:r>
        <w:t xml:space="preserve">.  The technical evaluation criteria are </w:t>
      </w:r>
      <w:r w:rsidRPr="002D042D">
        <w:t xml:space="preserve">stipulated below. </w:t>
      </w:r>
    </w:p>
    <w:p w14:paraId="589E30BD" w14:textId="77777777" w:rsidR="002945C8" w:rsidRPr="00714B3C" w:rsidRDefault="002945C8" w:rsidP="00714B3C">
      <w:pPr>
        <w:spacing w:line="240" w:lineRule="auto"/>
        <w:contextualSpacing/>
        <w:rPr>
          <w:rFonts w:cs="Calibri"/>
          <w:szCs w:val="22"/>
        </w:rPr>
      </w:pPr>
    </w:p>
    <w:tbl>
      <w:tblPr>
        <w:tblW w:w="5000" w:type="pct"/>
        <w:jc w:val="center"/>
        <w:tblCellMar>
          <w:left w:w="0" w:type="dxa"/>
          <w:right w:w="0" w:type="dxa"/>
        </w:tblCellMar>
        <w:tblLook w:val="04A0" w:firstRow="1" w:lastRow="0" w:firstColumn="1" w:lastColumn="0" w:noHBand="0" w:noVBand="1"/>
      </w:tblPr>
      <w:tblGrid>
        <w:gridCol w:w="659"/>
        <w:gridCol w:w="8378"/>
        <w:gridCol w:w="1410"/>
      </w:tblGrid>
      <w:tr w:rsidR="0094273D" w:rsidRPr="00CB4B80" w14:paraId="2E9F2F58" w14:textId="77777777" w:rsidTr="74673A78">
        <w:trPr>
          <w:jc w:val="center"/>
        </w:trPr>
        <w:tc>
          <w:tcPr>
            <w:tcW w:w="315"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384FD694" w14:textId="77777777" w:rsidR="0094273D" w:rsidRPr="00CB4B80" w:rsidRDefault="0094273D" w:rsidP="00E54403">
            <w:pPr>
              <w:spacing w:line="240" w:lineRule="auto"/>
              <w:rPr>
                <w:b/>
                <w:bCs/>
                <w:szCs w:val="22"/>
                <w:lang w:val="en-GB"/>
              </w:rPr>
            </w:pPr>
            <w:r w:rsidRPr="00CB4B80">
              <w:rPr>
                <w:b/>
                <w:bCs/>
                <w:szCs w:val="22"/>
                <w:lang w:val="en-GB"/>
              </w:rPr>
              <w:t>Item</w:t>
            </w:r>
          </w:p>
        </w:tc>
        <w:tc>
          <w:tcPr>
            <w:tcW w:w="4010"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69E7CEAB" w14:textId="77777777" w:rsidR="0094273D" w:rsidRPr="00CB4B80" w:rsidRDefault="0094273D" w:rsidP="00E54403">
            <w:pPr>
              <w:spacing w:line="240" w:lineRule="auto"/>
              <w:rPr>
                <w:b/>
                <w:bCs/>
                <w:szCs w:val="22"/>
                <w:lang w:val="en-GB"/>
              </w:rPr>
            </w:pPr>
            <w:r w:rsidRPr="00CB4B80">
              <w:rPr>
                <w:b/>
                <w:bCs/>
                <w:szCs w:val="22"/>
                <w:lang w:val="en-GB"/>
              </w:rPr>
              <w:t xml:space="preserve">Technical Criteria/Qualifications </w:t>
            </w:r>
          </w:p>
        </w:tc>
        <w:tc>
          <w:tcPr>
            <w:tcW w:w="675"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7CF06D54" w14:textId="77777777" w:rsidR="0094273D" w:rsidRPr="00CB4B80" w:rsidRDefault="0094273D" w:rsidP="00E54403">
            <w:pPr>
              <w:spacing w:line="240" w:lineRule="auto"/>
              <w:rPr>
                <w:b/>
                <w:bCs/>
                <w:szCs w:val="22"/>
                <w:lang w:val="en-GB"/>
              </w:rPr>
            </w:pPr>
            <w:r w:rsidRPr="00CB4B80">
              <w:rPr>
                <w:b/>
                <w:bCs/>
                <w:szCs w:val="22"/>
                <w:lang w:val="en-GB"/>
              </w:rPr>
              <w:t>Max.</w:t>
            </w:r>
            <w:r>
              <w:rPr>
                <w:b/>
                <w:bCs/>
                <w:szCs w:val="22"/>
                <w:lang w:val="es-419"/>
              </w:rPr>
              <w:t xml:space="preserve"> </w:t>
            </w:r>
            <w:r w:rsidRPr="00CB4B80">
              <w:rPr>
                <w:b/>
                <w:bCs/>
                <w:szCs w:val="22"/>
                <w:lang w:val="en-GB"/>
              </w:rPr>
              <w:t>Points</w:t>
            </w:r>
          </w:p>
        </w:tc>
      </w:tr>
      <w:tr w:rsidR="0094273D" w:rsidRPr="00CB4B80" w14:paraId="34F1B77B" w14:textId="77777777" w:rsidTr="74673A78">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BE81850" w14:textId="77777777" w:rsidR="0094273D" w:rsidRPr="00CB4B80" w:rsidRDefault="0094273D" w:rsidP="00E54403">
            <w:pPr>
              <w:spacing w:line="240" w:lineRule="auto"/>
              <w:jc w:val="right"/>
              <w:rPr>
                <w:b/>
                <w:bCs/>
                <w:szCs w:val="22"/>
                <w:lang w:val="en-GB"/>
              </w:rPr>
            </w:pPr>
            <w:r w:rsidRPr="00CB4B80">
              <w:rPr>
                <w:b/>
                <w:bCs/>
                <w:szCs w:val="22"/>
                <w:lang w:val="en-GB"/>
              </w:rPr>
              <w:t>1</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01F98AA2" w14:textId="77777777" w:rsidR="0094273D" w:rsidRPr="00CB4B80" w:rsidRDefault="0094273D" w:rsidP="00E54403">
            <w:pPr>
              <w:spacing w:line="240" w:lineRule="auto"/>
              <w:rPr>
                <w:b/>
                <w:bCs/>
                <w:szCs w:val="22"/>
                <w:lang w:val="en-GB"/>
              </w:rPr>
            </w:pPr>
            <w:r w:rsidRPr="00CB4B80">
              <w:rPr>
                <w:b/>
                <w:bCs/>
                <w:szCs w:val="22"/>
                <w:lang w:val="en-GB"/>
              </w:rPr>
              <w:t xml:space="preserve">Education </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5D482CF6" w14:textId="77777777" w:rsidR="0094273D" w:rsidRPr="00CB4B80" w:rsidRDefault="0094273D" w:rsidP="00E54403">
            <w:pPr>
              <w:spacing w:line="240" w:lineRule="auto"/>
              <w:rPr>
                <w:b/>
                <w:bCs/>
                <w:szCs w:val="22"/>
                <w:lang w:val="en-GB"/>
              </w:rPr>
            </w:pPr>
            <w:r>
              <w:rPr>
                <w:b/>
                <w:bCs/>
                <w:szCs w:val="22"/>
                <w:lang w:val="en-GB"/>
              </w:rPr>
              <w:t>15</w:t>
            </w:r>
          </w:p>
        </w:tc>
      </w:tr>
      <w:tr w:rsidR="0094273D" w:rsidRPr="00CB4B80" w14:paraId="00361241" w14:textId="77777777" w:rsidTr="74673A78">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818B98F" w14:textId="77777777" w:rsidR="0094273D" w:rsidRPr="00CB4B80" w:rsidRDefault="0094273D" w:rsidP="00E54403">
            <w:pPr>
              <w:spacing w:line="240" w:lineRule="auto"/>
              <w:jc w:val="right"/>
              <w:rPr>
                <w:b/>
                <w:bCs/>
                <w:szCs w:val="22"/>
                <w:lang w:val="en-GB"/>
              </w:rPr>
            </w:pPr>
            <w:r w:rsidRPr="00CB4B80">
              <w:rPr>
                <w:b/>
                <w:bCs/>
                <w:szCs w:val="22"/>
                <w:lang w:val="en-GB"/>
              </w:rPr>
              <w:t>1.1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F90BC40" w14:textId="5EC8BDAC" w:rsidR="0094273D" w:rsidRPr="00AF30D3" w:rsidRDefault="0977102A" w:rsidP="1B4F8B8D">
            <w:pPr>
              <w:spacing w:line="240" w:lineRule="auto"/>
              <w:jc w:val="both"/>
              <w:rPr>
                <w:color w:val="000000" w:themeColor="text1"/>
                <w:szCs w:val="22"/>
              </w:rPr>
            </w:pPr>
            <w:r w:rsidRPr="74673A78">
              <w:rPr>
                <w:rFonts w:asciiTheme="minorHAnsi" w:hAnsiTheme="minorHAnsi"/>
              </w:rPr>
              <w:t>Advanced degree in</w:t>
            </w:r>
            <w:r w:rsidR="00EF2125">
              <w:rPr>
                <w:rFonts w:asciiTheme="minorHAnsi" w:hAnsiTheme="minorHAnsi"/>
              </w:rPr>
              <w:t xml:space="preserve"> Social Sciences, Communications, Information Management, Public Administration or similar</w:t>
            </w:r>
          </w:p>
          <w:p w14:paraId="27936E8E" w14:textId="16897869" w:rsidR="0094273D" w:rsidRPr="00AF30D3" w:rsidRDefault="0094273D" w:rsidP="1B4F8B8D">
            <w:pPr>
              <w:spacing w:line="240" w:lineRule="auto"/>
              <w:jc w:val="both"/>
              <w:rPr>
                <w:color w:val="000000" w:themeColor="text1"/>
                <w:szCs w:val="22"/>
              </w:rPr>
            </w:pP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E04FBA0" w14:textId="77777777" w:rsidR="0094273D" w:rsidRPr="00CB4B80" w:rsidRDefault="0094273D" w:rsidP="00E54403">
            <w:pPr>
              <w:spacing w:line="240" w:lineRule="auto"/>
              <w:rPr>
                <w:szCs w:val="22"/>
                <w:lang w:val="en-GB"/>
              </w:rPr>
            </w:pPr>
            <w:r>
              <w:rPr>
                <w:szCs w:val="22"/>
                <w:lang w:val="en-GB"/>
              </w:rPr>
              <w:t>15</w:t>
            </w:r>
          </w:p>
        </w:tc>
      </w:tr>
      <w:tr w:rsidR="0094273D" w:rsidRPr="00CB4B80" w14:paraId="5451A1CB" w14:textId="77777777" w:rsidTr="74673A78">
        <w:trPr>
          <w:trHeight w:val="476"/>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3566F505" w14:textId="77777777" w:rsidR="0094273D" w:rsidRPr="00CB4B80" w:rsidRDefault="0094273D" w:rsidP="00E54403">
            <w:pPr>
              <w:spacing w:line="240" w:lineRule="auto"/>
              <w:jc w:val="right"/>
              <w:rPr>
                <w:b/>
                <w:bCs/>
                <w:szCs w:val="22"/>
                <w:lang w:val="en-GB"/>
              </w:rPr>
            </w:pPr>
            <w:r w:rsidRPr="00CB4B80">
              <w:rPr>
                <w:b/>
                <w:bCs/>
                <w:szCs w:val="22"/>
                <w:lang w:val="en-GB"/>
              </w:rPr>
              <w:t>2</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49D29D81" w14:textId="77777777" w:rsidR="0094273D" w:rsidRPr="00CB4B80" w:rsidRDefault="0094273D" w:rsidP="00E54403">
            <w:pPr>
              <w:spacing w:line="240" w:lineRule="auto"/>
              <w:rPr>
                <w:b/>
                <w:bCs/>
                <w:szCs w:val="22"/>
                <w:lang w:val="en-GB"/>
              </w:rPr>
            </w:pPr>
            <w:r w:rsidRPr="00CB4B80">
              <w:rPr>
                <w:b/>
                <w:bCs/>
                <w:szCs w:val="22"/>
                <w:lang w:val="en-GB"/>
              </w:rPr>
              <w:t xml:space="preserve">Work Experience </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2FF13A2D" w14:textId="3DFA1C4E" w:rsidR="0094273D" w:rsidRPr="00CB4B80" w:rsidRDefault="0094273D" w:rsidP="00E54403">
            <w:pPr>
              <w:spacing w:line="240" w:lineRule="auto"/>
              <w:rPr>
                <w:b/>
                <w:bCs/>
                <w:szCs w:val="22"/>
                <w:lang w:val="en-GB"/>
              </w:rPr>
            </w:pPr>
            <w:r>
              <w:rPr>
                <w:b/>
                <w:bCs/>
                <w:szCs w:val="22"/>
                <w:lang w:val="en-GB"/>
              </w:rPr>
              <w:t>2</w:t>
            </w:r>
            <w:r w:rsidR="00C9408D">
              <w:rPr>
                <w:b/>
                <w:bCs/>
                <w:szCs w:val="22"/>
                <w:lang w:val="en-GB"/>
              </w:rPr>
              <w:t>5</w:t>
            </w:r>
          </w:p>
        </w:tc>
      </w:tr>
      <w:tr w:rsidR="0094273D" w:rsidRPr="00CB4B80" w14:paraId="4A1B568F" w14:textId="77777777" w:rsidTr="74673A78">
        <w:trPr>
          <w:trHeight w:val="629"/>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5AB8D398" w14:textId="77777777" w:rsidR="0094273D" w:rsidRPr="00CB4B80" w:rsidRDefault="0094273D" w:rsidP="00E54403">
            <w:pPr>
              <w:spacing w:line="240" w:lineRule="auto"/>
              <w:jc w:val="right"/>
              <w:rPr>
                <w:b/>
                <w:bCs/>
                <w:szCs w:val="22"/>
                <w:lang w:val="en-GB"/>
              </w:rPr>
            </w:pPr>
            <w:r w:rsidRPr="00CB4B80">
              <w:rPr>
                <w:b/>
                <w:bCs/>
                <w:szCs w:val="22"/>
                <w:lang w:val="en-GB"/>
              </w:rPr>
              <w:t>2.1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F9A48CE" w14:textId="029FEDC0" w:rsidR="0094273D" w:rsidRPr="00CB4B80" w:rsidRDefault="0094273D" w:rsidP="00E54403">
            <w:pPr>
              <w:spacing w:line="240" w:lineRule="auto"/>
              <w:rPr>
                <w:szCs w:val="22"/>
                <w:lang w:val="en-GB"/>
              </w:rPr>
            </w:pPr>
            <w:r w:rsidRPr="00217E30">
              <w:rPr>
                <w:rFonts w:asciiTheme="minorHAnsi" w:hAnsiTheme="minorHAnsi"/>
                <w:szCs w:val="22"/>
              </w:rPr>
              <w:t xml:space="preserve">At least </w:t>
            </w:r>
            <w:r w:rsidR="00EF2125">
              <w:rPr>
                <w:rFonts w:asciiTheme="minorHAnsi" w:hAnsiTheme="minorHAnsi"/>
                <w:szCs w:val="22"/>
              </w:rPr>
              <w:t>3</w:t>
            </w:r>
            <w:r w:rsidRPr="00217E30">
              <w:rPr>
                <w:rFonts w:asciiTheme="minorHAnsi" w:hAnsiTheme="minorHAnsi"/>
                <w:szCs w:val="22"/>
              </w:rPr>
              <w:t xml:space="preserve"> years of relevant work experience</w:t>
            </w:r>
            <w:r w:rsidR="00EF2125">
              <w:rPr>
                <w:rFonts w:asciiTheme="minorHAnsi" w:hAnsiTheme="minorHAnsi"/>
                <w:szCs w:val="22"/>
              </w:rPr>
              <w:t xml:space="preserve"> in social communication, public </w:t>
            </w:r>
            <w:proofErr w:type="gramStart"/>
            <w:r w:rsidR="00EF2125">
              <w:rPr>
                <w:rFonts w:asciiTheme="minorHAnsi" w:hAnsiTheme="minorHAnsi"/>
                <w:szCs w:val="22"/>
              </w:rPr>
              <w:t>relations</w:t>
            </w:r>
            <w:proofErr w:type="gramEnd"/>
            <w:r w:rsidR="00EF2125">
              <w:rPr>
                <w:rFonts w:asciiTheme="minorHAnsi" w:hAnsiTheme="minorHAnsi"/>
                <w:szCs w:val="22"/>
              </w:rPr>
              <w:t xml:space="preserve"> or other related area</w:t>
            </w:r>
            <w:r w:rsidR="00C9408D">
              <w:rPr>
                <w:rFonts w:asciiTheme="minorHAnsi" w:hAnsiTheme="minorHAnsi"/>
                <w:szCs w:val="22"/>
              </w:rPr>
              <w:t>.</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CE7F7D4" w14:textId="7F5FA3FE" w:rsidR="0094273D" w:rsidRPr="00CB4B80" w:rsidRDefault="00C9408D" w:rsidP="00E54403">
            <w:pPr>
              <w:spacing w:line="240" w:lineRule="auto"/>
              <w:rPr>
                <w:szCs w:val="22"/>
                <w:lang w:val="en-GB"/>
              </w:rPr>
            </w:pPr>
            <w:r>
              <w:rPr>
                <w:szCs w:val="22"/>
                <w:lang w:val="en-GB"/>
              </w:rPr>
              <w:t>15</w:t>
            </w:r>
          </w:p>
        </w:tc>
      </w:tr>
      <w:tr w:rsidR="00C9408D" w:rsidRPr="00CB4B80" w14:paraId="4D575504" w14:textId="77777777" w:rsidTr="74673A78">
        <w:trPr>
          <w:trHeight w:val="629"/>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5278A3E1" w14:textId="75D40F2A" w:rsidR="00C9408D" w:rsidRPr="00CB4B80" w:rsidRDefault="00C9408D" w:rsidP="00E54403">
            <w:pPr>
              <w:spacing w:line="240" w:lineRule="auto"/>
              <w:jc w:val="right"/>
              <w:rPr>
                <w:b/>
                <w:bCs/>
                <w:szCs w:val="22"/>
                <w:lang w:val="en-GB"/>
              </w:rPr>
            </w:pPr>
            <w:r>
              <w:rPr>
                <w:b/>
                <w:bCs/>
                <w:szCs w:val="22"/>
                <w:lang w:val="en-GB"/>
              </w:rPr>
              <w:t>2.2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933BD30" w14:textId="7E4CAA2A" w:rsidR="00C9408D" w:rsidRPr="00217E30" w:rsidRDefault="00C9408D" w:rsidP="00E54403">
            <w:pPr>
              <w:spacing w:line="240" w:lineRule="auto"/>
              <w:rPr>
                <w:rFonts w:asciiTheme="minorHAnsi" w:hAnsiTheme="minorHAnsi"/>
                <w:szCs w:val="22"/>
              </w:rPr>
            </w:pPr>
            <w:r>
              <w:rPr>
                <w:rFonts w:asciiTheme="minorHAnsi" w:hAnsiTheme="minorHAnsi"/>
                <w:szCs w:val="22"/>
              </w:rPr>
              <w:t>At least 1 year of relevant work experience in participative governance</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0EDC97B" w14:textId="699706C9" w:rsidR="00C9408D" w:rsidRDefault="00C9408D" w:rsidP="00E54403">
            <w:pPr>
              <w:spacing w:line="240" w:lineRule="auto"/>
              <w:rPr>
                <w:szCs w:val="22"/>
                <w:lang w:val="en-GB"/>
              </w:rPr>
            </w:pPr>
            <w:r>
              <w:rPr>
                <w:szCs w:val="22"/>
                <w:lang w:val="en-GB"/>
              </w:rPr>
              <w:t>10</w:t>
            </w:r>
          </w:p>
        </w:tc>
      </w:tr>
      <w:tr w:rsidR="0094273D" w:rsidRPr="00CB4B80" w14:paraId="2F3A900D" w14:textId="77777777" w:rsidTr="74673A78">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4AF178DE" w14:textId="77777777" w:rsidR="0094273D" w:rsidRPr="00CB4B80" w:rsidRDefault="0094273D" w:rsidP="00E54403">
            <w:pPr>
              <w:spacing w:line="240" w:lineRule="auto"/>
              <w:jc w:val="right"/>
              <w:rPr>
                <w:b/>
                <w:bCs/>
                <w:szCs w:val="22"/>
                <w:lang w:val="en-GB"/>
              </w:rPr>
            </w:pPr>
            <w:r w:rsidRPr="00CB4B80">
              <w:rPr>
                <w:b/>
                <w:bCs/>
                <w:szCs w:val="22"/>
                <w:lang w:val="en-GB"/>
              </w:rPr>
              <w:t>3</w:t>
            </w: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CB6B7D6" w14:textId="77777777" w:rsidR="0094273D" w:rsidRPr="00CB4B80" w:rsidRDefault="0094273D" w:rsidP="00E54403">
            <w:pPr>
              <w:spacing w:line="240" w:lineRule="auto"/>
              <w:rPr>
                <w:b/>
                <w:bCs/>
                <w:szCs w:val="22"/>
                <w:lang w:val="en-GB"/>
              </w:rPr>
            </w:pPr>
            <w:r w:rsidRPr="00CB4B80">
              <w:rPr>
                <w:b/>
                <w:bCs/>
                <w:szCs w:val="22"/>
                <w:lang w:val="en-GB"/>
              </w:rPr>
              <w:t xml:space="preserve">Technical Skills and Knowledge </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78B768C0" w14:textId="77777777" w:rsidR="0094273D" w:rsidRPr="00624036" w:rsidRDefault="0094273D" w:rsidP="00E54403">
            <w:pPr>
              <w:spacing w:line="240" w:lineRule="auto"/>
              <w:rPr>
                <w:b/>
                <w:szCs w:val="22"/>
                <w:lang w:val="en-GB"/>
              </w:rPr>
            </w:pPr>
            <w:r>
              <w:rPr>
                <w:b/>
                <w:szCs w:val="22"/>
                <w:lang w:val="en-GB"/>
              </w:rPr>
              <w:t>60</w:t>
            </w:r>
          </w:p>
        </w:tc>
      </w:tr>
      <w:tr w:rsidR="0094273D" w:rsidRPr="00CB4B80" w14:paraId="13A8FD2E" w14:textId="77777777" w:rsidTr="74673A78">
        <w:trPr>
          <w:trHeight w:val="82"/>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4B517C3" w14:textId="77777777" w:rsidR="0094273D" w:rsidRPr="00CB4B80" w:rsidRDefault="0094273D" w:rsidP="00E54403">
            <w:pPr>
              <w:spacing w:line="240" w:lineRule="auto"/>
              <w:jc w:val="right"/>
              <w:rPr>
                <w:b/>
                <w:bCs/>
                <w:szCs w:val="22"/>
                <w:lang w:val="en-GB"/>
              </w:rPr>
            </w:pPr>
            <w:r w:rsidRPr="00CB4B80">
              <w:rPr>
                <w:b/>
                <w:bCs/>
                <w:szCs w:val="22"/>
                <w:lang w:val="en-GB"/>
              </w:rPr>
              <w:t>3.1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25D9A42" w14:textId="2975F4CE" w:rsidR="0094273D" w:rsidRPr="00CB4B80" w:rsidRDefault="00C9408D" w:rsidP="00E54403">
            <w:pPr>
              <w:spacing w:line="240" w:lineRule="auto"/>
              <w:rPr>
                <w:szCs w:val="22"/>
                <w:lang w:val="en-GB"/>
              </w:rPr>
            </w:pPr>
            <w:r>
              <w:rPr>
                <w:szCs w:val="22"/>
                <w:lang w:val="en-GB"/>
              </w:rPr>
              <w:t>Excellent abilities in presenting written information in simple but powerful language.</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BF3D116" w14:textId="52F9198C" w:rsidR="0094273D" w:rsidRPr="00CB4B80" w:rsidRDefault="00C9408D" w:rsidP="00E54403">
            <w:pPr>
              <w:spacing w:line="240" w:lineRule="auto"/>
              <w:rPr>
                <w:szCs w:val="22"/>
                <w:lang w:val="en-GB"/>
              </w:rPr>
            </w:pPr>
            <w:r>
              <w:rPr>
                <w:szCs w:val="22"/>
                <w:lang w:val="en-GB"/>
              </w:rPr>
              <w:t>20</w:t>
            </w:r>
          </w:p>
        </w:tc>
      </w:tr>
      <w:tr w:rsidR="0094273D" w:rsidRPr="00CB4B80" w14:paraId="757D3FF3" w14:textId="77777777" w:rsidTr="74673A78">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55058C6D" w14:textId="77777777" w:rsidR="0094273D" w:rsidRPr="00CB4B80" w:rsidRDefault="0094273D" w:rsidP="00E54403">
            <w:pPr>
              <w:spacing w:line="240" w:lineRule="auto"/>
              <w:jc w:val="right"/>
              <w:rPr>
                <w:b/>
                <w:bCs/>
                <w:szCs w:val="22"/>
                <w:lang w:val="en-GB"/>
              </w:rPr>
            </w:pPr>
            <w:r w:rsidRPr="00CB4B80">
              <w:rPr>
                <w:b/>
                <w:bCs/>
                <w:szCs w:val="22"/>
                <w:lang w:val="en-GB"/>
              </w:rPr>
              <w:t>3.</w:t>
            </w:r>
            <w:r>
              <w:rPr>
                <w:b/>
                <w:bCs/>
                <w:szCs w:val="22"/>
                <w:lang w:val="en-GB"/>
              </w:rPr>
              <w:t>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0E90CB6" w14:textId="29543CB5" w:rsidR="0094273D" w:rsidRPr="00CB4B80" w:rsidRDefault="00C9408D" w:rsidP="00E54403">
            <w:pPr>
              <w:spacing w:line="240" w:lineRule="auto"/>
              <w:rPr>
                <w:szCs w:val="22"/>
                <w:lang w:val="en-GB"/>
              </w:rPr>
            </w:pPr>
            <w:r>
              <w:rPr>
                <w:rFonts w:asciiTheme="minorHAnsi" w:hAnsiTheme="minorHAnsi"/>
                <w:szCs w:val="22"/>
              </w:rPr>
              <w:t>Strong abilities of coordination.</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1799772A" w14:textId="2F43852D" w:rsidR="0094273D" w:rsidRPr="00CB4B80" w:rsidRDefault="00C9408D" w:rsidP="00E54403">
            <w:pPr>
              <w:spacing w:line="240" w:lineRule="auto"/>
              <w:rPr>
                <w:szCs w:val="22"/>
                <w:lang w:val="en-GB"/>
              </w:rPr>
            </w:pPr>
            <w:r>
              <w:rPr>
                <w:szCs w:val="22"/>
                <w:lang w:val="en-GB"/>
              </w:rPr>
              <w:t>20</w:t>
            </w:r>
          </w:p>
        </w:tc>
      </w:tr>
      <w:tr w:rsidR="00C9408D" w:rsidRPr="00CB4B80" w14:paraId="13A6F331" w14:textId="77777777" w:rsidTr="74673A78">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54A61C61" w14:textId="730CAB03" w:rsidR="00C9408D" w:rsidRPr="00CB4B80" w:rsidRDefault="00C9408D" w:rsidP="00E54403">
            <w:pPr>
              <w:spacing w:line="240" w:lineRule="auto"/>
              <w:jc w:val="right"/>
              <w:rPr>
                <w:b/>
                <w:bCs/>
                <w:szCs w:val="22"/>
                <w:lang w:val="en-GB"/>
              </w:rPr>
            </w:pPr>
            <w:r>
              <w:rPr>
                <w:b/>
                <w:bCs/>
                <w:szCs w:val="22"/>
                <w:lang w:val="en-GB"/>
              </w:rPr>
              <w:t>3.3</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39B9633" w14:textId="535373DB" w:rsidR="00C9408D" w:rsidRDefault="00C9408D" w:rsidP="00E54403">
            <w:pPr>
              <w:spacing w:line="240" w:lineRule="auto"/>
              <w:rPr>
                <w:rFonts w:asciiTheme="minorHAnsi" w:hAnsiTheme="minorHAnsi"/>
                <w:szCs w:val="22"/>
              </w:rPr>
            </w:pPr>
            <w:r>
              <w:rPr>
                <w:rFonts w:asciiTheme="minorHAnsi" w:hAnsiTheme="minorHAnsi"/>
                <w:szCs w:val="22"/>
              </w:rPr>
              <w:t>Proficiency in working with Microsoft Office Suite, excel and social media.</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2DDD7A8" w14:textId="05509DA7" w:rsidR="00C9408D" w:rsidRDefault="00C9408D" w:rsidP="00E54403">
            <w:pPr>
              <w:spacing w:line="240" w:lineRule="auto"/>
              <w:rPr>
                <w:szCs w:val="22"/>
                <w:lang w:val="en-GB"/>
              </w:rPr>
            </w:pPr>
            <w:r>
              <w:rPr>
                <w:szCs w:val="22"/>
                <w:lang w:val="en-GB"/>
              </w:rPr>
              <w:t>15</w:t>
            </w:r>
          </w:p>
        </w:tc>
      </w:tr>
      <w:tr w:rsidR="0094273D" w:rsidRPr="00CB4B80" w14:paraId="355E453D" w14:textId="77777777" w:rsidTr="74673A78">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EEC7991" w14:textId="2DFF89E1" w:rsidR="0094273D" w:rsidRPr="00CB4B80" w:rsidRDefault="0094273D" w:rsidP="00E54403">
            <w:pPr>
              <w:spacing w:line="240" w:lineRule="auto"/>
              <w:jc w:val="right"/>
              <w:rPr>
                <w:b/>
                <w:bCs/>
                <w:szCs w:val="22"/>
                <w:lang w:val="es-419"/>
              </w:rPr>
            </w:pPr>
            <w:r w:rsidRPr="00CB4B80">
              <w:rPr>
                <w:b/>
                <w:bCs/>
                <w:szCs w:val="22"/>
                <w:lang w:val="en-GB"/>
              </w:rPr>
              <w:t>3.</w:t>
            </w:r>
            <w:r w:rsidR="00C9408D">
              <w:rPr>
                <w:b/>
                <w:bCs/>
                <w:szCs w:val="22"/>
                <w:lang w:val="en-GB"/>
              </w:rPr>
              <w:t>4</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1006FAB" w14:textId="77777777" w:rsidR="0094273D" w:rsidRPr="00CB4B80" w:rsidRDefault="0094273D" w:rsidP="00E54403">
            <w:pPr>
              <w:spacing w:line="240" w:lineRule="auto"/>
              <w:rPr>
                <w:szCs w:val="22"/>
                <w:lang w:val="en-GB"/>
              </w:rPr>
            </w:pPr>
            <w:r>
              <w:rPr>
                <w:color w:val="auto"/>
                <w:szCs w:val="22"/>
              </w:rPr>
              <w:t>Language skills: proficiency in Portuguese and English</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8C8AB3E" w14:textId="77777777" w:rsidR="0094273D" w:rsidRPr="00CB4B80" w:rsidRDefault="0094273D" w:rsidP="00E54403">
            <w:pPr>
              <w:spacing w:line="240" w:lineRule="auto"/>
              <w:rPr>
                <w:szCs w:val="22"/>
                <w:lang w:val="en-GB"/>
              </w:rPr>
            </w:pPr>
            <w:r>
              <w:rPr>
                <w:szCs w:val="22"/>
                <w:lang w:val="en-GB"/>
              </w:rPr>
              <w:t>5</w:t>
            </w:r>
          </w:p>
        </w:tc>
      </w:tr>
      <w:tr w:rsidR="0094273D" w:rsidRPr="00CB4B80" w14:paraId="173E8098" w14:textId="77777777" w:rsidTr="74673A78">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7C92F538" w14:textId="77777777" w:rsidR="0094273D" w:rsidRPr="00CB4B80" w:rsidRDefault="0094273D" w:rsidP="00E54403">
            <w:pPr>
              <w:spacing w:line="240" w:lineRule="auto"/>
              <w:rPr>
                <w:b/>
                <w:bCs/>
                <w:szCs w:val="22"/>
                <w:lang w:val="en-GB"/>
              </w:rPr>
            </w:pP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CD67129" w14:textId="77777777" w:rsidR="0094273D" w:rsidRPr="00CB4B80" w:rsidRDefault="0094273D" w:rsidP="00E54403">
            <w:pPr>
              <w:spacing w:line="240" w:lineRule="auto"/>
              <w:rPr>
                <w:b/>
                <w:bCs/>
                <w:szCs w:val="22"/>
                <w:lang w:val="en-GB"/>
              </w:rPr>
            </w:pPr>
            <w:r>
              <w:rPr>
                <w:noProof/>
              </w:rPr>
              <w:drawing>
                <wp:inline distT="0" distB="0" distL="0" distR="0" wp14:anchorId="25E5522A" wp14:editId="2D231618">
                  <wp:extent cx="9525" cy="9525"/>
                  <wp:effectExtent l="0" t="0" r="0" b="0"/>
                  <wp:docPr id="2" name="Picture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EF5C082">
              <w:rPr>
                <w:b/>
                <w:bCs/>
                <w:lang w:val="en-GB"/>
              </w:rPr>
              <w:t>Total Technical Score</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39C009A3" w14:textId="77777777" w:rsidR="0094273D" w:rsidRPr="008C4028" w:rsidRDefault="0094273D" w:rsidP="00E54403">
            <w:pPr>
              <w:spacing w:line="240" w:lineRule="auto"/>
              <w:rPr>
                <w:b/>
                <w:szCs w:val="22"/>
              </w:rPr>
            </w:pPr>
            <w:r>
              <w:rPr>
                <w:b/>
                <w:szCs w:val="22"/>
              </w:rPr>
              <w:t>100</w:t>
            </w:r>
          </w:p>
        </w:tc>
      </w:tr>
      <w:tr w:rsidR="0094273D" w:rsidRPr="00CB4B80" w14:paraId="275D90AC" w14:textId="77777777" w:rsidTr="74673A78">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53D7FA8B" w14:textId="77777777" w:rsidR="0094273D" w:rsidRPr="00CB4B80" w:rsidRDefault="0094273D" w:rsidP="00E54403">
            <w:pPr>
              <w:spacing w:line="240" w:lineRule="auto"/>
              <w:rPr>
                <w:b/>
                <w:bCs/>
                <w:szCs w:val="22"/>
                <w:lang w:val="en-GB"/>
              </w:rPr>
            </w:pPr>
          </w:p>
        </w:tc>
        <w:tc>
          <w:tcPr>
            <w:tcW w:w="401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1FB39099" w14:textId="77777777" w:rsidR="0094273D" w:rsidRPr="00CB4B80" w:rsidRDefault="0094273D" w:rsidP="00E54403">
            <w:pPr>
              <w:spacing w:line="240" w:lineRule="auto"/>
              <w:rPr>
                <w:b/>
                <w:bCs/>
                <w:szCs w:val="22"/>
                <w:lang w:val="en-GB"/>
              </w:rPr>
            </w:pPr>
            <w:r w:rsidRPr="00CB4B80">
              <w:rPr>
                <w:b/>
                <w:bCs/>
                <w:szCs w:val="22"/>
                <w:lang w:val="en-GB"/>
              </w:rPr>
              <w:t xml:space="preserve">Minimum Technical </w:t>
            </w:r>
            <w:r>
              <w:rPr>
                <w:b/>
                <w:bCs/>
                <w:szCs w:val="22"/>
                <w:lang w:val="en-GB"/>
              </w:rPr>
              <w:t>for pass to financial assessment</w:t>
            </w:r>
          </w:p>
        </w:tc>
        <w:tc>
          <w:tcPr>
            <w:tcW w:w="675"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46BEF8DA" w14:textId="77777777" w:rsidR="0094273D" w:rsidRPr="008C4028" w:rsidRDefault="0094273D" w:rsidP="00E54403">
            <w:pPr>
              <w:spacing w:line="240" w:lineRule="auto"/>
              <w:rPr>
                <w:b/>
                <w:bCs/>
                <w:szCs w:val="22"/>
              </w:rPr>
            </w:pPr>
            <w:r>
              <w:rPr>
                <w:b/>
                <w:bCs/>
                <w:szCs w:val="22"/>
              </w:rPr>
              <w:t>70</w:t>
            </w:r>
          </w:p>
        </w:tc>
      </w:tr>
      <w:tr w:rsidR="0094273D" w:rsidRPr="00CB4B80" w14:paraId="77EBA351" w14:textId="77777777" w:rsidTr="74673A78">
        <w:trPr>
          <w:jc w:val="center"/>
        </w:trPr>
        <w:tc>
          <w:tcPr>
            <w:tcW w:w="315"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4B83E948" w14:textId="77777777" w:rsidR="0094273D" w:rsidRPr="00CB4B80" w:rsidRDefault="0094273D" w:rsidP="00E54403">
            <w:pPr>
              <w:spacing w:line="240" w:lineRule="auto"/>
              <w:rPr>
                <w:b/>
                <w:bCs/>
                <w:szCs w:val="22"/>
                <w:lang w:val="en-GB"/>
              </w:rPr>
            </w:pPr>
          </w:p>
        </w:tc>
        <w:tc>
          <w:tcPr>
            <w:tcW w:w="4685" w:type="pct"/>
            <w:gridSpan w:val="2"/>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1E993DFC" w14:textId="77777777" w:rsidR="0094273D" w:rsidRPr="00CB4B80" w:rsidRDefault="0094273D" w:rsidP="00E54403">
            <w:pPr>
              <w:spacing w:line="240" w:lineRule="auto"/>
              <w:rPr>
                <w:b/>
                <w:bCs/>
                <w:szCs w:val="22"/>
                <w:lang w:val="en-GB"/>
              </w:rPr>
            </w:pPr>
            <w:r w:rsidRPr="00E8442F">
              <w:rPr>
                <w:i/>
              </w:rPr>
              <w:t>Only those candidates meeting the minimum technical score will be eligible for further review.</w:t>
            </w:r>
          </w:p>
        </w:tc>
      </w:tr>
    </w:tbl>
    <w:p w14:paraId="4516AC85" w14:textId="00BCD4D5" w:rsidR="002945C8" w:rsidRDefault="002945C8" w:rsidP="00714B3C">
      <w:pPr>
        <w:spacing w:line="240" w:lineRule="auto"/>
        <w:contextualSpacing/>
        <w:rPr>
          <w:rFonts w:cs="Calibri"/>
          <w:szCs w:val="22"/>
        </w:rPr>
      </w:pPr>
    </w:p>
    <w:p w14:paraId="673D9597" w14:textId="2A621358" w:rsidR="00C9408D" w:rsidRDefault="00C9408D" w:rsidP="00714B3C">
      <w:pPr>
        <w:spacing w:line="240" w:lineRule="auto"/>
        <w:contextualSpacing/>
        <w:rPr>
          <w:rFonts w:cs="Calibri"/>
          <w:szCs w:val="22"/>
        </w:rPr>
      </w:pPr>
      <w:r w:rsidRPr="00C9408D">
        <w:rPr>
          <w:rFonts w:cs="Calibri"/>
          <w:b/>
          <w:bCs/>
          <w:color w:val="0070C0"/>
          <w:szCs w:val="22"/>
        </w:rPr>
        <w:lastRenderedPageBreak/>
        <w:t>Remarks:</w:t>
      </w:r>
      <w:r w:rsidRPr="00C9408D">
        <w:rPr>
          <w:rFonts w:cs="Calibri"/>
          <w:color w:val="0070C0"/>
          <w:szCs w:val="22"/>
        </w:rPr>
        <w:t xml:space="preserve"> </w:t>
      </w:r>
      <w:r>
        <w:rPr>
          <w:rFonts w:cs="Calibri"/>
          <w:szCs w:val="22"/>
        </w:rPr>
        <w:t>Candidate should be Mozambican citizen.</w:t>
      </w:r>
    </w:p>
    <w:p w14:paraId="52CBFEFE" w14:textId="77777777" w:rsidR="00C9408D" w:rsidRDefault="00C9408D" w:rsidP="00714B3C">
      <w:pPr>
        <w:spacing w:line="240" w:lineRule="auto"/>
        <w:contextualSpacing/>
        <w:rPr>
          <w:rFonts w:cs="Calibri"/>
          <w:szCs w:val="22"/>
        </w:rPr>
      </w:pPr>
    </w:p>
    <w:p w14:paraId="163E4497" w14:textId="6DDA14D7" w:rsidR="00C9408D" w:rsidRDefault="00C9408D" w:rsidP="00714B3C">
      <w:pPr>
        <w:spacing w:line="240" w:lineRule="auto"/>
        <w:contextualSpacing/>
        <w:rPr>
          <w:rFonts w:cs="Calibri"/>
          <w:szCs w:val="22"/>
        </w:rPr>
      </w:pPr>
    </w:p>
    <w:p w14:paraId="625E80F4" w14:textId="77777777" w:rsidR="00C9408D" w:rsidRPr="00714B3C" w:rsidRDefault="00C9408D" w:rsidP="00714B3C">
      <w:pPr>
        <w:spacing w:line="240" w:lineRule="auto"/>
        <w:contextualSpacing/>
        <w:rPr>
          <w:rFonts w:cs="Calibri"/>
          <w:szCs w:val="22"/>
        </w:rPr>
      </w:pPr>
    </w:p>
    <w:p w14:paraId="32795015" w14:textId="48F00C5B" w:rsidR="00714B3C" w:rsidRPr="00714B3C" w:rsidRDefault="00714B3C" w:rsidP="00714B3C">
      <w:pPr>
        <w:spacing w:line="240" w:lineRule="auto"/>
        <w:contextualSpacing/>
        <w:jc w:val="both"/>
        <w:rPr>
          <w:rFonts w:cs="Calibri"/>
          <w:b/>
          <w:color w:val="FF6600"/>
          <w:sz w:val="24"/>
          <w:szCs w:val="22"/>
          <w:lang w:val="en-GB"/>
        </w:rPr>
      </w:pPr>
      <w:r w:rsidRPr="00714B3C">
        <w:rPr>
          <w:rFonts w:cs="Calibri"/>
          <w:b/>
          <w:color w:val="FF6600"/>
          <w:sz w:val="24"/>
          <w:szCs w:val="22"/>
          <w:lang w:val="en-GB"/>
        </w:rPr>
        <w:t>REMARKS.</w:t>
      </w:r>
    </w:p>
    <w:p w14:paraId="3659673C" w14:textId="2DC8B11E" w:rsidR="00F804EC" w:rsidRDefault="0094273D" w:rsidP="00714B3C">
      <w:pPr>
        <w:spacing w:line="240" w:lineRule="auto"/>
        <w:jc w:val="both"/>
        <w:rPr>
          <w:color w:val="000000" w:themeColor="text1"/>
          <w:szCs w:val="22"/>
          <w:lang w:val="en-GB"/>
        </w:rPr>
      </w:pPr>
      <w:r w:rsidRPr="00692E25">
        <w:rPr>
          <w:color w:val="000000" w:themeColor="text1"/>
          <w:szCs w:val="22"/>
          <w:lang w:val="en-GB"/>
        </w:rPr>
        <w:t xml:space="preserve">The </w:t>
      </w:r>
      <w:r>
        <w:rPr>
          <w:color w:val="000000" w:themeColor="text1"/>
          <w:szCs w:val="22"/>
          <w:lang w:val="en-GB"/>
        </w:rPr>
        <w:t xml:space="preserve">application needs to be accompanied by concrete examples (publications, articles, discussion papers, etc) of analyses that show experience and competence to undertake this consultancy in line with the required qualifications described above. </w:t>
      </w:r>
    </w:p>
    <w:p w14:paraId="10041820" w14:textId="77777777" w:rsidR="00B544F3" w:rsidRDefault="00B544F3" w:rsidP="00714B3C">
      <w:pPr>
        <w:spacing w:line="240" w:lineRule="auto"/>
        <w:jc w:val="both"/>
        <w:rPr>
          <w:color w:val="000000" w:themeColor="text1"/>
          <w:szCs w:val="22"/>
          <w:lang w:val="en-GB"/>
        </w:rPr>
      </w:pPr>
    </w:p>
    <w:p w14:paraId="288DF69D" w14:textId="77777777" w:rsidR="00A85B71" w:rsidRDefault="00A85B71" w:rsidP="00A85B71">
      <w:pPr>
        <w:spacing w:line="240" w:lineRule="auto"/>
        <w:jc w:val="both"/>
        <w:rPr>
          <w:rFonts w:cs="Arial"/>
          <w:b/>
          <w:szCs w:val="22"/>
          <w:lang w:val="en-GB"/>
        </w:rPr>
      </w:pPr>
      <w:bookmarkStart w:id="0" w:name="_Hlk69386427"/>
    </w:p>
    <w:p w14:paraId="693A9DFA" w14:textId="77777777" w:rsidR="00A85B71" w:rsidRPr="001403C9" w:rsidRDefault="00A85B71" w:rsidP="00A85B71">
      <w:pPr>
        <w:spacing w:line="240" w:lineRule="auto"/>
        <w:jc w:val="both"/>
        <w:rPr>
          <w:rFonts w:cs="Arial"/>
          <w:b/>
          <w:szCs w:val="22"/>
          <w:lang w:val="en-GB"/>
        </w:rPr>
      </w:pP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tblBorders>
        <w:tblLayout w:type="fixed"/>
        <w:tblLook w:val="0480" w:firstRow="0" w:lastRow="0" w:firstColumn="1" w:lastColumn="0" w:noHBand="0" w:noVBand="1"/>
      </w:tblPr>
      <w:tblGrid>
        <w:gridCol w:w="9887"/>
      </w:tblGrid>
      <w:tr w:rsidR="00A85B71" w:rsidRPr="007613B3" w14:paraId="38CCC271" w14:textId="77777777" w:rsidTr="001766DE">
        <w:trPr>
          <w:trHeight w:val="60"/>
        </w:trPr>
        <w:tc>
          <w:tcPr>
            <w:tcW w:w="9887" w:type="dxa"/>
            <w:shd w:val="clear" w:color="auto" w:fill="auto"/>
            <w:noWrap/>
          </w:tcPr>
          <w:p w14:paraId="08CB81D3"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bookmarkStart w:id="1" w:name="_Hlk69349203"/>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024034C0" w14:textId="77777777" w:rsidR="00A85B71" w:rsidRDefault="00A85B71" w:rsidP="001766DE">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2"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74346CF5" w14:textId="77777777" w:rsidR="00A85B71" w:rsidRDefault="00A85B71" w:rsidP="001766DE">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1A44F097" w14:textId="736BFF39" w:rsidR="00A85B71" w:rsidRDefault="00A85B71" w:rsidP="001766DE">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6A5655">
              <w:rPr>
                <w:rStyle w:val="normaltextrun"/>
                <w:rFonts w:ascii="Calibri" w:hAnsi="Calibri" w:cs="Calibri"/>
                <w:sz w:val="20"/>
                <w:szCs w:val="20"/>
                <w:lang w:val="en-AU"/>
              </w:rPr>
              <w:t>X</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1CE8587"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4AE5807B"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17ED2DC"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6C3C81"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285A0100"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A85B71" w14:paraId="13321227" w14:textId="77777777" w:rsidTr="001766DE">
              <w:tc>
                <w:tcPr>
                  <w:tcW w:w="9661" w:type="dxa"/>
                </w:tcPr>
                <w:p w14:paraId="1FE51234" w14:textId="77777777" w:rsidR="00A85B71" w:rsidRDefault="00A85B71" w:rsidP="000D162F">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31F80705" w14:textId="77777777" w:rsidR="00A85B71" w:rsidRDefault="00A85B71" w:rsidP="000D162F">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02EF12A7"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p>
          <w:p w14:paraId="28AB31CA"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4AA1D0CD"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5573A">
              <w:rPr>
                <w:rFonts w:ascii="Calibri" w:eastAsia="Arial Unicode MS" w:hAnsi="Calibri" w:cs="Calibri"/>
                <w:sz w:val="20"/>
                <w:szCs w:val="20"/>
                <w:lang w:val="en-AU"/>
              </w:rPr>
            </w:r>
            <w:r w:rsidR="0005573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3CD41EB7"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30AB2EF1" w14:textId="77777777" w:rsidR="00A85B71" w:rsidRDefault="00A85B71" w:rsidP="001766DE">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A85B71" w14:paraId="572A204C" w14:textId="77777777" w:rsidTr="001766DE">
              <w:tc>
                <w:tcPr>
                  <w:tcW w:w="9661" w:type="dxa"/>
                </w:tcPr>
                <w:p w14:paraId="3234B2F0" w14:textId="77777777" w:rsidR="00A85B71" w:rsidRDefault="00A85B71" w:rsidP="000D162F">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2AC15D6E" w14:textId="77777777" w:rsidR="00A85B71" w:rsidRDefault="00A85B71" w:rsidP="000D162F">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0625ED90" w14:textId="77777777" w:rsidR="00A85B71" w:rsidRDefault="00A85B71" w:rsidP="001766DE">
            <w:pPr>
              <w:pStyle w:val="paragraph"/>
              <w:spacing w:before="0" w:beforeAutospacing="0" w:after="0" w:afterAutospacing="0"/>
              <w:textAlignment w:val="baseline"/>
              <w:rPr>
                <w:rStyle w:val="eop"/>
                <w:rFonts w:ascii="Calibri" w:hAnsi="Calibri" w:cs="Calibri"/>
                <w:sz w:val="20"/>
                <w:szCs w:val="20"/>
              </w:rPr>
            </w:pPr>
          </w:p>
          <w:p w14:paraId="78175AA4" w14:textId="77777777" w:rsidR="00A85B71" w:rsidRDefault="00A85B71" w:rsidP="001766D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3"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4"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2FD41A9" w14:textId="77777777" w:rsidR="00A85B71" w:rsidRPr="00B14BE6" w:rsidRDefault="00A85B71" w:rsidP="001766DE">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bookmarkEnd w:id="0"/>
      <w:bookmarkEnd w:id="1"/>
    </w:tbl>
    <w:p w14:paraId="0D650D64" w14:textId="77777777" w:rsidR="00B544F3" w:rsidRPr="00A85B71" w:rsidRDefault="00B544F3" w:rsidP="00714B3C">
      <w:pPr>
        <w:spacing w:line="240" w:lineRule="auto"/>
        <w:jc w:val="both"/>
        <w:rPr>
          <w:color w:val="000000" w:themeColor="text1"/>
          <w:szCs w:val="22"/>
        </w:rPr>
      </w:pPr>
    </w:p>
    <w:p w14:paraId="63DFC00B" w14:textId="0134CA10" w:rsidR="00714B3C" w:rsidRPr="00714B3C" w:rsidRDefault="00714B3C" w:rsidP="00714B3C">
      <w:pPr>
        <w:spacing w:line="240" w:lineRule="auto"/>
        <w:contextualSpacing/>
        <w:jc w:val="both"/>
        <w:rPr>
          <w:rFonts w:cs="Calibri"/>
          <w:szCs w:val="22"/>
        </w:rPr>
      </w:pPr>
    </w:p>
    <w:p w14:paraId="61388B79" w14:textId="77777777" w:rsidR="00714B3C" w:rsidRPr="00714B3C" w:rsidRDefault="00714B3C" w:rsidP="00714B3C">
      <w:pPr>
        <w:spacing w:line="240" w:lineRule="auto"/>
        <w:contextualSpacing/>
        <w:jc w:val="both"/>
        <w:rPr>
          <w:rFonts w:cs="Calibri"/>
          <w:szCs w:val="22"/>
        </w:rPr>
      </w:pPr>
    </w:p>
    <w:p w14:paraId="109202F2" w14:textId="08C70F91" w:rsidR="001769C7" w:rsidRPr="00714B3C" w:rsidRDefault="002945C8" w:rsidP="005F01E1">
      <w:pPr>
        <w:tabs>
          <w:tab w:val="left" w:pos="4230"/>
        </w:tabs>
        <w:spacing w:line="240" w:lineRule="auto"/>
        <w:contextualSpacing/>
        <w:rPr>
          <w:rFonts w:cs="Calibri"/>
        </w:rPr>
      </w:pPr>
      <w:r w:rsidRPr="00714B3C">
        <w:rPr>
          <w:rFonts w:cs="Calibri"/>
        </w:rPr>
        <w:tab/>
      </w:r>
    </w:p>
    <w:sectPr w:rsidR="001769C7" w:rsidRPr="00714B3C" w:rsidSect="00B168FE">
      <w:headerReference w:type="default" r:id="rId15"/>
      <w:footerReference w:type="default" r:id="rId16"/>
      <w:pgSz w:w="11907" w:h="16840" w:code="9"/>
      <w:pgMar w:top="1728" w:right="720" w:bottom="115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88A4" w14:textId="77777777" w:rsidR="0005573A" w:rsidRDefault="0005573A">
      <w:r>
        <w:separator/>
      </w:r>
    </w:p>
  </w:endnote>
  <w:endnote w:type="continuationSeparator" w:id="0">
    <w:p w14:paraId="044EE89C" w14:textId="77777777" w:rsidR="0005573A" w:rsidRDefault="0005573A">
      <w:r>
        <w:continuationSeparator/>
      </w:r>
    </w:p>
  </w:endnote>
  <w:endnote w:type="continuationNotice" w:id="1">
    <w:p w14:paraId="0C735A37" w14:textId="77777777" w:rsidR="0005573A" w:rsidRDefault="000557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1596" w14:textId="51B41F30" w:rsidR="008868C1" w:rsidRPr="00174F95" w:rsidRDefault="008868C1" w:rsidP="00174F95">
    <w:pPr>
      <w:pStyle w:val="Footer"/>
      <w:spacing w:line="240" w:lineRule="auto"/>
      <w:jc w:val="right"/>
      <w:rPr>
        <w:sz w:val="16"/>
      </w:rPr>
    </w:pPr>
    <w:r>
      <w:rPr>
        <w:sz w:val="16"/>
      </w:rPr>
      <w:t xml:space="preserve">Rev. Nov2017 - </w:t>
    </w:r>
    <w:r w:rsidRPr="00174F95">
      <w:rPr>
        <w:sz w:val="16"/>
      </w:rPr>
      <w:t xml:space="preserve">Page </w:t>
    </w:r>
    <w:r w:rsidRPr="00174F95">
      <w:rPr>
        <w:bCs/>
        <w:sz w:val="16"/>
      </w:rPr>
      <w:fldChar w:fldCharType="begin"/>
    </w:r>
    <w:r w:rsidRPr="00174F95">
      <w:rPr>
        <w:bCs/>
        <w:sz w:val="16"/>
      </w:rPr>
      <w:instrText xml:space="preserve"> PAGE  \* Arabic  \* MERGEFORMAT </w:instrText>
    </w:r>
    <w:r w:rsidRPr="00174F95">
      <w:rPr>
        <w:bCs/>
        <w:sz w:val="16"/>
      </w:rPr>
      <w:fldChar w:fldCharType="separate"/>
    </w:r>
    <w:r w:rsidR="00332AE1">
      <w:rPr>
        <w:bCs/>
        <w:noProof/>
        <w:sz w:val="16"/>
      </w:rPr>
      <w:t>5</w:t>
    </w:r>
    <w:r w:rsidRPr="00174F95">
      <w:rPr>
        <w:bCs/>
        <w:sz w:val="16"/>
      </w:rPr>
      <w:fldChar w:fldCharType="end"/>
    </w:r>
    <w:r w:rsidRPr="00174F95">
      <w:rPr>
        <w:sz w:val="16"/>
      </w:rPr>
      <w:t xml:space="preserve"> of </w:t>
    </w:r>
    <w:r w:rsidRPr="00174F95">
      <w:rPr>
        <w:bCs/>
        <w:sz w:val="16"/>
      </w:rPr>
      <w:fldChar w:fldCharType="begin"/>
    </w:r>
    <w:r w:rsidRPr="00174F95">
      <w:rPr>
        <w:bCs/>
        <w:sz w:val="16"/>
      </w:rPr>
      <w:instrText xml:space="preserve"> NUMPAGES  \* Arabic  \* MERGEFORMAT </w:instrText>
    </w:r>
    <w:r w:rsidRPr="00174F95">
      <w:rPr>
        <w:bCs/>
        <w:sz w:val="16"/>
      </w:rPr>
      <w:fldChar w:fldCharType="separate"/>
    </w:r>
    <w:r w:rsidR="00332AE1">
      <w:rPr>
        <w:bCs/>
        <w:noProof/>
        <w:sz w:val="16"/>
      </w:rPr>
      <w:t>5</w:t>
    </w:r>
    <w:r w:rsidRPr="00174F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8E7F7" w14:textId="77777777" w:rsidR="0005573A" w:rsidRDefault="0005573A">
      <w:r>
        <w:separator/>
      </w:r>
    </w:p>
  </w:footnote>
  <w:footnote w:type="continuationSeparator" w:id="0">
    <w:p w14:paraId="5B3CE372" w14:textId="77777777" w:rsidR="0005573A" w:rsidRDefault="0005573A">
      <w:r>
        <w:continuationSeparator/>
      </w:r>
    </w:p>
  </w:footnote>
  <w:footnote w:type="continuationNotice" w:id="1">
    <w:p w14:paraId="5E958694" w14:textId="77777777" w:rsidR="0005573A" w:rsidRDefault="000557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E095" w14:textId="7FD71378" w:rsidR="008868C1" w:rsidRDefault="008868C1" w:rsidP="00872272">
    <w:pPr>
      <w:pStyle w:val="Heading3"/>
      <w:spacing w:before="0" w:after="0"/>
    </w:pPr>
    <w:r>
      <w:rPr>
        <w:noProof/>
        <w:lang w:val="es-CL" w:eastAsia="es-CL"/>
      </w:rPr>
      <w:drawing>
        <wp:anchor distT="0" distB="0" distL="114300" distR="114300" simplePos="0" relativeHeight="251658241" behindDoc="0" locked="0" layoutInCell="1" allowOverlap="1" wp14:anchorId="427DB568" wp14:editId="61591E3E">
          <wp:simplePos x="0" y="0"/>
          <wp:positionH relativeFrom="column">
            <wp:posOffset>-96520</wp:posOffset>
          </wp:positionH>
          <wp:positionV relativeFrom="paragraph">
            <wp:posOffset>-165205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430BD084" w14:textId="77777777" w:rsidR="008868C1" w:rsidRPr="00872272" w:rsidRDefault="008868C1" w:rsidP="00872272">
    <w:pPr>
      <w:pStyle w:val="Heading3"/>
      <w:spacing w:before="0" w:after="0"/>
      <w:jc w:val="right"/>
      <w:rPr>
        <w:rFonts w:ascii="Calibri" w:hAnsi="Calibri" w:cs="Arial"/>
        <w:i/>
        <w:color w:val="000000"/>
        <w:sz w:val="12"/>
        <w:lang w:val="es-419"/>
      </w:rPr>
    </w:pPr>
  </w:p>
  <w:p w14:paraId="5122E37B" w14:textId="70F7CA0C" w:rsidR="008868C1" w:rsidRPr="0056512D" w:rsidRDefault="008868C1" w:rsidP="00872272">
    <w:pPr>
      <w:pStyle w:val="Heading3"/>
      <w:spacing w:before="0" w:after="0"/>
      <w:jc w:val="right"/>
    </w:pPr>
    <w:r w:rsidRPr="00B168FE">
      <w:rPr>
        <w:rFonts w:ascii="Calibri" w:hAnsi="Calibri" w:cstheme="minorHAnsi"/>
        <w:b w:val="0"/>
        <w:color w:val="404040" w:themeColor="text1" w:themeTint="BF"/>
        <w:sz w:val="20"/>
        <w:szCs w:val="20"/>
      </w:rPr>
      <w:t xml:space="preserve">UNICEF </w:t>
    </w:r>
    <w:r w:rsidRPr="00B168FE">
      <w:rPr>
        <w:rFonts w:ascii="Calibri" w:hAnsi="Calibri" w:cstheme="minorHAnsi"/>
        <w:b w:val="0"/>
        <w:caps w:val="0"/>
        <w:color w:val="404040" w:themeColor="text1" w:themeTint="BF"/>
        <w:sz w:val="20"/>
        <w:szCs w:val="20"/>
      </w:rPr>
      <w:t>Mozambique</w:t>
    </w:r>
    <w:r w:rsidRPr="00B168FE">
      <w:rPr>
        <w:b w:val="0"/>
        <w:noProof/>
        <w:color w:val="404040" w:themeColor="text1" w:themeTint="BF"/>
        <w:sz w:val="20"/>
        <w:lang w:val="es-CL" w:eastAsia="es-CL"/>
      </w:rPr>
      <mc:AlternateContent>
        <mc:Choice Requires="wps">
          <w:drawing>
            <wp:anchor distT="4294967295" distB="4294967295" distL="114300" distR="114300" simplePos="0" relativeHeight="251658240" behindDoc="0" locked="0" layoutInCell="1" allowOverlap="1" wp14:anchorId="3CCE03D9" wp14:editId="10B53585">
              <wp:simplePos x="0" y="0"/>
              <wp:positionH relativeFrom="margin">
                <wp:posOffset>-4762</wp:posOffset>
              </wp:positionH>
              <wp:positionV relativeFrom="page">
                <wp:posOffset>752474</wp:posOffset>
              </wp:positionV>
              <wp:extent cx="6657975" cy="4763"/>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4763"/>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7969E0"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35pt,59.25pt" to="523.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Gv9QEAAM4DAAAOAAAAZHJzL2Uyb0RvYy54bWysU01v2zAMvQ/YfxB0X+ymS9IacXpIkF26&#10;LUC23VlZtoXpC6IaO/9+lJyl7XYb5oMg8eORj3xeP4xGs5MMqJyt+c2s5Exa4Rplu5p//7b/cMcZ&#10;RrANaGdlzc8S+cPm/bv14Cs5d73TjQyMQCxWg695H6OvigJFLw3gzHlpydm6YCDSM3RFE2AgdKOL&#10;eVkui8GFxgcnJCJZd5OTbzJ+20oRv7Ytysh0zam3mM+Qz6d0Fps1VF0A3ytxaQP+oQsDylLRK9QO&#10;IrDnoP6CMkoEh66NM+FM4dpWCZk5EJub8g82xx68zFxoOOivY8L/Byu+nA6Bqabmt5xZMLSiYwyg&#10;uj6yrbOWBugCu01zGjxWFL61h5CYitEe/aMTP5F8xRtneqCfwsY2GNZq5X+QPPKIiDQb8wbO1w3I&#10;MTJBxuVysbpfLTgT5Pu4WubCBVQJJRX1AeMn6QxLl5prZdN8oILTI8bUx0tIMlu3V1rnHWvLhprf&#10;L+YJHEhprYZIV+OJO9qOM9AdSVjEkBHRadWk7ISDZ9zqwE5AKiLxNW7gTANGMtZ8n7+cpJ/NZ9dM&#10;cctFWWZ9UU9Tfm7vDW5isQPsp4zsmhRpVKTfQitT8zuCuQJpm9qRWdgXxi/DTrcn15wP4fdGSDS5&#10;6EXgSZWv33R//RtufgEAAP//AwBQSwMEFAAGAAgAAAAhADjGIOHgAAAACgEAAA8AAABkcnMvZG93&#10;bnJldi54bWxMj81OwzAQhO9IvIO1SNxap+UnTYhTISRUkHqhVC1HJ16SiHgdxW4TeHo2JzjuzGj2&#10;m2w92lacsfeNIwWLeQQCqXSmoUrB/v15tgLhgyajW0eo4Bs9rPPLi0ynxg30huddqASXkE+1gjqE&#10;LpXSlzVa7eeuQ2Lv0/VWBz77SppeD1xuW7mMontpdUP8odYdPtVYfu1OVkG82e5fPuzhNSmG+Fgk&#10;y9Fufmqlrq/GxwcQAcfwF4YJn9EhZ6bCnch40SqYxRxkebG6AzH50W3MW4pJSm5A5pn8PyH/BQAA&#10;//8DAFBLAQItABQABgAIAAAAIQC2gziS/gAAAOEBAAATAAAAAAAAAAAAAAAAAAAAAABbQ29udGVu&#10;dF9UeXBlc10ueG1sUEsBAi0AFAAGAAgAAAAhADj9If/WAAAAlAEAAAsAAAAAAAAAAAAAAAAALwEA&#10;AF9yZWxzLy5yZWxzUEsBAi0AFAAGAAgAAAAhAJCdka/1AQAAzgMAAA4AAAAAAAAAAAAAAAAALgIA&#10;AGRycy9lMm9Eb2MueG1sUEsBAi0AFAAGAAgAAAAhADjGIOHgAAAACgEAAA8AAAAAAAAAAAAAAAAA&#10;TwQAAGRycy9kb3ducmV2LnhtbFBLBQYAAAAABAAEAPMAAABc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0B20C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EC6D35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F04761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B5CE8B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7770DC"/>
    <w:multiLevelType w:val="hybridMultilevel"/>
    <w:tmpl w:val="BAF618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B6EF1"/>
    <w:multiLevelType w:val="hybridMultilevel"/>
    <w:tmpl w:val="D8F0E680"/>
    <w:lvl w:ilvl="0" w:tplc="DF20552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68010E"/>
    <w:multiLevelType w:val="hybridMultilevel"/>
    <w:tmpl w:val="2AA0AB6C"/>
    <w:lvl w:ilvl="0" w:tplc="92CC49A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764"/>
    <w:multiLevelType w:val="multilevel"/>
    <w:tmpl w:val="8AA6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535D5"/>
    <w:multiLevelType w:val="hybridMultilevel"/>
    <w:tmpl w:val="F136388E"/>
    <w:lvl w:ilvl="0" w:tplc="5CDCCDF0">
      <w:numFmt w:val="bullet"/>
      <w:lvlText w:val="-"/>
      <w:lvlJc w:val="left"/>
      <w:pPr>
        <w:ind w:left="1080" w:hanging="360"/>
      </w:pPr>
      <w:rPr>
        <w:rFonts w:ascii="Calibri" w:eastAsia="Times"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7293E"/>
    <w:multiLevelType w:val="hybridMultilevel"/>
    <w:tmpl w:val="2362B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3F62DD"/>
    <w:multiLevelType w:val="hybridMultilevel"/>
    <w:tmpl w:val="8A66E3B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10EB6"/>
    <w:multiLevelType w:val="hybridMultilevel"/>
    <w:tmpl w:val="234EF2B4"/>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15:restartNumberingAfterBreak="0">
    <w:nsid w:val="16FA3919"/>
    <w:multiLevelType w:val="multilevel"/>
    <w:tmpl w:val="573E7F78"/>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D6F5D85"/>
    <w:multiLevelType w:val="hybridMultilevel"/>
    <w:tmpl w:val="BB6CBE0A"/>
    <w:lvl w:ilvl="0" w:tplc="EFC4D4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E7C69"/>
    <w:multiLevelType w:val="hybridMultilevel"/>
    <w:tmpl w:val="1E02765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0686EE0"/>
    <w:multiLevelType w:val="hybridMultilevel"/>
    <w:tmpl w:val="B0CE4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B62520"/>
    <w:multiLevelType w:val="hybridMultilevel"/>
    <w:tmpl w:val="FA3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404E3"/>
    <w:multiLevelType w:val="hybridMultilevel"/>
    <w:tmpl w:val="E38029EE"/>
    <w:lvl w:ilvl="0" w:tplc="DA8A8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96901"/>
    <w:multiLevelType w:val="hybridMultilevel"/>
    <w:tmpl w:val="4D924B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4883582"/>
    <w:multiLevelType w:val="hybridMultilevel"/>
    <w:tmpl w:val="121E55C8"/>
    <w:lvl w:ilvl="0" w:tplc="2DD8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0472A"/>
    <w:multiLevelType w:val="hybridMultilevel"/>
    <w:tmpl w:val="5CE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D7CEE"/>
    <w:multiLevelType w:val="hybridMultilevel"/>
    <w:tmpl w:val="330A56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102833"/>
    <w:multiLevelType w:val="hybridMultilevel"/>
    <w:tmpl w:val="E6AE527A"/>
    <w:lvl w:ilvl="0" w:tplc="96EEB0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C6827"/>
    <w:multiLevelType w:val="hybridMultilevel"/>
    <w:tmpl w:val="E96A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441FB"/>
    <w:multiLevelType w:val="singleLevel"/>
    <w:tmpl w:val="5894BD4E"/>
    <w:lvl w:ilvl="0">
      <w:start w:val="1"/>
      <w:numFmt w:val="decimal"/>
      <w:lvlText w:val="%1."/>
      <w:lvlJc w:val="left"/>
      <w:pPr>
        <w:tabs>
          <w:tab w:val="num" w:pos="360"/>
        </w:tabs>
        <w:ind w:left="360" w:hanging="360"/>
      </w:pPr>
      <w:rPr>
        <w:rFonts w:hint="default"/>
        <w:b/>
        <w:i w:val="0"/>
      </w:rPr>
    </w:lvl>
  </w:abstractNum>
  <w:abstractNum w:abstractNumId="26" w15:restartNumberingAfterBreak="0">
    <w:nsid w:val="39232965"/>
    <w:multiLevelType w:val="hybridMultilevel"/>
    <w:tmpl w:val="765C44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D4E94"/>
    <w:multiLevelType w:val="hybridMultilevel"/>
    <w:tmpl w:val="1FEE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C0070"/>
    <w:multiLevelType w:val="hybridMultilevel"/>
    <w:tmpl w:val="DA8C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839BC"/>
    <w:multiLevelType w:val="hybridMultilevel"/>
    <w:tmpl w:val="2BCA72F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6A6240D"/>
    <w:multiLevelType w:val="hybridMultilevel"/>
    <w:tmpl w:val="9E0A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113DE"/>
    <w:multiLevelType w:val="hybridMultilevel"/>
    <w:tmpl w:val="3A40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A4E87"/>
    <w:multiLevelType w:val="hybridMultilevel"/>
    <w:tmpl w:val="BCC0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D5EE5"/>
    <w:multiLevelType w:val="hybridMultilevel"/>
    <w:tmpl w:val="E5BAAE7C"/>
    <w:lvl w:ilvl="0" w:tplc="F168C3F4">
      <w:numFmt w:val="bullet"/>
      <w:lvlText w:val="-"/>
      <w:lvlJc w:val="left"/>
      <w:pPr>
        <w:tabs>
          <w:tab w:val="num" w:pos="1095"/>
        </w:tabs>
        <w:ind w:left="1095" w:hanging="360"/>
      </w:pPr>
      <w:rPr>
        <w:rFonts w:ascii="Times New Roman" w:eastAsia="Times"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4" w15:restartNumberingAfterBreak="0">
    <w:nsid w:val="55F85802"/>
    <w:multiLevelType w:val="hybridMultilevel"/>
    <w:tmpl w:val="9B86D4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90E06"/>
    <w:multiLevelType w:val="hybridMultilevel"/>
    <w:tmpl w:val="3A30A168"/>
    <w:lvl w:ilvl="0" w:tplc="340A0005">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6" w15:restartNumberingAfterBreak="0">
    <w:nsid w:val="5BC42EEC"/>
    <w:multiLevelType w:val="hybridMultilevel"/>
    <w:tmpl w:val="AFB2E842"/>
    <w:lvl w:ilvl="0" w:tplc="0409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5C056E80"/>
    <w:multiLevelType w:val="hybridMultilevel"/>
    <w:tmpl w:val="C81ECC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350E0F"/>
    <w:multiLevelType w:val="multilevel"/>
    <w:tmpl w:val="FC7CA4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B97D8F"/>
    <w:multiLevelType w:val="hybridMultilevel"/>
    <w:tmpl w:val="7918EA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4E438EF"/>
    <w:multiLevelType w:val="hybridMultilevel"/>
    <w:tmpl w:val="E026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17644"/>
    <w:multiLevelType w:val="hybridMultilevel"/>
    <w:tmpl w:val="CED6A4E6"/>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06321"/>
    <w:multiLevelType w:val="hybridMultilevel"/>
    <w:tmpl w:val="50BA3F68"/>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000558"/>
    <w:multiLevelType w:val="hybridMultilevel"/>
    <w:tmpl w:val="7D7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6C5529"/>
    <w:multiLevelType w:val="hybridMultilevel"/>
    <w:tmpl w:val="84B82222"/>
    <w:lvl w:ilvl="0" w:tplc="6DD05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E1066F"/>
    <w:multiLevelType w:val="hybridMultilevel"/>
    <w:tmpl w:val="EAA2E7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6D121BDF"/>
    <w:multiLevelType w:val="hybridMultilevel"/>
    <w:tmpl w:val="E38029EE"/>
    <w:lvl w:ilvl="0" w:tplc="DA8A8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2D3361"/>
    <w:multiLevelType w:val="hybridMultilevel"/>
    <w:tmpl w:val="967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D7C3F"/>
    <w:multiLevelType w:val="hybridMultilevel"/>
    <w:tmpl w:val="2A962F8A"/>
    <w:lvl w:ilvl="0" w:tplc="4C884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5024E"/>
    <w:multiLevelType w:val="hybridMultilevel"/>
    <w:tmpl w:val="0ECE6FDA"/>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A2ACF"/>
    <w:multiLevelType w:val="hybridMultilevel"/>
    <w:tmpl w:val="E17C169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8304B4"/>
    <w:multiLevelType w:val="hybridMultilevel"/>
    <w:tmpl w:val="321E1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ED723E"/>
    <w:multiLevelType w:val="hybridMultilevel"/>
    <w:tmpl w:val="04CEC36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33"/>
  </w:num>
  <w:num w:numId="2">
    <w:abstractNumId w:val="20"/>
  </w:num>
  <w:num w:numId="3">
    <w:abstractNumId w:val="21"/>
  </w:num>
  <w:num w:numId="4">
    <w:abstractNumId w:val="45"/>
  </w:num>
  <w:num w:numId="5">
    <w:abstractNumId w:val="4"/>
  </w:num>
  <w:num w:numId="6">
    <w:abstractNumId w:val="3"/>
  </w:num>
  <w:num w:numId="7">
    <w:abstractNumId w:val="2"/>
  </w:num>
  <w:num w:numId="8">
    <w:abstractNumId w:val="1"/>
  </w:num>
  <w:num w:numId="9">
    <w:abstractNumId w:val="0"/>
  </w:num>
  <w:num w:numId="10">
    <w:abstractNumId w:val="4"/>
  </w:num>
  <w:num w:numId="11">
    <w:abstractNumId w:val="4"/>
  </w:num>
  <w:num w:numId="12">
    <w:abstractNumId w:val="41"/>
  </w:num>
  <w:num w:numId="13">
    <w:abstractNumId w:val="49"/>
  </w:num>
  <w:num w:numId="14">
    <w:abstractNumId w:val="42"/>
  </w:num>
  <w:num w:numId="15">
    <w:abstractNumId w:val="37"/>
  </w:num>
  <w:num w:numId="16">
    <w:abstractNumId w:val="25"/>
  </w:num>
  <w:num w:numId="17">
    <w:abstractNumId w:val="26"/>
  </w:num>
  <w:num w:numId="18">
    <w:abstractNumId w:val="13"/>
  </w:num>
  <w:num w:numId="19">
    <w:abstractNumId w:val="38"/>
  </w:num>
  <w:num w:numId="20">
    <w:abstractNumId w:val="3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4"/>
  </w:num>
  <w:num w:numId="24">
    <w:abstractNumId w:val="29"/>
  </w:num>
  <w:num w:numId="25">
    <w:abstractNumId w:val="7"/>
  </w:num>
  <w:num w:numId="26">
    <w:abstractNumId w:val="36"/>
  </w:num>
  <w:num w:numId="27">
    <w:abstractNumId w:val="8"/>
  </w:num>
  <w:num w:numId="28">
    <w:abstractNumId w:val="28"/>
  </w:num>
  <w:num w:numId="29">
    <w:abstractNumId w:val="16"/>
  </w:num>
  <w:num w:numId="30">
    <w:abstractNumId w:val="47"/>
  </w:num>
  <w:num w:numId="31">
    <w:abstractNumId w:val="27"/>
  </w:num>
  <w:num w:numId="32">
    <w:abstractNumId w:val="48"/>
  </w:num>
  <w:num w:numId="33">
    <w:abstractNumId w:val="17"/>
  </w:num>
  <w:num w:numId="34">
    <w:abstractNumId w:val="5"/>
  </w:num>
  <w:num w:numId="35">
    <w:abstractNumId w:val="18"/>
  </w:num>
  <w:num w:numId="36">
    <w:abstractNumId w:val="46"/>
  </w:num>
  <w:num w:numId="37">
    <w:abstractNumId w:val="50"/>
  </w:num>
  <w:num w:numId="38">
    <w:abstractNumId w:val="32"/>
  </w:num>
  <w:num w:numId="39">
    <w:abstractNumId w:val="51"/>
  </w:num>
  <w:num w:numId="40">
    <w:abstractNumId w:val="23"/>
  </w:num>
  <w:num w:numId="41">
    <w:abstractNumId w:val="30"/>
  </w:num>
  <w:num w:numId="42">
    <w:abstractNumId w:val="14"/>
  </w:num>
  <w:num w:numId="43">
    <w:abstractNumId w:val="22"/>
  </w:num>
  <w:num w:numId="44">
    <w:abstractNumId w:val="9"/>
  </w:num>
  <w:num w:numId="45">
    <w:abstractNumId w:val="40"/>
  </w:num>
  <w:num w:numId="46">
    <w:abstractNumId w:val="11"/>
  </w:num>
  <w:num w:numId="47">
    <w:abstractNumId w:val="10"/>
  </w:num>
  <w:num w:numId="48">
    <w:abstractNumId w:val="19"/>
  </w:num>
  <w:num w:numId="49">
    <w:abstractNumId w:val="39"/>
  </w:num>
  <w:num w:numId="50">
    <w:abstractNumId w:val="31"/>
  </w:num>
  <w:num w:numId="51">
    <w:abstractNumId w:val="24"/>
  </w:num>
  <w:num w:numId="52">
    <w:abstractNumId w:val="44"/>
  </w:num>
  <w:num w:numId="53">
    <w:abstractNumId w:val="12"/>
  </w:num>
  <w:num w:numId="54">
    <w:abstractNumId w:val="43"/>
  </w:num>
  <w:num w:numId="55">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53F"/>
    <w:rsid w:val="00011FED"/>
    <w:rsid w:val="00012B87"/>
    <w:rsid w:val="00020327"/>
    <w:rsid w:val="00023356"/>
    <w:rsid w:val="000239BE"/>
    <w:rsid w:val="000348C3"/>
    <w:rsid w:val="000366EF"/>
    <w:rsid w:val="000441DC"/>
    <w:rsid w:val="00046123"/>
    <w:rsid w:val="000473CD"/>
    <w:rsid w:val="000501FE"/>
    <w:rsid w:val="00050271"/>
    <w:rsid w:val="0005573A"/>
    <w:rsid w:val="00056362"/>
    <w:rsid w:val="0006223F"/>
    <w:rsid w:val="00066B68"/>
    <w:rsid w:val="00066C55"/>
    <w:rsid w:val="0007169C"/>
    <w:rsid w:val="000716F6"/>
    <w:rsid w:val="00072ADE"/>
    <w:rsid w:val="000732C4"/>
    <w:rsid w:val="00077268"/>
    <w:rsid w:val="00081440"/>
    <w:rsid w:val="00085863"/>
    <w:rsid w:val="00090013"/>
    <w:rsid w:val="000911BE"/>
    <w:rsid w:val="000923F4"/>
    <w:rsid w:val="00092835"/>
    <w:rsid w:val="00093CF7"/>
    <w:rsid w:val="00095097"/>
    <w:rsid w:val="000A30BF"/>
    <w:rsid w:val="000A47A6"/>
    <w:rsid w:val="000B1A3D"/>
    <w:rsid w:val="000B32B5"/>
    <w:rsid w:val="000B6B90"/>
    <w:rsid w:val="000C51E8"/>
    <w:rsid w:val="000C7C3F"/>
    <w:rsid w:val="000D162F"/>
    <w:rsid w:val="000D310C"/>
    <w:rsid w:val="000D7F72"/>
    <w:rsid w:val="000E0DD9"/>
    <w:rsid w:val="000E27BD"/>
    <w:rsid w:val="000F3E68"/>
    <w:rsid w:val="001247D7"/>
    <w:rsid w:val="00130C57"/>
    <w:rsid w:val="0013195E"/>
    <w:rsid w:val="0015244E"/>
    <w:rsid w:val="001533D0"/>
    <w:rsid w:val="00155AD1"/>
    <w:rsid w:val="00157219"/>
    <w:rsid w:val="00157B81"/>
    <w:rsid w:val="00162219"/>
    <w:rsid w:val="00163A28"/>
    <w:rsid w:val="00167118"/>
    <w:rsid w:val="00167D9E"/>
    <w:rsid w:val="00167FAF"/>
    <w:rsid w:val="00174AE8"/>
    <w:rsid w:val="00174F95"/>
    <w:rsid w:val="001769C7"/>
    <w:rsid w:val="001810C6"/>
    <w:rsid w:val="00184A31"/>
    <w:rsid w:val="001856FA"/>
    <w:rsid w:val="00185E3D"/>
    <w:rsid w:val="00191E1A"/>
    <w:rsid w:val="001A108C"/>
    <w:rsid w:val="001A2FB6"/>
    <w:rsid w:val="001A5E46"/>
    <w:rsid w:val="001A6936"/>
    <w:rsid w:val="001B048E"/>
    <w:rsid w:val="001B13E1"/>
    <w:rsid w:val="001B4923"/>
    <w:rsid w:val="001C13CB"/>
    <w:rsid w:val="001C238D"/>
    <w:rsid w:val="001D2795"/>
    <w:rsid w:val="001D4EC5"/>
    <w:rsid w:val="001D75E0"/>
    <w:rsid w:val="001E0224"/>
    <w:rsid w:val="001E312F"/>
    <w:rsid w:val="001E325E"/>
    <w:rsid w:val="001E7E55"/>
    <w:rsid w:val="001F0F2C"/>
    <w:rsid w:val="00200D66"/>
    <w:rsid w:val="00205692"/>
    <w:rsid w:val="00214C02"/>
    <w:rsid w:val="00221200"/>
    <w:rsid w:val="00225159"/>
    <w:rsid w:val="00233E42"/>
    <w:rsid w:val="00235D48"/>
    <w:rsid w:val="002433E2"/>
    <w:rsid w:val="002546C7"/>
    <w:rsid w:val="00255E38"/>
    <w:rsid w:val="00266D26"/>
    <w:rsid w:val="00275981"/>
    <w:rsid w:val="002906DF"/>
    <w:rsid w:val="002945C8"/>
    <w:rsid w:val="00294F0C"/>
    <w:rsid w:val="002A77B6"/>
    <w:rsid w:val="002B25AA"/>
    <w:rsid w:val="002B4FAA"/>
    <w:rsid w:val="002B6124"/>
    <w:rsid w:val="002D033A"/>
    <w:rsid w:val="002D3F9B"/>
    <w:rsid w:val="002D511E"/>
    <w:rsid w:val="002E5C7F"/>
    <w:rsid w:val="002F440C"/>
    <w:rsid w:val="002F4995"/>
    <w:rsid w:val="00302A39"/>
    <w:rsid w:val="0030752F"/>
    <w:rsid w:val="00313EDB"/>
    <w:rsid w:val="00316885"/>
    <w:rsid w:val="003313AA"/>
    <w:rsid w:val="00332AE1"/>
    <w:rsid w:val="0033355C"/>
    <w:rsid w:val="00334C9C"/>
    <w:rsid w:val="00335042"/>
    <w:rsid w:val="00335A59"/>
    <w:rsid w:val="00336B6F"/>
    <w:rsid w:val="00342A01"/>
    <w:rsid w:val="00346409"/>
    <w:rsid w:val="00347429"/>
    <w:rsid w:val="003513EE"/>
    <w:rsid w:val="00352D64"/>
    <w:rsid w:val="003635A0"/>
    <w:rsid w:val="00363E6C"/>
    <w:rsid w:val="00367072"/>
    <w:rsid w:val="003830AD"/>
    <w:rsid w:val="003857FA"/>
    <w:rsid w:val="003859B1"/>
    <w:rsid w:val="00385A2A"/>
    <w:rsid w:val="00390D00"/>
    <w:rsid w:val="00392465"/>
    <w:rsid w:val="00392EF3"/>
    <w:rsid w:val="00394891"/>
    <w:rsid w:val="003977FB"/>
    <w:rsid w:val="003A1866"/>
    <w:rsid w:val="003A6163"/>
    <w:rsid w:val="003A6C85"/>
    <w:rsid w:val="003A6E97"/>
    <w:rsid w:val="003B2FBF"/>
    <w:rsid w:val="003C677C"/>
    <w:rsid w:val="003C7CB5"/>
    <w:rsid w:val="003D2D0A"/>
    <w:rsid w:val="003D3E1F"/>
    <w:rsid w:val="003D5C99"/>
    <w:rsid w:val="003E42E6"/>
    <w:rsid w:val="003E4FD2"/>
    <w:rsid w:val="003F1A93"/>
    <w:rsid w:val="004075C5"/>
    <w:rsid w:val="00410D13"/>
    <w:rsid w:val="0041149D"/>
    <w:rsid w:val="00412380"/>
    <w:rsid w:val="00412AC5"/>
    <w:rsid w:val="0041549F"/>
    <w:rsid w:val="00420871"/>
    <w:rsid w:val="004213B6"/>
    <w:rsid w:val="00422B9D"/>
    <w:rsid w:val="00423B66"/>
    <w:rsid w:val="004276FD"/>
    <w:rsid w:val="004307D6"/>
    <w:rsid w:val="00432885"/>
    <w:rsid w:val="00433197"/>
    <w:rsid w:val="00435E75"/>
    <w:rsid w:val="00437C5D"/>
    <w:rsid w:val="00446CE7"/>
    <w:rsid w:val="00447162"/>
    <w:rsid w:val="00447FEF"/>
    <w:rsid w:val="0045328B"/>
    <w:rsid w:val="00453C2C"/>
    <w:rsid w:val="00454401"/>
    <w:rsid w:val="00455302"/>
    <w:rsid w:val="00455472"/>
    <w:rsid w:val="00457380"/>
    <w:rsid w:val="004603A5"/>
    <w:rsid w:val="004615E3"/>
    <w:rsid w:val="0046561B"/>
    <w:rsid w:val="00465A8B"/>
    <w:rsid w:val="004663BE"/>
    <w:rsid w:val="00466CC7"/>
    <w:rsid w:val="00471645"/>
    <w:rsid w:val="004722A9"/>
    <w:rsid w:val="00483EC0"/>
    <w:rsid w:val="00486BEA"/>
    <w:rsid w:val="004908ED"/>
    <w:rsid w:val="00492CE0"/>
    <w:rsid w:val="00493004"/>
    <w:rsid w:val="004A3447"/>
    <w:rsid w:val="004A60ED"/>
    <w:rsid w:val="004A77E2"/>
    <w:rsid w:val="004B774F"/>
    <w:rsid w:val="004B7F6F"/>
    <w:rsid w:val="004C6069"/>
    <w:rsid w:val="004D743B"/>
    <w:rsid w:val="004E0241"/>
    <w:rsid w:val="004E1094"/>
    <w:rsid w:val="004E68AD"/>
    <w:rsid w:val="004F3E47"/>
    <w:rsid w:val="004F4461"/>
    <w:rsid w:val="004F743E"/>
    <w:rsid w:val="0050105F"/>
    <w:rsid w:val="00507C01"/>
    <w:rsid w:val="005106F1"/>
    <w:rsid w:val="00517819"/>
    <w:rsid w:val="005200E2"/>
    <w:rsid w:val="0052177E"/>
    <w:rsid w:val="005227D3"/>
    <w:rsid w:val="00523730"/>
    <w:rsid w:val="00530456"/>
    <w:rsid w:val="00530AA0"/>
    <w:rsid w:val="00532DCE"/>
    <w:rsid w:val="00533356"/>
    <w:rsid w:val="0053640F"/>
    <w:rsid w:val="00541A0F"/>
    <w:rsid w:val="00545205"/>
    <w:rsid w:val="0055383A"/>
    <w:rsid w:val="00554550"/>
    <w:rsid w:val="00555987"/>
    <w:rsid w:val="00557AAD"/>
    <w:rsid w:val="005641AB"/>
    <w:rsid w:val="0056512D"/>
    <w:rsid w:val="00565284"/>
    <w:rsid w:val="0056594D"/>
    <w:rsid w:val="005671E0"/>
    <w:rsid w:val="00577751"/>
    <w:rsid w:val="005902C2"/>
    <w:rsid w:val="00591B13"/>
    <w:rsid w:val="00597DC3"/>
    <w:rsid w:val="005A500A"/>
    <w:rsid w:val="005A71F0"/>
    <w:rsid w:val="005B6F78"/>
    <w:rsid w:val="005C2926"/>
    <w:rsid w:val="005C72EF"/>
    <w:rsid w:val="005D0644"/>
    <w:rsid w:val="005E15B1"/>
    <w:rsid w:val="005E4923"/>
    <w:rsid w:val="005F01E1"/>
    <w:rsid w:val="00601A1F"/>
    <w:rsid w:val="00602B6A"/>
    <w:rsid w:val="00605F50"/>
    <w:rsid w:val="00610637"/>
    <w:rsid w:val="006208C2"/>
    <w:rsid w:val="00621455"/>
    <w:rsid w:val="0062216B"/>
    <w:rsid w:val="00622A47"/>
    <w:rsid w:val="00624C3B"/>
    <w:rsid w:val="00632A7F"/>
    <w:rsid w:val="006340BB"/>
    <w:rsid w:val="006347F5"/>
    <w:rsid w:val="00641F63"/>
    <w:rsid w:val="006422AF"/>
    <w:rsid w:val="00642FF4"/>
    <w:rsid w:val="00643075"/>
    <w:rsid w:val="0064718B"/>
    <w:rsid w:val="0064763B"/>
    <w:rsid w:val="00667CF4"/>
    <w:rsid w:val="006704FB"/>
    <w:rsid w:val="00670A84"/>
    <w:rsid w:val="006750F4"/>
    <w:rsid w:val="00675BBC"/>
    <w:rsid w:val="00677722"/>
    <w:rsid w:val="00681CB2"/>
    <w:rsid w:val="006858BC"/>
    <w:rsid w:val="00685D30"/>
    <w:rsid w:val="0068652E"/>
    <w:rsid w:val="006910EC"/>
    <w:rsid w:val="00693CF3"/>
    <w:rsid w:val="00693FD2"/>
    <w:rsid w:val="00694285"/>
    <w:rsid w:val="006A5655"/>
    <w:rsid w:val="006A5741"/>
    <w:rsid w:val="006B0201"/>
    <w:rsid w:val="006B0E4B"/>
    <w:rsid w:val="006B1DCA"/>
    <w:rsid w:val="006B4077"/>
    <w:rsid w:val="006B66FB"/>
    <w:rsid w:val="006C4167"/>
    <w:rsid w:val="006D11A5"/>
    <w:rsid w:val="006D2C9B"/>
    <w:rsid w:val="006D5E79"/>
    <w:rsid w:val="006D79BD"/>
    <w:rsid w:val="006E3254"/>
    <w:rsid w:val="006E3646"/>
    <w:rsid w:val="006F3FEA"/>
    <w:rsid w:val="006F69E5"/>
    <w:rsid w:val="007014AE"/>
    <w:rsid w:val="00704E0D"/>
    <w:rsid w:val="00711EF3"/>
    <w:rsid w:val="00714B3C"/>
    <w:rsid w:val="0072083D"/>
    <w:rsid w:val="00722D50"/>
    <w:rsid w:val="007255B5"/>
    <w:rsid w:val="0074193E"/>
    <w:rsid w:val="007507A0"/>
    <w:rsid w:val="007513D4"/>
    <w:rsid w:val="00752EEA"/>
    <w:rsid w:val="0075757C"/>
    <w:rsid w:val="007632D7"/>
    <w:rsid w:val="00764575"/>
    <w:rsid w:val="00764C30"/>
    <w:rsid w:val="00766885"/>
    <w:rsid w:val="00770F6D"/>
    <w:rsid w:val="00771570"/>
    <w:rsid w:val="00785FA5"/>
    <w:rsid w:val="0079018C"/>
    <w:rsid w:val="00793518"/>
    <w:rsid w:val="007A167D"/>
    <w:rsid w:val="007C330B"/>
    <w:rsid w:val="007D06AE"/>
    <w:rsid w:val="007D287D"/>
    <w:rsid w:val="007D480B"/>
    <w:rsid w:val="007D4C5A"/>
    <w:rsid w:val="007D7005"/>
    <w:rsid w:val="007F0C6E"/>
    <w:rsid w:val="007F46E9"/>
    <w:rsid w:val="007F4DB0"/>
    <w:rsid w:val="008018DC"/>
    <w:rsid w:val="00803232"/>
    <w:rsid w:val="00804530"/>
    <w:rsid w:val="00804F3D"/>
    <w:rsid w:val="00813EBE"/>
    <w:rsid w:val="00816C33"/>
    <w:rsid w:val="008220DE"/>
    <w:rsid w:val="0082666E"/>
    <w:rsid w:val="008277F4"/>
    <w:rsid w:val="008325EC"/>
    <w:rsid w:val="00832A72"/>
    <w:rsid w:val="00836371"/>
    <w:rsid w:val="00836F07"/>
    <w:rsid w:val="00840ED6"/>
    <w:rsid w:val="00842F6F"/>
    <w:rsid w:val="00847B3B"/>
    <w:rsid w:val="008547E6"/>
    <w:rsid w:val="00855A73"/>
    <w:rsid w:val="00857663"/>
    <w:rsid w:val="00867539"/>
    <w:rsid w:val="00870727"/>
    <w:rsid w:val="00872272"/>
    <w:rsid w:val="0087376A"/>
    <w:rsid w:val="008753AD"/>
    <w:rsid w:val="008757D7"/>
    <w:rsid w:val="00875C22"/>
    <w:rsid w:val="008868C1"/>
    <w:rsid w:val="00896003"/>
    <w:rsid w:val="00897FF7"/>
    <w:rsid w:val="008B49B0"/>
    <w:rsid w:val="008B5BF5"/>
    <w:rsid w:val="008B5C9E"/>
    <w:rsid w:val="008B68F3"/>
    <w:rsid w:val="008B73B6"/>
    <w:rsid w:val="008C2A87"/>
    <w:rsid w:val="008C649A"/>
    <w:rsid w:val="008C7A4C"/>
    <w:rsid w:val="008D0DF4"/>
    <w:rsid w:val="008D602B"/>
    <w:rsid w:val="008E24E7"/>
    <w:rsid w:val="008E575A"/>
    <w:rsid w:val="008F1B33"/>
    <w:rsid w:val="008F57D8"/>
    <w:rsid w:val="008F7A07"/>
    <w:rsid w:val="00910D21"/>
    <w:rsid w:val="009114A7"/>
    <w:rsid w:val="00912196"/>
    <w:rsid w:val="00912CD0"/>
    <w:rsid w:val="00914F0C"/>
    <w:rsid w:val="009169A9"/>
    <w:rsid w:val="00920370"/>
    <w:rsid w:val="00921110"/>
    <w:rsid w:val="00924450"/>
    <w:rsid w:val="00941D1C"/>
    <w:rsid w:val="0094273D"/>
    <w:rsid w:val="0094369D"/>
    <w:rsid w:val="00943ABE"/>
    <w:rsid w:val="00947DCB"/>
    <w:rsid w:val="009500F5"/>
    <w:rsid w:val="00953F77"/>
    <w:rsid w:val="00961191"/>
    <w:rsid w:val="0096295A"/>
    <w:rsid w:val="00965418"/>
    <w:rsid w:val="00972202"/>
    <w:rsid w:val="009745A1"/>
    <w:rsid w:val="009758B6"/>
    <w:rsid w:val="009805AC"/>
    <w:rsid w:val="009807B5"/>
    <w:rsid w:val="00980AB3"/>
    <w:rsid w:val="009876D4"/>
    <w:rsid w:val="00990E57"/>
    <w:rsid w:val="0099385E"/>
    <w:rsid w:val="009A1C42"/>
    <w:rsid w:val="009A30F5"/>
    <w:rsid w:val="009A3E32"/>
    <w:rsid w:val="009A4330"/>
    <w:rsid w:val="009A55A1"/>
    <w:rsid w:val="009B3EE7"/>
    <w:rsid w:val="009B5962"/>
    <w:rsid w:val="009B780B"/>
    <w:rsid w:val="009C182D"/>
    <w:rsid w:val="009C2144"/>
    <w:rsid w:val="009C4A6A"/>
    <w:rsid w:val="009D1474"/>
    <w:rsid w:val="009D6145"/>
    <w:rsid w:val="009F4F3A"/>
    <w:rsid w:val="009F568D"/>
    <w:rsid w:val="009F7A71"/>
    <w:rsid w:val="00A139DF"/>
    <w:rsid w:val="00A17759"/>
    <w:rsid w:val="00A20DD4"/>
    <w:rsid w:val="00A21234"/>
    <w:rsid w:val="00A21985"/>
    <w:rsid w:val="00A263A1"/>
    <w:rsid w:val="00A565D1"/>
    <w:rsid w:val="00A603F0"/>
    <w:rsid w:val="00A62100"/>
    <w:rsid w:val="00A622C7"/>
    <w:rsid w:val="00A72A32"/>
    <w:rsid w:val="00A73317"/>
    <w:rsid w:val="00A74AC4"/>
    <w:rsid w:val="00A830EF"/>
    <w:rsid w:val="00A83389"/>
    <w:rsid w:val="00A84D42"/>
    <w:rsid w:val="00A8572C"/>
    <w:rsid w:val="00A85B71"/>
    <w:rsid w:val="00A864FB"/>
    <w:rsid w:val="00A87976"/>
    <w:rsid w:val="00A94EBC"/>
    <w:rsid w:val="00AA1FDD"/>
    <w:rsid w:val="00AC78EB"/>
    <w:rsid w:val="00AD136A"/>
    <w:rsid w:val="00AD4479"/>
    <w:rsid w:val="00AE1356"/>
    <w:rsid w:val="00AF1146"/>
    <w:rsid w:val="00AF78E4"/>
    <w:rsid w:val="00B00F64"/>
    <w:rsid w:val="00B045BA"/>
    <w:rsid w:val="00B0605F"/>
    <w:rsid w:val="00B0680E"/>
    <w:rsid w:val="00B07BEC"/>
    <w:rsid w:val="00B12B32"/>
    <w:rsid w:val="00B168FE"/>
    <w:rsid w:val="00B17352"/>
    <w:rsid w:val="00B22D8B"/>
    <w:rsid w:val="00B22EA5"/>
    <w:rsid w:val="00B27E65"/>
    <w:rsid w:val="00B32024"/>
    <w:rsid w:val="00B35429"/>
    <w:rsid w:val="00B37129"/>
    <w:rsid w:val="00B468A5"/>
    <w:rsid w:val="00B5376F"/>
    <w:rsid w:val="00B544F3"/>
    <w:rsid w:val="00B55000"/>
    <w:rsid w:val="00B63A19"/>
    <w:rsid w:val="00B63DC1"/>
    <w:rsid w:val="00B72AB4"/>
    <w:rsid w:val="00B74E54"/>
    <w:rsid w:val="00B75D12"/>
    <w:rsid w:val="00B81B76"/>
    <w:rsid w:val="00B856C9"/>
    <w:rsid w:val="00B862C9"/>
    <w:rsid w:val="00BA2E2F"/>
    <w:rsid w:val="00BA511C"/>
    <w:rsid w:val="00BA53D4"/>
    <w:rsid w:val="00BB0272"/>
    <w:rsid w:val="00BB75CB"/>
    <w:rsid w:val="00BC0A7C"/>
    <w:rsid w:val="00BC26A5"/>
    <w:rsid w:val="00BC3C2B"/>
    <w:rsid w:val="00BC6331"/>
    <w:rsid w:val="00BD3F5B"/>
    <w:rsid w:val="00BD4DFA"/>
    <w:rsid w:val="00BE3541"/>
    <w:rsid w:val="00BE46A1"/>
    <w:rsid w:val="00BE56A2"/>
    <w:rsid w:val="00BE5EB5"/>
    <w:rsid w:val="00BF31C6"/>
    <w:rsid w:val="00BF49F5"/>
    <w:rsid w:val="00C0089B"/>
    <w:rsid w:val="00C03914"/>
    <w:rsid w:val="00C1625F"/>
    <w:rsid w:val="00C16648"/>
    <w:rsid w:val="00C23197"/>
    <w:rsid w:val="00C23F37"/>
    <w:rsid w:val="00C306F3"/>
    <w:rsid w:val="00C30B66"/>
    <w:rsid w:val="00C33909"/>
    <w:rsid w:val="00C33CB8"/>
    <w:rsid w:val="00C3488F"/>
    <w:rsid w:val="00C429C5"/>
    <w:rsid w:val="00C57450"/>
    <w:rsid w:val="00C577AC"/>
    <w:rsid w:val="00C60959"/>
    <w:rsid w:val="00C640DC"/>
    <w:rsid w:val="00C65D87"/>
    <w:rsid w:val="00C70DE4"/>
    <w:rsid w:val="00C75A88"/>
    <w:rsid w:val="00C86D10"/>
    <w:rsid w:val="00C87DBC"/>
    <w:rsid w:val="00C90E06"/>
    <w:rsid w:val="00C9408D"/>
    <w:rsid w:val="00C95FF8"/>
    <w:rsid w:val="00CA5187"/>
    <w:rsid w:val="00CA6E69"/>
    <w:rsid w:val="00CA7426"/>
    <w:rsid w:val="00CB2538"/>
    <w:rsid w:val="00CB2D79"/>
    <w:rsid w:val="00CC0745"/>
    <w:rsid w:val="00CC41B8"/>
    <w:rsid w:val="00CC6588"/>
    <w:rsid w:val="00CD09E3"/>
    <w:rsid w:val="00CD0BE9"/>
    <w:rsid w:val="00CD18E1"/>
    <w:rsid w:val="00CF42A9"/>
    <w:rsid w:val="00CF7365"/>
    <w:rsid w:val="00D00656"/>
    <w:rsid w:val="00D01E87"/>
    <w:rsid w:val="00D0453E"/>
    <w:rsid w:val="00D056AC"/>
    <w:rsid w:val="00D14924"/>
    <w:rsid w:val="00D172DF"/>
    <w:rsid w:val="00D23181"/>
    <w:rsid w:val="00D25F7E"/>
    <w:rsid w:val="00D26511"/>
    <w:rsid w:val="00D26A7A"/>
    <w:rsid w:val="00D27D4A"/>
    <w:rsid w:val="00D335C3"/>
    <w:rsid w:val="00D3670A"/>
    <w:rsid w:val="00D443EF"/>
    <w:rsid w:val="00D5619D"/>
    <w:rsid w:val="00D5688E"/>
    <w:rsid w:val="00D56C5A"/>
    <w:rsid w:val="00D60C09"/>
    <w:rsid w:val="00D67634"/>
    <w:rsid w:val="00D86181"/>
    <w:rsid w:val="00D92572"/>
    <w:rsid w:val="00D9377D"/>
    <w:rsid w:val="00D94DCF"/>
    <w:rsid w:val="00DA0425"/>
    <w:rsid w:val="00DA5B5E"/>
    <w:rsid w:val="00DA7AF9"/>
    <w:rsid w:val="00DB1AC9"/>
    <w:rsid w:val="00DB4C84"/>
    <w:rsid w:val="00DB4F0F"/>
    <w:rsid w:val="00DC4B49"/>
    <w:rsid w:val="00DC71C2"/>
    <w:rsid w:val="00DD05A1"/>
    <w:rsid w:val="00DD13AB"/>
    <w:rsid w:val="00DD1422"/>
    <w:rsid w:val="00DD7DC3"/>
    <w:rsid w:val="00DE6494"/>
    <w:rsid w:val="00DE72B2"/>
    <w:rsid w:val="00DF2467"/>
    <w:rsid w:val="00DF3525"/>
    <w:rsid w:val="00DF7B5F"/>
    <w:rsid w:val="00DF7D17"/>
    <w:rsid w:val="00E0046D"/>
    <w:rsid w:val="00E01A1E"/>
    <w:rsid w:val="00E0226B"/>
    <w:rsid w:val="00E035AB"/>
    <w:rsid w:val="00E07DFB"/>
    <w:rsid w:val="00E12596"/>
    <w:rsid w:val="00E172FC"/>
    <w:rsid w:val="00E3275D"/>
    <w:rsid w:val="00E32CEB"/>
    <w:rsid w:val="00E41B67"/>
    <w:rsid w:val="00E46CDE"/>
    <w:rsid w:val="00E55F7D"/>
    <w:rsid w:val="00E60CB1"/>
    <w:rsid w:val="00E611E1"/>
    <w:rsid w:val="00E657DC"/>
    <w:rsid w:val="00E66A8F"/>
    <w:rsid w:val="00E74D06"/>
    <w:rsid w:val="00E755EF"/>
    <w:rsid w:val="00E77083"/>
    <w:rsid w:val="00E810FD"/>
    <w:rsid w:val="00E86E99"/>
    <w:rsid w:val="00E90382"/>
    <w:rsid w:val="00E9161A"/>
    <w:rsid w:val="00E91911"/>
    <w:rsid w:val="00EA19F6"/>
    <w:rsid w:val="00EA2741"/>
    <w:rsid w:val="00EA3976"/>
    <w:rsid w:val="00EA56A4"/>
    <w:rsid w:val="00EB0C1F"/>
    <w:rsid w:val="00EB1CBB"/>
    <w:rsid w:val="00EB2F77"/>
    <w:rsid w:val="00EB3785"/>
    <w:rsid w:val="00EB438D"/>
    <w:rsid w:val="00EB4DE7"/>
    <w:rsid w:val="00EB532C"/>
    <w:rsid w:val="00EB741E"/>
    <w:rsid w:val="00EC1A55"/>
    <w:rsid w:val="00ED1682"/>
    <w:rsid w:val="00ED2EE3"/>
    <w:rsid w:val="00ED59A6"/>
    <w:rsid w:val="00ED62B2"/>
    <w:rsid w:val="00ED7FD1"/>
    <w:rsid w:val="00EE1E5A"/>
    <w:rsid w:val="00EF2125"/>
    <w:rsid w:val="00EF5C62"/>
    <w:rsid w:val="00EF7BC8"/>
    <w:rsid w:val="00F04D9A"/>
    <w:rsid w:val="00F05263"/>
    <w:rsid w:val="00F07DBE"/>
    <w:rsid w:val="00F1099E"/>
    <w:rsid w:val="00F1125F"/>
    <w:rsid w:val="00F11510"/>
    <w:rsid w:val="00F15597"/>
    <w:rsid w:val="00F23600"/>
    <w:rsid w:val="00F248F5"/>
    <w:rsid w:val="00F26049"/>
    <w:rsid w:val="00F30BD8"/>
    <w:rsid w:val="00F32D30"/>
    <w:rsid w:val="00F35D91"/>
    <w:rsid w:val="00F36711"/>
    <w:rsid w:val="00F37D52"/>
    <w:rsid w:val="00F4079A"/>
    <w:rsid w:val="00F41A9C"/>
    <w:rsid w:val="00F45B2E"/>
    <w:rsid w:val="00F46DF1"/>
    <w:rsid w:val="00F56B7E"/>
    <w:rsid w:val="00F61E8D"/>
    <w:rsid w:val="00F62B92"/>
    <w:rsid w:val="00F644EC"/>
    <w:rsid w:val="00F66BBA"/>
    <w:rsid w:val="00F71F48"/>
    <w:rsid w:val="00F722A1"/>
    <w:rsid w:val="00F72B1D"/>
    <w:rsid w:val="00F75622"/>
    <w:rsid w:val="00F76761"/>
    <w:rsid w:val="00F76F6C"/>
    <w:rsid w:val="00F804EC"/>
    <w:rsid w:val="00F8451D"/>
    <w:rsid w:val="00F8603E"/>
    <w:rsid w:val="00F867F8"/>
    <w:rsid w:val="00F906EE"/>
    <w:rsid w:val="00F91377"/>
    <w:rsid w:val="00F972D0"/>
    <w:rsid w:val="00FB1F55"/>
    <w:rsid w:val="00FB4AB1"/>
    <w:rsid w:val="00FB584F"/>
    <w:rsid w:val="00FB5960"/>
    <w:rsid w:val="00FC2E01"/>
    <w:rsid w:val="00FC762A"/>
    <w:rsid w:val="00FD4F8B"/>
    <w:rsid w:val="00FE025B"/>
    <w:rsid w:val="00FE2B16"/>
    <w:rsid w:val="00FF4FCC"/>
    <w:rsid w:val="0286AD17"/>
    <w:rsid w:val="039F9C7F"/>
    <w:rsid w:val="040441D3"/>
    <w:rsid w:val="06732AFE"/>
    <w:rsid w:val="0737BDED"/>
    <w:rsid w:val="085026F7"/>
    <w:rsid w:val="0977102A"/>
    <w:rsid w:val="0C146700"/>
    <w:rsid w:val="0D1F64AA"/>
    <w:rsid w:val="0E54AF47"/>
    <w:rsid w:val="10A8BF29"/>
    <w:rsid w:val="1100B60B"/>
    <w:rsid w:val="12947EB4"/>
    <w:rsid w:val="1331B5D2"/>
    <w:rsid w:val="13A56D7B"/>
    <w:rsid w:val="15787C32"/>
    <w:rsid w:val="15CEB349"/>
    <w:rsid w:val="1B4F8B8D"/>
    <w:rsid w:val="1CBADAA9"/>
    <w:rsid w:val="1CFA9E87"/>
    <w:rsid w:val="1E373D25"/>
    <w:rsid w:val="1EB193A0"/>
    <w:rsid w:val="2072860B"/>
    <w:rsid w:val="2A7FA204"/>
    <w:rsid w:val="2DF66F24"/>
    <w:rsid w:val="30D45823"/>
    <w:rsid w:val="32BC7726"/>
    <w:rsid w:val="33C4184C"/>
    <w:rsid w:val="3CA0A27B"/>
    <w:rsid w:val="3EDB12DC"/>
    <w:rsid w:val="40C7B29F"/>
    <w:rsid w:val="4BC5F305"/>
    <w:rsid w:val="4CF97E54"/>
    <w:rsid w:val="4DC6913F"/>
    <w:rsid w:val="4DCE6301"/>
    <w:rsid w:val="4DE55EE6"/>
    <w:rsid w:val="4DE960FD"/>
    <w:rsid w:val="5245048B"/>
    <w:rsid w:val="527AA904"/>
    <w:rsid w:val="5342F126"/>
    <w:rsid w:val="53E43566"/>
    <w:rsid w:val="54167965"/>
    <w:rsid w:val="569B6388"/>
    <w:rsid w:val="5E7EDA9F"/>
    <w:rsid w:val="5FDBBBCF"/>
    <w:rsid w:val="60FAC1FF"/>
    <w:rsid w:val="6127A920"/>
    <w:rsid w:val="6866246A"/>
    <w:rsid w:val="69E963E6"/>
    <w:rsid w:val="6EF5C082"/>
    <w:rsid w:val="6F9FAF11"/>
    <w:rsid w:val="701CB0D5"/>
    <w:rsid w:val="722BC4C2"/>
    <w:rsid w:val="735928F9"/>
    <w:rsid w:val="744D8137"/>
    <w:rsid w:val="74673A78"/>
    <w:rsid w:val="763247D2"/>
    <w:rsid w:val="7E46811A"/>
    <w:rsid w:val="7E87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545FBF3E"/>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5"/>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aliases w:val="FOOTNOTES,fn,single space"/>
    <w:basedOn w:val="Normal"/>
    <w:link w:val="FootnoteTextChar"/>
    <w:uiPriority w:val="99"/>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aliases w:val="FOOTNOTES Char,fn Char,single space Char"/>
    <w:basedOn w:val="DefaultParagraphFont"/>
    <w:link w:val="FootnoteText"/>
    <w:uiPriority w:val="99"/>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 BVI fnr,BVI fnr,ftref,Char Char"/>
    <w:basedOn w:val="DefaultParagraphFont"/>
    <w:uiPriority w:val="99"/>
    <w:semiHidden/>
    <w:unhideWhenUsed/>
    <w:rsid w:val="00F41A9C"/>
    <w:rPr>
      <w:vertAlign w:val="superscript"/>
    </w:rPr>
  </w:style>
  <w:style w:type="paragraph" w:customStyle="1" w:styleId="Normal1">
    <w:name w:val="Normal1"/>
    <w:rsid w:val="00D26A7A"/>
    <w:pPr>
      <w:spacing w:line="276" w:lineRule="auto"/>
    </w:pPr>
    <w:rPr>
      <w:rFonts w:ascii="Arial" w:eastAsia="Arial" w:hAnsi="Arial" w:cs="Arial"/>
      <w:color w:val="000000"/>
      <w:sz w:val="22"/>
      <w:szCs w:val="22"/>
    </w:rPr>
  </w:style>
  <w:style w:type="paragraph" w:customStyle="1" w:styleId="Default">
    <w:name w:val="Default"/>
    <w:rsid w:val="00C33CB8"/>
    <w:pPr>
      <w:autoSpaceDE w:val="0"/>
      <w:autoSpaceDN w:val="0"/>
      <w:adjustRightInd w:val="0"/>
    </w:pPr>
    <w:rPr>
      <w:rFonts w:ascii="Calibri" w:eastAsiaTheme="minorHAnsi" w:hAnsi="Calibri" w:cs="Calibri"/>
      <w:color w:val="000000"/>
      <w:sz w:val="24"/>
      <w:szCs w:val="24"/>
    </w:rPr>
  </w:style>
  <w:style w:type="table" w:styleId="GridTable1Light">
    <w:name w:val="Grid Table 1 Light"/>
    <w:basedOn w:val="TableNormal"/>
    <w:uiPriority w:val="46"/>
    <w:rsid w:val="00C33CB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804530"/>
    <w:rPr>
      <w:color w:val="0000FF" w:themeColor="hyperlink"/>
      <w:u w:val="single"/>
    </w:rPr>
  </w:style>
  <w:style w:type="character" w:styleId="FollowedHyperlink">
    <w:name w:val="FollowedHyperlink"/>
    <w:basedOn w:val="DefaultParagraphFont"/>
    <w:semiHidden/>
    <w:unhideWhenUsed/>
    <w:rsid w:val="00DA0425"/>
    <w:rPr>
      <w:color w:val="800080" w:themeColor="followedHyperlink"/>
      <w:u w:val="single"/>
    </w:rPr>
  </w:style>
  <w:style w:type="paragraph" w:styleId="Revision">
    <w:name w:val="Revision"/>
    <w:hidden/>
    <w:uiPriority w:val="99"/>
    <w:semiHidden/>
    <w:rsid w:val="009500F5"/>
    <w:rPr>
      <w:rFonts w:ascii="Calibri" w:hAnsi="Calibri"/>
      <w:color w:val="000000"/>
      <w:sz w:val="22"/>
      <w:lang w:eastAsia="en-GB"/>
    </w:rPr>
  </w:style>
  <w:style w:type="paragraph" w:customStyle="1" w:styleId="paragraph">
    <w:name w:val="paragraph"/>
    <w:basedOn w:val="Normal"/>
    <w:rsid w:val="00A85B71"/>
    <w:pPr>
      <w:spacing w:before="100" w:beforeAutospacing="1" w:after="100" w:afterAutospacing="1" w:line="240" w:lineRule="auto"/>
    </w:pPr>
    <w:rPr>
      <w:rFonts w:ascii="Times New Roman" w:eastAsia="Times New Roman" w:hAnsi="Times New Roman"/>
      <w:color w:val="auto"/>
      <w:sz w:val="24"/>
      <w:szCs w:val="24"/>
      <w:lang w:eastAsia="en-US"/>
    </w:rPr>
  </w:style>
  <w:style w:type="character" w:customStyle="1" w:styleId="normaltextrun">
    <w:name w:val="normaltextrun"/>
    <w:basedOn w:val="DefaultParagraphFont"/>
    <w:rsid w:val="00A85B71"/>
  </w:style>
  <w:style w:type="character" w:customStyle="1" w:styleId="eop">
    <w:name w:val="eop"/>
    <w:basedOn w:val="DefaultParagraphFont"/>
    <w:rsid w:val="00A85B71"/>
  </w:style>
  <w:style w:type="character" w:customStyle="1" w:styleId="ListParagraphChar">
    <w:name w:val="List Paragraph Char"/>
    <w:basedOn w:val="DefaultParagraphFont"/>
    <w:link w:val="ListParagraph"/>
    <w:uiPriority w:val="34"/>
    <w:locked/>
    <w:rsid w:val="00EF2125"/>
    <w:rPr>
      <w:rFonts w:ascii="Calibri" w:eastAsia="Calibri" w:hAnsi="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248081515">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2896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sites/DHR-ChildSafeguarding/SitePages/Amendments-to-the-Recruitment-Gui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DocumentLibrary1/Guidance%20on%20Identifying%20Elevated%20Risk%20Roles_finalversion.pdf?CT=1590792470221&amp;OR=Items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cef.sharepoint.com/sites/DHR-ChildSafeguarding/DocumentLibrary1/Child%20Safeguarding%20FAQs%20and%20Updates%20Dec%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FAE05028EBB343B2E656E4F4DF0F1C" ma:contentTypeVersion="13" ma:contentTypeDescription="Create a new document." ma:contentTypeScope="" ma:versionID="9e7ea144e14422cd3c910d5e76bd76d4">
  <xsd:schema xmlns:xsd="http://www.w3.org/2001/XMLSchema" xmlns:xs="http://www.w3.org/2001/XMLSchema" xmlns:p="http://schemas.microsoft.com/office/2006/metadata/properties" xmlns:ns3="4cdddc5c-d32c-4a32-8c87-9705e3d9e37b" xmlns:ns4="0cbb570f-480f-4b8e-bd86-ec2acec1e4e7" targetNamespace="http://schemas.microsoft.com/office/2006/metadata/properties" ma:root="true" ma:fieldsID="12da15a4f7efa310922ffff2f4aba5fb" ns3:_="" ns4:_="">
    <xsd:import namespace="4cdddc5c-d32c-4a32-8c87-9705e3d9e37b"/>
    <xsd:import namespace="0cbb570f-480f-4b8e-bd86-ec2acec1e4e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ddc5c-d32c-4a32-8c87-9705e3d9e3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b570f-480f-4b8e-bd86-ec2acec1e4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0425B-9AF4-4036-BD6E-976A7DF514F5}">
  <ds:schemaRefs>
    <ds:schemaRef ds:uri="http://schemas.openxmlformats.org/officeDocument/2006/bibliography"/>
  </ds:schemaRefs>
</ds:datastoreItem>
</file>

<file path=customXml/itemProps2.xml><?xml version="1.0" encoding="utf-8"?>
<ds:datastoreItem xmlns:ds="http://schemas.openxmlformats.org/officeDocument/2006/customXml" ds:itemID="{25D86731-B97A-400F-BABD-36860CC52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ddc5c-d32c-4a32-8c87-9705e3d9e37b"/>
    <ds:schemaRef ds:uri="0cbb570f-480f-4b8e-bd86-ec2acec1e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79E7-05AC-49BE-BBE3-03F2168760BC}">
  <ds:schemaRefs>
    <ds:schemaRef ds:uri="http://schemas.microsoft.com/sharepoint/v3/contenttype/forms"/>
  </ds:schemaRefs>
</ds:datastoreItem>
</file>

<file path=customXml/itemProps4.xml><?xml version="1.0" encoding="utf-8"?>
<ds:datastoreItem xmlns:ds="http://schemas.openxmlformats.org/officeDocument/2006/customXml" ds:itemID="{A6B9BC42-CF73-48E0-9763-9CE7DC671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3</cp:revision>
  <cp:lastPrinted>2018-10-30T14:18:00Z</cp:lastPrinted>
  <dcterms:created xsi:type="dcterms:W3CDTF">2021-04-22T06:21:00Z</dcterms:created>
  <dcterms:modified xsi:type="dcterms:W3CDTF">2021-04-22T06:43:00Z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0x01010092FAE05028EBB343B2E656E4F4DF0F1C</vt:lpwstr>
  </property>
  <property fmtid="{D5CDD505-2E9C-101B-9397-08002B2CF9AE}" pid="3" name="TaxCatchAll">
    <vt:lpwstr>160;#Briefing notes, briefs, fact sheets|4ba3e286-01a8-41c4-affc-553f01e7751d;#82;#Republic of Mozambique-6890|06c1edb0-0785-4255-991b-43eb1f3a2133;#193;#Social Policy, Evaluation and Research|03c96acd-099c-44d1-90cb-d1fe31fb3fb6;#59;#Mozambique-MOZ|84e0f</vt:lpwstr>
  </property>
  <property fmtid="{D5CDD505-2E9C-101B-9397-08002B2CF9AE}" pid="4" name="Sections1">
    <vt:lpwstr>193;#Social Policy, Evaluation and Research|03c96acd-099c-44d1-90cb-d1fe31fb3fb6</vt:lpwstr>
  </property>
  <property fmtid="{D5CDD505-2E9C-101B-9397-08002B2CF9AE}" pid="5" name="OrgUnit">
    <vt:lpwstr>82;#Republic of Mozambique-6890|06c1edb0-0785-4255-991b-43eb1f3a2133</vt:lpwstr>
  </property>
  <property fmtid="{D5CDD505-2E9C-101B-9397-08002B2CF9AE}" pid="6" name="_dlc_DocIdItemGuid">
    <vt:lpwstr>36511013-fca7-4818-8f84-6bef98c5bb11</vt:lpwstr>
  </property>
  <property fmtid="{D5CDD505-2E9C-101B-9397-08002B2CF9AE}" pid="7" name="GeographicScope">
    <vt:lpwstr>59;#Mozambique-MOZ|84e0f7cb-0e53-46e8-b867-87a573bf7864</vt:lpwstr>
  </property>
  <property fmtid="{D5CDD505-2E9C-101B-9397-08002B2CF9AE}" pid="8" name="OfficeDivision">
    <vt:lpwstr>82;#Republic of Mozambique-6890|06c1edb0-0785-4255-991b-43eb1f3a2133</vt:lpwstr>
  </property>
  <property fmtid="{D5CDD505-2E9C-101B-9397-08002B2CF9AE}" pid="9" name="DocumentType">
    <vt:lpwstr>160;#Briefing notes, briefs, fact sheets|4ba3e286-01a8-41c4-affc-553f01e7751d</vt:lpwstr>
  </property>
  <property fmtid="{D5CDD505-2E9C-101B-9397-08002B2CF9AE}" pid="10" name="Section Classification">
    <vt:lpwstr/>
  </property>
</Properties>
</file>