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6926CD" w:rsidRPr="001C321B" w14:paraId="22BE5B09" w14:textId="77777777" w:rsidTr="006926CD">
        <w:trPr>
          <w:trHeight w:val="459"/>
        </w:trPr>
        <w:tc>
          <w:tcPr>
            <w:tcW w:w="10890" w:type="dxa"/>
            <w:tcBorders>
              <w:top w:val="single" w:sz="8" w:space="0" w:color="00B0F0"/>
              <w:left w:val="single" w:sz="8" w:space="0" w:color="00B0F0"/>
              <w:bottom w:val="single" w:sz="8" w:space="0" w:color="00B0F0"/>
              <w:right w:val="single" w:sz="8" w:space="0" w:color="00B0F0"/>
            </w:tcBorders>
            <w:shd w:val="clear" w:color="auto" w:fill="E7E6E6" w:themeFill="background2"/>
            <w:vAlign w:val="center"/>
          </w:tcPr>
          <w:p w14:paraId="45EFFCB4" w14:textId="77777777" w:rsidR="006926CD" w:rsidRPr="001C321B" w:rsidRDefault="006926CD" w:rsidP="000E2A3F">
            <w:pPr>
              <w:rPr>
                <w:rFonts w:asciiTheme="minorHAnsi" w:hAnsiTheme="minorHAnsi" w:cstheme="majorHAnsi"/>
              </w:rPr>
            </w:pPr>
            <w:r>
              <w:rPr>
                <w:rFonts w:asciiTheme="minorHAnsi" w:eastAsia="Arial Unicode MS" w:hAnsiTheme="minorHAnsi" w:cstheme="majorHAnsi"/>
                <w:b/>
                <w:color w:val="auto"/>
                <w:lang w:val="en-AU"/>
              </w:rPr>
              <w:t xml:space="preserve">Work </w:t>
            </w:r>
            <w:r w:rsidRPr="001C321B">
              <w:rPr>
                <w:rFonts w:asciiTheme="minorHAnsi" w:eastAsia="Arial Unicode MS" w:hAnsiTheme="minorHAnsi" w:cstheme="majorHAnsi"/>
                <w:b/>
                <w:color w:val="auto"/>
                <w:lang w:val="en-AU"/>
              </w:rPr>
              <w:t>Assignment:</w:t>
            </w:r>
          </w:p>
        </w:tc>
      </w:tr>
      <w:tr w:rsidR="006926CD" w:rsidRPr="00477C6B" w14:paraId="4107640F" w14:textId="77777777" w:rsidTr="006926CD">
        <w:trPr>
          <w:trHeight w:val="459"/>
        </w:trPr>
        <w:tc>
          <w:tcPr>
            <w:tcW w:w="1089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BB73358" w14:textId="77777777" w:rsidR="006926CD" w:rsidRPr="00477C6B" w:rsidRDefault="006926CD" w:rsidP="000E2A3F">
            <w:pPr>
              <w:jc w:val="both"/>
              <w:rPr>
                <w:rFonts w:asciiTheme="minorHAnsi" w:eastAsiaTheme="minorEastAsia" w:hAnsiTheme="minorHAnsi" w:cstheme="minorBidi"/>
                <w:color w:val="000000" w:themeColor="text1"/>
              </w:rPr>
            </w:pPr>
            <w:proofErr w:type="gramStart"/>
            <w:r w:rsidRPr="79500A61">
              <w:rPr>
                <w:rFonts w:ascii="Calibri" w:eastAsia="Calibri" w:hAnsi="Calibri" w:cs="Calibri"/>
                <w:color w:val="000000" w:themeColor="text1"/>
              </w:rPr>
              <w:t>Recognizing the interconnected needs of child and adolescent survivors of GBV, it</w:t>
            </w:r>
            <w:proofErr w:type="gramEnd"/>
            <w:r w:rsidRPr="79500A61">
              <w:rPr>
                <w:rFonts w:ascii="Calibri" w:eastAsia="Calibri" w:hAnsi="Calibri" w:cs="Calibri"/>
                <w:color w:val="000000" w:themeColor="text1"/>
              </w:rPr>
              <w:t xml:space="preserve"> is evident that the Gender-Based Violence (GBV) and Child Protection (CP) case management agencies have overlapping responsibilities regarding the response to complex cases of child survivors.</w:t>
            </w:r>
          </w:p>
          <w:p w14:paraId="3E39B752" w14:textId="77777777" w:rsidR="006926CD" w:rsidRPr="00477C6B" w:rsidRDefault="006926CD" w:rsidP="000E2A3F">
            <w:pPr>
              <w:jc w:val="both"/>
              <w:rPr>
                <w:rStyle w:val="Style4"/>
                <w:rFonts w:asciiTheme="minorHAnsi" w:hAnsiTheme="minorHAnsi" w:cstheme="majorBidi"/>
              </w:rPr>
            </w:pPr>
          </w:p>
          <w:p w14:paraId="473AA479" w14:textId="77777777" w:rsidR="006926CD" w:rsidRPr="00477C6B" w:rsidRDefault="006926CD" w:rsidP="000E2A3F">
            <w:pPr>
              <w:spacing w:line="240" w:lineRule="auto"/>
              <w:rPr>
                <w:rStyle w:val="Style4"/>
                <w:rFonts w:asciiTheme="minorHAnsi" w:eastAsiaTheme="minorEastAsia" w:hAnsiTheme="minorHAnsi" w:cstheme="minorBidi"/>
              </w:rPr>
            </w:pPr>
            <w:r w:rsidRPr="79500A61">
              <w:rPr>
                <w:rStyle w:val="Style4"/>
                <w:rFonts w:asciiTheme="minorHAnsi" w:hAnsiTheme="minorHAnsi" w:cstheme="majorBidi"/>
              </w:rPr>
              <w:t xml:space="preserve">The </w:t>
            </w:r>
            <w:r w:rsidRPr="662CE091">
              <w:rPr>
                <w:rStyle w:val="Style4"/>
                <w:rFonts w:asciiTheme="minorHAnsi" w:hAnsiTheme="minorHAnsi" w:cstheme="majorBidi"/>
              </w:rPr>
              <w:t xml:space="preserve">Child Protection (CP) and Gender-Based Violence (GBV) </w:t>
            </w:r>
            <w:r>
              <w:rPr>
                <w:rStyle w:val="Style4"/>
                <w:rFonts w:asciiTheme="minorHAnsi" w:hAnsiTheme="minorHAnsi" w:cstheme="majorBidi"/>
              </w:rPr>
              <w:t>sub-</w:t>
            </w:r>
            <w:r w:rsidRPr="662CE091">
              <w:rPr>
                <w:rStyle w:val="Style4"/>
                <w:rFonts w:asciiTheme="minorHAnsi" w:hAnsiTheme="minorHAnsi" w:cstheme="majorBidi"/>
              </w:rPr>
              <w:t>sectors</w:t>
            </w:r>
            <w:r w:rsidRPr="79500A61">
              <w:rPr>
                <w:rStyle w:val="Style4"/>
                <w:rFonts w:asciiTheme="minorHAnsi" w:hAnsiTheme="minorHAnsi" w:cstheme="majorBidi"/>
              </w:rPr>
              <w:t xml:space="preserve"> in Lebanon</w:t>
            </w:r>
            <w:r w:rsidRPr="662CE091">
              <w:rPr>
                <w:rStyle w:val="Style4"/>
                <w:rFonts w:asciiTheme="minorHAnsi" w:hAnsiTheme="minorHAnsi" w:cstheme="majorBidi"/>
              </w:rPr>
              <w:t xml:space="preserve"> </w:t>
            </w:r>
            <w:r w:rsidRPr="79500A61">
              <w:rPr>
                <w:rStyle w:val="Style4"/>
                <w:rFonts w:asciiTheme="minorHAnsi" w:hAnsiTheme="minorHAnsi" w:cstheme="majorBidi"/>
              </w:rPr>
              <w:t xml:space="preserve">showed commitment </w:t>
            </w:r>
            <w:r w:rsidRPr="662CE091">
              <w:rPr>
                <w:rStyle w:val="Style4"/>
                <w:rFonts w:asciiTheme="minorHAnsi" w:hAnsiTheme="minorHAnsi" w:cstheme="majorBidi"/>
              </w:rPr>
              <w:t xml:space="preserve">to improving coordination among their partners regarding the case management of </w:t>
            </w:r>
            <w:r w:rsidRPr="00067D11">
              <w:rPr>
                <w:rStyle w:val="Style4"/>
                <w:rFonts w:asciiTheme="minorHAnsi" w:eastAsiaTheme="minorEastAsia" w:hAnsiTheme="minorHAnsi" w:cstheme="minorBidi"/>
              </w:rPr>
              <w:t xml:space="preserve">children survivors of GBV. Both </w:t>
            </w:r>
            <w:r>
              <w:rPr>
                <w:rStyle w:val="Style4"/>
                <w:rFonts w:asciiTheme="minorHAnsi" w:eastAsiaTheme="minorEastAsia" w:hAnsiTheme="minorHAnsi" w:cstheme="minorBidi"/>
              </w:rPr>
              <w:t>sub-</w:t>
            </w:r>
            <w:r w:rsidRPr="00067D11">
              <w:rPr>
                <w:rStyle w:val="Style4"/>
                <w:rFonts w:asciiTheme="minorHAnsi" w:eastAsiaTheme="minorEastAsia" w:hAnsiTheme="minorHAnsi" w:cstheme="minorBidi"/>
              </w:rPr>
              <w:t>sectors have included a key action point in their Annual Workplans</w:t>
            </w:r>
            <w:r w:rsidRPr="662CE091">
              <w:rPr>
                <w:rStyle w:val="Style4"/>
                <w:rFonts w:asciiTheme="minorHAnsi" w:eastAsiaTheme="minorEastAsia" w:hAnsiTheme="minorHAnsi" w:cstheme="minorBidi"/>
              </w:rPr>
              <w:t xml:space="preserve"> </w:t>
            </w:r>
            <w:r w:rsidRPr="79500A61">
              <w:rPr>
                <w:rStyle w:val="Style4"/>
                <w:rFonts w:asciiTheme="minorHAnsi" w:eastAsiaTheme="minorEastAsia" w:hAnsiTheme="minorHAnsi" w:cstheme="minorBidi"/>
              </w:rPr>
              <w:t xml:space="preserve">in 2022/ 2023 a priority related to the </w:t>
            </w:r>
            <w:r w:rsidRPr="00345320">
              <w:rPr>
                <w:rFonts w:asciiTheme="minorHAnsi" w:eastAsiaTheme="minorEastAsia" w:hAnsiTheme="minorHAnsi" w:cstheme="minorBidi"/>
                <w:color w:val="000000" w:themeColor="text1"/>
              </w:rPr>
              <w:t>contextuali</w:t>
            </w:r>
            <w:r w:rsidRPr="79500A61">
              <w:rPr>
                <w:rFonts w:asciiTheme="minorHAnsi" w:eastAsiaTheme="minorEastAsia" w:hAnsiTheme="minorHAnsi" w:cstheme="minorBidi"/>
                <w:color w:val="000000" w:themeColor="text1"/>
              </w:rPr>
              <w:t>zation of the second edition of</w:t>
            </w:r>
            <w:r w:rsidRPr="00067D11">
              <w:rPr>
                <w:rFonts w:asciiTheme="minorHAnsi" w:eastAsiaTheme="minorEastAsia" w:hAnsiTheme="minorHAnsi" w:cstheme="minorBidi"/>
                <w:color w:val="000000" w:themeColor="text1"/>
              </w:rPr>
              <w:t xml:space="preserve"> global UNICEF/ IRC global guideline</w:t>
            </w:r>
            <w:r w:rsidRPr="79500A61">
              <w:rPr>
                <w:rFonts w:asciiTheme="minorHAnsi" w:eastAsiaTheme="minorEastAsia" w:hAnsiTheme="minorHAnsi" w:cstheme="minorBidi"/>
                <w:color w:val="000000" w:themeColor="text1"/>
              </w:rPr>
              <w:t xml:space="preserve">s </w:t>
            </w:r>
            <w:r w:rsidRPr="6D59E9E5">
              <w:rPr>
                <w:rStyle w:val="FootnoteReference"/>
                <w:rFonts w:asciiTheme="minorHAnsi" w:eastAsiaTheme="minorEastAsia" w:hAnsiTheme="minorHAnsi" w:cstheme="minorBidi"/>
                <w:color w:val="000000" w:themeColor="text1"/>
              </w:rPr>
              <w:footnoteReference w:id="1"/>
            </w:r>
            <w:r w:rsidRPr="00067D11">
              <w:rPr>
                <w:rFonts w:asciiTheme="minorHAnsi" w:eastAsiaTheme="minorEastAsia" w:hAnsiTheme="minorHAnsi" w:cstheme="minorBidi"/>
                <w:color w:val="000000" w:themeColor="text1"/>
              </w:rPr>
              <w:t xml:space="preserve"> </w:t>
            </w:r>
            <w:r w:rsidRPr="79500A61">
              <w:rPr>
                <w:rFonts w:asciiTheme="minorHAnsi" w:eastAsiaTheme="minorEastAsia" w:hAnsiTheme="minorHAnsi" w:cstheme="minorBidi"/>
                <w:color w:val="000000" w:themeColor="text1"/>
              </w:rPr>
              <w:t>for caring for child survivor and agreed to</w:t>
            </w:r>
            <w:r w:rsidRPr="00067D11">
              <w:rPr>
                <w:rFonts w:asciiTheme="minorHAnsi" w:eastAsiaTheme="minorEastAsia" w:hAnsiTheme="minorHAnsi" w:cstheme="minorBidi"/>
                <w:color w:val="000000" w:themeColor="text1"/>
              </w:rPr>
              <w:t xml:space="preserve"> roll it out with relevant Child Protection and GBV partners</w:t>
            </w:r>
            <w:r w:rsidRPr="79500A61">
              <w:rPr>
                <w:rFonts w:asciiTheme="minorHAnsi" w:eastAsiaTheme="minorEastAsia" w:hAnsiTheme="minorHAnsi" w:cstheme="minorBidi"/>
                <w:color w:val="000000" w:themeColor="text1"/>
              </w:rPr>
              <w:t xml:space="preserve"> in Lebanon. </w:t>
            </w:r>
          </w:p>
          <w:p w14:paraId="2FC48E13" w14:textId="77777777" w:rsidR="006926CD" w:rsidRDefault="006926CD" w:rsidP="000E2A3F">
            <w:pPr>
              <w:jc w:val="both"/>
              <w:rPr>
                <w:rStyle w:val="Style4"/>
                <w:rFonts w:asciiTheme="minorHAnsi" w:hAnsiTheme="minorHAnsi" w:cstheme="majorBidi"/>
              </w:rPr>
            </w:pPr>
          </w:p>
          <w:p w14:paraId="228B39C2" w14:textId="77777777" w:rsidR="006926CD" w:rsidRPr="00477C6B" w:rsidRDefault="006926CD" w:rsidP="000E2A3F">
            <w:pPr>
              <w:jc w:val="both"/>
              <w:rPr>
                <w:rFonts w:ascii="Calibri" w:eastAsia="Calibri" w:hAnsi="Calibri" w:cs="Calibri"/>
                <w:color w:val="000000" w:themeColor="text1"/>
              </w:rPr>
            </w:pPr>
            <w:r w:rsidRPr="79500A61">
              <w:rPr>
                <w:rStyle w:val="Style4"/>
                <w:rFonts w:asciiTheme="minorHAnsi" w:hAnsiTheme="minorHAnsi" w:cstheme="majorBidi"/>
              </w:rPr>
              <w:t xml:space="preserve">The updated guidelines </w:t>
            </w:r>
            <w:r w:rsidRPr="00067D11">
              <w:rPr>
                <w:rFonts w:ascii="Calibri" w:eastAsia="Calibri" w:hAnsi="Calibri" w:cs="Calibri"/>
                <w:color w:val="000000" w:themeColor="text1"/>
              </w:rPr>
              <w:t>outline a common, harmonized approach between CP and GBV case workers in Lebanon when supporting child survivors of sexual violence in line with the Lebanese laws</w:t>
            </w:r>
            <w:r w:rsidRPr="79500A61">
              <w:rPr>
                <w:rFonts w:ascii="Calibri" w:eastAsia="Calibri" w:hAnsi="Calibri" w:cs="Calibri"/>
                <w:color w:val="000000" w:themeColor="text1"/>
              </w:rPr>
              <w:t>,</w:t>
            </w:r>
            <w:r w:rsidRPr="00067D11">
              <w:rPr>
                <w:rFonts w:ascii="Calibri" w:eastAsia="Calibri" w:hAnsi="Calibri" w:cs="Calibri"/>
                <w:color w:val="000000" w:themeColor="text1"/>
              </w:rPr>
              <w:t xml:space="preserve"> SOPs endorsed by </w:t>
            </w:r>
            <w:proofErr w:type="spellStart"/>
            <w:r w:rsidRPr="00067D11">
              <w:rPr>
                <w:rFonts w:ascii="Calibri" w:eastAsia="Calibri" w:hAnsi="Calibri" w:cs="Calibri"/>
                <w:color w:val="000000" w:themeColor="text1"/>
              </w:rPr>
              <w:t>MoSA</w:t>
            </w:r>
            <w:proofErr w:type="spellEnd"/>
            <w:r w:rsidRPr="00067D11">
              <w:rPr>
                <w:rFonts w:ascii="Calibri" w:eastAsia="Calibri" w:hAnsi="Calibri" w:cs="Calibri"/>
                <w:color w:val="000000" w:themeColor="text1"/>
              </w:rPr>
              <w:t>, and the</w:t>
            </w:r>
            <w:r w:rsidRPr="79500A61">
              <w:rPr>
                <w:rFonts w:ascii="Calibri" w:eastAsia="Calibri" w:hAnsi="Calibri" w:cs="Calibri"/>
                <w:color w:val="000000" w:themeColor="text1"/>
              </w:rPr>
              <w:t xml:space="preserve"> second edition of global</w:t>
            </w:r>
            <w:r w:rsidRPr="00067D11">
              <w:rPr>
                <w:rFonts w:ascii="Calibri" w:eastAsia="Calibri" w:hAnsi="Calibri" w:cs="Calibri"/>
                <w:color w:val="000000" w:themeColor="text1"/>
              </w:rPr>
              <w:t xml:space="preserve"> IRC/ UNICEF tool for caring for child survivor </w:t>
            </w:r>
            <w:r w:rsidRPr="79500A61">
              <w:rPr>
                <w:rFonts w:ascii="Calibri" w:eastAsia="Calibri" w:hAnsi="Calibri" w:cs="Calibri"/>
                <w:color w:val="000000" w:themeColor="text1"/>
              </w:rPr>
              <w:t>that brought a stronger focus on gender inequality, intersectionality, as well as the connections between the best interests of the child and a survivor-centered approach.</w:t>
            </w:r>
          </w:p>
          <w:p w14:paraId="52338C8F" w14:textId="77777777" w:rsidR="006926CD" w:rsidRDefault="006926CD" w:rsidP="000E2A3F">
            <w:pPr>
              <w:jc w:val="both"/>
              <w:rPr>
                <w:rFonts w:ascii="Calibri" w:eastAsia="Calibri" w:hAnsi="Calibri" w:cs="Calibri"/>
                <w:color w:val="000000" w:themeColor="text1"/>
              </w:rPr>
            </w:pPr>
          </w:p>
          <w:p w14:paraId="1EA435EC" w14:textId="77777777" w:rsidR="006926CD" w:rsidRDefault="006926CD" w:rsidP="000E2A3F">
            <w:pPr>
              <w:spacing w:line="240" w:lineRule="auto"/>
              <w:rPr>
                <w:rStyle w:val="Style4"/>
                <w:rFonts w:asciiTheme="minorHAnsi" w:hAnsiTheme="minorHAnsi" w:cstheme="majorBidi"/>
              </w:rPr>
            </w:pPr>
            <w:r>
              <w:rPr>
                <w:rStyle w:val="Style4"/>
                <w:rFonts w:asciiTheme="minorHAnsi" w:hAnsiTheme="minorHAnsi" w:cstheme="majorBidi"/>
              </w:rPr>
              <w:t xml:space="preserve">UNICEF on behalf and in consultation with </w:t>
            </w:r>
            <w:r w:rsidRPr="79500A61">
              <w:rPr>
                <w:rStyle w:val="Style4"/>
                <w:rFonts w:asciiTheme="minorHAnsi" w:hAnsiTheme="minorHAnsi" w:cstheme="majorBidi"/>
              </w:rPr>
              <w:t xml:space="preserve">the </w:t>
            </w:r>
            <w:r>
              <w:rPr>
                <w:rStyle w:val="Style4"/>
                <w:rFonts w:asciiTheme="minorHAnsi" w:hAnsiTheme="minorHAnsi" w:cstheme="majorBidi"/>
              </w:rPr>
              <w:t>CP and GBV</w:t>
            </w:r>
            <w:r w:rsidRPr="79500A61">
              <w:rPr>
                <w:rStyle w:val="Style4"/>
                <w:rFonts w:asciiTheme="minorHAnsi" w:hAnsiTheme="minorHAnsi" w:cstheme="majorBidi"/>
              </w:rPr>
              <w:t xml:space="preserve"> </w:t>
            </w:r>
            <w:r>
              <w:rPr>
                <w:rStyle w:val="Style4"/>
                <w:rFonts w:asciiTheme="minorHAnsi" w:hAnsiTheme="minorHAnsi" w:cstheme="majorBidi"/>
              </w:rPr>
              <w:t>sub-</w:t>
            </w:r>
            <w:r w:rsidRPr="79500A61">
              <w:rPr>
                <w:rStyle w:val="Style4"/>
                <w:rFonts w:asciiTheme="minorHAnsi" w:hAnsiTheme="minorHAnsi" w:cstheme="majorBidi"/>
              </w:rPr>
              <w:t xml:space="preserve">sectors agreed in 2024 on the importance </w:t>
            </w:r>
            <w:r>
              <w:rPr>
                <w:rStyle w:val="Style4"/>
                <w:rFonts w:asciiTheme="minorHAnsi" w:hAnsiTheme="minorHAnsi" w:cstheme="majorBidi"/>
              </w:rPr>
              <w:t xml:space="preserve">of rolling out </w:t>
            </w:r>
            <w:r w:rsidRPr="79500A61">
              <w:rPr>
                <w:rStyle w:val="Style4"/>
                <w:rFonts w:asciiTheme="minorHAnsi" w:hAnsiTheme="minorHAnsi" w:cstheme="majorBidi"/>
              </w:rPr>
              <w:t>training</w:t>
            </w:r>
            <w:r>
              <w:rPr>
                <w:rStyle w:val="Style4"/>
                <w:rFonts w:asciiTheme="minorHAnsi" w:hAnsiTheme="minorHAnsi" w:cstheme="majorBidi"/>
              </w:rPr>
              <w:t>s</w:t>
            </w:r>
            <w:r w:rsidRPr="79500A61">
              <w:rPr>
                <w:rStyle w:val="Style4"/>
                <w:rFonts w:asciiTheme="minorHAnsi" w:hAnsiTheme="minorHAnsi" w:cstheme="majorBidi"/>
              </w:rPr>
              <w:t xml:space="preserve"> </w:t>
            </w:r>
            <w:r>
              <w:rPr>
                <w:rStyle w:val="Style4"/>
                <w:rFonts w:asciiTheme="minorHAnsi" w:hAnsiTheme="minorHAnsi" w:cstheme="majorBidi"/>
              </w:rPr>
              <w:t>on</w:t>
            </w:r>
            <w:r w:rsidRPr="79500A61">
              <w:rPr>
                <w:rStyle w:val="Style4"/>
                <w:rFonts w:asciiTheme="minorHAnsi" w:hAnsiTheme="minorHAnsi" w:cstheme="majorBidi"/>
              </w:rPr>
              <w:t xml:space="preserve"> the new guidance for both </w:t>
            </w:r>
            <w:r>
              <w:rPr>
                <w:rStyle w:val="Style4"/>
                <w:rFonts w:asciiTheme="minorHAnsi" w:hAnsiTheme="minorHAnsi" w:cstheme="majorBidi"/>
              </w:rPr>
              <w:t>sub-</w:t>
            </w:r>
            <w:r w:rsidRPr="79500A61">
              <w:rPr>
                <w:rStyle w:val="Style4"/>
                <w:rFonts w:asciiTheme="minorHAnsi" w:hAnsiTheme="minorHAnsi" w:cstheme="majorBidi"/>
              </w:rPr>
              <w:t>sector partners to enhance their capacities to respond to these cases in adherence to global standards and ensure the best possible quality</w:t>
            </w:r>
            <w:r>
              <w:rPr>
                <w:rStyle w:val="Style4"/>
                <w:rFonts w:asciiTheme="minorHAnsi" w:hAnsiTheme="minorHAnsi" w:cstheme="majorBidi"/>
              </w:rPr>
              <w:t>.</w:t>
            </w:r>
          </w:p>
          <w:p w14:paraId="1CB56EC3" w14:textId="77777777" w:rsidR="006926CD" w:rsidRPr="00477C6B" w:rsidRDefault="006926CD" w:rsidP="000E2A3F">
            <w:pPr>
              <w:spacing w:line="240" w:lineRule="auto"/>
              <w:rPr>
                <w:rStyle w:val="Style4"/>
                <w:rFonts w:asciiTheme="minorHAnsi" w:hAnsiTheme="minorHAnsi" w:cstheme="majorBidi"/>
              </w:rPr>
            </w:pPr>
          </w:p>
          <w:p w14:paraId="7766E203" w14:textId="77777777" w:rsidR="006926CD" w:rsidRDefault="006926CD" w:rsidP="000E2A3F">
            <w:pPr>
              <w:spacing w:line="240" w:lineRule="auto"/>
              <w:jc w:val="both"/>
              <w:rPr>
                <w:rStyle w:val="Style4"/>
                <w:rFonts w:asciiTheme="minorHAnsi" w:hAnsiTheme="minorHAnsi" w:cstheme="majorHAnsi"/>
              </w:rPr>
            </w:pPr>
            <w:r w:rsidRPr="00477C6B">
              <w:rPr>
                <w:rStyle w:val="Style4"/>
                <w:rFonts w:asciiTheme="minorHAnsi" w:hAnsiTheme="minorHAnsi" w:cstheme="majorHAnsi"/>
              </w:rPr>
              <w:t xml:space="preserve">As sexual abuse against children is mainly considered gender-driven, the rollout of these guidelines will ensure the consideration of gender perspectives in case management services to properly address the specificities of such cases. The </w:t>
            </w:r>
            <w:r>
              <w:rPr>
                <w:rStyle w:val="Style4"/>
                <w:rFonts w:asciiTheme="minorHAnsi" w:hAnsiTheme="minorHAnsi" w:cstheme="majorHAnsi"/>
              </w:rPr>
              <w:t xml:space="preserve">trainings </w:t>
            </w:r>
            <w:r w:rsidRPr="00477C6B">
              <w:rPr>
                <w:rStyle w:val="Style4"/>
                <w:rFonts w:asciiTheme="minorHAnsi" w:hAnsiTheme="minorHAnsi" w:cstheme="majorHAnsi"/>
              </w:rPr>
              <w:t>will adopt a survivor-centered approach and prioritize the best interests of the child/survivor, mandatory reporting, and the Clinical Management of Rape (CMR) for both CP and GBV partners providing Case Management services. Additionally, key considerations for children with disabilities (</w:t>
            </w:r>
            <w:proofErr w:type="spellStart"/>
            <w:r w:rsidRPr="00477C6B">
              <w:rPr>
                <w:rStyle w:val="Style4"/>
                <w:rFonts w:asciiTheme="minorHAnsi" w:hAnsiTheme="minorHAnsi" w:cstheme="majorHAnsi"/>
              </w:rPr>
              <w:t>CwD</w:t>
            </w:r>
            <w:proofErr w:type="spellEnd"/>
            <w:r w:rsidRPr="00477C6B">
              <w:rPr>
                <w:rStyle w:val="Style4"/>
                <w:rFonts w:asciiTheme="minorHAnsi" w:hAnsiTheme="minorHAnsi" w:cstheme="majorHAnsi"/>
              </w:rPr>
              <w:t>) and adolescent girls will be highlighted.</w:t>
            </w:r>
          </w:p>
          <w:p w14:paraId="40F98F9D" w14:textId="77777777" w:rsidR="006926CD" w:rsidRPr="00477C6B" w:rsidRDefault="006926CD" w:rsidP="000E2A3F">
            <w:pPr>
              <w:spacing w:line="240" w:lineRule="auto"/>
              <w:jc w:val="both"/>
              <w:rPr>
                <w:rStyle w:val="Style4"/>
                <w:rFonts w:asciiTheme="minorHAnsi" w:hAnsiTheme="minorHAnsi" w:cstheme="majorHAnsi"/>
              </w:rPr>
            </w:pPr>
          </w:p>
        </w:tc>
      </w:tr>
    </w:tbl>
    <w:p w14:paraId="1780A8BA" w14:textId="77777777" w:rsidR="006926CD" w:rsidRDefault="006926CD" w:rsidP="006926CD"/>
    <w:p w14:paraId="14BDDB5F" w14:textId="77777777" w:rsidR="006926CD" w:rsidRDefault="006926CD"/>
    <w:tbl>
      <w:tblPr>
        <w:tblStyle w:val="TableGrid"/>
        <w:tblW w:w="10890" w:type="dxa"/>
        <w:tblInd w:w="-825" w:type="dxa"/>
        <w:tblLayout w:type="fixed"/>
        <w:tblLook w:val="0480" w:firstRow="0" w:lastRow="0" w:firstColumn="1" w:lastColumn="0" w:noHBand="0" w:noVBand="1"/>
      </w:tblPr>
      <w:tblGrid>
        <w:gridCol w:w="4500"/>
        <w:gridCol w:w="3240"/>
        <w:gridCol w:w="3150"/>
        <w:tblGridChange w:id="0">
          <w:tblGrid>
            <w:gridCol w:w="4500"/>
            <w:gridCol w:w="3240"/>
            <w:gridCol w:w="3150"/>
          </w:tblGrid>
        </w:tblGridChange>
      </w:tblGrid>
      <w:tr w:rsidR="006926CD" w:rsidRPr="001C321B" w14:paraId="262FE37C" w14:textId="77777777" w:rsidTr="006926CD">
        <w:trPr>
          <w:trHeight w:val="449"/>
        </w:trPr>
        <w:tc>
          <w:tcPr>
            <w:tcW w:w="10890" w:type="dxa"/>
            <w:gridSpan w:val="3"/>
            <w:tcBorders>
              <w:top w:val="single" w:sz="12" w:space="0" w:color="00B0F0"/>
              <w:left w:val="single" w:sz="12" w:space="0" w:color="00B0F0"/>
              <w:bottom w:val="single" w:sz="12" w:space="0" w:color="00B0F0"/>
              <w:right w:val="single" w:sz="12" w:space="0" w:color="00B0F0"/>
            </w:tcBorders>
            <w:shd w:val="clear" w:color="auto" w:fill="D0CECE" w:themeFill="background2" w:themeFillShade="E6"/>
            <w:vAlign w:val="center"/>
          </w:tcPr>
          <w:p w14:paraId="313DAD58" w14:textId="77777777" w:rsidR="006926CD" w:rsidRPr="001C321B" w:rsidRDefault="006926CD" w:rsidP="000E2A3F">
            <w:pPr>
              <w:jc w:val="center"/>
              <w:rPr>
                <w:rFonts w:asciiTheme="minorHAnsi" w:hAnsiTheme="minorHAnsi" w:cstheme="majorHAnsi"/>
              </w:rPr>
            </w:pPr>
            <w:r w:rsidRPr="001C321B">
              <w:rPr>
                <w:rFonts w:asciiTheme="minorHAnsi" w:eastAsia="Arial Unicode MS" w:hAnsiTheme="minorHAnsi" w:cstheme="majorHAnsi"/>
                <w:b/>
                <w:color w:val="auto"/>
                <w:lang w:val="en-AU"/>
              </w:rPr>
              <w:t xml:space="preserve">Work Assignment </w:t>
            </w:r>
            <w:r>
              <w:rPr>
                <w:rFonts w:asciiTheme="minorHAnsi" w:eastAsia="Arial Unicode MS" w:hAnsiTheme="minorHAnsi" w:cstheme="majorHAnsi"/>
                <w:b/>
                <w:color w:val="auto"/>
                <w:lang w:val="en-AU"/>
              </w:rPr>
              <w:t>Expected Results</w:t>
            </w:r>
          </w:p>
        </w:tc>
      </w:tr>
      <w:tr w:rsidR="006926CD" w:rsidRPr="001C321B" w14:paraId="76B55503" w14:textId="77777777" w:rsidTr="006926CD">
        <w:trPr>
          <w:trHeight w:val="366"/>
        </w:trPr>
        <w:tc>
          <w:tcPr>
            <w:tcW w:w="450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1636CFB6" w14:textId="77777777" w:rsidR="006926CD" w:rsidRPr="001C321B" w:rsidRDefault="006926CD" w:rsidP="000E2A3F">
            <w:pPr>
              <w:jc w:val="center"/>
              <w:rPr>
                <w:rFonts w:asciiTheme="minorHAnsi" w:hAnsiTheme="minorHAnsi" w:cstheme="majorHAnsi"/>
              </w:rPr>
            </w:pPr>
            <w:r w:rsidRPr="001C321B">
              <w:rPr>
                <w:rFonts w:asciiTheme="minorHAnsi" w:eastAsia="Arial Unicode MS" w:hAnsiTheme="minorHAnsi" w:cstheme="majorHAnsi"/>
                <w:color w:val="auto"/>
                <w:lang w:val="en-AU"/>
              </w:rPr>
              <w:t>Tasks/Milestone:</w:t>
            </w:r>
          </w:p>
        </w:tc>
        <w:tc>
          <w:tcPr>
            <w:tcW w:w="324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4FCB2D6B" w14:textId="77777777" w:rsidR="006926CD" w:rsidRPr="001C321B" w:rsidRDefault="006926CD" w:rsidP="000E2A3F">
            <w:pPr>
              <w:jc w:val="center"/>
              <w:rPr>
                <w:rFonts w:asciiTheme="minorHAnsi" w:hAnsiTheme="minorHAnsi" w:cstheme="majorHAnsi"/>
              </w:rPr>
            </w:pPr>
            <w:r w:rsidRPr="001C321B">
              <w:rPr>
                <w:rFonts w:asciiTheme="minorHAnsi" w:eastAsia="Arial Unicode MS" w:hAnsiTheme="minorHAnsi" w:cstheme="majorHAnsi"/>
                <w:color w:val="auto"/>
                <w:lang w:val="en-AU"/>
              </w:rPr>
              <w:t>Deliverables/Outputs:</w:t>
            </w:r>
          </w:p>
        </w:tc>
        <w:tc>
          <w:tcPr>
            <w:tcW w:w="3150" w:type="dxa"/>
            <w:tcBorders>
              <w:top w:val="single" w:sz="12"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409A3378" w14:textId="77777777" w:rsidR="006926CD" w:rsidRPr="001C321B" w:rsidRDefault="006926CD" w:rsidP="000E2A3F">
            <w:pPr>
              <w:jc w:val="center"/>
              <w:rPr>
                <w:rFonts w:asciiTheme="minorHAnsi" w:hAnsiTheme="minorHAnsi" w:cstheme="majorHAnsi"/>
              </w:rPr>
            </w:pPr>
            <w:r w:rsidRPr="001C321B">
              <w:rPr>
                <w:rFonts w:asciiTheme="minorHAnsi" w:eastAsia="Arial Unicode MS" w:hAnsiTheme="minorHAnsi" w:cstheme="majorHAnsi"/>
                <w:color w:val="auto"/>
                <w:lang w:val="en-AU"/>
              </w:rPr>
              <w:t>Timeline</w:t>
            </w:r>
          </w:p>
        </w:tc>
      </w:tr>
      <w:tr w:rsidR="006926CD" w:rsidRPr="001C321B" w14:paraId="795C3C0B" w14:textId="77777777" w:rsidTr="006926CD">
        <w:trPr>
          <w:trHeight w:val="432"/>
        </w:trPr>
        <w:tc>
          <w:tcPr>
            <w:tcW w:w="4500" w:type="dxa"/>
            <w:tcBorders>
              <w:top w:val="single" w:sz="4" w:space="0" w:color="00B0F0"/>
              <w:left w:val="single" w:sz="4" w:space="0" w:color="00B0F0"/>
              <w:bottom w:val="single" w:sz="4" w:space="0" w:color="00B0F0"/>
              <w:right w:val="single" w:sz="4" w:space="0" w:color="00B0F0"/>
            </w:tcBorders>
            <w:vAlign w:val="center"/>
          </w:tcPr>
          <w:p w14:paraId="258B4CCD" w14:textId="77777777" w:rsidR="006926CD" w:rsidRPr="001C321B" w:rsidRDefault="006926CD" w:rsidP="000E2A3F">
            <w:pPr>
              <w:tabs>
                <w:tab w:val="right" w:pos="3480"/>
              </w:tabs>
              <w:rPr>
                <w:rFonts w:asciiTheme="minorHAnsi" w:hAnsiTheme="minorHAnsi" w:cstheme="majorBidi"/>
              </w:rPr>
            </w:pPr>
            <w:r w:rsidRPr="662CE091">
              <w:rPr>
                <w:rFonts w:asciiTheme="minorHAnsi" w:hAnsiTheme="minorHAnsi" w:cstheme="majorBidi"/>
              </w:rPr>
              <w:t xml:space="preserve">Prepare the training materials </w:t>
            </w:r>
            <w:r>
              <w:rPr>
                <w:rFonts w:asciiTheme="minorHAnsi" w:hAnsiTheme="minorHAnsi" w:cstheme="majorBidi"/>
              </w:rPr>
              <w:t xml:space="preserve">for a general training and a </w:t>
            </w:r>
            <w:proofErr w:type="spellStart"/>
            <w:r>
              <w:rPr>
                <w:rFonts w:asciiTheme="minorHAnsi" w:hAnsiTheme="minorHAnsi" w:cstheme="majorBidi"/>
              </w:rPr>
              <w:t>ToT</w:t>
            </w:r>
            <w:proofErr w:type="spellEnd"/>
            <w:r>
              <w:rPr>
                <w:rFonts w:asciiTheme="minorHAnsi" w:hAnsiTheme="minorHAnsi" w:cstheme="majorBidi"/>
              </w:rPr>
              <w:t xml:space="preserve"> </w:t>
            </w:r>
            <w:r w:rsidRPr="662CE091">
              <w:rPr>
                <w:rFonts w:asciiTheme="minorHAnsi" w:hAnsiTheme="minorHAnsi" w:cstheme="majorBidi"/>
              </w:rPr>
              <w:t xml:space="preserve">in Arabic for the contextualized Caring for Child Survivors with active participation from the gender/CP/GBV and PSEA working groups (WGs), </w:t>
            </w:r>
            <w:proofErr w:type="spellStart"/>
            <w:r w:rsidRPr="662CE091">
              <w:rPr>
                <w:rFonts w:asciiTheme="minorHAnsi" w:hAnsiTheme="minorHAnsi" w:cstheme="majorBidi"/>
              </w:rPr>
              <w:t>MoSA</w:t>
            </w:r>
            <w:proofErr w:type="spellEnd"/>
            <w:r w:rsidRPr="662CE091">
              <w:rPr>
                <w:rFonts w:asciiTheme="minorHAnsi" w:hAnsiTheme="minorHAnsi" w:cstheme="majorBidi"/>
              </w:rPr>
              <w:t xml:space="preserve">, and </w:t>
            </w:r>
            <w:proofErr w:type="spellStart"/>
            <w:r w:rsidRPr="662CE091">
              <w:rPr>
                <w:rFonts w:asciiTheme="minorHAnsi" w:hAnsiTheme="minorHAnsi" w:cstheme="majorBidi"/>
              </w:rPr>
              <w:t>MoJ</w:t>
            </w:r>
            <w:proofErr w:type="spellEnd"/>
            <w:r w:rsidRPr="662CE091">
              <w:rPr>
                <w:rFonts w:asciiTheme="minorHAnsi" w:hAnsiTheme="minorHAnsi" w:cstheme="majorBidi"/>
              </w:rPr>
              <w:t xml:space="preserve">. The materials will include </w:t>
            </w:r>
            <w:r>
              <w:rPr>
                <w:rFonts w:asciiTheme="minorHAnsi" w:hAnsiTheme="minorHAnsi" w:cstheme="majorBidi"/>
              </w:rPr>
              <w:t xml:space="preserve">training agenda, facilitator’s guide, participant’s handbook, power point presentations, training </w:t>
            </w:r>
            <w:r w:rsidRPr="662CE091">
              <w:rPr>
                <w:rFonts w:asciiTheme="minorHAnsi" w:hAnsiTheme="minorHAnsi" w:cstheme="majorBidi"/>
              </w:rPr>
              <w:t xml:space="preserve">modules, </w:t>
            </w:r>
            <w:r>
              <w:rPr>
                <w:rFonts w:asciiTheme="minorHAnsi" w:hAnsiTheme="minorHAnsi" w:cstheme="majorBidi"/>
              </w:rPr>
              <w:t xml:space="preserve">icebreakers and energizers, case studies and scenarios, role-play simulations, group activities and discussions, handouts and worksheets, evaluation tools like </w:t>
            </w:r>
            <w:r w:rsidRPr="662CE091">
              <w:rPr>
                <w:rFonts w:asciiTheme="minorHAnsi" w:hAnsiTheme="minorHAnsi" w:cstheme="majorBidi"/>
              </w:rPr>
              <w:t>pre/post-tests</w:t>
            </w:r>
            <w:r>
              <w:rPr>
                <w:rFonts w:asciiTheme="minorHAnsi" w:hAnsiTheme="minorHAnsi" w:cstheme="majorBidi"/>
              </w:rPr>
              <w:t>, feedback and evaluation forms</w:t>
            </w:r>
            <w:r w:rsidRPr="662CE091">
              <w:rPr>
                <w:rFonts w:asciiTheme="minorHAnsi" w:hAnsiTheme="minorHAnsi" w:cstheme="majorBidi"/>
              </w:rPr>
              <w:t xml:space="preserve">, </w:t>
            </w:r>
            <w:r>
              <w:rPr>
                <w:rFonts w:asciiTheme="minorHAnsi" w:hAnsiTheme="minorHAnsi" w:cstheme="majorBidi"/>
              </w:rPr>
              <w:t xml:space="preserve">technical equipment, resource list, logistical </w:t>
            </w:r>
            <w:proofErr w:type="gramStart"/>
            <w:r>
              <w:rPr>
                <w:rFonts w:asciiTheme="minorHAnsi" w:hAnsiTheme="minorHAnsi" w:cstheme="majorBidi"/>
              </w:rPr>
              <w:t>plans</w:t>
            </w:r>
            <w:proofErr w:type="gramEnd"/>
            <w:r>
              <w:rPr>
                <w:rFonts w:asciiTheme="minorHAnsi" w:hAnsiTheme="minorHAnsi" w:cstheme="majorBidi"/>
              </w:rPr>
              <w:t xml:space="preserve"> and </w:t>
            </w:r>
            <w:r w:rsidRPr="662CE091">
              <w:rPr>
                <w:rFonts w:asciiTheme="minorHAnsi" w:hAnsiTheme="minorHAnsi" w:cstheme="majorBidi"/>
              </w:rPr>
              <w:t>certificate templates</w:t>
            </w:r>
            <w:r>
              <w:rPr>
                <w:rFonts w:asciiTheme="minorHAnsi" w:hAnsiTheme="minorHAnsi" w:cstheme="majorBidi"/>
              </w:rPr>
              <w:t xml:space="preserve">. </w:t>
            </w:r>
          </w:p>
        </w:tc>
        <w:tc>
          <w:tcPr>
            <w:tcW w:w="3240" w:type="dxa"/>
            <w:vMerge w:val="restart"/>
            <w:tcBorders>
              <w:top w:val="single" w:sz="4" w:space="0" w:color="00B0F0"/>
              <w:left w:val="single" w:sz="4" w:space="0" w:color="00B0F0"/>
              <w:right w:val="single" w:sz="4" w:space="0" w:color="00B0F0"/>
            </w:tcBorders>
            <w:vAlign w:val="center"/>
          </w:tcPr>
          <w:p w14:paraId="6C0E1FEC" w14:textId="77777777" w:rsidR="006926CD" w:rsidRPr="001C321B" w:rsidRDefault="006926CD" w:rsidP="000E2A3F">
            <w:pPr>
              <w:jc w:val="both"/>
              <w:rPr>
                <w:rFonts w:asciiTheme="minorHAnsi" w:hAnsiTheme="minorHAnsi" w:cstheme="majorHAnsi"/>
              </w:rPr>
            </w:pPr>
            <w:r>
              <w:rPr>
                <w:rFonts w:asciiTheme="minorHAnsi" w:hAnsiTheme="minorHAnsi" w:cstheme="majorHAnsi"/>
              </w:rPr>
              <w:t xml:space="preserve">Training material for both the general training and the </w:t>
            </w:r>
            <w:proofErr w:type="spellStart"/>
            <w:r>
              <w:rPr>
                <w:rFonts w:asciiTheme="minorHAnsi" w:hAnsiTheme="minorHAnsi" w:cstheme="majorHAnsi"/>
              </w:rPr>
              <w:t>ToT</w:t>
            </w:r>
            <w:proofErr w:type="spellEnd"/>
            <w:r>
              <w:rPr>
                <w:rFonts w:asciiTheme="minorHAnsi" w:hAnsiTheme="minorHAnsi" w:cstheme="majorHAnsi"/>
              </w:rPr>
              <w:t xml:space="preserve"> finalized and endorsed by working groups and ministries </w:t>
            </w:r>
          </w:p>
        </w:tc>
        <w:tc>
          <w:tcPr>
            <w:tcW w:w="3150" w:type="dxa"/>
            <w:tcBorders>
              <w:top w:val="single" w:sz="4" w:space="0" w:color="00B0F0"/>
              <w:left w:val="single" w:sz="4" w:space="0" w:color="00B0F0"/>
              <w:right w:val="single" w:sz="4" w:space="0" w:color="00B0F0"/>
            </w:tcBorders>
            <w:vAlign w:val="center"/>
          </w:tcPr>
          <w:p w14:paraId="74EB9D90" w14:textId="77777777" w:rsidR="006926CD" w:rsidRDefault="006926CD" w:rsidP="000E2A3F">
            <w:pPr>
              <w:rPr>
                <w:rFonts w:asciiTheme="minorHAnsi" w:hAnsiTheme="minorHAnsi" w:cstheme="majorHAnsi"/>
              </w:rPr>
            </w:pPr>
            <w:r>
              <w:rPr>
                <w:rFonts w:asciiTheme="minorHAnsi" w:hAnsiTheme="minorHAnsi" w:cstheme="majorHAnsi"/>
              </w:rPr>
              <w:t>10 days</w:t>
            </w:r>
          </w:p>
          <w:p w14:paraId="0E088ED5" w14:textId="77777777" w:rsidR="006926CD" w:rsidRPr="001C321B" w:rsidRDefault="006926CD" w:rsidP="000E2A3F">
            <w:pPr>
              <w:rPr>
                <w:rFonts w:asciiTheme="minorHAnsi" w:hAnsiTheme="minorHAnsi" w:cstheme="majorHAnsi"/>
              </w:rPr>
            </w:pPr>
            <w:r>
              <w:rPr>
                <w:rFonts w:asciiTheme="minorHAnsi" w:hAnsiTheme="minorHAnsi" w:cstheme="majorHAnsi"/>
              </w:rPr>
              <w:t>Week 1 to week 3</w:t>
            </w:r>
          </w:p>
        </w:tc>
      </w:tr>
      <w:tr w:rsidR="006926CD" w14:paraId="23556F2D" w14:textId="77777777" w:rsidTr="006926CD">
        <w:trPr>
          <w:trHeight w:val="432"/>
        </w:trPr>
        <w:tc>
          <w:tcPr>
            <w:tcW w:w="4500" w:type="dxa"/>
            <w:tcBorders>
              <w:top w:val="single" w:sz="4" w:space="0" w:color="00B0F0"/>
              <w:left w:val="single" w:sz="4" w:space="0" w:color="00B0F0"/>
              <w:bottom w:val="single" w:sz="4" w:space="0" w:color="00B0F0"/>
              <w:right w:val="single" w:sz="4" w:space="0" w:color="00B0F0"/>
            </w:tcBorders>
            <w:vAlign w:val="center"/>
          </w:tcPr>
          <w:p w14:paraId="62787AD0" w14:textId="77777777" w:rsidR="006926CD" w:rsidRPr="00CB11B3" w:rsidRDefault="006926CD" w:rsidP="000E2A3F">
            <w:pPr>
              <w:tabs>
                <w:tab w:val="right" w:pos="3480"/>
              </w:tabs>
              <w:rPr>
                <w:rFonts w:asciiTheme="minorHAnsi" w:hAnsiTheme="minorHAnsi" w:cstheme="majorBidi"/>
              </w:rPr>
            </w:pPr>
            <w:r w:rsidRPr="662CE091">
              <w:rPr>
                <w:rFonts w:asciiTheme="minorHAnsi" w:hAnsiTheme="minorHAnsi" w:cstheme="majorBidi"/>
              </w:rPr>
              <w:lastRenderedPageBreak/>
              <w:t xml:space="preserve">Organize a two-day workshop to present the most important aspects of the contextualized CCS toolkit, validate and endorse the final tools with the technical experts consulted, and generate a list of nominees for those who will attend the </w:t>
            </w:r>
            <w:r>
              <w:rPr>
                <w:rFonts w:asciiTheme="minorHAnsi" w:hAnsiTheme="minorHAnsi" w:cstheme="majorBidi"/>
              </w:rPr>
              <w:t>general training</w:t>
            </w:r>
            <w:r w:rsidRPr="662CE091">
              <w:rPr>
                <w:rFonts w:asciiTheme="minorHAnsi" w:hAnsiTheme="minorHAnsi" w:cstheme="majorBidi"/>
              </w:rPr>
              <w:t>.</w:t>
            </w:r>
          </w:p>
        </w:tc>
        <w:tc>
          <w:tcPr>
            <w:tcW w:w="3240" w:type="dxa"/>
            <w:vMerge/>
            <w:vAlign w:val="center"/>
          </w:tcPr>
          <w:p w14:paraId="430C717A" w14:textId="77777777" w:rsidR="006926CD" w:rsidRDefault="006926CD" w:rsidP="000E2A3F">
            <w:pPr>
              <w:jc w:val="both"/>
              <w:rPr>
                <w:rFonts w:asciiTheme="minorHAnsi" w:hAnsiTheme="minorHAnsi" w:cstheme="majorHAnsi"/>
              </w:rPr>
            </w:pPr>
          </w:p>
        </w:tc>
        <w:tc>
          <w:tcPr>
            <w:tcW w:w="3150" w:type="dxa"/>
            <w:tcBorders>
              <w:left w:val="single" w:sz="4" w:space="0" w:color="00B0F0"/>
              <w:bottom w:val="single" w:sz="4" w:space="0" w:color="00B0F0"/>
              <w:right w:val="single" w:sz="4" w:space="0" w:color="00B0F0"/>
            </w:tcBorders>
            <w:vAlign w:val="center"/>
          </w:tcPr>
          <w:p w14:paraId="4F6A2F15" w14:textId="77777777" w:rsidR="006926CD" w:rsidRDefault="006926CD" w:rsidP="000E2A3F">
            <w:pPr>
              <w:jc w:val="center"/>
              <w:rPr>
                <w:rFonts w:asciiTheme="minorHAnsi" w:hAnsiTheme="minorHAnsi" w:cstheme="majorHAnsi"/>
              </w:rPr>
            </w:pPr>
            <w:r>
              <w:rPr>
                <w:rFonts w:asciiTheme="minorHAnsi" w:hAnsiTheme="minorHAnsi" w:cstheme="majorHAnsi"/>
              </w:rPr>
              <w:t>2 days</w:t>
            </w:r>
          </w:p>
          <w:p w14:paraId="379D29B2" w14:textId="77777777" w:rsidR="006926CD" w:rsidRDefault="006926CD" w:rsidP="000E2A3F">
            <w:pPr>
              <w:jc w:val="center"/>
              <w:rPr>
                <w:rFonts w:asciiTheme="minorHAnsi" w:hAnsiTheme="minorHAnsi" w:cstheme="majorHAnsi"/>
              </w:rPr>
            </w:pPr>
            <w:r>
              <w:rPr>
                <w:rFonts w:asciiTheme="minorHAnsi" w:hAnsiTheme="minorHAnsi" w:cstheme="majorHAnsi"/>
              </w:rPr>
              <w:t>Week 4</w:t>
            </w:r>
          </w:p>
        </w:tc>
      </w:tr>
      <w:tr w:rsidR="006926CD" w14:paraId="7CA6E5B7" w14:textId="77777777" w:rsidTr="006926CD">
        <w:trPr>
          <w:trHeight w:val="432"/>
        </w:trPr>
        <w:tc>
          <w:tcPr>
            <w:tcW w:w="4500" w:type="dxa"/>
            <w:tcBorders>
              <w:top w:val="single" w:sz="4" w:space="0" w:color="00B0F0"/>
              <w:left w:val="single" w:sz="4" w:space="0" w:color="00B0F0"/>
              <w:bottom w:val="single" w:sz="4" w:space="0" w:color="00B0F0"/>
              <w:right w:val="single" w:sz="4" w:space="0" w:color="00B0F0"/>
            </w:tcBorders>
            <w:vAlign w:val="center"/>
          </w:tcPr>
          <w:p w14:paraId="1F96DF33" w14:textId="77777777" w:rsidR="006926CD" w:rsidRDefault="006926CD" w:rsidP="000E2A3F">
            <w:pPr>
              <w:tabs>
                <w:tab w:val="right" w:pos="3480"/>
              </w:tabs>
              <w:jc w:val="both"/>
              <w:rPr>
                <w:rFonts w:asciiTheme="minorHAnsi" w:hAnsiTheme="minorHAnsi" w:cstheme="majorHAnsi"/>
              </w:rPr>
            </w:pPr>
            <w:r w:rsidRPr="00D0318D">
              <w:rPr>
                <w:rFonts w:asciiTheme="minorHAnsi" w:hAnsiTheme="minorHAnsi" w:cstheme="majorHAnsi"/>
              </w:rPr>
              <w:t xml:space="preserve">Conduct </w:t>
            </w:r>
            <w:r>
              <w:rPr>
                <w:rFonts w:asciiTheme="minorHAnsi" w:hAnsiTheme="minorHAnsi" w:cstheme="majorHAnsi"/>
              </w:rPr>
              <w:t>5-</w:t>
            </w:r>
            <w:r w:rsidRPr="00D0318D">
              <w:rPr>
                <w:rFonts w:asciiTheme="minorHAnsi" w:hAnsiTheme="minorHAnsi" w:cstheme="majorHAnsi"/>
              </w:rPr>
              <w:t xml:space="preserve">day </w:t>
            </w:r>
            <w:r>
              <w:rPr>
                <w:rFonts w:asciiTheme="minorHAnsi" w:hAnsiTheme="minorHAnsi" w:cstheme="majorHAnsi"/>
              </w:rPr>
              <w:t xml:space="preserve">general </w:t>
            </w:r>
            <w:r w:rsidRPr="00D0318D">
              <w:rPr>
                <w:rFonts w:asciiTheme="minorHAnsi" w:hAnsiTheme="minorHAnsi" w:cstheme="majorHAnsi"/>
              </w:rPr>
              <w:t>training</w:t>
            </w:r>
            <w:r>
              <w:rPr>
                <w:rFonts w:asciiTheme="minorHAnsi" w:hAnsiTheme="minorHAnsi" w:cstheme="majorHAnsi"/>
              </w:rPr>
              <w:t xml:space="preserve">s in the 5 governorates, each targeting 20 to 25 CP and GBV senior case workers and/or case management supervisors which were nominated. Identify from the latter 25 strong candidates with needed background for the </w:t>
            </w:r>
            <w:proofErr w:type="spellStart"/>
            <w:r>
              <w:rPr>
                <w:rFonts w:asciiTheme="minorHAnsi" w:hAnsiTheme="minorHAnsi" w:cstheme="majorHAnsi"/>
              </w:rPr>
              <w:t>ToT</w:t>
            </w:r>
            <w:proofErr w:type="spellEnd"/>
            <w:r>
              <w:rPr>
                <w:rFonts w:asciiTheme="minorHAnsi" w:hAnsiTheme="minorHAnsi" w:cstheme="majorHAnsi"/>
              </w:rPr>
              <w:t xml:space="preserve"> (submission of </w:t>
            </w:r>
            <w:r w:rsidRPr="00D2489B">
              <w:rPr>
                <w:rFonts w:asciiTheme="minorHAnsi" w:hAnsiTheme="minorHAnsi" w:cstheme="majorHAnsi"/>
              </w:rPr>
              <w:t xml:space="preserve">evaluation report of all applicants </w:t>
            </w:r>
            <w:r>
              <w:rPr>
                <w:rFonts w:asciiTheme="minorHAnsi" w:hAnsiTheme="minorHAnsi" w:cstheme="majorHAnsi"/>
              </w:rPr>
              <w:t xml:space="preserve">with </w:t>
            </w:r>
            <w:r w:rsidRPr="00D2489B">
              <w:rPr>
                <w:rFonts w:asciiTheme="minorHAnsi" w:hAnsiTheme="minorHAnsi" w:cstheme="majorHAnsi"/>
              </w:rPr>
              <w:t xml:space="preserve">recommendations to UNICEF </w:t>
            </w:r>
            <w:r>
              <w:rPr>
                <w:rFonts w:asciiTheme="minorHAnsi" w:hAnsiTheme="minorHAnsi" w:cstheme="majorHAnsi"/>
              </w:rPr>
              <w:t xml:space="preserve">based on pre-identified suggested and agreed </w:t>
            </w:r>
            <w:r w:rsidRPr="00D2489B">
              <w:rPr>
                <w:rFonts w:asciiTheme="minorHAnsi" w:hAnsiTheme="minorHAnsi" w:cstheme="majorHAnsi"/>
              </w:rPr>
              <w:t>selection criteria</w:t>
            </w:r>
            <w:r>
              <w:rPr>
                <w:rFonts w:asciiTheme="minorHAnsi" w:hAnsiTheme="minorHAnsi" w:cstheme="majorHAnsi"/>
              </w:rPr>
              <w:t>)</w:t>
            </w:r>
          </w:p>
        </w:tc>
        <w:tc>
          <w:tcPr>
            <w:tcW w:w="3240" w:type="dxa"/>
            <w:vMerge w:val="restart"/>
            <w:tcBorders>
              <w:top w:val="single" w:sz="4" w:space="0" w:color="00B0F0"/>
              <w:left w:val="single" w:sz="4" w:space="0" w:color="00B0F0"/>
              <w:right w:val="single" w:sz="4" w:space="0" w:color="00B0F0"/>
            </w:tcBorders>
            <w:vAlign w:val="center"/>
          </w:tcPr>
          <w:p w14:paraId="79FD76CC" w14:textId="77777777" w:rsidR="006926CD" w:rsidRDefault="006926CD" w:rsidP="000E2A3F">
            <w:pPr>
              <w:jc w:val="both"/>
              <w:rPr>
                <w:rFonts w:asciiTheme="minorHAnsi" w:hAnsiTheme="minorHAnsi" w:cstheme="majorHAnsi"/>
              </w:rPr>
            </w:pPr>
            <w:r>
              <w:rPr>
                <w:rFonts w:asciiTheme="minorHAnsi" w:hAnsiTheme="minorHAnsi" w:cstheme="majorHAnsi"/>
              </w:rPr>
              <w:t>Finalization of the</w:t>
            </w:r>
            <w:r w:rsidRPr="00D0318D">
              <w:rPr>
                <w:rFonts w:asciiTheme="minorHAnsi" w:hAnsiTheme="minorHAnsi" w:cstheme="majorHAnsi"/>
              </w:rPr>
              <w:t xml:space="preserve"> 5-day </w:t>
            </w:r>
            <w:r>
              <w:rPr>
                <w:rFonts w:asciiTheme="minorHAnsi" w:hAnsiTheme="minorHAnsi" w:cstheme="majorHAnsi"/>
              </w:rPr>
              <w:t xml:space="preserve">general </w:t>
            </w:r>
            <w:r w:rsidRPr="00D0318D">
              <w:rPr>
                <w:rFonts w:asciiTheme="minorHAnsi" w:hAnsiTheme="minorHAnsi" w:cstheme="majorHAnsi"/>
              </w:rPr>
              <w:t xml:space="preserve">training sessions </w:t>
            </w:r>
            <w:r>
              <w:rPr>
                <w:rFonts w:asciiTheme="minorHAnsi" w:hAnsiTheme="minorHAnsi" w:cstheme="majorHAnsi"/>
              </w:rPr>
              <w:t xml:space="preserve">for 100 to 125 candidates </w:t>
            </w:r>
            <w:r w:rsidRPr="00D0318D">
              <w:rPr>
                <w:rFonts w:asciiTheme="minorHAnsi" w:hAnsiTheme="minorHAnsi" w:cstheme="majorHAnsi"/>
              </w:rPr>
              <w:t>in each of the 5 governorates as per the schedule outlined</w:t>
            </w:r>
            <w:r>
              <w:rPr>
                <w:rFonts w:asciiTheme="minorHAnsi" w:hAnsiTheme="minorHAnsi" w:cstheme="majorHAnsi"/>
              </w:rPr>
              <w:t xml:space="preserve"> and the </w:t>
            </w:r>
            <w:proofErr w:type="spellStart"/>
            <w:r>
              <w:rPr>
                <w:rFonts w:asciiTheme="minorHAnsi" w:hAnsiTheme="minorHAnsi" w:cstheme="majorHAnsi"/>
              </w:rPr>
              <w:t>ToT</w:t>
            </w:r>
            <w:proofErr w:type="spellEnd"/>
            <w:r>
              <w:rPr>
                <w:rFonts w:asciiTheme="minorHAnsi" w:hAnsiTheme="minorHAnsi" w:cstheme="majorHAnsi"/>
              </w:rPr>
              <w:t xml:space="preserve"> for 25 candidates following their identification in the general training sessions</w:t>
            </w:r>
          </w:p>
        </w:tc>
        <w:tc>
          <w:tcPr>
            <w:tcW w:w="3150" w:type="dxa"/>
            <w:tcBorders>
              <w:top w:val="single" w:sz="4" w:space="0" w:color="00B0F0"/>
              <w:left w:val="single" w:sz="4" w:space="0" w:color="00B0F0"/>
              <w:bottom w:val="single" w:sz="4" w:space="0" w:color="00B0F0"/>
              <w:right w:val="single" w:sz="4" w:space="0" w:color="00B0F0"/>
            </w:tcBorders>
            <w:vAlign w:val="center"/>
          </w:tcPr>
          <w:p w14:paraId="0BC3770F" w14:textId="77777777" w:rsidR="006926CD" w:rsidRDefault="006926CD" w:rsidP="000E2A3F">
            <w:pPr>
              <w:jc w:val="center"/>
              <w:rPr>
                <w:rFonts w:asciiTheme="minorHAnsi" w:hAnsiTheme="minorHAnsi" w:cstheme="majorHAnsi"/>
              </w:rPr>
            </w:pPr>
            <w:r>
              <w:rPr>
                <w:rFonts w:asciiTheme="minorHAnsi" w:hAnsiTheme="minorHAnsi" w:cstheme="majorHAnsi"/>
              </w:rPr>
              <w:t>30 days</w:t>
            </w:r>
          </w:p>
          <w:p w14:paraId="64BB332B" w14:textId="77777777" w:rsidR="006926CD" w:rsidRDefault="006926CD" w:rsidP="000E2A3F">
            <w:pPr>
              <w:jc w:val="center"/>
              <w:rPr>
                <w:rFonts w:asciiTheme="minorHAnsi" w:hAnsiTheme="minorHAnsi" w:cstheme="majorHAnsi"/>
              </w:rPr>
            </w:pPr>
            <w:r>
              <w:rPr>
                <w:rFonts w:asciiTheme="minorHAnsi" w:hAnsiTheme="minorHAnsi" w:cstheme="majorHAnsi"/>
              </w:rPr>
              <w:t>Week 5 to Week 12</w:t>
            </w:r>
          </w:p>
        </w:tc>
      </w:tr>
      <w:tr w:rsidR="006926CD" w14:paraId="32B23AC2" w14:textId="77777777" w:rsidTr="006926CD">
        <w:trPr>
          <w:trHeight w:val="432"/>
        </w:trPr>
        <w:tc>
          <w:tcPr>
            <w:tcW w:w="4500" w:type="dxa"/>
            <w:tcBorders>
              <w:top w:val="single" w:sz="4" w:space="0" w:color="00B0F0"/>
              <w:left w:val="single" w:sz="4" w:space="0" w:color="00B0F0"/>
              <w:bottom w:val="single" w:sz="4" w:space="0" w:color="00B0F0"/>
              <w:right w:val="single" w:sz="4" w:space="0" w:color="00B0F0"/>
            </w:tcBorders>
            <w:vAlign w:val="center"/>
          </w:tcPr>
          <w:p w14:paraId="29C7894E" w14:textId="77777777" w:rsidR="006926CD" w:rsidRPr="00D0318D" w:rsidRDefault="006926CD" w:rsidP="000E2A3F">
            <w:pPr>
              <w:tabs>
                <w:tab w:val="right" w:pos="3480"/>
              </w:tabs>
              <w:jc w:val="both"/>
              <w:rPr>
                <w:rFonts w:asciiTheme="minorHAnsi" w:hAnsiTheme="minorHAnsi" w:cstheme="majorHAnsi"/>
              </w:rPr>
            </w:pPr>
            <w:r>
              <w:rPr>
                <w:rFonts w:asciiTheme="minorHAnsi" w:hAnsiTheme="minorHAnsi" w:cstheme="majorHAnsi"/>
              </w:rPr>
              <w:t xml:space="preserve">Conduct one 5-day </w:t>
            </w:r>
            <w:proofErr w:type="spellStart"/>
            <w:r>
              <w:rPr>
                <w:rFonts w:asciiTheme="minorHAnsi" w:hAnsiTheme="minorHAnsi" w:cstheme="majorHAnsi"/>
              </w:rPr>
              <w:t>ToT</w:t>
            </w:r>
            <w:proofErr w:type="spellEnd"/>
            <w:r>
              <w:rPr>
                <w:rFonts w:asciiTheme="minorHAnsi" w:hAnsiTheme="minorHAnsi" w:cstheme="majorHAnsi"/>
              </w:rPr>
              <w:t xml:space="preserve"> for the 25 identified candidates from different governorates</w:t>
            </w:r>
          </w:p>
        </w:tc>
        <w:tc>
          <w:tcPr>
            <w:tcW w:w="3240" w:type="dxa"/>
            <w:vMerge/>
            <w:tcBorders>
              <w:left w:val="single" w:sz="4" w:space="0" w:color="00B0F0"/>
              <w:bottom w:val="single" w:sz="4" w:space="0" w:color="00B0F0"/>
              <w:right w:val="single" w:sz="4" w:space="0" w:color="00B0F0"/>
            </w:tcBorders>
            <w:vAlign w:val="center"/>
          </w:tcPr>
          <w:p w14:paraId="66EB377F" w14:textId="77777777" w:rsidR="006926CD" w:rsidRDefault="006926CD" w:rsidP="000E2A3F">
            <w:pPr>
              <w:jc w:val="both"/>
              <w:rPr>
                <w:rFonts w:asciiTheme="minorHAnsi" w:hAnsiTheme="minorHAnsi" w:cstheme="majorHAnsi"/>
              </w:rPr>
            </w:pPr>
          </w:p>
        </w:tc>
        <w:tc>
          <w:tcPr>
            <w:tcW w:w="3150" w:type="dxa"/>
            <w:tcBorders>
              <w:top w:val="single" w:sz="4" w:space="0" w:color="00B0F0"/>
              <w:left w:val="single" w:sz="4" w:space="0" w:color="00B0F0"/>
              <w:bottom w:val="single" w:sz="4" w:space="0" w:color="00B0F0"/>
              <w:right w:val="single" w:sz="4" w:space="0" w:color="00B0F0"/>
            </w:tcBorders>
            <w:vAlign w:val="center"/>
          </w:tcPr>
          <w:p w14:paraId="68BCEBE2" w14:textId="77777777" w:rsidR="006926CD" w:rsidRDefault="006926CD" w:rsidP="000E2A3F">
            <w:pPr>
              <w:jc w:val="center"/>
              <w:rPr>
                <w:rFonts w:asciiTheme="minorHAnsi" w:hAnsiTheme="minorHAnsi" w:cstheme="majorHAnsi"/>
              </w:rPr>
            </w:pPr>
          </w:p>
        </w:tc>
      </w:tr>
      <w:tr w:rsidR="006926CD" w14:paraId="206A7C31" w14:textId="77777777" w:rsidTr="006926CD">
        <w:trPr>
          <w:trHeight w:val="432"/>
        </w:trPr>
        <w:tc>
          <w:tcPr>
            <w:tcW w:w="4500" w:type="dxa"/>
            <w:tcBorders>
              <w:top w:val="single" w:sz="4" w:space="0" w:color="00B0F0"/>
              <w:left w:val="single" w:sz="4" w:space="0" w:color="00B0F0"/>
              <w:bottom w:val="single" w:sz="4" w:space="0" w:color="00B0F0"/>
              <w:right w:val="single" w:sz="4" w:space="0" w:color="00B0F0"/>
            </w:tcBorders>
            <w:vAlign w:val="center"/>
          </w:tcPr>
          <w:p w14:paraId="7A84EF67" w14:textId="77777777" w:rsidR="006926CD" w:rsidRDefault="006926CD" w:rsidP="000E2A3F">
            <w:pPr>
              <w:tabs>
                <w:tab w:val="right" w:pos="3480"/>
              </w:tabs>
              <w:rPr>
                <w:rFonts w:asciiTheme="minorHAnsi" w:hAnsiTheme="minorHAnsi" w:cstheme="majorHAnsi"/>
              </w:rPr>
            </w:pPr>
            <w:r w:rsidRPr="002D093B">
              <w:rPr>
                <w:rFonts w:asciiTheme="minorHAnsi" w:hAnsiTheme="minorHAnsi" w:cstheme="majorHAnsi"/>
              </w:rPr>
              <w:t xml:space="preserve">Final consultancy report </w:t>
            </w:r>
            <w:r>
              <w:rPr>
                <w:rFonts w:asciiTheme="minorHAnsi" w:hAnsiTheme="minorHAnsi" w:cstheme="majorHAnsi"/>
              </w:rPr>
              <w:t xml:space="preserve">including: </w:t>
            </w:r>
          </w:p>
          <w:p w14:paraId="58E134D5" w14:textId="77777777" w:rsidR="006926CD" w:rsidRDefault="006926CD" w:rsidP="000E2A3F">
            <w:pPr>
              <w:tabs>
                <w:tab w:val="right" w:pos="3480"/>
              </w:tabs>
              <w:rPr>
                <w:rFonts w:asciiTheme="minorHAnsi" w:hAnsiTheme="minorHAnsi" w:cstheme="majorHAnsi"/>
              </w:rPr>
            </w:pPr>
            <w:r>
              <w:rPr>
                <w:rFonts w:asciiTheme="minorHAnsi" w:hAnsiTheme="minorHAnsi" w:cstheme="majorHAnsi"/>
              </w:rPr>
              <w:t>- A</w:t>
            </w:r>
            <w:r w:rsidRPr="002D093B">
              <w:rPr>
                <w:rFonts w:asciiTheme="minorHAnsi" w:hAnsiTheme="minorHAnsi" w:cstheme="majorHAnsi"/>
              </w:rPr>
              <w:t xml:space="preserve">ttendance sheets </w:t>
            </w:r>
            <w:r>
              <w:rPr>
                <w:rFonts w:asciiTheme="minorHAnsi" w:hAnsiTheme="minorHAnsi" w:cstheme="majorHAnsi"/>
              </w:rPr>
              <w:t>of the participants</w:t>
            </w:r>
          </w:p>
          <w:p w14:paraId="52B4B74E" w14:textId="77777777" w:rsidR="006926CD" w:rsidRDefault="006926CD" w:rsidP="000E2A3F">
            <w:pPr>
              <w:tabs>
                <w:tab w:val="right" w:pos="3480"/>
              </w:tabs>
              <w:rPr>
                <w:rFonts w:asciiTheme="minorHAnsi" w:hAnsiTheme="minorHAnsi" w:cstheme="majorHAnsi"/>
              </w:rPr>
            </w:pPr>
            <w:r>
              <w:rPr>
                <w:rFonts w:asciiTheme="minorHAnsi" w:hAnsiTheme="minorHAnsi" w:cstheme="majorHAnsi"/>
              </w:rPr>
              <w:t>- Summary of the e</w:t>
            </w:r>
            <w:r w:rsidRPr="002D093B">
              <w:rPr>
                <w:rFonts w:asciiTheme="minorHAnsi" w:hAnsiTheme="minorHAnsi" w:cstheme="majorHAnsi"/>
              </w:rPr>
              <w:t>valuation forms completed by participants to assess session effectiveness, trainer performance, and overall satisfaction</w:t>
            </w:r>
          </w:p>
          <w:p w14:paraId="79E902B3" w14:textId="77777777" w:rsidR="006926CD" w:rsidRDefault="006926CD" w:rsidP="000E2A3F">
            <w:pPr>
              <w:tabs>
                <w:tab w:val="right" w:pos="3480"/>
              </w:tabs>
              <w:rPr>
                <w:rFonts w:asciiTheme="minorHAnsi" w:hAnsiTheme="minorHAnsi" w:cstheme="majorHAnsi"/>
              </w:rPr>
            </w:pPr>
            <w:r>
              <w:rPr>
                <w:rFonts w:asciiTheme="minorHAnsi" w:hAnsiTheme="minorHAnsi" w:cstheme="majorHAnsi"/>
              </w:rPr>
              <w:t xml:space="preserve">- </w:t>
            </w:r>
            <w:r w:rsidRPr="002D093B">
              <w:rPr>
                <w:rFonts w:asciiTheme="minorHAnsi" w:hAnsiTheme="minorHAnsi" w:cstheme="majorHAnsi"/>
              </w:rPr>
              <w:t xml:space="preserve">Summary report analyzing </w:t>
            </w:r>
            <w:r>
              <w:rPr>
                <w:rFonts w:asciiTheme="minorHAnsi" w:hAnsiTheme="minorHAnsi" w:cstheme="majorHAnsi"/>
              </w:rPr>
              <w:t xml:space="preserve">the pre/post-tests completed by the </w:t>
            </w:r>
            <w:r w:rsidRPr="002D093B">
              <w:rPr>
                <w:rFonts w:asciiTheme="minorHAnsi" w:hAnsiTheme="minorHAnsi" w:cstheme="majorHAnsi"/>
              </w:rPr>
              <w:t>participant</w:t>
            </w:r>
            <w:r>
              <w:rPr>
                <w:rFonts w:asciiTheme="minorHAnsi" w:hAnsiTheme="minorHAnsi" w:cstheme="majorHAnsi"/>
              </w:rPr>
              <w:t>s</w:t>
            </w:r>
          </w:p>
          <w:p w14:paraId="7B198549" w14:textId="77777777" w:rsidR="006926CD" w:rsidRDefault="006926CD" w:rsidP="000E2A3F">
            <w:pPr>
              <w:tabs>
                <w:tab w:val="right" w:pos="3480"/>
              </w:tabs>
              <w:rPr>
                <w:rFonts w:asciiTheme="minorHAnsi" w:hAnsiTheme="minorHAnsi" w:cstheme="majorBidi"/>
              </w:rPr>
            </w:pPr>
            <w:r w:rsidRPr="662CE091">
              <w:rPr>
                <w:rFonts w:asciiTheme="minorHAnsi" w:hAnsiTheme="minorHAnsi" w:cstheme="majorBidi"/>
              </w:rPr>
              <w:t xml:space="preserve">- Challenges, innovative approaches, lessons learned and suggestions for the training delivery strategies </w:t>
            </w:r>
          </w:p>
          <w:p w14:paraId="1D1B2FE4" w14:textId="77777777" w:rsidR="006926CD" w:rsidRDefault="006926CD" w:rsidP="000E2A3F">
            <w:pPr>
              <w:tabs>
                <w:tab w:val="right" w:pos="3480"/>
              </w:tabs>
              <w:rPr>
                <w:rFonts w:asciiTheme="minorHAnsi" w:hAnsiTheme="minorHAnsi" w:cstheme="majorBidi"/>
              </w:rPr>
            </w:pPr>
            <w:r>
              <w:rPr>
                <w:rFonts w:asciiTheme="minorHAnsi" w:hAnsiTheme="minorHAnsi" w:cstheme="majorBidi"/>
              </w:rPr>
              <w:t xml:space="preserve">- Coaching modality </w:t>
            </w:r>
          </w:p>
        </w:tc>
        <w:tc>
          <w:tcPr>
            <w:tcW w:w="3240" w:type="dxa"/>
            <w:tcBorders>
              <w:top w:val="single" w:sz="4" w:space="0" w:color="00B0F0"/>
              <w:left w:val="single" w:sz="4" w:space="0" w:color="00B0F0"/>
              <w:bottom w:val="single" w:sz="4" w:space="0" w:color="00B0F0"/>
              <w:right w:val="single" w:sz="4" w:space="0" w:color="00B0F0"/>
            </w:tcBorders>
            <w:vAlign w:val="center"/>
          </w:tcPr>
          <w:p w14:paraId="370906BC" w14:textId="77777777" w:rsidR="006926CD" w:rsidRDefault="006926CD" w:rsidP="000E2A3F">
            <w:pPr>
              <w:jc w:val="both"/>
              <w:rPr>
                <w:rFonts w:asciiTheme="minorHAnsi" w:hAnsiTheme="minorHAnsi" w:cstheme="majorHAnsi"/>
              </w:rPr>
            </w:pPr>
            <w:r>
              <w:rPr>
                <w:rFonts w:asciiTheme="minorHAnsi" w:hAnsiTheme="minorHAnsi" w:cstheme="majorHAnsi"/>
              </w:rPr>
              <w:t xml:space="preserve">Final consultancy report submitted </w:t>
            </w:r>
          </w:p>
        </w:tc>
        <w:tc>
          <w:tcPr>
            <w:tcW w:w="3150" w:type="dxa"/>
            <w:tcBorders>
              <w:top w:val="single" w:sz="4" w:space="0" w:color="00B0F0"/>
              <w:left w:val="single" w:sz="4" w:space="0" w:color="00B0F0"/>
              <w:bottom w:val="single" w:sz="4" w:space="0" w:color="00B0F0"/>
              <w:right w:val="single" w:sz="4" w:space="0" w:color="00B0F0"/>
            </w:tcBorders>
            <w:vAlign w:val="center"/>
          </w:tcPr>
          <w:p w14:paraId="70542A05" w14:textId="77777777" w:rsidR="006926CD" w:rsidRDefault="006926CD" w:rsidP="000E2A3F">
            <w:pPr>
              <w:rPr>
                <w:rFonts w:asciiTheme="minorHAnsi" w:hAnsiTheme="minorHAnsi" w:cstheme="majorHAnsi"/>
              </w:rPr>
            </w:pPr>
            <w:r>
              <w:rPr>
                <w:rFonts w:asciiTheme="minorHAnsi" w:hAnsiTheme="minorHAnsi" w:cstheme="majorHAnsi"/>
              </w:rPr>
              <w:t>3 days</w:t>
            </w:r>
          </w:p>
          <w:p w14:paraId="67DCE5D8" w14:textId="77777777" w:rsidR="006926CD" w:rsidRDefault="006926CD" w:rsidP="000E2A3F">
            <w:pPr>
              <w:rPr>
                <w:rFonts w:asciiTheme="minorHAnsi" w:hAnsiTheme="minorHAnsi" w:cstheme="majorHAnsi"/>
              </w:rPr>
            </w:pPr>
            <w:r>
              <w:rPr>
                <w:rFonts w:asciiTheme="minorHAnsi" w:hAnsiTheme="minorHAnsi" w:cstheme="majorHAnsi"/>
              </w:rPr>
              <w:t>Week 12</w:t>
            </w:r>
          </w:p>
        </w:tc>
      </w:tr>
    </w:tbl>
    <w:p w14:paraId="5006D59C" w14:textId="77777777" w:rsidR="006926CD" w:rsidRDefault="006926CD" w:rsidP="006926CD"/>
    <w:tbl>
      <w:tblPr>
        <w:tblStyle w:val="TableGrid"/>
        <w:tblW w:w="10850" w:type="dxa"/>
        <w:tblInd w:w="-780" w:type="dxa"/>
        <w:tblLayout w:type="fixed"/>
        <w:tblLook w:val="04A0" w:firstRow="1" w:lastRow="0" w:firstColumn="1" w:lastColumn="0" w:noHBand="0" w:noVBand="1"/>
      </w:tblPr>
      <w:tblGrid>
        <w:gridCol w:w="2740"/>
        <w:gridCol w:w="10"/>
        <w:gridCol w:w="2730"/>
        <w:gridCol w:w="2192"/>
        <w:gridCol w:w="3178"/>
      </w:tblGrid>
      <w:tr w:rsidR="006926CD" w:rsidRPr="001C321B" w14:paraId="519E9C5F" w14:textId="77777777" w:rsidTr="006926CD">
        <w:trPr>
          <w:trHeight w:val="452"/>
        </w:trPr>
        <w:tc>
          <w:tcPr>
            <w:tcW w:w="2740"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3FF15ACB" w14:textId="77777777" w:rsidR="006926CD" w:rsidRPr="001C321B" w:rsidRDefault="006926CD" w:rsidP="000E2A3F">
            <w:pPr>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Minimum Qualifications Required:</w:t>
            </w:r>
          </w:p>
        </w:tc>
        <w:tc>
          <w:tcPr>
            <w:tcW w:w="2740" w:type="dxa"/>
            <w:gridSpan w:val="2"/>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2935017A" w14:textId="77777777" w:rsidR="006926CD" w:rsidRPr="001C321B" w:rsidRDefault="006926CD" w:rsidP="000E2A3F">
            <w:pPr>
              <w:jc w:val="center"/>
              <w:rPr>
                <w:rFonts w:asciiTheme="minorHAnsi" w:eastAsia="Arial Unicode MS" w:hAnsiTheme="minorHAnsi" w:cstheme="majorHAnsi"/>
                <w:b/>
                <w:color w:val="auto"/>
                <w:lang w:val="en-AU"/>
              </w:rPr>
            </w:pPr>
            <w:r>
              <w:rPr>
                <w:rFonts w:asciiTheme="minorHAnsi" w:eastAsia="Arial Unicode MS" w:hAnsiTheme="minorHAnsi" w:cstheme="majorHAnsi"/>
                <w:b/>
                <w:color w:val="auto"/>
                <w:lang w:val="en-AU"/>
              </w:rPr>
              <w:t>BA in social work</w:t>
            </w:r>
          </w:p>
        </w:tc>
        <w:tc>
          <w:tcPr>
            <w:tcW w:w="2192"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1867617" w14:textId="77777777" w:rsidR="006926CD" w:rsidRPr="00350262" w:rsidRDefault="006926CD" w:rsidP="000E2A3F">
            <w:pPr>
              <w:rPr>
                <w:rFonts w:ascii="Calibri" w:eastAsia="Arial Unicode MS" w:hAnsi="Calibri" w:cs="Calibri"/>
                <w:b/>
                <w:color w:val="auto"/>
                <w:lang w:val="en-AU"/>
              </w:rPr>
            </w:pPr>
            <w:r w:rsidRPr="00350262">
              <w:rPr>
                <w:rFonts w:ascii="Calibri" w:eastAsia="Arial Unicode MS" w:hAnsi="Calibri" w:cs="Calibri"/>
                <w:bCs/>
                <w:color w:val="auto"/>
                <w:lang w:val="en-AU"/>
              </w:rPr>
              <w:t xml:space="preserve">If </w:t>
            </w:r>
            <w:r>
              <w:rPr>
                <w:rFonts w:ascii="Calibri" w:eastAsia="Arial Unicode MS" w:hAnsi="Calibri" w:cs="Calibri"/>
                <w:bCs/>
                <w:color w:val="auto"/>
                <w:lang w:val="en-AU"/>
              </w:rPr>
              <w:t>O</w:t>
            </w:r>
            <w:r w:rsidRPr="00350262">
              <w:rPr>
                <w:rFonts w:ascii="Calibri" w:eastAsia="Arial Unicode MS" w:hAnsi="Calibri" w:cs="Calibri"/>
                <w:bCs/>
                <w:color w:val="auto"/>
                <w:lang w:val="en-AU"/>
              </w:rPr>
              <w:t>ther,</w:t>
            </w:r>
            <w:r w:rsidRPr="00350262">
              <w:rPr>
                <w:rFonts w:ascii="Calibri" w:eastAsia="Arial Unicode MS" w:hAnsi="Calibri" w:cs="Calibri"/>
                <w:b/>
                <w:color w:val="auto"/>
                <w:lang w:val="en-AU"/>
              </w:rPr>
              <w:t xml:space="preserve"> </w:t>
            </w:r>
            <w:r w:rsidRPr="00350262">
              <w:rPr>
                <w:rFonts w:ascii="Calibri" w:eastAsia="Arial Unicode MS" w:hAnsi="Calibri" w:cs="Calibri"/>
                <w:color w:val="auto"/>
                <w:lang w:val="en-AU"/>
              </w:rPr>
              <w:t>Enter Disciplines:</w:t>
            </w:r>
          </w:p>
        </w:tc>
        <w:tc>
          <w:tcPr>
            <w:tcW w:w="3178"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4E6D4937" w14:textId="77777777" w:rsidR="006926CD" w:rsidRPr="001C321B" w:rsidRDefault="006926CD" w:rsidP="000E2A3F">
            <w:pPr>
              <w:rPr>
                <w:rFonts w:asciiTheme="minorHAnsi" w:eastAsia="Arial Unicode MS" w:hAnsiTheme="minorHAnsi" w:cstheme="majorHAnsi"/>
                <w:b/>
                <w:color w:val="auto"/>
                <w:lang w:val="en-AU"/>
              </w:rPr>
            </w:pPr>
            <w:r>
              <w:rPr>
                <w:rFonts w:asciiTheme="minorHAnsi" w:eastAsia="Arial Unicode MS" w:hAnsiTheme="minorHAnsi" w:cstheme="majorHAnsi"/>
                <w:b/>
                <w:color w:val="auto"/>
                <w:lang w:val="en-AU"/>
              </w:rPr>
              <w:t>CP</w:t>
            </w:r>
            <w:r w:rsidRPr="00C70047">
              <w:rPr>
                <w:rFonts w:asciiTheme="minorHAnsi" w:eastAsia="Arial Unicode MS" w:hAnsiTheme="minorHAnsi" w:cstheme="majorHAnsi"/>
                <w:b/>
                <w:color w:val="auto"/>
                <w:lang w:val="en-AU"/>
              </w:rPr>
              <w:t xml:space="preserve"> and GBV case management</w:t>
            </w:r>
          </w:p>
        </w:tc>
      </w:tr>
      <w:tr w:rsidR="006926CD" w:rsidRPr="001C321B" w14:paraId="5E167A7C" w14:textId="77777777" w:rsidTr="006926CD">
        <w:trPr>
          <w:trHeight w:val="448"/>
        </w:trPr>
        <w:tc>
          <w:tcPr>
            <w:tcW w:w="2740"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4CE1B6BD" w14:textId="77777777" w:rsidR="006926CD" w:rsidRPr="001C321B" w:rsidRDefault="006926CD" w:rsidP="000E2A3F">
            <w:pPr>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Years of Experience required:</w:t>
            </w:r>
          </w:p>
        </w:tc>
        <w:tc>
          <w:tcPr>
            <w:tcW w:w="8110" w:type="dxa"/>
            <w:gridSpan w:val="4"/>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0A2C3C6B" w14:textId="77777777" w:rsidR="006926CD" w:rsidRPr="001C321B" w:rsidRDefault="006926CD" w:rsidP="000E2A3F">
            <w:pPr>
              <w:rPr>
                <w:rFonts w:asciiTheme="minorHAnsi" w:eastAsia="Arial Unicode MS" w:hAnsiTheme="minorHAnsi" w:cstheme="majorHAnsi"/>
                <w:bCs/>
                <w:color w:val="auto"/>
                <w:lang w:val="en-AU"/>
              </w:rPr>
            </w:pPr>
            <w:r w:rsidRPr="006926CD">
              <w:rPr>
                <w:rFonts w:asciiTheme="minorHAnsi" w:hAnsiTheme="minorHAnsi" w:cstheme="majorBidi"/>
              </w:rPr>
              <w:t>2 years</w:t>
            </w:r>
          </w:p>
        </w:tc>
      </w:tr>
      <w:tr w:rsidR="006926CD" w:rsidRPr="00F2768A" w14:paraId="1195B0DE" w14:textId="77777777" w:rsidTr="006926CD">
        <w:trPr>
          <w:trHeight w:val="452"/>
        </w:trPr>
        <w:tc>
          <w:tcPr>
            <w:tcW w:w="2750" w:type="dxa"/>
            <w:gridSpan w:val="2"/>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1F65C7EE" w14:textId="77777777" w:rsidR="006926CD" w:rsidRPr="001C321B" w:rsidRDefault="006926CD" w:rsidP="000E2A3F">
            <w:pPr>
              <w:ind w:right="-18"/>
              <w:rPr>
                <w:rFonts w:asciiTheme="minorHAnsi" w:eastAsia="Arial Unicode MS" w:hAnsiTheme="minorHAnsi" w:cstheme="majorHAnsi"/>
                <w:b/>
                <w:color w:val="auto"/>
                <w:lang w:val="en-AU"/>
              </w:rPr>
            </w:pPr>
            <w:r w:rsidRPr="001C321B">
              <w:rPr>
                <w:rFonts w:asciiTheme="minorHAnsi" w:eastAsia="Arial Unicode MS" w:hAnsiTheme="minorHAnsi" w:cstheme="majorHAnsi"/>
                <w:b/>
                <w:color w:val="auto"/>
                <w:lang w:val="en-AU"/>
              </w:rPr>
              <w:t>Knowledge/Expertise/Skills required:</w:t>
            </w:r>
          </w:p>
        </w:tc>
        <w:tc>
          <w:tcPr>
            <w:tcW w:w="8100" w:type="dxa"/>
            <w:gridSpan w:val="3"/>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2ECFE9D9" w14:textId="77777777" w:rsidR="006926CD" w:rsidRDefault="006926CD" w:rsidP="000E2A3F">
            <w:pPr>
              <w:jc w:val="both"/>
              <w:rPr>
                <w:rFonts w:asciiTheme="minorHAnsi" w:eastAsia="Arial Unicode MS" w:hAnsiTheme="minorHAnsi" w:cstheme="majorHAnsi"/>
                <w:bCs/>
                <w:color w:val="auto"/>
                <w:lang w:val="en-AU"/>
              </w:rPr>
            </w:pPr>
            <w:r w:rsidRPr="006926CD">
              <w:rPr>
                <w:rFonts w:asciiTheme="minorHAnsi" w:eastAsia="Arial Unicode MS" w:hAnsiTheme="minorHAnsi" w:cstheme="majorHAnsi"/>
                <w:bCs/>
                <w:color w:val="auto"/>
                <w:lang w:val="en-AU"/>
              </w:rPr>
              <w:t xml:space="preserve">Knowledge/Expertise /Skills required: </w:t>
            </w:r>
          </w:p>
          <w:p w14:paraId="78D5DF19" w14:textId="77777777" w:rsidR="006926CD" w:rsidRPr="006926CD" w:rsidRDefault="006926CD" w:rsidP="006926CD">
            <w:pPr>
              <w:pStyle w:val="ListParagraph"/>
              <w:numPr>
                <w:ilvl w:val="0"/>
                <w:numId w:val="1"/>
              </w:numPr>
              <w:jc w:val="both"/>
              <w:rPr>
                <w:rFonts w:asciiTheme="minorHAnsi" w:eastAsia="Arial Unicode MS" w:hAnsiTheme="minorHAnsi" w:cstheme="majorHAnsi"/>
                <w:bCs/>
                <w:color w:val="auto"/>
                <w:lang w:val="en-AU"/>
              </w:rPr>
            </w:pPr>
            <w:r w:rsidRPr="006926CD">
              <w:rPr>
                <w:rFonts w:asciiTheme="minorHAnsi" w:eastAsia="Arial Unicode MS" w:hAnsiTheme="minorHAnsi" w:cstheme="majorHAnsi"/>
                <w:bCs/>
                <w:color w:val="auto"/>
                <w:lang w:val="en-AU"/>
              </w:rPr>
              <w:t xml:space="preserve">Previous work experience in drafting guidance documents on CP/GBV/Gender related issues and in preparing training </w:t>
            </w:r>
            <w:proofErr w:type="gramStart"/>
            <w:r w:rsidRPr="006926CD">
              <w:rPr>
                <w:rFonts w:asciiTheme="minorHAnsi" w:eastAsia="Arial Unicode MS" w:hAnsiTheme="minorHAnsi" w:cstheme="majorHAnsi"/>
                <w:bCs/>
                <w:color w:val="auto"/>
                <w:lang w:val="en-AU"/>
              </w:rPr>
              <w:t>manuals;</w:t>
            </w:r>
            <w:proofErr w:type="gramEnd"/>
            <w:r w:rsidRPr="006926CD">
              <w:rPr>
                <w:rFonts w:asciiTheme="minorHAnsi" w:eastAsia="Arial Unicode MS" w:hAnsiTheme="minorHAnsi" w:cstheme="majorHAnsi"/>
                <w:bCs/>
                <w:color w:val="auto"/>
                <w:lang w:val="en-AU"/>
              </w:rPr>
              <w:t xml:space="preserve"> </w:t>
            </w:r>
          </w:p>
          <w:p w14:paraId="133E7A75" w14:textId="65B31671" w:rsidR="006926CD" w:rsidRPr="006926CD" w:rsidRDefault="006926CD" w:rsidP="006926CD">
            <w:pPr>
              <w:pStyle w:val="ListParagraph"/>
              <w:numPr>
                <w:ilvl w:val="0"/>
                <w:numId w:val="1"/>
              </w:numPr>
              <w:jc w:val="both"/>
              <w:rPr>
                <w:rFonts w:asciiTheme="minorHAnsi" w:eastAsia="Arial Unicode MS" w:hAnsiTheme="minorHAnsi" w:cstheme="majorHAnsi"/>
                <w:bCs/>
                <w:color w:val="auto"/>
                <w:lang w:val="en-AU"/>
              </w:rPr>
            </w:pPr>
            <w:r w:rsidRPr="006926CD">
              <w:rPr>
                <w:rFonts w:asciiTheme="minorHAnsi" w:eastAsia="Arial Unicode MS" w:hAnsiTheme="minorHAnsi" w:cstheme="majorHAnsi"/>
                <w:bCs/>
                <w:color w:val="auto"/>
                <w:lang w:val="en-AU"/>
              </w:rPr>
              <w:t xml:space="preserve">Strong background in capacity building in Child Protection and Gender related </w:t>
            </w:r>
            <w:proofErr w:type="gramStart"/>
            <w:r w:rsidRPr="006926CD">
              <w:rPr>
                <w:rFonts w:asciiTheme="minorHAnsi" w:eastAsia="Arial Unicode MS" w:hAnsiTheme="minorHAnsi" w:cstheme="majorHAnsi"/>
                <w:bCs/>
                <w:color w:val="auto"/>
                <w:lang w:val="en-AU"/>
              </w:rPr>
              <w:t>issues</w:t>
            </w:r>
            <w:r w:rsidRPr="006926CD">
              <w:rPr>
                <w:rFonts w:asciiTheme="minorHAnsi" w:eastAsia="Arial Unicode MS" w:hAnsiTheme="minorHAnsi" w:cstheme="majorHAnsi"/>
                <w:bCs/>
                <w:color w:val="auto"/>
                <w:lang w:val="en-AU"/>
              </w:rPr>
              <w:t>;</w:t>
            </w:r>
            <w:proofErr w:type="gramEnd"/>
          </w:p>
          <w:p w14:paraId="37E3DBC2" w14:textId="77777777" w:rsidR="006926CD" w:rsidRPr="006926CD" w:rsidRDefault="006926CD" w:rsidP="006926CD">
            <w:pPr>
              <w:pStyle w:val="ListParagraph"/>
              <w:numPr>
                <w:ilvl w:val="0"/>
                <w:numId w:val="1"/>
              </w:numPr>
              <w:jc w:val="both"/>
              <w:rPr>
                <w:rFonts w:asciiTheme="minorHAnsi" w:eastAsia="Arial Unicode MS" w:hAnsiTheme="minorHAnsi" w:cstheme="majorHAnsi"/>
                <w:bCs/>
                <w:color w:val="auto"/>
                <w:lang w:val="en-AU"/>
              </w:rPr>
            </w:pPr>
            <w:r w:rsidRPr="006926CD">
              <w:rPr>
                <w:rFonts w:asciiTheme="minorHAnsi" w:eastAsia="Arial Unicode MS" w:hAnsiTheme="minorHAnsi" w:cstheme="majorHAnsi"/>
                <w:bCs/>
                <w:color w:val="auto"/>
                <w:lang w:val="en-AU"/>
              </w:rPr>
              <w:t xml:space="preserve">Good knowledge in humanitarian contexts and familiarity with GBV related resources and </w:t>
            </w:r>
            <w:proofErr w:type="gramStart"/>
            <w:r w:rsidRPr="006926CD">
              <w:rPr>
                <w:rFonts w:asciiTheme="minorHAnsi" w:eastAsia="Arial Unicode MS" w:hAnsiTheme="minorHAnsi" w:cstheme="majorHAnsi"/>
                <w:bCs/>
                <w:color w:val="auto"/>
                <w:lang w:val="en-AU"/>
              </w:rPr>
              <w:t>material;</w:t>
            </w:r>
            <w:proofErr w:type="gramEnd"/>
            <w:r w:rsidRPr="006926CD">
              <w:rPr>
                <w:rFonts w:asciiTheme="minorHAnsi" w:eastAsia="Arial Unicode MS" w:hAnsiTheme="minorHAnsi" w:cstheme="majorHAnsi"/>
                <w:bCs/>
                <w:color w:val="auto"/>
                <w:lang w:val="en-AU"/>
              </w:rPr>
              <w:t xml:space="preserve"> </w:t>
            </w:r>
          </w:p>
          <w:p w14:paraId="5E53CA6D" w14:textId="77777777" w:rsidR="006926CD" w:rsidRPr="006926CD" w:rsidRDefault="006926CD" w:rsidP="006926CD">
            <w:pPr>
              <w:pStyle w:val="ListParagraph"/>
              <w:numPr>
                <w:ilvl w:val="0"/>
                <w:numId w:val="1"/>
              </w:numPr>
              <w:jc w:val="both"/>
              <w:rPr>
                <w:rFonts w:asciiTheme="minorHAnsi" w:eastAsia="Arial Unicode MS" w:hAnsiTheme="minorHAnsi" w:cstheme="majorHAnsi"/>
                <w:bCs/>
                <w:color w:val="auto"/>
                <w:lang w:val="en-AU"/>
              </w:rPr>
            </w:pPr>
            <w:r w:rsidRPr="006926CD">
              <w:rPr>
                <w:rFonts w:asciiTheme="minorHAnsi" w:eastAsia="Arial Unicode MS" w:hAnsiTheme="minorHAnsi" w:cstheme="majorHAnsi"/>
                <w:bCs/>
                <w:color w:val="auto"/>
                <w:lang w:val="en-AU"/>
              </w:rPr>
              <w:t xml:space="preserve">Excellent interpersonal skills and ability to establish effective and working relations with other </w:t>
            </w:r>
            <w:proofErr w:type="gramStart"/>
            <w:r w:rsidRPr="006926CD">
              <w:rPr>
                <w:rFonts w:asciiTheme="minorHAnsi" w:eastAsia="Arial Unicode MS" w:hAnsiTheme="minorHAnsi" w:cstheme="majorHAnsi"/>
                <w:bCs/>
                <w:color w:val="auto"/>
                <w:lang w:val="en-AU"/>
              </w:rPr>
              <w:t>stakeholders;</w:t>
            </w:r>
            <w:proofErr w:type="gramEnd"/>
            <w:r w:rsidRPr="006926CD">
              <w:rPr>
                <w:rFonts w:asciiTheme="minorHAnsi" w:eastAsia="Arial Unicode MS" w:hAnsiTheme="minorHAnsi" w:cstheme="majorHAnsi"/>
                <w:bCs/>
                <w:color w:val="auto"/>
                <w:lang w:val="en-AU"/>
              </w:rPr>
              <w:t xml:space="preserve"> </w:t>
            </w:r>
          </w:p>
          <w:p w14:paraId="7B128C1A" w14:textId="2270D979" w:rsidR="006926CD" w:rsidRPr="006926CD" w:rsidRDefault="006926CD" w:rsidP="006926CD">
            <w:pPr>
              <w:pStyle w:val="ListParagraph"/>
              <w:numPr>
                <w:ilvl w:val="0"/>
                <w:numId w:val="1"/>
              </w:numPr>
              <w:jc w:val="both"/>
              <w:rPr>
                <w:rFonts w:asciiTheme="minorHAnsi" w:eastAsia="Arial Unicode MS" w:hAnsiTheme="minorHAnsi" w:cstheme="majorHAnsi"/>
                <w:bCs/>
                <w:color w:val="auto"/>
                <w:lang w:val="en-AU"/>
              </w:rPr>
            </w:pPr>
            <w:r w:rsidRPr="006926CD">
              <w:rPr>
                <w:rFonts w:asciiTheme="minorHAnsi" w:eastAsia="Arial Unicode MS" w:hAnsiTheme="minorHAnsi" w:cstheme="majorHAnsi"/>
                <w:bCs/>
                <w:color w:val="auto"/>
                <w:lang w:val="en-AU"/>
              </w:rPr>
              <w:t>Excellent written and spoken communication skills in English and in Arabic.</w:t>
            </w:r>
          </w:p>
        </w:tc>
      </w:tr>
    </w:tbl>
    <w:p w14:paraId="6432C88B" w14:textId="77777777" w:rsidR="006926CD" w:rsidRDefault="006926CD" w:rsidP="006926CD">
      <w:pPr>
        <w:rPr>
          <w:lang w:val="en-AU"/>
        </w:rPr>
      </w:pPr>
    </w:p>
    <w:p w14:paraId="4C592635" w14:textId="313F4B26" w:rsidR="006926CD" w:rsidRDefault="006926CD" w:rsidP="006926CD">
      <w:pPr>
        <w:jc w:val="both"/>
        <w:rPr>
          <w:rFonts w:ascii="Calibri" w:eastAsia="Calibri" w:hAnsi="Calibri" w:cs="Calibri"/>
          <w:color w:val="000000" w:themeColor="text1"/>
          <w:sz w:val="12"/>
          <w:szCs w:val="12"/>
        </w:rPr>
      </w:pPr>
      <w:r w:rsidRPr="662CE091">
        <w:rPr>
          <w:rStyle w:val="FootnoteReference"/>
        </w:rPr>
        <w:footnoteRef/>
      </w:r>
      <w:r>
        <w:t xml:space="preserve"> </w:t>
      </w:r>
      <w:r w:rsidRPr="6D59E9E5">
        <w:rPr>
          <w:rFonts w:ascii="Calibri" w:eastAsia="Calibri" w:hAnsi="Calibri" w:cs="Calibri"/>
          <w:i/>
          <w:iCs/>
          <w:color w:val="000000" w:themeColor="text1"/>
          <w:sz w:val="12"/>
          <w:szCs w:val="12"/>
        </w:rPr>
        <w:t xml:space="preserve">In 2012, the International Rescue Committee (IRC) in partnership with the US Department of State, the United Nations Children’s Fund (UNICEF), and the Bill and Melinda Gates Foundation worked on the development of global caring for child </w:t>
      </w:r>
      <w:proofErr w:type="gramStart"/>
      <w:r w:rsidRPr="6D59E9E5">
        <w:rPr>
          <w:rFonts w:ascii="Calibri" w:eastAsia="Calibri" w:hAnsi="Calibri" w:cs="Calibri"/>
          <w:i/>
          <w:iCs/>
          <w:color w:val="000000" w:themeColor="text1"/>
          <w:sz w:val="12"/>
          <w:szCs w:val="12"/>
        </w:rPr>
        <w:t>survivors</w:t>
      </w:r>
      <w:proofErr w:type="gramEnd"/>
      <w:r w:rsidRPr="6D59E9E5">
        <w:rPr>
          <w:rFonts w:ascii="Calibri" w:eastAsia="Calibri" w:hAnsi="Calibri" w:cs="Calibri"/>
          <w:i/>
          <w:iCs/>
          <w:color w:val="000000" w:themeColor="text1"/>
          <w:sz w:val="12"/>
          <w:szCs w:val="12"/>
        </w:rPr>
        <w:t xml:space="preserve"> guidelines.</w:t>
      </w:r>
      <w:r w:rsidRPr="6D59E9E5">
        <w:rPr>
          <w:rFonts w:ascii="Calibri" w:eastAsia="Calibri" w:hAnsi="Calibri" w:cs="Calibri"/>
          <w:color w:val="000000" w:themeColor="text1"/>
          <w:sz w:val="12"/>
          <w:szCs w:val="12"/>
        </w:rPr>
        <w:t xml:space="preserve"> In</w:t>
      </w:r>
      <w:r w:rsidRPr="6D59E9E5">
        <w:rPr>
          <w:rFonts w:ascii="Calibri" w:eastAsia="Calibri" w:hAnsi="Calibri" w:cs="Calibri"/>
          <w:i/>
          <w:iCs/>
          <w:color w:val="000000" w:themeColor="text1"/>
          <w:sz w:val="12"/>
          <w:szCs w:val="12"/>
        </w:rPr>
        <w:t xml:space="preserve"> 2023, </w:t>
      </w:r>
      <w:r w:rsidRPr="6D59E9E5">
        <w:rPr>
          <w:rFonts w:ascii="Calibri" w:eastAsia="Calibri" w:hAnsi="Calibri" w:cs="Calibri"/>
          <w:color w:val="000000" w:themeColor="text1"/>
          <w:sz w:val="12"/>
          <w:szCs w:val="12"/>
        </w:rPr>
        <w:t xml:space="preserve">IRC and UNICEF with the support of GIZ collaborate on the review, update and implementation of a second editions of the guidelines ; it can be found on </w:t>
      </w:r>
      <w:hyperlink r:id="rId7" w:history="1">
        <w:r w:rsidRPr="6D59E9E5">
          <w:rPr>
            <w:rStyle w:val="Hyperlink"/>
            <w:rFonts w:ascii="Calibri" w:eastAsia="Calibri" w:hAnsi="Calibri" w:cs="Calibri"/>
            <w:sz w:val="12"/>
            <w:szCs w:val="12"/>
          </w:rPr>
          <w:t>https://www.unicef.org/documents/caring-child-survivors-sexual-abuse-guidelines-Dec2023</w:t>
        </w:r>
      </w:hyperlink>
    </w:p>
    <w:p w14:paraId="61DE8DFC" w14:textId="77777777" w:rsidR="006926CD" w:rsidRPr="006926CD" w:rsidRDefault="006926CD" w:rsidP="006926CD"/>
    <w:sectPr w:rsidR="006926CD" w:rsidRPr="006926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A547" w14:textId="77777777" w:rsidR="006C112B" w:rsidRDefault="006C112B" w:rsidP="006926CD">
      <w:pPr>
        <w:spacing w:line="240" w:lineRule="auto"/>
      </w:pPr>
      <w:r>
        <w:separator/>
      </w:r>
    </w:p>
  </w:endnote>
  <w:endnote w:type="continuationSeparator" w:id="0">
    <w:p w14:paraId="3318BA7F" w14:textId="77777777" w:rsidR="006C112B" w:rsidRDefault="006C112B" w:rsidP="00692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E1EE" w14:textId="77777777" w:rsidR="006C112B" w:rsidRDefault="006C112B" w:rsidP="006926CD">
      <w:pPr>
        <w:spacing w:line="240" w:lineRule="auto"/>
      </w:pPr>
      <w:r>
        <w:separator/>
      </w:r>
    </w:p>
  </w:footnote>
  <w:footnote w:type="continuationSeparator" w:id="0">
    <w:p w14:paraId="0FB02751" w14:textId="77777777" w:rsidR="006C112B" w:rsidRDefault="006C112B" w:rsidP="006926CD">
      <w:pPr>
        <w:spacing w:line="240" w:lineRule="auto"/>
      </w:pPr>
      <w:r>
        <w:continuationSeparator/>
      </w:r>
    </w:p>
  </w:footnote>
  <w:footnote w:id="1">
    <w:p w14:paraId="4D0B2022" w14:textId="77777777" w:rsidR="006926CD" w:rsidRDefault="006926CD" w:rsidP="006926CD">
      <w:pPr>
        <w:jc w:val="both"/>
        <w:rPr>
          <w:rFonts w:ascii="Calibri" w:eastAsia="Calibri" w:hAnsi="Calibri" w:cs="Calibri"/>
          <w:color w:val="000000" w:themeColor="text1"/>
          <w:sz w:val="12"/>
          <w:szCs w:val="12"/>
        </w:rPr>
      </w:pPr>
    </w:p>
    <w:p w14:paraId="3EDC8AC6" w14:textId="77777777" w:rsidR="006926CD" w:rsidRDefault="006926CD" w:rsidP="006926C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C7F"/>
    <w:multiLevelType w:val="hybridMultilevel"/>
    <w:tmpl w:val="753034FE"/>
    <w:lvl w:ilvl="0" w:tplc="ACA83FB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83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CD"/>
    <w:rsid w:val="006926CD"/>
    <w:rsid w:val="006C1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0A290"/>
  <w15:chartTrackingRefBased/>
  <w15:docId w15:val="{4E9C7CD6-28F5-40C1-9B28-C0DEBA6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6CD"/>
    <w:pPr>
      <w:spacing w:after="0" w:line="276" w:lineRule="auto"/>
    </w:pPr>
    <w:rPr>
      <w:rFonts w:ascii="Arial" w:eastAsia="MS PGothic" w:hAnsi="Arial"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6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6926CD"/>
    <w:rPr>
      <w:rFonts w:ascii="Calibri" w:hAnsi="Calibri"/>
      <w:sz w:val="20"/>
    </w:rPr>
  </w:style>
  <w:style w:type="paragraph" w:styleId="FootnoteText">
    <w:name w:val="footnote text"/>
    <w:basedOn w:val="Normal"/>
    <w:link w:val="FootnoteTextChar"/>
    <w:uiPriority w:val="99"/>
    <w:unhideWhenUsed/>
    <w:rsid w:val="006926CD"/>
    <w:pPr>
      <w:spacing w:line="240" w:lineRule="auto"/>
    </w:pPr>
    <w:rPr>
      <w:rFonts w:asciiTheme="minorHAnsi" w:eastAsiaTheme="minorEastAsia" w:hAnsiTheme="minorHAnsi"/>
      <w:color w:val="auto"/>
    </w:rPr>
  </w:style>
  <w:style w:type="character" w:customStyle="1" w:styleId="FootnoteTextChar">
    <w:name w:val="Footnote Text Char"/>
    <w:basedOn w:val="DefaultParagraphFont"/>
    <w:link w:val="FootnoteText"/>
    <w:uiPriority w:val="99"/>
    <w:rsid w:val="006926CD"/>
    <w:rPr>
      <w:rFonts w:eastAsiaTheme="minorEastAsia" w:cs="Times New Roman"/>
      <w:kern w:val="0"/>
      <w:sz w:val="20"/>
      <w:szCs w:val="20"/>
      <w14:ligatures w14:val="none"/>
    </w:rPr>
  </w:style>
  <w:style w:type="character" w:styleId="FootnoteReference">
    <w:name w:val="footnote reference"/>
    <w:basedOn w:val="DefaultParagraphFont"/>
    <w:uiPriority w:val="99"/>
    <w:semiHidden/>
    <w:unhideWhenUsed/>
    <w:rsid w:val="006926CD"/>
    <w:rPr>
      <w:vertAlign w:val="superscript"/>
    </w:rPr>
  </w:style>
  <w:style w:type="character" w:styleId="Hyperlink">
    <w:name w:val="Hyperlink"/>
    <w:basedOn w:val="DefaultParagraphFont"/>
    <w:uiPriority w:val="99"/>
    <w:unhideWhenUsed/>
    <w:rsid w:val="006926CD"/>
    <w:rPr>
      <w:color w:val="0563C1" w:themeColor="hyperlink"/>
      <w:u w:val="single"/>
    </w:rPr>
  </w:style>
  <w:style w:type="character" w:styleId="CommentReference">
    <w:name w:val="annotation reference"/>
    <w:basedOn w:val="DefaultParagraphFont"/>
    <w:uiPriority w:val="99"/>
    <w:semiHidden/>
    <w:unhideWhenUsed/>
    <w:rsid w:val="006926CD"/>
    <w:rPr>
      <w:sz w:val="16"/>
      <w:szCs w:val="16"/>
    </w:rPr>
  </w:style>
  <w:style w:type="paragraph" w:styleId="CommentText">
    <w:name w:val="annotation text"/>
    <w:basedOn w:val="Normal"/>
    <w:link w:val="CommentTextChar"/>
    <w:uiPriority w:val="99"/>
    <w:unhideWhenUsed/>
    <w:rsid w:val="006926CD"/>
    <w:pPr>
      <w:spacing w:line="240" w:lineRule="auto"/>
    </w:pPr>
  </w:style>
  <w:style w:type="character" w:customStyle="1" w:styleId="CommentTextChar">
    <w:name w:val="Comment Text Char"/>
    <w:basedOn w:val="DefaultParagraphFont"/>
    <w:link w:val="CommentText"/>
    <w:uiPriority w:val="99"/>
    <w:rsid w:val="006926CD"/>
    <w:rPr>
      <w:rFonts w:ascii="Arial" w:eastAsia="MS PGothic" w:hAnsi="Arial" w:cs="Times New Roman"/>
      <w:color w:val="000000"/>
      <w:kern w:val="0"/>
      <w:sz w:val="20"/>
      <w:szCs w:val="20"/>
      <w14:ligatures w14:val="none"/>
    </w:rPr>
  </w:style>
  <w:style w:type="paragraph" w:styleId="ListParagraph">
    <w:name w:val="List Paragraph"/>
    <w:basedOn w:val="Normal"/>
    <w:uiPriority w:val="34"/>
    <w:qFormat/>
    <w:rsid w:val="00692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org/documents/caring-child-survivors-sexual-abuse-guidelines-Dec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839</Words>
  <Characters>5021</Characters>
  <Application>Microsoft Office Word</Application>
  <DocSecurity>0</DocSecurity>
  <Lines>125</Lines>
  <Paragraphs>53</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 Deeb</dc:creator>
  <cp:keywords/>
  <dc:description/>
  <cp:lastModifiedBy>Mae Deeb</cp:lastModifiedBy>
  <cp:revision>1</cp:revision>
  <dcterms:created xsi:type="dcterms:W3CDTF">2024-09-12T08:28:00Z</dcterms:created>
  <dcterms:modified xsi:type="dcterms:W3CDTF">2024-09-12T08:37:00Z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df35ed57-af16-4353-ad78-c0aac4f8d65a</vt:lpwstr>
  </property>
</Properties>
</file>