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1206" w14:textId="77777777" w:rsidR="00644A0F" w:rsidRDefault="00644A0F" w:rsidP="00644A0F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>ANNEX A - Technical Experience</w:t>
      </w:r>
    </w:p>
    <w:tbl>
      <w:tblPr>
        <w:tblStyle w:val="TableGrid"/>
        <w:tblW w:w="5200" w:type="pct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33"/>
        <w:gridCol w:w="589"/>
        <w:gridCol w:w="650"/>
        <w:gridCol w:w="455"/>
        <w:gridCol w:w="455"/>
        <w:gridCol w:w="487"/>
        <w:gridCol w:w="1926"/>
        <w:gridCol w:w="2667"/>
        <w:gridCol w:w="6"/>
      </w:tblGrid>
      <w:tr w:rsidR="00644A0F" w14:paraId="7BBF5903" w14:textId="77777777" w:rsidTr="00644A0F">
        <w:trPr>
          <w:trHeight w:val="282"/>
        </w:trPr>
        <w:tc>
          <w:tcPr>
            <w:tcW w:w="19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3B1D37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  <w:lang w:val="en-US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</w:rPr>
              <w:t>Sr. No</w:t>
            </w:r>
          </w:p>
        </w:tc>
        <w:tc>
          <w:tcPr>
            <w:tcW w:w="103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C80D4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Themes </w:t>
            </w:r>
          </w:p>
        </w:tc>
        <w:tc>
          <w:tcPr>
            <w:tcW w:w="161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470130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</w:rPr>
              <w:t>Duration of experience (pls. tick)</w:t>
            </w: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053C72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</w:rPr>
              <w:t>Nature of experience – mention one or more of the options provided (national/state/</w:t>
            </w:r>
          </w:p>
          <w:p w14:paraId="0FECA920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</w:rPr>
              <w:t>divisional/district/ internship/research)</w:t>
            </w:r>
          </w:p>
        </w:tc>
        <w:tc>
          <w:tcPr>
            <w:tcW w:w="14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20E916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</w:rPr>
              <w:t>Small brief of your experience for each of the themes as applicable (Word limit : 100 words)</w:t>
            </w:r>
          </w:p>
          <w:p w14:paraId="5A9AB284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</w:rPr>
              <w:t>Write ‘NA’ wherever not applicable</w:t>
            </w:r>
          </w:p>
        </w:tc>
      </w:tr>
      <w:tr w:rsidR="00644A0F" w14:paraId="61683C2E" w14:textId="77777777" w:rsidTr="00644A0F">
        <w:trPr>
          <w:gridAfter w:val="1"/>
          <w:wAfter w:w="8" w:type="pct"/>
          <w:trHeight w:val="281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C6D58D" w14:textId="77777777" w:rsidR="00644A0F" w:rsidRDefault="00644A0F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B8007" w14:textId="77777777" w:rsidR="00644A0F" w:rsidRDefault="00644A0F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6B657B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Less than 1 yr  </w:t>
            </w: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2110D3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1-2 years 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8F5348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3-4 yrs 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7AC8D3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5-6 yrs </w:t>
            </w: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770E10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&gt; 6 yrs</w:t>
            </w: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33342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254B3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1C96D561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992F0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7066A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Programme priorities: (i) RMNCH+A</w:t>
            </w:r>
          </w:p>
          <w:p w14:paraId="20EDC27D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Neonatal / Child health</w:t>
            </w:r>
          </w:p>
          <w:p w14:paraId="5C4AEECE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Maternal Health</w:t>
            </w:r>
          </w:p>
          <w:p w14:paraId="41B833EC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Adolescent Health </w:t>
            </w:r>
          </w:p>
          <w:p w14:paraId="52ACAB77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(ii) Nutrition</w:t>
            </w:r>
          </w:p>
          <w:p w14:paraId="453AE00D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IYCF</w:t>
            </w:r>
          </w:p>
          <w:p w14:paraId="7EB23B2B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Stunting / Malnutrition</w:t>
            </w:r>
          </w:p>
          <w:p w14:paraId="1694E8C5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Supplementation</w:t>
            </w:r>
          </w:p>
          <w:p w14:paraId="69B282B0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Maternal / Adolescent Nutrition (iii) WASH</w:t>
            </w:r>
          </w:p>
          <w:p w14:paraId="004C91D4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Sanitation / Open Defecation</w:t>
            </w:r>
          </w:p>
          <w:p w14:paraId="1483171C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Water (community management)</w:t>
            </w:r>
          </w:p>
          <w:p w14:paraId="041A3D48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Hygiene (in schools, communities) (iv) Education</w:t>
            </w:r>
          </w:p>
          <w:p w14:paraId="7DADA629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School readiness / Early childhood education</w:t>
            </w:r>
          </w:p>
          <w:p w14:paraId="09CC6F56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Out of school children Retention (adolescents) (vi) Child Protection</w:t>
            </w:r>
          </w:p>
          <w:p w14:paraId="02D7E646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Child Marriage</w:t>
            </w:r>
          </w:p>
          <w:p w14:paraId="2FA9CF77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Violence against children</w:t>
            </w:r>
          </w:p>
          <w:p w14:paraId="2088DF60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Child trafficking</w:t>
            </w:r>
          </w:p>
          <w:p w14:paraId="3DEE39DF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Child labour (vii) Early Childhood Development </w:t>
            </w:r>
          </w:p>
          <w:p w14:paraId="772EEB3D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36B16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0026F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A3531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75C9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8B546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F1340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124968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Please list in brief all the areas you have worked under </w:t>
            </w:r>
          </w:p>
        </w:tc>
      </w:tr>
      <w:tr w:rsidR="00644A0F" w14:paraId="2F4DEB4A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49F5C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E2844F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Entertainment – Education</w:t>
            </w:r>
          </w:p>
          <w:p w14:paraId="07FA9628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TV and film</w:t>
            </w:r>
          </w:p>
          <w:p w14:paraId="335F2CA3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lastRenderedPageBreak/>
              <w:t>Audio and video (Radio, Games, etc.)</w:t>
            </w:r>
          </w:p>
          <w:p w14:paraId="65403437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Radio programming</w:t>
            </w:r>
          </w:p>
          <w:p w14:paraId="6B201B5D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Folk, culture, public access</w:t>
            </w:r>
          </w:p>
          <w:p w14:paraId="49C6A284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Media planning and engagement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572CD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1FBF0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AFB61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AA63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81826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3472A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DFC89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10A4ACA9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82F5A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4D75BF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Adolescent Participation and Engagement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B095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2FAB1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84433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D2195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E2EC9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5D72D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C7A18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4E8CB65D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08861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FCBD2E" w14:textId="77777777" w:rsidR="00644A0F" w:rsidRDefault="00644A0F">
            <w:pPr>
              <w:pStyle w:val="ListParagraph"/>
              <w:spacing w:line="240" w:lineRule="auto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rFonts w:asciiTheme="minorHAnsi" w:hAnsiTheme="minorHAnsi"/>
                <w:i w:val="0"/>
                <w:color w:val="auto"/>
              </w:rPr>
              <w:t xml:space="preserve">System strengthening </w:t>
            </w:r>
          </w:p>
          <w:p w14:paraId="1BF257EE" w14:textId="77777777" w:rsidR="00644A0F" w:rsidRDefault="00644A0F">
            <w:pPr>
              <w:pStyle w:val="ListParagraph"/>
              <w:spacing w:line="240" w:lineRule="auto"/>
              <w:ind w:left="0"/>
              <w:rPr>
                <w:rStyle w:val="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Emphasis"/>
                <w:rFonts w:asciiTheme="minorHAnsi" w:hAnsiTheme="minorHAnsi"/>
                <w:i w:val="0"/>
                <w:color w:val="auto"/>
              </w:rPr>
              <w:t>Communication planning</w:t>
            </w:r>
          </w:p>
          <w:p w14:paraId="3B2408DC" w14:textId="77777777" w:rsidR="00644A0F" w:rsidRDefault="00644A0F">
            <w:pPr>
              <w:pStyle w:val="ListParagraph"/>
              <w:spacing w:line="240" w:lineRule="auto"/>
              <w:ind w:left="0"/>
              <w:rPr>
                <w:rStyle w:val="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Emphasis"/>
                <w:rFonts w:asciiTheme="minorHAnsi" w:hAnsiTheme="minorHAnsi"/>
                <w:i w:val="0"/>
                <w:color w:val="auto"/>
              </w:rPr>
              <w:t>Policy implementation guidance</w:t>
            </w:r>
          </w:p>
          <w:p w14:paraId="7074B560" w14:textId="77777777" w:rsidR="00644A0F" w:rsidRDefault="00644A0F">
            <w:pPr>
              <w:pStyle w:val="ListParagraph"/>
              <w:spacing w:line="240" w:lineRule="auto"/>
              <w:ind w:left="0"/>
              <w:rPr>
                <w:rStyle w:val="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Emphasis"/>
                <w:rFonts w:asciiTheme="minorHAnsi" w:hAnsiTheme="minorHAnsi"/>
                <w:i w:val="0"/>
                <w:color w:val="auto"/>
              </w:rPr>
              <w:t xml:space="preserve">Operational guidelines, SOP development </w:t>
            </w:r>
          </w:p>
          <w:p w14:paraId="485F171D" w14:textId="77777777" w:rsidR="00644A0F" w:rsidRDefault="00644A0F">
            <w:pPr>
              <w:pStyle w:val="ListParagraph"/>
              <w:spacing w:line="240" w:lineRule="auto"/>
              <w:ind w:left="0"/>
              <w:rPr>
                <w:rStyle w:val="Emphasis"/>
                <w:rFonts w:asciiTheme="minorHAnsi" w:hAnsiTheme="minorHAnsi"/>
                <w:i w:val="0"/>
                <w:color w:val="auto"/>
              </w:rPr>
            </w:pPr>
            <w:r>
              <w:rPr>
                <w:rStyle w:val="Emphasis"/>
                <w:rFonts w:asciiTheme="minorHAnsi" w:hAnsiTheme="minorHAnsi"/>
                <w:i w:val="0"/>
                <w:color w:val="auto"/>
              </w:rPr>
              <w:t xml:space="preserve">M&amp;E in systems </w:t>
            </w:r>
          </w:p>
          <w:p w14:paraId="03069B77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lang w:val="en-US"/>
              </w:rPr>
            </w:pPr>
            <w:r>
              <w:rPr>
                <w:rStyle w:val="Emphasis"/>
                <w:rFonts w:asciiTheme="minorHAnsi" w:hAnsiTheme="minorHAnsi"/>
                <w:i w:val="0"/>
                <w:color w:val="auto"/>
              </w:rPr>
              <w:t>(ICDS /ISSNIP/ Nutrition Missions/ NHM/ RMNCH+A / SBM / SSA/RMSA / BBBP)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6D53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F30B2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BFB98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BBD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975DF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BE1BA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F5DC3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36D778B3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CF44A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7480F1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Capacity Development for C4D / SBCC (in sectors)</w:t>
            </w:r>
          </w:p>
          <w:p w14:paraId="38837106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Training needs assessment</w:t>
            </w:r>
          </w:p>
          <w:p w14:paraId="2593B3FF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Content / Material Development</w:t>
            </w:r>
          </w:p>
          <w:p w14:paraId="2E6CF5AF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Designing/ evaluating training programmes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A0F52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A80F9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2B589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B23F5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F4A04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75764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06C4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61C591CE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E43BF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B9AC44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IEC/ BCC Budgeting for Programmes – National and State level implementation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250D3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367E4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557BA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35E1D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E511B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A5917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8B0DB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6D2F05F8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77A47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9AEBF4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Community / Social Mobilization </w:t>
            </w:r>
          </w:p>
          <w:p w14:paraId="575ADAB6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Self Help Groups,</w:t>
            </w:r>
          </w:p>
          <w:p w14:paraId="5385679C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Panchayati Raj Institutions</w:t>
            </w:r>
          </w:p>
          <w:p w14:paraId="3FE4B04D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Child Protection Committees</w:t>
            </w:r>
          </w:p>
          <w:p w14:paraId="434C51A4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School Management Committees</w:t>
            </w:r>
          </w:p>
          <w:p w14:paraId="61E4C7FC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Health Platforms /Committees</w:t>
            </w:r>
          </w:p>
          <w:p w14:paraId="20D8EC5C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Faith-based institutions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048C8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505CF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CB848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67315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9A6B3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CF21A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09774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1C2DC5F9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4EA36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9A01D8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Tribal Programming – Social development programmes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58859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C7FBF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D8BD1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9AB10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4725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3FC7B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9B1F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05416D76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A87E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CA4BE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Urban programming – social development programmes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8E4FD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5A131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5A221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990D9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6ABE6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D72F2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F5FF8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44B465AB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0FC78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B24EB4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C4D and DRR:</w:t>
            </w:r>
          </w:p>
          <w:p w14:paraId="2B821154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Emergency Response</w:t>
            </w:r>
          </w:p>
          <w:p w14:paraId="37DF975C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Humanitarian Response</w:t>
            </w:r>
          </w:p>
          <w:p w14:paraId="17BE8814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Outbreak Response</w:t>
            </w:r>
          </w:p>
          <w:p w14:paraId="03773113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color w:val="auto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 xml:space="preserve">Community Feedback / Social Accountability 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25629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0157A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48DB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E49C7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12106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CB2D4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54C14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1F8654A6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D391F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753899" w14:textId="77777777" w:rsidR="00644A0F" w:rsidRDefault="00644A0F">
            <w:pPr>
              <w:pStyle w:val="ListParagraph"/>
              <w:spacing w:line="240" w:lineRule="auto"/>
              <w:ind w:left="0"/>
              <w:rPr>
                <w:rFonts w:asciiTheme="minorHAnsi" w:eastAsia="Times New Roman" w:hAnsiTheme="minorHAnsi" w:cs="Times New Roman"/>
                <w:b/>
                <w:i/>
                <w:color w:val="auto"/>
              </w:rPr>
            </w:pPr>
            <w:r>
              <w:rPr>
                <w:rStyle w:val="Emphasis"/>
                <w:rFonts w:asciiTheme="minorHAnsi" w:hAnsiTheme="minorHAnsi"/>
                <w:i w:val="0"/>
                <w:color w:val="auto"/>
              </w:rPr>
              <w:t>Documentation, Data Analysis and Stories/Articles Report writing for C4D / SBCC (Evidence Utilization / Monitoring and Evaluation / Knowledge Management)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9135B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878BB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C5C46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CC810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3F777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9480D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E00EC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644A0F" w14:paraId="7E00787F" w14:textId="77777777" w:rsidTr="00644A0F">
        <w:trPr>
          <w:gridAfter w:val="1"/>
          <w:wAfter w:w="8" w:type="pct"/>
          <w:trHeight w:val="281"/>
        </w:trPr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A21E4" w14:textId="77777777" w:rsidR="00644A0F" w:rsidRDefault="00644A0F" w:rsidP="003A63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A333DF" w14:textId="77777777" w:rsidR="00644A0F" w:rsidRDefault="00644A0F">
            <w:pPr>
              <w:pStyle w:val="ListParagraph"/>
              <w:spacing w:line="240" w:lineRule="auto"/>
              <w:ind w:left="0"/>
              <w:rPr>
                <w:rStyle w:val="Emphasis"/>
                <w:i w:val="0"/>
              </w:rPr>
            </w:pPr>
            <w:r>
              <w:rPr>
                <w:rStyle w:val="Emphasis"/>
                <w:rFonts w:asciiTheme="minorHAnsi" w:hAnsiTheme="minorHAnsi"/>
                <w:i w:val="0"/>
                <w:color w:val="auto"/>
              </w:rPr>
              <w:t>Partnership management on SBCC (Media, Academic institutes/universities, FBOs, CSOs, private sector, non-traditional partners etc.) and ICT for Behaviour Change/New Technologies</w:t>
            </w:r>
          </w:p>
        </w:tc>
        <w:tc>
          <w:tcPr>
            <w:tcW w:w="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9B839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3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D1DC0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B2DAF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47D58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992F3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76965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4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2F792" w14:textId="77777777" w:rsidR="00644A0F" w:rsidRDefault="00644A0F">
            <w:pPr>
              <w:pStyle w:val="ListParagraph"/>
              <w:spacing w:line="240" w:lineRule="auto"/>
              <w:ind w:left="0"/>
              <w:jc w:val="both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731BA5E2" w14:textId="77777777" w:rsidR="00644A0F" w:rsidRDefault="00644A0F" w:rsidP="00644A0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6B7B1C9" w14:textId="77777777" w:rsidR="00644A0F" w:rsidRDefault="00644A0F" w:rsidP="00644A0F">
      <w:pPr>
        <w:rPr>
          <w:rFonts w:ascii="Times New Roman" w:hAnsi="Times New Roman" w:cs="Times New Roman"/>
          <w:sz w:val="24"/>
          <w:szCs w:val="24"/>
        </w:rPr>
      </w:pPr>
    </w:p>
    <w:p w14:paraId="6C6ACC84" w14:textId="77777777" w:rsidR="008F21F7" w:rsidRDefault="008F21F7">
      <w:bookmarkStart w:id="0" w:name="_GoBack"/>
      <w:bookmarkEnd w:id="0"/>
    </w:p>
    <w:sectPr w:rsidR="008F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A0C"/>
    <w:multiLevelType w:val="hybridMultilevel"/>
    <w:tmpl w:val="1B18D8A0"/>
    <w:lvl w:ilvl="0" w:tplc="4002FA8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E"/>
    <w:rsid w:val="00347DFE"/>
    <w:rsid w:val="00644A0F"/>
    <w:rsid w:val="008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3F81D-6C61-40DE-AEBD-CEC810A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A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GLText List Paragraph Char,List Square Char,TOC style Char,Resume Title Char,Bullet Style Char,Bullet List Char,FooterText Char,Colorful List Accent 1 Char,numbered Char,Paragraphe de liste1 Char,列出段落 Char,列出段落1 Char,リスト段落1 Char"/>
    <w:link w:val="ListParagraph"/>
    <w:uiPriority w:val="34"/>
    <w:qFormat/>
    <w:locked/>
    <w:rsid w:val="00644A0F"/>
    <w:rPr>
      <w:rFonts w:ascii="Arial" w:eastAsia="Arial" w:hAnsi="Arial" w:cs="Arial"/>
      <w:color w:val="000000"/>
    </w:rPr>
  </w:style>
  <w:style w:type="paragraph" w:styleId="ListParagraph">
    <w:name w:val="List Paragraph"/>
    <w:aliases w:val="SGLText List Paragraph,List Square,TOC style,Resume Title,Bullet Style,Bullet List,FooterText,Colorful List Accent 1,numbered,Paragraphe de liste1,列出段落,列出段落1,Bulletr List Paragraph,List Paragraph2,List Paragraph21,Párrafo de lista1,リスト段落1"/>
    <w:basedOn w:val="Normal"/>
    <w:link w:val="ListParagraphChar"/>
    <w:uiPriority w:val="34"/>
    <w:qFormat/>
    <w:rsid w:val="00644A0F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644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44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Shine</dc:creator>
  <cp:keywords/>
  <dc:description/>
  <cp:lastModifiedBy>Joseph Shine</cp:lastModifiedBy>
  <cp:revision>2</cp:revision>
  <dcterms:created xsi:type="dcterms:W3CDTF">2019-04-04T10:16:00Z</dcterms:created>
  <dcterms:modified xsi:type="dcterms:W3CDTF">2019-04-04T10:16:00Z</dcterms:modified>
</cp:coreProperties>
</file>