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BE752" w14:textId="77777777" w:rsidR="00FC7F1B" w:rsidRDefault="00000000">
      <w:pPr>
        <w:jc w:val="center"/>
        <w:rPr>
          <w:rFonts w:asciiTheme="minorHAnsi" w:eastAsia="Times" w:hAnsiTheme="minorHAnsi" w:cstheme="minorHAnsi"/>
          <w:b/>
          <w:color w:val="0070C0"/>
          <w:szCs w:val="24"/>
          <w:lang w:val="fr-FR" w:eastAsia="en-GB"/>
        </w:rPr>
      </w:pPr>
      <w:r>
        <w:rPr>
          <w:rFonts w:asciiTheme="minorHAnsi" w:eastAsia="Times" w:hAnsiTheme="minorHAnsi" w:cstheme="minorHAnsi"/>
          <w:b/>
          <w:color w:val="0070C0"/>
          <w:szCs w:val="24"/>
          <w:lang w:val="fr-FR" w:eastAsia="en-GB"/>
        </w:rPr>
        <w:t>TERMES DE REFERENCE</w:t>
      </w:r>
    </w:p>
    <w:p w14:paraId="42862123" w14:textId="77777777" w:rsidR="00FC7F1B" w:rsidRDefault="00000000">
      <w:pPr>
        <w:jc w:val="center"/>
        <w:rPr>
          <w:rFonts w:asciiTheme="minorHAnsi" w:eastAsia="Times" w:hAnsiTheme="minorHAnsi" w:cstheme="minorHAnsi"/>
          <w:b/>
          <w:color w:val="0070C0"/>
          <w:szCs w:val="24"/>
          <w:lang w:val="fr-FR" w:eastAsia="en-GB"/>
        </w:rPr>
      </w:pPr>
      <w:r>
        <w:rPr>
          <w:rFonts w:asciiTheme="minorHAnsi" w:eastAsia="Times" w:hAnsiTheme="minorHAnsi" w:cstheme="minorHAnsi"/>
          <w:b/>
          <w:color w:val="0070C0"/>
          <w:szCs w:val="24"/>
          <w:lang w:val="fr-FR" w:eastAsia="en-GB"/>
        </w:rPr>
        <w:t>RECRUTEMENT D’UN CONSULTANT NATIONAL POUR L’EVALUATION FINALE DU PROGRAMME CONJOINT UNTFHS</w:t>
      </w:r>
    </w:p>
    <w:p w14:paraId="2EB20838" w14:textId="77777777" w:rsidR="00FC7F1B" w:rsidRDefault="00000000">
      <w:pPr>
        <w:tabs>
          <w:tab w:val="left" w:pos="2490"/>
          <w:tab w:val="left" w:pos="3080"/>
        </w:tabs>
        <w:jc w:val="both"/>
        <w:rPr>
          <w:rFonts w:asciiTheme="minorHAnsi" w:eastAsia="Times" w:hAnsiTheme="minorHAnsi" w:cstheme="minorHAnsi"/>
          <w:bCs/>
          <w:color w:val="000000"/>
          <w:szCs w:val="24"/>
          <w:lang w:val="fr-FR" w:eastAsia="en-GB"/>
        </w:rPr>
      </w:pPr>
      <w:r>
        <w:rPr>
          <w:rFonts w:asciiTheme="minorHAnsi" w:hAnsiTheme="minorHAnsi" w:cstheme="minorHAnsi"/>
          <w:noProof/>
        </w:rPr>
        <w:drawing>
          <wp:anchor distT="0" distB="0" distL="114300" distR="114300" simplePos="0" relativeHeight="251659264" behindDoc="0" locked="0" layoutInCell="1" allowOverlap="1" wp14:anchorId="1BF468A6" wp14:editId="0A5F5F15">
            <wp:simplePos x="0" y="0"/>
            <wp:positionH relativeFrom="column">
              <wp:posOffset>2001520</wp:posOffset>
            </wp:positionH>
            <wp:positionV relativeFrom="paragraph">
              <wp:posOffset>166370</wp:posOffset>
            </wp:positionV>
            <wp:extent cx="1729740" cy="511810"/>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29740" cy="511810"/>
                    </a:xfrm>
                    <a:prstGeom prst="rect">
                      <a:avLst/>
                    </a:prstGeom>
                    <a:noFill/>
                    <a:ln>
                      <a:noFill/>
                    </a:ln>
                  </pic:spPr>
                </pic:pic>
              </a:graphicData>
            </a:graphic>
          </wp:anchor>
        </w:drawing>
      </w:r>
    </w:p>
    <w:p w14:paraId="7EF21146" w14:textId="77777777" w:rsidR="00FC7F1B" w:rsidRDefault="00000000">
      <w:pPr>
        <w:tabs>
          <w:tab w:val="left" w:pos="2490"/>
          <w:tab w:val="left" w:pos="3080"/>
        </w:tabs>
        <w:jc w:val="both"/>
        <w:rPr>
          <w:rFonts w:asciiTheme="minorHAnsi" w:eastAsia="Times" w:hAnsiTheme="minorHAnsi" w:cstheme="minorHAnsi"/>
          <w:bCs/>
          <w:color w:val="000000"/>
          <w:szCs w:val="24"/>
          <w:lang w:val="fr-FR" w:eastAsia="en-GB"/>
        </w:rPr>
      </w:pPr>
      <w:r>
        <w:rPr>
          <w:rFonts w:asciiTheme="minorHAnsi" w:hAnsiTheme="minorHAnsi" w:cstheme="minorHAnsi"/>
          <w:noProof/>
        </w:rPr>
        <w:drawing>
          <wp:anchor distT="0" distB="0" distL="114300" distR="114300" simplePos="0" relativeHeight="251665408" behindDoc="1" locked="0" layoutInCell="1" allowOverlap="1" wp14:anchorId="07CF53A4" wp14:editId="37C87818">
            <wp:simplePos x="0" y="0"/>
            <wp:positionH relativeFrom="column">
              <wp:posOffset>385445</wp:posOffset>
            </wp:positionH>
            <wp:positionV relativeFrom="paragraph">
              <wp:posOffset>655320</wp:posOffset>
            </wp:positionV>
            <wp:extent cx="2145665" cy="421640"/>
            <wp:effectExtent l="0" t="0" r="6985" b="16510"/>
            <wp:wrapThrough wrapText="bothSides">
              <wp:wrapPolygon edited="0">
                <wp:start x="0" y="0"/>
                <wp:lineTo x="0" y="20494"/>
                <wp:lineTo x="21479" y="20494"/>
                <wp:lineTo x="21479" y="0"/>
                <wp:lineTo x="0" y="0"/>
              </wp:wrapPolygon>
            </wp:wrapThrough>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pic:cNvPicPr>
                  </pic:nvPicPr>
                  <pic:blipFill>
                    <a:blip r:embed="rId13"/>
                    <a:stretch>
                      <a:fillRect/>
                    </a:stretch>
                  </pic:blipFill>
                  <pic:spPr>
                    <a:xfrm>
                      <a:off x="0" y="0"/>
                      <a:ext cx="2145665" cy="421640"/>
                    </a:xfrm>
                    <a:prstGeom prst="rect">
                      <a:avLst/>
                    </a:prstGeom>
                    <a:noFill/>
                    <a:ln>
                      <a:noFill/>
                    </a:ln>
                  </pic:spPr>
                </pic:pic>
              </a:graphicData>
            </a:graphic>
          </wp:anchor>
        </w:drawing>
      </w:r>
      <w:r>
        <w:rPr>
          <w:rFonts w:asciiTheme="minorHAnsi" w:hAnsiTheme="minorHAnsi" w:cstheme="minorHAnsi"/>
          <w:noProof/>
        </w:rPr>
        <w:drawing>
          <wp:anchor distT="0" distB="0" distL="114300" distR="114300" simplePos="0" relativeHeight="251666432" behindDoc="1" locked="0" layoutInCell="1" allowOverlap="1" wp14:anchorId="20B40F6E" wp14:editId="36C0B937">
            <wp:simplePos x="0" y="0"/>
            <wp:positionH relativeFrom="column">
              <wp:posOffset>3020060</wp:posOffset>
            </wp:positionH>
            <wp:positionV relativeFrom="paragraph">
              <wp:posOffset>631190</wp:posOffset>
            </wp:positionV>
            <wp:extent cx="1163320" cy="591185"/>
            <wp:effectExtent l="0" t="0" r="0" b="0"/>
            <wp:wrapTight wrapText="bothSides">
              <wp:wrapPolygon edited="0">
                <wp:start x="0" y="0"/>
                <wp:lineTo x="0" y="20881"/>
                <wp:lineTo x="21223" y="20881"/>
                <wp:lineTo x="2122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4"/>
                    <a:stretch>
                      <a:fillRect/>
                    </a:stretch>
                  </pic:blipFill>
                  <pic:spPr>
                    <a:xfrm>
                      <a:off x="0" y="0"/>
                      <a:ext cx="1163320" cy="591185"/>
                    </a:xfrm>
                    <a:prstGeom prst="rect">
                      <a:avLst/>
                    </a:prstGeom>
                  </pic:spPr>
                </pic:pic>
              </a:graphicData>
            </a:graphic>
          </wp:anchor>
        </w:drawing>
      </w:r>
      <w:r>
        <w:rPr>
          <w:rFonts w:asciiTheme="minorHAnsi" w:hAnsiTheme="minorHAnsi" w:cstheme="minorHAnsi"/>
          <w:noProof/>
        </w:rPr>
        <w:drawing>
          <wp:anchor distT="0" distB="0" distL="114300" distR="114300" simplePos="0" relativeHeight="251660288" behindDoc="0" locked="0" layoutInCell="1" allowOverlap="1" wp14:anchorId="1A8E4D0C" wp14:editId="602E8592">
            <wp:simplePos x="0" y="0"/>
            <wp:positionH relativeFrom="margin">
              <wp:posOffset>-692785</wp:posOffset>
            </wp:positionH>
            <wp:positionV relativeFrom="page">
              <wp:posOffset>2500630</wp:posOffset>
            </wp:positionV>
            <wp:extent cx="914400" cy="393700"/>
            <wp:effectExtent l="0" t="0" r="0" b="0"/>
            <wp:wrapThrough wrapText="bothSides">
              <wp:wrapPolygon edited="0">
                <wp:start x="3150" y="2090"/>
                <wp:lineTo x="2250" y="6271"/>
                <wp:lineTo x="1800" y="18813"/>
                <wp:lineTo x="19350" y="18813"/>
                <wp:lineTo x="19350" y="2090"/>
                <wp:lineTo x="3150" y="2090"/>
              </wp:wrapPolygon>
            </wp:wrapThrough>
            <wp:docPr id="874981461" name="Imag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981461" name="Image 1" descr="Logo, company nam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14400" cy="393700"/>
                    </a:xfrm>
                    <a:prstGeom prst="rect">
                      <a:avLst/>
                    </a:prstGeom>
                    <a:noFill/>
                    <a:ln>
                      <a:noFill/>
                    </a:ln>
                  </pic:spPr>
                </pic:pic>
              </a:graphicData>
            </a:graphic>
          </wp:anchor>
        </w:drawing>
      </w:r>
      <w:r>
        <w:rPr>
          <w:rFonts w:asciiTheme="minorHAnsi" w:hAnsiTheme="minorHAnsi" w:cstheme="minorHAnsi"/>
          <w:b/>
          <w:noProof/>
          <w:sz w:val="20"/>
        </w:rPr>
        <w:drawing>
          <wp:anchor distT="0" distB="0" distL="114300" distR="114300" simplePos="0" relativeHeight="251663360" behindDoc="0" locked="0" layoutInCell="1" allowOverlap="1" wp14:anchorId="73C7256D" wp14:editId="39F3BC50">
            <wp:simplePos x="0" y="0"/>
            <wp:positionH relativeFrom="margin">
              <wp:posOffset>4650105</wp:posOffset>
            </wp:positionH>
            <wp:positionV relativeFrom="paragraph">
              <wp:posOffset>697865</wp:posOffset>
            </wp:positionV>
            <wp:extent cx="1862455" cy="304800"/>
            <wp:effectExtent l="0" t="0" r="4445" b="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62455" cy="304800"/>
                    </a:xfrm>
                    <a:prstGeom prst="rect">
                      <a:avLst/>
                    </a:prstGeom>
                    <a:noFill/>
                    <a:ln>
                      <a:noFill/>
                    </a:ln>
                  </pic:spPr>
                </pic:pic>
              </a:graphicData>
            </a:graphic>
          </wp:anchor>
        </w:drawing>
      </w:r>
      <w:r>
        <w:rPr>
          <w:rFonts w:asciiTheme="minorHAnsi" w:eastAsia="Times" w:hAnsiTheme="minorHAnsi" w:cstheme="minorHAnsi"/>
          <w:bCs/>
          <w:color w:val="000000"/>
          <w:szCs w:val="24"/>
          <w:lang w:val="fr-FR" w:eastAsia="en-GB"/>
        </w:rPr>
        <w:tab/>
      </w:r>
      <w:r>
        <w:rPr>
          <w:rFonts w:asciiTheme="minorHAnsi" w:eastAsia="Times" w:hAnsiTheme="minorHAnsi" w:cstheme="minorHAnsi"/>
          <w:bCs/>
          <w:color w:val="000000"/>
          <w:szCs w:val="24"/>
          <w:lang w:val="fr-FR" w:eastAsia="en-GB"/>
        </w:rPr>
        <w:tab/>
      </w:r>
      <w:r>
        <w:rPr>
          <w:rFonts w:asciiTheme="minorHAnsi" w:eastAsia="Times" w:hAnsiTheme="minorHAnsi" w:cstheme="minorHAnsi"/>
          <w:bCs/>
          <w:color w:val="000000"/>
          <w:szCs w:val="24"/>
          <w:lang w:val="fr-FR" w:eastAsia="en-GB"/>
        </w:rPr>
        <w:br w:type="textWrapping" w:clear="all"/>
      </w:r>
    </w:p>
    <w:tbl>
      <w:tblPr>
        <w:tblStyle w:val="TableGrid"/>
        <w:tblW w:w="0" w:type="auto"/>
        <w:tblLook w:val="04A0" w:firstRow="1" w:lastRow="0" w:firstColumn="1" w:lastColumn="0" w:noHBand="0" w:noVBand="1"/>
      </w:tblPr>
      <w:tblGrid>
        <w:gridCol w:w="4669"/>
        <w:gridCol w:w="2976"/>
      </w:tblGrid>
      <w:tr w:rsidR="00FC7F1B" w:rsidRPr="009B3F45" w14:paraId="2BBE1603" w14:textId="77777777">
        <w:tc>
          <w:tcPr>
            <w:tcW w:w="4669" w:type="dxa"/>
          </w:tcPr>
          <w:p w14:paraId="278DAED4" w14:textId="77777777" w:rsidR="00FC7F1B" w:rsidRDefault="00000000">
            <w:pPr>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 xml:space="preserve">Évaluation du projet d’approche intégrée basée sur la sécurité humaine au Gabon – Financement UNTFHS </w:t>
            </w:r>
          </w:p>
        </w:tc>
        <w:tc>
          <w:tcPr>
            <w:tcW w:w="2976" w:type="dxa"/>
          </w:tcPr>
          <w:p w14:paraId="0178D35C" w14:textId="77777777" w:rsidR="00FC7F1B" w:rsidRDefault="00000000">
            <w:pPr>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 xml:space="preserve">Agences partenaires du projet : </w:t>
            </w:r>
          </w:p>
          <w:p w14:paraId="135129D2" w14:textId="77777777" w:rsidR="00FC7F1B" w:rsidRDefault="00000000">
            <w:pPr>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 xml:space="preserve">OIM, UNHCR, UNICEF UNODC, </w:t>
            </w:r>
          </w:p>
        </w:tc>
      </w:tr>
      <w:tr w:rsidR="00FC7F1B" w14:paraId="359F1BE1" w14:textId="77777777">
        <w:tc>
          <w:tcPr>
            <w:tcW w:w="4669" w:type="dxa"/>
          </w:tcPr>
          <w:p w14:paraId="365F4353" w14:textId="77777777" w:rsidR="00FC7F1B" w:rsidRDefault="00000000">
            <w:pPr>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Niveau professionnel du consultant : NOC/P3</w:t>
            </w:r>
          </w:p>
        </w:tc>
        <w:tc>
          <w:tcPr>
            <w:tcW w:w="2976" w:type="dxa"/>
          </w:tcPr>
          <w:p w14:paraId="7FA69B41" w14:textId="77777777" w:rsidR="00FC7F1B" w:rsidRDefault="00000000">
            <w:pPr>
              <w:rPr>
                <w:rFonts w:asciiTheme="minorHAnsi" w:eastAsia="Times" w:hAnsiTheme="minorHAnsi" w:cstheme="minorHAnsi"/>
                <w:bCs/>
                <w:color w:val="000000"/>
                <w:szCs w:val="24"/>
                <w:lang w:eastAsia="en-GB"/>
              </w:rPr>
            </w:pPr>
            <w:proofErr w:type="spellStart"/>
            <w:r>
              <w:rPr>
                <w:rFonts w:asciiTheme="minorHAnsi" w:eastAsia="Times" w:hAnsiTheme="minorHAnsi" w:cstheme="minorHAnsi"/>
                <w:bCs/>
                <w:color w:val="000000"/>
                <w:szCs w:val="24"/>
                <w:lang w:eastAsia="en-GB"/>
              </w:rPr>
              <w:t>Période</w:t>
            </w:r>
            <w:proofErr w:type="spellEnd"/>
            <w:r>
              <w:rPr>
                <w:rFonts w:asciiTheme="minorHAnsi" w:eastAsia="Times" w:hAnsiTheme="minorHAnsi" w:cstheme="minorHAnsi"/>
                <w:bCs/>
                <w:color w:val="000000"/>
                <w:szCs w:val="24"/>
                <w:lang w:eastAsia="en-GB"/>
              </w:rPr>
              <w:t xml:space="preserve">: </w:t>
            </w:r>
            <w:proofErr w:type="spellStart"/>
            <w:r>
              <w:rPr>
                <w:rFonts w:asciiTheme="minorHAnsi" w:eastAsia="Times" w:hAnsiTheme="minorHAnsi" w:cstheme="minorHAnsi"/>
                <w:bCs/>
                <w:color w:val="000000"/>
                <w:szCs w:val="24"/>
                <w:lang w:eastAsia="en-GB"/>
              </w:rPr>
              <w:t>Octobre-novembre</w:t>
            </w:r>
            <w:proofErr w:type="spellEnd"/>
            <w:r>
              <w:rPr>
                <w:rFonts w:asciiTheme="minorHAnsi" w:eastAsia="Times" w:hAnsiTheme="minorHAnsi" w:cstheme="minorHAnsi"/>
                <w:bCs/>
                <w:color w:val="000000"/>
                <w:szCs w:val="24"/>
                <w:lang w:eastAsia="en-GB"/>
              </w:rPr>
              <w:t xml:space="preserve"> 2023</w:t>
            </w:r>
          </w:p>
        </w:tc>
      </w:tr>
      <w:tr w:rsidR="00FC7F1B" w14:paraId="1779BC71" w14:textId="77777777">
        <w:tc>
          <w:tcPr>
            <w:tcW w:w="4669" w:type="dxa"/>
          </w:tcPr>
          <w:p w14:paraId="33FD459B" w14:textId="77777777" w:rsidR="00FC7F1B" w:rsidRDefault="00000000">
            <w:pPr>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Lieu de consultation : Libreville Gabon</w:t>
            </w:r>
          </w:p>
        </w:tc>
        <w:tc>
          <w:tcPr>
            <w:tcW w:w="2976" w:type="dxa"/>
          </w:tcPr>
          <w:p w14:paraId="16640DFF" w14:textId="77777777" w:rsidR="00FC7F1B" w:rsidRDefault="00000000">
            <w:pPr>
              <w:rPr>
                <w:rFonts w:asciiTheme="minorHAnsi" w:eastAsia="Times" w:hAnsiTheme="minorHAnsi" w:cstheme="minorHAnsi"/>
                <w:bCs/>
                <w:color w:val="000000"/>
                <w:szCs w:val="24"/>
                <w:lang w:eastAsia="en-GB"/>
              </w:rPr>
            </w:pPr>
            <w:r>
              <w:rPr>
                <w:rFonts w:asciiTheme="minorHAnsi" w:eastAsia="Times" w:hAnsiTheme="minorHAnsi" w:cstheme="minorHAnsi"/>
                <w:bCs/>
                <w:color w:val="000000"/>
                <w:szCs w:val="24"/>
                <w:lang w:eastAsia="en-GB"/>
              </w:rPr>
              <w:t>WBS: 1530/A0/06/002/003/010</w:t>
            </w:r>
          </w:p>
        </w:tc>
      </w:tr>
    </w:tbl>
    <w:p w14:paraId="343EF57F" w14:textId="77777777" w:rsidR="00FC7F1B" w:rsidRDefault="00FC7F1B">
      <w:pPr>
        <w:jc w:val="both"/>
        <w:rPr>
          <w:rFonts w:asciiTheme="minorHAnsi" w:eastAsia="Times" w:hAnsiTheme="minorHAnsi" w:cstheme="minorHAnsi"/>
          <w:bCs/>
          <w:color w:val="000000"/>
          <w:szCs w:val="24"/>
          <w:lang w:eastAsia="en-GB"/>
        </w:rPr>
      </w:pPr>
    </w:p>
    <w:p w14:paraId="6E5CD6AF" w14:textId="77777777" w:rsidR="00FC7F1B" w:rsidRDefault="00000000">
      <w:pPr>
        <w:numPr>
          <w:ilvl w:val="0"/>
          <w:numId w:val="1"/>
        </w:numPr>
        <w:jc w:val="both"/>
        <w:rPr>
          <w:rFonts w:asciiTheme="minorHAnsi" w:eastAsia="Times" w:hAnsiTheme="minorHAnsi" w:cstheme="minorHAnsi"/>
          <w:b/>
          <w:color w:val="0070C0"/>
          <w:szCs w:val="24"/>
          <w:lang w:eastAsia="en-GB"/>
        </w:rPr>
      </w:pPr>
      <w:proofErr w:type="spellStart"/>
      <w:r>
        <w:rPr>
          <w:rFonts w:asciiTheme="minorHAnsi" w:eastAsia="Times" w:hAnsiTheme="minorHAnsi" w:cstheme="minorHAnsi"/>
          <w:b/>
          <w:color w:val="0070C0"/>
          <w:szCs w:val="24"/>
          <w:lang w:eastAsia="en-GB"/>
        </w:rPr>
        <w:t>Objet</w:t>
      </w:r>
      <w:proofErr w:type="spellEnd"/>
      <w:r>
        <w:rPr>
          <w:rFonts w:asciiTheme="minorHAnsi" w:eastAsia="Times" w:hAnsiTheme="minorHAnsi" w:cstheme="minorHAnsi"/>
          <w:b/>
          <w:color w:val="0070C0"/>
          <w:szCs w:val="24"/>
          <w:lang w:eastAsia="en-GB"/>
        </w:rPr>
        <w:t xml:space="preserve"> de </w:t>
      </w:r>
      <w:proofErr w:type="spellStart"/>
      <w:r>
        <w:rPr>
          <w:rFonts w:asciiTheme="minorHAnsi" w:eastAsia="Times" w:hAnsiTheme="minorHAnsi" w:cstheme="minorHAnsi"/>
          <w:b/>
          <w:color w:val="0070C0"/>
          <w:szCs w:val="24"/>
          <w:lang w:eastAsia="en-GB"/>
        </w:rPr>
        <w:t>l’évaluation</w:t>
      </w:r>
      <w:proofErr w:type="spellEnd"/>
    </w:p>
    <w:p w14:paraId="7AA4F7B3" w14:textId="77777777" w:rsidR="00FC7F1B" w:rsidRDefault="00000000">
      <w:pPr>
        <w:jc w:val="both"/>
        <w:rPr>
          <w:rFonts w:asciiTheme="minorHAnsi" w:eastAsia="TimesNewRomanPS-BoldMT" w:hAnsiTheme="minorHAnsi" w:cstheme="minorHAnsi"/>
          <w:color w:val="000000"/>
          <w:szCs w:val="24"/>
          <w:lang w:val="fr-FR" w:eastAsia="zh-CN" w:bidi="ar"/>
        </w:rPr>
      </w:pPr>
      <w:r>
        <w:rPr>
          <w:rFonts w:asciiTheme="minorHAnsi" w:eastAsia="Times" w:hAnsiTheme="minorHAnsi" w:cstheme="minorHAnsi"/>
          <w:bCs/>
          <w:color w:val="000000"/>
          <w:szCs w:val="24"/>
          <w:lang w:val="fr-FR" w:eastAsia="en-GB"/>
        </w:rPr>
        <w:t>Les agences des Nations Unies, ci-dessus cités, qui ont un champ de compétence en migration-mixte</w:t>
      </w:r>
      <w:r>
        <w:rPr>
          <w:rStyle w:val="FootnoteReference"/>
          <w:rFonts w:asciiTheme="minorHAnsi" w:eastAsia="Times" w:hAnsiTheme="minorHAnsi" w:cstheme="minorHAnsi"/>
          <w:bCs/>
          <w:color w:val="000000"/>
          <w:szCs w:val="24"/>
          <w:lang w:val="fr-FR" w:eastAsia="en-GB"/>
        </w:rPr>
        <w:footnoteReference w:id="1"/>
      </w:r>
      <w:r>
        <w:rPr>
          <w:rFonts w:asciiTheme="minorHAnsi" w:eastAsia="Times" w:hAnsiTheme="minorHAnsi" w:cstheme="minorHAnsi"/>
          <w:bCs/>
          <w:color w:val="000000"/>
          <w:szCs w:val="24"/>
          <w:lang w:val="fr-FR" w:eastAsia="en-GB"/>
        </w:rPr>
        <w:t xml:space="preserve">, droits des personnes réfugiées et traite des personnes ont reçu du Fonds des Nations Unies pour la Sécurité Humaine (en abrégée UNTFHS) un appui financier pour réaliser des interventions avec l’Etat Gabonais et la société civile. Le projet soumis comprenait deux documents essentiels : Une note conceptuelle soumise le 26 octobre 2020 et un projet complet de levée de fonds soumis le 15 février 2021 par le Coordonnateur Résident des Agences du Système des Nations Unies au Gabon. </w:t>
      </w:r>
      <w:r>
        <w:rPr>
          <w:rFonts w:asciiTheme="minorHAnsi" w:eastAsia="Times" w:hAnsiTheme="minorHAnsi" w:cstheme="minorHAnsi"/>
          <w:bCs/>
          <w:color w:val="000000"/>
          <w:szCs w:val="24"/>
          <w:lang w:eastAsia="en-GB"/>
        </w:rPr>
        <w:t xml:space="preserve">Le </w:t>
      </w:r>
      <w:proofErr w:type="spellStart"/>
      <w:r>
        <w:rPr>
          <w:rFonts w:asciiTheme="minorHAnsi" w:eastAsia="Times" w:hAnsiTheme="minorHAnsi" w:cstheme="minorHAnsi"/>
          <w:bCs/>
          <w:color w:val="000000"/>
          <w:szCs w:val="24"/>
          <w:lang w:eastAsia="en-GB"/>
        </w:rPr>
        <w:t>projet</w:t>
      </w:r>
      <w:proofErr w:type="spellEnd"/>
      <w:r>
        <w:rPr>
          <w:rFonts w:asciiTheme="minorHAnsi" w:eastAsia="Times" w:hAnsiTheme="minorHAnsi" w:cstheme="minorHAnsi"/>
          <w:bCs/>
          <w:color w:val="000000"/>
          <w:szCs w:val="24"/>
          <w:lang w:eastAsia="en-GB"/>
        </w:rPr>
        <w:t xml:space="preserve"> </w:t>
      </w:r>
      <w:proofErr w:type="spellStart"/>
      <w:r>
        <w:rPr>
          <w:rFonts w:asciiTheme="minorHAnsi" w:eastAsia="Times" w:hAnsiTheme="minorHAnsi" w:cstheme="minorHAnsi"/>
          <w:bCs/>
          <w:color w:val="000000"/>
          <w:szCs w:val="24"/>
          <w:lang w:eastAsia="en-GB"/>
        </w:rPr>
        <w:t>portait</w:t>
      </w:r>
      <w:proofErr w:type="spellEnd"/>
      <w:r>
        <w:rPr>
          <w:rFonts w:asciiTheme="minorHAnsi" w:eastAsia="Times" w:hAnsiTheme="minorHAnsi" w:cstheme="minorHAnsi"/>
          <w:bCs/>
          <w:color w:val="000000"/>
          <w:szCs w:val="24"/>
          <w:lang w:eastAsia="en-GB"/>
        </w:rPr>
        <w:t xml:space="preserve"> le </w:t>
      </w:r>
      <w:proofErr w:type="spellStart"/>
      <w:r>
        <w:rPr>
          <w:rFonts w:asciiTheme="minorHAnsi" w:eastAsia="Times" w:hAnsiTheme="minorHAnsi" w:cstheme="minorHAnsi"/>
          <w:bCs/>
          <w:color w:val="000000"/>
          <w:szCs w:val="24"/>
          <w:lang w:eastAsia="en-GB"/>
        </w:rPr>
        <w:t>titre</w:t>
      </w:r>
      <w:proofErr w:type="spellEnd"/>
      <w:r>
        <w:rPr>
          <w:rFonts w:asciiTheme="minorHAnsi" w:eastAsia="Times" w:hAnsiTheme="minorHAnsi" w:cstheme="minorHAnsi"/>
          <w:bCs/>
          <w:color w:val="000000"/>
          <w:szCs w:val="24"/>
          <w:lang w:eastAsia="en-GB"/>
        </w:rPr>
        <w:t xml:space="preserve"> original </w:t>
      </w:r>
      <w:proofErr w:type="spellStart"/>
      <w:r>
        <w:rPr>
          <w:rFonts w:asciiTheme="minorHAnsi" w:eastAsia="Times" w:hAnsiTheme="minorHAnsi" w:cstheme="minorHAnsi"/>
          <w:bCs/>
          <w:color w:val="000000"/>
          <w:szCs w:val="24"/>
          <w:lang w:eastAsia="en-GB"/>
        </w:rPr>
        <w:t>en</w:t>
      </w:r>
      <w:proofErr w:type="spellEnd"/>
      <w:r>
        <w:rPr>
          <w:rFonts w:asciiTheme="minorHAnsi" w:eastAsia="Times" w:hAnsiTheme="minorHAnsi" w:cstheme="minorHAnsi"/>
          <w:bCs/>
          <w:color w:val="000000"/>
          <w:szCs w:val="24"/>
          <w:lang w:eastAsia="en-GB"/>
        </w:rPr>
        <w:t xml:space="preserve"> </w:t>
      </w:r>
      <w:proofErr w:type="spellStart"/>
      <w:r>
        <w:rPr>
          <w:rFonts w:asciiTheme="minorHAnsi" w:eastAsia="Times" w:hAnsiTheme="minorHAnsi" w:cstheme="minorHAnsi"/>
          <w:bCs/>
          <w:color w:val="000000"/>
          <w:szCs w:val="24"/>
          <w:lang w:eastAsia="en-GB"/>
        </w:rPr>
        <w:t>Anglais</w:t>
      </w:r>
      <w:proofErr w:type="spellEnd"/>
      <w:r>
        <w:rPr>
          <w:rFonts w:asciiTheme="minorHAnsi" w:eastAsia="Times" w:hAnsiTheme="minorHAnsi" w:cstheme="minorHAnsi"/>
          <w:bCs/>
          <w:color w:val="000000"/>
          <w:szCs w:val="24"/>
          <w:lang w:eastAsia="en-GB"/>
        </w:rPr>
        <w:t xml:space="preserve"> de “</w:t>
      </w:r>
      <w:r>
        <w:rPr>
          <w:rFonts w:asciiTheme="minorHAnsi" w:eastAsia="TimesNewRomanPS-BoldMT" w:hAnsiTheme="minorHAnsi" w:cstheme="minorHAnsi"/>
          <w:b/>
          <w:bCs/>
          <w:color w:val="000000"/>
          <w:szCs w:val="24"/>
          <w:lang w:eastAsia="zh-CN" w:bidi="ar"/>
        </w:rPr>
        <w:t>A Joint Human Security Approach to Strengthening Prevention of and Protection and Empowerment in Mixed Migration towards Gabon.</w:t>
      </w:r>
      <w:r>
        <w:rPr>
          <w:rFonts w:asciiTheme="minorHAnsi" w:eastAsia="TimesNewRomanPS-BoldMT" w:hAnsiTheme="minorHAnsi" w:cstheme="minorHAnsi"/>
          <w:color w:val="000000"/>
          <w:szCs w:val="24"/>
          <w:lang w:eastAsia="zh-CN" w:bidi="ar"/>
        </w:rPr>
        <w:t xml:space="preserve">” </w:t>
      </w:r>
      <w:r>
        <w:rPr>
          <w:rFonts w:asciiTheme="minorHAnsi" w:eastAsia="TimesNewRomanPS-BoldMT" w:hAnsiTheme="minorHAnsi" w:cstheme="minorHAnsi"/>
          <w:color w:val="000000"/>
          <w:szCs w:val="24"/>
          <w:lang w:val="fr-FR" w:eastAsia="zh-CN" w:bidi="ar"/>
        </w:rPr>
        <w:t>Le projet visait principalement à améliorer la gestion de la migration mixte au Gabon et soutenir le gouvernement à travers une approche intégrée basée sur la sécurité humaine pour mieux identifier et protéger les migrants ayant des besoins spécifiques, y compris les victimes de la traite des êtres humains. De plus, le programme devait aborder les problèmes des demandeurs d'asile non identifiés et des réfugiés des pays voisins confrontés à l'instabilité, notamment le Tchad (région du lac Tchad), la RCA et le Cameroun (régions du Nord-Ouest et du Sud-Ouest).</w:t>
      </w:r>
    </w:p>
    <w:p w14:paraId="25BF7F3F" w14:textId="77777777" w:rsidR="00FC7F1B" w:rsidRDefault="00FC7F1B">
      <w:pPr>
        <w:jc w:val="both"/>
        <w:rPr>
          <w:rFonts w:asciiTheme="minorHAnsi" w:eastAsia="TimesNewRomanPS-BoldMT" w:hAnsiTheme="minorHAnsi" w:cstheme="minorHAnsi"/>
          <w:color w:val="000000"/>
          <w:szCs w:val="24"/>
          <w:lang w:val="fr-FR" w:eastAsia="zh-CN" w:bidi="ar"/>
        </w:rPr>
      </w:pPr>
    </w:p>
    <w:p w14:paraId="3E81590C" w14:textId="77777777" w:rsidR="00FC7F1B" w:rsidRDefault="00000000">
      <w:pPr>
        <w:jc w:val="both"/>
        <w:rPr>
          <w:rFonts w:asciiTheme="minorHAnsi" w:eastAsia="TimesNewRomanPS-BoldMT" w:hAnsiTheme="minorHAnsi" w:cstheme="minorHAnsi"/>
          <w:color w:val="000000"/>
          <w:szCs w:val="24"/>
          <w:lang w:val="fr-FR" w:eastAsia="zh-CN" w:bidi="ar"/>
        </w:rPr>
      </w:pPr>
      <w:r>
        <w:rPr>
          <w:rFonts w:asciiTheme="minorHAnsi" w:eastAsia="TimesNewRomanPS-BoldMT" w:hAnsiTheme="minorHAnsi" w:cstheme="minorHAnsi"/>
          <w:color w:val="000000"/>
          <w:szCs w:val="24"/>
          <w:lang w:val="fr-FR" w:eastAsia="zh-CN" w:bidi="ar"/>
        </w:rPr>
        <w:t xml:space="preserve">Le projet devait durer du 1er avril 2021 au 1er octobre 2022, soit 18 mois. Cependant, à la demande des agences de mise en œuvre, </w:t>
      </w:r>
      <w:bookmarkStart w:id="0" w:name="_Hlk143361690"/>
      <w:r>
        <w:rPr>
          <w:rFonts w:asciiTheme="minorHAnsi" w:eastAsia="TimesNewRomanPS-BoldMT" w:hAnsiTheme="minorHAnsi" w:cstheme="minorHAnsi"/>
          <w:color w:val="000000"/>
          <w:szCs w:val="24"/>
          <w:lang w:val="fr-FR" w:eastAsia="zh-CN" w:bidi="ar"/>
        </w:rPr>
        <w:t>UNTFHS</w:t>
      </w:r>
      <w:bookmarkEnd w:id="0"/>
      <w:r>
        <w:rPr>
          <w:rFonts w:asciiTheme="minorHAnsi" w:eastAsia="TimesNewRomanPS-BoldMT" w:hAnsiTheme="minorHAnsi" w:cstheme="minorHAnsi"/>
          <w:color w:val="000000"/>
          <w:szCs w:val="24"/>
          <w:lang w:val="fr-FR" w:eastAsia="zh-CN" w:bidi="ar"/>
        </w:rPr>
        <w:t xml:space="preserve"> a autorisé une extension du projet jusqu’au 31 décembre </w:t>
      </w:r>
      <w:r>
        <w:rPr>
          <w:rFonts w:asciiTheme="minorHAnsi" w:eastAsia="TimesNewRomanPS-BoldMT" w:hAnsiTheme="minorHAnsi" w:cstheme="minorHAnsi"/>
          <w:color w:val="000000"/>
          <w:szCs w:val="24"/>
          <w:lang w:val="fr-FR" w:eastAsia="zh-CN" w:bidi="ar"/>
        </w:rPr>
        <w:lastRenderedPageBreak/>
        <w:t xml:space="preserve">2023. Le plan de travail conjoint entre OIM, UNHCR, UNICEF, et UNODC comprend des activités, des résultats attendus et des effets à produire sur le long terme. Le budget total était de $350,434 dont $298,814 (représentant 85% du budget total) fournis par UNTFHS. Le reste relevait de la contribution des agences et de l’Etat gabonais sous différentes formes d’investissement en faveur des enfants, des femmes et de tout migrant et/ou victime de </w:t>
      </w:r>
      <w:bookmarkStart w:id="1" w:name="_Hlk143362414"/>
      <w:r>
        <w:rPr>
          <w:rFonts w:asciiTheme="minorHAnsi" w:eastAsia="TimesNewRomanPS-BoldMT" w:hAnsiTheme="minorHAnsi" w:cstheme="minorHAnsi"/>
          <w:color w:val="000000"/>
          <w:szCs w:val="24"/>
          <w:lang w:val="fr-FR" w:eastAsia="zh-CN" w:bidi="ar"/>
        </w:rPr>
        <w:t>traite transfrontalière</w:t>
      </w:r>
      <w:bookmarkEnd w:id="1"/>
      <w:r>
        <w:rPr>
          <w:rFonts w:asciiTheme="minorHAnsi" w:eastAsia="TimesNewRomanPS-BoldMT" w:hAnsiTheme="minorHAnsi" w:cstheme="minorHAnsi"/>
          <w:color w:val="000000"/>
          <w:szCs w:val="24"/>
          <w:lang w:val="fr-FR" w:eastAsia="zh-CN" w:bidi="ar"/>
        </w:rPr>
        <w:t>.</w:t>
      </w:r>
    </w:p>
    <w:p w14:paraId="0341EDF1" w14:textId="77777777" w:rsidR="00FC7F1B" w:rsidRDefault="00000000">
      <w:pPr>
        <w:contextualSpacing/>
        <w:jc w:val="both"/>
        <w:rPr>
          <w:rFonts w:asciiTheme="minorHAnsi" w:eastAsia="TimesNewRomanPS-BoldMT" w:hAnsiTheme="minorHAnsi" w:cstheme="minorHAnsi"/>
          <w:color w:val="000000"/>
          <w:szCs w:val="24"/>
          <w:lang w:val="fr-FR" w:eastAsia="zh-CN" w:bidi="ar"/>
        </w:rPr>
      </w:pPr>
      <w:r>
        <w:rPr>
          <w:rFonts w:asciiTheme="minorHAnsi" w:eastAsia="TimesNewRomanPS-BoldMT" w:hAnsiTheme="minorHAnsi" w:cstheme="minorHAnsi"/>
          <w:color w:val="000000"/>
          <w:szCs w:val="24"/>
          <w:lang w:val="fr-FR" w:eastAsia="zh-CN" w:bidi="ar"/>
        </w:rPr>
        <w:t xml:space="preserve">Une théorie du changement et un cadre de résultats ont été développé. Sur base des consultations avec les parties prenantes, l’évaluateur devra mettre à jour la théorie du changement du projet ci-dessous. </w:t>
      </w:r>
    </w:p>
    <w:p w14:paraId="1351DC18" w14:textId="77777777" w:rsidR="00FC7F1B" w:rsidRDefault="00FC7F1B">
      <w:pPr>
        <w:contextualSpacing/>
        <w:jc w:val="both"/>
        <w:rPr>
          <w:rFonts w:asciiTheme="minorHAnsi" w:eastAsia="TimesNewRomanPS-BoldMT" w:hAnsiTheme="minorHAnsi" w:cstheme="minorHAnsi"/>
          <w:color w:val="000000"/>
          <w:szCs w:val="24"/>
          <w:lang w:val="fr-FR" w:eastAsia="zh-CN" w:bidi="ar"/>
        </w:rPr>
      </w:pPr>
    </w:p>
    <w:p w14:paraId="46753846" w14:textId="77777777" w:rsidR="00FC7F1B" w:rsidRDefault="00000000">
      <w:pPr>
        <w:jc w:val="both"/>
        <w:rPr>
          <w:rFonts w:asciiTheme="minorHAnsi" w:eastAsia="TimesNewRomanPS-BoldMT" w:hAnsiTheme="minorHAnsi" w:cstheme="minorHAnsi"/>
          <w:color w:val="000000"/>
          <w:szCs w:val="24"/>
          <w:lang w:val="fr-FR" w:eastAsia="zh-CN" w:bidi="ar"/>
        </w:rPr>
      </w:pPr>
      <w:r>
        <w:rPr>
          <w:rFonts w:asciiTheme="minorHAnsi" w:eastAsia="TimesNewRomanPS-BoldMT" w:hAnsiTheme="minorHAnsi" w:cstheme="minorHAnsi"/>
          <w:color w:val="000000"/>
          <w:szCs w:val="24"/>
          <w:lang w:val="fr-FR" w:eastAsia="zh-CN" w:bidi="ar"/>
        </w:rPr>
        <w:t>Le plan de travail et de suivi des résultats se structure autour de deux objectifs à savoir :</w:t>
      </w:r>
    </w:p>
    <w:p w14:paraId="19FC9EB6" w14:textId="77777777" w:rsidR="00FC7F1B" w:rsidRDefault="00000000">
      <w:pPr>
        <w:jc w:val="both"/>
        <w:rPr>
          <w:rFonts w:asciiTheme="minorHAnsi" w:eastAsia="TimesNewRomanPS-BoldMT" w:hAnsiTheme="minorHAnsi" w:cstheme="minorHAnsi"/>
          <w:color w:val="000000"/>
          <w:szCs w:val="24"/>
          <w:lang w:val="fr-FR" w:eastAsia="zh-CN" w:bidi="ar"/>
        </w:rPr>
      </w:pPr>
      <w:r>
        <w:rPr>
          <w:rFonts w:asciiTheme="minorHAnsi" w:eastAsia="TimesNewRomanPS-BoldMT" w:hAnsiTheme="minorHAnsi" w:cstheme="minorHAnsi"/>
          <w:color w:val="000000"/>
          <w:szCs w:val="24"/>
          <w:lang w:val="fr-FR" w:eastAsia="zh-CN" w:bidi="ar"/>
        </w:rPr>
        <w:t>1) Objectif (</w:t>
      </w:r>
      <w:proofErr w:type="spellStart"/>
      <w:r>
        <w:rPr>
          <w:rFonts w:asciiTheme="minorHAnsi" w:eastAsia="TimesNewRomanPS-BoldMT" w:hAnsiTheme="minorHAnsi" w:cstheme="minorHAnsi"/>
          <w:color w:val="000000"/>
          <w:szCs w:val="24"/>
          <w:lang w:val="fr-FR" w:eastAsia="zh-CN" w:bidi="ar"/>
        </w:rPr>
        <w:t>Outcome</w:t>
      </w:r>
      <w:proofErr w:type="spellEnd"/>
      <w:r>
        <w:rPr>
          <w:rFonts w:asciiTheme="minorHAnsi" w:eastAsia="TimesNewRomanPS-BoldMT" w:hAnsiTheme="minorHAnsi" w:cstheme="minorHAnsi"/>
          <w:color w:val="000000"/>
          <w:szCs w:val="24"/>
          <w:lang w:val="fr-FR" w:eastAsia="zh-CN" w:bidi="ar"/>
        </w:rPr>
        <w:t>) 1 : une protection renforcée des femmes, hommes et enfants vulnérables pris dans la spirale de la migration mixte et de la traite des êtres humains, à travers un cadre normatif et juridique amélioré au niveau national et une sensibilisation accrue de ces groupes sur leurs droits, selon leurs statuts.</w:t>
      </w:r>
    </w:p>
    <w:p w14:paraId="0B617853" w14:textId="77777777" w:rsidR="00FC7F1B" w:rsidRDefault="00000000">
      <w:pPr>
        <w:jc w:val="both"/>
        <w:rPr>
          <w:rFonts w:asciiTheme="minorHAnsi" w:eastAsia="TimesNewRomanPS-BoldMT" w:hAnsiTheme="minorHAnsi" w:cstheme="minorHAnsi"/>
          <w:color w:val="000000"/>
          <w:szCs w:val="24"/>
          <w:lang w:val="fr-FR" w:eastAsia="zh-CN" w:bidi="ar"/>
        </w:rPr>
      </w:pPr>
      <w:r>
        <w:rPr>
          <w:rFonts w:asciiTheme="minorHAnsi" w:eastAsia="TimesNewRomanPS-BoldMT" w:hAnsiTheme="minorHAnsi" w:cstheme="minorHAnsi"/>
          <w:color w:val="000000"/>
          <w:szCs w:val="24"/>
          <w:lang w:val="fr-FR" w:eastAsia="zh-CN" w:bidi="ar"/>
        </w:rPr>
        <w:t>2) Objectif (</w:t>
      </w:r>
      <w:proofErr w:type="spellStart"/>
      <w:r>
        <w:rPr>
          <w:rFonts w:asciiTheme="minorHAnsi" w:eastAsia="TimesNewRomanPS-BoldMT" w:hAnsiTheme="minorHAnsi" w:cstheme="minorHAnsi"/>
          <w:color w:val="000000"/>
          <w:szCs w:val="24"/>
          <w:lang w:val="fr-FR" w:eastAsia="zh-CN" w:bidi="ar"/>
        </w:rPr>
        <w:t>Outcome</w:t>
      </w:r>
      <w:proofErr w:type="spellEnd"/>
      <w:r>
        <w:rPr>
          <w:rFonts w:asciiTheme="minorHAnsi" w:eastAsia="TimesNewRomanPS-BoldMT" w:hAnsiTheme="minorHAnsi" w:cstheme="minorHAnsi"/>
          <w:color w:val="000000"/>
          <w:szCs w:val="24"/>
          <w:lang w:val="fr-FR" w:eastAsia="zh-CN" w:bidi="ar"/>
        </w:rPr>
        <w:t xml:space="preserve">) 2 :  une autonomisation plus forte des réfugiés, des demandeurs d'asile, des victimes de la traite des êtres humains, des migrants mixtes et de leurs communautés au Gabon, à travers des campagnes de sensibilisation au sein de ces communautés, des institutions étatiques, des OSC, de la collecte de données et de la vulgarisation de ces données sur les questions de migration-mixte. </w:t>
      </w:r>
    </w:p>
    <w:p w14:paraId="3551B137" w14:textId="77777777" w:rsidR="00FC7F1B" w:rsidRDefault="00FC7F1B">
      <w:pPr>
        <w:jc w:val="both"/>
        <w:rPr>
          <w:rFonts w:asciiTheme="minorHAnsi" w:eastAsia="TimesNewRomanPS-BoldMT" w:hAnsiTheme="minorHAnsi" w:cstheme="minorHAnsi"/>
          <w:color w:val="000000"/>
          <w:szCs w:val="24"/>
          <w:lang w:val="fr-FR" w:eastAsia="zh-CN" w:bidi="ar"/>
        </w:rPr>
      </w:pPr>
    </w:p>
    <w:p w14:paraId="1A085324" w14:textId="77777777" w:rsidR="00FC7F1B" w:rsidRDefault="00000000">
      <w:pPr>
        <w:jc w:val="both"/>
        <w:rPr>
          <w:rFonts w:asciiTheme="minorHAnsi" w:eastAsia="TimesNewRomanPS-BoldMT" w:hAnsiTheme="minorHAnsi" w:cstheme="minorHAnsi"/>
          <w:color w:val="000000"/>
          <w:szCs w:val="24"/>
          <w:lang w:val="fr-FR" w:eastAsia="zh-CN" w:bidi="ar"/>
        </w:rPr>
      </w:pPr>
      <w:r>
        <w:rPr>
          <w:rFonts w:asciiTheme="minorHAnsi" w:eastAsia="TimesNewRomanPS-BoldMT" w:hAnsiTheme="minorHAnsi" w:cstheme="minorHAnsi"/>
          <w:color w:val="000000"/>
          <w:szCs w:val="24"/>
          <w:lang w:val="fr-FR" w:eastAsia="zh-CN" w:bidi="ar"/>
        </w:rPr>
        <w:t>Tout cela est réalisable notamment grâce à un renforcement des rapports avec les acteurs multilatéraux et les partenaires bilatéraux que sont les pays d’origines des migrants ou les pays donateurs.</w:t>
      </w:r>
    </w:p>
    <w:p w14:paraId="4C6A3C7B" w14:textId="77777777" w:rsidR="00FC7F1B" w:rsidRDefault="00FC7F1B">
      <w:pPr>
        <w:jc w:val="both"/>
        <w:rPr>
          <w:rFonts w:asciiTheme="minorHAnsi" w:eastAsia="TimesNewRomanPS-BoldMT" w:hAnsiTheme="minorHAnsi" w:cstheme="minorHAnsi"/>
          <w:color w:val="000000"/>
          <w:szCs w:val="24"/>
          <w:lang w:val="fr-FR" w:eastAsia="zh-CN" w:bidi="ar"/>
        </w:rPr>
      </w:pPr>
    </w:p>
    <w:p w14:paraId="229F2190" w14:textId="77777777" w:rsidR="00FC7F1B" w:rsidRDefault="00000000">
      <w:pPr>
        <w:jc w:val="both"/>
        <w:rPr>
          <w:rFonts w:asciiTheme="minorHAnsi" w:eastAsia="TimesNewRomanPS-BoldMT" w:hAnsiTheme="minorHAnsi" w:cstheme="minorHAnsi"/>
          <w:color w:val="000000"/>
          <w:szCs w:val="24"/>
          <w:lang w:val="fr-FR" w:eastAsia="zh-CN" w:bidi="ar"/>
        </w:rPr>
      </w:pPr>
      <w:r>
        <w:rPr>
          <w:rFonts w:asciiTheme="minorHAnsi" w:eastAsia="TimesNewRomanPS-BoldMT" w:hAnsiTheme="minorHAnsi" w:cstheme="minorHAnsi"/>
          <w:color w:val="000000"/>
          <w:szCs w:val="24"/>
          <w:lang w:val="fr-FR" w:eastAsia="zh-CN" w:bidi="ar"/>
        </w:rPr>
        <w:t>Les objectifs sont éclatés en produits (Outputs) soutenus par plus d’une vingtaine d’activités opérationnelles (</w:t>
      </w:r>
      <w:hyperlink r:id="rId17" w:history="1">
        <w:r>
          <w:rPr>
            <w:rStyle w:val="Hyperlink"/>
            <w:rFonts w:asciiTheme="minorHAnsi" w:eastAsia="TimesNewRomanPS-BoldMT" w:hAnsiTheme="minorHAnsi" w:cstheme="minorHAnsi"/>
            <w:szCs w:val="24"/>
            <w:lang w:val="fr-FR" w:eastAsia="zh-CN" w:bidi="ar"/>
          </w:rPr>
          <w:t>accessible ici</w:t>
        </w:r>
      </w:hyperlink>
      <w:r>
        <w:rPr>
          <w:rFonts w:asciiTheme="minorHAnsi" w:eastAsia="TimesNewRomanPS-BoldMT" w:hAnsiTheme="minorHAnsi" w:cstheme="minorHAnsi"/>
          <w:color w:val="000000"/>
          <w:szCs w:val="24"/>
          <w:lang w:val="fr-FR" w:eastAsia="zh-CN" w:bidi="ar"/>
        </w:rPr>
        <w:t xml:space="preserve">)  reparties entre les quatre agences dont l’UNICEF assure le leadership de la mise en œuvre sous la supervision globale du Bureau de la Coordinatrice Résidente du SNU. </w:t>
      </w:r>
    </w:p>
    <w:p w14:paraId="4DD753D9" w14:textId="77777777" w:rsidR="00FC7F1B" w:rsidRDefault="00FC7F1B">
      <w:pPr>
        <w:jc w:val="both"/>
        <w:rPr>
          <w:rFonts w:asciiTheme="minorHAnsi" w:eastAsia="TimesNewRomanPS-BoldMT" w:hAnsiTheme="minorHAnsi" w:cstheme="minorHAnsi"/>
          <w:color w:val="000000"/>
          <w:szCs w:val="24"/>
          <w:lang w:val="fr-FR" w:eastAsia="zh-CN" w:bidi="ar"/>
        </w:rPr>
      </w:pPr>
    </w:p>
    <w:p w14:paraId="58B8910F" w14:textId="77777777" w:rsidR="00FC7F1B" w:rsidRDefault="00000000">
      <w:pPr>
        <w:pStyle w:val="Caption"/>
        <w:keepNext/>
        <w:spacing w:line="240" w:lineRule="auto"/>
        <w:jc w:val="both"/>
        <w:rPr>
          <w:rFonts w:asciiTheme="minorHAnsi" w:hAnsiTheme="minorHAnsi" w:cstheme="minorHAnsi"/>
          <w:b w:val="0"/>
          <w:bCs w:val="0"/>
          <w:i/>
          <w:iCs/>
          <w:sz w:val="24"/>
          <w:szCs w:val="24"/>
          <w:lang w:val="fr-FR"/>
        </w:rPr>
      </w:pPr>
      <w:r>
        <w:rPr>
          <w:rFonts w:asciiTheme="minorHAnsi" w:hAnsiTheme="minorHAnsi" w:cstheme="minorHAnsi"/>
          <w:b w:val="0"/>
          <w:bCs w:val="0"/>
          <w:i/>
          <w:iCs/>
          <w:sz w:val="24"/>
          <w:szCs w:val="24"/>
          <w:lang w:val="fr-FR"/>
        </w:rPr>
        <w:t xml:space="preserve">Tableau 1 :  Rôles et contributions des différentes parties prenantes  </w:t>
      </w:r>
    </w:p>
    <w:p w14:paraId="3BA1D580" w14:textId="77777777" w:rsidR="00FC7F1B" w:rsidRDefault="00FC7F1B">
      <w:pPr>
        <w:jc w:val="both"/>
        <w:rPr>
          <w:rFonts w:asciiTheme="minorHAnsi" w:eastAsia="TimesNewRomanPS-BoldMT" w:hAnsiTheme="minorHAnsi" w:cstheme="minorHAnsi"/>
          <w:color w:val="000000"/>
          <w:szCs w:val="24"/>
          <w:lang w:val="fr-FR" w:eastAsia="zh-CN" w:bidi="ar"/>
        </w:rPr>
      </w:pPr>
    </w:p>
    <w:tbl>
      <w:tblPr>
        <w:tblStyle w:val="TableGrid"/>
        <w:tblW w:w="10075"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465"/>
        <w:gridCol w:w="8610"/>
      </w:tblGrid>
      <w:tr w:rsidR="00FC7F1B" w14:paraId="67C18434" w14:textId="77777777">
        <w:trPr>
          <w:trHeight w:val="270"/>
          <w:tblHeader/>
        </w:trPr>
        <w:tc>
          <w:tcPr>
            <w:tcW w:w="1454" w:type="dxa"/>
            <w:shd w:val="clear" w:color="auto" w:fill="00B0F0"/>
          </w:tcPr>
          <w:p w14:paraId="4A885C4D" w14:textId="77777777" w:rsidR="00FC7F1B" w:rsidRDefault="00000000">
            <w:pPr>
              <w:rPr>
                <w:rFonts w:asciiTheme="minorHAnsi" w:hAnsiTheme="minorHAnsi" w:cstheme="minorHAnsi"/>
                <w:b/>
                <w:color w:val="FFFFFF" w:themeColor="background1"/>
                <w:szCs w:val="24"/>
              </w:rPr>
            </w:pPr>
            <w:proofErr w:type="spellStart"/>
            <w:r>
              <w:rPr>
                <w:rFonts w:asciiTheme="minorHAnsi" w:hAnsiTheme="minorHAnsi" w:cstheme="minorHAnsi"/>
                <w:b/>
                <w:color w:val="FFFFFF" w:themeColor="background1"/>
                <w:szCs w:val="24"/>
              </w:rPr>
              <w:t>Acteurs</w:t>
            </w:r>
            <w:proofErr w:type="spellEnd"/>
            <w:r>
              <w:rPr>
                <w:rFonts w:asciiTheme="minorHAnsi" w:hAnsiTheme="minorHAnsi" w:cstheme="minorHAnsi"/>
                <w:b/>
                <w:color w:val="FFFFFF" w:themeColor="background1"/>
                <w:szCs w:val="24"/>
              </w:rPr>
              <w:t xml:space="preserve"> </w:t>
            </w:r>
            <w:proofErr w:type="spellStart"/>
            <w:r>
              <w:rPr>
                <w:rFonts w:asciiTheme="minorHAnsi" w:hAnsiTheme="minorHAnsi" w:cstheme="minorHAnsi"/>
                <w:b/>
                <w:color w:val="FFFFFF" w:themeColor="background1"/>
                <w:szCs w:val="24"/>
              </w:rPr>
              <w:t>clés</w:t>
            </w:r>
            <w:proofErr w:type="spellEnd"/>
          </w:p>
        </w:tc>
        <w:tc>
          <w:tcPr>
            <w:tcW w:w="8621" w:type="dxa"/>
            <w:shd w:val="clear" w:color="auto" w:fill="00B0F0"/>
          </w:tcPr>
          <w:p w14:paraId="6C49D6C7" w14:textId="77777777" w:rsidR="00FC7F1B" w:rsidRDefault="00000000">
            <w:pPr>
              <w:rPr>
                <w:rFonts w:asciiTheme="minorHAnsi" w:hAnsiTheme="minorHAnsi" w:cstheme="minorHAnsi"/>
                <w:b/>
                <w:color w:val="FFFFFF" w:themeColor="background1"/>
                <w:szCs w:val="24"/>
                <w:lang w:val="fr-FR"/>
              </w:rPr>
            </w:pPr>
            <w:r>
              <w:rPr>
                <w:rFonts w:asciiTheme="minorHAnsi" w:hAnsiTheme="minorHAnsi" w:cstheme="minorHAnsi"/>
                <w:b/>
                <w:color w:val="FFFFFF" w:themeColor="background1"/>
                <w:szCs w:val="24"/>
                <w:lang w:val="fr-FR"/>
              </w:rPr>
              <w:t>Rôles et responsabilités</w:t>
            </w:r>
          </w:p>
        </w:tc>
      </w:tr>
      <w:tr w:rsidR="00FC7F1B" w:rsidRPr="009B3F45" w14:paraId="73E84EB7" w14:textId="77777777">
        <w:trPr>
          <w:trHeight w:val="386"/>
        </w:trPr>
        <w:tc>
          <w:tcPr>
            <w:tcW w:w="1454" w:type="dxa"/>
          </w:tcPr>
          <w:p w14:paraId="05F9BF19" w14:textId="77777777" w:rsidR="00FC7F1B" w:rsidRDefault="00000000">
            <w:pPr>
              <w:rPr>
                <w:rFonts w:asciiTheme="minorHAnsi" w:eastAsia="Times" w:hAnsiTheme="minorHAnsi" w:cstheme="minorHAnsi"/>
                <w:bCs/>
                <w:color w:val="000000"/>
                <w:szCs w:val="24"/>
                <w:lang w:eastAsia="en-GB"/>
              </w:rPr>
            </w:pPr>
            <w:r>
              <w:rPr>
                <w:rFonts w:asciiTheme="minorHAnsi" w:eastAsia="Times" w:hAnsiTheme="minorHAnsi" w:cstheme="minorHAnsi"/>
                <w:bCs/>
                <w:color w:val="000000"/>
                <w:szCs w:val="24"/>
                <w:lang w:val="fr-FR" w:eastAsia="en-GB"/>
              </w:rPr>
              <w:t>Etat Gabonais</w:t>
            </w:r>
            <w:r>
              <w:rPr>
                <w:rFonts w:asciiTheme="minorHAnsi" w:hAnsiTheme="minorHAnsi" w:cstheme="minorHAnsi"/>
                <w:bCs/>
                <w:szCs w:val="24"/>
                <w:lang w:val="fr-FR"/>
              </w:rPr>
              <w:t xml:space="preserve"> </w:t>
            </w:r>
          </w:p>
        </w:tc>
        <w:tc>
          <w:tcPr>
            <w:tcW w:w="8621" w:type="dxa"/>
          </w:tcPr>
          <w:p w14:paraId="5924CD64" w14:textId="77777777" w:rsidR="00FC7F1B" w:rsidRDefault="00000000">
            <w:pPr>
              <w:pStyle w:val="ListParagraph"/>
              <w:ind w:left="160"/>
              <w:rPr>
                <w:rFonts w:asciiTheme="minorHAnsi" w:eastAsia="Times" w:hAnsiTheme="minorHAnsi" w:cstheme="minorHAnsi"/>
                <w:bCs/>
                <w:color w:val="000000"/>
                <w:szCs w:val="24"/>
                <w:lang w:val="fr-FR" w:eastAsia="en-GB"/>
              </w:rPr>
            </w:pPr>
            <w:r>
              <w:rPr>
                <w:rFonts w:asciiTheme="minorHAnsi" w:hAnsiTheme="minorHAnsi" w:cstheme="minorHAnsi"/>
                <w:lang w:val="fr-FR"/>
              </w:rPr>
              <w:t xml:space="preserve">Tous les ministères travaillant directement sur la migration-mixte et la traite et notamment l’Intérieur, les Affaires Étrangères et la Défense ont soutenu la demande de levée de fonds, la création de la </w:t>
            </w:r>
            <w:proofErr w:type="spellStart"/>
            <w:r>
              <w:rPr>
                <w:rFonts w:asciiTheme="minorHAnsi" w:hAnsiTheme="minorHAnsi" w:cstheme="minorHAnsi"/>
                <w:lang w:val="fr-FR"/>
              </w:rPr>
              <w:t>Task</w:t>
            </w:r>
            <w:proofErr w:type="spellEnd"/>
            <w:r>
              <w:rPr>
                <w:rFonts w:asciiTheme="minorHAnsi" w:hAnsiTheme="minorHAnsi" w:cstheme="minorHAnsi"/>
                <w:lang w:val="fr-FR"/>
              </w:rPr>
              <w:t xml:space="preserve"> Force Migration et la validation technique et administrative des documents.</w:t>
            </w:r>
          </w:p>
        </w:tc>
      </w:tr>
      <w:tr w:rsidR="00FC7F1B" w:rsidRPr="009B3F45" w14:paraId="48377E39" w14:textId="77777777">
        <w:trPr>
          <w:trHeight w:val="494"/>
        </w:trPr>
        <w:tc>
          <w:tcPr>
            <w:tcW w:w="1454" w:type="dxa"/>
          </w:tcPr>
          <w:p w14:paraId="3220B712" w14:textId="77777777" w:rsidR="00FC7F1B" w:rsidRDefault="00000000">
            <w:pPr>
              <w:rPr>
                <w:rFonts w:asciiTheme="minorHAnsi" w:hAnsiTheme="minorHAnsi" w:cstheme="minorHAnsi"/>
                <w:bCs/>
                <w:szCs w:val="24"/>
              </w:rPr>
            </w:pPr>
            <w:r>
              <w:rPr>
                <w:rFonts w:asciiTheme="minorHAnsi" w:eastAsia="Times" w:hAnsiTheme="minorHAnsi" w:cstheme="minorHAnsi"/>
                <w:bCs/>
                <w:color w:val="000000"/>
                <w:szCs w:val="24"/>
                <w:lang w:eastAsia="en-GB"/>
              </w:rPr>
              <w:t>OIM</w:t>
            </w:r>
          </w:p>
        </w:tc>
        <w:tc>
          <w:tcPr>
            <w:tcW w:w="8621" w:type="dxa"/>
          </w:tcPr>
          <w:p w14:paraId="2C1BF94B" w14:textId="77777777" w:rsidR="00FC7F1B" w:rsidRDefault="00000000">
            <w:pPr>
              <w:pStyle w:val="ListParagraph"/>
              <w:ind w:left="160"/>
              <w:rPr>
                <w:rFonts w:asciiTheme="minorHAnsi" w:hAnsiTheme="minorHAnsi" w:cstheme="minorHAnsi"/>
                <w:szCs w:val="22"/>
                <w:lang w:val="fr-FR"/>
              </w:rPr>
            </w:pPr>
            <w:r>
              <w:rPr>
                <w:rFonts w:asciiTheme="minorHAnsi" w:eastAsia="Times" w:hAnsiTheme="minorHAnsi" w:cstheme="minorHAnsi"/>
                <w:bCs/>
                <w:color w:val="000000"/>
                <w:szCs w:val="24"/>
                <w:lang w:val="fr-FR" w:eastAsia="en-GB"/>
              </w:rPr>
              <w:t xml:space="preserve">OIM a eu plusieurs interventions avec comme point de fixation le développement du cadre de sécurité humaine allant de l’identification du migrant aux frontières à son retour, à son intégration et/ou réintégration. L’agence a également publié des données sur la traite en République Gabonaise, a procédé à l’intégration des victimes de traite et au renforcement des capacités des partenaires, tout en faisant la promotion de l’approche de la sécurité humaine. </w:t>
            </w:r>
          </w:p>
        </w:tc>
      </w:tr>
      <w:tr w:rsidR="00FC7F1B" w:rsidRPr="009B3F45" w14:paraId="40B03285" w14:textId="77777777">
        <w:trPr>
          <w:trHeight w:val="494"/>
        </w:trPr>
        <w:tc>
          <w:tcPr>
            <w:tcW w:w="1454" w:type="dxa"/>
          </w:tcPr>
          <w:p w14:paraId="13F23198" w14:textId="77777777" w:rsidR="00FC7F1B" w:rsidRDefault="00000000">
            <w:pPr>
              <w:rPr>
                <w:rFonts w:asciiTheme="minorHAnsi" w:eastAsia="Times" w:hAnsiTheme="minorHAnsi" w:cstheme="minorHAnsi"/>
                <w:bCs/>
                <w:color w:val="000000"/>
                <w:szCs w:val="24"/>
                <w:lang w:eastAsia="en-GB"/>
              </w:rPr>
            </w:pPr>
            <w:r>
              <w:rPr>
                <w:rFonts w:asciiTheme="minorHAnsi" w:eastAsia="Times" w:hAnsiTheme="minorHAnsi" w:cstheme="minorHAnsi"/>
                <w:bCs/>
                <w:color w:val="000000"/>
                <w:szCs w:val="24"/>
                <w:lang w:eastAsia="en-GB"/>
              </w:rPr>
              <w:lastRenderedPageBreak/>
              <w:t>UNHCR</w:t>
            </w:r>
          </w:p>
        </w:tc>
        <w:tc>
          <w:tcPr>
            <w:tcW w:w="8621" w:type="dxa"/>
          </w:tcPr>
          <w:p w14:paraId="4D654260" w14:textId="77777777" w:rsidR="00FC7F1B" w:rsidRDefault="00000000">
            <w:pPr>
              <w:pStyle w:val="ListParagraph"/>
              <w:ind w:left="160"/>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UNHCR a déployé ses efforts humanitaires avec comme point de concentration le développement et l’application des procédures sensibles aux demandeurs d’asile et la publication d’un outil schématique qui guide les demandeurs d’une assistance administrative.</w:t>
            </w:r>
          </w:p>
        </w:tc>
      </w:tr>
      <w:tr w:rsidR="00FC7F1B" w:rsidRPr="009B3F45" w14:paraId="3D657E70" w14:textId="77777777">
        <w:trPr>
          <w:trHeight w:val="494"/>
        </w:trPr>
        <w:tc>
          <w:tcPr>
            <w:tcW w:w="1454" w:type="dxa"/>
          </w:tcPr>
          <w:p w14:paraId="428EE365" w14:textId="77777777" w:rsidR="00FC7F1B" w:rsidRDefault="00000000">
            <w:pPr>
              <w:rPr>
                <w:rFonts w:asciiTheme="minorHAnsi" w:hAnsiTheme="minorHAnsi" w:cstheme="minorHAnsi"/>
                <w:bCs/>
                <w:szCs w:val="24"/>
              </w:rPr>
            </w:pPr>
            <w:r>
              <w:rPr>
                <w:rFonts w:asciiTheme="minorHAnsi" w:eastAsia="Times" w:hAnsiTheme="minorHAnsi" w:cstheme="minorHAnsi"/>
                <w:bCs/>
                <w:color w:val="000000"/>
                <w:szCs w:val="24"/>
                <w:lang w:eastAsia="en-GB"/>
              </w:rPr>
              <w:t>UNICEF</w:t>
            </w:r>
          </w:p>
          <w:p w14:paraId="7EB673AD" w14:textId="77777777" w:rsidR="00FC7F1B" w:rsidRDefault="00FC7F1B">
            <w:pPr>
              <w:rPr>
                <w:rFonts w:asciiTheme="minorHAnsi" w:eastAsia="Times" w:hAnsiTheme="minorHAnsi" w:cstheme="minorHAnsi"/>
                <w:bCs/>
                <w:color w:val="000000"/>
                <w:szCs w:val="24"/>
                <w:lang w:eastAsia="en-GB"/>
              </w:rPr>
            </w:pPr>
          </w:p>
        </w:tc>
        <w:tc>
          <w:tcPr>
            <w:tcW w:w="8621" w:type="dxa"/>
          </w:tcPr>
          <w:p w14:paraId="3880B9D2" w14:textId="77777777" w:rsidR="00FC7F1B" w:rsidRDefault="00000000">
            <w:pPr>
              <w:pStyle w:val="ListParagraph"/>
              <w:ind w:left="160"/>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 xml:space="preserve">UNICEF a poursuivi dans la lancée de son mandat en matière de prise en charge psychosociale des enfants victimes ou témoins d’abus et d’exploitation tout en consolidant le système national de protection de l’enfant. </w:t>
            </w:r>
          </w:p>
        </w:tc>
      </w:tr>
      <w:tr w:rsidR="00FC7F1B" w:rsidRPr="009B3F45" w14:paraId="48594FCC" w14:textId="77777777">
        <w:trPr>
          <w:trHeight w:val="530"/>
        </w:trPr>
        <w:tc>
          <w:tcPr>
            <w:tcW w:w="1454" w:type="dxa"/>
          </w:tcPr>
          <w:p w14:paraId="79B05DA9" w14:textId="77777777" w:rsidR="00FC7F1B" w:rsidRDefault="00000000">
            <w:pPr>
              <w:rPr>
                <w:rFonts w:asciiTheme="minorHAnsi" w:hAnsiTheme="minorHAnsi" w:cstheme="minorHAnsi"/>
                <w:bCs/>
                <w:szCs w:val="24"/>
              </w:rPr>
            </w:pPr>
            <w:r>
              <w:rPr>
                <w:rFonts w:asciiTheme="minorHAnsi" w:eastAsia="Times" w:hAnsiTheme="minorHAnsi" w:cstheme="minorHAnsi"/>
                <w:bCs/>
                <w:color w:val="000000"/>
                <w:szCs w:val="24"/>
                <w:lang w:eastAsia="en-GB"/>
              </w:rPr>
              <w:t>UNODC</w:t>
            </w:r>
          </w:p>
        </w:tc>
        <w:tc>
          <w:tcPr>
            <w:tcW w:w="8621" w:type="dxa"/>
          </w:tcPr>
          <w:p w14:paraId="7E060777" w14:textId="77777777" w:rsidR="00FC7F1B" w:rsidRDefault="00000000">
            <w:pPr>
              <w:pStyle w:val="ListParagraph"/>
              <w:ind w:left="160"/>
              <w:rPr>
                <w:rFonts w:asciiTheme="minorHAnsi" w:hAnsiTheme="minorHAnsi" w:cstheme="minorHAnsi"/>
                <w:szCs w:val="22"/>
                <w:lang w:val="fr-FR"/>
              </w:rPr>
            </w:pPr>
            <w:r>
              <w:rPr>
                <w:rFonts w:asciiTheme="minorHAnsi" w:eastAsia="Times" w:hAnsiTheme="minorHAnsi" w:cstheme="minorHAnsi"/>
                <w:bCs/>
                <w:color w:val="000000"/>
                <w:szCs w:val="24"/>
                <w:lang w:val="fr-FR" w:eastAsia="en-GB"/>
              </w:rPr>
              <w:t>UNODC était le porte flambeau de ce projet dans la rédaction des notes et les démarches initiales avec le Secrétariat Général. Cette agence a fourni une assistance technique à la modélisation de l’aspect pénal chez les professionnels des procédures judiciaires sur mer et terre pour prévenir et lutter contre la traite et le crime organisé tout en contribuant au renforcement du cadre juridique.</w:t>
            </w:r>
          </w:p>
        </w:tc>
      </w:tr>
      <w:tr w:rsidR="00FC7F1B" w:rsidRPr="009B3F45" w14:paraId="54D8B2A5" w14:textId="77777777">
        <w:trPr>
          <w:trHeight w:val="440"/>
        </w:trPr>
        <w:tc>
          <w:tcPr>
            <w:tcW w:w="1454" w:type="dxa"/>
          </w:tcPr>
          <w:p w14:paraId="255730C9" w14:textId="77777777" w:rsidR="00FC7F1B" w:rsidRDefault="00000000">
            <w:pPr>
              <w:rPr>
                <w:rFonts w:asciiTheme="minorHAnsi" w:hAnsiTheme="minorHAnsi" w:cstheme="minorHAnsi"/>
                <w:bCs/>
                <w:szCs w:val="24"/>
                <w:lang w:val="fr-FR"/>
              </w:rPr>
            </w:pPr>
            <w:r>
              <w:rPr>
                <w:rFonts w:asciiTheme="minorHAnsi" w:hAnsiTheme="minorHAnsi" w:cstheme="minorHAnsi"/>
                <w:bCs/>
                <w:szCs w:val="24"/>
                <w:lang w:val="fr-FR"/>
              </w:rPr>
              <w:t xml:space="preserve">Organisation de la société civile </w:t>
            </w:r>
          </w:p>
        </w:tc>
        <w:tc>
          <w:tcPr>
            <w:tcW w:w="8621" w:type="dxa"/>
          </w:tcPr>
          <w:p w14:paraId="1CF7432C" w14:textId="77777777" w:rsidR="00FC7F1B" w:rsidRDefault="00000000">
            <w:pPr>
              <w:pStyle w:val="ListParagraph"/>
              <w:ind w:left="160"/>
              <w:rPr>
                <w:rFonts w:asciiTheme="minorHAnsi" w:hAnsiTheme="minorHAnsi" w:cstheme="minorHAnsi"/>
                <w:lang w:val="fr-FR"/>
              </w:rPr>
            </w:pPr>
            <w:r>
              <w:rPr>
                <w:rFonts w:asciiTheme="minorHAnsi" w:hAnsiTheme="minorHAnsi" w:cstheme="minorHAnsi"/>
                <w:lang w:val="fr-FR"/>
              </w:rPr>
              <w:t xml:space="preserve">L’association Arc-en-ciel et l’ONG </w:t>
            </w:r>
            <w:proofErr w:type="spellStart"/>
            <w:r>
              <w:rPr>
                <w:rFonts w:asciiTheme="minorHAnsi" w:hAnsiTheme="minorHAnsi" w:cstheme="minorHAnsi"/>
                <w:lang w:val="fr-FR"/>
              </w:rPr>
              <w:t>Sifos</w:t>
            </w:r>
            <w:proofErr w:type="spellEnd"/>
            <w:r>
              <w:rPr>
                <w:rFonts w:asciiTheme="minorHAnsi" w:hAnsiTheme="minorHAnsi" w:cstheme="minorHAnsi"/>
                <w:lang w:val="fr-FR"/>
              </w:rPr>
              <w:t>, ont soutenu le projet selon leurs statuts juridiques de centre de transit des enfants victimes de traite et d’ONG spécialisée dans la sensibilisation sur les droits des victimes de traite et la formation professionnelle.</w:t>
            </w:r>
          </w:p>
        </w:tc>
      </w:tr>
    </w:tbl>
    <w:p w14:paraId="184A3E9B" w14:textId="77777777" w:rsidR="00FC7F1B" w:rsidRDefault="00FC7F1B">
      <w:pPr>
        <w:contextualSpacing/>
        <w:jc w:val="both"/>
        <w:rPr>
          <w:rFonts w:asciiTheme="minorHAnsi" w:eastAsia="TimesNewRomanPS-BoldMT" w:hAnsiTheme="minorHAnsi" w:cstheme="minorHAnsi"/>
          <w:color w:val="000000"/>
          <w:szCs w:val="24"/>
          <w:lang w:val="fr-FR" w:eastAsia="zh-CN" w:bidi="ar"/>
        </w:rPr>
      </w:pPr>
    </w:p>
    <w:p w14:paraId="735091E7" w14:textId="77777777" w:rsidR="00FC7F1B" w:rsidRDefault="00000000">
      <w:pPr>
        <w:jc w:val="both"/>
        <w:rPr>
          <w:rFonts w:asciiTheme="minorHAnsi" w:eastAsia="TimesNewRomanPS-BoldMT" w:hAnsiTheme="minorHAnsi" w:cstheme="minorHAnsi"/>
          <w:color w:val="000000"/>
          <w:szCs w:val="24"/>
          <w:lang w:val="fr-FR" w:eastAsia="zh-CN" w:bidi="ar"/>
        </w:rPr>
      </w:pPr>
      <w:r>
        <w:rPr>
          <w:rFonts w:asciiTheme="minorHAnsi" w:eastAsia="TimesNewRomanPS-BoldMT" w:hAnsiTheme="minorHAnsi" w:cstheme="minorHAnsi"/>
          <w:color w:val="000000"/>
          <w:szCs w:val="24"/>
          <w:lang w:val="fr-FR" w:eastAsia="zh-CN" w:bidi="ar"/>
        </w:rPr>
        <w:t xml:space="preserve">Une évaluation finale est prévue dans la note conceptuelle du projet pour apprécier la </w:t>
      </w:r>
      <w:r>
        <w:rPr>
          <w:rFonts w:asciiTheme="minorHAnsi" w:eastAsia="TimesNewRomanPS-BoldMT" w:hAnsiTheme="minorHAnsi" w:cstheme="minorHAnsi"/>
          <w:szCs w:val="24"/>
          <w:lang w:val="fr-FR" w:eastAsia="zh-CN" w:bidi="ar"/>
        </w:rPr>
        <w:t xml:space="preserve">mise en œuvre du projet et l’atteinte des résultats attendus, documenter les leçons apprises et bonnes pratiques et formuler des recommandations pour d’autres projets conjoints ou individuels. </w:t>
      </w:r>
      <w:r>
        <w:rPr>
          <w:rFonts w:asciiTheme="minorHAnsi" w:eastAsia="TimesNewRomanPS-BoldMT" w:hAnsiTheme="minorHAnsi" w:cstheme="minorHAnsi"/>
          <w:color w:val="000000"/>
          <w:szCs w:val="24"/>
          <w:lang w:val="fr-FR" w:eastAsia="zh-CN" w:bidi="ar"/>
        </w:rPr>
        <w:t xml:space="preserve">C’est ainsi que l’a coordination de cet exercice d’évaluation finale a été confiée à l’UNICEF en tant qu’agence </w:t>
      </w:r>
      <w:proofErr w:type="gramStart"/>
      <w:r>
        <w:rPr>
          <w:rFonts w:asciiTheme="minorHAnsi" w:eastAsia="TimesNewRomanPS-BoldMT" w:hAnsiTheme="minorHAnsi" w:cstheme="minorHAnsi"/>
          <w:color w:val="000000"/>
          <w:szCs w:val="24"/>
          <w:lang w:val="fr-FR" w:eastAsia="zh-CN" w:bidi="ar"/>
        </w:rPr>
        <w:t>leader ,</w:t>
      </w:r>
      <w:proofErr w:type="gramEnd"/>
      <w:r>
        <w:rPr>
          <w:rFonts w:asciiTheme="minorHAnsi" w:eastAsia="TimesNewRomanPS-BoldMT" w:hAnsiTheme="minorHAnsi" w:cstheme="minorHAnsi"/>
          <w:color w:val="000000"/>
          <w:szCs w:val="24"/>
          <w:lang w:val="fr-FR" w:eastAsia="zh-CN" w:bidi="ar"/>
        </w:rPr>
        <w:t xml:space="preserve"> lui donnant l’obligation de piloter l’élaboration des </w:t>
      </w:r>
      <w:proofErr w:type="spellStart"/>
      <w:r>
        <w:rPr>
          <w:rFonts w:asciiTheme="minorHAnsi" w:eastAsia="TimesNewRomanPS-BoldMT" w:hAnsiTheme="minorHAnsi" w:cstheme="minorHAnsi"/>
          <w:color w:val="000000"/>
          <w:szCs w:val="24"/>
          <w:lang w:val="fr-FR" w:eastAsia="zh-CN" w:bidi="ar"/>
        </w:rPr>
        <w:t>TdR</w:t>
      </w:r>
      <w:proofErr w:type="spellEnd"/>
      <w:r>
        <w:rPr>
          <w:rFonts w:asciiTheme="minorHAnsi" w:eastAsia="TimesNewRomanPS-BoldMT" w:hAnsiTheme="minorHAnsi" w:cstheme="minorHAnsi"/>
          <w:color w:val="000000"/>
          <w:szCs w:val="24"/>
          <w:lang w:val="fr-FR" w:eastAsia="zh-CN" w:bidi="ar"/>
        </w:rPr>
        <w:t xml:space="preserve"> et de procéder au recrutement d’un consultant pour réaliser cette mission. </w:t>
      </w:r>
    </w:p>
    <w:p w14:paraId="74FA43B3" w14:textId="77777777" w:rsidR="00FC7F1B" w:rsidRDefault="00000000">
      <w:p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 xml:space="preserve"> </w:t>
      </w:r>
    </w:p>
    <w:p w14:paraId="400422BD" w14:textId="77777777" w:rsidR="00FC7F1B" w:rsidRDefault="00000000">
      <w:pPr>
        <w:numPr>
          <w:ilvl w:val="0"/>
          <w:numId w:val="1"/>
        </w:numPr>
        <w:jc w:val="both"/>
        <w:rPr>
          <w:rFonts w:asciiTheme="minorHAnsi" w:eastAsia="Times" w:hAnsiTheme="minorHAnsi" w:cstheme="minorHAnsi"/>
          <w:b/>
          <w:color w:val="0070C0"/>
          <w:szCs w:val="24"/>
          <w:lang w:eastAsia="en-GB"/>
        </w:rPr>
      </w:pPr>
      <w:r>
        <w:rPr>
          <w:rFonts w:asciiTheme="minorHAnsi" w:eastAsia="Times" w:hAnsiTheme="minorHAnsi" w:cstheme="minorHAnsi"/>
          <w:b/>
          <w:color w:val="0070C0"/>
          <w:szCs w:val="24"/>
          <w:lang w:eastAsia="en-GB"/>
        </w:rPr>
        <w:t xml:space="preserve">But de </w:t>
      </w:r>
      <w:proofErr w:type="spellStart"/>
      <w:r>
        <w:rPr>
          <w:rFonts w:asciiTheme="minorHAnsi" w:eastAsia="Times" w:hAnsiTheme="minorHAnsi" w:cstheme="minorHAnsi"/>
          <w:b/>
          <w:color w:val="0070C0"/>
          <w:szCs w:val="24"/>
          <w:lang w:eastAsia="en-GB"/>
        </w:rPr>
        <w:t>cette</w:t>
      </w:r>
      <w:proofErr w:type="spellEnd"/>
      <w:r>
        <w:rPr>
          <w:rFonts w:asciiTheme="minorHAnsi" w:eastAsia="Times" w:hAnsiTheme="minorHAnsi" w:cstheme="minorHAnsi"/>
          <w:b/>
          <w:color w:val="0070C0"/>
          <w:szCs w:val="24"/>
          <w:lang w:eastAsia="en-GB"/>
        </w:rPr>
        <w:t xml:space="preserve"> </w:t>
      </w:r>
      <w:proofErr w:type="spellStart"/>
      <w:r>
        <w:rPr>
          <w:rFonts w:asciiTheme="minorHAnsi" w:eastAsia="Times" w:hAnsiTheme="minorHAnsi" w:cstheme="minorHAnsi"/>
          <w:b/>
          <w:color w:val="0070C0"/>
          <w:szCs w:val="24"/>
          <w:lang w:eastAsia="en-GB"/>
        </w:rPr>
        <w:t>évaluation</w:t>
      </w:r>
      <w:proofErr w:type="spellEnd"/>
    </w:p>
    <w:p w14:paraId="79B5781C" w14:textId="77777777" w:rsidR="00FC7F1B" w:rsidRDefault="00000000">
      <w:pPr>
        <w:contextualSpacing/>
        <w:jc w:val="both"/>
        <w:rPr>
          <w:rFonts w:asciiTheme="minorHAnsi" w:eastAsia="Calibri" w:hAnsiTheme="minorHAnsi" w:cstheme="minorHAnsi"/>
          <w:szCs w:val="22"/>
          <w:lang w:val="fr-FR"/>
        </w:rPr>
      </w:pPr>
      <w:r>
        <w:rPr>
          <w:rFonts w:asciiTheme="minorHAnsi" w:eastAsia="Calibri" w:hAnsiTheme="minorHAnsi" w:cstheme="minorHAnsi"/>
          <w:szCs w:val="22"/>
          <w:lang w:val="fr-FR"/>
        </w:rPr>
        <w:t xml:space="preserve">Cette évaluation a deux buts principaux : la redevabilité et l’apprentissage. </w:t>
      </w:r>
    </w:p>
    <w:p w14:paraId="41CDC701" w14:textId="77777777" w:rsidR="00FC7F1B" w:rsidRDefault="00FC7F1B">
      <w:pPr>
        <w:contextualSpacing/>
        <w:jc w:val="both"/>
        <w:rPr>
          <w:rFonts w:asciiTheme="minorHAnsi" w:eastAsia="Calibri" w:hAnsiTheme="minorHAnsi" w:cstheme="minorHAnsi"/>
          <w:szCs w:val="22"/>
          <w:lang w:val="fr-FR"/>
        </w:rPr>
      </w:pPr>
    </w:p>
    <w:p w14:paraId="0E583C85" w14:textId="77777777" w:rsidR="00FC7F1B" w:rsidRDefault="00000000">
      <w:pPr>
        <w:numPr>
          <w:ilvl w:val="0"/>
          <w:numId w:val="2"/>
        </w:numPr>
        <w:ind w:left="180" w:hanging="180"/>
        <w:contextualSpacing/>
        <w:jc w:val="both"/>
        <w:rPr>
          <w:rFonts w:asciiTheme="minorHAnsi" w:hAnsiTheme="minorHAnsi" w:cstheme="minorHAnsi"/>
          <w:szCs w:val="22"/>
          <w:lang w:val="fr-FR"/>
        </w:rPr>
      </w:pPr>
      <w:r>
        <w:rPr>
          <w:rFonts w:asciiTheme="minorHAnsi" w:eastAsia="Calibri" w:hAnsiTheme="minorHAnsi" w:cstheme="minorHAnsi"/>
          <w:szCs w:val="22"/>
          <w:lang w:val="fr-FR"/>
        </w:rPr>
        <w:t xml:space="preserve">Quant au but de redevabilité, cette évaluation rendra compte des résultats (attendus ou pas attendus) qui ont été atteints par le projet </w:t>
      </w:r>
      <w:r>
        <w:rPr>
          <w:rFonts w:asciiTheme="minorHAnsi" w:eastAsia="TimesNewRomanPS-BoldMT" w:hAnsiTheme="minorHAnsi" w:cstheme="minorHAnsi"/>
          <w:color w:val="000000"/>
          <w:szCs w:val="24"/>
          <w:lang w:val="fr-FR" w:eastAsia="zh-CN" w:bidi="ar"/>
        </w:rPr>
        <w:t>UNTFHS</w:t>
      </w:r>
      <w:r>
        <w:rPr>
          <w:rFonts w:asciiTheme="minorHAnsi" w:eastAsia="Calibri" w:hAnsiTheme="minorHAnsi" w:cstheme="minorHAnsi"/>
          <w:szCs w:val="22"/>
          <w:lang w:val="fr-FR"/>
        </w:rPr>
        <w:t xml:space="preserve"> auprès du bailleur (redevabilité verticale) ainsi que des détenteurs de droits (redevabilité horizontale). </w:t>
      </w:r>
    </w:p>
    <w:p w14:paraId="6A1674E8" w14:textId="77777777" w:rsidR="00FC7F1B" w:rsidRDefault="00FC7F1B">
      <w:pPr>
        <w:ind w:left="180"/>
        <w:contextualSpacing/>
        <w:jc w:val="both"/>
        <w:rPr>
          <w:rFonts w:asciiTheme="minorHAnsi" w:hAnsiTheme="minorHAnsi" w:cstheme="minorHAnsi"/>
          <w:szCs w:val="22"/>
          <w:lang w:val="fr-FR"/>
        </w:rPr>
      </w:pPr>
    </w:p>
    <w:p w14:paraId="7A8FEA21" w14:textId="77777777" w:rsidR="00FC7F1B" w:rsidRDefault="00000000">
      <w:pPr>
        <w:numPr>
          <w:ilvl w:val="0"/>
          <w:numId w:val="2"/>
        </w:numPr>
        <w:ind w:left="180" w:hanging="180"/>
        <w:contextualSpacing/>
        <w:jc w:val="both"/>
        <w:rPr>
          <w:rFonts w:asciiTheme="minorHAnsi" w:eastAsia="Times" w:hAnsiTheme="minorHAnsi" w:cstheme="minorHAnsi"/>
          <w:bCs/>
          <w:color w:val="000000"/>
          <w:szCs w:val="24"/>
          <w:lang w:val="fr-FR" w:eastAsia="en-GB"/>
        </w:rPr>
      </w:pPr>
      <w:r>
        <w:rPr>
          <w:rFonts w:asciiTheme="minorHAnsi" w:hAnsiTheme="minorHAnsi" w:cstheme="minorHAnsi"/>
          <w:szCs w:val="22"/>
          <w:lang w:val="fr-FR"/>
        </w:rPr>
        <w:t>Quant au but de l’</w:t>
      </w:r>
      <w:r>
        <w:rPr>
          <w:rFonts w:asciiTheme="minorHAnsi" w:hAnsiTheme="minorHAnsi" w:cstheme="minorHAnsi"/>
          <w:b/>
          <w:bCs/>
          <w:szCs w:val="22"/>
          <w:lang w:val="fr-FR"/>
        </w:rPr>
        <w:t>apprentissage</w:t>
      </w:r>
      <w:r>
        <w:rPr>
          <w:rFonts w:asciiTheme="minorHAnsi" w:hAnsiTheme="minorHAnsi" w:cstheme="minorHAnsi"/>
          <w:szCs w:val="22"/>
          <w:lang w:val="fr-FR"/>
        </w:rPr>
        <w:t xml:space="preserve"> organisationnelle, cette évaluation permettra aux agences des Nations Unies et aux institutions gouvernementales gabonaises de disposer des éléments factuels qui serviront au développement d’autres projets </w:t>
      </w:r>
      <w:r>
        <w:rPr>
          <w:rFonts w:asciiTheme="minorHAnsi" w:eastAsia="Times" w:hAnsiTheme="minorHAnsi" w:cstheme="minorHAnsi"/>
          <w:bCs/>
          <w:color w:val="000000"/>
          <w:szCs w:val="24"/>
          <w:lang w:val="fr-FR" w:eastAsia="en-GB"/>
        </w:rPr>
        <w:t>conjoints inter-agence et mieux apprécier la transversalité des activités et des résultats obtenus vers la réalisation des Objectifs de Développement Durable (</w:t>
      </w:r>
      <w:proofErr w:type="gramStart"/>
      <w:r>
        <w:rPr>
          <w:rFonts w:asciiTheme="minorHAnsi" w:eastAsia="Times" w:hAnsiTheme="minorHAnsi" w:cstheme="minorHAnsi"/>
          <w:bCs/>
          <w:color w:val="000000"/>
          <w:szCs w:val="24"/>
          <w:lang w:val="fr-FR" w:eastAsia="en-GB"/>
        </w:rPr>
        <w:t>ODD)  5</w:t>
      </w:r>
      <w:proofErr w:type="gramEnd"/>
      <w:r>
        <w:rPr>
          <w:rFonts w:asciiTheme="minorHAnsi" w:eastAsia="Times" w:hAnsiTheme="minorHAnsi" w:cstheme="minorHAnsi"/>
          <w:bCs/>
          <w:color w:val="000000"/>
          <w:szCs w:val="24"/>
          <w:lang w:val="fr-FR" w:eastAsia="en-GB"/>
        </w:rPr>
        <w:t xml:space="preserve">, 8, 10, 16 et 17. </w:t>
      </w:r>
    </w:p>
    <w:p w14:paraId="7E15EBDF" w14:textId="77777777" w:rsidR="00FC7F1B" w:rsidRDefault="00000000">
      <w:p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 xml:space="preserve"> </w:t>
      </w:r>
    </w:p>
    <w:p w14:paraId="2A06BBD4" w14:textId="77777777" w:rsidR="00FC7F1B" w:rsidRDefault="00000000">
      <w:pPr>
        <w:numPr>
          <w:ilvl w:val="0"/>
          <w:numId w:val="1"/>
        </w:numPr>
        <w:jc w:val="both"/>
        <w:rPr>
          <w:rFonts w:asciiTheme="minorHAnsi" w:eastAsia="Times" w:hAnsiTheme="minorHAnsi" w:cstheme="minorHAnsi"/>
          <w:b/>
          <w:color w:val="0070C0"/>
          <w:szCs w:val="24"/>
          <w:lang w:eastAsia="en-GB"/>
        </w:rPr>
      </w:pPr>
      <w:r>
        <w:rPr>
          <w:rFonts w:asciiTheme="minorHAnsi" w:eastAsia="Times" w:hAnsiTheme="minorHAnsi" w:cstheme="minorHAnsi"/>
          <w:b/>
          <w:color w:val="0070C0"/>
          <w:szCs w:val="24"/>
          <w:lang w:val="fr-FR" w:eastAsia="en-GB"/>
        </w:rPr>
        <w:t>Utilisateurs et Utilisations envisagées</w:t>
      </w:r>
    </w:p>
    <w:p w14:paraId="5F608A8E" w14:textId="77777777" w:rsidR="00FC7F1B" w:rsidRDefault="00000000">
      <w:p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 xml:space="preserve">Si le consultant se réserve le droit de proposer un échantillon assez représentatif de la population et des institutions sur lesquels porte l’évaluation, il n’en demeure pas moins que les utilisateurs finaux qui ont été identifiés au commencement du projet seront inclus dans la collecte de </w:t>
      </w:r>
      <w:r>
        <w:rPr>
          <w:rFonts w:asciiTheme="minorHAnsi" w:eastAsia="Times" w:hAnsiTheme="minorHAnsi" w:cstheme="minorHAnsi"/>
          <w:bCs/>
          <w:color w:val="000000"/>
          <w:szCs w:val="24"/>
          <w:lang w:val="fr-FR" w:eastAsia="en-GB"/>
        </w:rPr>
        <w:lastRenderedPageBreak/>
        <w:t xml:space="preserve">l’information et interprétation qui sera faite des résultats. </w:t>
      </w:r>
      <w:r>
        <w:rPr>
          <w:rFonts w:asciiTheme="minorHAnsi" w:hAnsiTheme="minorHAnsi" w:cstheme="minorHAnsi"/>
          <w:szCs w:val="24"/>
          <w:lang w:val="fr-FR"/>
        </w:rPr>
        <w:t>Les utilisations envisagées de cette évaluation sont présentées dans le tableau ci-</w:t>
      </w:r>
      <w:proofErr w:type="gramStart"/>
      <w:r>
        <w:rPr>
          <w:rFonts w:asciiTheme="minorHAnsi" w:hAnsiTheme="minorHAnsi" w:cstheme="minorHAnsi"/>
          <w:szCs w:val="24"/>
          <w:lang w:val="fr-FR"/>
        </w:rPr>
        <w:t>dessous  :</w:t>
      </w:r>
      <w:proofErr w:type="gramEnd"/>
      <w:r>
        <w:rPr>
          <w:rFonts w:asciiTheme="minorHAnsi" w:hAnsiTheme="minorHAnsi" w:cstheme="minorHAnsi"/>
          <w:szCs w:val="24"/>
          <w:lang w:val="fr-FR"/>
        </w:rPr>
        <w:t xml:space="preserve"> </w:t>
      </w:r>
    </w:p>
    <w:p w14:paraId="15B061EC" w14:textId="77777777" w:rsidR="00FC7F1B" w:rsidRDefault="00FC7F1B">
      <w:pPr>
        <w:jc w:val="both"/>
        <w:rPr>
          <w:rFonts w:asciiTheme="minorHAnsi" w:eastAsia="Times" w:hAnsiTheme="minorHAnsi" w:cstheme="minorHAnsi"/>
          <w:bCs/>
          <w:color w:val="000000"/>
          <w:szCs w:val="24"/>
          <w:lang w:val="fr-FR" w:eastAsia="en-GB"/>
        </w:rPr>
      </w:pPr>
    </w:p>
    <w:p w14:paraId="2AA969A3" w14:textId="77777777" w:rsidR="00FC7F1B" w:rsidRDefault="00000000">
      <w:pPr>
        <w:pStyle w:val="Caption"/>
        <w:keepNext/>
        <w:spacing w:line="240" w:lineRule="auto"/>
        <w:jc w:val="both"/>
        <w:rPr>
          <w:rFonts w:asciiTheme="minorHAnsi" w:hAnsiTheme="minorHAnsi" w:cstheme="minorHAnsi"/>
          <w:b w:val="0"/>
          <w:bCs w:val="0"/>
          <w:i/>
          <w:iCs/>
          <w:sz w:val="24"/>
          <w:szCs w:val="24"/>
          <w:lang w:val="fr-FR"/>
        </w:rPr>
      </w:pPr>
      <w:r>
        <w:rPr>
          <w:rFonts w:asciiTheme="minorHAnsi" w:hAnsiTheme="minorHAnsi" w:cstheme="minorHAnsi"/>
          <w:b w:val="0"/>
          <w:bCs w:val="0"/>
          <w:i/>
          <w:iCs/>
          <w:sz w:val="24"/>
          <w:szCs w:val="24"/>
          <w:lang w:val="fr-FR"/>
        </w:rPr>
        <w:t xml:space="preserve">Tableau 2 : Les utilisations envisagées de cette évaluation </w:t>
      </w:r>
    </w:p>
    <w:p w14:paraId="40464FF5" w14:textId="77777777" w:rsidR="00FC7F1B" w:rsidRDefault="00FC7F1B">
      <w:pPr>
        <w:contextualSpacing/>
        <w:jc w:val="both"/>
        <w:rPr>
          <w:rFonts w:asciiTheme="minorHAnsi" w:hAnsiTheme="minorHAnsi" w:cstheme="minorHAnsi"/>
          <w:szCs w:val="24"/>
          <w:lang w:val="fr-FR"/>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4680"/>
      </w:tblGrid>
      <w:tr w:rsidR="00FC7F1B" w:rsidRPr="009B3F45" w14:paraId="7EB8CBD5" w14:textId="77777777">
        <w:tc>
          <w:tcPr>
            <w:tcW w:w="4837" w:type="dxa"/>
            <w:shd w:val="clear" w:color="auto" w:fill="00B0F0"/>
          </w:tcPr>
          <w:p w14:paraId="64763741" w14:textId="77777777" w:rsidR="00FC7F1B" w:rsidRDefault="00000000">
            <w:pPr>
              <w:contextualSpacing/>
              <w:jc w:val="both"/>
              <w:rPr>
                <w:rFonts w:asciiTheme="minorHAnsi" w:hAnsiTheme="minorHAnsi" w:cstheme="minorHAnsi"/>
                <w:b/>
                <w:color w:val="FFFFFF" w:themeColor="background1"/>
                <w:szCs w:val="22"/>
                <w:lang w:val="fr-FR"/>
              </w:rPr>
            </w:pPr>
            <w:r>
              <w:rPr>
                <w:rFonts w:asciiTheme="minorHAnsi" w:hAnsiTheme="minorHAnsi" w:cstheme="minorHAnsi"/>
                <w:b/>
                <w:color w:val="FFFFFF" w:themeColor="background1"/>
                <w:szCs w:val="22"/>
                <w:lang w:val="fr-FR"/>
              </w:rPr>
              <w:t>Utilisateurs de l’évaluation</w:t>
            </w:r>
          </w:p>
        </w:tc>
        <w:tc>
          <w:tcPr>
            <w:tcW w:w="4680" w:type="dxa"/>
            <w:shd w:val="clear" w:color="auto" w:fill="00B0F0"/>
          </w:tcPr>
          <w:p w14:paraId="26329CDF" w14:textId="77777777" w:rsidR="00FC7F1B" w:rsidRDefault="00000000">
            <w:pPr>
              <w:contextualSpacing/>
              <w:jc w:val="both"/>
              <w:rPr>
                <w:rFonts w:asciiTheme="minorHAnsi" w:hAnsiTheme="minorHAnsi" w:cstheme="minorHAnsi"/>
                <w:b/>
                <w:color w:val="FFFFFF" w:themeColor="background1"/>
                <w:szCs w:val="22"/>
                <w:lang w:val="fr-FR"/>
              </w:rPr>
            </w:pPr>
            <w:r>
              <w:rPr>
                <w:rFonts w:asciiTheme="minorHAnsi" w:hAnsiTheme="minorHAnsi" w:cstheme="minorHAnsi"/>
                <w:b/>
                <w:color w:val="FFFFFF" w:themeColor="background1"/>
                <w:szCs w:val="22"/>
                <w:lang w:val="fr-FR"/>
              </w:rPr>
              <w:t>Utilisation de l’évaluation (comment les conclusions et recommandations seront utilisées)</w:t>
            </w:r>
          </w:p>
        </w:tc>
      </w:tr>
      <w:tr w:rsidR="00FC7F1B" w:rsidRPr="009B3F45" w14:paraId="26CAE13C" w14:textId="77777777">
        <w:tc>
          <w:tcPr>
            <w:tcW w:w="4837" w:type="dxa"/>
            <w:shd w:val="clear" w:color="auto" w:fill="auto"/>
          </w:tcPr>
          <w:p w14:paraId="1270ACC2" w14:textId="77777777" w:rsidR="00FC7F1B" w:rsidRDefault="00000000">
            <w:pPr>
              <w:contextualSpacing/>
              <w:jc w:val="both"/>
              <w:rPr>
                <w:rFonts w:asciiTheme="minorHAnsi" w:hAnsiTheme="minorHAnsi" w:cstheme="minorHAnsi"/>
                <w:bCs/>
                <w:szCs w:val="22"/>
                <w:lang w:val="fr-FR"/>
              </w:rPr>
            </w:pPr>
            <w:r>
              <w:rPr>
                <w:rFonts w:asciiTheme="minorHAnsi" w:hAnsiTheme="minorHAnsi" w:cstheme="minorHAnsi"/>
                <w:bCs/>
                <w:szCs w:val="22"/>
                <w:lang w:val="fr-FR"/>
              </w:rPr>
              <w:t xml:space="preserve">Agences des Nations Unies </w:t>
            </w:r>
          </w:p>
          <w:p w14:paraId="07A0440E" w14:textId="77777777" w:rsidR="00FC7F1B" w:rsidRDefault="00000000">
            <w:pPr>
              <w:contextualSpacing/>
              <w:jc w:val="both"/>
              <w:rPr>
                <w:rFonts w:asciiTheme="minorHAnsi" w:hAnsiTheme="minorHAnsi" w:cstheme="minorHAnsi"/>
                <w:bCs/>
                <w:szCs w:val="22"/>
                <w:lang w:val="fr-FR"/>
              </w:rPr>
            </w:pPr>
            <w:r>
              <w:rPr>
                <w:rFonts w:asciiTheme="minorHAnsi" w:hAnsiTheme="minorHAnsi" w:cstheme="minorHAnsi"/>
                <w:bCs/>
                <w:szCs w:val="22"/>
                <w:lang w:val="fr-FR"/>
              </w:rPr>
              <w:t>(OIM, UNHCR, UNICEF, UNODC)</w:t>
            </w:r>
          </w:p>
        </w:tc>
        <w:tc>
          <w:tcPr>
            <w:tcW w:w="4680" w:type="dxa"/>
            <w:shd w:val="clear" w:color="auto" w:fill="auto"/>
          </w:tcPr>
          <w:p w14:paraId="2A5F7BB1" w14:textId="77777777" w:rsidR="00FC7F1B" w:rsidRDefault="00000000">
            <w:pPr>
              <w:pStyle w:val="ListParagraph"/>
              <w:numPr>
                <w:ilvl w:val="0"/>
                <w:numId w:val="3"/>
              </w:numPr>
              <w:jc w:val="both"/>
              <w:rPr>
                <w:rFonts w:asciiTheme="minorHAnsi" w:hAnsiTheme="minorHAnsi" w:cstheme="minorHAnsi"/>
                <w:szCs w:val="22"/>
                <w:lang w:val="fr-FR"/>
              </w:rPr>
            </w:pPr>
            <w:proofErr w:type="spellStart"/>
            <w:r>
              <w:rPr>
                <w:rFonts w:asciiTheme="minorHAnsi" w:hAnsiTheme="minorHAnsi" w:cstheme="minorHAnsi"/>
                <w:szCs w:val="22"/>
              </w:rPr>
              <w:t>Tirer</w:t>
            </w:r>
            <w:proofErr w:type="spellEnd"/>
            <w:r>
              <w:rPr>
                <w:rFonts w:asciiTheme="minorHAnsi" w:hAnsiTheme="minorHAnsi" w:cstheme="minorHAnsi"/>
                <w:szCs w:val="22"/>
              </w:rPr>
              <w:t xml:space="preserve"> les </w:t>
            </w:r>
            <w:proofErr w:type="spellStart"/>
            <w:r>
              <w:rPr>
                <w:rFonts w:asciiTheme="minorHAnsi" w:hAnsiTheme="minorHAnsi" w:cstheme="minorHAnsi"/>
                <w:szCs w:val="22"/>
              </w:rPr>
              <w:t>enseignements</w:t>
            </w:r>
            <w:proofErr w:type="spellEnd"/>
            <w:r>
              <w:rPr>
                <w:rFonts w:asciiTheme="minorHAnsi" w:hAnsiTheme="minorHAnsi" w:cstheme="minorHAnsi"/>
                <w:szCs w:val="22"/>
              </w:rPr>
              <w:t xml:space="preserve"> du </w:t>
            </w:r>
            <w:proofErr w:type="spellStart"/>
            <w:r>
              <w:rPr>
                <w:rFonts w:asciiTheme="minorHAnsi" w:hAnsiTheme="minorHAnsi" w:cstheme="minorHAnsi"/>
                <w:szCs w:val="22"/>
              </w:rPr>
              <w:t>projet</w:t>
            </w:r>
            <w:proofErr w:type="spellEnd"/>
          </w:p>
          <w:p w14:paraId="2C190E64" w14:textId="77777777" w:rsidR="00FC7F1B" w:rsidRDefault="00000000">
            <w:pPr>
              <w:pStyle w:val="ListParagraph"/>
              <w:numPr>
                <w:ilvl w:val="0"/>
                <w:numId w:val="3"/>
              </w:numPr>
              <w:jc w:val="both"/>
              <w:rPr>
                <w:rFonts w:asciiTheme="minorHAnsi" w:hAnsiTheme="minorHAnsi" w:cstheme="minorHAnsi"/>
                <w:szCs w:val="22"/>
                <w:lang w:val="fr-FR"/>
              </w:rPr>
            </w:pPr>
            <w:r>
              <w:rPr>
                <w:rFonts w:asciiTheme="minorHAnsi" w:hAnsiTheme="minorHAnsi" w:cstheme="minorHAnsi"/>
                <w:szCs w:val="22"/>
                <w:lang w:val="fr-FR"/>
              </w:rPr>
              <w:t>Apprécier la magnitude du phénomène migratoire</w:t>
            </w:r>
          </w:p>
          <w:p w14:paraId="5849EB0B" w14:textId="77777777" w:rsidR="00FC7F1B" w:rsidRDefault="00000000">
            <w:pPr>
              <w:pStyle w:val="ListParagraph"/>
              <w:numPr>
                <w:ilvl w:val="0"/>
                <w:numId w:val="3"/>
              </w:numPr>
              <w:jc w:val="both"/>
              <w:rPr>
                <w:rFonts w:asciiTheme="minorHAnsi" w:hAnsiTheme="minorHAnsi" w:cstheme="minorHAnsi"/>
                <w:szCs w:val="22"/>
                <w:lang w:val="fr-FR"/>
              </w:rPr>
            </w:pPr>
            <w:r>
              <w:rPr>
                <w:rFonts w:asciiTheme="minorHAnsi" w:hAnsiTheme="minorHAnsi" w:cstheme="minorHAnsi"/>
                <w:szCs w:val="22"/>
                <w:lang w:val="fr-FR"/>
              </w:rPr>
              <w:t>Exploiter les évidences pour de futures levées de fonds.</w:t>
            </w:r>
          </w:p>
        </w:tc>
      </w:tr>
      <w:tr w:rsidR="00FC7F1B" w:rsidRPr="009B3F45" w14:paraId="15774138" w14:textId="77777777">
        <w:tc>
          <w:tcPr>
            <w:tcW w:w="4837" w:type="dxa"/>
            <w:shd w:val="clear" w:color="auto" w:fill="auto"/>
          </w:tcPr>
          <w:p w14:paraId="502F8546" w14:textId="77777777" w:rsidR="00FC7F1B" w:rsidRDefault="00000000">
            <w:pPr>
              <w:jc w:val="both"/>
              <w:rPr>
                <w:rFonts w:asciiTheme="minorHAnsi" w:hAnsiTheme="minorHAnsi" w:cstheme="minorHAnsi"/>
                <w:bCs/>
                <w:szCs w:val="22"/>
                <w:lang w:val="fr-FR"/>
              </w:rPr>
            </w:pPr>
            <w:r>
              <w:rPr>
                <w:rFonts w:asciiTheme="minorHAnsi" w:hAnsiTheme="minorHAnsi" w:cstheme="minorHAnsi"/>
                <w:bCs/>
                <w:szCs w:val="22"/>
                <w:lang w:val="fr-FR"/>
              </w:rPr>
              <w:t>Gouvernement (</w:t>
            </w:r>
            <w:r>
              <w:rPr>
                <w:rFonts w:asciiTheme="minorHAnsi" w:eastAsia="SimSun" w:hAnsiTheme="minorHAnsi" w:cstheme="minorHAnsi"/>
                <w:bCs/>
                <w:color w:val="000000"/>
                <w:szCs w:val="24"/>
                <w:lang w:val="fr-FR" w:eastAsia="zh-CN" w:bidi="ar"/>
              </w:rPr>
              <w:t xml:space="preserve">Direction Générale de la Documentation et de l’Immigration (DGDI) au </w:t>
            </w:r>
            <w:proofErr w:type="gramStart"/>
            <w:r>
              <w:rPr>
                <w:rFonts w:asciiTheme="minorHAnsi" w:eastAsia="SimSun" w:hAnsiTheme="minorHAnsi" w:cstheme="minorHAnsi"/>
                <w:bCs/>
                <w:color w:val="000000"/>
                <w:szCs w:val="24"/>
                <w:lang w:val="fr-FR" w:eastAsia="zh-CN" w:bidi="ar"/>
              </w:rPr>
              <w:t>Ministère de l’Intérieur</w:t>
            </w:r>
            <w:proofErr w:type="gramEnd"/>
            <w:r>
              <w:rPr>
                <w:rFonts w:asciiTheme="minorHAnsi" w:eastAsia="SimSun" w:hAnsiTheme="minorHAnsi" w:cstheme="minorHAnsi"/>
                <w:bCs/>
                <w:szCs w:val="24"/>
                <w:lang w:val="fr-FR" w:eastAsia="zh-CN" w:bidi="ar"/>
              </w:rPr>
              <w:t xml:space="preserve">, </w:t>
            </w:r>
            <w:r>
              <w:rPr>
                <w:rFonts w:asciiTheme="minorHAnsi" w:eastAsia="SimSun" w:hAnsiTheme="minorHAnsi" w:cstheme="minorHAnsi"/>
                <w:bCs/>
                <w:color w:val="000000"/>
                <w:szCs w:val="24"/>
                <w:lang w:val="fr-FR" w:eastAsia="zh-CN" w:bidi="ar"/>
              </w:rPr>
              <w:t>Ministère de la Défense</w:t>
            </w:r>
            <w:r>
              <w:rPr>
                <w:rFonts w:asciiTheme="minorHAnsi" w:eastAsia="SimSun" w:hAnsiTheme="minorHAnsi" w:cstheme="minorHAnsi"/>
                <w:bCs/>
                <w:szCs w:val="24"/>
                <w:lang w:val="fr-FR" w:eastAsia="zh-CN" w:bidi="ar"/>
              </w:rPr>
              <w:t>,</w:t>
            </w:r>
            <w:r>
              <w:rPr>
                <w:rFonts w:asciiTheme="minorHAnsi" w:eastAsia="SimSun" w:hAnsiTheme="minorHAnsi" w:cstheme="minorHAnsi"/>
                <w:bCs/>
                <w:color w:val="000000"/>
                <w:szCs w:val="24"/>
                <w:lang w:val="fr-FR" w:eastAsia="zh-CN" w:bidi="ar"/>
              </w:rPr>
              <w:t xml:space="preserve"> Ministère de la Justice</w:t>
            </w:r>
            <w:r>
              <w:rPr>
                <w:rFonts w:asciiTheme="minorHAnsi" w:eastAsia="SimSun" w:hAnsiTheme="minorHAnsi" w:cstheme="minorHAnsi"/>
                <w:bCs/>
                <w:szCs w:val="24"/>
                <w:lang w:val="fr-FR" w:eastAsia="zh-CN" w:bidi="ar"/>
              </w:rPr>
              <w:t xml:space="preserve">, </w:t>
            </w:r>
            <w:r>
              <w:rPr>
                <w:rFonts w:asciiTheme="minorHAnsi" w:eastAsia="SimSun" w:hAnsiTheme="minorHAnsi" w:cstheme="minorHAnsi"/>
                <w:bCs/>
                <w:color w:val="000000"/>
                <w:szCs w:val="24"/>
                <w:lang w:val="fr-FR" w:eastAsia="zh-CN" w:bidi="ar"/>
              </w:rPr>
              <w:t>Ministère de la Sante et des Affaires Sociales</w:t>
            </w:r>
            <w:r>
              <w:rPr>
                <w:rFonts w:asciiTheme="minorHAnsi" w:eastAsia="SimSun" w:hAnsiTheme="minorHAnsi" w:cstheme="minorHAnsi"/>
                <w:bCs/>
                <w:szCs w:val="24"/>
                <w:lang w:val="fr-FR" w:eastAsia="zh-CN" w:bidi="ar"/>
              </w:rPr>
              <w:t xml:space="preserve">, </w:t>
            </w:r>
            <w:r>
              <w:rPr>
                <w:rFonts w:asciiTheme="minorHAnsi" w:eastAsia="SimSun" w:hAnsiTheme="minorHAnsi" w:cstheme="minorHAnsi"/>
                <w:bCs/>
                <w:color w:val="000000"/>
                <w:szCs w:val="24"/>
                <w:lang w:val="fr-FR" w:eastAsia="zh-CN" w:bidi="ar"/>
              </w:rPr>
              <w:t>Ministère des Affaires Étrangères</w:t>
            </w:r>
            <w:r>
              <w:rPr>
                <w:rFonts w:asciiTheme="minorHAnsi" w:hAnsiTheme="minorHAnsi" w:cstheme="minorHAnsi"/>
                <w:bCs/>
                <w:szCs w:val="22"/>
                <w:lang w:val="fr-FR"/>
              </w:rPr>
              <w:t>)</w:t>
            </w:r>
          </w:p>
        </w:tc>
        <w:tc>
          <w:tcPr>
            <w:tcW w:w="4680" w:type="dxa"/>
            <w:shd w:val="clear" w:color="auto" w:fill="auto"/>
          </w:tcPr>
          <w:p w14:paraId="4A18BD66" w14:textId="77777777" w:rsidR="00FC7F1B" w:rsidRDefault="00000000">
            <w:pPr>
              <w:pStyle w:val="ListParagraph"/>
              <w:numPr>
                <w:ilvl w:val="0"/>
                <w:numId w:val="3"/>
              </w:numPr>
              <w:jc w:val="both"/>
              <w:rPr>
                <w:rFonts w:asciiTheme="minorHAnsi" w:hAnsiTheme="minorHAnsi" w:cstheme="minorHAnsi"/>
                <w:szCs w:val="22"/>
                <w:lang w:val="fr-FR"/>
              </w:rPr>
            </w:pPr>
            <w:r>
              <w:rPr>
                <w:rFonts w:asciiTheme="minorHAnsi" w:hAnsiTheme="minorHAnsi" w:cstheme="minorHAnsi"/>
                <w:szCs w:val="22"/>
                <w:lang w:val="fr-FR"/>
              </w:rPr>
              <w:t>Apprécier leurs interventions sur base des nouveaux outils normatifs</w:t>
            </w:r>
          </w:p>
          <w:p w14:paraId="3226CC45" w14:textId="77777777" w:rsidR="00FC7F1B" w:rsidRDefault="00000000">
            <w:pPr>
              <w:pStyle w:val="ListParagraph"/>
              <w:numPr>
                <w:ilvl w:val="0"/>
                <w:numId w:val="3"/>
              </w:numPr>
              <w:jc w:val="both"/>
              <w:rPr>
                <w:rFonts w:asciiTheme="minorHAnsi" w:hAnsiTheme="minorHAnsi" w:cstheme="minorHAnsi"/>
                <w:szCs w:val="22"/>
                <w:lang w:val="fr-FR"/>
              </w:rPr>
            </w:pPr>
            <w:r>
              <w:rPr>
                <w:rFonts w:asciiTheme="minorHAnsi" w:hAnsiTheme="minorHAnsi" w:cstheme="minorHAnsi"/>
                <w:szCs w:val="22"/>
                <w:lang w:val="fr-FR"/>
              </w:rPr>
              <w:t>Élaborer des politiques, des stratégies et des interventions recommandées par les évaluateurs.</w:t>
            </w:r>
          </w:p>
        </w:tc>
      </w:tr>
      <w:tr w:rsidR="00FC7F1B" w:rsidRPr="009B3F45" w14:paraId="364E1C80" w14:textId="77777777">
        <w:tc>
          <w:tcPr>
            <w:tcW w:w="4837" w:type="dxa"/>
            <w:shd w:val="clear" w:color="auto" w:fill="auto"/>
          </w:tcPr>
          <w:p w14:paraId="1B0DC621" w14:textId="77777777" w:rsidR="00FC7F1B" w:rsidRDefault="00000000">
            <w:pPr>
              <w:contextualSpacing/>
              <w:jc w:val="both"/>
              <w:rPr>
                <w:rFonts w:asciiTheme="minorHAnsi" w:hAnsiTheme="minorHAnsi" w:cstheme="minorHAnsi"/>
                <w:bCs/>
                <w:szCs w:val="22"/>
                <w:lang w:val="fr-FR"/>
              </w:rPr>
            </w:pPr>
            <w:r>
              <w:rPr>
                <w:rFonts w:asciiTheme="minorHAnsi" w:hAnsiTheme="minorHAnsi" w:cstheme="minorHAnsi"/>
                <w:bCs/>
                <w:szCs w:val="22"/>
                <w:lang w:val="fr-FR"/>
              </w:rPr>
              <w:t xml:space="preserve">Détenteurs de droits (enfants guides d’aveugles, familles exilées et communautés d’immigrants) </w:t>
            </w:r>
          </w:p>
        </w:tc>
        <w:tc>
          <w:tcPr>
            <w:tcW w:w="4680" w:type="dxa"/>
            <w:shd w:val="clear" w:color="auto" w:fill="auto"/>
          </w:tcPr>
          <w:p w14:paraId="7A76B015" w14:textId="77777777" w:rsidR="00FC7F1B" w:rsidRDefault="00000000">
            <w:pPr>
              <w:pStyle w:val="ListParagraph"/>
              <w:numPr>
                <w:ilvl w:val="0"/>
                <w:numId w:val="3"/>
              </w:numPr>
              <w:jc w:val="both"/>
              <w:rPr>
                <w:rFonts w:asciiTheme="minorHAnsi" w:hAnsiTheme="minorHAnsi" w:cstheme="minorHAnsi"/>
                <w:szCs w:val="22"/>
                <w:lang w:val="fr-FR"/>
              </w:rPr>
            </w:pPr>
            <w:r>
              <w:rPr>
                <w:rFonts w:asciiTheme="minorHAnsi" w:hAnsiTheme="minorHAnsi" w:cstheme="minorHAnsi"/>
                <w:szCs w:val="22"/>
                <w:lang w:val="fr-FR"/>
              </w:rPr>
              <w:t>Mieux apprécier les voies et moyens de s’approprier leurs droits de migrants.</w:t>
            </w:r>
          </w:p>
        </w:tc>
      </w:tr>
      <w:tr w:rsidR="00FC7F1B" w:rsidRPr="009B3F45" w14:paraId="4BED742D" w14:textId="77777777">
        <w:tc>
          <w:tcPr>
            <w:tcW w:w="4837" w:type="dxa"/>
            <w:shd w:val="clear" w:color="auto" w:fill="auto"/>
          </w:tcPr>
          <w:p w14:paraId="6DA8328A" w14:textId="77777777" w:rsidR="00FC7F1B" w:rsidRDefault="00000000">
            <w:pPr>
              <w:contextualSpacing/>
              <w:jc w:val="both"/>
              <w:rPr>
                <w:rFonts w:asciiTheme="minorHAnsi" w:hAnsiTheme="minorHAnsi" w:cstheme="minorHAnsi"/>
                <w:bCs/>
                <w:szCs w:val="22"/>
                <w:lang w:val="fr-FR"/>
              </w:rPr>
            </w:pPr>
            <w:r>
              <w:rPr>
                <w:rFonts w:asciiTheme="minorHAnsi" w:hAnsiTheme="minorHAnsi" w:cstheme="minorHAnsi"/>
                <w:bCs/>
                <w:szCs w:val="22"/>
                <w:lang w:val="fr-FR"/>
              </w:rPr>
              <w:t xml:space="preserve">Agences et ONG partenaires de mise en œuvre </w:t>
            </w:r>
          </w:p>
        </w:tc>
        <w:tc>
          <w:tcPr>
            <w:tcW w:w="4680" w:type="dxa"/>
            <w:shd w:val="clear" w:color="auto" w:fill="auto"/>
          </w:tcPr>
          <w:p w14:paraId="68A7C261" w14:textId="77777777" w:rsidR="00FC7F1B" w:rsidRDefault="00000000">
            <w:pPr>
              <w:pStyle w:val="ListParagraph"/>
              <w:numPr>
                <w:ilvl w:val="0"/>
                <w:numId w:val="3"/>
              </w:numPr>
              <w:jc w:val="both"/>
              <w:rPr>
                <w:rFonts w:asciiTheme="minorHAnsi" w:hAnsiTheme="minorHAnsi" w:cstheme="minorHAnsi"/>
                <w:sz w:val="22"/>
                <w:szCs w:val="22"/>
                <w:lang w:val="fr-FR"/>
              </w:rPr>
            </w:pPr>
            <w:r>
              <w:rPr>
                <w:rFonts w:asciiTheme="minorHAnsi" w:hAnsiTheme="minorHAnsi" w:cstheme="minorHAnsi"/>
                <w:sz w:val="22"/>
                <w:szCs w:val="22"/>
                <w:lang w:val="fr-FR"/>
              </w:rPr>
              <w:t>Connaître leurs forces et faibles en tant qu’obligataires des droits des migrants</w:t>
            </w:r>
          </w:p>
          <w:p w14:paraId="06D8F2F6" w14:textId="77777777" w:rsidR="00FC7F1B" w:rsidRDefault="00000000">
            <w:pPr>
              <w:pStyle w:val="ListParagraph"/>
              <w:numPr>
                <w:ilvl w:val="0"/>
                <w:numId w:val="3"/>
              </w:numPr>
              <w:jc w:val="both"/>
              <w:rPr>
                <w:rFonts w:asciiTheme="minorHAnsi" w:hAnsiTheme="minorHAnsi" w:cstheme="minorHAnsi"/>
                <w:sz w:val="22"/>
                <w:szCs w:val="22"/>
                <w:lang w:val="fr-FR"/>
              </w:rPr>
            </w:pPr>
            <w:r>
              <w:rPr>
                <w:rFonts w:asciiTheme="minorHAnsi" w:hAnsiTheme="minorHAnsi" w:cstheme="minorHAnsi"/>
                <w:sz w:val="22"/>
                <w:szCs w:val="22"/>
                <w:lang w:val="fr-FR"/>
              </w:rPr>
              <w:t>Faire des choix dans les interventions spécifiques telles que recommandées par les évaluateurs</w:t>
            </w:r>
          </w:p>
        </w:tc>
      </w:tr>
    </w:tbl>
    <w:p w14:paraId="6F8EADA6" w14:textId="77777777" w:rsidR="00FC7F1B" w:rsidRDefault="00FC7F1B">
      <w:pPr>
        <w:jc w:val="both"/>
        <w:rPr>
          <w:rFonts w:asciiTheme="minorHAnsi" w:eastAsia="Times" w:hAnsiTheme="minorHAnsi" w:cstheme="minorHAnsi"/>
          <w:bCs/>
          <w:color w:val="000000"/>
          <w:szCs w:val="24"/>
          <w:lang w:val="fr-FR" w:eastAsia="en-GB"/>
        </w:rPr>
      </w:pPr>
    </w:p>
    <w:p w14:paraId="4FA8A833" w14:textId="77777777" w:rsidR="00FC7F1B" w:rsidRDefault="00000000">
      <w:p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Lors de la phase de démarrage, le consultant devra reconstituer une compréhension claire des acteurs ayant participé aux activités et des résultats par bénéficiaire final. Les agences principales de mise en œuvre partageront la documentation de programme à cet effet, qui sera supplémentée par des entretiens préliminaires avec les informateurs clés.</w:t>
      </w:r>
    </w:p>
    <w:p w14:paraId="14497FC7" w14:textId="77777777" w:rsidR="00FC7F1B" w:rsidRDefault="00FC7F1B">
      <w:pPr>
        <w:jc w:val="both"/>
        <w:rPr>
          <w:rFonts w:asciiTheme="minorHAnsi" w:eastAsia="Times" w:hAnsiTheme="minorHAnsi" w:cstheme="minorHAnsi"/>
          <w:bCs/>
          <w:color w:val="000000"/>
          <w:szCs w:val="24"/>
          <w:lang w:val="fr-FR" w:eastAsia="en-GB"/>
        </w:rPr>
      </w:pPr>
    </w:p>
    <w:p w14:paraId="62B7A133" w14:textId="77777777" w:rsidR="00FC7F1B" w:rsidRDefault="00000000">
      <w:pPr>
        <w:numPr>
          <w:ilvl w:val="0"/>
          <w:numId w:val="1"/>
        </w:numPr>
        <w:jc w:val="both"/>
        <w:rPr>
          <w:rFonts w:asciiTheme="minorHAnsi" w:eastAsia="Times" w:hAnsiTheme="minorHAnsi" w:cstheme="minorHAnsi"/>
          <w:b/>
          <w:color w:val="0070C0"/>
          <w:szCs w:val="24"/>
          <w:lang w:eastAsia="en-GB"/>
        </w:rPr>
      </w:pPr>
      <w:proofErr w:type="spellStart"/>
      <w:r>
        <w:rPr>
          <w:rFonts w:asciiTheme="minorHAnsi" w:eastAsia="Times" w:hAnsiTheme="minorHAnsi" w:cstheme="minorHAnsi"/>
          <w:b/>
          <w:color w:val="0070C0"/>
          <w:szCs w:val="24"/>
          <w:lang w:eastAsia="en-GB"/>
        </w:rPr>
        <w:t>Objectifs</w:t>
      </w:r>
      <w:proofErr w:type="spellEnd"/>
      <w:r>
        <w:rPr>
          <w:rFonts w:asciiTheme="minorHAnsi" w:eastAsia="Times" w:hAnsiTheme="minorHAnsi" w:cstheme="minorHAnsi"/>
          <w:b/>
          <w:color w:val="0070C0"/>
          <w:szCs w:val="24"/>
          <w:lang w:eastAsia="en-GB"/>
        </w:rPr>
        <w:t xml:space="preserve"> de </w:t>
      </w:r>
      <w:proofErr w:type="spellStart"/>
      <w:r>
        <w:rPr>
          <w:rFonts w:asciiTheme="minorHAnsi" w:eastAsia="Times" w:hAnsiTheme="minorHAnsi" w:cstheme="minorHAnsi"/>
          <w:b/>
          <w:color w:val="0070C0"/>
          <w:szCs w:val="24"/>
          <w:lang w:eastAsia="en-GB"/>
        </w:rPr>
        <w:t>cette</w:t>
      </w:r>
      <w:proofErr w:type="spellEnd"/>
      <w:r>
        <w:rPr>
          <w:rFonts w:asciiTheme="minorHAnsi" w:eastAsia="Times" w:hAnsiTheme="minorHAnsi" w:cstheme="minorHAnsi"/>
          <w:b/>
          <w:color w:val="0070C0"/>
          <w:szCs w:val="24"/>
          <w:lang w:eastAsia="en-GB"/>
        </w:rPr>
        <w:t xml:space="preserve"> </w:t>
      </w:r>
      <w:proofErr w:type="spellStart"/>
      <w:r>
        <w:rPr>
          <w:rFonts w:asciiTheme="minorHAnsi" w:eastAsia="Times" w:hAnsiTheme="minorHAnsi" w:cstheme="minorHAnsi"/>
          <w:b/>
          <w:color w:val="0070C0"/>
          <w:szCs w:val="24"/>
          <w:lang w:eastAsia="en-GB"/>
        </w:rPr>
        <w:t>évaluation</w:t>
      </w:r>
      <w:proofErr w:type="spellEnd"/>
    </w:p>
    <w:p w14:paraId="39B00C4D" w14:textId="77777777" w:rsidR="00FC7F1B" w:rsidRDefault="00000000">
      <w:p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 xml:space="preserve">Le consultant </w:t>
      </w:r>
      <w:proofErr w:type="gramStart"/>
      <w:r>
        <w:rPr>
          <w:rFonts w:asciiTheme="minorHAnsi" w:eastAsia="Times" w:hAnsiTheme="minorHAnsi" w:cstheme="minorHAnsi"/>
          <w:bCs/>
          <w:color w:val="000000"/>
          <w:szCs w:val="24"/>
          <w:lang w:val="fr-FR" w:eastAsia="en-GB"/>
        </w:rPr>
        <w:t>devra:</w:t>
      </w:r>
      <w:proofErr w:type="gramEnd"/>
    </w:p>
    <w:p w14:paraId="31D4B998" w14:textId="77777777" w:rsidR="00FC7F1B" w:rsidRDefault="00000000">
      <w:pPr>
        <w:numPr>
          <w:ilvl w:val="0"/>
          <w:numId w:val="4"/>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Dresser un bilan des réalisations faites dans la mise en œuvre du projet (2021 à 2023) par rapport aux résultats attendus ;</w:t>
      </w:r>
    </w:p>
    <w:p w14:paraId="48E0CAF8" w14:textId="77777777" w:rsidR="00FC7F1B" w:rsidRDefault="00000000">
      <w:pPr>
        <w:numPr>
          <w:ilvl w:val="0"/>
          <w:numId w:val="4"/>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Démontrer la pertinence, la cohérence, l’efficience, l’efficacité, la durabilité et l’impact du projet ;</w:t>
      </w:r>
    </w:p>
    <w:p w14:paraId="72D76242" w14:textId="77777777" w:rsidR="00FC7F1B" w:rsidRDefault="00000000">
      <w:pPr>
        <w:numPr>
          <w:ilvl w:val="0"/>
          <w:numId w:val="4"/>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 xml:space="preserve">Recueillir les enseignements tirés par les acteurs de la mise en œuvre du programme conjoint </w:t>
      </w:r>
    </w:p>
    <w:p w14:paraId="4BE179D5" w14:textId="77777777" w:rsidR="00FC7F1B" w:rsidRDefault="00000000">
      <w:pPr>
        <w:numPr>
          <w:ilvl w:val="0"/>
          <w:numId w:val="4"/>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 xml:space="preserve">Documenter les bonnes pratiques en matière de programmation et mise en œuvre conjointe inter-agences </w:t>
      </w:r>
    </w:p>
    <w:p w14:paraId="240BC3F6" w14:textId="77777777" w:rsidR="00FC7F1B" w:rsidRDefault="00000000">
      <w:pPr>
        <w:numPr>
          <w:ilvl w:val="0"/>
          <w:numId w:val="4"/>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lastRenderedPageBreak/>
        <w:t>Formuler des recommandations spécifiques aux agences selon leurs mandats respectifs et aux institutions gouvernementales dans le cadre d’un processus d’apprentissage continu sur la manière de prévenir et lutter contre la migration désorganisée et la traite transfrontalière.</w:t>
      </w:r>
    </w:p>
    <w:p w14:paraId="72697733" w14:textId="77777777" w:rsidR="00FC7F1B" w:rsidRDefault="00FC7F1B">
      <w:pPr>
        <w:jc w:val="both"/>
        <w:rPr>
          <w:rFonts w:asciiTheme="minorHAnsi" w:eastAsia="Times" w:hAnsiTheme="minorHAnsi" w:cstheme="minorHAnsi"/>
          <w:bCs/>
          <w:color w:val="000000"/>
          <w:szCs w:val="24"/>
          <w:lang w:val="fr-FR" w:eastAsia="en-GB"/>
        </w:rPr>
      </w:pPr>
    </w:p>
    <w:p w14:paraId="530EE0A1" w14:textId="77777777" w:rsidR="00FC7F1B" w:rsidRDefault="00000000">
      <w:pPr>
        <w:numPr>
          <w:ilvl w:val="0"/>
          <w:numId w:val="1"/>
        </w:numPr>
        <w:jc w:val="both"/>
        <w:rPr>
          <w:rFonts w:asciiTheme="minorHAnsi" w:eastAsia="Times" w:hAnsiTheme="minorHAnsi" w:cstheme="minorHAnsi"/>
          <w:b/>
          <w:color w:val="0070C0"/>
          <w:szCs w:val="24"/>
          <w:lang w:val="fr-FR" w:eastAsia="en-GB"/>
        </w:rPr>
      </w:pPr>
      <w:r>
        <w:rPr>
          <w:rFonts w:asciiTheme="minorHAnsi" w:eastAsia="Times" w:hAnsiTheme="minorHAnsi" w:cstheme="minorHAnsi"/>
          <w:b/>
          <w:color w:val="0070C0"/>
          <w:szCs w:val="24"/>
          <w:lang w:val="fr-FR" w:eastAsia="en-GB"/>
        </w:rPr>
        <w:t>Portée de l’évaluation (thématique, géographique et chronologique)</w:t>
      </w:r>
    </w:p>
    <w:p w14:paraId="7CCC5920" w14:textId="77777777" w:rsidR="00FC7F1B" w:rsidRDefault="00000000">
      <w:pPr>
        <w:numPr>
          <w:ilvl w:val="0"/>
          <w:numId w:val="5"/>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
          <w:color w:val="000000"/>
          <w:szCs w:val="24"/>
          <w:lang w:val="fr-FR" w:eastAsia="en-GB"/>
        </w:rPr>
        <w:t xml:space="preserve">La portée thématique : </w:t>
      </w:r>
      <w:r>
        <w:rPr>
          <w:rFonts w:asciiTheme="minorHAnsi" w:eastAsia="Times" w:hAnsiTheme="minorHAnsi" w:cstheme="minorHAnsi"/>
          <w:bCs/>
          <w:color w:val="000000"/>
          <w:szCs w:val="24"/>
          <w:lang w:val="fr-FR" w:eastAsia="en-GB"/>
        </w:rPr>
        <w:t xml:space="preserve">la présente évaluation portera sur l’ensemble du projet financé par </w:t>
      </w:r>
      <w:proofErr w:type="gramStart"/>
      <w:r>
        <w:rPr>
          <w:rFonts w:asciiTheme="minorHAnsi" w:eastAsia="Times" w:hAnsiTheme="minorHAnsi" w:cstheme="minorHAnsi"/>
          <w:bCs/>
          <w:color w:val="000000"/>
          <w:szCs w:val="24"/>
          <w:lang w:val="fr-FR" w:eastAsia="en-GB"/>
        </w:rPr>
        <w:t>l’</w:t>
      </w:r>
      <w:r>
        <w:rPr>
          <w:rFonts w:asciiTheme="minorHAnsi" w:eastAsia="Times" w:hAnsiTheme="minorHAnsi" w:cstheme="minorHAnsi"/>
          <w:b/>
          <w:color w:val="000000"/>
          <w:szCs w:val="24"/>
          <w:lang w:val="fr-FR" w:eastAsia="en-GB"/>
        </w:rPr>
        <w:t xml:space="preserve"> </w:t>
      </w:r>
      <w:r>
        <w:rPr>
          <w:rFonts w:asciiTheme="minorHAnsi" w:eastAsia="Times" w:hAnsiTheme="minorHAnsi" w:cstheme="minorHAnsi"/>
          <w:bCs/>
          <w:color w:val="000000"/>
          <w:szCs w:val="24"/>
          <w:lang w:val="fr-FR" w:eastAsia="en-GB"/>
        </w:rPr>
        <w:t xml:space="preserve"> </w:t>
      </w:r>
      <w:proofErr w:type="gramEnd"/>
      <w:r>
        <w:rPr>
          <w:rFonts w:asciiTheme="minorHAnsi" w:eastAsia="TimesNewRomanPS-BoldMT" w:hAnsiTheme="minorHAnsi" w:cstheme="minorHAnsi"/>
          <w:color w:val="000000"/>
          <w:szCs w:val="24"/>
          <w:lang w:val="fr-FR" w:eastAsia="zh-CN" w:bidi="ar"/>
        </w:rPr>
        <w:t>UNTFHS</w:t>
      </w:r>
      <w:r>
        <w:rPr>
          <w:rFonts w:asciiTheme="minorHAnsi" w:eastAsia="TimesNewRomanPS-BoldMT" w:hAnsiTheme="minorHAnsi" w:cstheme="minorHAnsi"/>
          <w:szCs w:val="24"/>
          <w:lang w:val="fr-FR" w:eastAsia="zh-CN" w:bidi="ar"/>
        </w:rPr>
        <w:t xml:space="preserve"> </w:t>
      </w:r>
      <w:r>
        <w:rPr>
          <w:rFonts w:asciiTheme="minorHAnsi" w:eastAsia="Times" w:hAnsiTheme="minorHAnsi" w:cstheme="minorHAnsi"/>
          <w:bCs/>
          <w:color w:val="000000"/>
          <w:szCs w:val="24"/>
          <w:lang w:val="fr-FR" w:eastAsia="en-GB"/>
        </w:rPr>
        <w:t xml:space="preserve">en considération du cadre normatif (juridique, réglementaire et standards), le cadre humain et institutionnel. L’évaluateur s’intéressera à la transversalité des actions de protection des migrants et demandeurs d’asile ou réfugiés en questionnant les bureaux régionaux des agences selon leurs missions dans le projet et mieux jauger les efforts multilatéraux entre le Gabon et les acteurs au développement. A cet effet, le consultant se penchera sur les interventions inter-agence en complémentarité des cadres programmatiques bilatéraux entre chaque agence et la contrepartie nationale. </w:t>
      </w:r>
    </w:p>
    <w:p w14:paraId="46841C42" w14:textId="77777777" w:rsidR="00FC7F1B" w:rsidRDefault="00000000">
      <w:pPr>
        <w:numPr>
          <w:ilvl w:val="0"/>
          <w:numId w:val="5"/>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
          <w:color w:val="000000"/>
          <w:szCs w:val="24"/>
          <w:lang w:val="fr-FR" w:eastAsia="en-GB"/>
        </w:rPr>
        <w:t>La portée temporelle</w:t>
      </w:r>
      <w:r>
        <w:rPr>
          <w:rFonts w:asciiTheme="minorHAnsi" w:eastAsia="Times" w:hAnsiTheme="minorHAnsi" w:cstheme="minorHAnsi"/>
          <w:bCs/>
          <w:color w:val="000000"/>
          <w:szCs w:val="24"/>
          <w:lang w:val="fr-FR" w:eastAsia="en-GB"/>
        </w:rPr>
        <w:t xml:space="preserve"> : l’évaluation portera sur l’ensemble des activités mises en œuvre par le projet entre </w:t>
      </w:r>
      <w:proofErr w:type="gramStart"/>
      <w:r>
        <w:rPr>
          <w:rFonts w:asciiTheme="minorHAnsi" w:eastAsia="Times" w:hAnsiTheme="minorHAnsi" w:cstheme="minorHAnsi"/>
          <w:bCs/>
          <w:color w:val="000000"/>
          <w:szCs w:val="24"/>
          <w:lang w:val="fr-FR" w:eastAsia="en-GB"/>
        </w:rPr>
        <w:t>Janvier</w:t>
      </w:r>
      <w:proofErr w:type="gramEnd"/>
      <w:r>
        <w:rPr>
          <w:rFonts w:asciiTheme="minorHAnsi" w:eastAsia="Times" w:hAnsiTheme="minorHAnsi" w:cstheme="minorHAnsi"/>
          <w:bCs/>
          <w:color w:val="000000"/>
          <w:szCs w:val="24"/>
          <w:lang w:val="fr-FR" w:eastAsia="en-GB"/>
        </w:rPr>
        <w:t xml:space="preserve"> 2021 et Décembre 2023 par rapport à chaque agence des Nations Unies et autres parties prenantes ;</w:t>
      </w:r>
    </w:p>
    <w:p w14:paraId="553CDEBA" w14:textId="77777777" w:rsidR="00FC7F1B" w:rsidRDefault="00000000">
      <w:pPr>
        <w:numPr>
          <w:ilvl w:val="0"/>
          <w:numId w:val="5"/>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
          <w:color w:val="000000"/>
          <w:szCs w:val="24"/>
          <w:lang w:val="fr-FR" w:eastAsia="en-GB"/>
        </w:rPr>
        <w:t>La portée géographique</w:t>
      </w:r>
      <w:r>
        <w:rPr>
          <w:rFonts w:asciiTheme="minorHAnsi" w:eastAsia="Times" w:hAnsiTheme="minorHAnsi" w:cstheme="minorHAnsi"/>
          <w:bCs/>
          <w:color w:val="000000"/>
          <w:szCs w:val="24"/>
          <w:lang w:val="fr-FR" w:eastAsia="en-GB"/>
        </w:rPr>
        <w:t> : l’évaluation portera sur le niveau national et sous-régional dans une certaine mesure. La collecte des données sur terrain couvrira quelques sites d’interventions qui seront identifiés par l’UNICEF et les autres agences parties prenantes du projet de sécurité humaine, en collaboration avec l’Équipe d’Évaluation. L’espace couvert est théoriquement de très petite taille avec une concentration sur la DGDI, la Task-force et les services sociaux.</w:t>
      </w:r>
    </w:p>
    <w:p w14:paraId="1B395BBE" w14:textId="77777777" w:rsidR="00FC7F1B" w:rsidRDefault="00FC7F1B">
      <w:pPr>
        <w:jc w:val="both"/>
        <w:rPr>
          <w:rFonts w:asciiTheme="minorHAnsi" w:eastAsia="Times" w:hAnsiTheme="minorHAnsi" w:cstheme="minorHAnsi"/>
          <w:bCs/>
          <w:color w:val="000000"/>
          <w:szCs w:val="24"/>
          <w:lang w:val="fr-FR" w:eastAsia="en-GB"/>
        </w:rPr>
      </w:pPr>
    </w:p>
    <w:p w14:paraId="02813728" w14:textId="77777777" w:rsidR="00FC7F1B" w:rsidRDefault="00000000">
      <w:pPr>
        <w:numPr>
          <w:ilvl w:val="0"/>
          <w:numId w:val="1"/>
        </w:numPr>
        <w:jc w:val="both"/>
        <w:rPr>
          <w:rFonts w:asciiTheme="minorHAnsi" w:eastAsia="Times" w:hAnsiTheme="minorHAnsi" w:cstheme="minorHAnsi"/>
          <w:b/>
          <w:color w:val="0070C0"/>
          <w:szCs w:val="24"/>
          <w:lang w:eastAsia="en-GB"/>
        </w:rPr>
      </w:pPr>
      <w:proofErr w:type="spellStart"/>
      <w:r>
        <w:rPr>
          <w:rFonts w:asciiTheme="minorHAnsi" w:eastAsia="Times" w:hAnsiTheme="minorHAnsi" w:cstheme="minorHAnsi"/>
          <w:b/>
          <w:color w:val="0070C0"/>
          <w:szCs w:val="24"/>
          <w:lang w:eastAsia="en-GB"/>
        </w:rPr>
        <w:t>Contexte</w:t>
      </w:r>
      <w:proofErr w:type="spellEnd"/>
      <w:r>
        <w:rPr>
          <w:rFonts w:asciiTheme="minorHAnsi" w:eastAsia="Times" w:hAnsiTheme="minorHAnsi" w:cstheme="minorHAnsi"/>
          <w:b/>
          <w:color w:val="0070C0"/>
          <w:szCs w:val="24"/>
          <w:lang w:eastAsia="en-GB"/>
        </w:rPr>
        <w:t xml:space="preserve"> de </w:t>
      </w:r>
      <w:proofErr w:type="spellStart"/>
      <w:r>
        <w:rPr>
          <w:rFonts w:asciiTheme="minorHAnsi" w:eastAsia="Times" w:hAnsiTheme="minorHAnsi" w:cstheme="minorHAnsi"/>
          <w:b/>
          <w:color w:val="0070C0"/>
          <w:szCs w:val="24"/>
          <w:lang w:eastAsia="en-GB"/>
        </w:rPr>
        <w:t>l’évaluation</w:t>
      </w:r>
      <w:proofErr w:type="spellEnd"/>
      <w:r>
        <w:rPr>
          <w:rFonts w:asciiTheme="minorHAnsi" w:eastAsia="Times" w:hAnsiTheme="minorHAnsi" w:cstheme="minorHAnsi"/>
          <w:b/>
          <w:color w:val="0070C0"/>
          <w:szCs w:val="24"/>
          <w:lang w:eastAsia="en-GB"/>
        </w:rPr>
        <w:t xml:space="preserve"> </w:t>
      </w:r>
    </w:p>
    <w:p w14:paraId="322DB6AD" w14:textId="77777777" w:rsidR="00FC7F1B" w:rsidRDefault="00000000">
      <w:p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 xml:space="preserve">La migration est une question transversale, pertinente pour tous les objectifs de développement durable (ODD). Dix des dix-sept ODD comportent des cibles et indicateurs pertinents pour la migration ou la mobilité. Le principe fondamental du Programme 2030 de « ne laisser personne de côté », y compris les migrants, exige la ventilation des données par statut migratoire, ce qui accroît considérablement les besoins en matière de données migratoires mais qui constitue également une opportunité d’améliorer ces dernières. La référence centrale des </w:t>
      </w:r>
      <w:proofErr w:type="spellStart"/>
      <w:r>
        <w:rPr>
          <w:rFonts w:asciiTheme="minorHAnsi" w:eastAsia="Times" w:hAnsiTheme="minorHAnsi" w:cstheme="minorHAnsi"/>
          <w:bCs/>
          <w:color w:val="000000"/>
          <w:szCs w:val="24"/>
          <w:lang w:val="fr-FR" w:eastAsia="en-GB"/>
        </w:rPr>
        <w:t>ODDs</w:t>
      </w:r>
      <w:proofErr w:type="spellEnd"/>
      <w:r>
        <w:rPr>
          <w:rFonts w:asciiTheme="minorHAnsi" w:eastAsia="Times" w:hAnsiTheme="minorHAnsi" w:cstheme="minorHAnsi"/>
          <w:bCs/>
          <w:color w:val="000000"/>
          <w:szCs w:val="24"/>
          <w:lang w:val="fr-FR" w:eastAsia="en-GB"/>
        </w:rPr>
        <w:t xml:space="preserve"> à la migration est faite dans la cible 10.7 visant à faciliter la migration et la mobilité ordonnées, sûres, régulières et responsables des personnes, notamment par la mise en œuvre de politiques migratoires planifiées et bien gérées, qui apparaissent dans l'objectif 10 des ODD visant à réduire les inégalités au sein du pays et entre les pays.</w:t>
      </w:r>
    </w:p>
    <w:p w14:paraId="1EC5C6B8" w14:textId="77777777" w:rsidR="00FC7F1B" w:rsidRDefault="00000000">
      <w:p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 xml:space="preserve">Le Gabon est unique dans la sous-région de l'Afrique centrale qui n’a jamais connu de conflit armé. Sa richesse pétrolière et sa stabilité politique relative ont produit des niveaux enviables de développement humain et ont donné au Gabon sa réputation d'"El Dorado" de l'Afrique centrale et de l’ouest. Avec un PIB par habitant de près de 8 000 dollars américains, le Gabon a un indice de développement humain se situant à 0,703 en 2022, ce qui place le pays dans une catégorie de développement humain élevé de 119/189 pays. </w:t>
      </w:r>
    </w:p>
    <w:p w14:paraId="24655058" w14:textId="77777777" w:rsidR="00FC7F1B" w:rsidRDefault="00000000">
      <w:p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 xml:space="preserve">Cette situation socio-économique et son hospitalité traditionnelle envers les réfugiés et les migrants en ont fait un pôle d'attraction majeur pour les migrations mixtes en provenance d'Afrique de l'Ouest et du Centre. </w:t>
      </w:r>
    </w:p>
    <w:p w14:paraId="5DC80F17" w14:textId="77777777" w:rsidR="00FC7F1B" w:rsidRDefault="00000000">
      <w:p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lastRenderedPageBreak/>
        <w:t>La migration mixte vers le Gabon comprenant la migration irrégulière à des fins de travail mais aussi la traite criminellement organisée, en particulier des femmes et des enfants - est un défi récurrent, croissant et de plus en plus visible. Du point de vue de la sécurité humaine, cette migration mixte résulte de l'intersection pernicieuse entre l'insécurité économique et politique, la violence sexiste et l'exploitation sexuelle dans les pays d'origine et de destination. L'instabilité dans la sous-région a entraîné une augmentation des flux mixtes de migrants, de demandeurs d'asile et de réfugiés, y compris les femmes et les enfants non accompagnés, qui représentent les principaux groupes cibles. Bénéficiant d'une réputation internationale de longue date en tant que pays d'accueil généreux pour les réfugiés et les migrants de longue durée, le Gabon est mis au défi de faire face aux flux migratoires mixtes et aux manifestations du crime organisé souvent associées à ces flux. Le nombre de migrants mixtes au Gabon est mal connu à cause du caractère informelle des routes empruntées et de la nature criminelle des activités des passeurs et recruteurs. Ce que la DGDI sait au moins c’est que 15% de la population gabonaise serait constituée de migrants. Motivées par de multiples facteurs, les personnes composant les flux migratoires mixtes ont des statuts juridiques différents et présentent diverses vulnérabilités. Bien qu’elles aient droit à une protection en vertu du droit international des droits de l’homme, elles peuvent souvent être exposées à de multiples violations des droits tout au long de leur voyage, en particulier les filles et les femmes. En outre, réfugiés et migrants empruntent des itinéraires similaires, utilisent des moyens de transport similaires – et voyagent souvent de manière irrégulière, assistés partiellement ou pendant l’entièreté du voyage par des passeurs » (</w:t>
      </w:r>
      <w:hyperlink r:id="rId18" w:tgtFrame="_blank" w:history="1">
        <w:r>
          <w:rPr>
            <w:rFonts w:asciiTheme="minorHAnsi" w:eastAsia="Times" w:hAnsiTheme="minorHAnsi" w:cstheme="minorHAnsi"/>
            <w:bCs/>
            <w:color w:val="000000"/>
            <w:szCs w:val="24"/>
            <w:lang w:val="fr-FR" w:eastAsia="en-GB"/>
          </w:rPr>
          <w:t>MMC, 2019</w:t>
        </w:r>
      </w:hyperlink>
      <w:r>
        <w:rPr>
          <w:rFonts w:asciiTheme="minorHAnsi" w:eastAsia="Times" w:hAnsiTheme="minorHAnsi" w:cstheme="minorHAnsi"/>
          <w:bCs/>
          <w:color w:val="000000"/>
          <w:szCs w:val="24"/>
          <w:lang w:val="fr-FR" w:eastAsia="en-GB"/>
        </w:rPr>
        <w:t>).</w:t>
      </w:r>
      <w:r>
        <w:rPr>
          <w:rFonts w:asciiTheme="minorHAnsi" w:hAnsiTheme="minorHAnsi" w:cstheme="minorHAnsi"/>
          <w:color w:val="000000"/>
          <w:sz w:val="18"/>
          <w:szCs w:val="18"/>
          <w:shd w:val="clear" w:color="auto" w:fill="F6F5F2"/>
          <w:lang w:val="fr-FR"/>
        </w:rPr>
        <w:t xml:space="preserve"> </w:t>
      </w:r>
      <w:r>
        <w:rPr>
          <w:rFonts w:asciiTheme="minorHAnsi" w:eastAsia="Times" w:hAnsiTheme="minorHAnsi" w:cstheme="minorHAnsi"/>
          <w:bCs/>
          <w:color w:val="000000"/>
          <w:szCs w:val="24"/>
          <w:lang w:val="fr-FR" w:eastAsia="en-GB"/>
        </w:rPr>
        <w:t>Selon une étude de l’Union Afrique sur la Migration et santé (2021)</w:t>
      </w:r>
      <w:r>
        <w:rPr>
          <w:rStyle w:val="FootnoteReference"/>
          <w:rFonts w:asciiTheme="minorHAnsi" w:eastAsia="Times" w:hAnsiTheme="minorHAnsi" w:cstheme="minorHAnsi"/>
          <w:bCs/>
          <w:color w:val="000000"/>
          <w:szCs w:val="24"/>
          <w:lang w:val="fr-FR" w:eastAsia="en-GB"/>
        </w:rPr>
        <w:footnoteReference w:id="2"/>
      </w:r>
      <w:r>
        <w:rPr>
          <w:rFonts w:asciiTheme="minorHAnsi" w:eastAsia="Times" w:hAnsiTheme="minorHAnsi" w:cstheme="minorHAnsi"/>
          <w:bCs/>
          <w:color w:val="000000"/>
          <w:szCs w:val="24"/>
          <w:lang w:val="fr-FR" w:eastAsia="en-GB"/>
        </w:rPr>
        <w:t xml:space="preserve">, les raisons les plus courantes pour lesquelles les migrants quittent leur pays d’origine sont l’amélioration de leur situation économique, le regroupement familial et les situations difficiles dans le pays d’origine. </w:t>
      </w:r>
    </w:p>
    <w:p w14:paraId="5EF7DE5D" w14:textId="77777777" w:rsidR="00FC7F1B" w:rsidRDefault="00000000">
      <w:p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 xml:space="preserve"> </w:t>
      </w:r>
    </w:p>
    <w:p w14:paraId="661A7D09" w14:textId="77777777" w:rsidR="00FC7F1B" w:rsidRDefault="00000000">
      <w:pPr>
        <w:numPr>
          <w:ilvl w:val="0"/>
          <w:numId w:val="1"/>
        </w:numPr>
        <w:jc w:val="both"/>
        <w:rPr>
          <w:rFonts w:asciiTheme="minorHAnsi" w:eastAsia="Times" w:hAnsiTheme="minorHAnsi" w:cstheme="minorHAnsi"/>
          <w:b/>
          <w:color w:val="0070C0"/>
          <w:szCs w:val="24"/>
          <w:lang w:eastAsia="en-GB"/>
        </w:rPr>
      </w:pPr>
      <w:proofErr w:type="spellStart"/>
      <w:r>
        <w:rPr>
          <w:rFonts w:asciiTheme="minorHAnsi" w:eastAsia="Times" w:hAnsiTheme="minorHAnsi" w:cstheme="minorHAnsi"/>
          <w:b/>
          <w:color w:val="0070C0"/>
          <w:szCs w:val="24"/>
          <w:lang w:eastAsia="en-GB"/>
        </w:rPr>
        <w:t>Critères</w:t>
      </w:r>
      <w:proofErr w:type="spellEnd"/>
      <w:r>
        <w:rPr>
          <w:rFonts w:asciiTheme="minorHAnsi" w:eastAsia="Times" w:hAnsiTheme="minorHAnsi" w:cstheme="minorHAnsi"/>
          <w:b/>
          <w:color w:val="0070C0"/>
          <w:szCs w:val="24"/>
          <w:lang w:eastAsia="en-GB"/>
        </w:rPr>
        <w:t xml:space="preserve"> </w:t>
      </w:r>
      <w:proofErr w:type="spellStart"/>
      <w:r>
        <w:rPr>
          <w:rFonts w:asciiTheme="minorHAnsi" w:eastAsia="Times" w:hAnsiTheme="minorHAnsi" w:cstheme="minorHAnsi"/>
          <w:b/>
          <w:color w:val="0070C0"/>
          <w:szCs w:val="24"/>
          <w:lang w:eastAsia="en-GB"/>
        </w:rPr>
        <w:t>d’évaluation</w:t>
      </w:r>
      <w:proofErr w:type="spellEnd"/>
      <w:r>
        <w:rPr>
          <w:rFonts w:asciiTheme="minorHAnsi" w:eastAsia="Times" w:hAnsiTheme="minorHAnsi" w:cstheme="minorHAnsi"/>
          <w:b/>
          <w:color w:val="0070C0"/>
          <w:szCs w:val="24"/>
          <w:lang w:eastAsia="en-GB"/>
        </w:rPr>
        <w:t xml:space="preserve"> </w:t>
      </w:r>
    </w:p>
    <w:p w14:paraId="213BA7A6" w14:textId="77777777" w:rsidR="00FC7F1B" w:rsidRDefault="00000000">
      <w:pPr>
        <w:jc w:val="both"/>
        <w:rPr>
          <w:rFonts w:asciiTheme="minorHAnsi" w:eastAsia="Times" w:hAnsiTheme="minorHAnsi" w:cstheme="minorHAnsi"/>
          <w:bCs/>
          <w:i/>
          <w:iCs/>
          <w:color w:val="000000"/>
          <w:szCs w:val="24"/>
          <w:lang w:val="fr-FR" w:eastAsia="en-GB"/>
        </w:rPr>
      </w:pPr>
      <w:r>
        <w:rPr>
          <w:rFonts w:asciiTheme="minorHAnsi" w:eastAsia="Times" w:hAnsiTheme="minorHAnsi" w:cstheme="minorHAnsi"/>
          <w:bCs/>
          <w:color w:val="000000"/>
          <w:szCs w:val="24"/>
          <w:lang w:val="fr-FR" w:eastAsia="en-GB"/>
        </w:rPr>
        <w:t xml:space="preserve">Afin d’atteindre les buts et objectifs de cette évaluation, le projet sera évalué sur la base de six critères dont cinq critères du Comité d’Aide au Développement de l’Organisation de Coopération et de Développement Économique (OCDE/CAD) dont </w:t>
      </w:r>
      <w:r>
        <w:rPr>
          <w:rFonts w:asciiTheme="minorHAnsi" w:eastAsia="Times" w:hAnsiTheme="minorHAnsi" w:cstheme="minorHAnsi"/>
          <w:bCs/>
          <w:i/>
          <w:iCs/>
          <w:color w:val="000000"/>
          <w:szCs w:val="24"/>
          <w:lang w:val="fr-FR" w:eastAsia="en-GB"/>
        </w:rPr>
        <w:t>la pertinence</w:t>
      </w:r>
      <w:r>
        <w:rPr>
          <w:rFonts w:asciiTheme="minorHAnsi" w:eastAsia="Times" w:hAnsiTheme="minorHAnsi" w:cstheme="minorHAnsi"/>
          <w:bCs/>
          <w:color w:val="000000"/>
          <w:szCs w:val="24"/>
          <w:lang w:val="fr-FR" w:eastAsia="en-GB"/>
        </w:rPr>
        <w:t xml:space="preserve"> du projet, </w:t>
      </w:r>
      <w:r>
        <w:rPr>
          <w:rFonts w:asciiTheme="minorHAnsi" w:eastAsia="Times" w:hAnsiTheme="minorHAnsi" w:cstheme="minorHAnsi"/>
          <w:bCs/>
          <w:i/>
          <w:iCs/>
          <w:color w:val="000000"/>
          <w:szCs w:val="24"/>
          <w:lang w:val="fr-FR" w:eastAsia="en-GB"/>
        </w:rPr>
        <w:t>la cohérence</w:t>
      </w:r>
      <w:r>
        <w:rPr>
          <w:rFonts w:asciiTheme="minorHAnsi" w:eastAsia="Times" w:hAnsiTheme="minorHAnsi" w:cstheme="minorHAnsi"/>
          <w:bCs/>
          <w:color w:val="000000"/>
          <w:szCs w:val="24"/>
          <w:lang w:val="fr-FR" w:eastAsia="en-GB"/>
        </w:rPr>
        <w:t xml:space="preserve">, </w:t>
      </w:r>
      <w:r>
        <w:rPr>
          <w:rFonts w:asciiTheme="minorHAnsi" w:eastAsia="Times" w:hAnsiTheme="minorHAnsi" w:cstheme="minorHAnsi"/>
          <w:bCs/>
          <w:i/>
          <w:iCs/>
          <w:color w:val="000000"/>
          <w:szCs w:val="24"/>
          <w:lang w:val="fr-FR" w:eastAsia="en-GB"/>
        </w:rPr>
        <w:t>l’efficacité</w:t>
      </w:r>
      <w:r>
        <w:rPr>
          <w:rFonts w:asciiTheme="minorHAnsi" w:eastAsia="Times" w:hAnsiTheme="minorHAnsi" w:cstheme="minorHAnsi"/>
          <w:bCs/>
          <w:color w:val="000000"/>
          <w:szCs w:val="24"/>
          <w:lang w:val="fr-FR" w:eastAsia="en-GB"/>
        </w:rPr>
        <w:t xml:space="preserve"> des interventions, leur </w:t>
      </w:r>
      <w:r>
        <w:rPr>
          <w:rFonts w:asciiTheme="minorHAnsi" w:eastAsia="Times" w:hAnsiTheme="minorHAnsi" w:cstheme="minorHAnsi"/>
          <w:bCs/>
          <w:i/>
          <w:iCs/>
          <w:color w:val="000000"/>
          <w:szCs w:val="24"/>
          <w:lang w:val="fr-FR" w:eastAsia="en-GB"/>
        </w:rPr>
        <w:t>efficience</w:t>
      </w:r>
      <w:r>
        <w:rPr>
          <w:rFonts w:asciiTheme="minorHAnsi" w:eastAsia="Times" w:hAnsiTheme="minorHAnsi" w:cstheme="minorHAnsi"/>
          <w:bCs/>
          <w:color w:val="000000"/>
          <w:szCs w:val="24"/>
          <w:lang w:val="fr-FR" w:eastAsia="en-GB"/>
        </w:rPr>
        <w:t xml:space="preserve">, </w:t>
      </w:r>
      <w:r>
        <w:rPr>
          <w:rFonts w:asciiTheme="minorHAnsi" w:eastAsia="Times" w:hAnsiTheme="minorHAnsi" w:cstheme="minorHAnsi"/>
          <w:bCs/>
          <w:i/>
          <w:iCs/>
          <w:color w:val="000000"/>
          <w:szCs w:val="24"/>
          <w:lang w:val="fr-FR" w:eastAsia="en-GB"/>
        </w:rPr>
        <w:t>l’impact</w:t>
      </w:r>
      <w:r>
        <w:rPr>
          <w:rFonts w:asciiTheme="minorHAnsi" w:eastAsia="Times" w:hAnsiTheme="minorHAnsi" w:cstheme="minorHAnsi"/>
          <w:bCs/>
          <w:color w:val="000000"/>
          <w:szCs w:val="24"/>
          <w:lang w:val="fr-FR" w:eastAsia="en-GB"/>
        </w:rPr>
        <w:t xml:space="preserve"> sur les systèmes ou les individus et enfin </w:t>
      </w:r>
      <w:r>
        <w:rPr>
          <w:rFonts w:asciiTheme="minorHAnsi" w:eastAsia="Times" w:hAnsiTheme="minorHAnsi" w:cstheme="minorHAnsi"/>
          <w:bCs/>
          <w:i/>
          <w:iCs/>
          <w:color w:val="000000"/>
          <w:szCs w:val="24"/>
          <w:lang w:val="fr-FR" w:eastAsia="en-GB"/>
        </w:rPr>
        <w:t>la durabilité</w:t>
      </w:r>
      <w:r>
        <w:rPr>
          <w:rFonts w:asciiTheme="minorHAnsi" w:eastAsia="Times" w:hAnsiTheme="minorHAnsi" w:cstheme="minorHAnsi"/>
          <w:bCs/>
          <w:color w:val="000000"/>
          <w:szCs w:val="24"/>
          <w:lang w:val="fr-FR" w:eastAsia="en-GB"/>
        </w:rPr>
        <w:t xml:space="preserve"> des acquis du projet dans l’espace et le temps. De plus, l’évaluation prendra en compte le critère transversal sur </w:t>
      </w:r>
      <w:r>
        <w:rPr>
          <w:rFonts w:asciiTheme="minorHAnsi" w:eastAsia="Times" w:hAnsiTheme="minorHAnsi" w:cstheme="minorHAnsi"/>
          <w:bCs/>
          <w:i/>
          <w:iCs/>
          <w:color w:val="000000"/>
          <w:szCs w:val="24"/>
          <w:lang w:val="fr-FR" w:eastAsia="en-GB"/>
        </w:rPr>
        <w:t xml:space="preserve">le genre, l’inclusion sociale (personnes handicapées), l’équité et les droits humains. </w:t>
      </w:r>
    </w:p>
    <w:p w14:paraId="089B5BEE" w14:textId="77777777" w:rsidR="00FC7F1B" w:rsidRDefault="00FC7F1B">
      <w:pPr>
        <w:jc w:val="both"/>
        <w:rPr>
          <w:rFonts w:asciiTheme="minorHAnsi" w:eastAsia="Times" w:hAnsiTheme="minorHAnsi" w:cstheme="minorHAnsi"/>
          <w:bCs/>
          <w:color w:val="000000"/>
          <w:szCs w:val="24"/>
          <w:lang w:val="fr-FR" w:eastAsia="en-GB"/>
        </w:rPr>
      </w:pPr>
    </w:p>
    <w:p w14:paraId="4B227E05" w14:textId="77777777" w:rsidR="00FC7F1B" w:rsidRDefault="00000000">
      <w:pPr>
        <w:numPr>
          <w:ilvl w:val="0"/>
          <w:numId w:val="1"/>
        </w:numPr>
        <w:jc w:val="both"/>
        <w:rPr>
          <w:rFonts w:asciiTheme="minorHAnsi" w:eastAsia="Times" w:hAnsiTheme="minorHAnsi" w:cstheme="minorHAnsi"/>
          <w:b/>
          <w:color w:val="0070C0"/>
          <w:szCs w:val="24"/>
          <w:lang w:eastAsia="en-GB"/>
        </w:rPr>
      </w:pPr>
      <w:r>
        <w:rPr>
          <w:rFonts w:asciiTheme="minorHAnsi" w:eastAsia="Times" w:hAnsiTheme="minorHAnsi" w:cstheme="minorHAnsi"/>
          <w:b/>
          <w:color w:val="0070C0"/>
          <w:szCs w:val="24"/>
          <w:lang w:eastAsia="en-GB"/>
        </w:rPr>
        <w:t xml:space="preserve">Questions </w:t>
      </w:r>
      <w:proofErr w:type="spellStart"/>
      <w:r>
        <w:rPr>
          <w:rFonts w:asciiTheme="minorHAnsi" w:eastAsia="Times" w:hAnsiTheme="minorHAnsi" w:cstheme="minorHAnsi"/>
          <w:b/>
          <w:color w:val="0070C0"/>
          <w:szCs w:val="24"/>
          <w:lang w:eastAsia="en-GB"/>
        </w:rPr>
        <w:t>d’évaluation</w:t>
      </w:r>
      <w:proofErr w:type="spellEnd"/>
      <w:r>
        <w:rPr>
          <w:rFonts w:asciiTheme="minorHAnsi" w:eastAsia="Times" w:hAnsiTheme="minorHAnsi" w:cstheme="minorHAnsi"/>
          <w:b/>
          <w:color w:val="0070C0"/>
          <w:szCs w:val="24"/>
          <w:lang w:eastAsia="en-GB"/>
        </w:rPr>
        <w:t xml:space="preserve"> </w:t>
      </w:r>
    </w:p>
    <w:p w14:paraId="05496760" w14:textId="77777777" w:rsidR="00FC7F1B" w:rsidRDefault="00000000">
      <w:p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Tout en laissant le soin à l’évaluateur d’organiser et faire valider le mode opératoire en matière d’investigation et de production des évidences, il/elle prendre en considération les questions principales suivantes :</w:t>
      </w:r>
    </w:p>
    <w:p w14:paraId="6C0F9461" w14:textId="77777777" w:rsidR="00FC7F1B" w:rsidRDefault="00000000">
      <w:pPr>
        <w:numPr>
          <w:ilvl w:val="0"/>
          <w:numId w:val="6"/>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 xml:space="preserve">La </w:t>
      </w:r>
      <w:proofErr w:type="gramStart"/>
      <w:r>
        <w:rPr>
          <w:rFonts w:asciiTheme="minorHAnsi" w:eastAsia="Times" w:hAnsiTheme="minorHAnsi" w:cstheme="minorHAnsi"/>
          <w:bCs/>
          <w:color w:val="000000"/>
          <w:szCs w:val="24"/>
          <w:lang w:val="fr-FR" w:eastAsia="en-GB"/>
        </w:rPr>
        <w:t>pertinence:</w:t>
      </w:r>
      <w:proofErr w:type="gramEnd"/>
      <w:r>
        <w:rPr>
          <w:rFonts w:asciiTheme="minorHAnsi" w:eastAsia="Times" w:hAnsiTheme="minorHAnsi" w:cstheme="minorHAnsi"/>
          <w:bCs/>
          <w:color w:val="000000"/>
          <w:szCs w:val="24"/>
          <w:lang w:val="fr-FR" w:eastAsia="en-GB"/>
        </w:rPr>
        <w:t xml:space="preserve"> dans quelle mesure les activités de chaque agence répondaient-elles aux besoins des partenaires institutionnels, des femmes, des enfants et des agences elles-mêmes ? </w:t>
      </w:r>
    </w:p>
    <w:p w14:paraId="2CBC4A85" w14:textId="77777777" w:rsidR="00FC7F1B" w:rsidRDefault="00000000">
      <w:pPr>
        <w:numPr>
          <w:ilvl w:val="0"/>
          <w:numId w:val="6"/>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lastRenderedPageBreak/>
        <w:t xml:space="preserve">La cohérence : dans quelle mesure les interventions du projet sont compatibles avec d'autres interventions dans le pays, les acteurs du secteur ou des institutions ? </w:t>
      </w:r>
    </w:p>
    <w:p w14:paraId="4E839EC4" w14:textId="77777777" w:rsidR="00FC7F1B" w:rsidRDefault="00000000">
      <w:pPr>
        <w:numPr>
          <w:ilvl w:val="0"/>
          <w:numId w:val="6"/>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L’efficacité des interventions : dans quelle mesure le projet a contribué au renforcement du cadre normatif de prévention de la migration non-ordonnée et de la prise en charge des personnes concernées ?</w:t>
      </w:r>
    </w:p>
    <w:p w14:paraId="2A6EA5DD" w14:textId="77777777" w:rsidR="00FC7F1B" w:rsidRDefault="00000000">
      <w:pPr>
        <w:numPr>
          <w:ilvl w:val="0"/>
          <w:numId w:val="6"/>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L’efficience du projet : en tenant compte des résultats attendus, dans quelle mesure les ressources allouées sur le plan financier, logistique et humain, ont permis de résoudre l’inadéquation entre l’offre des services de protection des droits des personnes migrantes et la demande manifestée par les détenteurs des droits que sont les migrants et les victimes de traite ?</w:t>
      </w:r>
    </w:p>
    <w:p w14:paraId="71DDCEE6" w14:textId="77777777" w:rsidR="00FC7F1B" w:rsidRDefault="00000000">
      <w:pPr>
        <w:numPr>
          <w:ilvl w:val="0"/>
          <w:numId w:val="6"/>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L’impact du projet : dans quelle mesure les interventions des quatre agences ont pu ou non améliorer le respect des droits de l’homme dans les services publics directement concernées par la migration et la traite au premier contact avec le migrant ?</w:t>
      </w:r>
    </w:p>
    <w:p w14:paraId="65572F8F" w14:textId="77777777" w:rsidR="00FC7F1B" w:rsidRDefault="00000000">
      <w:pPr>
        <w:numPr>
          <w:ilvl w:val="0"/>
          <w:numId w:val="6"/>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Pour la durabilité du système national de protection des migrants et des victimes de traite : dans quelle mesure le projet a conduit les autorités nationales et les organisations de la société civile à s’approprier les instruments adoptés et les pratiques humanitaires en faveur notamment des demandeurs d’asile ou des enfants victimes d’exploitation économique ou sexuelle ?</w:t>
      </w:r>
    </w:p>
    <w:p w14:paraId="5CC87144" w14:textId="77777777" w:rsidR="00FC7F1B" w:rsidRDefault="00000000">
      <w:pPr>
        <w:numPr>
          <w:ilvl w:val="0"/>
          <w:numId w:val="6"/>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 xml:space="preserve">Droits humains, inclusion sociale, genre et équité : Dans quelle mesure les principes de genre, de droits humains, de l’inclusion sociale et d'équité, y compris au niveau des communautés, ont-ils été dûment intégrés dans la conception et le suivi et rapportage du projet ? </w:t>
      </w:r>
    </w:p>
    <w:p w14:paraId="10AE2243" w14:textId="77777777" w:rsidR="00FC7F1B" w:rsidRDefault="00FC7F1B">
      <w:pPr>
        <w:jc w:val="both"/>
        <w:rPr>
          <w:rFonts w:asciiTheme="minorHAnsi" w:eastAsia="Times" w:hAnsiTheme="minorHAnsi" w:cstheme="minorHAnsi"/>
          <w:bCs/>
          <w:color w:val="000000"/>
          <w:szCs w:val="24"/>
          <w:lang w:val="fr-FR" w:eastAsia="en-GB"/>
        </w:rPr>
      </w:pPr>
    </w:p>
    <w:p w14:paraId="03650EAE" w14:textId="77777777" w:rsidR="00FC7F1B" w:rsidRDefault="00000000">
      <w:pPr>
        <w:numPr>
          <w:ilvl w:val="0"/>
          <w:numId w:val="1"/>
        </w:numPr>
        <w:jc w:val="both"/>
        <w:rPr>
          <w:rFonts w:asciiTheme="minorHAnsi" w:eastAsia="Times" w:hAnsiTheme="minorHAnsi" w:cstheme="minorHAnsi"/>
          <w:b/>
          <w:color w:val="0070C0"/>
          <w:szCs w:val="24"/>
          <w:lang w:eastAsia="en-GB"/>
        </w:rPr>
      </w:pPr>
      <w:proofErr w:type="spellStart"/>
      <w:r>
        <w:rPr>
          <w:rFonts w:asciiTheme="minorHAnsi" w:eastAsia="Times" w:hAnsiTheme="minorHAnsi" w:cstheme="minorHAnsi"/>
          <w:b/>
          <w:color w:val="0070C0"/>
          <w:szCs w:val="24"/>
          <w:lang w:eastAsia="en-GB"/>
        </w:rPr>
        <w:t>Méthodologie</w:t>
      </w:r>
      <w:proofErr w:type="spellEnd"/>
    </w:p>
    <w:p w14:paraId="56F0CE60" w14:textId="77777777" w:rsidR="00FC7F1B" w:rsidRDefault="00000000">
      <w:pPr>
        <w:jc w:val="both"/>
        <w:rPr>
          <w:rFonts w:asciiTheme="minorHAnsi" w:hAnsiTheme="minorHAnsi" w:cstheme="minorHAnsi"/>
          <w:szCs w:val="24"/>
          <w:lang w:val="fr-FR" w:eastAsia="fr-FR"/>
        </w:rPr>
      </w:pPr>
      <w:r>
        <w:rPr>
          <w:rFonts w:asciiTheme="minorHAnsi" w:eastAsia="Times" w:hAnsiTheme="minorHAnsi" w:cstheme="minorHAnsi"/>
          <w:bCs/>
          <w:color w:val="000000"/>
          <w:szCs w:val="24"/>
          <w:lang w:val="fr-FR" w:eastAsia="en-GB"/>
        </w:rPr>
        <w:t>L’évaluation sera menée selon une approche participative et inclusive. Lors de la phase démarrage, l</w:t>
      </w:r>
      <w:r>
        <w:rPr>
          <w:rFonts w:asciiTheme="minorHAnsi" w:hAnsiTheme="minorHAnsi" w:cstheme="minorHAnsi"/>
          <w:szCs w:val="24"/>
          <w:lang w:val="fr-FR" w:eastAsia="fr-FR"/>
        </w:rPr>
        <w:t xml:space="preserve">’évaluateur devra conduire une </w:t>
      </w:r>
      <w:proofErr w:type="spellStart"/>
      <w:r>
        <w:rPr>
          <w:rFonts w:asciiTheme="minorHAnsi" w:hAnsiTheme="minorHAnsi" w:cstheme="minorHAnsi"/>
          <w:szCs w:val="24"/>
          <w:lang w:val="fr-FR" w:eastAsia="fr-FR"/>
        </w:rPr>
        <w:t>évaluabilité</w:t>
      </w:r>
      <w:proofErr w:type="spellEnd"/>
      <w:r>
        <w:rPr>
          <w:rFonts w:asciiTheme="minorHAnsi" w:hAnsiTheme="minorHAnsi" w:cstheme="minorHAnsi"/>
          <w:szCs w:val="24"/>
          <w:lang w:val="fr-FR" w:eastAsia="fr-FR"/>
        </w:rPr>
        <w:t xml:space="preserve"> du projet notamment en ce qui a trait à la disponibilité du cadre logique avec des indicateurs comportant les données de référence et les cibles désagrégées, la disponibilité des données désagrégées à travers un système de suivi et évaluation ainsi que leurs qualités. L’objectif de cette </w:t>
      </w:r>
      <w:proofErr w:type="spellStart"/>
      <w:r>
        <w:rPr>
          <w:rFonts w:asciiTheme="minorHAnsi" w:hAnsiTheme="minorHAnsi" w:cstheme="minorHAnsi"/>
          <w:szCs w:val="24"/>
          <w:lang w:val="fr-FR" w:eastAsia="fr-FR"/>
        </w:rPr>
        <w:t>évaluabilité</w:t>
      </w:r>
      <w:proofErr w:type="spellEnd"/>
      <w:r>
        <w:rPr>
          <w:rFonts w:asciiTheme="minorHAnsi" w:hAnsiTheme="minorHAnsi" w:cstheme="minorHAnsi"/>
          <w:szCs w:val="24"/>
          <w:lang w:val="fr-FR" w:eastAsia="fr-FR"/>
        </w:rPr>
        <w:t xml:space="preserve"> sera d’identifier les questions qui pourront être adéquatement adressées et permettre de finaliser la méthodologie la plus appropriée pour répondre aux objectifs de l’évaluation. </w:t>
      </w:r>
    </w:p>
    <w:p w14:paraId="6F2A164F" w14:textId="77777777" w:rsidR="00FC7F1B" w:rsidRDefault="00FC7F1B">
      <w:pPr>
        <w:jc w:val="both"/>
        <w:rPr>
          <w:rFonts w:asciiTheme="minorHAnsi" w:hAnsiTheme="minorHAnsi" w:cstheme="minorHAnsi"/>
          <w:szCs w:val="24"/>
          <w:lang w:val="fr-FR" w:eastAsia="fr-FR"/>
        </w:rPr>
      </w:pPr>
    </w:p>
    <w:p w14:paraId="3CA6C1F2" w14:textId="77777777" w:rsidR="00FC7F1B" w:rsidRDefault="00000000">
      <w:pPr>
        <w:jc w:val="both"/>
        <w:rPr>
          <w:rFonts w:asciiTheme="minorHAnsi" w:eastAsia="Times" w:hAnsiTheme="minorHAnsi" w:cstheme="minorHAnsi"/>
          <w:bCs/>
          <w:color w:val="000000"/>
          <w:szCs w:val="24"/>
          <w:lang w:val="fr-FR" w:eastAsia="en-GB"/>
        </w:rPr>
      </w:pPr>
      <w:r>
        <w:rPr>
          <w:rFonts w:asciiTheme="minorHAnsi" w:hAnsiTheme="minorHAnsi" w:cstheme="minorHAnsi"/>
          <w:szCs w:val="24"/>
          <w:lang w:val="fr-FR" w:eastAsia="fr-FR"/>
        </w:rPr>
        <w:t xml:space="preserve">L’évaluateur devrait proposer une participation adéquate des bénéficiaires tout au long du processus d'évaluation. </w:t>
      </w:r>
      <w:r>
        <w:rPr>
          <w:rFonts w:asciiTheme="minorHAnsi" w:eastAsia="Times" w:hAnsiTheme="minorHAnsi" w:cstheme="minorHAnsi"/>
          <w:bCs/>
          <w:color w:val="000000"/>
          <w:szCs w:val="24"/>
          <w:lang w:val="fr-FR" w:eastAsia="en-GB"/>
        </w:rPr>
        <w:t xml:space="preserve">La méthodologie de l’évaluation, les approches et stratégies pour évaluer tout le projet, le plan d’enquête, les méthodes requises selon les documents inter-agences et d’autres institutions de recherche en la matière seront élaborés par le consultant avant soumission au comité inter-agence pour adoption. </w:t>
      </w:r>
    </w:p>
    <w:p w14:paraId="646B3475" w14:textId="77777777" w:rsidR="00FC7F1B" w:rsidRDefault="00FC7F1B">
      <w:pPr>
        <w:jc w:val="both"/>
        <w:rPr>
          <w:rFonts w:asciiTheme="minorHAnsi" w:eastAsia="Times" w:hAnsiTheme="minorHAnsi" w:cstheme="minorHAnsi"/>
          <w:bCs/>
          <w:color w:val="000000"/>
          <w:szCs w:val="24"/>
          <w:lang w:val="fr-FR" w:eastAsia="en-GB"/>
        </w:rPr>
      </w:pPr>
    </w:p>
    <w:p w14:paraId="7FC85AA5" w14:textId="77777777" w:rsidR="00FC7F1B" w:rsidRDefault="00000000">
      <w:pPr>
        <w:autoSpaceDE w:val="0"/>
        <w:autoSpaceDN w:val="0"/>
        <w:adjustRightInd w:val="0"/>
        <w:jc w:val="both"/>
        <w:rPr>
          <w:rFonts w:asciiTheme="minorHAnsi" w:hAnsiTheme="minorHAnsi" w:cstheme="minorHAnsi"/>
          <w:szCs w:val="24"/>
          <w:lang w:val="fr-FR" w:eastAsia="fr-FR"/>
        </w:rPr>
      </w:pPr>
      <w:r>
        <w:rPr>
          <w:rFonts w:asciiTheme="minorHAnsi" w:hAnsiTheme="minorHAnsi" w:cstheme="minorHAnsi"/>
          <w:szCs w:val="24"/>
          <w:lang w:val="fr-FR" w:eastAsia="fr-FR"/>
        </w:rPr>
        <w:t xml:space="preserve">L’évaluation sera basée sur des méthodes mixtes de collecte et d’analyse des données auprès des a) des groupes de population qui sont censées bénéficier du projet évalué ; et b) acteurs clés dans le processus de mise en œuvre.  Le but d’utiliser plusieurs méthodes de recherche est de trianguler les données provenant de différentes sources afin de formuler les constats et d’apporter des réponses le plus pertinentes et crédibles aux questions d’évaluation. </w:t>
      </w:r>
    </w:p>
    <w:p w14:paraId="444A6C98" w14:textId="77777777" w:rsidR="00FC7F1B" w:rsidRDefault="00FC7F1B">
      <w:pPr>
        <w:autoSpaceDE w:val="0"/>
        <w:autoSpaceDN w:val="0"/>
        <w:adjustRightInd w:val="0"/>
        <w:jc w:val="both"/>
        <w:rPr>
          <w:rFonts w:asciiTheme="minorHAnsi" w:hAnsiTheme="minorHAnsi" w:cstheme="minorHAnsi"/>
          <w:szCs w:val="24"/>
          <w:lang w:val="fr-FR" w:eastAsia="fr-FR"/>
        </w:rPr>
      </w:pPr>
    </w:p>
    <w:p w14:paraId="7634D869" w14:textId="77777777" w:rsidR="00FC7F1B" w:rsidRDefault="00000000">
      <w:pPr>
        <w:jc w:val="both"/>
        <w:rPr>
          <w:rFonts w:asciiTheme="minorHAnsi" w:eastAsia="Times" w:hAnsiTheme="minorHAnsi" w:cstheme="minorHAnsi"/>
          <w:bCs/>
          <w:color w:val="000000"/>
          <w:szCs w:val="24"/>
          <w:lang w:val="fr-FR" w:eastAsia="en-GB"/>
        </w:rPr>
      </w:pPr>
      <w:r>
        <w:rPr>
          <w:rFonts w:asciiTheme="minorHAnsi" w:hAnsiTheme="minorHAnsi" w:cstheme="minorHAnsi"/>
          <w:szCs w:val="24"/>
          <w:lang w:val="fr-FR" w:eastAsia="fr-FR"/>
        </w:rPr>
        <w:t>Afin d'améliorer la rigueur de l'évaluation, au cours de la phase de démarrage, l'évaluateur développera des rubriques pour chacun des indicateurs inclus dans la matrice d'évaluation. Dans la matrice d’évaluation chaque question devra être adressée au moins par le biais de 3 méthodes différentes (et pas simplement trois sources différentes se rapportant à une seule méthode). La méthodologie de l’évaluation doit être en ligne avec l’approche basée sur le genre, l’équité, l’inclusion sociale et les droits humains.</w:t>
      </w:r>
      <w:r>
        <w:rPr>
          <w:rFonts w:asciiTheme="minorHAnsi" w:eastAsia="Times" w:hAnsiTheme="minorHAnsi" w:cstheme="minorHAnsi"/>
          <w:bCs/>
          <w:color w:val="000000"/>
          <w:szCs w:val="24"/>
          <w:lang w:val="fr-FR" w:eastAsia="en-GB"/>
        </w:rPr>
        <w:t xml:space="preserve"> </w:t>
      </w:r>
    </w:p>
    <w:p w14:paraId="645F2223" w14:textId="77777777" w:rsidR="00FC7F1B" w:rsidRDefault="00FC7F1B">
      <w:pPr>
        <w:jc w:val="both"/>
        <w:rPr>
          <w:rFonts w:asciiTheme="minorHAnsi" w:eastAsia="Times" w:hAnsiTheme="minorHAnsi" w:cstheme="minorHAnsi"/>
          <w:bCs/>
          <w:color w:val="000000"/>
          <w:szCs w:val="24"/>
          <w:lang w:val="fr-FR" w:eastAsia="en-GB"/>
        </w:rPr>
      </w:pPr>
    </w:p>
    <w:p w14:paraId="30AD8B6E" w14:textId="77777777" w:rsidR="00FC7F1B" w:rsidRDefault="00000000">
      <w:pPr>
        <w:autoSpaceDE w:val="0"/>
        <w:autoSpaceDN w:val="0"/>
        <w:adjustRightInd w:val="0"/>
        <w:jc w:val="both"/>
        <w:rPr>
          <w:rFonts w:asciiTheme="minorHAnsi" w:hAnsiTheme="minorHAnsi" w:cstheme="minorHAnsi"/>
          <w:szCs w:val="24"/>
          <w:lang w:val="fr-FR" w:eastAsia="fr-FR"/>
        </w:rPr>
      </w:pPr>
      <w:r>
        <w:rPr>
          <w:rFonts w:asciiTheme="minorHAnsi" w:hAnsiTheme="minorHAnsi" w:cstheme="minorHAnsi"/>
          <w:szCs w:val="24"/>
          <w:lang w:val="fr-FR" w:eastAsia="fr-FR"/>
        </w:rPr>
        <w:t xml:space="preserve">L’évaluation sera basée sur des méthodes mixtes de collecte et d’analyse des données auprès des a) des cibles qui sont censées bénéficier du projet évalué ; et b) acteurs clés dans le processus de mise en œuvre. </w:t>
      </w:r>
    </w:p>
    <w:p w14:paraId="0CCAD853" w14:textId="77777777" w:rsidR="00FC7F1B" w:rsidRDefault="00FC7F1B">
      <w:pPr>
        <w:autoSpaceDE w:val="0"/>
        <w:autoSpaceDN w:val="0"/>
        <w:adjustRightInd w:val="0"/>
        <w:jc w:val="both"/>
        <w:rPr>
          <w:rFonts w:asciiTheme="minorHAnsi" w:hAnsiTheme="minorHAnsi" w:cstheme="minorHAnsi"/>
          <w:szCs w:val="24"/>
          <w:lang w:val="fr-FR" w:eastAsia="fr-FR"/>
        </w:rPr>
      </w:pPr>
    </w:p>
    <w:p w14:paraId="5CD9A811" w14:textId="77777777" w:rsidR="00FC7F1B" w:rsidRDefault="00000000">
      <w:pPr>
        <w:autoSpaceDE w:val="0"/>
        <w:autoSpaceDN w:val="0"/>
        <w:adjustRightInd w:val="0"/>
        <w:jc w:val="both"/>
        <w:rPr>
          <w:rFonts w:asciiTheme="minorHAnsi" w:hAnsiTheme="minorHAnsi" w:cstheme="minorHAnsi"/>
          <w:szCs w:val="24"/>
          <w:lang w:val="fr-FR" w:eastAsia="fr-FR"/>
        </w:rPr>
      </w:pPr>
      <w:r>
        <w:rPr>
          <w:rFonts w:asciiTheme="minorHAnsi" w:hAnsiTheme="minorHAnsi" w:cstheme="minorHAnsi"/>
          <w:szCs w:val="24"/>
          <w:lang w:val="fr-FR" w:eastAsia="fr-FR"/>
        </w:rPr>
        <w:t xml:space="preserve">Le but d’utiliser plusieurs méthodes de recherche est de trianguler les données provenant de différentes sources afin de formuler les constats et d’apporter des réponses le plus pertinentes et crédibles aux questions d’évaluation. </w:t>
      </w:r>
    </w:p>
    <w:p w14:paraId="25116BB2" w14:textId="77777777" w:rsidR="00FC7F1B" w:rsidRDefault="00000000">
      <w:pPr>
        <w:autoSpaceDE w:val="0"/>
        <w:autoSpaceDN w:val="0"/>
        <w:adjustRightInd w:val="0"/>
        <w:jc w:val="both"/>
        <w:rPr>
          <w:rFonts w:asciiTheme="minorHAnsi" w:hAnsiTheme="minorHAnsi" w:cstheme="minorHAnsi"/>
          <w:szCs w:val="24"/>
          <w:lang w:val="fr-FR" w:eastAsia="fr-FR"/>
        </w:rPr>
      </w:pPr>
      <w:r>
        <w:rPr>
          <w:rFonts w:asciiTheme="minorHAnsi" w:hAnsiTheme="minorHAnsi" w:cstheme="minorHAnsi"/>
          <w:szCs w:val="24"/>
          <w:lang w:val="fr-FR" w:eastAsia="fr-FR"/>
        </w:rPr>
        <w:t xml:space="preserve">Afin d'améliorer la rigueur de l'évaluation, au cours de la phase de démarrage, l'évaluateur développera des rubriques pour chacun des indicateurs inclus dans la matrice d'évaluation. Dans la matrice d’évaluation chaque question devra être adressée au moins par le biais de 3 méthodes différentes (et pas simplement trois sources différentes se rapportant à une seule méthode). La méthodologie de l’évaluation doit être en ligne avec l’approche basée sur le genre, l’équité, l’inclusion sociale et les droits humains. </w:t>
      </w:r>
    </w:p>
    <w:p w14:paraId="285D4523" w14:textId="77777777" w:rsidR="00FC7F1B" w:rsidRDefault="00FC7F1B">
      <w:pPr>
        <w:autoSpaceDE w:val="0"/>
        <w:autoSpaceDN w:val="0"/>
        <w:adjustRightInd w:val="0"/>
        <w:jc w:val="both"/>
        <w:rPr>
          <w:rFonts w:asciiTheme="minorHAnsi" w:hAnsiTheme="minorHAnsi" w:cstheme="minorHAnsi"/>
          <w:szCs w:val="24"/>
          <w:lang w:val="fr-FR" w:eastAsia="fr-FR"/>
        </w:rPr>
      </w:pPr>
    </w:p>
    <w:p w14:paraId="1D320F68" w14:textId="77777777" w:rsidR="00FC7F1B" w:rsidRDefault="00000000">
      <w:pPr>
        <w:autoSpaceDE w:val="0"/>
        <w:autoSpaceDN w:val="0"/>
        <w:adjustRightInd w:val="0"/>
        <w:jc w:val="both"/>
        <w:rPr>
          <w:rFonts w:asciiTheme="minorHAnsi" w:hAnsiTheme="minorHAnsi" w:cstheme="minorHAnsi"/>
          <w:szCs w:val="24"/>
          <w:lang w:val="fr-FR" w:eastAsia="fr-FR"/>
        </w:rPr>
      </w:pPr>
      <w:r>
        <w:rPr>
          <w:rFonts w:asciiTheme="minorHAnsi" w:hAnsiTheme="minorHAnsi" w:cstheme="minorHAnsi"/>
          <w:szCs w:val="24"/>
          <w:lang w:val="fr-FR" w:eastAsia="fr-FR"/>
        </w:rPr>
        <w:t>L’évaluation fera appel à plusieurs méthodes, techniques et outils de collecte. La revue documentaire et la collecte de données secondaires seront associées à une collecte de données primaires quantitatives et qualitatives sur le terrain et comprenant si possible :</w:t>
      </w:r>
    </w:p>
    <w:p w14:paraId="2485CB65" w14:textId="77777777" w:rsidR="00FC7F1B" w:rsidRDefault="00000000">
      <w:pPr>
        <w:numPr>
          <w:ilvl w:val="0"/>
          <w:numId w:val="6"/>
        </w:numPr>
        <w:jc w:val="both"/>
        <w:rPr>
          <w:rFonts w:asciiTheme="minorHAnsi" w:eastAsia="Times" w:hAnsiTheme="minorHAnsi" w:cstheme="minorHAnsi"/>
          <w:bCs/>
          <w:color w:val="000000"/>
          <w:szCs w:val="24"/>
          <w:lang w:val="fr-FR" w:eastAsia="en-GB"/>
        </w:rPr>
      </w:pPr>
      <w:proofErr w:type="gramStart"/>
      <w:r>
        <w:rPr>
          <w:rFonts w:asciiTheme="minorHAnsi" w:eastAsia="Times" w:hAnsiTheme="minorHAnsi" w:cstheme="minorHAnsi"/>
          <w:bCs/>
          <w:color w:val="000000"/>
          <w:szCs w:val="24"/>
          <w:lang w:val="fr-FR" w:eastAsia="en-GB"/>
        </w:rPr>
        <w:t>les</w:t>
      </w:r>
      <w:proofErr w:type="gramEnd"/>
      <w:r>
        <w:rPr>
          <w:rFonts w:asciiTheme="minorHAnsi" w:eastAsia="Times" w:hAnsiTheme="minorHAnsi" w:cstheme="minorHAnsi"/>
          <w:bCs/>
          <w:color w:val="000000"/>
          <w:szCs w:val="24"/>
          <w:lang w:val="fr-FR" w:eastAsia="en-GB"/>
        </w:rPr>
        <w:t xml:space="preserve"> entretiens semi-structurés avec les informateurs-clés ;</w:t>
      </w:r>
    </w:p>
    <w:p w14:paraId="3BD8A786" w14:textId="77777777" w:rsidR="00FC7F1B" w:rsidRDefault="00000000">
      <w:pPr>
        <w:numPr>
          <w:ilvl w:val="0"/>
          <w:numId w:val="6"/>
        </w:numPr>
        <w:jc w:val="both"/>
        <w:rPr>
          <w:rFonts w:asciiTheme="minorHAnsi" w:eastAsia="Times" w:hAnsiTheme="minorHAnsi" w:cstheme="minorHAnsi"/>
          <w:bCs/>
          <w:color w:val="000000"/>
          <w:szCs w:val="24"/>
          <w:lang w:val="fr-FR" w:eastAsia="en-GB"/>
        </w:rPr>
      </w:pPr>
      <w:proofErr w:type="gramStart"/>
      <w:r>
        <w:rPr>
          <w:rFonts w:asciiTheme="minorHAnsi" w:eastAsia="Times" w:hAnsiTheme="minorHAnsi" w:cstheme="minorHAnsi"/>
          <w:bCs/>
          <w:color w:val="000000"/>
          <w:szCs w:val="24"/>
          <w:lang w:val="fr-FR" w:eastAsia="en-GB"/>
        </w:rPr>
        <w:t>les</w:t>
      </w:r>
      <w:proofErr w:type="gramEnd"/>
      <w:r>
        <w:rPr>
          <w:rFonts w:asciiTheme="minorHAnsi" w:eastAsia="Times" w:hAnsiTheme="minorHAnsi" w:cstheme="minorHAnsi"/>
          <w:bCs/>
          <w:color w:val="000000"/>
          <w:szCs w:val="24"/>
          <w:lang w:val="fr-FR" w:eastAsia="en-GB"/>
        </w:rPr>
        <w:t xml:space="preserve"> discussions de groupe avec les détenteurs et obligataires de droits;</w:t>
      </w:r>
    </w:p>
    <w:p w14:paraId="019FA49D" w14:textId="77777777" w:rsidR="00FC7F1B" w:rsidRDefault="00000000">
      <w:pPr>
        <w:numPr>
          <w:ilvl w:val="0"/>
          <w:numId w:val="6"/>
        </w:numPr>
        <w:jc w:val="both"/>
        <w:rPr>
          <w:rFonts w:asciiTheme="minorHAnsi" w:eastAsia="Times" w:hAnsiTheme="minorHAnsi" w:cstheme="minorHAnsi"/>
          <w:bCs/>
          <w:color w:val="000000"/>
          <w:szCs w:val="24"/>
          <w:lang w:val="fr-FR" w:eastAsia="en-GB"/>
        </w:rPr>
      </w:pPr>
      <w:proofErr w:type="gramStart"/>
      <w:r>
        <w:rPr>
          <w:rFonts w:asciiTheme="minorHAnsi" w:eastAsia="Times" w:hAnsiTheme="minorHAnsi" w:cstheme="minorHAnsi"/>
          <w:bCs/>
          <w:color w:val="000000"/>
          <w:szCs w:val="24"/>
          <w:lang w:val="fr-FR" w:eastAsia="en-GB"/>
        </w:rPr>
        <w:t>observation</w:t>
      </w:r>
      <w:proofErr w:type="gramEnd"/>
      <w:r>
        <w:rPr>
          <w:rFonts w:asciiTheme="minorHAnsi" w:eastAsia="Times" w:hAnsiTheme="minorHAnsi" w:cstheme="minorHAnsi"/>
          <w:bCs/>
          <w:color w:val="000000"/>
          <w:szCs w:val="24"/>
          <w:lang w:val="fr-FR" w:eastAsia="en-GB"/>
        </w:rPr>
        <w:t xml:space="preserve"> dans les structures /services.  </w:t>
      </w:r>
    </w:p>
    <w:p w14:paraId="647AC1D9" w14:textId="77777777" w:rsidR="00FC7F1B" w:rsidRDefault="00FC7F1B">
      <w:pPr>
        <w:jc w:val="both"/>
        <w:rPr>
          <w:rFonts w:asciiTheme="minorHAnsi" w:eastAsia="Times" w:hAnsiTheme="minorHAnsi" w:cstheme="minorHAnsi"/>
          <w:bCs/>
          <w:color w:val="000000"/>
          <w:szCs w:val="24"/>
          <w:lang w:val="fr-FR" w:eastAsia="en-GB"/>
        </w:rPr>
      </w:pPr>
    </w:p>
    <w:p w14:paraId="546B7F1E" w14:textId="77777777" w:rsidR="00FC7F1B" w:rsidRDefault="00000000">
      <w:pPr>
        <w:autoSpaceDE w:val="0"/>
        <w:autoSpaceDN w:val="0"/>
        <w:adjustRightInd w:val="0"/>
        <w:jc w:val="both"/>
        <w:rPr>
          <w:rFonts w:asciiTheme="minorHAnsi" w:hAnsiTheme="minorHAnsi" w:cstheme="minorHAnsi"/>
          <w:szCs w:val="24"/>
          <w:lang w:val="fr-FR" w:eastAsia="fr-FR"/>
        </w:rPr>
      </w:pPr>
      <w:r>
        <w:rPr>
          <w:rFonts w:asciiTheme="minorHAnsi" w:hAnsiTheme="minorHAnsi" w:cstheme="minorHAnsi"/>
          <w:szCs w:val="24"/>
          <w:lang w:val="fr-FR"/>
        </w:rPr>
        <w:t>Les données pri</w:t>
      </w:r>
      <w:r>
        <w:rPr>
          <w:rFonts w:asciiTheme="minorHAnsi" w:hAnsiTheme="minorHAnsi" w:cstheme="minorHAnsi"/>
          <w:szCs w:val="24"/>
          <w:lang w:val="fr-FR" w:eastAsia="fr-FR"/>
        </w:rPr>
        <w:t>maires collectées sur le terrain seront complétées par :</w:t>
      </w:r>
    </w:p>
    <w:p w14:paraId="3AF88CAC" w14:textId="77777777" w:rsidR="00FC7F1B" w:rsidRDefault="00000000">
      <w:pPr>
        <w:numPr>
          <w:ilvl w:val="0"/>
          <w:numId w:val="7"/>
        </w:numPr>
        <w:jc w:val="both"/>
        <w:rPr>
          <w:rFonts w:asciiTheme="minorHAnsi" w:hAnsiTheme="minorHAnsi" w:cstheme="minorHAnsi"/>
          <w:szCs w:val="24"/>
          <w:lang w:val="fr-FR" w:eastAsia="fr-FR"/>
        </w:rPr>
      </w:pPr>
      <w:r>
        <w:rPr>
          <w:rFonts w:asciiTheme="minorHAnsi" w:hAnsiTheme="minorHAnsi" w:cstheme="minorHAnsi"/>
          <w:szCs w:val="24"/>
          <w:lang w:val="fr-FR" w:eastAsia="fr-FR"/>
        </w:rPr>
        <w:t xml:space="preserve">L’analyse secondaire des données de routine générées par le dispositif de suivi de la </w:t>
      </w:r>
      <w:proofErr w:type="spellStart"/>
      <w:r>
        <w:rPr>
          <w:rFonts w:asciiTheme="minorHAnsi" w:hAnsiTheme="minorHAnsi" w:cstheme="minorHAnsi"/>
          <w:szCs w:val="24"/>
          <w:lang w:val="fr-FR" w:eastAsia="fr-FR"/>
        </w:rPr>
        <w:t>Task</w:t>
      </w:r>
      <w:proofErr w:type="spellEnd"/>
      <w:r>
        <w:rPr>
          <w:rFonts w:asciiTheme="minorHAnsi" w:hAnsiTheme="minorHAnsi" w:cstheme="minorHAnsi"/>
          <w:szCs w:val="24"/>
          <w:lang w:val="fr-FR" w:eastAsia="fr-FR"/>
        </w:rPr>
        <w:t xml:space="preserve"> Force Migration ;</w:t>
      </w:r>
    </w:p>
    <w:p w14:paraId="6C39761A" w14:textId="77777777" w:rsidR="00FC7F1B" w:rsidRDefault="00000000">
      <w:pPr>
        <w:numPr>
          <w:ilvl w:val="0"/>
          <w:numId w:val="7"/>
        </w:numPr>
        <w:jc w:val="both"/>
        <w:rPr>
          <w:rFonts w:asciiTheme="minorHAnsi" w:hAnsiTheme="minorHAnsi" w:cstheme="minorHAnsi"/>
          <w:szCs w:val="24"/>
          <w:lang w:val="fr-FR" w:eastAsia="fr-FR"/>
        </w:rPr>
      </w:pPr>
      <w:r>
        <w:rPr>
          <w:rFonts w:asciiTheme="minorHAnsi" w:hAnsiTheme="minorHAnsi" w:cstheme="minorHAnsi"/>
          <w:szCs w:val="24"/>
          <w:lang w:val="fr-FR" w:eastAsia="fr-FR"/>
        </w:rPr>
        <w:t>Une revue documentaire du Programme, de son plan d’actions ainsi que des bilans annuels de la mise en œuvre et des rapports de suivi et d’évaluation ;</w:t>
      </w:r>
    </w:p>
    <w:p w14:paraId="7374B88E" w14:textId="77777777" w:rsidR="00FC7F1B" w:rsidRDefault="00000000">
      <w:pPr>
        <w:numPr>
          <w:ilvl w:val="0"/>
          <w:numId w:val="7"/>
        </w:numPr>
        <w:jc w:val="both"/>
        <w:rPr>
          <w:rFonts w:asciiTheme="minorHAnsi" w:hAnsiTheme="minorHAnsi" w:cstheme="minorHAnsi"/>
          <w:szCs w:val="24"/>
          <w:lang w:val="fr-FR" w:eastAsia="fr-FR"/>
        </w:rPr>
      </w:pPr>
      <w:r>
        <w:rPr>
          <w:rFonts w:asciiTheme="minorHAnsi" w:hAnsiTheme="minorHAnsi" w:cstheme="minorHAnsi"/>
          <w:szCs w:val="24"/>
          <w:lang w:val="fr-FR" w:eastAsia="fr-FR"/>
        </w:rPr>
        <w:t xml:space="preserve">Un processus itératif de dialogue avec les principaux acteurs de la mise en œuvre du </w:t>
      </w:r>
      <w:proofErr w:type="gramStart"/>
      <w:r>
        <w:rPr>
          <w:rFonts w:asciiTheme="minorHAnsi" w:hAnsiTheme="minorHAnsi" w:cstheme="minorHAnsi"/>
          <w:szCs w:val="24"/>
          <w:lang w:val="fr-FR" w:eastAsia="fr-FR"/>
        </w:rPr>
        <w:t>Projet ,</w:t>
      </w:r>
      <w:proofErr w:type="gramEnd"/>
      <w:r>
        <w:rPr>
          <w:rFonts w:asciiTheme="minorHAnsi" w:hAnsiTheme="minorHAnsi" w:cstheme="minorHAnsi"/>
          <w:szCs w:val="24"/>
          <w:lang w:val="fr-FR" w:eastAsia="fr-FR"/>
        </w:rPr>
        <w:t xml:space="preserve"> notamment les agences des NU, les institutions gouvernementales et les OSC.</w:t>
      </w:r>
    </w:p>
    <w:p w14:paraId="5FD91C31" w14:textId="77777777" w:rsidR="00FC7F1B" w:rsidRDefault="00000000">
      <w:pPr>
        <w:jc w:val="both"/>
        <w:rPr>
          <w:rFonts w:asciiTheme="minorHAnsi" w:hAnsiTheme="minorHAnsi" w:cstheme="minorHAnsi"/>
          <w:szCs w:val="24"/>
          <w:lang w:val="fr-FR" w:eastAsia="fr-FR"/>
        </w:rPr>
      </w:pPr>
      <w:r>
        <w:rPr>
          <w:rFonts w:asciiTheme="minorHAnsi" w:hAnsiTheme="minorHAnsi" w:cstheme="minorHAnsi"/>
          <w:szCs w:val="24"/>
          <w:lang w:val="fr-FR" w:eastAsia="fr-FR"/>
        </w:rPr>
        <w:t>Une méthodologie d’évaluation plus détaillée sera proposée par le consultant en prenant en compte les différences parmi les parties prenantes, en termes d’âge, de genre, et autre critères jugés pertinents.</w:t>
      </w:r>
    </w:p>
    <w:p w14:paraId="271B6057" w14:textId="77777777" w:rsidR="00FC7F1B" w:rsidRDefault="00000000">
      <w:pPr>
        <w:jc w:val="both"/>
        <w:rPr>
          <w:rFonts w:asciiTheme="minorHAnsi" w:hAnsiTheme="minorHAnsi" w:cstheme="minorHAnsi"/>
          <w:szCs w:val="24"/>
          <w:lang w:val="fr-FR" w:eastAsia="fr-FR"/>
        </w:rPr>
      </w:pPr>
      <w:r>
        <w:rPr>
          <w:rFonts w:asciiTheme="minorHAnsi" w:hAnsiTheme="minorHAnsi" w:cstheme="minorHAnsi"/>
          <w:szCs w:val="24"/>
          <w:lang w:val="fr-FR" w:eastAsia="fr-FR"/>
        </w:rPr>
        <w:t xml:space="preserve">Le consultant proposera ainsi une méthodologie (y compris la stratégie d’échantillonnage et d’analyse) et les étapes de l’évaluation dans son offre technique. Il est attendu que les méthodes et l’échantillonnage proposées pour apprécier les résultats du projet soient suffisamment robustes </w:t>
      </w:r>
      <w:r>
        <w:rPr>
          <w:rFonts w:asciiTheme="minorHAnsi" w:hAnsiTheme="minorHAnsi" w:cstheme="minorHAnsi"/>
          <w:szCs w:val="24"/>
          <w:lang w:val="fr-FR" w:eastAsia="fr-FR"/>
        </w:rPr>
        <w:lastRenderedPageBreak/>
        <w:t>pour assurer la crédibilité et validité interne des résultats de l’évaluation. La méthodologie définitive sera validée lors de la phase de démarrage de l’évaluation.</w:t>
      </w:r>
      <w:r>
        <w:rPr>
          <w:rFonts w:asciiTheme="minorHAnsi" w:hAnsiTheme="minorHAnsi" w:cstheme="minorHAnsi"/>
          <w:b/>
          <w:szCs w:val="24"/>
          <w:lang w:val="fr-FR" w:eastAsia="fr-FR"/>
        </w:rPr>
        <w:t xml:space="preserve"> </w:t>
      </w:r>
    </w:p>
    <w:p w14:paraId="604BA998" w14:textId="77777777" w:rsidR="00FC7F1B" w:rsidRDefault="00FC7F1B">
      <w:pPr>
        <w:autoSpaceDE w:val="0"/>
        <w:autoSpaceDN w:val="0"/>
        <w:adjustRightInd w:val="0"/>
        <w:jc w:val="both"/>
        <w:rPr>
          <w:rFonts w:asciiTheme="minorHAnsi" w:hAnsiTheme="minorHAnsi" w:cstheme="minorHAnsi"/>
          <w:szCs w:val="24"/>
          <w:lang w:val="fr-FR" w:eastAsia="fr-FR"/>
        </w:rPr>
      </w:pPr>
    </w:p>
    <w:p w14:paraId="51B60AB4" w14:textId="77777777" w:rsidR="00FC7F1B" w:rsidRDefault="00000000">
      <w:pPr>
        <w:pStyle w:val="ColorfulList-Accent11"/>
        <w:ind w:left="0"/>
        <w:jc w:val="both"/>
        <w:rPr>
          <w:rStyle w:val="hps"/>
          <w:rFonts w:asciiTheme="minorHAnsi" w:hAnsiTheme="minorHAnsi" w:cstheme="minorHAnsi"/>
          <w:lang w:val="fr-FR"/>
        </w:rPr>
      </w:pPr>
      <w:r>
        <w:rPr>
          <w:rFonts w:asciiTheme="minorHAnsi" w:hAnsiTheme="minorHAnsi" w:cstheme="minorHAnsi"/>
          <w:lang w:val="fr-FR"/>
        </w:rPr>
        <w:t>Les données et les documents existants seront mis à disposition de l’équipe d’évaluation par les points focaux des agences avant le démarrage de la consultation.</w:t>
      </w:r>
      <w:r>
        <w:rPr>
          <w:rStyle w:val="hps"/>
          <w:rFonts w:asciiTheme="minorHAnsi" w:hAnsiTheme="minorHAnsi" w:cstheme="minorHAnsi"/>
          <w:lang w:val="fr-FR"/>
        </w:rPr>
        <w:t xml:space="preserve"> Le</w:t>
      </w:r>
      <w:r>
        <w:rPr>
          <w:rFonts w:asciiTheme="minorHAnsi" w:hAnsiTheme="minorHAnsi" w:cstheme="minorHAnsi"/>
          <w:lang w:val="fr-FR"/>
        </w:rPr>
        <w:t xml:space="preserve"> </w:t>
      </w:r>
      <w:r>
        <w:rPr>
          <w:rStyle w:val="hps"/>
          <w:rFonts w:asciiTheme="minorHAnsi" w:hAnsiTheme="minorHAnsi" w:cstheme="minorHAnsi"/>
          <w:lang w:val="fr-FR"/>
        </w:rPr>
        <w:t>consultant présentera</w:t>
      </w:r>
      <w:r>
        <w:rPr>
          <w:rFonts w:asciiTheme="minorHAnsi" w:hAnsiTheme="minorHAnsi" w:cstheme="minorHAnsi"/>
          <w:lang w:val="fr-FR"/>
        </w:rPr>
        <w:t xml:space="preserve"> </w:t>
      </w:r>
      <w:r>
        <w:rPr>
          <w:rStyle w:val="hps"/>
          <w:rFonts w:asciiTheme="minorHAnsi" w:hAnsiTheme="minorHAnsi" w:cstheme="minorHAnsi"/>
          <w:lang w:val="fr-FR"/>
        </w:rPr>
        <w:t xml:space="preserve">une note de cadrage de l’évaluation </w:t>
      </w:r>
      <w:r>
        <w:rPr>
          <w:rFonts w:asciiTheme="minorHAnsi" w:hAnsiTheme="minorHAnsi" w:cstheme="minorHAnsi"/>
          <w:lang w:val="fr-FR"/>
        </w:rPr>
        <w:t xml:space="preserve">avec une </w:t>
      </w:r>
      <w:r>
        <w:rPr>
          <w:rStyle w:val="hps"/>
          <w:rFonts w:asciiTheme="minorHAnsi" w:hAnsiTheme="minorHAnsi" w:cstheme="minorHAnsi"/>
          <w:lang w:val="fr-FR"/>
        </w:rPr>
        <w:t>méthodologie</w:t>
      </w:r>
      <w:r>
        <w:rPr>
          <w:rFonts w:asciiTheme="minorHAnsi" w:hAnsiTheme="minorHAnsi" w:cstheme="minorHAnsi"/>
          <w:lang w:val="fr-FR"/>
        </w:rPr>
        <w:t xml:space="preserve"> </w:t>
      </w:r>
      <w:r>
        <w:rPr>
          <w:rStyle w:val="hps"/>
          <w:rFonts w:asciiTheme="minorHAnsi" w:hAnsiTheme="minorHAnsi" w:cstheme="minorHAnsi"/>
          <w:lang w:val="fr-FR"/>
        </w:rPr>
        <w:t>détaillée</w:t>
      </w:r>
      <w:r>
        <w:rPr>
          <w:rFonts w:asciiTheme="minorHAnsi" w:hAnsiTheme="minorHAnsi" w:cstheme="minorHAnsi"/>
          <w:lang w:val="fr-FR"/>
        </w:rPr>
        <w:t xml:space="preserve">, </w:t>
      </w:r>
      <w:r>
        <w:rPr>
          <w:rStyle w:val="hps"/>
          <w:rFonts w:asciiTheme="minorHAnsi" w:hAnsiTheme="minorHAnsi" w:cstheme="minorHAnsi"/>
          <w:lang w:val="fr-FR"/>
        </w:rPr>
        <w:t>qui inclut des éléments</w:t>
      </w:r>
      <w:r>
        <w:rPr>
          <w:rFonts w:asciiTheme="minorHAnsi" w:hAnsiTheme="minorHAnsi" w:cstheme="minorHAnsi"/>
          <w:lang w:val="fr-FR"/>
        </w:rPr>
        <w:t xml:space="preserve"> </w:t>
      </w:r>
      <w:r>
        <w:rPr>
          <w:rStyle w:val="hps"/>
          <w:rFonts w:asciiTheme="minorHAnsi" w:hAnsiTheme="minorHAnsi" w:cstheme="minorHAnsi"/>
          <w:lang w:val="fr-FR"/>
        </w:rPr>
        <w:t>à la fois</w:t>
      </w:r>
      <w:r>
        <w:rPr>
          <w:rFonts w:asciiTheme="minorHAnsi" w:hAnsiTheme="minorHAnsi" w:cstheme="minorHAnsi"/>
          <w:lang w:val="fr-FR"/>
        </w:rPr>
        <w:t xml:space="preserve"> </w:t>
      </w:r>
      <w:r>
        <w:rPr>
          <w:rStyle w:val="hps"/>
          <w:rFonts w:asciiTheme="minorHAnsi" w:hAnsiTheme="minorHAnsi" w:cstheme="minorHAnsi"/>
          <w:lang w:val="fr-FR"/>
        </w:rPr>
        <w:t>quantitatifs et qualitatifs</w:t>
      </w:r>
      <w:r>
        <w:rPr>
          <w:rFonts w:asciiTheme="minorHAnsi" w:hAnsiTheme="minorHAnsi" w:cstheme="minorHAnsi"/>
          <w:lang w:val="fr-FR"/>
        </w:rPr>
        <w:t xml:space="preserve">, conçus pour </w:t>
      </w:r>
      <w:r>
        <w:rPr>
          <w:rStyle w:val="hps"/>
          <w:rFonts w:asciiTheme="minorHAnsi" w:hAnsiTheme="minorHAnsi" w:cstheme="minorHAnsi"/>
          <w:lang w:val="fr-FR"/>
        </w:rPr>
        <w:t>répondre</w:t>
      </w:r>
      <w:r>
        <w:rPr>
          <w:rFonts w:asciiTheme="minorHAnsi" w:hAnsiTheme="minorHAnsi" w:cstheme="minorHAnsi"/>
          <w:lang w:val="fr-FR"/>
        </w:rPr>
        <w:t xml:space="preserve"> </w:t>
      </w:r>
      <w:r>
        <w:rPr>
          <w:rStyle w:val="hps"/>
          <w:rFonts w:asciiTheme="minorHAnsi" w:hAnsiTheme="minorHAnsi" w:cstheme="minorHAnsi"/>
          <w:lang w:val="fr-FR"/>
        </w:rPr>
        <w:t>avec précision</w:t>
      </w:r>
      <w:r>
        <w:rPr>
          <w:rFonts w:asciiTheme="minorHAnsi" w:hAnsiTheme="minorHAnsi" w:cstheme="minorHAnsi"/>
          <w:lang w:val="fr-FR"/>
        </w:rPr>
        <w:t xml:space="preserve"> </w:t>
      </w:r>
      <w:r>
        <w:rPr>
          <w:rStyle w:val="hps"/>
          <w:rFonts w:asciiTheme="minorHAnsi" w:hAnsiTheme="minorHAnsi" w:cstheme="minorHAnsi"/>
          <w:lang w:val="fr-FR"/>
        </w:rPr>
        <w:t>aux questions de l’évaluation</w:t>
      </w:r>
      <w:r>
        <w:rPr>
          <w:rFonts w:asciiTheme="minorHAnsi" w:hAnsiTheme="minorHAnsi" w:cstheme="minorHAnsi"/>
          <w:lang w:val="fr-FR"/>
        </w:rPr>
        <w:t xml:space="preserve">. Dans le but de démontrer que l’évaluateur a bien saisi le contenu du projet ainsi que les questions fondamentales adressées par cette évaluation. </w:t>
      </w:r>
      <w:r>
        <w:rPr>
          <w:rStyle w:val="hps"/>
          <w:rFonts w:asciiTheme="minorHAnsi" w:hAnsiTheme="minorHAnsi" w:cstheme="minorHAnsi"/>
          <w:lang w:val="fr-FR"/>
        </w:rPr>
        <w:t xml:space="preserve">La note de cadrage devra fournir un résumé critique des informations contenues dans les documents programmatiques mis à disposition par l’UNICEF après la signature du contrat. Cette note devra aussi bien indiquer, pour chacune des questions de l’évaluation, les informations suivantes : </w:t>
      </w:r>
    </w:p>
    <w:p w14:paraId="4FC5771A" w14:textId="77777777" w:rsidR="00FC7F1B" w:rsidRDefault="00000000">
      <w:pPr>
        <w:pStyle w:val="ColorfulList-Accent11"/>
        <w:numPr>
          <w:ilvl w:val="0"/>
          <w:numId w:val="8"/>
        </w:numPr>
        <w:tabs>
          <w:tab w:val="clear" w:pos="420"/>
        </w:tabs>
        <w:jc w:val="both"/>
        <w:rPr>
          <w:rStyle w:val="hps"/>
          <w:rFonts w:asciiTheme="minorHAnsi" w:hAnsiTheme="minorHAnsi" w:cstheme="minorHAnsi"/>
          <w:lang w:val="fr-FR"/>
        </w:rPr>
      </w:pPr>
      <w:proofErr w:type="gramStart"/>
      <w:r>
        <w:rPr>
          <w:rStyle w:val="hps"/>
          <w:rFonts w:asciiTheme="minorHAnsi" w:hAnsiTheme="minorHAnsi" w:cstheme="minorHAnsi"/>
          <w:lang w:val="fr-FR"/>
        </w:rPr>
        <w:t>quelles</w:t>
      </w:r>
      <w:proofErr w:type="gramEnd"/>
      <w:r>
        <w:rPr>
          <w:rStyle w:val="hps"/>
          <w:rFonts w:asciiTheme="minorHAnsi" w:hAnsiTheme="minorHAnsi" w:cstheme="minorHAnsi"/>
          <w:lang w:val="fr-FR"/>
        </w:rPr>
        <w:t xml:space="preserve"> méthodes et quels outils de collecte de données seront utilisés pour y répondre, auprès de qui les données en question seront collectées (y compris la stratégie d’échantillonnage), </w:t>
      </w:r>
    </w:p>
    <w:p w14:paraId="657706DF" w14:textId="77777777" w:rsidR="00FC7F1B" w:rsidRDefault="00000000">
      <w:pPr>
        <w:pStyle w:val="ColorfulList-Accent11"/>
        <w:numPr>
          <w:ilvl w:val="0"/>
          <w:numId w:val="8"/>
        </w:numPr>
        <w:tabs>
          <w:tab w:val="clear" w:pos="420"/>
        </w:tabs>
        <w:jc w:val="both"/>
        <w:rPr>
          <w:rStyle w:val="hps"/>
          <w:rFonts w:asciiTheme="minorHAnsi" w:hAnsiTheme="minorHAnsi" w:cstheme="minorHAnsi"/>
          <w:lang w:val="fr-FR"/>
        </w:rPr>
      </w:pPr>
      <w:proofErr w:type="gramStart"/>
      <w:r>
        <w:rPr>
          <w:rStyle w:val="hps"/>
          <w:rFonts w:asciiTheme="minorHAnsi" w:hAnsiTheme="minorHAnsi" w:cstheme="minorHAnsi"/>
          <w:lang w:val="fr-FR"/>
        </w:rPr>
        <w:t>quelles</w:t>
      </w:r>
      <w:proofErr w:type="gramEnd"/>
      <w:r>
        <w:rPr>
          <w:rStyle w:val="hps"/>
          <w:rFonts w:asciiTheme="minorHAnsi" w:hAnsiTheme="minorHAnsi" w:cstheme="minorHAnsi"/>
          <w:lang w:val="fr-FR"/>
        </w:rPr>
        <w:t xml:space="preserve"> méthodes d’analyse seront utilisées pour interpréter lesdites données, </w:t>
      </w:r>
    </w:p>
    <w:p w14:paraId="224F7E77" w14:textId="77777777" w:rsidR="00FC7F1B" w:rsidRDefault="00000000">
      <w:pPr>
        <w:pStyle w:val="ColorfulList-Accent11"/>
        <w:numPr>
          <w:ilvl w:val="0"/>
          <w:numId w:val="8"/>
        </w:numPr>
        <w:tabs>
          <w:tab w:val="clear" w:pos="420"/>
        </w:tabs>
        <w:jc w:val="both"/>
        <w:rPr>
          <w:rStyle w:val="hps"/>
          <w:rFonts w:asciiTheme="minorHAnsi" w:hAnsiTheme="minorHAnsi" w:cstheme="minorHAnsi"/>
          <w:lang w:val="fr-FR"/>
        </w:rPr>
      </w:pPr>
      <w:proofErr w:type="gramStart"/>
      <w:r>
        <w:rPr>
          <w:rFonts w:asciiTheme="minorHAnsi" w:hAnsiTheme="minorHAnsi" w:cstheme="minorHAnsi"/>
          <w:lang w:val="fr-FR"/>
        </w:rPr>
        <w:t>quelles</w:t>
      </w:r>
      <w:proofErr w:type="gramEnd"/>
      <w:r>
        <w:rPr>
          <w:rFonts w:asciiTheme="minorHAnsi" w:hAnsiTheme="minorHAnsi" w:cstheme="minorHAnsi"/>
          <w:lang w:val="fr-FR"/>
        </w:rPr>
        <w:t xml:space="preserve"> mesures seront adoptées afin </w:t>
      </w:r>
      <w:r>
        <w:rPr>
          <w:rStyle w:val="hps"/>
          <w:rFonts w:asciiTheme="minorHAnsi" w:hAnsiTheme="minorHAnsi" w:cstheme="minorHAnsi"/>
          <w:lang w:val="fr-FR"/>
        </w:rPr>
        <w:t>d'assurer la</w:t>
      </w:r>
      <w:r>
        <w:rPr>
          <w:rFonts w:asciiTheme="minorHAnsi" w:hAnsiTheme="minorHAnsi" w:cstheme="minorHAnsi"/>
          <w:lang w:val="fr-FR"/>
        </w:rPr>
        <w:t xml:space="preserve"> </w:t>
      </w:r>
      <w:r>
        <w:rPr>
          <w:rStyle w:val="hps"/>
          <w:rFonts w:asciiTheme="minorHAnsi" w:hAnsiTheme="minorHAnsi" w:cstheme="minorHAnsi"/>
          <w:lang w:val="fr-FR"/>
        </w:rPr>
        <w:t>qualité de l’évaluation</w:t>
      </w:r>
      <w:r>
        <w:rPr>
          <w:rFonts w:asciiTheme="minorHAnsi" w:hAnsiTheme="minorHAnsi" w:cstheme="minorHAnsi"/>
          <w:lang w:val="fr-FR"/>
        </w:rPr>
        <w:t xml:space="preserve">, </w:t>
      </w:r>
      <w:r>
        <w:rPr>
          <w:rStyle w:val="hps"/>
          <w:rFonts w:asciiTheme="minorHAnsi" w:hAnsiTheme="minorHAnsi" w:cstheme="minorHAnsi"/>
          <w:lang w:val="fr-FR"/>
        </w:rPr>
        <w:t>et</w:t>
      </w:r>
      <w:r>
        <w:rPr>
          <w:rFonts w:asciiTheme="minorHAnsi" w:hAnsiTheme="minorHAnsi" w:cstheme="minorHAnsi"/>
          <w:lang w:val="fr-FR"/>
        </w:rPr>
        <w:t xml:space="preserve"> </w:t>
      </w:r>
      <w:r>
        <w:rPr>
          <w:rStyle w:val="hps"/>
          <w:rFonts w:asciiTheme="minorHAnsi" w:hAnsiTheme="minorHAnsi" w:cstheme="minorHAnsi"/>
          <w:lang w:val="fr-FR"/>
        </w:rPr>
        <w:t>comment les données seront disséminées?</w:t>
      </w:r>
      <w:r>
        <w:rPr>
          <w:rFonts w:asciiTheme="minorHAnsi" w:hAnsiTheme="minorHAnsi" w:cstheme="minorHAnsi"/>
          <w:lang w:val="fr-FR"/>
        </w:rPr>
        <w:t xml:space="preserve"> </w:t>
      </w:r>
    </w:p>
    <w:p w14:paraId="5EB372D2" w14:textId="77777777" w:rsidR="00FC7F1B" w:rsidRDefault="00000000">
      <w:pPr>
        <w:pStyle w:val="ColorfulList-Accent11"/>
        <w:ind w:left="0"/>
        <w:jc w:val="both"/>
        <w:rPr>
          <w:rStyle w:val="hps"/>
          <w:rFonts w:asciiTheme="minorHAnsi" w:hAnsiTheme="minorHAnsi" w:cstheme="minorHAnsi"/>
          <w:lang w:val="fr-FR"/>
        </w:rPr>
      </w:pPr>
      <w:r>
        <w:rPr>
          <w:rFonts w:asciiTheme="minorHAnsi" w:hAnsiTheme="minorHAnsi" w:cstheme="minorHAnsi"/>
          <w:lang w:val="fr-FR"/>
        </w:rPr>
        <w:t xml:space="preserve">Cette note doit aussi proposer </w:t>
      </w:r>
      <w:r>
        <w:rPr>
          <w:rStyle w:val="hps"/>
          <w:rFonts w:asciiTheme="minorHAnsi" w:hAnsiTheme="minorHAnsi" w:cstheme="minorHAnsi"/>
          <w:lang w:val="fr-FR"/>
        </w:rPr>
        <w:t>les mesures susceptibles de garantir au processus d'évaluation une assise éthique, et de protéger la confidentialité et la dignité de ceux qui participent à l'évaluation.</w:t>
      </w:r>
    </w:p>
    <w:p w14:paraId="2548C918" w14:textId="77777777" w:rsidR="00FC7F1B" w:rsidRDefault="00FC7F1B">
      <w:pPr>
        <w:jc w:val="both"/>
        <w:rPr>
          <w:rFonts w:asciiTheme="minorHAnsi" w:eastAsia="Times" w:hAnsiTheme="minorHAnsi" w:cstheme="minorHAnsi"/>
          <w:bCs/>
          <w:color w:val="000000"/>
          <w:szCs w:val="24"/>
          <w:lang w:val="fr-FR" w:eastAsia="en-GB"/>
        </w:rPr>
      </w:pPr>
    </w:p>
    <w:p w14:paraId="74575949" w14:textId="77777777" w:rsidR="00FC7F1B" w:rsidRDefault="00000000">
      <w:pPr>
        <w:numPr>
          <w:ilvl w:val="0"/>
          <w:numId w:val="1"/>
        </w:numPr>
        <w:jc w:val="both"/>
        <w:rPr>
          <w:rFonts w:asciiTheme="minorHAnsi" w:eastAsia="Times" w:hAnsiTheme="minorHAnsi" w:cstheme="minorHAnsi"/>
          <w:b/>
          <w:color w:val="0070C0"/>
          <w:szCs w:val="24"/>
          <w:lang w:eastAsia="en-GB"/>
        </w:rPr>
      </w:pPr>
      <w:r>
        <w:rPr>
          <w:rFonts w:asciiTheme="minorHAnsi" w:eastAsia="Times" w:hAnsiTheme="minorHAnsi" w:cstheme="minorHAnsi"/>
          <w:b/>
          <w:color w:val="0070C0"/>
          <w:szCs w:val="24"/>
          <w:lang w:eastAsia="en-GB"/>
        </w:rPr>
        <w:t xml:space="preserve">Sources </w:t>
      </w:r>
      <w:proofErr w:type="spellStart"/>
      <w:r>
        <w:rPr>
          <w:rFonts w:asciiTheme="minorHAnsi" w:eastAsia="Times" w:hAnsiTheme="minorHAnsi" w:cstheme="minorHAnsi"/>
          <w:b/>
          <w:color w:val="0070C0"/>
          <w:szCs w:val="24"/>
          <w:lang w:eastAsia="en-GB"/>
        </w:rPr>
        <w:t>probables</w:t>
      </w:r>
      <w:proofErr w:type="spellEnd"/>
      <w:r>
        <w:rPr>
          <w:rFonts w:asciiTheme="minorHAnsi" w:eastAsia="Times" w:hAnsiTheme="minorHAnsi" w:cstheme="minorHAnsi"/>
          <w:b/>
          <w:color w:val="0070C0"/>
          <w:szCs w:val="24"/>
          <w:lang w:eastAsia="en-GB"/>
        </w:rPr>
        <w:t xml:space="preserve"> des </w:t>
      </w:r>
      <w:proofErr w:type="spellStart"/>
      <w:r>
        <w:rPr>
          <w:rFonts w:asciiTheme="minorHAnsi" w:eastAsia="Times" w:hAnsiTheme="minorHAnsi" w:cstheme="minorHAnsi"/>
          <w:b/>
          <w:color w:val="0070C0"/>
          <w:szCs w:val="24"/>
          <w:lang w:eastAsia="en-GB"/>
        </w:rPr>
        <w:t>données</w:t>
      </w:r>
      <w:proofErr w:type="spellEnd"/>
    </w:p>
    <w:p w14:paraId="56092EDE" w14:textId="77777777" w:rsidR="00FC7F1B" w:rsidRDefault="00000000">
      <w:p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Le consultant aura toute la compétence pour définir ses sources, établir le rapport scientifique entre les sources et la méthodologie adoptée et surtout respecter les normes les plus exigeantes en matière de qualité des données mixtes, qualitatives ou quantitatives permettant d’aboutir à une évaluation crédible et acceptable par toutes les agences et UNTFHS. Les règles académiques de référencement des sources et de prévention de plagiat devront être prises en compte dès la signature du contrat.</w:t>
      </w:r>
    </w:p>
    <w:p w14:paraId="3957E379" w14:textId="77777777" w:rsidR="00FC7F1B" w:rsidRDefault="00FC7F1B">
      <w:pPr>
        <w:jc w:val="both"/>
        <w:rPr>
          <w:rFonts w:asciiTheme="minorHAnsi" w:eastAsia="Times" w:hAnsiTheme="minorHAnsi" w:cstheme="minorHAnsi"/>
          <w:bCs/>
          <w:color w:val="000000"/>
          <w:szCs w:val="24"/>
          <w:lang w:val="fr-FR" w:eastAsia="en-GB"/>
        </w:rPr>
      </w:pPr>
    </w:p>
    <w:p w14:paraId="7BBE7737" w14:textId="77777777" w:rsidR="00FC7F1B" w:rsidRDefault="00000000">
      <w:pPr>
        <w:numPr>
          <w:ilvl w:val="0"/>
          <w:numId w:val="1"/>
        </w:numPr>
        <w:jc w:val="both"/>
        <w:rPr>
          <w:rFonts w:asciiTheme="minorHAnsi" w:eastAsia="Times" w:hAnsiTheme="minorHAnsi" w:cstheme="minorHAnsi"/>
          <w:b/>
          <w:color w:val="0070C0"/>
          <w:szCs w:val="24"/>
          <w:lang w:val="fr-FR" w:eastAsia="en-GB"/>
        </w:rPr>
      </w:pPr>
      <w:r>
        <w:rPr>
          <w:rFonts w:asciiTheme="minorHAnsi" w:eastAsia="Times" w:hAnsiTheme="minorHAnsi" w:cstheme="minorHAnsi"/>
          <w:b/>
          <w:color w:val="0070C0"/>
          <w:szCs w:val="24"/>
          <w:lang w:val="fr-FR" w:eastAsia="en-GB"/>
        </w:rPr>
        <w:t>Proposition du chronogramme de travail</w:t>
      </w:r>
    </w:p>
    <w:p w14:paraId="54F06626" w14:textId="77777777" w:rsidR="00FC7F1B" w:rsidRDefault="00000000">
      <w:p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 xml:space="preserve">Le consultant aura 45 jours de travail </w:t>
      </w:r>
      <w:proofErr w:type="gramStart"/>
      <w:r>
        <w:rPr>
          <w:rFonts w:asciiTheme="minorHAnsi" w:eastAsia="Times" w:hAnsiTheme="minorHAnsi" w:cstheme="minorHAnsi"/>
          <w:bCs/>
          <w:color w:val="000000"/>
          <w:szCs w:val="24"/>
          <w:lang w:val="fr-FR" w:eastAsia="en-GB"/>
        </w:rPr>
        <w:t>( étalés</w:t>
      </w:r>
      <w:proofErr w:type="gramEnd"/>
      <w:r>
        <w:rPr>
          <w:rFonts w:asciiTheme="minorHAnsi" w:eastAsia="Times" w:hAnsiTheme="minorHAnsi" w:cstheme="minorHAnsi"/>
          <w:bCs/>
          <w:color w:val="000000"/>
          <w:szCs w:val="24"/>
          <w:lang w:val="fr-FR" w:eastAsia="en-GB"/>
        </w:rPr>
        <w:t xml:space="preserve"> sur 2 mois ) pour réaliser toute l’évaluation. Les aspects administratifs seront du ressort de l’UNICEF selon le calendrier décliné ci-dessous :</w:t>
      </w:r>
    </w:p>
    <w:p w14:paraId="258BB2AC" w14:textId="77777777" w:rsidR="00FC7F1B" w:rsidRDefault="00000000">
      <w:pPr>
        <w:numPr>
          <w:ilvl w:val="0"/>
          <w:numId w:val="9"/>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Élaboration des termes de référence et leur adoption inter-agence : septembre 2023 ;</w:t>
      </w:r>
    </w:p>
    <w:p w14:paraId="7B52356A" w14:textId="77777777" w:rsidR="00FC7F1B" w:rsidRDefault="00000000">
      <w:pPr>
        <w:numPr>
          <w:ilvl w:val="0"/>
          <w:numId w:val="9"/>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Procédure de recrutement du consultant : 18 au 31 septembre 2023 ;</w:t>
      </w:r>
    </w:p>
    <w:p w14:paraId="1BD827E9" w14:textId="77777777" w:rsidR="00FC7F1B" w:rsidRDefault="00000000">
      <w:pPr>
        <w:numPr>
          <w:ilvl w:val="0"/>
          <w:numId w:val="9"/>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Sélection du candidat : 1</w:t>
      </w:r>
      <w:r>
        <w:rPr>
          <w:rFonts w:asciiTheme="minorHAnsi" w:eastAsia="Times" w:hAnsiTheme="minorHAnsi" w:cstheme="minorHAnsi"/>
          <w:bCs/>
          <w:color w:val="000000"/>
          <w:szCs w:val="24"/>
          <w:vertAlign w:val="superscript"/>
          <w:lang w:val="fr-FR" w:eastAsia="en-GB"/>
        </w:rPr>
        <w:t>er</w:t>
      </w:r>
      <w:r>
        <w:rPr>
          <w:rFonts w:asciiTheme="minorHAnsi" w:eastAsia="Times" w:hAnsiTheme="minorHAnsi" w:cstheme="minorHAnsi"/>
          <w:bCs/>
          <w:color w:val="000000"/>
          <w:szCs w:val="24"/>
          <w:lang w:val="fr-FR" w:eastAsia="en-GB"/>
        </w:rPr>
        <w:t xml:space="preserve"> au 10 Octobre 2023 ;</w:t>
      </w:r>
    </w:p>
    <w:p w14:paraId="4E7FC79F" w14:textId="77777777" w:rsidR="00FC7F1B" w:rsidRDefault="00000000">
      <w:pPr>
        <w:numPr>
          <w:ilvl w:val="0"/>
          <w:numId w:val="9"/>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 xml:space="preserve">Signature du contrat : entre le 15 et le 20 Octobre </w:t>
      </w:r>
      <w:proofErr w:type="gramStart"/>
      <w:r>
        <w:rPr>
          <w:rFonts w:asciiTheme="minorHAnsi" w:eastAsia="Times" w:hAnsiTheme="minorHAnsi" w:cstheme="minorHAnsi"/>
          <w:bCs/>
          <w:color w:val="000000"/>
          <w:szCs w:val="24"/>
          <w:lang w:val="fr-FR" w:eastAsia="en-GB"/>
        </w:rPr>
        <w:t>2023;</w:t>
      </w:r>
      <w:proofErr w:type="gramEnd"/>
    </w:p>
    <w:p w14:paraId="1719FE86" w14:textId="77777777" w:rsidR="00FC7F1B" w:rsidRDefault="00000000">
      <w:pPr>
        <w:numPr>
          <w:ilvl w:val="0"/>
          <w:numId w:val="9"/>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 xml:space="preserve">Réalisation de toute les taches </w:t>
      </w:r>
      <w:proofErr w:type="gramStart"/>
      <w:r>
        <w:rPr>
          <w:rFonts w:asciiTheme="minorHAnsi" w:eastAsia="Times" w:hAnsiTheme="minorHAnsi" w:cstheme="minorHAnsi"/>
          <w:bCs/>
          <w:color w:val="000000"/>
          <w:szCs w:val="24"/>
          <w:lang w:val="fr-FR" w:eastAsia="en-GB"/>
        </w:rPr>
        <w:t>contractuelles  :</w:t>
      </w:r>
      <w:proofErr w:type="gramEnd"/>
      <w:r>
        <w:rPr>
          <w:rFonts w:asciiTheme="minorHAnsi" w:eastAsia="Times" w:hAnsiTheme="minorHAnsi" w:cstheme="minorHAnsi"/>
          <w:bCs/>
          <w:color w:val="000000"/>
          <w:szCs w:val="24"/>
          <w:lang w:val="fr-FR" w:eastAsia="en-GB"/>
        </w:rPr>
        <w:t xml:space="preserve"> </w:t>
      </w:r>
      <w:r>
        <w:rPr>
          <w:rFonts w:asciiTheme="minorHAnsi" w:eastAsia="Times" w:hAnsiTheme="minorHAnsi" w:cstheme="minorHAnsi"/>
          <w:bCs/>
          <w:color w:val="000000"/>
          <w:szCs w:val="24"/>
          <w:highlight w:val="yellow"/>
          <w:lang w:val="fr-FR" w:eastAsia="en-GB"/>
        </w:rPr>
        <w:t>du 21 octobre au 20 Décembre 2023</w:t>
      </w:r>
      <w:r>
        <w:rPr>
          <w:rFonts w:asciiTheme="minorHAnsi" w:eastAsia="Times" w:hAnsiTheme="minorHAnsi" w:cstheme="minorHAnsi"/>
          <w:bCs/>
          <w:color w:val="000000"/>
          <w:szCs w:val="24"/>
          <w:lang w:val="fr-FR" w:eastAsia="en-GB"/>
        </w:rPr>
        <w:t xml:space="preserve">. </w:t>
      </w:r>
    </w:p>
    <w:p w14:paraId="5B461366" w14:textId="77777777" w:rsidR="00FC7F1B" w:rsidRDefault="00FC7F1B">
      <w:pPr>
        <w:jc w:val="both"/>
        <w:rPr>
          <w:rFonts w:asciiTheme="minorHAnsi" w:eastAsia="Calibri" w:hAnsiTheme="minorHAnsi" w:cstheme="minorHAnsi"/>
          <w:szCs w:val="24"/>
          <w:lang w:val="fr-FR"/>
        </w:rPr>
      </w:pPr>
    </w:p>
    <w:p w14:paraId="2A631D27" w14:textId="77777777" w:rsidR="00FC7F1B" w:rsidRDefault="00000000">
      <w:pPr>
        <w:jc w:val="both"/>
        <w:rPr>
          <w:rFonts w:asciiTheme="minorHAnsi" w:eastAsia="Calibri" w:hAnsiTheme="minorHAnsi" w:cstheme="minorHAnsi"/>
          <w:szCs w:val="24"/>
          <w:lang w:val="fr-FR"/>
        </w:rPr>
      </w:pPr>
      <w:r>
        <w:rPr>
          <w:rFonts w:asciiTheme="minorHAnsi" w:eastAsia="Calibri" w:hAnsiTheme="minorHAnsi" w:cstheme="minorHAnsi"/>
          <w:szCs w:val="24"/>
          <w:lang w:val="fr-FR"/>
        </w:rPr>
        <w:t xml:space="preserve">Toutes les activités de consultation seront pour </w:t>
      </w:r>
      <w:proofErr w:type="gramStart"/>
      <w:r>
        <w:rPr>
          <w:rFonts w:asciiTheme="minorHAnsi" w:eastAsia="Calibri" w:hAnsiTheme="minorHAnsi" w:cstheme="minorHAnsi"/>
          <w:szCs w:val="24"/>
          <w:highlight w:val="yellow"/>
          <w:lang w:val="fr-FR"/>
        </w:rPr>
        <w:t xml:space="preserve">une durée </w:t>
      </w:r>
      <w:r>
        <w:rPr>
          <w:rFonts w:asciiTheme="minorHAnsi" w:hAnsiTheme="minorHAnsi" w:cstheme="minorHAnsi"/>
          <w:szCs w:val="24"/>
          <w:highlight w:val="yellow"/>
          <w:lang w:val="fr-FR"/>
        </w:rPr>
        <w:t>de 45 jours ouvrables</w:t>
      </w:r>
      <w:proofErr w:type="gramEnd"/>
      <w:r>
        <w:rPr>
          <w:rFonts w:asciiTheme="minorHAnsi" w:hAnsiTheme="minorHAnsi" w:cstheme="minorHAnsi"/>
          <w:szCs w:val="24"/>
          <w:lang w:val="fr-FR"/>
        </w:rPr>
        <w:t xml:space="preserve"> à planifier entre 21</w:t>
      </w:r>
      <w:r>
        <w:rPr>
          <w:rFonts w:asciiTheme="minorHAnsi" w:hAnsiTheme="minorHAnsi" w:cstheme="minorHAnsi"/>
          <w:szCs w:val="24"/>
          <w:vertAlign w:val="superscript"/>
          <w:lang w:val="fr-FR"/>
        </w:rPr>
        <w:t xml:space="preserve"> </w:t>
      </w:r>
      <w:r>
        <w:rPr>
          <w:rFonts w:asciiTheme="minorHAnsi" w:hAnsiTheme="minorHAnsi" w:cstheme="minorHAnsi"/>
          <w:szCs w:val="24"/>
          <w:lang w:val="fr-FR"/>
        </w:rPr>
        <w:t>octobre et 20 décembre 2023</w:t>
      </w:r>
      <w:r>
        <w:rPr>
          <w:rFonts w:asciiTheme="minorHAnsi" w:eastAsia="Calibri" w:hAnsiTheme="minorHAnsi" w:cstheme="minorHAnsi"/>
          <w:szCs w:val="24"/>
          <w:lang w:val="fr-FR"/>
        </w:rPr>
        <w:t xml:space="preserve"> sous réserve de la date de publication de l’appel d’offre</w:t>
      </w:r>
      <w:r>
        <w:rPr>
          <w:rFonts w:asciiTheme="minorHAnsi" w:hAnsiTheme="minorHAnsi" w:cstheme="minorHAnsi"/>
          <w:szCs w:val="24"/>
          <w:lang w:val="fr-FR"/>
        </w:rPr>
        <w:t xml:space="preserve"> et </w:t>
      </w:r>
      <w:r>
        <w:rPr>
          <w:rFonts w:asciiTheme="minorHAnsi" w:eastAsia="Calibri" w:hAnsiTheme="minorHAnsi" w:cstheme="minorHAnsi"/>
          <w:szCs w:val="24"/>
          <w:lang w:val="fr-FR"/>
        </w:rPr>
        <w:t xml:space="preserve">consistera en trois principales phases décrites dans le tableau 3 ci-dessous. L’évaluateur devra proposer un plan de travail détaillée en indiquant les dates dans la proposition technique. </w:t>
      </w:r>
    </w:p>
    <w:p w14:paraId="376226A1" w14:textId="77777777" w:rsidR="00FC7F1B" w:rsidRDefault="00FC7F1B">
      <w:pPr>
        <w:jc w:val="both"/>
        <w:rPr>
          <w:rFonts w:asciiTheme="minorHAnsi" w:eastAsia="Times" w:hAnsiTheme="minorHAnsi" w:cstheme="minorHAnsi"/>
          <w:b/>
          <w:color w:val="0070C0"/>
          <w:szCs w:val="24"/>
          <w:lang w:val="fr-FR" w:eastAsia="en-GB"/>
        </w:rPr>
      </w:pPr>
    </w:p>
    <w:p w14:paraId="4B70B093" w14:textId="77777777" w:rsidR="00FC7F1B" w:rsidRDefault="00FC7F1B">
      <w:pPr>
        <w:jc w:val="both"/>
        <w:rPr>
          <w:rFonts w:asciiTheme="minorHAnsi" w:eastAsia="Times" w:hAnsiTheme="minorHAnsi" w:cstheme="minorHAnsi"/>
          <w:b/>
          <w:color w:val="0070C0"/>
          <w:szCs w:val="24"/>
          <w:lang w:val="fr-FR" w:eastAsia="en-GB"/>
        </w:rPr>
      </w:pPr>
    </w:p>
    <w:p w14:paraId="3D32D92F" w14:textId="77777777" w:rsidR="00FC7F1B" w:rsidRDefault="00000000">
      <w:pPr>
        <w:pStyle w:val="Caption"/>
        <w:keepNext/>
        <w:spacing w:line="240" w:lineRule="auto"/>
        <w:jc w:val="both"/>
        <w:rPr>
          <w:rFonts w:asciiTheme="minorHAnsi" w:hAnsiTheme="minorHAnsi" w:cstheme="minorHAnsi"/>
          <w:b w:val="0"/>
          <w:bCs w:val="0"/>
          <w:i/>
          <w:iCs/>
          <w:sz w:val="24"/>
          <w:szCs w:val="24"/>
          <w:lang w:val="fr-FR"/>
        </w:rPr>
      </w:pPr>
      <w:r>
        <w:rPr>
          <w:rFonts w:asciiTheme="minorHAnsi" w:hAnsiTheme="minorHAnsi" w:cstheme="minorHAnsi"/>
          <w:b w:val="0"/>
          <w:bCs w:val="0"/>
          <w:i/>
          <w:iCs/>
          <w:sz w:val="24"/>
          <w:szCs w:val="24"/>
          <w:lang w:val="fr-FR"/>
        </w:rPr>
        <w:t xml:space="preserve">Tableau </w:t>
      </w:r>
      <w:proofErr w:type="gramStart"/>
      <w:r>
        <w:rPr>
          <w:rFonts w:asciiTheme="minorHAnsi" w:hAnsiTheme="minorHAnsi" w:cstheme="minorHAnsi"/>
          <w:b w:val="0"/>
          <w:bCs w:val="0"/>
          <w:i/>
          <w:iCs/>
          <w:sz w:val="24"/>
          <w:szCs w:val="24"/>
          <w:lang w:val="fr-FR"/>
        </w:rPr>
        <w:t>3:</w:t>
      </w:r>
      <w:proofErr w:type="gramEnd"/>
      <w:r>
        <w:rPr>
          <w:rFonts w:asciiTheme="minorHAnsi" w:hAnsiTheme="minorHAnsi" w:cstheme="minorHAnsi"/>
          <w:b w:val="0"/>
          <w:bCs w:val="0"/>
          <w:i/>
          <w:iCs/>
          <w:sz w:val="24"/>
          <w:szCs w:val="24"/>
          <w:lang w:val="fr-FR"/>
        </w:rPr>
        <w:t xml:space="preserve"> Chronogramme de l’évaluation  </w:t>
      </w:r>
    </w:p>
    <w:p w14:paraId="62C2BB7C" w14:textId="77777777" w:rsidR="00FC7F1B" w:rsidRDefault="00FC7F1B">
      <w:pPr>
        <w:jc w:val="both"/>
        <w:rPr>
          <w:rFonts w:asciiTheme="minorHAnsi" w:hAnsiTheme="minorHAnsi" w:cstheme="minorHAnsi"/>
          <w:szCs w:val="24"/>
          <w:lang w:val="fr-FR"/>
        </w:rPr>
      </w:pPr>
    </w:p>
    <w:tbl>
      <w:tblPr>
        <w:tblW w:w="10165"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765"/>
        <w:gridCol w:w="3690"/>
        <w:gridCol w:w="1710"/>
      </w:tblGrid>
      <w:tr w:rsidR="00FC7F1B" w14:paraId="478CE790" w14:textId="77777777">
        <w:trPr>
          <w:trHeight w:val="448"/>
          <w:tblHeader/>
          <w:jc w:val="center"/>
        </w:trPr>
        <w:tc>
          <w:tcPr>
            <w:tcW w:w="4765" w:type="dxa"/>
            <w:shd w:val="clear" w:color="auto" w:fill="00B0F0"/>
          </w:tcPr>
          <w:p w14:paraId="639F74F6" w14:textId="77777777" w:rsidR="00FC7F1B" w:rsidRDefault="00000000">
            <w:pPr>
              <w:rPr>
                <w:rFonts w:eastAsia="Calibri"/>
                <w:b/>
                <w:bCs/>
                <w:iCs/>
                <w:color w:val="FFFFFF" w:themeColor="background1"/>
                <w:sz w:val="22"/>
                <w:szCs w:val="22"/>
                <w:lang w:val="fr-FR"/>
              </w:rPr>
            </w:pPr>
            <w:r>
              <w:rPr>
                <w:rFonts w:eastAsia="Calibri"/>
                <w:b/>
                <w:bCs/>
                <w:iCs/>
                <w:color w:val="FFFFFF" w:themeColor="background1"/>
                <w:sz w:val="22"/>
                <w:szCs w:val="22"/>
                <w:lang w:val="fr-FR"/>
              </w:rPr>
              <w:t>Activités</w:t>
            </w:r>
          </w:p>
        </w:tc>
        <w:tc>
          <w:tcPr>
            <w:tcW w:w="3690" w:type="dxa"/>
            <w:shd w:val="clear" w:color="auto" w:fill="00B0F0"/>
          </w:tcPr>
          <w:p w14:paraId="7756F74D" w14:textId="77777777" w:rsidR="00FC7F1B" w:rsidRDefault="00000000">
            <w:pPr>
              <w:rPr>
                <w:rFonts w:eastAsia="Calibri"/>
                <w:b/>
                <w:bCs/>
                <w:iCs/>
                <w:color w:val="FFFFFF" w:themeColor="background1"/>
                <w:sz w:val="22"/>
                <w:szCs w:val="22"/>
                <w:lang w:val="fr-FR"/>
              </w:rPr>
            </w:pPr>
            <w:r>
              <w:rPr>
                <w:rFonts w:eastAsia="Calibri"/>
                <w:b/>
                <w:bCs/>
                <w:iCs/>
                <w:color w:val="FFFFFF" w:themeColor="background1"/>
                <w:sz w:val="22"/>
                <w:szCs w:val="22"/>
                <w:lang w:val="fr-FR"/>
              </w:rPr>
              <w:t xml:space="preserve">Dates </w:t>
            </w:r>
          </w:p>
        </w:tc>
        <w:tc>
          <w:tcPr>
            <w:tcW w:w="1710" w:type="dxa"/>
            <w:shd w:val="clear" w:color="auto" w:fill="00B0F0"/>
          </w:tcPr>
          <w:p w14:paraId="5E5A416D" w14:textId="77777777" w:rsidR="00FC7F1B" w:rsidRDefault="00000000">
            <w:pPr>
              <w:rPr>
                <w:rFonts w:eastAsia="Calibri"/>
                <w:b/>
                <w:bCs/>
                <w:iCs/>
                <w:color w:val="FFFFFF" w:themeColor="background1"/>
                <w:sz w:val="22"/>
                <w:szCs w:val="22"/>
                <w:lang w:val="fr-FR"/>
              </w:rPr>
            </w:pPr>
            <w:r>
              <w:rPr>
                <w:rFonts w:eastAsia="Calibri"/>
                <w:b/>
                <w:bCs/>
                <w:iCs/>
                <w:color w:val="FFFFFF" w:themeColor="background1"/>
                <w:sz w:val="22"/>
                <w:szCs w:val="22"/>
                <w:lang w:val="fr-FR"/>
              </w:rPr>
              <w:t>Jours de travail</w:t>
            </w:r>
          </w:p>
        </w:tc>
      </w:tr>
      <w:tr w:rsidR="00FC7F1B" w:rsidRPr="009B3F45" w14:paraId="55F8D1B6" w14:textId="77777777">
        <w:trPr>
          <w:trHeight w:val="342"/>
          <w:jc w:val="center"/>
        </w:trPr>
        <w:tc>
          <w:tcPr>
            <w:tcW w:w="4765" w:type="dxa"/>
            <w:shd w:val="clear" w:color="auto" w:fill="D9E2F3"/>
          </w:tcPr>
          <w:p w14:paraId="039C478C" w14:textId="77777777" w:rsidR="00FC7F1B" w:rsidRDefault="00000000">
            <w:pPr>
              <w:numPr>
                <w:ilvl w:val="0"/>
                <w:numId w:val="10"/>
              </w:numPr>
              <w:rPr>
                <w:rFonts w:eastAsia="Calibri"/>
                <w:b/>
                <w:iCs/>
                <w:sz w:val="22"/>
                <w:szCs w:val="22"/>
                <w:lang w:val="fr-FR"/>
              </w:rPr>
            </w:pPr>
            <w:r>
              <w:rPr>
                <w:rFonts w:eastAsia="Calibri"/>
                <w:b/>
                <w:iCs/>
                <w:sz w:val="22"/>
                <w:szCs w:val="22"/>
                <w:lang w:val="fr-FR"/>
              </w:rPr>
              <w:t xml:space="preserve">Phase de Préparation </w:t>
            </w:r>
          </w:p>
        </w:tc>
        <w:tc>
          <w:tcPr>
            <w:tcW w:w="3690" w:type="dxa"/>
            <w:shd w:val="clear" w:color="auto" w:fill="D9E2F3"/>
          </w:tcPr>
          <w:p w14:paraId="1D717D3C" w14:textId="77777777" w:rsidR="00FC7F1B" w:rsidRDefault="00000000">
            <w:pPr>
              <w:rPr>
                <w:rFonts w:eastAsia="Calibri"/>
                <w:sz w:val="22"/>
                <w:szCs w:val="22"/>
                <w:lang w:val="fr-FR"/>
              </w:rPr>
            </w:pPr>
            <w:r>
              <w:rPr>
                <w:rFonts w:eastAsia="Calibri"/>
                <w:sz w:val="22"/>
                <w:szCs w:val="22"/>
                <w:lang w:val="fr-FR"/>
              </w:rPr>
              <w:t>Sous réserve de la date de publication de l’appel d’offre</w:t>
            </w:r>
          </w:p>
        </w:tc>
        <w:tc>
          <w:tcPr>
            <w:tcW w:w="1710" w:type="dxa"/>
            <w:shd w:val="clear" w:color="auto" w:fill="D9E2F3"/>
          </w:tcPr>
          <w:p w14:paraId="25DE2331" w14:textId="77777777" w:rsidR="00FC7F1B" w:rsidRDefault="00FC7F1B">
            <w:pPr>
              <w:rPr>
                <w:rFonts w:eastAsia="Calibri"/>
                <w:sz w:val="22"/>
                <w:szCs w:val="22"/>
                <w:lang w:val="fr-FR"/>
              </w:rPr>
            </w:pPr>
          </w:p>
        </w:tc>
      </w:tr>
      <w:tr w:rsidR="00FC7F1B" w14:paraId="5062C9AD" w14:textId="77777777">
        <w:trPr>
          <w:trHeight w:val="342"/>
          <w:jc w:val="center"/>
        </w:trPr>
        <w:tc>
          <w:tcPr>
            <w:tcW w:w="4765" w:type="dxa"/>
            <w:shd w:val="clear" w:color="auto" w:fill="FFFFFF"/>
          </w:tcPr>
          <w:p w14:paraId="459214D3" w14:textId="77777777" w:rsidR="00FC7F1B" w:rsidRDefault="00000000">
            <w:pPr>
              <w:rPr>
                <w:rFonts w:eastAsia="Calibri"/>
                <w:i/>
                <w:iCs/>
                <w:sz w:val="22"/>
                <w:szCs w:val="22"/>
                <w:lang w:val="fr-FR"/>
              </w:rPr>
            </w:pPr>
            <w:r>
              <w:rPr>
                <w:rFonts w:eastAsia="Calibri"/>
                <w:i/>
                <w:iCs/>
                <w:sz w:val="22"/>
                <w:szCs w:val="22"/>
                <w:lang w:val="fr-FR"/>
              </w:rPr>
              <w:t xml:space="preserve">Signature du contrat </w:t>
            </w:r>
          </w:p>
        </w:tc>
        <w:tc>
          <w:tcPr>
            <w:tcW w:w="3690" w:type="dxa"/>
            <w:shd w:val="clear" w:color="auto" w:fill="auto"/>
          </w:tcPr>
          <w:p w14:paraId="1035B71A" w14:textId="77777777" w:rsidR="00FC7F1B" w:rsidRDefault="00000000">
            <w:pPr>
              <w:rPr>
                <w:rFonts w:eastAsia="Calibri"/>
                <w:sz w:val="22"/>
                <w:szCs w:val="22"/>
              </w:rPr>
            </w:pPr>
            <w:r>
              <w:rPr>
                <w:rFonts w:eastAsia="Calibri"/>
                <w:sz w:val="22"/>
                <w:szCs w:val="22"/>
              </w:rPr>
              <w:t>21/10/2023</w:t>
            </w:r>
          </w:p>
        </w:tc>
        <w:tc>
          <w:tcPr>
            <w:tcW w:w="1710" w:type="dxa"/>
            <w:shd w:val="clear" w:color="auto" w:fill="auto"/>
          </w:tcPr>
          <w:p w14:paraId="77BE08C1" w14:textId="77777777" w:rsidR="00FC7F1B" w:rsidRDefault="00000000">
            <w:pPr>
              <w:rPr>
                <w:rFonts w:eastAsia="Calibri"/>
                <w:sz w:val="22"/>
                <w:szCs w:val="22"/>
                <w:lang w:val="fr-FR"/>
              </w:rPr>
            </w:pPr>
            <w:r>
              <w:rPr>
                <w:rFonts w:eastAsia="Calibri"/>
                <w:sz w:val="22"/>
                <w:szCs w:val="22"/>
                <w:lang w:val="fr-FR"/>
              </w:rPr>
              <w:t>1.j</w:t>
            </w:r>
          </w:p>
        </w:tc>
      </w:tr>
      <w:tr w:rsidR="00FC7F1B" w14:paraId="252515A2" w14:textId="77777777">
        <w:trPr>
          <w:trHeight w:val="342"/>
          <w:jc w:val="center"/>
        </w:trPr>
        <w:tc>
          <w:tcPr>
            <w:tcW w:w="4765" w:type="dxa"/>
            <w:shd w:val="clear" w:color="auto" w:fill="FFFFFF"/>
          </w:tcPr>
          <w:p w14:paraId="78DFCB89" w14:textId="77777777" w:rsidR="00FC7F1B" w:rsidRDefault="00000000">
            <w:pPr>
              <w:rPr>
                <w:rFonts w:eastAsia="Calibri"/>
                <w:i/>
                <w:iCs/>
                <w:sz w:val="22"/>
                <w:szCs w:val="22"/>
                <w:lang w:val="fr-FR"/>
              </w:rPr>
            </w:pPr>
            <w:r>
              <w:rPr>
                <w:rFonts w:eastAsia="Calibri"/>
                <w:i/>
                <w:iCs/>
                <w:sz w:val="22"/>
                <w:szCs w:val="22"/>
                <w:lang w:val="fr-FR"/>
              </w:rPr>
              <w:t xml:space="preserve">Réunion initiale </w:t>
            </w:r>
          </w:p>
        </w:tc>
        <w:tc>
          <w:tcPr>
            <w:tcW w:w="3690" w:type="dxa"/>
            <w:shd w:val="clear" w:color="auto" w:fill="auto"/>
          </w:tcPr>
          <w:p w14:paraId="3C9030DE" w14:textId="77777777" w:rsidR="00FC7F1B" w:rsidRDefault="00000000">
            <w:pPr>
              <w:rPr>
                <w:rFonts w:eastAsia="Calibri"/>
                <w:sz w:val="22"/>
                <w:szCs w:val="22"/>
              </w:rPr>
            </w:pPr>
            <w:r>
              <w:rPr>
                <w:rFonts w:eastAsia="Calibri"/>
                <w:sz w:val="22"/>
                <w:szCs w:val="22"/>
              </w:rPr>
              <w:t>22/10/2023</w:t>
            </w:r>
          </w:p>
        </w:tc>
        <w:tc>
          <w:tcPr>
            <w:tcW w:w="1710" w:type="dxa"/>
            <w:shd w:val="clear" w:color="auto" w:fill="auto"/>
          </w:tcPr>
          <w:p w14:paraId="02AF9649" w14:textId="77777777" w:rsidR="00FC7F1B" w:rsidRDefault="00000000">
            <w:pPr>
              <w:rPr>
                <w:rFonts w:eastAsia="Calibri"/>
                <w:sz w:val="22"/>
                <w:szCs w:val="22"/>
              </w:rPr>
            </w:pPr>
            <w:r>
              <w:rPr>
                <w:rFonts w:eastAsia="Calibri"/>
                <w:sz w:val="22"/>
                <w:szCs w:val="22"/>
                <w:lang w:val="fr-FR"/>
              </w:rPr>
              <w:t>1.j</w:t>
            </w:r>
          </w:p>
        </w:tc>
      </w:tr>
      <w:tr w:rsidR="00FC7F1B" w14:paraId="7412D6D0" w14:textId="77777777">
        <w:trPr>
          <w:trHeight w:val="620"/>
          <w:jc w:val="center"/>
        </w:trPr>
        <w:tc>
          <w:tcPr>
            <w:tcW w:w="4765" w:type="dxa"/>
            <w:shd w:val="clear" w:color="auto" w:fill="FFFFFF"/>
          </w:tcPr>
          <w:p w14:paraId="1ABBBAA7" w14:textId="77777777" w:rsidR="00FC7F1B" w:rsidRDefault="00000000">
            <w:pPr>
              <w:rPr>
                <w:rFonts w:eastAsia="Calibri"/>
                <w:i/>
                <w:iCs/>
                <w:sz w:val="22"/>
                <w:szCs w:val="22"/>
                <w:lang w:val="fr-FR"/>
              </w:rPr>
            </w:pPr>
            <w:r>
              <w:rPr>
                <w:rFonts w:eastAsia="Calibri"/>
                <w:i/>
                <w:iCs/>
                <w:sz w:val="22"/>
                <w:szCs w:val="22"/>
                <w:lang w:val="fr-FR"/>
              </w:rPr>
              <w:t>Revue de la littérature, et entrevues préliminaires</w:t>
            </w:r>
          </w:p>
        </w:tc>
        <w:tc>
          <w:tcPr>
            <w:tcW w:w="3690" w:type="dxa"/>
            <w:shd w:val="clear" w:color="auto" w:fill="auto"/>
          </w:tcPr>
          <w:p w14:paraId="2EF45822" w14:textId="77777777" w:rsidR="00FC7F1B" w:rsidRDefault="00000000">
            <w:pPr>
              <w:rPr>
                <w:rFonts w:eastAsia="Calibri"/>
                <w:sz w:val="22"/>
                <w:szCs w:val="22"/>
              </w:rPr>
            </w:pPr>
            <w:r>
              <w:rPr>
                <w:rFonts w:eastAsia="Calibri"/>
                <w:sz w:val="22"/>
                <w:szCs w:val="22"/>
              </w:rPr>
              <w:t>23-29/10/2023</w:t>
            </w:r>
          </w:p>
        </w:tc>
        <w:tc>
          <w:tcPr>
            <w:tcW w:w="1710" w:type="dxa"/>
            <w:shd w:val="clear" w:color="auto" w:fill="auto"/>
          </w:tcPr>
          <w:p w14:paraId="6EE5E46B" w14:textId="77777777" w:rsidR="00FC7F1B" w:rsidRDefault="00000000">
            <w:pPr>
              <w:rPr>
                <w:rFonts w:eastAsia="Calibri"/>
                <w:sz w:val="22"/>
                <w:szCs w:val="22"/>
                <w:lang w:val="fr-FR"/>
              </w:rPr>
            </w:pPr>
            <w:r>
              <w:rPr>
                <w:rFonts w:eastAsia="Calibri"/>
                <w:sz w:val="22"/>
                <w:szCs w:val="22"/>
                <w:lang w:val="fr-FR"/>
              </w:rPr>
              <w:t>5.j</w:t>
            </w:r>
          </w:p>
          <w:p w14:paraId="0478D56F" w14:textId="77777777" w:rsidR="00FC7F1B" w:rsidRDefault="00FC7F1B">
            <w:pPr>
              <w:rPr>
                <w:rFonts w:eastAsia="Calibri"/>
                <w:sz w:val="22"/>
                <w:szCs w:val="22"/>
                <w:lang w:val="fr-FR"/>
              </w:rPr>
            </w:pPr>
          </w:p>
          <w:p w14:paraId="2AA0C0D8" w14:textId="77777777" w:rsidR="00FC7F1B" w:rsidRDefault="00FC7F1B">
            <w:pPr>
              <w:rPr>
                <w:rFonts w:eastAsia="Calibri"/>
                <w:sz w:val="22"/>
                <w:szCs w:val="22"/>
                <w:lang w:val="fr-FR"/>
              </w:rPr>
            </w:pPr>
          </w:p>
        </w:tc>
      </w:tr>
      <w:tr w:rsidR="00FC7F1B" w14:paraId="7A872C24" w14:textId="77777777">
        <w:trPr>
          <w:trHeight w:val="602"/>
          <w:jc w:val="center"/>
        </w:trPr>
        <w:tc>
          <w:tcPr>
            <w:tcW w:w="4765" w:type="dxa"/>
            <w:shd w:val="clear" w:color="auto" w:fill="FFFFFF"/>
          </w:tcPr>
          <w:p w14:paraId="11C7DA2F" w14:textId="77777777" w:rsidR="00FC7F1B" w:rsidRDefault="00000000">
            <w:pPr>
              <w:rPr>
                <w:rFonts w:eastAsia="Calibri"/>
                <w:i/>
                <w:iCs/>
                <w:sz w:val="22"/>
                <w:szCs w:val="22"/>
                <w:lang w:val="fr-FR"/>
              </w:rPr>
            </w:pPr>
            <w:r>
              <w:rPr>
                <w:rFonts w:eastAsia="Calibri"/>
                <w:i/>
                <w:iCs/>
                <w:sz w:val="22"/>
                <w:szCs w:val="22"/>
                <w:lang w:val="fr-FR"/>
              </w:rPr>
              <w:t xml:space="preserve">Soumission de la note de cadrage complète </w:t>
            </w:r>
          </w:p>
        </w:tc>
        <w:tc>
          <w:tcPr>
            <w:tcW w:w="3690" w:type="dxa"/>
            <w:shd w:val="clear" w:color="auto" w:fill="auto"/>
          </w:tcPr>
          <w:p w14:paraId="3B09F0DA" w14:textId="77777777" w:rsidR="00FC7F1B" w:rsidRDefault="00000000">
            <w:pPr>
              <w:rPr>
                <w:rFonts w:eastAsia="Calibri"/>
                <w:sz w:val="22"/>
                <w:szCs w:val="22"/>
              </w:rPr>
            </w:pPr>
            <w:r>
              <w:rPr>
                <w:rFonts w:eastAsia="Calibri"/>
                <w:sz w:val="22"/>
                <w:szCs w:val="22"/>
              </w:rPr>
              <w:t>30/10/2023</w:t>
            </w:r>
          </w:p>
        </w:tc>
        <w:tc>
          <w:tcPr>
            <w:tcW w:w="1710" w:type="dxa"/>
            <w:shd w:val="clear" w:color="auto" w:fill="auto"/>
          </w:tcPr>
          <w:p w14:paraId="0769A262" w14:textId="77777777" w:rsidR="00FC7F1B" w:rsidRDefault="00000000">
            <w:pPr>
              <w:rPr>
                <w:rFonts w:eastAsia="Calibri"/>
                <w:sz w:val="22"/>
                <w:szCs w:val="22"/>
                <w:lang w:val="fr-FR"/>
              </w:rPr>
            </w:pPr>
            <w:r>
              <w:rPr>
                <w:rFonts w:eastAsia="Calibri"/>
                <w:sz w:val="22"/>
                <w:szCs w:val="22"/>
                <w:lang w:val="fr-FR"/>
              </w:rPr>
              <w:t>1.j</w:t>
            </w:r>
          </w:p>
        </w:tc>
      </w:tr>
      <w:tr w:rsidR="00FC7F1B" w14:paraId="64477012" w14:textId="77777777">
        <w:trPr>
          <w:trHeight w:val="900"/>
          <w:jc w:val="center"/>
        </w:trPr>
        <w:tc>
          <w:tcPr>
            <w:tcW w:w="4765" w:type="dxa"/>
            <w:shd w:val="clear" w:color="auto" w:fill="FFFFFF"/>
          </w:tcPr>
          <w:p w14:paraId="2EB5572B" w14:textId="77777777" w:rsidR="00FC7F1B" w:rsidRDefault="00000000">
            <w:pPr>
              <w:rPr>
                <w:rFonts w:eastAsia="Calibri"/>
                <w:i/>
                <w:iCs/>
                <w:sz w:val="22"/>
                <w:szCs w:val="22"/>
                <w:lang w:val="fr-FR"/>
              </w:rPr>
            </w:pPr>
            <w:r>
              <w:rPr>
                <w:rFonts w:eastAsia="Calibri"/>
                <w:i/>
                <w:iCs/>
                <w:sz w:val="22"/>
                <w:szCs w:val="22"/>
                <w:lang w:val="fr-FR"/>
              </w:rPr>
              <w:t>Révision de la note de cadrage sur la base des commentaires du Groupe de Référence de l’Evaluation (GRE)*</w:t>
            </w:r>
          </w:p>
          <w:p w14:paraId="7DDDCA49" w14:textId="77777777" w:rsidR="00FC7F1B" w:rsidRDefault="00FC7F1B">
            <w:pPr>
              <w:rPr>
                <w:rFonts w:eastAsia="Calibri"/>
                <w:i/>
                <w:iCs/>
                <w:sz w:val="22"/>
                <w:szCs w:val="22"/>
                <w:lang w:val="fr-FR"/>
              </w:rPr>
            </w:pPr>
          </w:p>
          <w:p w14:paraId="40A63F2A" w14:textId="77777777" w:rsidR="00FC7F1B" w:rsidRDefault="00000000">
            <w:pPr>
              <w:rPr>
                <w:rFonts w:eastAsia="Calibri"/>
                <w:i/>
                <w:iCs/>
                <w:sz w:val="22"/>
                <w:szCs w:val="22"/>
                <w:lang w:val="fr-FR"/>
              </w:rPr>
            </w:pPr>
            <w:r>
              <w:rPr>
                <w:rFonts w:eastAsia="Calibri"/>
                <w:i/>
                <w:iCs/>
                <w:sz w:val="22"/>
                <w:szCs w:val="22"/>
                <w:lang w:val="fr-FR"/>
              </w:rPr>
              <w:t>*plusieurs allers-retours entre l'UNICEF et l'évaluateur sont envisageables afin d'assurer la conformité aux normes de l'UNEG et aux standards de qualité de l'UNICEF.</w:t>
            </w:r>
          </w:p>
        </w:tc>
        <w:tc>
          <w:tcPr>
            <w:tcW w:w="3690" w:type="dxa"/>
            <w:shd w:val="clear" w:color="auto" w:fill="auto"/>
          </w:tcPr>
          <w:p w14:paraId="44D216C8" w14:textId="77777777" w:rsidR="00FC7F1B" w:rsidRDefault="00000000">
            <w:pPr>
              <w:rPr>
                <w:rFonts w:eastAsia="Calibri"/>
                <w:sz w:val="22"/>
                <w:szCs w:val="22"/>
              </w:rPr>
            </w:pPr>
            <w:r>
              <w:rPr>
                <w:rFonts w:eastAsia="Calibri"/>
                <w:sz w:val="22"/>
                <w:szCs w:val="22"/>
              </w:rPr>
              <w:t>3-6/11/2023</w:t>
            </w:r>
          </w:p>
        </w:tc>
        <w:tc>
          <w:tcPr>
            <w:tcW w:w="1710" w:type="dxa"/>
            <w:shd w:val="clear" w:color="auto" w:fill="auto"/>
          </w:tcPr>
          <w:p w14:paraId="4AC0DF68" w14:textId="77777777" w:rsidR="00FC7F1B" w:rsidRDefault="00000000">
            <w:pPr>
              <w:rPr>
                <w:rFonts w:eastAsia="Calibri"/>
                <w:sz w:val="22"/>
                <w:szCs w:val="22"/>
                <w:lang w:val="fr-FR"/>
              </w:rPr>
            </w:pPr>
            <w:r>
              <w:rPr>
                <w:rFonts w:eastAsia="Calibri"/>
                <w:sz w:val="22"/>
                <w:szCs w:val="22"/>
                <w:lang w:val="fr-FR"/>
              </w:rPr>
              <w:t>4.j</w:t>
            </w:r>
          </w:p>
        </w:tc>
      </w:tr>
      <w:tr w:rsidR="00FC7F1B" w:rsidRPr="009B3F45" w14:paraId="67CA40F5" w14:textId="77777777">
        <w:trPr>
          <w:trHeight w:val="360"/>
          <w:jc w:val="center"/>
        </w:trPr>
        <w:tc>
          <w:tcPr>
            <w:tcW w:w="4765" w:type="dxa"/>
            <w:shd w:val="clear" w:color="auto" w:fill="D9E2F3"/>
          </w:tcPr>
          <w:p w14:paraId="23A353D5" w14:textId="77777777" w:rsidR="00FC7F1B" w:rsidRDefault="00000000">
            <w:pPr>
              <w:numPr>
                <w:ilvl w:val="0"/>
                <w:numId w:val="10"/>
              </w:numPr>
              <w:rPr>
                <w:rFonts w:eastAsia="Calibri"/>
                <w:b/>
                <w:iCs/>
                <w:sz w:val="22"/>
                <w:szCs w:val="22"/>
                <w:lang w:val="fr-FR"/>
              </w:rPr>
            </w:pPr>
            <w:r>
              <w:rPr>
                <w:rFonts w:eastAsia="Calibri"/>
                <w:b/>
                <w:iCs/>
                <w:sz w:val="22"/>
                <w:szCs w:val="22"/>
                <w:lang w:val="fr-FR"/>
              </w:rPr>
              <w:t>Phase de Collecte des données dans le pays</w:t>
            </w:r>
          </w:p>
        </w:tc>
        <w:tc>
          <w:tcPr>
            <w:tcW w:w="3690" w:type="dxa"/>
            <w:shd w:val="clear" w:color="auto" w:fill="D9E2F3"/>
          </w:tcPr>
          <w:p w14:paraId="4BD3DE6E" w14:textId="77777777" w:rsidR="00FC7F1B" w:rsidRDefault="00FC7F1B">
            <w:pPr>
              <w:rPr>
                <w:rFonts w:eastAsia="Calibri"/>
                <w:sz w:val="22"/>
                <w:szCs w:val="22"/>
                <w:lang w:val="fr-FR"/>
              </w:rPr>
            </w:pPr>
          </w:p>
        </w:tc>
        <w:tc>
          <w:tcPr>
            <w:tcW w:w="1710" w:type="dxa"/>
            <w:shd w:val="clear" w:color="auto" w:fill="D9E2F3"/>
          </w:tcPr>
          <w:p w14:paraId="1A0909D0" w14:textId="77777777" w:rsidR="00FC7F1B" w:rsidRDefault="00FC7F1B">
            <w:pPr>
              <w:rPr>
                <w:rFonts w:eastAsia="Calibri"/>
                <w:sz w:val="22"/>
                <w:szCs w:val="22"/>
                <w:lang w:val="fr-FR"/>
              </w:rPr>
            </w:pPr>
          </w:p>
        </w:tc>
      </w:tr>
      <w:tr w:rsidR="00FC7F1B" w14:paraId="25A07D72" w14:textId="77777777">
        <w:trPr>
          <w:trHeight w:val="685"/>
          <w:jc w:val="center"/>
        </w:trPr>
        <w:tc>
          <w:tcPr>
            <w:tcW w:w="4765" w:type="dxa"/>
            <w:shd w:val="clear" w:color="auto" w:fill="FFFFFF"/>
          </w:tcPr>
          <w:p w14:paraId="552AF362" w14:textId="77777777" w:rsidR="00FC7F1B" w:rsidRDefault="00000000">
            <w:pPr>
              <w:rPr>
                <w:rFonts w:eastAsia="Calibri"/>
                <w:i/>
                <w:iCs/>
                <w:sz w:val="22"/>
                <w:szCs w:val="22"/>
                <w:lang w:val="fr-FR"/>
              </w:rPr>
            </w:pPr>
            <w:r>
              <w:rPr>
                <w:rFonts w:eastAsia="Calibri"/>
                <w:i/>
                <w:iCs/>
                <w:sz w:val="22"/>
                <w:szCs w:val="22"/>
                <w:lang w:val="fr-FR"/>
              </w:rPr>
              <w:t xml:space="preserve">Rencontre avec le staff de l’UNICEF et les autres parties prenantes </w:t>
            </w:r>
          </w:p>
        </w:tc>
        <w:tc>
          <w:tcPr>
            <w:tcW w:w="3690" w:type="dxa"/>
            <w:shd w:val="clear" w:color="auto" w:fill="FFFFFF"/>
          </w:tcPr>
          <w:p w14:paraId="6BC7E485" w14:textId="77777777" w:rsidR="00FC7F1B" w:rsidRDefault="00000000">
            <w:pPr>
              <w:rPr>
                <w:rFonts w:eastAsia="Calibri"/>
                <w:sz w:val="22"/>
                <w:szCs w:val="22"/>
              </w:rPr>
            </w:pPr>
            <w:r>
              <w:rPr>
                <w:rFonts w:eastAsia="Calibri"/>
                <w:sz w:val="22"/>
                <w:szCs w:val="22"/>
              </w:rPr>
              <w:t>10/11/2023</w:t>
            </w:r>
          </w:p>
        </w:tc>
        <w:tc>
          <w:tcPr>
            <w:tcW w:w="1710" w:type="dxa"/>
            <w:shd w:val="clear" w:color="auto" w:fill="FFFFFF"/>
          </w:tcPr>
          <w:p w14:paraId="6E96AE10" w14:textId="77777777" w:rsidR="00FC7F1B" w:rsidRDefault="00000000">
            <w:pPr>
              <w:rPr>
                <w:rFonts w:eastAsia="Calibri"/>
                <w:sz w:val="22"/>
                <w:szCs w:val="22"/>
                <w:lang w:val="fr-FR"/>
              </w:rPr>
            </w:pPr>
            <w:r>
              <w:rPr>
                <w:rFonts w:eastAsia="Calibri"/>
                <w:sz w:val="22"/>
                <w:szCs w:val="22"/>
                <w:lang w:val="fr-FR"/>
              </w:rPr>
              <w:t>5.j</w:t>
            </w:r>
          </w:p>
        </w:tc>
      </w:tr>
      <w:tr w:rsidR="00FC7F1B" w14:paraId="57FD8A40" w14:textId="77777777">
        <w:trPr>
          <w:trHeight w:val="432"/>
          <w:jc w:val="center"/>
        </w:trPr>
        <w:tc>
          <w:tcPr>
            <w:tcW w:w="4765" w:type="dxa"/>
            <w:shd w:val="clear" w:color="auto" w:fill="FFFFFF"/>
          </w:tcPr>
          <w:p w14:paraId="18F94BF8" w14:textId="77777777" w:rsidR="00FC7F1B" w:rsidRDefault="00000000">
            <w:pPr>
              <w:rPr>
                <w:rFonts w:eastAsia="Calibri"/>
                <w:i/>
                <w:iCs/>
                <w:sz w:val="22"/>
                <w:szCs w:val="22"/>
                <w:lang w:val="fr-FR"/>
              </w:rPr>
            </w:pPr>
            <w:r>
              <w:rPr>
                <w:rFonts w:eastAsia="Calibri"/>
                <w:i/>
                <w:iCs/>
                <w:sz w:val="22"/>
                <w:szCs w:val="22"/>
                <w:lang w:val="fr-FR"/>
              </w:rPr>
              <w:t xml:space="preserve">Visites de terrain (pendant la phase de terrain l’équipe d’évaluation informera UNICEF régulièrement sur le progrès du travail par </w:t>
            </w:r>
            <w:proofErr w:type="spellStart"/>
            <w:r>
              <w:rPr>
                <w:rFonts w:eastAsia="Calibri"/>
                <w:i/>
                <w:iCs/>
                <w:sz w:val="22"/>
                <w:szCs w:val="22"/>
                <w:lang w:val="fr-FR"/>
              </w:rPr>
              <w:t>Whatsapp</w:t>
            </w:r>
            <w:proofErr w:type="spellEnd"/>
            <w:r>
              <w:rPr>
                <w:rFonts w:eastAsia="Calibri"/>
                <w:i/>
                <w:iCs/>
                <w:sz w:val="22"/>
                <w:szCs w:val="22"/>
                <w:lang w:val="fr-FR"/>
              </w:rPr>
              <w:t xml:space="preserve">, Tel, </w:t>
            </w:r>
            <w:proofErr w:type="gramStart"/>
            <w:r>
              <w:rPr>
                <w:rFonts w:eastAsia="Calibri"/>
                <w:i/>
                <w:iCs/>
                <w:sz w:val="22"/>
                <w:szCs w:val="22"/>
                <w:lang w:val="fr-FR"/>
              </w:rPr>
              <w:t>e-mail</w:t>
            </w:r>
            <w:proofErr w:type="gramEnd"/>
            <w:r>
              <w:rPr>
                <w:rFonts w:eastAsia="Calibri"/>
                <w:i/>
                <w:iCs/>
                <w:sz w:val="22"/>
                <w:szCs w:val="22"/>
                <w:lang w:val="fr-FR"/>
              </w:rPr>
              <w:t xml:space="preserve">, etc.) </w:t>
            </w:r>
          </w:p>
        </w:tc>
        <w:tc>
          <w:tcPr>
            <w:tcW w:w="3690" w:type="dxa"/>
            <w:shd w:val="clear" w:color="auto" w:fill="FFFFFF"/>
          </w:tcPr>
          <w:p w14:paraId="2EE41C7F" w14:textId="77777777" w:rsidR="00FC7F1B" w:rsidRDefault="00000000">
            <w:pPr>
              <w:rPr>
                <w:rFonts w:eastAsia="Calibri"/>
                <w:sz w:val="22"/>
                <w:szCs w:val="22"/>
              </w:rPr>
            </w:pPr>
            <w:r>
              <w:rPr>
                <w:rFonts w:eastAsia="Calibri"/>
                <w:sz w:val="22"/>
                <w:szCs w:val="22"/>
              </w:rPr>
              <w:t>11-15/11/2023</w:t>
            </w:r>
          </w:p>
        </w:tc>
        <w:tc>
          <w:tcPr>
            <w:tcW w:w="1710" w:type="dxa"/>
            <w:shd w:val="clear" w:color="auto" w:fill="FFFFFF"/>
          </w:tcPr>
          <w:p w14:paraId="0025FED8" w14:textId="77777777" w:rsidR="00FC7F1B" w:rsidRDefault="00FC7F1B">
            <w:pPr>
              <w:rPr>
                <w:rFonts w:eastAsia="Calibri"/>
                <w:sz w:val="22"/>
                <w:szCs w:val="22"/>
                <w:lang w:val="fr-FR"/>
              </w:rPr>
            </w:pPr>
          </w:p>
          <w:p w14:paraId="4CAE5B9E" w14:textId="77777777" w:rsidR="00FC7F1B" w:rsidRDefault="00000000">
            <w:pPr>
              <w:rPr>
                <w:rFonts w:eastAsia="Calibri"/>
                <w:sz w:val="22"/>
                <w:szCs w:val="22"/>
                <w:lang w:val="fr-FR"/>
              </w:rPr>
            </w:pPr>
            <w:r>
              <w:rPr>
                <w:rFonts w:eastAsia="Calibri"/>
                <w:sz w:val="22"/>
                <w:szCs w:val="22"/>
                <w:lang w:val="fr-FR"/>
              </w:rPr>
              <w:t>5.j</w:t>
            </w:r>
          </w:p>
        </w:tc>
      </w:tr>
      <w:tr w:rsidR="00FC7F1B" w14:paraId="70A40D64" w14:textId="77777777">
        <w:trPr>
          <w:trHeight w:val="557"/>
          <w:jc w:val="center"/>
        </w:trPr>
        <w:tc>
          <w:tcPr>
            <w:tcW w:w="4765" w:type="dxa"/>
            <w:shd w:val="clear" w:color="auto" w:fill="FFFFFF"/>
          </w:tcPr>
          <w:p w14:paraId="34AD96E9" w14:textId="77777777" w:rsidR="00FC7F1B" w:rsidRDefault="00000000">
            <w:pPr>
              <w:rPr>
                <w:rFonts w:eastAsia="Calibri"/>
                <w:i/>
                <w:iCs/>
                <w:sz w:val="22"/>
                <w:szCs w:val="22"/>
                <w:lang w:val="fr-FR"/>
              </w:rPr>
            </w:pPr>
            <w:r>
              <w:rPr>
                <w:rFonts w:eastAsia="Calibri"/>
                <w:i/>
                <w:iCs/>
                <w:sz w:val="22"/>
                <w:szCs w:val="22"/>
                <w:lang w:val="fr-FR"/>
              </w:rPr>
              <w:t>Rencontre + Présentation PPT des conclusions préliminaires</w:t>
            </w:r>
          </w:p>
        </w:tc>
        <w:tc>
          <w:tcPr>
            <w:tcW w:w="3690" w:type="dxa"/>
            <w:shd w:val="clear" w:color="auto" w:fill="FFFFFF"/>
          </w:tcPr>
          <w:p w14:paraId="02834470" w14:textId="77777777" w:rsidR="00FC7F1B" w:rsidRDefault="00000000">
            <w:pPr>
              <w:rPr>
                <w:rFonts w:eastAsia="Calibri"/>
                <w:sz w:val="22"/>
                <w:szCs w:val="22"/>
              </w:rPr>
            </w:pPr>
            <w:r>
              <w:rPr>
                <w:rFonts w:eastAsia="Calibri"/>
                <w:sz w:val="22"/>
                <w:szCs w:val="22"/>
              </w:rPr>
              <w:t>19/11/2023</w:t>
            </w:r>
          </w:p>
        </w:tc>
        <w:tc>
          <w:tcPr>
            <w:tcW w:w="1710" w:type="dxa"/>
            <w:shd w:val="clear" w:color="auto" w:fill="FFFFFF"/>
          </w:tcPr>
          <w:p w14:paraId="00E51D5C" w14:textId="77777777" w:rsidR="00FC7F1B" w:rsidRDefault="00000000">
            <w:pPr>
              <w:rPr>
                <w:rFonts w:eastAsia="Calibri"/>
                <w:sz w:val="22"/>
                <w:szCs w:val="22"/>
                <w:lang w:val="fr-FR"/>
              </w:rPr>
            </w:pPr>
            <w:r>
              <w:rPr>
                <w:rFonts w:eastAsia="Calibri"/>
                <w:sz w:val="22"/>
                <w:szCs w:val="22"/>
                <w:lang w:val="fr-FR"/>
              </w:rPr>
              <w:t>1.j</w:t>
            </w:r>
          </w:p>
        </w:tc>
      </w:tr>
      <w:tr w:rsidR="00FC7F1B" w:rsidRPr="009B3F45" w14:paraId="7ABDB67A" w14:textId="77777777">
        <w:trPr>
          <w:trHeight w:val="448"/>
          <w:jc w:val="center"/>
        </w:trPr>
        <w:tc>
          <w:tcPr>
            <w:tcW w:w="4765" w:type="dxa"/>
            <w:shd w:val="clear" w:color="auto" w:fill="D9E2F3"/>
          </w:tcPr>
          <w:p w14:paraId="60A2A44A" w14:textId="77777777" w:rsidR="00FC7F1B" w:rsidRDefault="00000000">
            <w:pPr>
              <w:numPr>
                <w:ilvl w:val="0"/>
                <w:numId w:val="10"/>
              </w:numPr>
              <w:rPr>
                <w:rFonts w:eastAsia="Calibri"/>
                <w:b/>
                <w:iCs/>
                <w:sz w:val="22"/>
                <w:szCs w:val="22"/>
                <w:lang w:val="fr-FR"/>
              </w:rPr>
            </w:pPr>
            <w:r>
              <w:rPr>
                <w:rFonts w:eastAsia="Calibri"/>
                <w:b/>
                <w:iCs/>
                <w:sz w:val="22"/>
                <w:szCs w:val="22"/>
                <w:lang w:val="fr-FR"/>
              </w:rPr>
              <w:t>Phase de rédaction du rapport</w:t>
            </w:r>
          </w:p>
        </w:tc>
        <w:tc>
          <w:tcPr>
            <w:tcW w:w="3690" w:type="dxa"/>
            <w:shd w:val="clear" w:color="auto" w:fill="D9E2F3"/>
          </w:tcPr>
          <w:p w14:paraId="5A85985A" w14:textId="77777777" w:rsidR="00FC7F1B" w:rsidRDefault="00FC7F1B">
            <w:pPr>
              <w:rPr>
                <w:rFonts w:eastAsia="Calibri"/>
                <w:sz w:val="22"/>
                <w:szCs w:val="22"/>
                <w:lang w:val="fr-FR"/>
              </w:rPr>
            </w:pPr>
          </w:p>
        </w:tc>
        <w:tc>
          <w:tcPr>
            <w:tcW w:w="1710" w:type="dxa"/>
            <w:shd w:val="clear" w:color="auto" w:fill="D9E2F3"/>
          </w:tcPr>
          <w:p w14:paraId="52329CFF" w14:textId="77777777" w:rsidR="00FC7F1B" w:rsidRDefault="00FC7F1B">
            <w:pPr>
              <w:rPr>
                <w:rFonts w:eastAsia="Calibri"/>
                <w:sz w:val="22"/>
                <w:szCs w:val="22"/>
                <w:lang w:val="fr-FR"/>
              </w:rPr>
            </w:pPr>
          </w:p>
        </w:tc>
      </w:tr>
      <w:tr w:rsidR="00FC7F1B" w14:paraId="3299CA90" w14:textId="77777777">
        <w:trPr>
          <w:trHeight w:val="448"/>
          <w:jc w:val="center"/>
        </w:trPr>
        <w:tc>
          <w:tcPr>
            <w:tcW w:w="4765" w:type="dxa"/>
            <w:shd w:val="clear" w:color="auto" w:fill="FFFFFF"/>
          </w:tcPr>
          <w:p w14:paraId="5B0E7056" w14:textId="77777777" w:rsidR="00FC7F1B" w:rsidRDefault="00000000">
            <w:pPr>
              <w:rPr>
                <w:rFonts w:eastAsia="Calibri"/>
                <w:i/>
                <w:iCs/>
                <w:sz w:val="22"/>
                <w:szCs w:val="22"/>
                <w:lang w:val="fr-FR"/>
              </w:rPr>
            </w:pPr>
            <w:r>
              <w:rPr>
                <w:rFonts w:eastAsia="Calibri"/>
                <w:i/>
                <w:iCs/>
                <w:sz w:val="22"/>
                <w:szCs w:val="22"/>
                <w:lang w:val="fr-FR"/>
              </w:rPr>
              <w:t>Soumission du Rapport provisoire de l’évaluation (Draft 0)</w:t>
            </w:r>
          </w:p>
        </w:tc>
        <w:tc>
          <w:tcPr>
            <w:tcW w:w="3690" w:type="dxa"/>
            <w:shd w:val="clear" w:color="auto" w:fill="FFFFFF"/>
          </w:tcPr>
          <w:p w14:paraId="53F8838F" w14:textId="77777777" w:rsidR="00FC7F1B" w:rsidRDefault="00000000">
            <w:pPr>
              <w:rPr>
                <w:rFonts w:eastAsia="Calibri"/>
                <w:sz w:val="22"/>
                <w:szCs w:val="22"/>
              </w:rPr>
            </w:pPr>
            <w:r>
              <w:rPr>
                <w:rFonts w:eastAsia="Calibri"/>
                <w:sz w:val="22"/>
                <w:szCs w:val="22"/>
              </w:rPr>
              <w:t>20-28/11/2023</w:t>
            </w:r>
          </w:p>
        </w:tc>
        <w:tc>
          <w:tcPr>
            <w:tcW w:w="1710" w:type="dxa"/>
            <w:shd w:val="clear" w:color="auto" w:fill="FFFFFF"/>
          </w:tcPr>
          <w:p w14:paraId="7FDBE980" w14:textId="77777777" w:rsidR="00FC7F1B" w:rsidRDefault="00000000">
            <w:pPr>
              <w:rPr>
                <w:rFonts w:eastAsia="Calibri"/>
                <w:sz w:val="22"/>
                <w:szCs w:val="22"/>
                <w:lang w:val="fr-FR"/>
              </w:rPr>
            </w:pPr>
            <w:r>
              <w:rPr>
                <w:rFonts w:eastAsia="Calibri"/>
                <w:sz w:val="22"/>
                <w:szCs w:val="22"/>
                <w:lang w:val="fr-FR"/>
              </w:rPr>
              <w:t>6.j</w:t>
            </w:r>
          </w:p>
        </w:tc>
      </w:tr>
      <w:tr w:rsidR="00FC7F1B" w14:paraId="25E1A4E3" w14:textId="77777777">
        <w:trPr>
          <w:trHeight w:val="448"/>
          <w:jc w:val="center"/>
        </w:trPr>
        <w:tc>
          <w:tcPr>
            <w:tcW w:w="4765" w:type="dxa"/>
            <w:shd w:val="clear" w:color="auto" w:fill="FFFFFF"/>
          </w:tcPr>
          <w:p w14:paraId="50FCC1EA" w14:textId="77777777" w:rsidR="00FC7F1B" w:rsidRDefault="00000000">
            <w:pPr>
              <w:rPr>
                <w:rFonts w:eastAsia="Calibri"/>
                <w:i/>
                <w:iCs/>
                <w:sz w:val="22"/>
                <w:szCs w:val="22"/>
                <w:lang w:val="fr-FR"/>
              </w:rPr>
            </w:pPr>
            <w:r>
              <w:rPr>
                <w:rFonts w:eastAsia="Calibri"/>
                <w:i/>
                <w:iCs/>
                <w:sz w:val="22"/>
                <w:szCs w:val="22"/>
                <w:lang w:val="fr-FR"/>
              </w:rPr>
              <w:t>Soumission de la version révisée du rapport (Draft 1) intégrant les commentaires du GRE*</w:t>
            </w:r>
          </w:p>
          <w:p w14:paraId="0BA8126A" w14:textId="77777777" w:rsidR="00FC7F1B" w:rsidRDefault="00FC7F1B">
            <w:pPr>
              <w:rPr>
                <w:rFonts w:eastAsia="Calibri"/>
                <w:i/>
                <w:iCs/>
                <w:sz w:val="22"/>
                <w:szCs w:val="22"/>
                <w:lang w:val="fr-FR"/>
              </w:rPr>
            </w:pPr>
          </w:p>
          <w:p w14:paraId="49D72F45" w14:textId="77777777" w:rsidR="00FC7F1B" w:rsidRDefault="00000000">
            <w:pPr>
              <w:rPr>
                <w:sz w:val="22"/>
                <w:szCs w:val="22"/>
                <w:lang w:val="fr-FR"/>
              </w:rPr>
            </w:pPr>
            <w:r>
              <w:rPr>
                <w:sz w:val="22"/>
                <w:szCs w:val="22"/>
                <w:lang w:val="fr-FR"/>
              </w:rPr>
              <w:t>*Chaque livrable fera l'objet d'un maximum de 3 allers-retours entre l'UNICEF et l'équipe d'évaluation afin d'assurer la conformité aux normes de l'UNEG et aux standards de qualité de l'UNICEF.</w:t>
            </w:r>
          </w:p>
        </w:tc>
        <w:tc>
          <w:tcPr>
            <w:tcW w:w="3690" w:type="dxa"/>
            <w:shd w:val="clear" w:color="auto" w:fill="FFFFFF"/>
          </w:tcPr>
          <w:p w14:paraId="5F3D3DD6" w14:textId="77777777" w:rsidR="00FC7F1B" w:rsidRDefault="00000000">
            <w:pPr>
              <w:rPr>
                <w:rFonts w:eastAsia="Calibri"/>
                <w:sz w:val="22"/>
                <w:szCs w:val="22"/>
              </w:rPr>
            </w:pPr>
            <w:r>
              <w:rPr>
                <w:rFonts w:eastAsia="Calibri"/>
                <w:sz w:val="22"/>
                <w:szCs w:val="22"/>
              </w:rPr>
              <w:t>1-9/12/2023</w:t>
            </w:r>
          </w:p>
        </w:tc>
        <w:tc>
          <w:tcPr>
            <w:tcW w:w="1710" w:type="dxa"/>
            <w:shd w:val="clear" w:color="auto" w:fill="FFFFFF"/>
          </w:tcPr>
          <w:p w14:paraId="4B7A176E" w14:textId="77777777" w:rsidR="00FC7F1B" w:rsidRDefault="00000000">
            <w:pPr>
              <w:rPr>
                <w:rFonts w:eastAsia="Calibri"/>
                <w:sz w:val="22"/>
                <w:szCs w:val="22"/>
                <w:lang w:val="fr-FR"/>
              </w:rPr>
            </w:pPr>
            <w:r>
              <w:rPr>
                <w:rFonts w:eastAsia="Calibri"/>
                <w:sz w:val="22"/>
                <w:szCs w:val="22"/>
                <w:lang w:val="fr-FR"/>
              </w:rPr>
              <w:t>7.j</w:t>
            </w:r>
          </w:p>
        </w:tc>
      </w:tr>
      <w:tr w:rsidR="00FC7F1B" w14:paraId="75F25D63" w14:textId="77777777">
        <w:trPr>
          <w:trHeight w:val="448"/>
          <w:jc w:val="center"/>
        </w:trPr>
        <w:tc>
          <w:tcPr>
            <w:tcW w:w="4765" w:type="dxa"/>
            <w:shd w:val="clear" w:color="auto" w:fill="FFFFFF"/>
          </w:tcPr>
          <w:p w14:paraId="5C7F6EB5" w14:textId="77777777" w:rsidR="00FC7F1B" w:rsidRDefault="00000000">
            <w:pPr>
              <w:rPr>
                <w:rFonts w:eastAsia="Calibri"/>
                <w:i/>
                <w:iCs/>
                <w:sz w:val="22"/>
                <w:szCs w:val="22"/>
                <w:lang w:val="fr-FR"/>
              </w:rPr>
            </w:pPr>
            <w:r>
              <w:rPr>
                <w:rFonts w:eastAsia="Calibri"/>
                <w:i/>
                <w:iCs/>
                <w:sz w:val="22"/>
                <w:szCs w:val="22"/>
                <w:lang w:val="fr-FR"/>
              </w:rPr>
              <w:t xml:space="preserve">Atelier de validation des recommandations (soit facilité par l’équipe d’évaluation soit par les </w:t>
            </w:r>
            <w:r>
              <w:rPr>
                <w:rFonts w:eastAsia="Calibri"/>
                <w:i/>
                <w:iCs/>
                <w:sz w:val="22"/>
                <w:szCs w:val="22"/>
                <w:lang w:val="fr-FR"/>
              </w:rPr>
              <w:lastRenderedPageBreak/>
              <w:t>responsable M&amp;E de l’UNICEF ou le Conseiller Régional pour l’Évaluation)</w:t>
            </w:r>
          </w:p>
        </w:tc>
        <w:tc>
          <w:tcPr>
            <w:tcW w:w="3690" w:type="dxa"/>
            <w:shd w:val="clear" w:color="auto" w:fill="FFFFFF"/>
          </w:tcPr>
          <w:p w14:paraId="1FC6F238" w14:textId="77777777" w:rsidR="00FC7F1B" w:rsidRDefault="00000000">
            <w:pPr>
              <w:rPr>
                <w:rFonts w:eastAsia="Calibri"/>
                <w:sz w:val="22"/>
                <w:szCs w:val="22"/>
              </w:rPr>
            </w:pPr>
            <w:r>
              <w:rPr>
                <w:rFonts w:eastAsia="Calibri"/>
                <w:sz w:val="22"/>
                <w:szCs w:val="22"/>
              </w:rPr>
              <w:lastRenderedPageBreak/>
              <w:t>14/12/2023</w:t>
            </w:r>
          </w:p>
        </w:tc>
        <w:tc>
          <w:tcPr>
            <w:tcW w:w="1710" w:type="dxa"/>
            <w:shd w:val="clear" w:color="auto" w:fill="FFFFFF"/>
          </w:tcPr>
          <w:p w14:paraId="2E47075E" w14:textId="77777777" w:rsidR="00FC7F1B" w:rsidRDefault="00000000">
            <w:pPr>
              <w:rPr>
                <w:rFonts w:eastAsia="Calibri"/>
                <w:sz w:val="22"/>
                <w:szCs w:val="22"/>
                <w:lang w:val="fr-FR"/>
              </w:rPr>
            </w:pPr>
            <w:r>
              <w:rPr>
                <w:rFonts w:eastAsia="Calibri"/>
                <w:sz w:val="22"/>
                <w:szCs w:val="22"/>
                <w:lang w:val="fr-FR"/>
              </w:rPr>
              <w:t>1.j</w:t>
            </w:r>
          </w:p>
        </w:tc>
      </w:tr>
      <w:tr w:rsidR="00FC7F1B" w14:paraId="45037D42" w14:textId="77777777">
        <w:trPr>
          <w:trHeight w:val="448"/>
          <w:jc w:val="center"/>
        </w:trPr>
        <w:tc>
          <w:tcPr>
            <w:tcW w:w="4765" w:type="dxa"/>
            <w:shd w:val="clear" w:color="auto" w:fill="FFFFFF"/>
          </w:tcPr>
          <w:p w14:paraId="6DF5A0AA" w14:textId="77777777" w:rsidR="00FC7F1B" w:rsidRDefault="00000000">
            <w:pPr>
              <w:rPr>
                <w:rFonts w:eastAsia="Calibri"/>
                <w:i/>
                <w:iCs/>
                <w:sz w:val="22"/>
                <w:szCs w:val="22"/>
                <w:lang w:val="fr-FR"/>
              </w:rPr>
            </w:pPr>
            <w:r>
              <w:rPr>
                <w:rFonts w:eastAsia="Calibri"/>
                <w:i/>
                <w:iCs/>
                <w:sz w:val="22"/>
                <w:szCs w:val="22"/>
                <w:lang w:val="fr-FR"/>
              </w:rPr>
              <w:t>Soumission de la version finale du rapport intégrant les commentaires ultérieurs du GRE</w:t>
            </w:r>
          </w:p>
        </w:tc>
        <w:tc>
          <w:tcPr>
            <w:tcW w:w="3690" w:type="dxa"/>
            <w:shd w:val="clear" w:color="auto" w:fill="auto"/>
          </w:tcPr>
          <w:p w14:paraId="032183C9" w14:textId="77777777" w:rsidR="00FC7F1B" w:rsidRDefault="00000000">
            <w:pPr>
              <w:rPr>
                <w:rFonts w:eastAsia="Calibri"/>
                <w:sz w:val="22"/>
                <w:szCs w:val="22"/>
              </w:rPr>
            </w:pPr>
            <w:r>
              <w:rPr>
                <w:rFonts w:eastAsia="Calibri"/>
                <w:sz w:val="22"/>
                <w:szCs w:val="22"/>
              </w:rPr>
              <w:t>19/12/2023</w:t>
            </w:r>
          </w:p>
        </w:tc>
        <w:tc>
          <w:tcPr>
            <w:tcW w:w="1710" w:type="dxa"/>
            <w:shd w:val="clear" w:color="auto" w:fill="auto"/>
          </w:tcPr>
          <w:p w14:paraId="37C96A65" w14:textId="77777777" w:rsidR="00FC7F1B" w:rsidRDefault="00000000">
            <w:pPr>
              <w:rPr>
                <w:rFonts w:eastAsia="Calibri"/>
                <w:sz w:val="22"/>
                <w:szCs w:val="22"/>
                <w:lang w:val="fr-FR"/>
              </w:rPr>
            </w:pPr>
            <w:r>
              <w:rPr>
                <w:rFonts w:eastAsia="Calibri"/>
                <w:sz w:val="22"/>
                <w:szCs w:val="22"/>
                <w:lang w:val="fr-FR"/>
              </w:rPr>
              <w:t>5.j</w:t>
            </w:r>
          </w:p>
        </w:tc>
      </w:tr>
      <w:tr w:rsidR="00FC7F1B" w14:paraId="38ED34B5" w14:textId="77777777">
        <w:trPr>
          <w:trHeight w:val="448"/>
          <w:jc w:val="center"/>
        </w:trPr>
        <w:tc>
          <w:tcPr>
            <w:tcW w:w="4765" w:type="dxa"/>
            <w:shd w:val="clear" w:color="auto" w:fill="FFFFFF"/>
          </w:tcPr>
          <w:p w14:paraId="31E93248" w14:textId="77777777" w:rsidR="00FC7F1B" w:rsidRDefault="00000000">
            <w:pPr>
              <w:rPr>
                <w:rFonts w:eastAsia="Calibri"/>
                <w:i/>
                <w:iCs/>
                <w:sz w:val="22"/>
                <w:szCs w:val="22"/>
                <w:lang w:val="fr-FR"/>
              </w:rPr>
            </w:pPr>
            <w:r>
              <w:rPr>
                <w:rFonts w:eastAsia="Calibri"/>
                <w:i/>
                <w:iCs/>
                <w:sz w:val="22"/>
                <w:szCs w:val="22"/>
                <w:lang w:val="fr-FR"/>
              </w:rPr>
              <w:t>Soumission de l’infographie et plan de mise en œuvre des recommandations</w:t>
            </w:r>
          </w:p>
        </w:tc>
        <w:tc>
          <w:tcPr>
            <w:tcW w:w="3690" w:type="dxa"/>
            <w:shd w:val="clear" w:color="auto" w:fill="auto"/>
          </w:tcPr>
          <w:p w14:paraId="5A3ABDCF" w14:textId="77777777" w:rsidR="00FC7F1B" w:rsidRDefault="00000000">
            <w:pPr>
              <w:rPr>
                <w:rFonts w:eastAsia="Calibri"/>
                <w:sz w:val="22"/>
                <w:szCs w:val="22"/>
              </w:rPr>
            </w:pPr>
            <w:r>
              <w:rPr>
                <w:rFonts w:eastAsia="Calibri"/>
                <w:sz w:val="22"/>
                <w:szCs w:val="22"/>
              </w:rPr>
              <w:t>20/12/2023</w:t>
            </w:r>
          </w:p>
        </w:tc>
        <w:tc>
          <w:tcPr>
            <w:tcW w:w="1710" w:type="dxa"/>
            <w:shd w:val="clear" w:color="auto" w:fill="auto"/>
          </w:tcPr>
          <w:p w14:paraId="1A909D3F" w14:textId="77777777" w:rsidR="00FC7F1B" w:rsidRDefault="00000000">
            <w:pPr>
              <w:rPr>
                <w:rFonts w:eastAsia="Calibri"/>
                <w:sz w:val="22"/>
                <w:szCs w:val="22"/>
                <w:lang w:val="fr-FR"/>
              </w:rPr>
            </w:pPr>
            <w:r>
              <w:rPr>
                <w:rFonts w:eastAsia="Calibri"/>
                <w:sz w:val="22"/>
                <w:szCs w:val="22"/>
                <w:lang w:val="fr-FR"/>
              </w:rPr>
              <w:t xml:space="preserve">3.j </w:t>
            </w:r>
          </w:p>
        </w:tc>
      </w:tr>
    </w:tbl>
    <w:p w14:paraId="7F0BCDC8" w14:textId="77777777" w:rsidR="00FC7F1B" w:rsidRDefault="00FC7F1B">
      <w:pPr>
        <w:jc w:val="both"/>
        <w:rPr>
          <w:rFonts w:asciiTheme="minorHAnsi" w:eastAsia="Times" w:hAnsiTheme="minorHAnsi" w:cstheme="minorHAnsi"/>
          <w:bCs/>
          <w:color w:val="000000"/>
          <w:szCs w:val="24"/>
          <w:lang w:val="fr-FR" w:eastAsia="en-GB"/>
        </w:rPr>
      </w:pPr>
    </w:p>
    <w:p w14:paraId="02E25D2F" w14:textId="77777777" w:rsidR="00FC7F1B" w:rsidRDefault="00000000">
      <w:pPr>
        <w:numPr>
          <w:ilvl w:val="0"/>
          <w:numId w:val="1"/>
        </w:numPr>
        <w:jc w:val="both"/>
        <w:rPr>
          <w:rFonts w:asciiTheme="minorHAnsi" w:eastAsia="Times" w:hAnsiTheme="minorHAnsi" w:cstheme="minorHAnsi"/>
          <w:b/>
          <w:color w:val="0070C0"/>
          <w:szCs w:val="24"/>
          <w:lang w:eastAsia="en-GB"/>
        </w:rPr>
      </w:pPr>
      <w:r>
        <w:rPr>
          <w:rFonts w:asciiTheme="minorHAnsi" w:eastAsia="Times" w:hAnsiTheme="minorHAnsi" w:cstheme="minorHAnsi"/>
          <w:b/>
          <w:color w:val="0070C0"/>
          <w:szCs w:val="24"/>
          <w:lang w:eastAsia="en-GB"/>
        </w:rPr>
        <w:t xml:space="preserve">Gestion de </w:t>
      </w:r>
      <w:proofErr w:type="spellStart"/>
      <w:r>
        <w:rPr>
          <w:rFonts w:asciiTheme="minorHAnsi" w:eastAsia="Times" w:hAnsiTheme="minorHAnsi" w:cstheme="minorHAnsi"/>
          <w:b/>
          <w:color w:val="0070C0"/>
          <w:szCs w:val="24"/>
          <w:lang w:eastAsia="en-GB"/>
        </w:rPr>
        <w:t>l’activité</w:t>
      </w:r>
      <w:proofErr w:type="spellEnd"/>
    </w:p>
    <w:p w14:paraId="411D7A5D" w14:textId="77777777" w:rsidR="00FC7F1B" w:rsidRDefault="00000000">
      <w:pPr>
        <w:numPr>
          <w:ilvl w:val="0"/>
          <w:numId w:val="11"/>
        </w:numPr>
        <w:tabs>
          <w:tab w:val="clear" w:pos="420"/>
        </w:tabs>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Préparation technique : section protection de l’enfant de l’UNICEF ;</w:t>
      </w:r>
    </w:p>
    <w:p w14:paraId="22EC14A9" w14:textId="77777777" w:rsidR="00FC7F1B" w:rsidRDefault="00000000">
      <w:pPr>
        <w:numPr>
          <w:ilvl w:val="0"/>
          <w:numId w:val="11"/>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 xml:space="preserve">Comité technique de validation de tous les documents : OIM, UNHCR, UNICEF et UNODC </w:t>
      </w:r>
    </w:p>
    <w:p w14:paraId="55E15DD3" w14:textId="77777777" w:rsidR="00FC7F1B" w:rsidRDefault="00000000">
      <w:pPr>
        <w:numPr>
          <w:ilvl w:val="0"/>
          <w:numId w:val="11"/>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 xml:space="preserve">Assurance qualité et suivi du </w:t>
      </w:r>
      <w:proofErr w:type="gramStart"/>
      <w:r>
        <w:rPr>
          <w:rFonts w:asciiTheme="minorHAnsi" w:eastAsia="Times" w:hAnsiTheme="minorHAnsi" w:cstheme="minorHAnsi"/>
          <w:bCs/>
          <w:color w:val="000000"/>
          <w:szCs w:val="24"/>
          <w:lang w:val="fr-FR" w:eastAsia="en-GB"/>
        </w:rPr>
        <w:t>projet:</w:t>
      </w:r>
      <w:proofErr w:type="gramEnd"/>
      <w:r>
        <w:rPr>
          <w:rFonts w:asciiTheme="minorHAnsi" w:eastAsia="Times" w:hAnsiTheme="minorHAnsi" w:cstheme="minorHAnsi"/>
          <w:bCs/>
          <w:color w:val="000000"/>
          <w:szCs w:val="24"/>
          <w:lang w:val="fr-FR" w:eastAsia="en-GB"/>
        </w:rPr>
        <w:t xml:space="preserve"> M&amp;E UNICEF, Section Evaluation WCARO;</w:t>
      </w:r>
    </w:p>
    <w:p w14:paraId="41D95DF7" w14:textId="77777777" w:rsidR="00FC7F1B" w:rsidRDefault="00000000">
      <w:pPr>
        <w:numPr>
          <w:ilvl w:val="0"/>
          <w:numId w:val="11"/>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 xml:space="preserve">Préparation administrative de tout le processus de </w:t>
      </w:r>
      <w:proofErr w:type="gramStart"/>
      <w:r>
        <w:rPr>
          <w:rFonts w:asciiTheme="minorHAnsi" w:eastAsia="Times" w:hAnsiTheme="minorHAnsi" w:cstheme="minorHAnsi"/>
          <w:bCs/>
          <w:color w:val="000000"/>
          <w:szCs w:val="24"/>
          <w:lang w:val="fr-FR" w:eastAsia="en-GB"/>
        </w:rPr>
        <w:t>recrutement:</w:t>
      </w:r>
      <w:proofErr w:type="gramEnd"/>
      <w:r>
        <w:rPr>
          <w:rFonts w:asciiTheme="minorHAnsi" w:eastAsia="Times" w:hAnsiTheme="minorHAnsi" w:cstheme="minorHAnsi"/>
          <w:bCs/>
          <w:color w:val="000000"/>
          <w:szCs w:val="24"/>
          <w:lang w:val="fr-FR" w:eastAsia="en-GB"/>
        </w:rPr>
        <w:t xml:space="preserve"> RH UNICEF;</w:t>
      </w:r>
    </w:p>
    <w:p w14:paraId="4AF69F4D" w14:textId="77777777" w:rsidR="00FC7F1B" w:rsidRDefault="00000000">
      <w:pPr>
        <w:numPr>
          <w:ilvl w:val="0"/>
          <w:numId w:val="11"/>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 xml:space="preserve">Autorisation et signature : Représentant Adjoint et Représentant de l’UNICEF </w:t>
      </w:r>
    </w:p>
    <w:p w14:paraId="724A2D41" w14:textId="77777777" w:rsidR="00FC7F1B" w:rsidRDefault="00000000">
      <w:pPr>
        <w:pStyle w:val="CommentText"/>
        <w:tabs>
          <w:tab w:val="left" w:pos="420"/>
        </w:tabs>
        <w:spacing w:line="240" w:lineRule="auto"/>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 w:val="24"/>
          <w:szCs w:val="24"/>
          <w:lang w:val="fr-FR" w:eastAsia="en-GB"/>
        </w:rPr>
        <w:t xml:space="preserve">L’UNICEF en tant que responsable d’assurance qualité et de suivi du projet transmettra les canevas de rapports et d’outils nécessaire, ainsi que les critères de qualité GEROS. </w:t>
      </w:r>
    </w:p>
    <w:p w14:paraId="22B7001D" w14:textId="77777777" w:rsidR="00FC7F1B" w:rsidRDefault="00FC7F1B">
      <w:pPr>
        <w:jc w:val="both"/>
        <w:rPr>
          <w:rFonts w:asciiTheme="minorHAnsi" w:eastAsia="Times" w:hAnsiTheme="minorHAnsi" w:cstheme="minorHAnsi"/>
          <w:bCs/>
          <w:color w:val="000000"/>
          <w:szCs w:val="24"/>
          <w:lang w:val="fr-FR" w:eastAsia="en-GB"/>
        </w:rPr>
      </w:pPr>
    </w:p>
    <w:p w14:paraId="618C28C8" w14:textId="77777777" w:rsidR="00FC7F1B" w:rsidRDefault="00000000">
      <w:pPr>
        <w:numPr>
          <w:ilvl w:val="0"/>
          <w:numId w:val="1"/>
        </w:numPr>
        <w:jc w:val="both"/>
        <w:rPr>
          <w:rFonts w:asciiTheme="minorHAnsi" w:eastAsia="Times" w:hAnsiTheme="minorHAnsi" w:cstheme="minorHAnsi"/>
          <w:bCs/>
          <w:color w:val="000000"/>
          <w:szCs w:val="24"/>
          <w:lang w:eastAsia="en-GB"/>
        </w:rPr>
      </w:pPr>
      <w:r>
        <w:rPr>
          <w:rFonts w:asciiTheme="minorHAnsi" w:eastAsia="Times" w:hAnsiTheme="minorHAnsi" w:cstheme="minorHAnsi"/>
          <w:b/>
          <w:color w:val="0070C0"/>
          <w:szCs w:val="24"/>
          <w:lang w:eastAsia="en-GB"/>
        </w:rPr>
        <w:t xml:space="preserve">Les </w:t>
      </w:r>
      <w:proofErr w:type="spellStart"/>
      <w:r>
        <w:rPr>
          <w:rFonts w:asciiTheme="minorHAnsi" w:eastAsia="Times" w:hAnsiTheme="minorHAnsi" w:cstheme="minorHAnsi"/>
          <w:b/>
          <w:color w:val="0070C0"/>
          <w:szCs w:val="24"/>
          <w:lang w:eastAsia="en-GB"/>
        </w:rPr>
        <w:t>livrables</w:t>
      </w:r>
      <w:proofErr w:type="spellEnd"/>
      <w:r>
        <w:rPr>
          <w:rFonts w:asciiTheme="minorHAnsi" w:eastAsia="Times" w:hAnsiTheme="minorHAnsi" w:cstheme="minorHAnsi"/>
          <w:b/>
          <w:color w:val="0070C0"/>
          <w:szCs w:val="24"/>
          <w:lang w:eastAsia="en-GB"/>
        </w:rPr>
        <w:t xml:space="preserve"> </w:t>
      </w:r>
      <w:proofErr w:type="spellStart"/>
      <w:r>
        <w:rPr>
          <w:rFonts w:asciiTheme="minorHAnsi" w:eastAsia="Times" w:hAnsiTheme="minorHAnsi" w:cstheme="minorHAnsi"/>
          <w:b/>
          <w:color w:val="0070C0"/>
          <w:szCs w:val="24"/>
          <w:lang w:eastAsia="en-GB"/>
        </w:rPr>
        <w:t>attendus</w:t>
      </w:r>
      <w:proofErr w:type="spellEnd"/>
    </w:p>
    <w:p w14:paraId="59056F19" w14:textId="77777777" w:rsidR="00FC7F1B" w:rsidRDefault="00000000">
      <w:p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Dans le respect des standards prévus par le guide des évaluations des Nations Unies, le consultant s’attellera à produire :</w:t>
      </w:r>
    </w:p>
    <w:p w14:paraId="4084083F" w14:textId="77777777" w:rsidR="00FC7F1B" w:rsidRDefault="00000000">
      <w:pPr>
        <w:numPr>
          <w:ilvl w:val="0"/>
          <w:numId w:val="12"/>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Une note de cadrage qui décrira la méthodologie détaillée d’intervention ;</w:t>
      </w:r>
    </w:p>
    <w:p w14:paraId="243D1D86" w14:textId="77777777" w:rsidR="00FC7F1B" w:rsidRDefault="00000000">
      <w:pPr>
        <w:numPr>
          <w:ilvl w:val="0"/>
          <w:numId w:val="12"/>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Un rapport provisoire selon le schéma des évaluations autorisé par l’équipe conjointe des évaluateurs des Nations Unies dont le consultant recevra le guide ;</w:t>
      </w:r>
    </w:p>
    <w:p w14:paraId="57A25FD7" w14:textId="77777777" w:rsidR="00FC7F1B" w:rsidRDefault="00000000">
      <w:pPr>
        <w:numPr>
          <w:ilvl w:val="0"/>
          <w:numId w:val="12"/>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Une synthèse du rapport sur PowerPoint ;</w:t>
      </w:r>
    </w:p>
    <w:p w14:paraId="0B43A3DC" w14:textId="77777777" w:rsidR="00FC7F1B" w:rsidRDefault="00000000">
      <w:pPr>
        <w:numPr>
          <w:ilvl w:val="0"/>
          <w:numId w:val="12"/>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Un atelier de restitution du rapport provisoire révisé et commenté par le groupe de référence et de validation des recommandations ;</w:t>
      </w:r>
    </w:p>
    <w:p w14:paraId="3CF1DFDA" w14:textId="77777777" w:rsidR="00FC7F1B" w:rsidRDefault="00000000">
      <w:pPr>
        <w:numPr>
          <w:ilvl w:val="0"/>
          <w:numId w:val="12"/>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Un rapport final contenant des recommandations pour les agences et les autres parties prenantes ;</w:t>
      </w:r>
    </w:p>
    <w:p w14:paraId="26257920" w14:textId="77777777" w:rsidR="00FC7F1B" w:rsidRDefault="00000000">
      <w:pPr>
        <w:numPr>
          <w:ilvl w:val="0"/>
          <w:numId w:val="12"/>
        </w:numPr>
        <w:tabs>
          <w:tab w:val="clear" w:pos="420"/>
        </w:tabs>
        <w:autoSpaceDE w:val="0"/>
        <w:autoSpaceDN w:val="0"/>
        <w:adjustRightInd w:val="0"/>
        <w:spacing w:after="120"/>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Une synthèse pour le public externe de 1-2 pages qui servira d’outil de dissémination des principales conclusions et recommandations de l’évaluation ;</w:t>
      </w:r>
    </w:p>
    <w:p w14:paraId="06A48CAE" w14:textId="77777777" w:rsidR="00FC7F1B" w:rsidRDefault="00000000">
      <w:pPr>
        <w:numPr>
          <w:ilvl w:val="0"/>
          <w:numId w:val="12"/>
        </w:numPr>
        <w:tabs>
          <w:tab w:val="clear" w:pos="420"/>
        </w:tabs>
        <w:autoSpaceDE w:val="0"/>
        <w:autoSpaceDN w:val="0"/>
        <w:adjustRightInd w:val="0"/>
        <w:spacing w:after="120"/>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Données brutes, y compris les instruments de collecte de données, les transcriptions électroniques, les data sets complètes, etc.</w:t>
      </w:r>
    </w:p>
    <w:p w14:paraId="71B5B0B2" w14:textId="77777777" w:rsidR="00FC7F1B" w:rsidRDefault="00000000">
      <w:pPr>
        <w:numPr>
          <w:ilvl w:val="0"/>
          <w:numId w:val="1"/>
        </w:numPr>
        <w:jc w:val="both"/>
        <w:rPr>
          <w:rFonts w:asciiTheme="minorHAnsi" w:eastAsia="Times" w:hAnsiTheme="minorHAnsi" w:cstheme="minorHAnsi"/>
          <w:b/>
          <w:color w:val="0070C0"/>
          <w:szCs w:val="24"/>
          <w:lang w:val="fr-FR" w:eastAsia="en-GB"/>
        </w:rPr>
      </w:pPr>
      <w:r>
        <w:rPr>
          <w:rFonts w:asciiTheme="minorHAnsi" w:eastAsia="Times" w:hAnsiTheme="minorHAnsi" w:cstheme="minorHAnsi"/>
          <w:b/>
          <w:color w:val="0070C0"/>
          <w:szCs w:val="24"/>
          <w:lang w:val="fr-FR" w:eastAsia="en-GB"/>
        </w:rPr>
        <w:t xml:space="preserve">Profil recherché du consultant- Evaluateur </w:t>
      </w:r>
    </w:p>
    <w:p w14:paraId="6248936C" w14:textId="77777777" w:rsidR="00FC7F1B" w:rsidRDefault="00000000">
      <w:pPr>
        <w:numPr>
          <w:ilvl w:val="0"/>
          <w:numId w:val="13"/>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Avoir au moins cinq ans dans le domaine des évaluations de programmes de développement ;</w:t>
      </w:r>
    </w:p>
    <w:p w14:paraId="154C92B1" w14:textId="77777777" w:rsidR="00FC7F1B" w:rsidRDefault="00000000">
      <w:pPr>
        <w:numPr>
          <w:ilvl w:val="0"/>
          <w:numId w:val="13"/>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Avoir une expérience dans les évaluations des projets de protection des droits de l’homme serait un atout ;</w:t>
      </w:r>
    </w:p>
    <w:p w14:paraId="35A45ED4" w14:textId="77777777" w:rsidR="00FC7F1B" w:rsidRDefault="00000000">
      <w:pPr>
        <w:numPr>
          <w:ilvl w:val="0"/>
          <w:numId w:val="13"/>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 xml:space="preserve">Avoir un diplôme d’études supérieures, au minimum une maîtrise ancien régime, un Master 2 du système LMD, DESS, DEA, Doctorat, </w:t>
      </w:r>
      <w:proofErr w:type="spellStart"/>
      <w:r>
        <w:rPr>
          <w:rFonts w:asciiTheme="minorHAnsi" w:eastAsia="Times" w:hAnsiTheme="minorHAnsi" w:cstheme="minorHAnsi"/>
          <w:bCs/>
          <w:color w:val="000000"/>
          <w:szCs w:val="24"/>
          <w:lang w:val="fr-FR" w:eastAsia="en-GB"/>
        </w:rPr>
        <w:t>Ph.D</w:t>
      </w:r>
      <w:proofErr w:type="spellEnd"/>
      <w:r>
        <w:rPr>
          <w:rFonts w:asciiTheme="minorHAnsi" w:eastAsia="Times" w:hAnsiTheme="minorHAnsi" w:cstheme="minorHAnsi"/>
          <w:bCs/>
          <w:color w:val="000000"/>
          <w:szCs w:val="24"/>
          <w:lang w:val="fr-FR" w:eastAsia="en-GB"/>
        </w:rPr>
        <w:t>.;</w:t>
      </w:r>
    </w:p>
    <w:p w14:paraId="7DD6AC46" w14:textId="77777777" w:rsidR="00FC7F1B" w:rsidRDefault="00000000">
      <w:pPr>
        <w:numPr>
          <w:ilvl w:val="0"/>
          <w:numId w:val="13"/>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Être diplômé dans l’un des domaines suivants : sciences sociales, sciences humaines, sciences économiques, et sciences de l’éducation ;</w:t>
      </w:r>
    </w:p>
    <w:p w14:paraId="2F9C01A7" w14:textId="77777777" w:rsidR="00FC7F1B" w:rsidRDefault="00000000">
      <w:pPr>
        <w:numPr>
          <w:ilvl w:val="0"/>
          <w:numId w:val="13"/>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lastRenderedPageBreak/>
        <w:t xml:space="preserve">Détenir au moins un certificat universitaire en évaluation et avoir réalisée au moins deux évaluations de programmes répondant aux normes de l’UNEG, dont un en droits de l’homme, serait de grands </w:t>
      </w:r>
      <w:proofErr w:type="gramStart"/>
      <w:r>
        <w:rPr>
          <w:rFonts w:asciiTheme="minorHAnsi" w:eastAsia="Times" w:hAnsiTheme="minorHAnsi" w:cstheme="minorHAnsi"/>
          <w:bCs/>
          <w:color w:val="000000"/>
          <w:szCs w:val="24"/>
          <w:lang w:val="fr-FR" w:eastAsia="en-GB"/>
        </w:rPr>
        <w:t>atouts;</w:t>
      </w:r>
      <w:proofErr w:type="gramEnd"/>
    </w:p>
    <w:p w14:paraId="0EF81FD7" w14:textId="77777777" w:rsidR="00FC7F1B" w:rsidRDefault="00000000">
      <w:pPr>
        <w:numPr>
          <w:ilvl w:val="0"/>
          <w:numId w:val="13"/>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Avoir déjà au moins conduit des travaux d’évaluation pour une agence des Nations Unies serait un autre atout ;</w:t>
      </w:r>
    </w:p>
    <w:p w14:paraId="5FEA291C" w14:textId="77777777" w:rsidR="00FC7F1B" w:rsidRDefault="00000000">
      <w:pPr>
        <w:numPr>
          <w:ilvl w:val="0"/>
          <w:numId w:val="13"/>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Avoir une expérience en travail d’équipe et en communication virtuelle ;</w:t>
      </w:r>
    </w:p>
    <w:p w14:paraId="3538053E" w14:textId="77777777" w:rsidR="00FC7F1B" w:rsidRDefault="00000000">
      <w:pPr>
        <w:numPr>
          <w:ilvl w:val="0"/>
          <w:numId w:val="13"/>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Avoir des capacités techniques pour présenter des travaux de recherche ;</w:t>
      </w:r>
    </w:p>
    <w:p w14:paraId="412DEED8" w14:textId="77777777" w:rsidR="00FC7F1B" w:rsidRDefault="00000000">
      <w:pPr>
        <w:numPr>
          <w:ilvl w:val="0"/>
          <w:numId w:val="13"/>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Être autonome sur le plan informatique et surtout dans la collecte de données ;</w:t>
      </w:r>
    </w:p>
    <w:p w14:paraId="1A30ADB6" w14:textId="77777777" w:rsidR="00FC7F1B" w:rsidRDefault="00000000">
      <w:pPr>
        <w:numPr>
          <w:ilvl w:val="0"/>
          <w:numId w:val="13"/>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Avoir d’excellentes compétences rédactionnelles en français et la maîtrise de l’anglais écrit est obligatoire.</w:t>
      </w:r>
    </w:p>
    <w:p w14:paraId="5884DF68" w14:textId="77777777" w:rsidR="00FC7F1B" w:rsidRDefault="00FC7F1B">
      <w:pPr>
        <w:tabs>
          <w:tab w:val="left" w:pos="420"/>
        </w:tabs>
        <w:ind w:left="420"/>
        <w:jc w:val="both"/>
        <w:rPr>
          <w:rFonts w:asciiTheme="minorHAnsi" w:eastAsia="Times" w:hAnsiTheme="minorHAnsi" w:cstheme="minorHAnsi"/>
          <w:bCs/>
          <w:color w:val="000000"/>
          <w:szCs w:val="24"/>
          <w:lang w:val="fr-FR" w:eastAsia="en-GB"/>
        </w:rPr>
      </w:pPr>
    </w:p>
    <w:p w14:paraId="7C7B6CC6" w14:textId="77777777" w:rsidR="00FC7F1B" w:rsidRDefault="00000000">
      <w:pPr>
        <w:numPr>
          <w:ilvl w:val="0"/>
          <w:numId w:val="1"/>
        </w:numPr>
        <w:jc w:val="both"/>
        <w:rPr>
          <w:rFonts w:asciiTheme="minorHAnsi" w:eastAsia="Times" w:hAnsiTheme="minorHAnsi" w:cstheme="minorHAnsi"/>
          <w:b/>
          <w:color w:val="0070C0"/>
          <w:szCs w:val="24"/>
          <w:lang w:eastAsia="en-GB"/>
        </w:rPr>
      </w:pPr>
      <w:r>
        <w:rPr>
          <w:rFonts w:asciiTheme="minorHAnsi" w:eastAsia="Times" w:hAnsiTheme="minorHAnsi" w:cstheme="minorHAnsi"/>
          <w:b/>
          <w:color w:val="0070C0"/>
          <w:szCs w:val="24"/>
          <w:lang w:eastAsia="en-GB"/>
        </w:rPr>
        <w:t xml:space="preserve">Code de </w:t>
      </w:r>
      <w:proofErr w:type="spellStart"/>
      <w:r>
        <w:rPr>
          <w:rFonts w:asciiTheme="minorHAnsi" w:eastAsia="Times" w:hAnsiTheme="minorHAnsi" w:cstheme="minorHAnsi"/>
          <w:b/>
          <w:color w:val="0070C0"/>
          <w:szCs w:val="24"/>
          <w:lang w:eastAsia="en-GB"/>
        </w:rPr>
        <w:t>conduite</w:t>
      </w:r>
      <w:proofErr w:type="spellEnd"/>
    </w:p>
    <w:p w14:paraId="2608D986" w14:textId="77777777" w:rsidR="00FC7F1B" w:rsidRDefault="00000000">
      <w:p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 xml:space="preserve">Les valeurs d’intégrité, de respect ou encore d’interdiction de faire du mal aux autres (do no </w:t>
      </w:r>
      <w:proofErr w:type="spellStart"/>
      <w:r>
        <w:rPr>
          <w:rFonts w:asciiTheme="minorHAnsi" w:eastAsia="Times" w:hAnsiTheme="minorHAnsi" w:cstheme="minorHAnsi"/>
          <w:bCs/>
          <w:color w:val="000000"/>
          <w:szCs w:val="24"/>
          <w:lang w:val="fr-FR" w:eastAsia="en-GB"/>
        </w:rPr>
        <w:t>harm</w:t>
      </w:r>
      <w:proofErr w:type="spellEnd"/>
      <w:r>
        <w:rPr>
          <w:rFonts w:asciiTheme="minorHAnsi" w:eastAsia="Times" w:hAnsiTheme="minorHAnsi" w:cstheme="minorHAnsi"/>
          <w:bCs/>
          <w:color w:val="000000"/>
          <w:szCs w:val="24"/>
          <w:lang w:val="fr-FR" w:eastAsia="en-GB"/>
        </w:rPr>
        <w:t>) doivent être en totale harmonie avec la vie professionnelle du consultant. Le consultant doit veiller à rester indépendant vis‐à‐vis du programme évalué. Le consultant doit adhérer totalement à la politique des Nations Unies en matière de prévention des abus et de l’exploitation sexuelle (PEAS). La déontologie de recherche, et notamment sur le plagiat et la confidentialité des entretiens avec les participants, doit prévaloir tout au long du contrat jusqu’à la livraison du rapport final. Sous la supervision du RH, le candidat fera les cours en ligne sur PAES. Le reste du code de conduite est disponible pour le consultant dans le Manuel de l’UNEG</w:t>
      </w:r>
      <w:r>
        <w:rPr>
          <w:rStyle w:val="FootnoteReference"/>
          <w:rFonts w:asciiTheme="minorHAnsi" w:hAnsiTheme="minorHAnsi" w:cstheme="minorHAnsi"/>
          <w:lang w:val="fr-FR" w:eastAsia="fr-FR"/>
        </w:rPr>
        <w:footnoteReference w:id="3"/>
      </w:r>
      <w:r>
        <w:rPr>
          <w:rFonts w:asciiTheme="minorHAnsi" w:eastAsia="Times" w:hAnsiTheme="minorHAnsi" w:cstheme="minorHAnsi"/>
          <w:bCs/>
          <w:color w:val="000000"/>
          <w:szCs w:val="24"/>
          <w:lang w:val="fr-FR" w:eastAsia="en-GB"/>
        </w:rPr>
        <w:t>.</w:t>
      </w:r>
    </w:p>
    <w:p w14:paraId="3C8DAB3E" w14:textId="77777777" w:rsidR="00FC7F1B" w:rsidRDefault="00000000">
      <w:p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Un accent particulier sera mis sur la conformité de différents livrables de ce mandat avec les standards du GEROS. Faute d’une intégration adéquate des standards GEROS</w:t>
      </w:r>
      <w:r>
        <w:rPr>
          <w:rFonts w:asciiTheme="minorHAnsi" w:eastAsia="Times" w:hAnsiTheme="minorHAnsi" w:cstheme="minorHAnsi"/>
          <w:bCs/>
          <w:color w:val="000000"/>
          <w:szCs w:val="24"/>
          <w:vertAlign w:val="superscript"/>
          <w:lang w:eastAsia="en-GB"/>
        </w:rPr>
        <w:footnoteReference w:id="4"/>
      </w:r>
      <w:r>
        <w:rPr>
          <w:rFonts w:asciiTheme="minorHAnsi" w:eastAsia="Times" w:hAnsiTheme="minorHAnsi" w:cstheme="minorHAnsi"/>
          <w:bCs/>
          <w:color w:val="000000"/>
          <w:szCs w:val="24"/>
          <w:vertAlign w:val="superscript"/>
          <w:lang w:val="fr-FR" w:eastAsia="en-GB"/>
        </w:rPr>
        <w:t xml:space="preserve"> </w:t>
      </w:r>
      <w:r>
        <w:rPr>
          <w:rFonts w:asciiTheme="minorHAnsi" w:eastAsia="Times" w:hAnsiTheme="minorHAnsi" w:cstheme="minorHAnsi"/>
          <w:bCs/>
          <w:color w:val="000000"/>
          <w:szCs w:val="24"/>
          <w:lang w:val="fr-FR" w:eastAsia="en-GB"/>
        </w:rPr>
        <w:t xml:space="preserve">et des directives de l’UNEG, les livrables ne seront pas acceptés par l’UNICEF. Lesdites normes, qui détermineront la notation du rapport final par une entité indépendante de l’UNICEF, seront partagées par l’UNICEF avec l’équipe d’évaluation juste après la signature du contrat. Afin d’accroître son utilisation, les principales conclusions et recommandations de l’évaluation seront diffusées sous forme de notes de synthèse ou </w:t>
      </w:r>
      <w:proofErr w:type="spellStart"/>
      <w:r>
        <w:rPr>
          <w:rFonts w:asciiTheme="minorHAnsi" w:eastAsia="Times" w:hAnsiTheme="minorHAnsi" w:cstheme="minorHAnsi"/>
          <w:bCs/>
          <w:color w:val="000000"/>
          <w:szCs w:val="24"/>
          <w:lang w:val="fr-FR" w:eastAsia="en-GB"/>
        </w:rPr>
        <w:t>policy</w:t>
      </w:r>
      <w:proofErr w:type="spellEnd"/>
      <w:r>
        <w:rPr>
          <w:rFonts w:asciiTheme="minorHAnsi" w:eastAsia="Times" w:hAnsiTheme="minorHAnsi" w:cstheme="minorHAnsi"/>
          <w:bCs/>
          <w:color w:val="000000"/>
          <w:szCs w:val="24"/>
          <w:lang w:val="fr-FR" w:eastAsia="en-GB"/>
        </w:rPr>
        <w:t xml:space="preserve"> brief. L’atelier de validation des résultats de l’évaluation servira d’opportunité pour élaborer, de manière participative, le plan d’action pour la mise en œuvre des principales recommandations de l’évaluation ou « management </w:t>
      </w:r>
      <w:proofErr w:type="spellStart"/>
      <w:proofErr w:type="gramStart"/>
      <w:r>
        <w:rPr>
          <w:rFonts w:asciiTheme="minorHAnsi" w:eastAsia="Times" w:hAnsiTheme="minorHAnsi" w:cstheme="minorHAnsi"/>
          <w:bCs/>
          <w:color w:val="000000"/>
          <w:szCs w:val="24"/>
          <w:lang w:val="fr-FR" w:eastAsia="en-GB"/>
        </w:rPr>
        <w:t>response</w:t>
      </w:r>
      <w:proofErr w:type="spellEnd"/>
      <w:r>
        <w:rPr>
          <w:rFonts w:asciiTheme="minorHAnsi" w:eastAsia="Times" w:hAnsiTheme="minorHAnsi" w:cstheme="minorHAnsi"/>
          <w:bCs/>
          <w:color w:val="000000"/>
          <w:szCs w:val="24"/>
          <w:lang w:val="fr-FR" w:eastAsia="en-GB"/>
        </w:rPr>
        <w:t>»</w:t>
      </w:r>
      <w:proofErr w:type="gramEnd"/>
      <w:r>
        <w:rPr>
          <w:rFonts w:asciiTheme="minorHAnsi" w:eastAsia="Times" w:hAnsiTheme="minorHAnsi" w:cstheme="minorHAnsi"/>
          <w:bCs/>
          <w:color w:val="000000"/>
          <w:szCs w:val="24"/>
          <w:lang w:val="fr-FR" w:eastAsia="en-GB"/>
        </w:rPr>
        <w:t>.</w:t>
      </w:r>
    </w:p>
    <w:p w14:paraId="21EF40E4" w14:textId="77777777" w:rsidR="00FC7F1B" w:rsidRDefault="00FC7F1B">
      <w:pPr>
        <w:ind w:left="270"/>
        <w:contextualSpacing/>
        <w:jc w:val="both"/>
        <w:rPr>
          <w:rFonts w:asciiTheme="minorHAnsi" w:eastAsia="Calibri" w:hAnsiTheme="minorHAnsi" w:cstheme="minorHAnsi"/>
          <w:b/>
          <w:color w:val="2E74B5"/>
          <w:szCs w:val="24"/>
          <w:lang w:val="fr-FR"/>
        </w:rPr>
      </w:pP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035"/>
      </w:tblGrid>
      <w:tr w:rsidR="00FC7F1B" w:rsidRPr="009B3F45" w14:paraId="5CDA2ED8" w14:textId="77777777">
        <w:tc>
          <w:tcPr>
            <w:tcW w:w="9350" w:type="dxa"/>
            <w:shd w:val="clear" w:color="auto" w:fill="D9E2F3"/>
          </w:tcPr>
          <w:p w14:paraId="72993CB9" w14:textId="77777777" w:rsidR="00FC7F1B" w:rsidRDefault="00000000">
            <w:pPr>
              <w:autoSpaceDE w:val="0"/>
              <w:autoSpaceDN w:val="0"/>
              <w:adjustRightInd w:val="0"/>
              <w:jc w:val="both"/>
              <w:rPr>
                <w:rFonts w:asciiTheme="minorHAnsi" w:hAnsiTheme="minorHAnsi" w:cstheme="minorHAnsi"/>
                <w:b/>
                <w:szCs w:val="24"/>
                <w:lang w:val="fr-FR"/>
              </w:rPr>
            </w:pPr>
            <w:r>
              <w:rPr>
                <w:rFonts w:asciiTheme="minorHAnsi" w:hAnsiTheme="minorHAnsi" w:cstheme="minorHAnsi"/>
                <w:b/>
                <w:szCs w:val="24"/>
                <w:lang w:val="fr-FR"/>
              </w:rPr>
              <w:t>Le rapport final complet sera structuré comme suit :</w:t>
            </w:r>
          </w:p>
          <w:p w14:paraId="7BBB7380" w14:textId="77777777" w:rsidR="00FC7F1B" w:rsidRDefault="00000000">
            <w:pPr>
              <w:numPr>
                <w:ilvl w:val="0"/>
                <w:numId w:val="14"/>
              </w:numPr>
              <w:autoSpaceDE w:val="0"/>
              <w:autoSpaceDN w:val="0"/>
              <w:adjustRightInd w:val="0"/>
              <w:jc w:val="both"/>
              <w:rPr>
                <w:rFonts w:asciiTheme="minorHAnsi" w:hAnsiTheme="minorHAnsi" w:cstheme="minorHAnsi"/>
                <w:szCs w:val="24"/>
                <w:lang w:val="fr-FR"/>
              </w:rPr>
            </w:pPr>
            <w:r>
              <w:rPr>
                <w:rFonts w:asciiTheme="minorHAnsi" w:hAnsiTheme="minorHAnsi" w:cstheme="minorHAnsi"/>
                <w:szCs w:val="24"/>
                <w:lang w:val="fr-FR"/>
              </w:rPr>
              <w:t>Table des matières, y compris la liste des tableaux et la liste des figures</w:t>
            </w:r>
          </w:p>
          <w:p w14:paraId="614ADDB9" w14:textId="77777777" w:rsidR="00FC7F1B" w:rsidRDefault="00000000">
            <w:pPr>
              <w:numPr>
                <w:ilvl w:val="0"/>
                <w:numId w:val="14"/>
              </w:numPr>
              <w:autoSpaceDE w:val="0"/>
              <w:autoSpaceDN w:val="0"/>
              <w:adjustRightInd w:val="0"/>
              <w:jc w:val="both"/>
              <w:rPr>
                <w:rFonts w:asciiTheme="minorHAnsi" w:hAnsiTheme="minorHAnsi" w:cstheme="minorHAnsi"/>
                <w:szCs w:val="24"/>
                <w:lang w:val="fr-FR"/>
              </w:rPr>
            </w:pPr>
            <w:r>
              <w:rPr>
                <w:rFonts w:asciiTheme="minorHAnsi" w:hAnsiTheme="minorHAnsi" w:cstheme="minorHAnsi"/>
                <w:szCs w:val="24"/>
                <w:lang w:val="fr-FR"/>
              </w:rPr>
              <w:t>Résumé Exécutif (max. 5 pages, couvrant les principales sections du rapport : contexte, méthodologie et processus, principales conclusions et recommandations, leçons apprises)</w:t>
            </w:r>
          </w:p>
          <w:p w14:paraId="1028F586" w14:textId="77777777" w:rsidR="00FC7F1B" w:rsidRDefault="00000000">
            <w:pPr>
              <w:numPr>
                <w:ilvl w:val="0"/>
                <w:numId w:val="14"/>
              </w:numPr>
              <w:autoSpaceDE w:val="0"/>
              <w:autoSpaceDN w:val="0"/>
              <w:adjustRightInd w:val="0"/>
              <w:jc w:val="both"/>
              <w:rPr>
                <w:rFonts w:asciiTheme="minorHAnsi" w:hAnsiTheme="minorHAnsi" w:cstheme="minorHAnsi"/>
                <w:szCs w:val="24"/>
                <w:lang w:val="fr-FR"/>
              </w:rPr>
            </w:pPr>
            <w:r>
              <w:rPr>
                <w:rFonts w:asciiTheme="minorHAnsi" w:hAnsiTheme="minorHAnsi" w:cstheme="minorHAnsi"/>
                <w:szCs w:val="24"/>
                <w:lang w:val="fr-FR"/>
              </w:rPr>
              <w:t>Remerciements (tous ceux qui ont soutenu l'évaluation et ont apporté une coopération et une collaboration solides pendant le processus)</w:t>
            </w:r>
          </w:p>
          <w:p w14:paraId="0E5FDE10" w14:textId="77777777" w:rsidR="00FC7F1B" w:rsidRDefault="00000000">
            <w:pPr>
              <w:numPr>
                <w:ilvl w:val="0"/>
                <w:numId w:val="14"/>
              </w:numPr>
              <w:autoSpaceDE w:val="0"/>
              <w:autoSpaceDN w:val="0"/>
              <w:adjustRightInd w:val="0"/>
              <w:jc w:val="both"/>
              <w:rPr>
                <w:rFonts w:asciiTheme="minorHAnsi" w:hAnsiTheme="minorHAnsi" w:cstheme="minorHAnsi"/>
                <w:szCs w:val="24"/>
                <w:lang w:val="fr-FR"/>
              </w:rPr>
            </w:pPr>
            <w:r>
              <w:rPr>
                <w:rFonts w:asciiTheme="minorHAnsi" w:hAnsiTheme="minorHAnsi" w:cstheme="minorHAnsi"/>
                <w:szCs w:val="24"/>
                <w:lang w:val="fr-FR"/>
              </w:rPr>
              <w:t>Liste des abréviations et acronymes</w:t>
            </w:r>
          </w:p>
          <w:p w14:paraId="0ED6D120" w14:textId="77777777" w:rsidR="00FC7F1B" w:rsidRDefault="00000000">
            <w:pPr>
              <w:numPr>
                <w:ilvl w:val="0"/>
                <w:numId w:val="14"/>
              </w:numPr>
              <w:autoSpaceDE w:val="0"/>
              <w:autoSpaceDN w:val="0"/>
              <w:adjustRightInd w:val="0"/>
              <w:jc w:val="both"/>
              <w:rPr>
                <w:rFonts w:asciiTheme="minorHAnsi" w:hAnsiTheme="minorHAnsi" w:cstheme="minorHAnsi"/>
                <w:szCs w:val="24"/>
                <w:lang w:val="fr-FR"/>
              </w:rPr>
            </w:pPr>
            <w:r>
              <w:rPr>
                <w:rFonts w:asciiTheme="minorHAnsi" w:hAnsiTheme="minorHAnsi" w:cstheme="minorHAnsi"/>
                <w:szCs w:val="24"/>
                <w:lang w:val="fr-FR"/>
              </w:rPr>
              <w:lastRenderedPageBreak/>
              <w:t>Introduction (objet de l'évaluation, but de l'évaluation, objectifs, portée, utilisation et utilisateurs envisagés)</w:t>
            </w:r>
          </w:p>
          <w:p w14:paraId="62216CC6" w14:textId="77777777" w:rsidR="00FC7F1B" w:rsidRDefault="00000000">
            <w:pPr>
              <w:numPr>
                <w:ilvl w:val="0"/>
                <w:numId w:val="14"/>
              </w:numPr>
              <w:autoSpaceDE w:val="0"/>
              <w:autoSpaceDN w:val="0"/>
              <w:adjustRightInd w:val="0"/>
              <w:jc w:val="both"/>
              <w:rPr>
                <w:rFonts w:asciiTheme="minorHAnsi" w:hAnsiTheme="minorHAnsi" w:cstheme="minorHAnsi"/>
                <w:szCs w:val="24"/>
                <w:lang w:val="fr-FR"/>
              </w:rPr>
            </w:pPr>
            <w:r>
              <w:rPr>
                <w:rFonts w:asciiTheme="minorHAnsi" w:hAnsiTheme="minorHAnsi" w:cstheme="minorHAnsi"/>
                <w:szCs w:val="24"/>
                <w:lang w:val="fr-FR"/>
              </w:rPr>
              <w:t>Contexte de l'évaluation</w:t>
            </w:r>
          </w:p>
          <w:p w14:paraId="3756D1F4" w14:textId="77777777" w:rsidR="00FC7F1B" w:rsidRDefault="00000000">
            <w:pPr>
              <w:numPr>
                <w:ilvl w:val="0"/>
                <w:numId w:val="14"/>
              </w:numPr>
              <w:autoSpaceDE w:val="0"/>
              <w:autoSpaceDN w:val="0"/>
              <w:adjustRightInd w:val="0"/>
              <w:jc w:val="both"/>
              <w:rPr>
                <w:rFonts w:asciiTheme="minorHAnsi" w:hAnsiTheme="minorHAnsi" w:cstheme="minorHAnsi"/>
                <w:szCs w:val="24"/>
                <w:lang w:val="fr-FR"/>
              </w:rPr>
            </w:pPr>
            <w:r>
              <w:rPr>
                <w:rFonts w:asciiTheme="minorHAnsi" w:hAnsiTheme="minorHAnsi" w:cstheme="minorHAnsi"/>
                <w:szCs w:val="24"/>
                <w:lang w:val="fr-FR"/>
              </w:rPr>
              <w:t>Méthodologie, y compris la stratégie d'échantillonnage et les méthodes d'analyse des données</w:t>
            </w:r>
          </w:p>
          <w:p w14:paraId="18C1584E" w14:textId="77777777" w:rsidR="00FC7F1B" w:rsidRDefault="00000000">
            <w:pPr>
              <w:numPr>
                <w:ilvl w:val="0"/>
                <w:numId w:val="14"/>
              </w:numPr>
              <w:autoSpaceDE w:val="0"/>
              <w:autoSpaceDN w:val="0"/>
              <w:adjustRightInd w:val="0"/>
              <w:jc w:val="both"/>
              <w:rPr>
                <w:rFonts w:asciiTheme="minorHAnsi" w:hAnsiTheme="minorHAnsi" w:cstheme="minorHAnsi"/>
                <w:szCs w:val="24"/>
                <w:lang w:val="fr-FR"/>
              </w:rPr>
            </w:pPr>
            <w:r>
              <w:rPr>
                <w:rFonts w:asciiTheme="minorHAnsi" w:hAnsiTheme="minorHAnsi" w:cstheme="minorHAnsi"/>
                <w:szCs w:val="24"/>
                <w:lang w:val="fr-FR"/>
              </w:rPr>
              <w:t>Constats Principaux (par critère - chaque question devra recevoir une réponse individuelle) + Encadrés sur les Conclusions préliminaires distribués tout le long de la section (étant donné que tous les constats seront numérotés, chaque conclusion devra indiquer clairement ces constats spécifiques et les numéros des paragraphes correspondants sur lesquels elle est fondée)</w:t>
            </w:r>
          </w:p>
          <w:p w14:paraId="4C6579EF" w14:textId="77777777" w:rsidR="00FC7F1B" w:rsidRDefault="00000000">
            <w:pPr>
              <w:numPr>
                <w:ilvl w:val="0"/>
                <w:numId w:val="14"/>
              </w:numPr>
              <w:autoSpaceDE w:val="0"/>
              <w:autoSpaceDN w:val="0"/>
              <w:adjustRightInd w:val="0"/>
              <w:jc w:val="both"/>
              <w:rPr>
                <w:rFonts w:asciiTheme="minorHAnsi" w:hAnsiTheme="minorHAnsi" w:cstheme="minorHAnsi"/>
                <w:szCs w:val="24"/>
                <w:lang w:val="fr-FR"/>
              </w:rPr>
            </w:pPr>
            <w:r>
              <w:rPr>
                <w:rFonts w:asciiTheme="minorHAnsi" w:hAnsiTheme="minorHAnsi" w:cstheme="minorHAnsi"/>
                <w:szCs w:val="24"/>
                <w:lang w:val="fr-FR"/>
              </w:rPr>
              <w:t>Conclusions finales (il ne s'agit pas d'un simple résumé des conclusions préliminaires mais plutôt d'une réflexion plus poussée et critique utilisant les conclusions préliminaires comme point de départ)</w:t>
            </w:r>
          </w:p>
          <w:p w14:paraId="6C03983E" w14:textId="77777777" w:rsidR="00FC7F1B" w:rsidRDefault="00000000">
            <w:pPr>
              <w:numPr>
                <w:ilvl w:val="0"/>
                <w:numId w:val="14"/>
              </w:numPr>
              <w:autoSpaceDE w:val="0"/>
              <w:autoSpaceDN w:val="0"/>
              <w:adjustRightInd w:val="0"/>
              <w:jc w:val="both"/>
              <w:rPr>
                <w:rFonts w:asciiTheme="minorHAnsi" w:hAnsiTheme="minorHAnsi" w:cstheme="minorHAnsi"/>
                <w:szCs w:val="24"/>
                <w:lang w:val="fr-FR"/>
              </w:rPr>
            </w:pPr>
            <w:r>
              <w:rPr>
                <w:rFonts w:asciiTheme="minorHAnsi" w:hAnsiTheme="minorHAnsi" w:cstheme="minorHAnsi"/>
                <w:szCs w:val="24"/>
                <w:lang w:val="fr-FR"/>
              </w:rPr>
              <w:t>Leçons apprises</w:t>
            </w:r>
          </w:p>
          <w:p w14:paraId="60F47B3B" w14:textId="77777777" w:rsidR="00FC7F1B" w:rsidRDefault="00000000">
            <w:pPr>
              <w:numPr>
                <w:ilvl w:val="0"/>
                <w:numId w:val="14"/>
              </w:numPr>
              <w:autoSpaceDE w:val="0"/>
              <w:autoSpaceDN w:val="0"/>
              <w:adjustRightInd w:val="0"/>
              <w:jc w:val="both"/>
              <w:rPr>
                <w:rFonts w:asciiTheme="minorHAnsi" w:hAnsiTheme="minorHAnsi" w:cstheme="minorHAnsi"/>
                <w:szCs w:val="24"/>
                <w:lang w:val="fr-FR"/>
              </w:rPr>
            </w:pPr>
            <w:r>
              <w:rPr>
                <w:rFonts w:asciiTheme="minorHAnsi" w:hAnsiTheme="minorHAnsi" w:cstheme="minorHAnsi"/>
                <w:szCs w:val="24"/>
                <w:lang w:val="fr-FR"/>
              </w:rPr>
              <w:t xml:space="preserve">Recommandations (stratégiques et opérationnelles, maximum 5 recommandations prioritaires pour chacun des deux </w:t>
            </w:r>
            <w:proofErr w:type="gramStart"/>
            <w:r>
              <w:rPr>
                <w:rFonts w:asciiTheme="minorHAnsi" w:hAnsiTheme="minorHAnsi" w:cstheme="minorHAnsi"/>
                <w:szCs w:val="24"/>
                <w:lang w:val="fr-FR"/>
              </w:rPr>
              <w:t>types;</w:t>
            </w:r>
            <w:proofErr w:type="gramEnd"/>
            <w:r>
              <w:rPr>
                <w:rFonts w:asciiTheme="minorHAnsi" w:hAnsiTheme="minorHAnsi" w:cstheme="minorHAnsi"/>
                <w:szCs w:val="24"/>
                <w:lang w:val="fr-FR"/>
              </w:rPr>
              <w:t xml:space="preserve"> clairement ciblé et avec une liste d'actions à envisager)</w:t>
            </w:r>
          </w:p>
          <w:p w14:paraId="1E287841" w14:textId="77777777" w:rsidR="00FC7F1B" w:rsidRDefault="00000000">
            <w:pPr>
              <w:numPr>
                <w:ilvl w:val="0"/>
                <w:numId w:val="14"/>
              </w:numPr>
              <w:autoSpaceDE w:val="0"/>
              <w:autoSpaceDN w:val="0"/>
              <w:adjustRightInd w:val="0"/>
              <w:jc w:val="both"/>
              <w:rPr>
                <w:rFonts w:asciiTheme="minorHAnsi" w:hAnsiTheme="minorHAnsi" w:cstheme="minorHAnsi"/>
                <w:szCs w:val="24"/>
                <w:lang w:val="fr-FR"/>
              </w:rPr>
            </w:pPr>
            <w:r>
              <w:rPr>
                <w:rFonts w:asciiTheme="minorHAnsi" w:hAnsiTheme="minorHAnsi" w:cstheme="minorHAnsi"/>
                <w:szCs w:val="24"/>
                <w:lang w:val="fr-FR"/>
              </w:rPr>
              <w:t>Annexes (termes de référence ; liste des personnes interrogées et des sites visités ; liste des documents consultés ; plus de détails sur la méthodologie, tels que les instruments de collecte de données, y compris des détails sur leur fiabilité et leur validité ; matrice d'évaluation ; cadre de résultats et/ou la théorie de changement)</w:t>
            </w:r>
          </w:p>
          <w:p w14:paraId="119A05B8" w14:textId="77777777" w:rsidR="00FC7F1B" w:rsidRDefault="00FC7F1B">
            <w:pPr>
              <w:jc w:val="both"/>
              <w:rPr>
                <w:rFonts w:asciiTheme="minorHAnsi" w:hAnsiTheme="minorHAnsi" w:cstheme="minorHAnsi"/>
                <w:szCs w:val="24"/>
                <w:lang w:val="fr-FR"/>
              </w:rPr>
            </w:pPr>
          </w:p>
        </w:tc>
      </w:tr>
    </w:tbl>
    <w:p w14:paraId="39440DDA" w14:textId="77777777" w:rsidR="00FC7F1B" w:rsidRDefault="00FC7F1B">
      <w:pPr>
        <w:jc w:val="both"/>
        <w:rPr>
          <w:rFonts w:asciiTheme="minorHAnsi" w:eastAsia="TimesNewRomanPS-BoldMT" w:hAnsiTheme="minorHAnsi" w:cstheme="minorHAnsi"/>
          <w:szCs w:val="24"/>
          <w:lang w:val="fr-FR"/>
        </w:rPr>
      </w:pPr>
    </w:p>
    <w:p w14:paraId="02D447EE" w14:textId="77777777" w:rsidR="00FC7F1B" w:rsidRDefault="00FC7F1B">
      <w:pPr>
        <w:jc w:val="both"/>
        <w:rPr>
          <w:rFonts w:asciiTheme="minorHAnsi" w:eastAsia="Times" w:hAnsiTheme="minorHAnsi" w:cstheme="minorHAnsi"/>
          <w:b/>
          <w:color w:val="0070C0"/>
          <w:szCs w:val="24"/>
          <w:lang w:val="fr-FR" w:eastAsia="en-GB"/>
        </w:rPr>
      </w:pPr>
    </w:p>
    <w:p w14:paraId="24D81FDF" w14:textId="77777777" w:rsidR="00FC7F1B" w:rsidRDefault="00000000">
      <w:pPr>
        <w:numPr>
          <w:ilvl w:val="0"/>
          <w:numId w:val="1"/>
        </w:numPr>
        <w:jc w:val="both"/>
        <w:rPr>
          <w:rFonts w:asciiTheme="minorHAnsi" w:eastAsia="Times" w:hAnsiTheme="minorHAnsi" w:cstheme="minorHAnsi"/>
          <w:b/>
          <w:color w:val="0070C0"/>
          <w:szCs w:val="24"/>
          <w:lang w:eastAsia="en-GB"/>
        </w:rPr>
      </w:pPr>
      <w:proofErr w:type="spellStart"/>
      <w:r>
        <w:rPr>
          <w:rFonts w:asciiTheme="minorHAnsi" w:eastAsia="Times" w:hAnsiTheme="minorHAnsi" w:cstheme="minorHAnsi"/>
          <w:b/>
          <w:color w:val="0070C0"/>
          <w:szCs w:val="24"/>
          <w:lang w:eastAsia="en-GB"/>
        </w:rPr>
        <w:t>Échéancier</w:t>
      </w:r>
      <w:proofErr w:type="spellEnd"/>
      <w:r>
        <w:rPr>
          <w:rFonts w:asciiTheme="minorHAnsi" w:eastAsia="Times" w:hAnsiTheme="minorHAnsi" w:cstheme="minorHAnsi"/>
          <w:b/>
          <w:color w:val="0070C0"/>
          <w:szCs w:val="24"/>
          <w:lang w:eastAsia="en-GB"/>
        </w:rPr>
        <w:t xml:space="preserve"> de </w:t>
      </w:r>
      <w:proofErr w:type="spellStart"/>
      <w:r>
        <w:rPr>
          <w:rFonts w:asciiTheme="minorHAnsi" w:eastAsia="Times" w:hAnsiTheme="minorHAnsi" w:cstheme="minorHAnsi"/>
          <w:b/>
          <w:color w:val="0070C0"/>
          <w:szCs w:val="24"/>
          <w:lang w:eastAsia="en-GB"/>
        </w:rPr>
        <w:t>paiement</w:t>
      </w:r>
      <w:proofErr w:type="spellEnd"/>
      <w:r>
        <w:rPr>
          <w:rFonts w:asciiTheme="minorHAnsi" w:eastAsia="Times" w:hAnsiTheme="minorHAnsi" w:cstheme="minorHAnsi"/>
          <w:b/>
          <w:color w:val="0070C0"/>
          <w:szCs w:val="24"/>
          <w:lang w:eastAsia="en-GB"/>
        </w:rPr>
        <w:t xml:space="preserve"> du consultant</w:t>
      </w:r>
    </w:p>
    <w:p w14:paraId="124B8083" w14:textId="77777777" w:rsidR="00FC7F1B" w:rsidRDefault="00000000">
      <w:p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 xml:space="preserve">Le consultant recevra des honoraires en deux tranches : </w:t>
      </w:r>
    </w:p>
    <w:p w14:paraId="758DEB8B" w14:textId="77777777" w:rsidR="00FC7F1B" w:rsidRDefault="00000000">
      <w:pPr>
        <w:numPr>
          <w:ilvl w:val="0"/>
          <w:numId w:val="15"/>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40% à la soumission du document de cadrage de l’évaluation contenant la méthodologie et les outils de collecte des données validés par les quatre agences ;</w:t>
      </w:r>
    </w:p>
    <w:p w14:paraId="6092180C" w14:textId="77777777" w:rsidR="00FC7F1B" w:rsidRDefault="00000000">
      <w:pPr>
        <w:numPr>
          <w:ilvl w:val="0"/>
          <w:numId w:val="15"/>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60% à la soumission du rapport final et une note synthèse de l’évaluation après sa validation par le comité composé de OIM, UNHCR, UNICEF et UNODC.</w:t>
      </w:r>
    </w:p>
    <w:p w14:paraId="5FB17B92" w14:textId="77777777" w:rsidR="00FC7F1B" w:rsidRDefault="00000000">
      <w:pPr>
        <w:tabs>
          <w:tab w:val="left" w:pos="420"/>
        </w:tabs>
        <w:ind w:left="420"/>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 xml:space="preserve"> </w:t>
      </w:r>
    </w:p>
    <w:p w14:paraId="36DE6981" w14:textId="77777777" w:rsidR="00FC7F1B" w:rsidRDefault="00000000">
      <w:pPr>
        <w:numPr>
          <w:ilvl w:val="0"/>
          <w:numId w:val="1"/>
        </w:numPr>
        <w:jc w:val="both"/>
        <w:rPr>
          <w:rFonts w:asciiTheme="minorHAnsi" w:eastAsia="Times" w:hAnsiTheme="minorHAnsi" w:cstheme="minorHAnsi"/>
          <w:b/>
          <w:color w:val="0070C0"/>
          <w:szCs w:val="24"/>
          <w:lang w:eastAsia="en-GB"/>
        </w:rPr>
      </w:pPr>
      <w:r>
        <w:rPr>
          <w:rFonts w:asciiTheme="minorHAnsi" w:eastAsia="Times" w:hAnsiTheme="minorHAnsi" w:cstheme="minorHAnsi"/>
          <w:b/>
          <w:color w:val="0070C0"/>
          <w:szCs w:val="24"/>
          <w:lang w:eastAsia="en-GB"/>
        </w:rPr>
        <w:t>Observations finales</w:t>
      </w:r>
    </w:p>
    <w:p w14:paraId="0D824F0F" w14:textId="77777777" w:rsidR="00FC7F1B" w:rsidRDefault="00000000">
      <w:p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L’UNICEF, après concertation avec les autres agences ci-dessus citées, se resserve le droit de rompre le contrat ou de ne pas payer une partie ou la totalité des honoraires si :</w:t>
      </w:r>
    </w:p>
    <w:p w14:paraId="5B1FBA14" w14:textId="77777777" w:rsidR="00FC7F1B" w:rsidRDefault="00000000">
      <w:pPr>
        <w:numPr>
          <w:ilvl w:val="0"/>
          <w:numId w:val="16"/>
        </w:numPr>
        <w:jc w:val="both"/>
        <w:rPr>
          <w:rFonts w:asciiTheme="minorHAnsi" w:eastAsia="Times" w:hAnsiTheme="minorHAnsi" w:cstheme="minorHAnsi"/>
          <w:bCs/>
          <w:color w:val="000000"/>
          <w:szCs w:val="24"/>
          <w:lang w:eastAsia="en-GB"/>
        </w:rPr>
      </w:pPr>
      <w:r>
        <w:rPr>
          <w:rFonts w:asciiTheme="minorHAnsi" w:eastAsia="Times" w:hAnsiTheme="minorHAnsi" w:cstheme="minorHAnsi"/>
          <w:bCs/>
          <w:color w:val="000000"/>
          <w:szCs w:val="24"/>
          <w:lang w:eastAsia="en-GB"/>
        </w:rPr>
        <w:t xml:space="preserve">Les </w:t>
      </w:r>
      <w:proofErr w:type="spellStart"/>
      <w:r>
        <w:rPr>
          <w:rFonts w:asciiTheme="minorHAnsi" w:eastAsia="Times" w:hAnsiTheme="minorHAnsi" w:cstheme="minorHAnsi"/>
          <w:bCs/>
          <w:color w:val="000000"/>
          <w:szCs w:val="24"/>
          <w:lang w:eastAsia="en-GB"/>
        </w:rPr>
        <w:t>livrables</w:t>
      </w:r>
      <w:proofErr w:type="spellEnd"/>
      <w:r>
        <w:rPr>
          <w:rFonts w:asciiTheme="minorHAnsi" w:eastAsia="Times" w:hAnsiTheme="minorHAnsi" w:cstheme="minorHAnsi"/>
          <w:bCs/>
          <w:color w:val="000000"/>
          <w:szCs w:val="24"/>
          <w:lang w:eastAsia="en-GB"/>
        </w:rPr>
        <w:t xml:space="preserve"> </w:t>
      </w:r>
      <w:proofErr w:type="spellStart"/>
      <w:r>
        <w:rPr>
          <w:rFonts w:asciiTheme="minorHAnsi" w:eastAsia="Times" w:hAnsiTheme="minorHAnsi" w:cstheme="minorHAnsi"/>
          <w:bCs/>
          <w:color w:val="000000"/>
          <w:szCs w:val="24"/>
          <w:lang w:eastAsia="en-GB"/>
        </w:rPr>
        <w:t>sont</w:t>
      </w:r>
      <w:proofErr w:type="spellEnd"/>
      <w:r>
        <w:rPr>
          <w:rFonts w:asciiTheme="minorHAnsi" w:eastAsia="Times" w:hAnsiTheme="minorHAnsi" w:cstheme="minorHAnsi"/>
          <w:bCs/>
          <w:color w:val="000000"/>
          <w:szCs w:val="24"/>
          <w:lang w:eastAsia="en-GB"/>
        </w:rPr>
        <w:t xml:space="preserve"> </w:t>
      </w:r>
      <w:proofErr w:type="spellStart"/>
      <w:proofErr w:type="gramStart"/>
      <w:r>
        <w:rPr>
          <w:rFonts w:asciiTheme="minorHAnsi" w:eastAsia="Times" w:hAnsiTheme="minorHAnsi" w:cstheme="minorHAnsi"/>
          <w:bCs/>
          <w:color w:val="000000"/>
          <w:szCs w:val="24"/>
          <w:lang w:eastAsia="en-GB"/>
        </w:rPr>
        <w:t>incomplets</w:t>
      </w:r>
      <w:proofErr w:type="spellEnd"/>
      <w:r>
        <w:rPr>
          <w:rFonts w:asciiTheme="minorHAnsi" w:eastAsia="Times" w:hAnsiTheme="minorHAnsi" w:cstheme="minorHAnsi"/>
          <w:bCs/>
          <w:color w:val="000000"/>
          <w:szCs w:val="24"/>
          <w:lang w:eastAsia="en-GB"/>
        </w:rPr>
        <w:t>;</w:t>
      </w:r>
      <w:proofErr w:type="gramEnd"/>
    </w:p>
    <w:p w14:paraId="6B3283FB" w14:textId="77777777" w:rsidR="00FC7F1B" w:rsidRDefault="00000000">
      <w:pPr>
        <w:numPr>
          <w:ilvl w:val="0"/>
          <w:numId w:val="16"/>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 xml:space="preserve">Les livrables sont fournis en retard sans justification </w:t>
      </w:r>
      <w:proofErr w:type="gramStart"/>
      <w:r>
        <w:rPr>
          <w:rFonts w:asciiTheme="minorHAnsi" w:eastAsia="Times" w:hAnsiTheme="minorHAnsi" w:cstheme="minorHAnsi"/>
          <w:bCs/>
          <w:color w:val="000000"/>
          <w:szCs w:val="24"/>
          <w:lang w:val="fr-FR" w:eastAsia="en-GB"/>
        </w:rPr>
        <w:t>préalable;</w:t>
      </w:r>
      <w:proofErr w:type="gramEnd"/>
      <w:r>
        <w:rPr>
          <w:rFonts w:asciiTheme="minorHAnsi" w:eastAsia="Times" w:hAnsiTheme="minorHAnsi" w:cstheme="minorHAnsi"/>
          <w:bCs/>
          <w:color w:val="000000"/>
          <w:szCs w:val="24"/>
          <w:lang w:val="fr-FR" w:eastAsia="en-GB"/>
        </w:rPr>
        <w:t xml:space="preserve"> </w:t>
      </w:r>
    </w:p>
    <w:p w14:paraId="0BFE118C" w14:textId="77777777" w:rsidR="00FC7F1B" w:rsidRDefault="00000000">
      <w:pPr>
        <w:numPr>
          <w:ilvl w:val="0"/>
          <w:numId w:val="16"/>
        </w:numPr>
        <w:jc w:val="both"/>
        <w:rPr>
          <w:rFonts w:asciiTheme="minorHAnsi" w:eastAsia="Times" w:hAnsiTheme="minorHAnsi" w:cstheme="minorHAnsi"/>
          <w:bCs/>
          <w:color w:val="000000"/>
          <w:szCs w:val="24"/>
          <w:lang w:val="fr-FR" w:eastAsia="en-GB"/>
        </w:rPr>
      </w:pPr>
      <w:r>
        <w:rPr>
          <w:rFonts w:asciiTheme="minorHAnsi" w:eastAsia="Times" w:hAnsiTheme="minorHAnsi" w:cstheme="minorHAnsi"/>
          <w:bCs/>
          <w:color w:val="000000"/>
          <w:szCs w:val="24"/>
          <w:lang w:val="fr-FR" w:eastAsia="en-GB"/>
        </w:rPr>
        <w:t>La qualité scientifique du rapport ne correspond pas aux critères des évaluations des Nations Unies que la spécialiste M&amp;E de l’UNICEF fournira au début du contrat.</w:t>
      </w:r>
    </w:p>
    <w:p w14:paraId="2CF3E7ED" w14:textId="77777777" w:rsidR="00FC7F1B" w:rsidRDefault="00FC7F1B">
      <w:pPr>
        <w:tabs>
          <w:tab w:val="left" w:pos="425"/>
        </w:tabs>
        <w:ind w:left="425"/>
        <w:jc w:val="both"/>
        <w:rPr>
          <w:rFonts w:asciiTheme="minorHAnsi" w:eastAsia="Times" w:hAnsiTheme="minorHAnsi" w:cstheme="minorHAnsi"/>
          <w:bCs/>
          <w:color w:val="000000"/>
          <w:szCs w:val="24"/>
          <w:lang w:val="fr-FR" w:eastAsia="en-GB"/>
        </w:rPr>
      </w:pPr>
    </w:p>
    <w:p w14:paraId="24152E30" w14:textId="77777777" w:rsidR="00FC7F1B" w:rsidRDefault="00000000">
      <w:pPr>
        <w:numPr>
          <w:ilvl w:val="0"/>
          <w:numId w:val="1"/>
        </w:numPr>
        <w:jc w:val="both"/>
        <w:rPr>
          <w:rFonts w:asciiTheme="minorHAnsi" w:eastAsia="Times" w:hAnsiTheme="minorHAnsi" w:cstheme="minorHAnsi"/>
          <w:b/>
          <w:color w:val="0070C0"/>
          <w:szCs w:val="24"/>
          <w:lang w:val="fr-FR" w:eastAsia="en-GB"/>
        </w:rPr>
      </w:pPr>
      <w:r>
        <w:rPr>
          <w:rFonts w:asciiTheme="minorHAnsi" w:eastAsia="Times" w:hAnsiTheme="minorHAnsi" w:cstheme="minorHAnsi"/>
          <w:b/>
          <w:color w:val="0070C0"/>
          <w:szCs w:val="24"/>
          <w:lang w:val="fr-FR" w:eastAsia="en-GB"/>
        </w:rPr>
        <w:t>Documents à soumettre et processus de sélection</w:t>
      </w:r>
    </w:p>
    <w:p w14:paraId="5B99BF07" w14:textId="77777777" w:rsidR="00FC7F1B" w:rsidRDefault="00FC7F1B">
      <w:pPr>
        <w:contextualSpacing/>
        <w:jc w:val="both"/>
        <w:rPr>
          <w:rFonts w:asciiTheme="minorHAnsi" w:eastAsia="Calibri" w:hAnsiTheme="minorHAnsi" w:cstheme="minorHAnsi"/>
          <w:b/>
          <w:color w:val="2E74B5"/>
          <w:szCs w:val="24"/>
          <w:lang w:val="fr-FR"/>
        </w:rPr>
      </w:pPr>
    </w:p>
    <w:p w14:paraId="34425658" w14:textId="77777777" w:rsidR="00FC7F1B" w:rsidRDefault="00000000">
      <w:pPr>
        <w:widowControl w:val="0"/>
        <w:jc w:val="both"/>
        <w:rPr>
          <w:rFonts w:asciiTheme="minorHAnsi" w:hAnsiTheme="minorHAnsi" w:cstheme="minorHAnsi"/>
          <w:b/>
          <w:bCs/>
          <w:szCs w:val="24"/>
          <w:lang w:val="fr-FR"/>
        </w:rPr>
      </w:pPr>
      <w:r>
        <w:rPr>
          <w:rFonts w:asciiTheme="minorHAnsi" w:hAnsiTheme="minorHAnsi" w:cstheme="minorHAnsi"/>
          <w:b/>
          <w:bCs/>
          <w:szCs w:val="24"/>
          <w:lang w:val="fr-FR"/>
        </w:rPr>
        <w:lastRenderedPageBreak/>
        <w:t xml:space="preserve">Le consultant doit soumettre sa proposition technique et financière.  </w:t>
      </w:r>
    </w:p>
    <w:p w14:paraId="6FF74FE6" w14:textId="77777777" w:rsidR="00FC7F1B" w:rsidRDefault="00FC7F1B">
      <w:pPr>
        <w:widowControl w:val="0"/>
        <w:jc w:val="both"/>
        <w:rPr>
          <w:rFonts w:asciiTheme="minorHAnsi" w:eastAsia="SimSun" w:hAnsiTheme="minorHAnsi" w:cstheme="minorHAnsi"/>
          <w:kern w:val="2"/>
          <w:szCs w:val="24"/>
          <w:lang w:val="fr-FR" w:eastAsia="zh-CN"/>
        </w:rPr>
      </w:pPr>
    </w:p>
    <w:p w14:paraId="7DC113E7" w14:textId="77777777" w:rsidR="00FC7F1B" w:rsidRDefault="00000000">
      <w:pPr>
        <w:widowControl w:val="0"/>
        <w:numPr>
          <w:ilvl w:val="0"/>
          <w:numId w:val="17"/>
        </w:numPr>
        <w:jc w:val="both"/>
        <w:rPr>
          <w:rFonts w:asciiTheme="minorHAnsi" w:eastAsia="SimSun" w:hAnsiTheme="minorHAnsi" w:cstheme="minorHAnsi"/>
          <w:i/>
          <w:kern w:val="2"/>
          <w:szCs w:val="24"/>
          <w:lang w:val="fr-FR" w:eastAsia="zh-CN"/>
        </w:rPr>
      </w:pPr>
      <w:r>
        <w:rPr>
          <w:rFonts w:asciiTheme="minorHAnsi" w:eastAsia="SimSun" w:hAnsiTheme="minorHAnsi" w:cstheme="minorHAnsi"/>
          <w:i/>
          <w:kern w:val="2"/>
          <w:szCs w:val="24"/>
          <w:u w:val="single"/>
          <w:lang w:val="fr-FR" w:eastAsia="zh-CN"/>
        </w:rPr>
        <w:t>Une Proposition Technique qui devra inclure les documents suivants</w:t>
      </w:r>
      <w:r>
        <w:rPr>
          <w:rFonts w:asciiTheme="minorHAnsi" w:eastAsia="SimSun" w:hAnsiTheme="minorHAnsi" w:cstheme="minorHAnsi"/>
          <w:i/>
          <w:kern w:val="2"/>
          <w:szCs w:val="24"/>
          <w:lang w:val="fr-FR" w:eastAsia="zh-CN"/>
        </w:rPr>
        <w:t> :</w:t>
      </w:r>
    </w:p>
    <w:p w14:paraId="73256DBD" w14:textId="77777777" w:rsidR="00FC7F1B" w:rsidRDefault="00FC7F1B">
      <w:pPr>
        <w:widowControl w:val="0"/>
        <w:jc w:val="both"/>
        <w:rPr>
          <w:rFonts w:asciiTheme="minorHAnsi" w:eastAsia="SimSun" w:hAnsiTheme="minorHAnsi" w:cstheme="minorHAnsi"/>
          <w:kern w:val="2"/>
          <w:szCs w:val="24"/>
          <w:lang w:val="fr-FR" w:eastAsia="zh-CN"/>
        </w:rPr>
      </w:pPr>
    </w:p>
    <w:p w14:paraId="7DEFF05B" w14:textId="77777777" w:rsidR="00FC7F1B" w:rsidRDefault="00000000">
      <w:pPr>
        <w:widowControl w:val="0"/>
        <w:numPr>
          <w:ilvl w:val="0"/>
          <w:numId w:val="18"/>
        </w:numPr>
        <w:jc w:val="both"/>
        <w:rPr>
          <w:rFonts w:asciiTheme="minorHAnsi" w:eastAsia="SimSun" w:hAnsiTheme="minorHAnsi" w:cstheme="minorHAnsi"/>
          <w:kern w:val="2"/>
          <w:szCs w:val="24"/>
          <w:lang w:val="fr-FR" w:eastAsia="zh-CN"/>
        </w:rPr>
      </w:pPr>
      <w:r>
        <w:rPr>
          <w:rFonts w:asciiTheme="minorHAnsi" w:eastAsia="SimSun" w:hAnsiTheme="minorHAnsi" w:cstheme="minorHAnsi"/>
          <w:kern w:val="2"/>
          <w:szCs w:val="24"/>
          <w:lang w:val="fr-FR" w:eastAsia="zh-CN"/>
        </w:rPr>
        <w:t xml:space="preserve">Une copie du </w:t>
      </w:r>
      <w:proofErr w:type="gramStart"/>
      <w:r>
        <w:rPr>
          <w:rFonts w:asciiTheme="minorHAnsi" w:eastAsia="SimSun" w:hAnsiTheme="minorHAnsi" w:cstheme="minorHAnsi"/>
          <w:kern w:val="2"/>
          <w:szCs w:val="24"/>
          <w:lang w:val="fr-FR" w:eastAsia="zh-CN"/>
        </w:rPr>
        <w:t>CV;</w:t>
      </w:r>
      <w:proofErr w:type="gramEnd"/>
    </w:p>
    <w:p w14:paraId="78E4C745" w14:textId="77777777" w:rsidR="00FC7F1B" w:rsidRDefault="00000000">
      <w:pPr>
        <w:widowControl w:val="0"/>
        <w:numPr>
          <w:ilvl w:val="0"/>
          <w:numId w:val="18"/>
        </w:numPr>
        <w:jc w:val="both"/>
        <w:rPr>
          <w:rFonts w:asciiTheme="minorHAnsi" w:eastAsia="SimSun" w:hAnsiTheme="minorHAnsi" w:cstheme="minorHAnsi"/>
          <w:kern w:val="2"/>
          <w:szCs w:val="24"/>
          <w:lang w:val="fr-FR" w:eastAsia="zh-CN"/>
        </w:rPr>
      </w:pPr>
      <w:r>
        <w:rPr>
          <w:rFonts w:asciiTheme="minorHAnsi" w:eastAsia="SimSun" w:hAnsiTheme="minorHAnsi" w:cstheme="minorHAnsi"/>
          <w:kern w:val="2"/>
          <w:szCs w:val="24"/>
          <w:lang w:val="fr-FR" w:eastAsia="zh-CN"/>
        </w:rPr>
        <w:t>Un exemplaire d’un rapport récent de l’évaluation, rédigé par le/la consultant(e</w:t>
      </w:r>
      <w:proofErr w:type="gramStart"/>
      <w:r>
        <w:rPr>
          <w:rFonts w:asciiTheme="minorHAnsi" w:eastAsia="SimSun" w:hAnsiTheme="minorHAnsi" w:cstheme="minorHAnsi"/>
          <w:kern w:val="2"/>
          <w:szCs w:val="24"/>
          <w:lang w:val="fr-FR" w:eastAsia="zh-CN"/>
        </w:rPr>
        <w:t>);</w:t>
      </w:r>
      <w:proofErr w:type="gramEnd"/>
    </w:p>
    <w:p w14:paraId="7BBD97C7" w14:textId="77777777" w:rsidR="00FC7F1B" w:rsidRDefault="00000000">
      <w:pPr>
        <w:widowControl w:val="0"/>
        <w:numPr>
          <w:ilvl w:val="0"/>
          <w:numId w:val="18"/>
        </w:numPr>
        <w:jc w:val="both"/>
        <w:rPr>
          <w:rFonts w:asciiTheme="minorHAnsi" w:eastAsia="SimSun" w:hAnsiTheme="minorHAnsi" w:cstheme="minorHAnsi"/>
          <w:kern w:val="2"/>
          <w:szCs w:val="24"/>
          <w:lang w:val="fr-FR" w:eastAsia="zh-CN"/>
        </w:rPr>
      </w:pPr>
      <w:r>
        <w:rPr>
          <w:rFonts w:asciiTheme="minorHAnsi" w:eastAsia="SimSun" w:hAnsiTheme="minorHAnsi" w:cstheme="minorHAnsi"/>
          <w:kern w:val="2"/>
          <w:szCs w:val="24"/>
          <w:lang w:val="fr-FR" w:eastAsia="zh-CN"/>
        </w:rPr>
        <w:t>Une note méthodologique (</w:t>
      </w:r>
      <w:r>
        <w:rPr>
          <w:rFonts w:asciiTheme="minorHAnsi" w:eastAsia="SimSun" w:hAnsiTheme="minorHAnsi" w:cstheme="minorHAnsi"/>
          <w:kern w:val="2"/>
          <w:szCs w:val="24"/>
          <w:u w:val="single"/>
          <w:lang w:val="fr-FR" w:eastAsia="zh-CN"/>
        </w:rPr>
        <w:t>maximum 10 pages sans annexes</w:t>
      </w:r>
      <w:r>
        <w:rPr>
          <w:rFonts w:asciiTheme="minorHAnsi" w:eastAsia="SimSun" w:hAnsiTheme="minorHAnsi" w:cstheme="minorHAnsi"/>
          <w:kern w:val="2"/>
          <w:szCs w:val="24"/>
          <w:lang w:val="fr-FR" w:eastAsia="zh-CN"/>
        </w:rPr>
        <w:t xml:space="preserve">) qui devra démontrer :  </w:t>
      </w:r>
    </w:p>
    <w:p w14:paraId="337494EB" w14:textId="77777777" w:rsidR="00FC7F1B" w:rsidRDefault="00000000">
      <w:pPr>
        <w:pStyle w:val="NoSpacing"/>
        <w:numPr>
          <w:ilvl w:val="1"/>
          <w:numId w:val="18"/>
        </w:numPr>
        <w:rPr>
          <w:rFonts w:asciiTheme="minorHAnsi" w:hAnsiTheme="minorHAnsi" w:cstheme="minorHAnsi"/>
          <w:sz w:val="24"/>
          <w:lang w:val="fr-FR"/>
        </w:rPr>
      </w:pPr>
      <w:r>
        <w:rPr>
          <w:rFonts w:asciiTheme="minorHAnsi" w:hAnsiTheme="minorHAnsi" w:cstheme="minorHAnsi"/>
          <w:sz w:val="24"/>
          <w:lang w:val="fr-FR"/>
        </w:rPr>
        <w:t xml:space="preserve"> La compréhension des </w:t>
      </w:r>
      <w:proofErr w:type="spellStart"/>
      <w:r>
        <w:rPr>
          <w:rFonts w:asciiTheme="minorHAnsi" w:hAnsiTheme="minorHAnsi" w:cstheme="minorHAnsi"/>
          <w:sz w:val="24"/>
          <w:lang w:val="fr-FR"/>
        </w:rPr>
        <w:t>TdR</w:t>
      </w:r>
      <w:proofErr w:type="spellEnd"/>
      <w:r>
        <w:rPr>
          <w:rFonts w:asciiTheme="minorHAnsi" w:hAnsiTheme="minorHAnsi" w:cstheme="minorHAnsi"/>
          <w:sz w:val="24"/>
          <w:lang w:val="fr-FR"/>
        </w:rPr>
        <w:t xml:space="preserve"> (y compris des buts et des objectifs) et surtout des attentes de l’UNICEF en termes de la durée, de la qualité et de l’utilisation attendues du </w:t>
      </w:r>
      <w:proofErr w:type="gramStart"/>
      <w:r>
        <w:rPr>
          <w:rFonts w:asciiTheme="minorHAnsi" w:hAnsiTheme="minorHAnsi" w:cstheme="minorHAnsi"/>
          <w:sz w:val="24"/>
          <w:lang w:val="fr-FR"/>
        </w:rPr>
        <w:t>mandat;</w:t>
      </w:r>
      <w:proofErr w:type="gramEnd"/>
    </w:p>
    <w:p w14:paraId="1A81DD4E" w14:textId="77777777" w:rsidR="00FC7F1B" w:rsidRDefault="00000000">
      <w:pPr>
        <w:pStyle w:val="NoSpacing"/>
        <w:numPr>
          <w:ilvl w:val="1"/>
          <w:numId w:val="18"/>
        </w:numPr>
        <w:rPr>
          <w:rFonts w:asciiTheme="minorHAnsi" w:hAnsiTheme="minorHAnsi" w:cstheme="minorHAnsi"/>
          <w:sz w:val="24"/>
          <w:lang w:val="fr-FR"/>
        </w:rPr>
      </w:pPr>
      <w:r>
        <w:rPr>
          <w:rFonts w:asciiTheme="minorHAnsi" w:hAnsiTheme="minorHAnsi" w:cstheme="minorHAnsi"/>
          <w:sz w:val="24"/>
          <w:lang w:val="fr-FR"/>
        </w:rPr>
        <w:t xml:space="preserve">L’approche méthodologique et le cadre théorique sous-jacente ; </w:t>
      </w:r>
    </w:p>
    <w:p w14:paraId="0313BC53" w14:textId="77777777" w:rsidR="00FC7F1B" w:rsidRDefault="00000000">
      <w:pPr>
        <w:pStyle w:val="NoSpacing"/>
        <w:numPr>
          <w:ilvl w:val="1"/>
          <w:numId w:val="18"/>
        </w:numPr>
        <w:rPr>
          <w:rFonts w:asciiTheme="minorHAnsi" w:hAnsiTheme="minorHAnsi" w:cstheme="minorHAnsi"/>
          <w:sz w:val="24"/>
          <w:lang w:val="fr-FR"/>
        </w:rPr>
      </w:pPr>
      <w:r>
        <w:rPr>
          <w:rFonts w:asciiTheme="minorHAnsi" w:hAnsiTheme="minorHAnsi" w:cstheme="minorHAnsi"/>
          <w:sz w:val="24"/>
          <w:lang w:val="fr-FR"/>
        </w:rPr>
        <w:t xml:space="preserve">La stratégie </w:t>
      </w:r>
      <w:proofErr w:type="gramStart"/>
      <w:r>
        <w:rPr>
          <w:rFonts w:asciiTheme="minorHAnsi" w:hAnsiTheme="minorHAnsi" w:cstheme="minorHAnsi"/>
          <w:sz w:val="24"/>
          <w:lang w:val="fr-FR"/>
        </w:rPr>
        <w:t>d’échantillonnage</w:t>
      </w:r>
      <w:r>
        <w:rPr>
          <w:rFonts w:asciiTheme="minorHAnsi" w:hAnsiTheme="minorHAnsi" w:cstheme="minorHAnsi"/>
          <w:sz w:val="24"/>
        </w:rPr>
        <w:t>;</w:t>
      </w:r>
      <w:proofErr w:type="gramEnd"/>
    </w:p>
    <w:p w14:paraId="272C7E77" w14:textId="77777777" w:rsidR="00FC7F1B" w:rsidRDefault="00000000">
      <w:pPr>
        <w:pStyle w:val="NoSpacing"/>
        <w:numPr>
          <w:ilvl w:val="1"/>
          <w:numId w:val="18"/>
        </w:numPr>
        <w:rPr>
          <w:rFonts w:asciiTheme="minorHAnsi" w:hAnsiTheme="minorHAnsi" w:cstheme="minorHAnsi"/>
          <w:sz w:val="24"/>
          <w:lang w:val="fr-FR"/>
        </w:rPr>
      </w:pPr>
      <w:r>
        <w:rPr>
          <w:rFonts w:asciiTheme="minorHAnsi" w:hAnsiTheme="minorHAnsi" w:cstheme="minorHAnsi"/>
          <w:sz w:val="24"/>
          <w:lang w:val="fr-FR"/>
        </w:rPr>
        <w:t xml:space="preserve">Les méthodes innovantes de collecte et d’analyse des données que le/a consultant/e estimera pertinentes afin de répondre aux questions de l’évaluation inclue dans les </w:t>
      </w:r>
      <w:proofErr w:type="spellStart"/>
      <w:proofErr w:type="gramStart"/>
      <w:r>
        <w:rPr>
          <w:rFonts w:asciiTheme="minorHAnsi" w:hAnsiTheme="minorHAnsi" w:cstheme="minorHAnsi"/>
          <w:sz w:val="24"/>
          <w:lang w:val="fr-FR"/>
        </w:rPr>
        <w:t>TdR</w:t>
      </w:r>
      <w:proofErr w:type="spellEnd"/>
      <w:r>
        <w:rPr>
          <w:rFonts w:asciiTheme="minorHAnsi" w:hAnsiTheme="minorHAnsi" w:cstheme="minorHAnsi"/>
          <w:sz w:val="24"/>
          <w:lang w:val="fr-FR"/>
        </w:rPr>
        <w:t>;</w:t>
      </w:r>
      <w:proofErr w:type="gramEnd"/>
    </w:p>
    <w:p w14:paraId="70FC6B8E" w14:textId="77777777" w:rsidR="00FC7F1B" w:rsidRDefault="00000000">
      <w:pPr>
        <w:pStyle w:val="NoSpacing"/>
        <w:numPr>
          <w:ilvl w:val="1"/>
          <w:numId w:val="18"/>
        </w:numPr>
        <w:rPr>
          <w:rFonts w:asciiTheme="minorHAnsi" w:hAnsiTheme="minorHAnsi" w:cstheme="minorHAnsi"/>
          <w:sz w:val="24"/>
          <w:lang w:val="fr-FR"/>
        </w:rPr>
      </w:pPr>
      <w:r>
        <w:rPr>
          <w:rFonts w:asciiTheme="minorHAnsi" w:hAnsiTheme="minorHAnsi" w:cstheme="minorHAnsi"/>
          <w:sz w:val="24"/>
          <w:lang w:val="fr-FR"/>
        </w:rPr>
        <w:t xml:space="preserve">Le niveau d’expérience du consultant à mener des évaluation complexes dans le </w:t>
      </w:r>
      <w:proofErr w:type="gramStart"/>
      <w:r>
        <w:rPr>
          <w:rFonts w:asciiTheme="minorHAnsi" w:hAnsiTheme="minorHAnsi" w:cstheme="minorHAnsi"/>
          <w:sz w:val="24"/>
          <w:lang w:val="fr-FR"/>
        </w:rPr>
        <w:t>passé;</w:t>
      </w:r>
      <w:proofErr w:type="gramEnd"/>
    </w:p>
    <w:p w14:paraId="1EB70CA4" w14:textId="77777777" w:rsidR="00FC7F1B" w:rsidRDefault="00000000">
      <w:pPr>
        <w:pStyle w:val="NoSpacing"/>
        <w:numPr>
          <w:ilvl w:val="1"/>
          <w:numId w:val="18"/>
        </w:numPr>
        <w:rPr>
          <w:rFonts w:asciiTheme="minorHAnsi" w:hAnsiTheme="minorHAnsi" w:cstheme="minorHAnsi"/>
          <w:sz w:val="24"/>
          <w:lang w:val="fr-FR"/>
        </w:rPr>
      </w:pPr>
      <w:r>
        <w:rPr>
          <w:rFonts w:asciiTheme="minorHAnsi" w:hAnsiTheme="minorHAnsi" w:cstheme="minorHAnsi"/>
          <w:sz w:val="24"/>
          <w:lang w:val="fr-FR"/>
        </w:rPr>
        <w:t>La clarté du calendrier du travail ;</w:t>
      </w:r>
    </w:p>
    <w:p w14:paraId="6F6CB256" w14:textId="77777777" w:rsidR="00FC7F1B" w:rsidRDefault="00000000">
      <w:pPr>
        <w:pStyle w:val="NoSpacing"/>
        <w:numPr>
          <w:ilvl w:val="1"/>
          <w:numId w:val="18"/>
        </w:numPr>
        <w:rPr>
          <w:rFonts w:asciiTheme="minorHAnsi" w:hAnsiTheme="minorHAnsi" w:cstheme="minorHAnsi"/>
          <w:sz w:val="24"/>
          <w:lang w:val="fr-FR"/>
        </w:rPr>
      </w:pPr>
      <w:r>
        <w:rPr>
          <w:rFonts w:asciiTheme="minorHAnsi" w:hAnsiTheme="minorHAnsi" w:cstheme="minorHAnsi"/>
          <w:sz w:val="24"/>
          <w:lang w:val="fr-FR"/>
        </w:rPr>
        <w:t xml:space="preserve">Une définition claire des rôles et responsabilités que le/a consultant/e devra joue par rapport au Bureau Pays de l’UNICEF et au groupe de </w:t>
      </w:r>
      <w:proofErr w:type="spellStart"/>
      <w:r>
        <w:rPr>
          <w:rFonts w:asciiTheme="minorHAnsi" w:hAnsiTheme="minorHAnsi" w:cstheme="minorHAnsi"/>
          <w:sz w:val="24"/>
          <w:lang w:val="fr-FR"/>
        </w:rPr>
        <w:t>reference</w:t>
      </w:r>
      <w:proofErr w:type="spellEnd"/>
      <w:r>
        <w:rPr>
          <w:rFonts w:asciiTheme="minorHAnsi" w:hAnsiTheme="minorHAnsi" w:cstheme="minorHAnsi"/>
          <w:sz w:val="24"/>
          <w:lang w:val="fr-FR"/>
        </w:rPr>
        <w:t xml:space="preserve"> de </w:t>
      </w:r>
      <w:proofErr w:type="gramStart"/>
      <w:r>
        <w:rPr>
          <w:rFonts w:asciiTheme="minorHAnsi" w:hAnsiTheme="minorHAnsi" w:cstheme="minorHAnsi"/>
          <w:sz w:val="24"/>
          <w:lang w:val="fr-FR"/>
        </w:rPr>
        <w:t>l’évaluation;</w:t>
      </w:r>
      <w:proofErr w:type="gramEnd"/>
    </w:p>
    <w:p w14:paraId="38028760" w14:textId="77777777" w:rsidR="00FC7F1B" w:rsidRDefault="00000000">
      <w:pPr>
        <w:pStyle w:val="NoSpacing"/>
        <w:numPr>
          <w:ilvl w:val="1"/>
          <w:numId w:val="18"/>
        </w:numPr>
        <w:rPr>
          <w:rFonts w:asciiTheme="minorHAnsi" w:hAnsiTheme="minorHAnsi" w:cstheme="minorHAnsi"/>
          <w:sz w:val="24"/>
          <w:lang w:val="fr-FR"/>
        </w:rPr>
      </w:pPr>
      <w:r>
        <w:rPr>
          <w:rFonts w:asciiTheme="minorHAnsi" w:hAnsiTheme="minorHAnsi" w:cstheme="minorHAnsi"/>
          <w:sz w:val="24"/>
          <w:lang w:val="fr-FR"/>
        </w:rPr>
        <w:t>Conformité de l’exemplaire du rapport d’évaluation (produit dans le passé et soumis dans le cadre de cette soumission) avec les normes et standards de l’UNEG.</w:t>
      </w:r>
    </w:p>
    <w:p w14:paraId="54104AB6" w14:textId="77777777" w:rsidR="00FC7F1B" w:rsidRDefault="00FC7F1B">
      <w:pPr>
        <w:pStyle w:val="NoSpacing"/>
        <w:rPr>
          <w:rFonts w:asciiTheme="minorHAnsi" w:hAnsiTheme="minorHAnsi" w:cstheme="minorHAnsi"/>
          <w:sz w:val="24"/>
          <w:lang w:val="fr-FR"/>
        </w:rPr>
      </w:pPr>
    </w:p>
    <w:p w14:paraId="100F03FC" w14:textId="77777777" w:rsidR="00FC7F1B" w:rsidRDefault="00000000">
      <w:pPr>
        <w:pStyle w:val="NoSpacing"/>
        <w:ind w:hanging="90"/>
        <w:rPr>
          <w:rFonts w:asciiTheme="minorHAnsi" w:hAnsiTheme="minorHAnsi" w:cstheme="minorHAnsi"/>
          <w:sz w:val="24"/>
          <w:lang w:val="fr-FR"/>
        </w:rPr>
      </w:pPr>
      <w:r>
        <w:rPr>
          <w:rFonts w:asciiTheme="minorHAnsi" w:hAnsiTheme="minorHAnsi" w:cstheme="minorHAnsi"/>
          <w:sz w:val="24"/>
          <w:lang w:val="fr-FR"/>
        </w:rPr>
        <w:t xml:space="preserve">  Ce document demeure un document technique et pas une lettre de motivation. Par ailleurs, cette note méthodologique </w:t>
      </w:r>
      <w:r>
        <w:rPr>
          <w:rFonts w:asciiTheme="minorHAnsi" w:hAnsiTheme="minorHAnsi" w:cstheme="minorHAnsi"/>
          <w:b/>
          <w:bCs/>
          <w:sz w:val="24"/>
          <w:u w:val="single"/>
          <w:lang w:val="fr-FR"/>
        </w:rPr>
        <w:t xml:space="preserve">ne devra répliquer le contenu d’aucune section des </w:t>
      </w:r>
      <w:proofErr w:type="spellStart"/>
      <w:r>
        <w:rPr>
          <w:rFonts w:asciiTheme="minorHAnsi" w:hAnsiTheme="minorHAnsi" w:cstheme="minorHAnsi"/>
          <w:b/>
          <w:bCs/>
          <w:sz w:val="24"/>
          <w:u w:val="single"/>
          <w:lang w:val="fr-FR"/>
        </w:rPr>
        <w:t>TdR</w:t>
      </w:r>
      <w:r>
        <w:rPr>
          <w:rFonts w:asciiTheme="minorHAnsi" w:hAnsiTheme="minorHAnsi" w:cstheme="minorHAnsi"/>
          <w:sz w:val="24"/>
          <w:lang w:val="fr-FR"/>
        </w:rPr>
        <w:t>s</w:t>
      </w:r>
      <w:proofErr w:type="spellEnd"/>
      <w:r>
        <w:rPr>
          <w:rFonts w:asciiTheme="minorHAnsi" w:hAnsiTheme="minorHAnsi" w:cstheme="minorHAnsi"/>
          <w:sz w:val="24"/>
          <w:lang w:val="fr-FR"/>
        </w:rPr>
        <w:t>. La proposition technique doit être soumise dans un dossier ou une enveloppe séparée (</w:t>
      </w:r>
      <w:proofErr w:type="gramStart"/>
      <w:r>
        <w:rPr>
          <w:rFonts w:asciiTheme="minorHAnsi" w:hAnsiTheme="minorHAnsi" w:cstheme="minorHAnsi"/>
          <w:sz w:val="24"/>
          <w:lang w:val="fr-FR"/>
        </w:rPr>
        <w:t>e-mail</w:t>
      </w:r>
      <w:proofErr w:type="gramEnd"/>
      <w:r>
        <w:rPr>
          <w:rFonts w:asciiTheme="minorHAnsi" w:hAnsiTheme="minorHAnsi" w:cstheme="minorHAnsi"/>
          <w:sz w:val="24"/>
          <w:lang w:val="fr-FR"/>
        </w:rPr>
        <w:t xml:space="preserve"> séparé), clairement nommés/marqués : " Proposition technique ". </w:t>
      </w:r>
    </w:p>
    <w:p w14:paraId="2B188230" w14:textId="77777777" w:rsidR="00FC7F1B" w:rsidRDefault="00FC7F1B">
      <w:pPr>
        <w:pStyle w:val="NoSpacing"/>
        <w:ind w:hanging="90"/>
        <w:rPr>
          <w:rFonts w:asciiTheme="minorHAnsi" w:hAnsiTheme="minorHAnsi" w:cstheme="minorHAnsi"/>
          <w:sz w:val="24"/>
          <w:lang w:val="fr-FR"/>
        </w:rPr>
      </w:pPr>
    </w:p>
    <w:p w14:paraId="66472248" w14:textId="77777777" w:rsidR="00FC7F1B" w:rsidRDefault="00000000">
      <w:pPr>
        <w:pStyle w:val="NoSpacing"/>
        <w:ind w:hanging="90"/>
        <w:rPr>
          <w:rFonts w:asciiTheme="minorHAnsi" w:hAnsiTheme="minorHAnsi" w:cstheme="minorHAnsi"/>
          <w:sz w:val="24"/>
          <w:lang w:val="fr-FR"/>
        </w:rPr>
      </w:pPr>
      <w:r>
        <w:rPr>
          <w:rFonts w:asciiTheme="minorHAnsi" w:hAnsiTheme="minorHAnsi" w:cstheme="minorHAnsi"/>
          <w:sz w:val="24"/>
          <w:lang w:val="fr-FR"/>
        </w:rPr>
        <w:t xml:space="preserve">Aucune information financière ne doit être incluse dans la proposition technique. Les offres techniques seront notées selon la grille d'évaluation fournie dans le tableau ci-dessous : </w:t>
      </w:r>
    </w:p>
    <w:p w14:paraId="51FB22DC" w14:textId="77777777" w:rsidR="00FC7F1B" w:rsidRDefault="00FC7F1B">
      <w:pPr>
        <w:widowControl w:val="0"/>
        <w:ind w:left="720"/>
        <w:jc w:val="both"/>
        <w:rPr>
          <w:rFonts w:asciiTheme="minorHAnsi" w:eastAsia="SimSun" w:hAnsiTheme="minorHAnsi" w:cstheme="minorHAnsi"/>
          <w:kern w:val="2"/>
          <w:szCs w:val="24"/>
          <w:lang w:val="fr-FR" w:eastAsia="zh-CN"/>
        </w:rPr>
      </w:pPr>
    </w:p>
    <w:p w14:paraId="2A7531AF" w14:textId="77777777" w:rsidR="00FC7F1B" w:rsidRDefault="00000000">
      <w:pPr>
        <w:widowControl w:val="0"/>
        <w:jc w:val="both"/>
        <w:rPr>
          <w:rFonts w:asciiTheme="minorHAnsi" w:eastAsia="SimSun" w:hAnsiTheme="minorHAnsi" w:cstheme="minorHAnsi"/>
          <w:kern w:val="2"/>
          <w:szCs w:val="24"/>
          <w:lang w:val="fr-FR" w:eastAsia="zh-CN"/>
        </w:rPr>
      </w:pPr>
      <w:r>
        <w:rPr>
          <w:rFonts w:asciiTheme="minorHAnsi" w:eastAsia="SimSun" w:hAnsiTheme="minorHAnsi" w:cstheme="minorHAnsi"/>
          <w:kern w:val="2"/>
          <w:szCs w:val="24"/>
          <w:lang w:val="fr-FR" w:eastAsia="zh-CN"/>
        </w:rPr>
        <w:t xml:space="preserve">Les propositions seront évaluées sur la base des critères indiqués dans le Tableau 4 ci-dessous. </w:t>
      </w:r>
    </w:p>
    <w:p w14:paraId="6CFFBF4B" w14:textId="77777777" w:rsidR="00FC7F1B" w:rsidRDefault="00FC7F1B">
      <w:pPr>
        <w:widowControl w:val="0"/>
        <w:jc w:val="both"/>
        <w:rPr>
          <w:rFonts w:asciiTheme="minorHAnsi" w:eastAsia="SimSun" w:hAnsiTheme="minorHAnsi" w:cstheme="minorHAnsi"/>
          <w:kern w:val="2"/>
          <w:szCs w:val="24"/>
          <w:lang w:val="fr-FR" w:eastAsia="zh-CN"/>
        </w:rPr>
      </w:pPr>
    </w:p>
    <w:p w14:paraId="2A5A8D58" w14:textId="77777777" w:rsidR="00FC7F1B" w:rsidRDefault="00000000">
      <w:pPr>
        <w:pStyle w:val="Caption"/>
        <w:keepNext/>
        <w:spacing w:line="240" w:lineRule="auto"/>
        <w:jc w:val="both"/>
        <w:rPr>
          <w:rFonts w:asciiTheme="minorHAnsi" w:hAnsiTheme="minorHAnsi" w:cstheme="minorHAnsi"/>
          <w:b w:val="0"/>
          <w:bCs w:val="0"/>
          <w:szCs w:val="24"/>
          <w:lang w:val="fr-FR"/>
        </w:rPr>
      </w:pPr>
      <w:r>
        <w:rPr>
          <w:rFonts w:asciiTheme="minorHAnsi" w:hAnsiTheme="minorHAnsi" w:cstheme="minorHAnsi"/>
          <w:b w:val="0"/>
          <w:bCs w:val="0"/>
          <w:i/>
          <w:iCs/>
          <w:sz w:val="24"/>
          <w:szCs w:val="24"/>
          <w:lang w:val="fr-FR"/>
        </w:rPr>
        <w:t xml:space="preserve">Tableau </w:t>
      </w:r>
      <w:proofErr w:type="gramStart"/>
      <w:r>
        <w:rPr>
          <w:rFonts w:asciiTheme="minorHAnsi" w:hAnsiTheme="minorHAnsi" w:cstheme="minorHAnsi"/>
          <w:b w:val="0"/>
          <w:bCs w:val="0"/>
          <w:i/>
          <w:iCs/>
          <w:sz w:val="24"/>
          <w:szCs w:val="24"/>
          <w:lang w:val="fr-FR"/>
        </w:rPr>
        <w:t>4:</w:t>
      </w:r>
      <w:proofErr w:type="gramEnd"/>
      <w:r>
        <w:rPr>
          <w:rFonts w:asciiTheme="minorHAnsi" w:hAnsiTheme="minorHAnsi" w:cstheme="minorHAnsi"/>
          <w:b w:val="0"/>
          <w:bCs w:val="0"/>
          <w:i/>
          <w:iCs/>
          <w:sz w:val="24"/>
          <w:szCs w:val="24"/>
          <w:lang w:val="fr-FR"/>
        </w:rPr>
        <w:t xml:space="preserve"> Critères de l'évaluation des propositions</w:t>
      </w:r>
      <w:r>
        <w:rPr>
          <w:rFonts w:asciiTheme="minorHAnsi" w:hAnsiTheme="minorHAnsi" w:cstheme="minorHAnsi"/>
          <w:szCs w:val="24"/>
          <w:lang w:val="fr-FR"/>
        </w:rPr>
        <w:t xml:space="preserve"> </w:t>
      </w:r>
    </w:p>
    <w:tbl>
      <w:tblPr>
        <w:tblW w:w="0" w:type="auto"/>
        <w:tblInd w:w="108"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shd w:val="clear" w:color="auto" w:fill="FFFFFF"/>
        <w:tblLook w:val="04A0" w:firstRow="1" w:lastRow="0" w:firstColumn="1" w:lastColumn="0" w:noHBand="0" w:noVBand="1"/>
      </w:tblPr>
      <w:tblGrid>
        <w:gridCol w:w="1034"/>
        <w:gridCol w:w="2006"/>
        <w:gridCol w:w="4384"/>
        <w:gridCol w:w="1182"/>
        <w:gridCol w:w="906"/>
      </w:tblGrid>
      <w:tr w:rsidR="00FC7F1B" w14:paraId="5DB65C7E" w14:textId="77777777">
        <w:tc>
          <w:tcPr>
            <w:tcW w:w="972" w:type="dxa"/>
            <w:shd w:val="clear" w:color="auto" w:fill="00B0F0"/>
          </w:tcPr>
          <w:p w14:paraId="6EED2E6D" w14:textId="77777777" w:rsidR="00FC7F1B" w:rsidRDefault="00000000">
            <w:pPr>
              <w:contextualSpacing/>
              <w:jc w:val="both"/>
              <w:rPr>
                <w:rFonts w:asciiTheme="minorHAnsi" w:eastAsia="MS Mincho" w:hAnsiTheme="minorHAnsi" w:cstheme="minorHAnsi"/>
                <w:b/>
                <w:bCs/>
                <w:color w:val="FFFFFF" w:themeColor="background1"/>
                <w:szCs w:val="24"/>
                <w:lang w:val="fr-CA"/>
              </w:rPr>
            </w:pPr>
            <w:r>
              <w:rPr>
                <w:rFonts w:asciiTheme="minorHAnsi" w:eastAsia="MS Mincho" w:hAnsiTheme="minorHAnsi" w:cstheme="minorHAnsi"/>
                <w:b/>
                <w:bCs/>
                <w:color w:val="FFFFFF" w:themeColor="background1"/>
                <w:szCs w:val="24"/>
                <w:lang w:val="fr-CA"/>
              </w:rPr>
              <w:t>Numéro</w:t>
            </w:r>
          </w:p>
        </w:tc>
        <w:tc>
          <w:tcPr>
            <w:tcW w:w="2061" w:type="dxa"/>
            <w:shd w:val="clear" w:color="auto" w:fill="00B0F0"/>
          </w:tcPr>
          <w:p w14:paraId="1C1AF40D" w14:textId="77777777" w:rsidR="00FC7F1B" w:rsidRDefault="00000000">
            <w:pPr>
              <w:contextualSpacing/>
              <w:jc w:val="both"/>
              <w:rPr>
                <w:rFonts w:asciiTheme="minorHAnsi" w:eastAsia="MS Mincho" w:hAnsiTheme="minorHAnsi" w:cstheme="minorHAnsi"/>
                <w:b/>
                <w:bCs/>
                <w:color w:val="FFFFFF" w:themeColor="background1"/>
                <w:szCs w:val="24"/>
                <w:lang w:val="fr-CA"/>
              </w:rPr>
            </w:pPr>
            <w:r>
              <w:rPr>
                <w:rFonts w:asciiTheme="minorHAnsi" w:eastAsia="MS Mincho" w:hAnsiTheme="minorHAnsi" w:cstheme="minorHAnsi"/>
                <w:b/>
                <w:bCs/>
                <w:color w:val="FFFFFF" w:themeColor="background1"/>
                <w:szCs w:val="24"/>
                <w:lang w:val="fr-CA"/>
              </w:rPr>
              <w:t>Critères d’appréciation</w:t>
            </w:r>
          </w:p>
        </w:tc>
        <w:tc>
          <w:tcPr>
            <w:tcW w:w="4936" w:type="dxa"/>
            <w:shd w:val="clear" w:color="auto" w:fill="00B0F0"/>
          </w:tcPr>
          <w:p w14:paraId="5111524A" w14:textId="77777777" w:rsidR="00FC7F1B" w:rsidRDefault="00000000">
            <w:pPr>
              <w:contextualSpacing/>
              <w:jc w:val="both"/>
              <w:rPr>
                <w:rFonts w:asciiTheme="minorHAnsi" w:eastAsia="MS Mincho" w:hAnsiTheme="minorHAnsi" w:cstheme="minorHAnsi"/>
                <w:b/>
                <w:bCs/>
                <w:color w:val="FFFFFF" w:themeColor="background1"/>
                <w:szCs w:val="24"/>
                <w:lang w:val="fr-CA"/>
              </w:rPr>
            </w:pPr>
            <w:r>
              <w:rPr>
                <w:rFonts w:asciiTheme="minorHAnsi" w:eastAsia="MS Mincho" w:hAnsiTheme="minorHAnsi" w:cstheme="minorHAnsi"/>
                <w:b/>
                <w:bCs/>
                <w:color w:val="FFFFFF" w:themeColor="background1"/>
                <w:szCs w:val="24"/>
                <w:lang w:val="fr-CA"/>
              </w:rPr>
              <w:t>Sous critères d’appréciation</w:t>
            </w:r>
          </w:p>
        </w:tc>
        <w:tc>
          <w:tcPr>
            <w:tcW w:w="1128" w:type="dxa"/>
            <w:shd w:val="clear" w:color="auto" w:fill="00B0F0"/>
          </w:tcPr>
          <w:p w14:paraId="208ECA3C" w14:textId="77777777" w:rsidR="00FC7F1B" w:rsidRDefault="00000000">
            <w:pPr>
              <w:contextualSpacing/>
              <w:jc w:val="both"/>
              <w:rPr>
                <w:rFonts w:asciiTheme="minorHAnsi" w:eastAsia="MS Mincho" w:hAnsiTheme="minorHAnsi" w:cstheme="minorHAnsi"/>
                <w:b/>
                <w:bCs/>
                <w:color w:val="FFFFFF" w:themeColor="background1"/>
                <w:szCs w:val="24"/>
                <w:lang w:val="fr-CA"/>
              </w:rPr>
            </w:pPr>
            <w:r>
              <w:rPr>
                <w:rFonts w:asciiTheme="minorHAnsi" w:eastAsia="MS Mincho" w:hAnsiTheme="minorHAnsi" w:cstheme="minorHAnsi"/>
                <w:b/>
                <w:bCs/>
                <w:color w:val="FFFFFF" w:themeColor="background1"/>
                <w:szCs w:val="24"/>
                <w:lang w:val="fr-CA"/>
              </w:rPr>
              <w:t xml:space="preserve">Notes détaillées </w:t>
            </w:r>
          </w:p>
        </w:tc>
        <w:tc>
          <w:tcPr>
            <w:tcW w:w="861" w:type="dxa"/>
            <w:shd w:val="clear" w:color="auto" w:fill="00B0F0"/>
          </w:tcPr>
          <w:p w14:paraId="20F1221C" w14:textId="77777777" w:rsidR="00FC7F1B" w:rsidRDefault="00000000">
            <w:pPr>
              <w:contextualSpacing/>
              <w:jc w:val="both"/>
              <w:rPr>
                <w:rFonts w:asciiTheme="minorHAnsi" w:eastAsia="MS Mincho" w:hAnsiTheme="minorHAnsi" w:cstheme="minorHAnsi"/>
                <w:b/>
                <w:bCs/>
                <w:color w:val="FFFFFF" w:themeColor="background1"/>
                <w:szCs w:val="24"/>
                <w:lang w:val="fr-CA"/>
              </w:rPr>
            </w:pPr>
            <w:r>
              <w:rPr>
                <w:rFonts w:asciiTheme="minorHAnsi" w:eastAsia="MS Mincho" w:hAnsiTheme="minorHAnsi" w:cstheme="minorHAnsi"/>
                <w:b/>
                <w:bCs/>
                <w:color w:val="FFFFFF" w:themeColor="background1"/>
                <w:szCs w:val="24"/>
                <w:lang w:val="fr-CA"/>
              </w:rPr>
              <w:t xml:space="preserve">Notes totales </w:t>
            </w:r>
          </w:p>
        </w:tc>
      </w:tr>
      <w:tr w:rsidR="00FC7F1B" w14:paraId="01C873FE" w14:textId="77777777">
        <w:tc>
          <w:tcPr>
            <w:tcW w:w="972" w:type="dxa"/>
            <w:shd w:val="clear" w:color="auto" w:fill="FFFFFF"/>
          </w:tcPr>
          <w:p w14:paraId="38074330" w14:textId="77777777" w:rsidR="00FC7F1B" w:rsidRDefault="00000000">
            <w:pPr>
              <w:contextualSpacing/>
              <w:jc w:val="both"/>
              <w:rPr>
                <w:rFonts w:asciiTheme="minorHAnsi" w:eastAsia="MS Mincho" w:hAnsiTheme="minorHAnsi" w:cstheme="minorHAnsi"/>
                <w:bCs/>
                <w:szCs w:val="24"/>
                <w:lang w:val="fr-CA"/>
              </w:rPr>
            </w:pPr>
            <w:r>
              <w:rPr>
                <w:rFonts w:asciiTheme="minorHAnsi" w:eastAsia="MS Mincho" w:hAnsiTheme="minorHAnsi" w:cstheme="minorHAnsi"/>
                <w:bCs/>
                <w:szCs w:val="24"/>
                <w:lang w:val="fr-CA"/>
              </w:rPr>
              <w:t>1</w:t>
            </w:r>
          </w:p>
        </w:tc>
        <w:tc>
          <w:tcPr>
            <w:tcW w:w="2061" w:type="dxa"/>
            <w:shd w:val="clear" w:color="auto" w:fill="FFFFFF"/>
          </w:tcPr>
          <w:p w14:paraId="09A9541E" w14:textId="77777777" w:rsidR="00FC7F1B" w:rsidRDefault="00000000">
            <w:pPr>
              <w:contextualSpacing/>
              <w:jc w:val="both"/>
              <w:rPr>
                <w:rFonts w:asciiTheme="minorHAnsi" w:eastAsia="MS Mincho" w:hAnsiTheme="minorHAnsi" w:cstheme="minorHAnsi"/>
                <w:bCs/>
                <w:szCs w:val="24"/>
                <w:lang w:val="fr-CA"/>
              </w:rPr>
            </w:pPr>
            <w:r>
              <w:rPr>
                <w:rFonts w:asciiTheme="minorHAnsi" w:eastAsia="MS Mincho" w:hAnsiTheme="minorHAnsi" w:cstheme="minorHAnsi"/>
                <w:bCs/>
                <w:szCs w:val="24"/>
                <w:lang w:val="fr-CA"/>
              </w:rPr>
              <w:t>Compréhension des termes de référence</w:t>
            </w:r>
          </w:p>
        </w:tc>
        <w:tc>
          <w:tcPr>
            <w:tcW w:w="4936" w:type="dxa"/>
            <w:shd w:val="clear" w:color="auto" w:fill="FFFFFF"/>
          </w:tcPr>
          <w:p w14:paraId="400CC7E8" w14:textId="77777777" w:rsidR="00FC7F1B" w:rsidRDefault="00000000">
            <w:pPr>
              <w:contextualSpacing/>
              <w:jc w:val="both"/>
              <w:rPr>
                <w:rFonts w:asciiTheme="minorHAnsi" w:eastAsia="MS Mincho" w:hAnsiTheme="minorHAnsi" w:cstheme="minorHAnsi"/>
                <w:bCs/>
                <w:szCs w:val="24"/>
                <w:lang w:val="fr-CA"/>
              </w:rPr>
            </w:pPr>
            <w:r>
              <w:rPr>
                <w:rFonts w:asciiTheme="minorHAnsi" w:eastAsia="MS Mincho" w:hAnsiTheme="minorHAnsi" w:cstheme="minorHAnsi"/>
                <w:bCs/>
                <w:szCs w:val="24"/>
                <w:lang w:val="fr-CA"/>
              </w:rPr>
              <w:t>Compréhension des termes de référence surtout par rapport aux attentes d</w:t>
            </w:r>
            <w:r>
              <w:rPr>
                <w:rFonts w:asciiTheme="minorHAnsi" w:eastAsia="MS Mincho" w:hAnsiTheme="minorHAnsi" w:cstheme="minorHAnsi"/>
                <w:bCs/>
                <w:szCs w:val="24"/>
                <w:lang w:val="fr-FR"/>
              </w:rPr>
              <w:t>es agences</w:t>
            </w:r>
            <w:r>
              <w:rPr>
                <w:rFonts w:asciiTheme="minorHAnsi" w:eastAsia="MS Mincho" w:hAnsiTheme="minorHAnsi" w:cstheme="minorHAnsi"/>
                <w:bCs/>
                <w:szCs w:val="24"/>
                <w:lang w:val="fr-CA"/>
              </w:rPr>
              <w:t xml:space="preserve"> en termes de qualité, durée et utilisation de l’évaluation</w:t>
            </w:r>
          </w:p>
        </w:tc>
        <w:tc>
          <w:tcPr>
            <w:tcW w:w="1128" w:type="dxa"/>
            <w:shd w:val="clear" w:color="auto" w:fill="FFFFFF"/>
          </w:tcPr>
          <w:p w14:paraId="455DF449" w14:textId="77777777" w:rsidR="00FC7F1B" w:rsidRDefault="00FC7F1B">
            <w:pPr>
              <w:contextualSpacing/>
              <w:jc w:val="both"/>
              <w:rPr>
                <w:rFonts w:asciiTheme="minorHAnsi" w:eastAsia="MS Mincho" w:hAnsiTheme="minorHAnsi" w:cstheme="minorHAnsi"/>
                <w:bCs/>
                <w:szCs w:val="24"/>
                <w:lang w:val="fr-CA"/>
              </w:rPr>
            </w:pPr>
          </w:p>
          <w:p w14:paraId="407168AA" w14:textId="77777777" w:rsidR="00FC7F1B" w:rsidRDefault="00000000">
            <w:pPr>
              <w:contextualSpacing/>
              <w:jc w:val="both"/>
              <w:rPr>
                <w:rFonts w:asciiTheme="minorHAnsi" w:eastAsia="MS Mincho" w:hAnsiTheme="minorHAnsi" w:cstheme="minorHAnsi"/>
                <w:bCs/>
                <w:szCs w:val="24"/>
                <w:lang w:val="fr-CA"/>
              </w:rPr>
            </w:pPr>
            <w:r>
              <w:rPr>
                <w:rFonts w:asciiTheme="minorHAnsi" w:eastAsia="MS Mincho" w:hAnsiTheme="minorHAnsi" w:cstheme="minorHAnsi"/>
                <w:bCs/>
                <w:szCs w:val="24"/>
                <w:lang w:val="fr-CA"/>
              </w:rPr>
              <w:t>10</w:t>
            </w:r>
          </w:p>
        </w:tc>
        <w:tc>
          <w:tcPr>
            <w:tcW w:w="861" w:type="dxa"/>
            <w:shd w:val="clear" w:color="auto" w:fill="FFFFFF"/>
          </w:tcPr>
          <w:p w14:paraId="59C91AEC" w14:textId="77777777" w:rsidR="00FC7F1B" w:rsidRDefault="00FC7F1B">
            <w:pPr>
              <w:contextualSpacing/>
              <w:jc w:val="both"/>
              <w:rPr>
                <w:rFonts w:asciiTheme="minorHAnsi" w:eastAsia="MS Mincho" w:hAnsiTheme="minorHAnsi" w:cstheme="minorHAnsi"/>
                <w:bCs/>
                <w:szCs w:val="24"/>
                <w:lang w:val="fr-CA"/>
              </w:rPr>
            </w:pPr>
          </w:p>
          <w:p w14:paraId="131AAF6C" w14:textId="77777777" w:rsidR="00FC7F1B" w:rsidRDefault="00000000">
            <w:pPr>
              <w:contextualSpacing/>
              <w:jc w:val="both"/>
              <w:rPr>
                <w:rFonts w:asciiTheme="minorHAnsi" w:eastAsia="MS Mincho" w:hAnsiTheme="minorHAnsi" w:cstheme="minorHAnsi"/>
                <w:bCs/>
                <w:szCs w:val="24"/>
                <w:lang w:val="fr-CA"/>
              </w:rPr>
            </w:pPr>
            <w:r>
              <w:rPr>
                <w:rFonts w:asciiTheme="minorHAnsi" w:eastAsia="MS Mincho" w:hAnsiTheme="minorHAnsi" w:cstheme="minorHAnsi"/>
                <w:bCs/>
                <w:szCs w:val="24"/>
                <w:lang w:val="fr-CA"/>
              </w:rPr>
              <w:t>10</w:t>
            </w:r>
          </w:p>
        </w:tc>
      </w:tr>
      <w:tr w:rsidR="00FC7F1B" w14:paraId="31B6CFCE" w14:textId="77777777">
        <w:tc>
          <w:tcPr>
            <w:tcW w:w="972" w:type="dxa"/>
            <w:vMerge w:val="restart"/>
            <w:shd w:val="clear" w:color="auto" w:fill="FFFFFF"/>
          </w:tcPr>
          <w:p w14:paraId="02167BC5" w14:textId="77777777" w:rsidR="00FC7F1B" w:rsidRDefault="00000000">
            <w:pPr>
              <w:contextualSpacing/>
              <w:jc w:val="both"/>
              <w:rPr>
                <w:rFonts w:asciiTheme="minorHAnsi" w:eastAsia="MS Mincho" w:hAnsiTheme="minorHAnsi" w:cstheme="minorHAnsi"/>
                <w:bCs/>
                <w:szCs w:val="24"/>
                <w:lang w:val="fr-CA"/>
              </w:rPr>
            </w:pPr>
            <w:r>
              <w:rPr>
                <w:rFonts w:asciiTheme="minorHAnsi" w:eastAsia="MS Mincho" w:hAnsiTheme="minorHAnsi" w:cstheme="minorHAnsi"/>
                <w:bCs/>
                <w:szCs w:val="24"/>
                <w:lang w:val="fr-CA"/>
              </w:rPr>
              <w:t>2</w:t>
            </w:r>
          </w:p>
        </w:tc>
        <w:tc>
          <w:tcPr>
            <w:tcW w:w="2061" w:type="dxa"/>
            <w:vMerge w:val="restart"/>
            <w:shd w:val="clear" w:color="auto" w:fill="FFFFFF"/>
          </w:tcPr>
          <w:p w14:paraId="3396D34A" w14:textId="77777777" w:rsidR="00FC7F1B" w:rsidRDefault="00000000">
            <w:pPr>
              <w:contextualSpacing/>
              <w:jc w:val="both"/>
              <w:rPr>
                <w:rFonts w:asciiTheme="minorHAnsi" w:eastAsia="MS Mincho" w:hAnsiTheme="minorHAnsi" w:cstheme="minorHAnsi"/>
                <w:bCs/>
                <w:szCs w:val="24"/>
                <w:lang w:val="fr-CA"/>
              </w:rPr>
            </w:pPr>
            <w:r>
              <w:rPr>
                <w:rFonts w:asciiTheme="minorHAnsi" w:eastAsia="MS Mincho" w:hAnsiTheme="minorHAnsi" w:cstheme="minorHAnsi"/>
                <w:bCs/>
                <w:szCs w:val="24"/>
                <w:lang w:val="fr-CA"/>
              </w:rPr>
              <w:t xml:space="preserve">Méthodologie </w:t>
            </w:r>
          </w:p>
        </w:tc>
        <w:tc>
          <w:tcPr>
            <w:tcW w:w="4936" w:type="dxa"/>
            <w:shd w:val="clear" w:color="auto" w:fill="FFFFFF"/>
          </w:tcPr>
          <w:p w14:paraId="3C349A7D" w14:textId="77777777" w:rsidR="00FC7F1B" w:rsidRDefault="00000000">
            <w:pPr>
              <w:contextualSpacing/>
              <w:jc w:val="both"/>
              <w:rPr>
                <w:rFonts w:asciiTheme="minorHAnsi" w:eastAsia="MS Mincho" w:hAnsiTheme="minorHAnsi" w:cstheme="minorHAnsi"/>
                <w:bCs/>
                <w:i/>
                <w:szCs w:val="24"/>
                <w:lang w:val="fr-CA"/>
              </w:rPr>
            </w:pPr>
            <w:r>
              <w:rPr>
                <w:rFonts w:asciiTheme="minorHAnsi" w:eastAsia="MS Mincho" w:hAnsiTheme="minorHAnsi" w:cstheme="minorHAnsi"/>
                <w:bCs/>
                <w:szCs w:val="24"/>
                <w:lang w:val="fr-CA"/>
              </w:rPr>
              <w:t xml:space="preserve">Approche méthodologique et Cadre théorique de référence pour la réponse </w:t>
            </w:r>
            <w:r>
              <w:rPr>
                <w:rFonts w:asciiTheme="minorHAnsi" w:eastAsia="MS Mincho" w:hAnsiTheme="minorHAnsi" w:cstheme="minorHAnsi"/>
                <w:bCs/>
                <w:szCs w:val="24"/>
                <w:lang w:val="fr-CA"/>
              </w:rPr>
              <w:lastRenderedPageBreak/>
              <w:t xml:space="preserve">aux questions d’évaluation </w:t>
            </w:r>
            <w:r>
              <w:rPr>
                <w:rFonts w:asciiTheme="minorHAnsi" w:eastAsia="MS Mincho" w:hAnsiTheme="minorHAnsi" w:cstheme="minorHAnsi"/>
                <w:bCs/>
                <w:i/>
                <w:szCs w:val="24"/>
                <w:lang w:val="fr-CA"/>
              </w:rPr>
              <w:t>(selon la pertinence du cadre proposé pour la réponse aux questions d’évaluation)</w:t>
            </w:r>
          </w:p>
        </w:tc>
        <w:tc>
          <w:tcPr>
            <w:tcW w:w="1128" w:type="dxa"/>
            <w:shd w:val="clear" w:color="auto" w:fill="FFFFFF"/>
          </w:tcPr>
          <w:p w14:paraId="49179316" w14:textId="77777777" w:rsidR="00FC7F1B" w:rsidRDefault="00FC7F1B">
            <w:pPr>
              <w:contextualSpacing/>
              <w:jc w:val="both"/>
              <w:rPr>
                <w:rFonts w:asciiTheme="minorHAnsi" w:eastAsia="MS Mincho" w:hAnsiTheme="minorHAnsi" w:cstheme="minorHAnsi"/>
                <w:bCs/>
                <w:szCs w:val="24"/>
                <w:lang w:val="fr-CA"/>
              </w:rPr>
            </w:pPr>
          </w:p>
          <w:p w14:paraId="28729F7D" w14:textId="77777777" w:rsidR="00FC7F1B" w:rsidRDefault="00FC7F1B">
            <w:pPr>
              <w:contextualSpacing/>
              <w:jc w:val="both"/>
              <w:rPr>
                <w:rFonts w:asciiTheme="minorHAnsi" w:eastAsia="MS Mincho" w:hAnsiTheme="minorHAnsi" w:cstheme="minorHAnsi"/>
                <w:bCs/>
                <w:szCs w:val="24"/>
                <w:lang w:val="fr-CA"/>
              </w:rPr>
            </w:pPr>
          </w:p>
          <w:p w14:paraId="505D58D9" w14:textId="77777777" w:rsidR="00FC7F1B" w:rsidRDefault="00000000">
            <w:pPr>
              <w:contextualSpacing/>
              <w:jc w:val="both"/>
              <w:rPr>
                <w:rFonts w:asciiTheme="minorHAnsi" w:eastAsia="MS Mincho" w:hAnsiTheme="minorHAnsi" w:cstheme="minorHAnsi"/>
                <w:bCs/>
                <w:szCs w:val="24"/>
                <w:lang w:val="fr-CA"/>
              </w:rPr>
            </w:pPr>
            <w:r>
              <w:rPr>
                <w:rFonts w:asciiTheme="minorHAnsi" w:eastAsia="MS Mincho" w:hAnsiTheme="minorHAnsi" w:cstheme="minorHAnsi"/>
                <w:bCs/>
                <w:szCs w:val="24"/>
                <w:lang w:val="fr-CA"/>
              </w:rPr>
              <w:lastRenderedPageBreak/>
              <w:t>10</w:t>
            </w:r>
          </w:p>
        </w:tc>
        <w:tc>
          <w:tcPr>
            <w:tcW w:w="861" w:type="dxa"/>
            <w:vMerge w:val="restart"/>
            <w:shd w:val="clear" w:color="auto" w:fill="FFFFFF"/>
          </w:tcPr>
          <w:p w14:paraId="28265FE4" w14:textId="77777777" w:rsidR="00FC7F1B" w:rsidRDefault="00FC7F1B">
            <w:pPr>
              <w:contextualSpacing/>
              <w:jc w:val="both"/>
              <w:rPr>
                <w:rFonts w:asciiTheme="minorHAnsi" w:eastAsia="MS Mincho" w:hAnsiTheme="minorHAnsi" w:cstheme="minorHAnsi"/>
                <w:bCs/>
                <w:szCs w:val="24"/>
                <w:lang w:val="fr-CA"/>
              </w:rPr>
            </w:pPr>
          </w:p>
          <w:p w14:paraId="6339663F" w14:textId="77777777" w:rsidR="00FC7F1B" w:rsidRDefault="00FC7F1B">
            <w:pPr>
              <w:contextualSpacing/>
              <w:jc w:val="both"/>
              <w:rPr>
                <w:rFonts w:asciiTheme="minorHAnsi" w:eastAsia="MS Mincho" w:hAnsiTheme="minorHAnsi" w:cstheme="minorHAnsi"/>
                <w:bCs/>
                <w:szCs w:val="24"/>
                <w:lang w:val="fr-CA"/>
              </w:rPr>
            </w:pPr>
          </w:p>
          <w:p w14:paraId="2C147679" w14:textId="77777777" w:rsidR="00FC7F1B" w:rsidRDefault="00FC7F1B">
            <w:pPr>
              <w:contextualSpacing/>
              <w:jc w:val="both"/>
              <w:rPr>
                <w:rFonts w:asciiTheme="minorHAnsi" w:eastAsia="MS Mincho" w:hAnsiTheme="minorHAnsi" w:cstheme="minorHAnsi"/>
                <w:bCs/>
                <w:szCs w:val="24"/>
                <w:lang w:val="fr-CA"/>
              </w:rPr>
            </w:pPr>
          </w:p>
          <w:p w14:paraId="2811D5E7" w14:textId="77777777" w:rsidR="00FC7F1B" w:rsidRDefault="00FC7F1B">
            <w:pPr>
              <w:contextualSpacing/>
              <w:jc w:val="both"/>
              <w:rPr>
                <w:rFonts w:asciiTheme="minorHAnsi" w:eastAsia="MS Mincho" w:hAnsiTheme="minorHAnsi" w:cstheme="minorHAnsi"/>
                <w:bCs/>
                <w:szCs w:val="24"/>
                <w:lang w:val="fr-CA"/>
              </w:rPr>
            </w:pPr>
          </w:p>
          <w:p w14:paraId="4F47BF81" w14:textId="77777777" w:rsidR="00FC7F1B" w:rsidRDefault="00FC7F1B">
            <w:pPr>
              <w:contextualSpacing/>
              <w:jc w:val="both"/>
              <w:rPr>
                <w:rFonts w:asciiTheme="minorHAnsi" w:eastAsia="MS Mincho" w:hAnsiTheme="minorHAnsi" w:cstheme="minorHAnsi"/>
                <w:bCs/>
                <w:szCs w:val="24"/>
                <w:lang w:val="fr-CA"/>
              </w:rPr>
            </w:pPr>
          </w:p>
          <w:p w14:paraId="0E8AA7BC" w14:textId="77777777" w:rsidR="00FC7F1B" w:rsidRDefault="00FC7F1B">
            <w:pPr>
              <w:contextualSpacing/>
              <w:jc w:val="both"/>
              <w:rPr>
                <w:rFonts w:asciiTheme="minorHAnsi" w:eastAsia="MS Mincho" w:hAnsiTheme="minorHAnsi" w:cstheme="minorHAnsi"/>
                <w:bCs/>
                <w:szCs w:val="24"/>
                <w:lang w:val="fr-CA"/>
              </w:rPr>
            </w:pPr>
          </w:p>
          <w:p w14:paraId="7851920A" w14:textId="77777777" w:rsidR="00FC7F1B" w:rsidRDefault="00FC7F1B">
            <w:pPr>
              <w:contextualSpacing/>
              <w:jc w:val="both"/>
              <w:rPr>
                <w:rFonts w:asciiTheme="minorHAnsi" w:eastAsia="MS Mincho" w:hAnsiTheme="minorHAnsi" w:cstheme="minorHAnsi"/>
                <w:bCs/>
                <w:szCs w:val="24"/>
                <w:lang w:val="fr-CA"/>
              </w:rPr>
            </w:pPr>
          </w:p>
          <w:p w14:paraId="6C5C730E" w14:textId="77777777" w:rsidR="00FC7F1B" w:rsidRDefault="00000000">
            <w:pPr>
              <w:contextualSpacing/>
              <w:jc w:val="both"/>
              <w:rPr>
                <w:rFonts w:asciiTheme="minorHAnsi" w:eastAsia="MS Mincho" w:hAnsiTheme="minorHAnsi" w:cstheme="minorHAnsi"/>
                <w:bCs/>
                <w:szCs w:val="24"/>
                <w:lang w:val="fr-CA"/>
              </w:rPr>
            </w:pPr>
            <w:r>
              <w:rPr>
                <w:rFonts w:asciiTheme="minorHAnsi" w:eastAsia="MS Mincho" w:hAnsiTheme="minorHAnsi" w:cstheme="minorHAnsi"/>
                <w:bCs/>
                <w:szCs w:val="24"/>
                <w:lang w:val="fr-CA"/>
              </w:rPr>
              <w:t>25</w:t>
            </w:r>
          </w:p>
        </w:tc>
      </w:tr>
      <w:tr w:rsidR="00FC7F1B" w14:paraId="4A40745D" w14:textId="77777777">
        <w:trPr>
          <w:trHeight w:val="692"/>
        </w:trPr>
        <w:tc>
          <w:tcPr>
            <w:tcW w:w="972" w:type="dxa"/>
            <w:vMerge/>
            <w:shd w:val="clear" w:color="auto" w:fill="FFFFFF"/>
          </w:tcPr>
          <w:p w14:paraId="4D4EE515" w14:textId="77777777" w:rsidR="00FC7F1B" w:rsidRDefault="00FC7F1B">
            <w:pPr>
              <w:contextualSpacing/>
              <w:jc w:val="both"/>
              <w:rPr>
                <w:rFonts w:asciiTheme="minorHAnsi" w:eastAsia="MS Mincho" w:hAnsiTheme="minorHAnsi" w:cstheme="minorHAnsi"/>
                <w:bCs/>
                <w:szCs w:val="24"/>
                <w:lang w:val="fr-CA"/>
              </w:rPr>
            </w:pPr>
          </w:p>
        </w:tc>
        <w:tc>
          <w:tcPr>
            <w:tcW w:w="2061" w:type="dxa"/>
            <w:vMerge/>
            <w:shd w:val="clear" w:color="auto" w:fill="FFFFFF"/>
          </w:tcPr>
          <w:p w14:paraId="66B728E6" w14:textId="77777777" w:rsidR="00FC7F1B" w:rsidRDefault="00FC7F1B">
            <w:pPr>
              <w:contextualSpacing/>
              <w:jc w:val="both"/>
              <w:rPr>
                <w:rFonts w:asciiTheme="minorHAnsi" w:eastAsia="MS Mincho" w:hAnsiTheme="minorHAnsi" w:cstheme="minorHAnsi"/>
                <w:bCs/>
                <w:szCs w:val="24"/>
                <w:lang w:val="fr-CA"/>
              </w:rPr>
            </w:pPr>
          </w:p>
        </w:tc>
        <w:tc>
          <w:tcPr>
            <w:tcW w:w="4936" w:type="dxa"/>
            <w:shd w:val="clear" w:color="auto" w:fill="FFFFFF"/>
          </w:tcPr>
          <w:p w14:paraId="1BA8EA54" w14:textId="77777777" w:rsidR="00FC7F1B" w:rsidRDefault="00000000">
            <w:pPr>
              <w:contextualSpacing/>
              <w:jc w:val="both"/>
              <w:rPr>
                <w:rFonts w:asciiTheme="minorHAnsi" w:eastAsia="MS Mincho" w:hAnsiTheme="minorHAnsi" w:cstheme="minorHAnsi"/>
                <w:bCs/>
                <w:szCs w:val="24"/>
                <w:lang w:val="fr-CA"/>
              </w:rPr>
            </w:pPr>
            <w:r>
              <w:rPr>
                <w:rFonts w:asciiTheme="minorHAnsi" w:eastAsia="MS Mincho" w:hAnsiTheme="minorHAnsi" w:cstheme="minorHAnsi"/>
                <w:bCs/>
                <w:szCs w:val="24"/>
                <w:lang w:val="fr-CA"/>
              </w:rPr>
              <w:t xml:space="preserve">La qualité et la robustesse de la stratégie d'échantillonnage suggérée </w:t>
            </w:r>
          </w:p>
          <w:p w14:paraId="3A326C23" w14:textId="77777777" w:rsidR="00FC7F1B" w:rsidRDefault="00FC7F1B">
            <w:pPr>
              <w:contextualSpacing/>
              <w:jc w:val="both"/>
              <w:rPr>
                <w:rFonts w:asciiTheme="minorHAnsi" w:eastAsia="MS Mincho" w:hAnsiTheme="minorHAnsi" w:cstheme="minorHAnsi"/>
                <w:bCs/>
                <w:i/>
                <w:szCs w:val="24"/>
                <w:lang w:val="fr-CA"/>
              </w:rPr>
            </w:pPr>
          </w:p>
        </w:tc>
        <w:tc>
          <w:tcPr>
            <w:tcW w:w="1128" w:type="dxa"/>
            <w:shd w:val="clear" w:color="auto" w:fill="FFFFFF"/>
          </w:tcPr>
          <w:p w14:paraId="3B6B4977" w14:textId="77777777" w:rsidR="00FC7F1B" w:rsidRDefault="00FC7F1B">
            <w:pPr>
              <w:contextualSpacing/>
              <w:jc w:val="both"/>
              <w:rPr>
                <w:rFonts w:asciiTheme="minorHAnsi" w:eastAsia="MS Mincho" w:hAnsiTheme="minorHAnsi" w:cstheme="minorHAnsi"/>
                <w:bCs/>
                <w:szCs w:val="24"/>
                <w:lang w:val="fr-CA"/>
              </w:rPr>
            </w:pPr>
          </w:p>
          <w:p w14:paraId="1DEE3067" w14:textId="77777777" w:rsidR="00FC7F1B" w:rsidRDefault="00000000">
            <w:pPr>
              <w:contextualSpacing/>
              <w:jc w:val="both"/>
              <w:rPr>
                <w:rFonts w:asciiTheme="minorHAnsi" w:eastAsia="MS Mincho" w:hAnsiTheme="minorHAnsi" w:cstheme="minorHAnsi"/>
                <w:bCs/>
                <w:szCs w:val="24"/>
                <w:lang w:val="fr-CA"/>
              </w:rPr>
            </w:pPr>
            <w:r>
              <w:rPr>
                <w:rFonts w:asciiTheme="minorHAnsi" w:eastAsia="MS Mincho" w:hAnsiTheme="minorHAnsi" w:cstheme="minorHAnsi"/>
                <w:bCs/>
                <w:szCs w:val="24"/>
                <w:lang w:val="fr-CA"/>
              </w:rPr>
              <w:t>5</w:t>
            </w:r>
          </w:p>
        </w:tc>
        <w:tc>
          <w:tcPr>
            <w:tcW w:w="861" w:type="dxa"/>
            <w:vMerge/>
            <w:shd w:val="clear" w:color="auto" w:fill="FFFFFF"/>
          </w:tcPr>
          <w:p w14:paraId="55C38E8C" w14:textId="77777777" w:rsidR="00FC7F1B" w:rsidRDefault="00FC7F1B">
            <w:pPr>
              <w:contextualSpacing/>
              <w:jc w:val="both"/>
              <w:rPr>
                <w:rFonts w:asciiTheme="minorHAnsi" w:eastAsia="MS Mincho" w:hAnsiTheme="minorHAnsi" w:cstheme="minorHAnsi"/>
                <w:bCs/>
                <w:szCs w:val="24"/>
                <w:lang w:val="fr-CA"/>
              </w:rPr>
            </w:pPr>
          </w:p>
        </w:tc>
      </w:tr>
      <w:tr w:rsidR="00FC7F1B" w14:paraId="74E61CCE" w14:textId="77777777">
        <w:tc>
          <w:tcPr>
            <w:tcW w:w="972" w:type="dxa"/>
            <w:vMerge/>
            <w:shd w:val="clear" w:color="auto" w:fill="FFFFFF"/>
          </w:tcPr>
          <w:p w14:paraId="25BCF605" w14:textId="77777777" w:rsidR="00FC7F1B" w:rsidRDefault="00FC7F1B">
            <w:pPr>
              <w:contextualSpacing/>
              <w:jc w:val="both"/>
              <w:rPr>
                <w:rFonts w:asciiTheme="minorHAnsi" w:eastAsia="MS Mincho" w:hAnsiTheme="minorHAnsi" w:cstheme="minorHAnsi"/>
                <w:bCs/>
                <w:szCs w:val="24"/>
                <w:lang w:val="fr-CA"/>
              </w:rPr>
            </w:pPr>
          </w:p>
        </w:tc>
        <w:tc>
          <w:tcPr>
            <w:tcW w:w="2061" w:type="dxa"/>
            <w:vMerge/>
            <w:shd w:val="clear" w:color="auto" w:fill="FFFFFF"/>
          </w:tcPr>
          <w:p w14:paraId="5D36D650" w14:textId="77777777" w:rsidR="00FC7F1B" w:rsidRDefault="00FC7F1B">
            <w:pPr>
              <w:contextualSpacing/>
              <w:jc w:val="both"/>
              <w:rPr>
                <w:rFonts w:asciiTheme="minorHAnsi" w:eastAsia="MS Mincho" w:hAnsiTheme="minorHAnsi" w:cstheme="minorHAnsi"/>
                <w:bCs/>
                <w:szCs w:val="24"/>
                <w:lang w:val="fr-CA"/>
              </w:rPr>
            </w:pPr>
          </w:p>
        </w:tc>
        <w:tc>
          <w:tcPr>
            <w:tcW w:w="4936" w:type="dxa"/>
            <w:shd w:val="clear" w:color="auto" w:fill="FFFFFF"/>
          </w:tcPr>
          <w:p w14:paraId="1BC89341" w14:textId="77777777" w:rsidR="00FC7F1B" w:rsidRDefault="00000000">
            <w:pPr>
              <w:contextualSpacing/>
              <w:jc w:val="both"/>
              <w:rPr>
                <w:rFonts w:asciiTheme="minorHAnsi" w:eastAsia="MS Mincho" w:hAnsiTheme="minorHAnsi" w:cstheme="minorHAnsi"/>
                <w:bCs/>
                <w:szCs w:val="24"/>
                <w:lang w:val="fr-CA"/>
              </w:rPr>
            </w:pPr>
            <w:r>
              <w:rPr>
                <w:rFonts w:asciiTheme="minorHAnsi" w:eastAsia="MS Mincho" w:hAnsiTheme="minorHAnsi" w:cstheme="minorHAnsi"/>
                <w:bCs/>
                <w:szCs w:val="24"/>
                <w:lang w:val="fr-CA"/>
              </w:rPr>
              <w:t>Les caractéristiques innovantes des méthodes de collecte de données suggérées</w:t>
            </w:r>
          </w:p>
          <w:p w14:paraId="78C5F66F" w14:textId="77777777" w:rsidR="00FC7F1B" w:rsidRDefault="00FC7F1B">
            <w:pPr>
              <w:contextualSpacing/>
              <w:jc w:val="both"/>
              <w:rPr>
                <w:rFonts w:asciiTheme="minorHAnsi" w:eastAsia="MS Mincho" w:hAnsiTheme="minorHAnsi" w:cstheme="minorHAnsi"/>
                <w:bCs/>
                <w:szCs w:val="24"/>
                <w:lang w:val="fr-CA"/>
              </w:rPr>
            </w:pPr>
          </w:p>
        </w:tc>
        <w:tc>
          <w:tcPr>
            <w:tcW w:w="1128" w:type="dxa"/>
            <w:shd w:val="clear" w:color="auto" w:fill="FFFFFF"/>
          </w:tcPr>
          <w:p w14:paraId="5D8BE7A6" w14:textId="77777777" w:rsidR="00FC7F1B" w:rsidRDefault="00FC7F1B">
            <w:pPr>
              <w:contextualSpacing/>
              <w:jc w:val="both"/>
              <w:rPr>
                <w:rFonts w:asciiTheme="minorHAnsi" w:eastAsia="MS Mincho" w:hAnsiTheme="minorHAnsi" w:cstheme="minorHAnsi"/>
                <w:bCs/>
                <w:szCs w:val="24"/>
                <w:lang w:val="fr-CA"/>
              </w:rPr>
            </w:pPr>
          </w:p>
          <w:p w14:paraId="5B42B7B9" w14:textId="77777777" w:rsidR="00FC7F1B" w:rsidRDefault="00000000">
            <w:pPr>
              <w:contextualSpacing/>
              <w:jc w:val="both"/>
              <w:rPr>
                <w:rFonts w:asciiTheme="minorHAnsi" w:eastAsia="MS Mincho" w:hAnsiTheme="minorHAnsi" w:cstheme="minorHAnsi"/>
                <w:bCs/>
                <w:szCs w:val="24"/>
                <w:lang w:val="fr-CA"/>
              </w:rPr>
            </w:pPr>
            <w:r>
              <w:rPr>
                <w:rFonts w:asciiTheme="minorHAnsi" w:eastAsia="MS Mincho" w:hAnsiTheme="minorHAnsi" w:cstheme="minorHAnsi"/>
                <w:bCs/>
                <w:szCs w:val="24"/>
                <w:lang w:val="fr-CA"/>
              </w:rPr>
              <w:t>5</w:t>
            </w:r>
          </w:p>
        </w:tc>
        <w:tc>
          <w:tcPr>
            <w:tcW w:w="861" w:type="dxa"/>
            <w:vMerge/>
            <w:shd w:val="clear" w:color="auto" w:fill="FFFFFF"/>
          </w:tcPr>
          <w:p w14:paraId="298F2E0B" w14:textId="77777777" w:rsidR="00FC7F1B" w:rsidRDefault="00FC7F1B">
            <w:pPr>
              <w:contextualSpacing/>
              <w:jc w:val="both"/>
              <w:rPr>
                <w:rFonts w:asciiTheme="minorHAnsi" w:eastAsia="MS Mincho" w:hAnsiTheme="minorHAnsi" w:cstheme="minorHAnsi"/>
                <w:bCs/>
                <w:szCs w:val="24"/>
                <w:lang w:val="fr-CA"/>
              </w:rPr>
            </w:pPr>
          </w:p>
        </w:tc>
      </w:tr>
      <w:tr w:rsidR="00FC7F1B" w14:paraId="3DFC05A5" w14:textId="77777777">
        <w:tc>
          <w:tcPr>
            <w:tcW w:w="972" w:type="dxa"/>
            <w:vMerge/>
            <w:shd w:val="clear" w:color="auto" w:fill="FFFFFF"/>
          </w:tcPr>
          <w:p w14:paraId="3AEC0F9C" w14:textId="77777777" w:rsidR="00FC7F1B" w:rsidRDefault="00FC7F1B">
            <w:pPr>
              <w:contextualSpacing/>
              <w:jc w:val="both"/>
              <w:rPr>
                <w:rFonts w:asciiTheme="minorHAnsi" w:eastAsia="MS Mincho" w:hAnsiTheme="minorHAnsi" w:cstheme="minorHAnsi"/>
                <w:bCs/>
                <w:szCs w:val="24"/>
                <w:lang w:val="fr-CA"/>
              </w:rPr>
            </w:pPr>
          </w:p>
        </w:tc>
        <w:tc>
          <w:tcPr>
            <w:tcW w:w="2061" w:type="dxa"/>
            <w:vMerge/>
            <w:shd w:val="clear" w:color="auto" w:fill="FFFFFF"/>
          </w:tcPr>
          <w:p w14:paraId="0D1FA86B" w14:textId="77777777" w:rsidR="00FC7F1B" w:rsidRDefault="00FC7F1B">
            <w:pPr>
              <w:contextualSpacing/>
              <w:jc w:val="both"/>
              <w:rPr>
                <w:rFonts w:asciiTheme="minorHAnsi" w:eastAsia="MS Mincho" w:hAnsiTheme="minorHAnsi" w:cstheme="minorHAnsi"/>
                <w:bCs/>
                <w:szCs w:val="24"/>
                <w:lang w:val="fr-CA"/>
              </w:rPr>
            </w:pPr>
          </w:p>
        </w:tc>
        <w:tc>
          <w:tcPr>
            <w:tcW w:w="4936" w:type="dxa"/>
            <w:shd w:val="clear" w:color="auto" w:fill="FFFFFF"/>
          </w:tcPr>
          <w:p w14:paraId="128CD50F" w14:textId="77777777" w:rsidR="00FC7F1B" w:rsidRDefault="00000000">
            <w:pPr>
              <w:contextualSpacing/>
              <w:jc w:val="both"/>
              <w:rPr>
                <w:rFonts w:asciiTheme="minorHAnsi" w:eastAsia="MS Mincho" w:hAnsiTheme="minorHAnsi" w:cstheme="minorHAnsi"/>
                <w:bCs/>
                <w:szCs w:val="24"/>
                <w:lang w:val="fr-CA"/>
              </w:rPr>
            </w:pPr>
            <w:r>
              <w:rPr>
                <w:rFonts w:asciiTheme="minorHAnsi" w:eastAsia="MS Mincho" w:hAnsiTheme="minorHAnsi" w:cstheme="minorHAnsi"/>
                <w:bCs/>
                <w:szCs w:val="24"/>
                <w:lang w:val="fr-CA"/>
              </w:rPr>
              <w:t>La clarté des méthodes d'analyse des données - tant quantitatives que qualitatives, le cas échéant (y compris l'utilisation de logiciels spécialisés)</w:t>
            </w:r>
          </w:p>
        </w:tc>
        <w:tc>
          <w:tcPr>
            <w:tcW w:w="1128" w:type="dxa"/>
            <w:shd w:val="clear" w:color="auto" w:fill="FFFFFF"/>
          </w:tcPr>
          <w:p w14:paraId="3FD65F2A" w14:textId="77777777" w:rsidR="00FC7F1B" w:rsidRDefault="00FC7F1B">
            <w:pPr>
              <w:contextualSpacing/>
              <w:jc w:val="both"/>
              <w:rPr>
                <w:rFonts w:asciiTheme="minorHAnsi" w:eastAsia="MS Mincho" w:hAnsiTheme="minorHAnsi" w:cstheme="minorHAnsi"/>
                <w:bCs/>
                <w:szCs w:val="24"/>
                <w:lang w:val="fr-CA"/>
              </w:rPr>
            </w:pPr>
          </w:p>
          <w:p w14:paraId="1E0DA95F" w14:textId="77777777" w:rsidR="00FC7F1B" w:rsidRDefault="00000000">
            <w:pPr>
              <w:contextualSpacing/>
              <w:jc w:val="both"/>
              <w:rPr>
                <w:rFonts w:asciiTheme="minorHAnsi" w:eastAsia="MS Mincho" w:hAnsiTheme="minorHAnsi" w:cstheme="minorHAnsi"/>
                <w:bCs/>
                <w:szCs w:val="24"/>
                <w:lang w:val="fr-CA"/>
              </w:rPr>
            </w:pPr>
            <w:r>
              <w:rPr>
                <w:rFonts w:asciiTheme="minorHAnsi" w:eastAsia="MS Mincho" w:hAnsiTheme="minorHAnsi" w:cstheme="minorHAnsi"/>
                <w:bCs/>
                <w:szCs w:val="24"/>
                <w:lang w:val="fr-CA"/>
              </w:rPr>
              <w:t>5</w:t>
            </w:r>
          </w:p>
        </w:tc>
        <w:tc>
          <w:tcPr>
            <w:tcW w:w="861" w:type="dxa"/>
            <w:vMerge/>
            <w:shd w:val="clear" w:color="auto" w:fill="FFFFFF"/>
          </w:tcPr>
          <w:p w14:paraId="0D27768F" w14:textId="77777777" w:rsidR="00FC7F1B" w:rsidRDefault="00FC7F1B">
            <w:pPr>
              <w:contextualSpacing/>
              <w:jc w:val="both"/>
              <w:rPr>
                <w:rFonts w:asciiTheme="minorHAnsi" w:eastAsia="MS Mincho" w:hAnsiTheme="minorHAnsi" w:cstheme="minorHAnsi"/>
                <w:bCs/>
                <w:szCs w:val="24"/>
                <w:lang w:val="fr-CA"/>
              </w:rPr>
            </w:pPr>
          </w:p>
        </w:tc>
      </w:tr>
      <w:tr w:rsidR="00FC7F1B" w14:paraId="548C1E07" w14:textId="77777777">
        <w:tc>
          <w:tcPr>
            <w:tcW w:w="972" w:type="dxa"/>
            <w:vMerge w:val="restart"/>
            <w:shd w:val="clear" w:color="auto" w:fill="FFFFFF"/>
          </w:tcPr>
          <w:p w14:paraId="08715F8A" w14:textId="77777777" w:rsidR="00FC7F1B" w:rsidRDefault="00000000">
            <w:pPr>
              <w:contextualSpacing/>
              <w:jc w:val="both"/>
              <w:rPr>
                <w:rFonts w:asciiTheme="minorHAnsi" w:eastAsia="MS Mincho" w:hAnsiTheme="minorHAnsi" w:cstheme="minorHAnsi"/>
                <w:bCs/>
                <w:szCs w:val="24"/>
                <w:lang w:val="fr-CA"/>
              </w:rPr>
            </w:pPr>
            <w:r>
              <w:rPr>
                <w:rFonts w:asciiTheme="minorHAnsi" w:eastAsia="MS Mincho" w:hAnsiTheme="minorHAnsi" w:cstheme="minorHAnsi"/>
                <w:bCs/>
                <w:szCs w:val="24"/>
                <w:lang w:val="fr-CA"/>
              </w:rPr>
              <w:t>3</w:t>
            </w:r>
          </w:p>
        </w:tc>
        <w:tc>
          <w:tcPr>
            <w:tcW w:w="2061" w:type="dxa"/>
            <w:vMerge w:val="restart"/>
            <w:shd w:val="clear" w:color="auto" w:fill="FFFFFF"/>
          </w:tcPr>
          <w:p w14:paraId="006AE763" w14:textId="77777777" w:rsidR="00FC7F1B" w:rsidRDefault="00000000">
            <w:pPr>
              <w:contextualSpacing/>
              <w:jc w:val="both"/>
              <w:rPr>
                <w:rFonts w:asciiTheme="minorHAnsi" w:eastAsia="MS Mincho" w:hAnsiTheme="minorHAnsi" w:cstheme="minorHAnsi"/>
                <w:bCs/>
                <w:szCs w:val="24"/>
                <w:lang w:val="fr-CA"/>
              </w:rPr>
            </w:pPr>
            <w:r>
              <w:rPr>
                <w:rFonts w:asciiTheme="minorHAnsi" w:eastAsia="MS Mincho" w:hAnsiTheme="minorHAnsi" w:cstheme="minorHAnsi"/>
                <w:bCs/>
                <w:szCs w:val="24"/>
                <w:lang w:val="fr-CA"/>
              </w:rPr>
              <w:t>Capacité d’organisation d</w:t>
            </w:r>
            <w:r>
              <w:rPr>
                <w:rFonts w:asciiTheme="minorHAnsi" w:eastAsia="MS Mincho" w:hAnsiTheme="minorHAnsi" w:cstheme="minorHAnsi"/>
                <w:bCs/>
                <w:szCs w:val="24"/>
                <w:lang w:val="fr-FR"/>
              </w:rPr>
              <w:t>u</w:t>
            </w:r>
            <w:r>
              <w:rPr>
                <w:rFonts w:asciiTheme="minorHAnsi" w:eastAsia="MS Mincho" w:hAnsiTheme="minorHAnsi" w:cstheme="minorHAnsi"/>
                <w:bCs/>
                <w:szCs w:val="24"/>
                <w:lang w:val="fr-CA"/>
              </w:rPr>
              <w:t xml:space="preserve"> </w:t>
            </w:r>
            <w:r>
              <w:rPr>
                <w:rFonts w:asciiTheme="minorHAnsi" w:eastAsia="MS Mincho" w:hAnsiTheme="minorHAnsi" w:cstheme="minorHAnsi"/>
                <w:bCs/>
                <w:szCs w:val="24"/>
                <w:lang w:val="fr-FR"/>
              </w:rPr>
              <w:t>consultant</w:t>
            </w:r>
            <w:r>
              <w:rPr>
                <w:rFonts w:asciiTheme="minorHAnsi" w:eastAsia="MS Mincho" w:hAnsiTheme="minorHAnsi" w:cstheme="minorHAnsi"/>
                <w:bCs/>
                <w:szCs w:val="24"/>
                <w:lang w:val="fr-CA"/>
              </w:rPr>
              <w:t xml:space="preserve"> pour l’exécution du mandat</w:t>
            </w:r>
          </w:p>
        </w:tc>
        <w:tc>
          <w:tcPr>
            <w:tcW w:w="4936" w:type="dxa"/>
            <w:shd w:val="clear" w:color="auto" w:fill="FFFFFF"/>
          </w:tcPr>
          <w:p w14:paraId="203B6190" w14:textId="77777777" w:rsidR="00FC7F1B" w:rsidRDefault="00000000">
            <w:pPr>
              <w:contextualSpacing/>
              <w:jc w:val="both"/>
              <w:rPr>
                <w:rFonts w:asciiTheme="minorHAnsi" w:eastAsia="MS Mincho" w:hAnsiTheme="minorHAnsi" w:cstheme="minorHAnsi"/>
                <w:bCs/>
                <w:szCs w:val="24"/>
                <w:lang w:val="fr-CA"/>
              </w:rPr>
            </w:pPr>
            <w:r>
              <w:rPr>
                <w:rFonts w:asciiTheme="minorHAnsi" w:eastAsia="MS Mincho" w:hAnsiTheme="minorHAnsi" w:cstheme="minorHAnsi"/>
                <w:bCs/>
                <w:szCs w:val="24"/>
                <w:lang w:val="fr-CA"/>
              </w:rPr>
              <w:t>Expérience des consultants dans la conduite d’évaluations complexes</w:t>
            </w:r>
          </w:p>
        </w:tc>
        <w:tc>
          <w:tcPr>
            <w:tcW w:w="1128" w:type="dxa"/>
            <w:shd w:val="clear" w:color="auto" w:fill="FFFFFF"/>
          </w:tcPr>
          <w:p w14:paraId="211A8551" w14:textId="77777777" w:rsidR="00FC7F1B" w:rsidRDefault="00000000">
            <w:pPr>
              <w:contextualSpacing/>
              <w:jc w:val="both"/>
              <w:rPr>
                <w:rFonts w:asciiTheme="minorHAnsi" w:eastAsia="MS Mincho" w:hAnsiTheme="minorHAnsi" w:cstheme="minorHAnsi"/>
                <w:bCs/>
                <w:szCs w:val="24"/>
                <w:lang w:val="fr-CA"/>
              </w:rPr>
            </w:pPr>
            <w:r>
              <w:rPr>
                <w:rFonts w:asciiTheme="minorHAnsi" w:eastAsia="MS Mincho" w:hAnsiTheme="minorHAnsi" w:cstheme="minorHAnsi"/>
                <w:bCs/>
                <w:szCs w:val="24"/>
                <w:lang w:val="fr-CA"/>
              </w:rPr>
              <w:t>5</w:t>
            </w:r>
          </w:p>
        </w:tc>
        <w:tc>
          <w:tcPr>
            <w:tcW w:w="861" w:type="dxa"/>
            <w:vMerge w:val="restart"/>
            <w:shd w:val="clear" w:color="auto" w:fill="FFFFFF"/>
          </w:tcPr>
          <w:p w14:paraId="117935A7" w14:textId="77777777" w:rsidR="00FC7F1B" w:rsidRDefault="00FC7F1B">
            <w:pPr>
              <w:contextualSpacing/>
              <w:jc w:val="both"/>
              <w:rPr>
                <w:rFonts w:asciiTheme="minorHAnsi" w:eastAsia="MS Mincho" w:hAnsiTheme="minorHAnsi" w:cstheme="minorHAnsi"/>
                <w:bCs/>
                <w:szCs w:val="24"/>
                <w:lang w:val="fr-CA"/>
              </w:rPr>
            </w:pPr>
          </w:p>
          <w:p w14:paraId="720C12DB" w14:textId="77777777" w:rsidR="00FC7F1B" w:rsidRDefault="00FC7F1B">
            <w:pPr>
              <w:contextualSpacing/>
              <w:jc w:val="both"/>
              <w:rPr>
                <w:rFonts w:asciiTheme="minorHAnsi" w:eastAsia="MS Mincho" w:hAnsiTheme="minorHAnsi" w:cstheme="minorHAnsi"/>
                <w:bCs/>
                <w:szCs w:val="24"/>
                <w:lang w:val="fr-CA"/>
              </w:rPr>
            </w:pPr>
          </w:p>
          <w:p w14:paraId="543C532E" w14:textId="77777777" w:rsidR="00FC7F1B" w:rsidRDefault="00FC7F1B">
            <w:pPr>
              <w:contextualSpacing/>
              <w:jc w:val="both"/>
              <w:rPr>
                <w:rFonts w:asciiTheme="minorHAnsi" w:eastAsia="MS Mincho" w:hAnsiTheme="minorHAnsi" w:cstheme="minorHAnsi"/>
                <w:bCs/>
                <w:szCs w:val="24"/>
                <w:lang w:val="fr-CA"/>
              </w:rPr>
            </w:pPr>
          </w:p>
          <w:p w14:paraId="294FF86F" w14:textId="77777777" w:rsidR="00FC7F1B" w:rsidRDefault="00FC7F1B">
            <w:pPr>
              <w:contextualSpacing/>
              <w:jc w:val="both"/>
              <w:rPr>
                <w:rFonts w:asciiTheme="minorHAnsi" w:eastAsia="MS Mincho" w:hAnsiTheme="minorHAnsi" w:cstheme="minorHAnsi"/>
                <w:bCs/>
                <w:szCs w:val="24"/>
                <w:lang w:val="fr-CA"/>
              </w:rPr>
            </w:pPr>
          </w:p>
          <w:p w14:paraId="7BFA834D" w14:textId="77777777" w:rsidR="00FC7F1B" w:rsidRDefault="00000000">
            <w:pPr>
              <w:contextualSpacing/>
              <w:jc w:val="both"/>
              <w:rPr>
                <w:rFonts w:asciiTheme="minorHAnsi" w:eastAsia="MS Mincho" w:hAnsiTheme="minorHAnsi" w:cstheme="minorHAnsi"/>
                <w:bCs/>
                <w:szCs w:val="24"/>
                <w:lang w:val="fr-CA"/>
              </w:rPr>
            </w:pPr>
            <w:r>
              <w:rPr>
                <w:rFonts w:asciiTheme="minorHAnsi" w:eastAsia="MS Mincho" w:hAnsiTheme="minorHAnsi" w:cstheme="minorHAnsi"/>
                <w:bCs/>
                <w:szCs w:val="24"/>
                <w:lang w:val="fr-CA"/>
              </w:rPr>
              <w:t>20</w:t>
            </w:r>
          </w:p>
        </w:tc>
      </w:tr>
      <w:tr w:rsidR="00FC7F1B" w14:paraId="1DA09337" w14:textId="77777777">
        <w:tc>
          <w:tcPr>
            <w:tcW w:w="972" w:type="dxa"/>
            <w:vMerge/>
            <w:shd w:val="clear" w:color="auto" w:fill="FFFFFF"/>
          </w:tcPr>
          <w:p w14:paraId="1E68D287" w14:textId="77777777" w:rsidR="00FC7F1B" w:rsidRDefault="00FC7F1B">
            <w:pPr>
              <w:contextualSpacing/>
              <w:jc w:val="both"/>
              <w:rPr>
                <w:rFonts w:asciiTheme="minorHAnsi" w:eastAsia="MS Mincho" w:hAnsiTheme="minorHAnsi" w:cstheme="minorHAnsi"/>
                <w:bCs/>
                <w:szCs w:val="24"/>
                <w:lang w:val="fr-CA"/>
              </w:rPr>
            </w:pPr>
          </w:p>
        </w:tc>
        <w:tc>
          <w:tcPr>
            <w:tcW w:w="2061" w:type="dxa"/>
            <w:vMerge/>
            <w:shd w:val="clear" w:color="auto" w:fill="FFFFFF"/>
          </w:tcPr>
          <w:p w14:paraId="366152AB" w14:textId="77777777" w:rsidR="00FC7F1B" w:rsidRDefault="00FC7F1B">
            <w:pPr>
              <w:contextualSpacing/>
              <w:jc w:val="both"/>
              <w:rPr>
                <w:rFonts w:asciiTheme="minorHAnsi" w:eastAsia="MS Mincho" w:hAnsiTheme="minorHAnsi" w:cstheme="minorHAnsi"/>
                <w:bCs/>
                <w:szCs w:val="24"/>
                <w:lang w:val="fr-CA"/>
              </w:rPr>
            </w:pPr>
          </w:p>
        </w:tc>
        <w:tc>
          <w:tcPr>
            <w:tcW w:w="4936" w:type="dxa"/>
            <w:shd w:val="clear" w:color="auto" w:fill="FFFFFF"/>
          </w:tcPr>
          <w:p w14:paraId="4EAD4ADA" w14:textId="77777777" w:rsidR="00FC7F1B" w:rsidRDefault="00000000">
            <w:pPr>
              <w:contextualSpacing/>
              <w:jc w:val="both"/>
              <w:rPr>
                <w:rFonts w:asciiTheme="minorHAnsi" w:eastAsia="MS Mincho" w:hAnsiTheme="minorHAnsi" w:cstheme="minorHAnsi"/>
                <w:bCs/>
                <w:szCs w:val="24"/>
                <w:lang w:val="fr-CA"/>
              </w:rPr>
            </w:pPr>
            <w:r>
              <w:rPr>
                <w:rFonts w:asciiTheme="minorHAnsi" w:eastAsia="MS Mincho" w:hAnsiTheme="minorHAnsi" w:cstheme="minorHAnsi"/>
                <w:bCs/>
                <w:szCs w:val="24"/>
                <w:lang w:val="fr-CA"/>
              </w:rPr>
              <w:t>Clarté du Plan de travail de l’évaluation</w:t>
            </w:r>
          </w:p>
          <w:p w14:paraId="691D7A24" w14:textId="77777777" w:rsidR="00FC7F1B" w:rsidRDefault="00000000">
            <w:pPr>
              <w:contextualSpacing/>
              <w:jc w:val="both"/>
              <w:rPr>
                <w:rFonts w:asciiTheme="minorHAnsi" w:eastAsia="MS Mincho" w:hAnsiTheme="minorHAnsi" w:cstheme="minorHAnsi"/>
                <w:bCs/>
                <w:szCs w:val="24"/>
                <w:lang w:val="fr-CA"/>
              </w:rPr>
            </w:pPr>
            <w:r>
              <w:rPr>
                <w:rFonts w:asciiTheme="minorHAnsi" w:eastAsia="MS Mincho" w:hAnsiTheme="minorHAnsi" w:cstheme="minorHAnsi"/>
                <w:bCs/>
                <w:szCs w:val="24"/>
                <w:lang w:val="fr-CA"/>
              </w:rPr>
              <w:t>(</w:t>
            </w:r>
            <w:proofErr w:type="gramStart"/>
            <w:r>
              <w:rPr>
                <w:rFonts w:asciiTheme="minorHAnsi" w:eastAsia="MS Mincho" w:hAnsiTheme="minorHAnsi" w:cstheme="minorHAnsi"/>
                <w:bCs/>
                <w:szCs w:val="24"/>
                <w:lang w:val="fr-CA"/>
              </w:rPr>
              <w:t>s</w:t>
            </w:r>
            <w:r>
              <w:rPr>
                <w:rFonts w:asciiTheme="minorHAnsi" w:eastAsia="MS Mincho" w:hAnsiTheme="minorHAnsi" w:cstheme="minorHAnsi"/>
                <w:bCs/>
                <w:i/>
                <w:szCs w:val="24"/>
                <w:lang w:val="fr-CA"/>
              </w:rPr>
              <w:t>elon</w:t>
            </w:r>
            <w:proofErr w:type="gramEnd"/>
            <w:r>
              <w:rPr>
                <w:rFonts w:asciiTheme="minorHAnsi" w:eastAsia="MS Mincho" w:hAnsiTheme="minorHAnsi" w:cstheme="minorHAnsi"/>
                <w:bCs/>
                <w:i/>
                <w:szCs w:val="24"/>
                <w:lang w:val="fr-CA"/>
              </w:rPr>
              <w:t xml:space="preserve"> la pertinence des activités et du chronogramme proposé pour la délivrance des produits attendus </w:t>
            </w:r>
            <w:r>
              <w:rPr>
                <w:rFonts w:asciiTheme="minorHAnsi" w:eastAsia="MS Mincho" w:hAnsiTheme="minorHAnsi" w:cstheme="minorHAnsi"/>
                <w:bCs/>
                <w:szCs w:val="24"/>
                <w:lang w:val="fr-CA"/>
              </w:rPr>
              <w:t>)</w:t>
            </w:r>
          </w:p>
        </w:tc>
        <w:tc>
          <w:tcPr>
            <w:tcW w:w="1128" w:type="dxa"/>
            <w:shd w:val="clear" w:color="auto" w:fill="FFFFFF"/>
          </w:tcPr>
          <w:p w14:paraId="2AE394F7" w14:textId="77777777" w:rsidR="00FC7F1B" w:rsidRDefault="00FC7F1B">
            <w:pPr>
              <w:contextualSpacing/>
              <w:jc w:val="both"/>
              <w:rPr>
                <w:rFonts w:asciiTheme="minorHAnsi" w:eastAsia="MS Mincho" w:hAnsiTheme="minorHAnsi" w:cstheme="minorHAnsi"/>
                <w:bCs/>
                <w:szCs w:val="24"/>
                <w:lang w:val="fr-CA"/>
              </w:rPr>
            </w:pPr>
          </w:p>
          <w:p w14:paraId="77D6920E" w14:textId="77777777" w:rsidR="00FC7F1B" w:rsidRDefault="00000000">
            <w:pPr>
              <w:contextualSpacing/>
              <w:jc w:val="both"/>
              <w:rPr>
                <w:rFonts w:asciiTheme="minorHAnsi" w:eastAsia="MS Mincho" w:hAnsiTheme="minorHAnsi" w:cstheme="minorHAnsi"/>
                <w:bCs/>
                <w:szCs w:val="24"/>
                <w:lang w:val="fr-CA"/>
              </w:rPr>
            </w:pPr>
            <w:r>
              <w:rPr>
                <w:rFonts w:asciiTheme="minorHAnsi" w:eastAsia="MS Mincho" w:hAnsiTheme="minorHAnsi" w:cstheme="minorHAnsi"/>
                <w:bCs/>
                <w:szCs w:val="24"/>
                <w:lang w:val="fr-CA"/>
              </w:rPr>
              <w:t>5</w:t>
            </w:r>
          </w:p>
        </w:tc>
        <w:tc>
          <w:tcPr>
            <w:tcW w:w="861" w:type="dxa"/>
            <w:vMerge/>
            <w:shd w:val="clear" w:color="auto" w:fill="FFFFFF"/>
          </w:tcPr>
          <w:p w14:paraId="7DAE2A7A" w14:textId="77777777" w:rsidR="00FC7F1B" w:rsidRDefault="00FC7F1B">
            <w:pPr>
              <w:contextualSpacing/>
              <w:jc w:val="both"/>
              <w:rPr>
                <w:rFonts w:asciiTheme="minorHAnsi" w:eastAsia="MS Mincho" w:hAnsiTheme="minorHAnsi" w:cstheme="minorHAnsi"/>
                <w:bCs/>
                <w:szCs w:val="24"/>
                <w:lang w:val="fr-CA"/>
              </w:rPr>
            </w:pPr>
          </w:p>
        </w:tc>
      </w:tr>
      <w:tr w:rsidR="00FC7F1B" w14:paraId="4E78C428" w14:textId="77777777">
        <w:tc>
          <w:tcPr>
            <w:tcW w:w="972" w:type="dxa"/>
            <w:vMerge/>
            <w:shd w:val="clear" w:color="auto" w:fill="FFFFFF"/>
          </w:tcPr>
          <w:p w14:paraId="343C796D" w14:textId="77777777" w:rsidR="00FC7F1B" w:rsidRDefault="00FC7F1B">
            <w:pPr>
              <w:contextualSpacing/>
              <w:jc w:val="both"/>
              <w:rPr>
                <w:rFonts w:asciiTheme="minorHAnsi" w:eastAsia="MS Mincho" w:hAnsiTheme="minorHAnsi" w:cstheme="minorHAnsi"/>
                <w:bCs/>
                <w:szCs w:val="24"/>
                <w:lang w:val="fr-CA"/>
              </w:rPr>
            </w:pPr>
          </w:p>
        </w:tc>
        <w:tc>
          <w:tcPr>
            <w:tcW w:w="2061" w:type="dxa"/>
            <w:vMerge/>
            <w:shd w:val="clear" w:color="auto" w:fill="FFFFFF"/>
          </w:tcPr>
          <w:p w14:paraId="0F0B1947" w14:textId="77777777" w:rsidR="00FC7F1B" w:rsidRDefault="00FC7F1B">
            <w:pPr>
              <w:contextualSpacing/>
              <w:jc w:val="both"/>
              <w:rPr>
                <w:rFonts w:asciiTheme="minorHAnsi" w:eastAsia="MS Mincho" w:hAnsiTheme="minorHAnsi" w:cstheme="minorHAnsi"/>
                <w:bCs/>
                <w:szCs w:val="24"/>
                <w:lang w:val="fr-CA"/>
              </w:rPr>
            </w:pPr>
          </w:p>
        </w:tc>
        <w:tc>
          <w:tcPr>
            <w:tcW w:w="4936" w:type="dxa"/>
            <w:shd w:val="clear" w:color="auto" w:fill="FFFFFF"/>
          </w:tcPr>
          <w:p w14:paraId="37D561A1" w14:textId="77777777" w:rsidR="00FC7F1B" w:rsidRDefault="00000000">
            <w:pPr>
              <w:contextualSpacing/>
              <w:jc w:val="both"/>
              <w:rPr>
                <w:rFonts w:asciiTheme="minorHAnsi" w:eastAsia="MS Mincho" w:hAnsiTheme="minorHAnsi" w:cstheme="minorHAnsi"/>
                <w:bCs/>
                <w:szCs w:val="24"/>
                <w:lang w:val="fr-CA"/>
              </w:rPr>
            </w:pPr>
            <w:r>
              <w:rPr>
                <w:rFonts w:asciiTheme="minorHAnsi" w:eastAsia="MS Mincho" w:hAnsiTheme="minorHAnsi" w:cstheme="minorHAnsi"/>
                <w:bCs/>
                <w:szCs w:val="24"/>
                <w:lang w:val="fr-CA"/>
              </w:rPr>
              <w:t>Rôles et responsabilités des membres de l’équipe d’évaluation (s</w:t>
            </w:r>
            <w:r>
              <w:rPr>
                <w:rFonts w:asciiTheme="minorHAnsi" w:eastAsia="MS Mincho" w:hAnsiTheme="minorHAnsi" w:cstheme="minorHAnsi"/>
                <w:bCs/>
                <w:i/>
                <w:szCs w:val="24"/>
                <w:lang w:val="fr-CA"/>
              </w:rPr>
              <w:t xml:space="preserve">elon la pertinence de la répartition des rôles et responsabilités </w:t>
            </w:r>
            <w:r>
              <w:rPr>
                <w:rFonts w:asciiTheme="minorHAnsi" w:eastAsia="MS Mincho" w:hAnsiTheme="minorHAnsi" w:cstheme="minorHAnsi"/>
                <w:bCs/>
                <w:i/>
                <w:szCs w:val="24"/>
                <w:lang w:val="fr-FR"/>
              </w:rPr>
              <w:t>du</w:t>
            </w:r>
            <w:r>
              <w:rPr>
                <w:rFonts w:asciiTheme="minorHAnsi" w:eastAsia="MS Mincho" w:hAnsiTheme="minorHAnsi" w:cstheme="minorHAnsi"/>
                <w:b/>
                <w:i/>
                <w:szCs w:val="24"/>
                <w:lang w:val="fr-CA"/>
              </w:rPr>
              <w:t xml:space="preserve"> consultant </w:t>
            </w:r>
            <w:r>
              <w:rPr>
                <w:rFonts w:asciiTheme="minorHAnsi" w:eastAsia="MS Mincho" w:hAnsiTheme="minorHAnsi" w:cstheme="minorHAnsi"/>
                <w:bCs/>
                <w:i/>
                <w:szCs w:val="24"/>
                <w:lang w:val="fr-CA"/>
              </w:rPr>
              <w:t>pour l’atteinte des résultats escomptés dans les délais requis</w:t>
            </w:r>
            <w:r>
              <w:rPr>
                <w:rFonts w:asciiTheme="minorHAnsi" w:eastAsia="MS Mincho" w:hAnsiTheme="minorHAnsi" w:cstheme="minorHAnsi"/>
                <w:bCs/>
                <w:szCs w:val="24"/>
                <w:lang w:val="fr-CA"/>
              </w:rPr>
              <w:t>)</w:t>
            </w:r>
          </w:p>
        </w:tc>
        <w:tc>
          <w:tcPr>
            <w:tcW w:w="1128" w:type="dxa"/>
            <w:shd w:val="clear" w:color="auto" w:fill="FFFFFF"/>
          </w:tcPr>
          <w:p w14:paraId="100F371B" w14:textId="77777777" w:rsidR="00FC7F1B" w:rsidRDefault="00000000">
            <w:pPr>
              <w:contextualSpacing/>
              <w:jc w:val="both"/>
              <w:rPr>
                <w:rFonts w:asciiTheme="minorHAnsi" w:eastAsia="MS Mincho" w:hAnsiTheme="minorHAnsi" w:cstheme="minorHAnsi"/>
                <w:bCs/>
                <w:szCs w:val="24"/>
                <w:lang w:val="fr-CA"/>
              </w:rPr>
            </w:pPr>
            <w:r>
              <w:rPr>
                <w:rFonts w:asciiTheme="minorHAnsi" w:eastAsia="MS Mincho" w:hAnsiTheme="minorHAnsi" w:cstheme="minorHAnsi"/>
                <w:bCs/>
                <w:szCs w:val="24"/>
                <w:lang w:val="fr-CA"/>
              </w:rPr>
              <w:t>5</w:t>
            </w:r>
          </w:p>
        </w:tc>
        <w:tc>
          <w:tcPr>
            <w:tcW w:w="861" w:type="dxa"/>
            <w:vMerge/>
            <w:shd w:val="clear" w:color="auto" w:fill="FFFFFF"/>
          </w:tcPr>
          <w:p w14:paraId="32C1C394" w14:textId="77777777" w:rsidR="00FC7F1B" w:rsidRDefault="00FC7F1B">
            <w:pPr>
              <w:contextualSpacing/>
              <w:jc w:val="both"/>
              <w:rPr>
                <w:rFonts w:asciiTheme="minorHAnsi" w:eastAsia="MS Mincho" w:hAnsiTheme="minorHAnsi" w:cstheme="minorHAnsi"/>
                <w:bCs/>
                <w:szCs w:val="24"/>
                <w:lang w:val="fr-CA"/>
              </w:rPr>
            </w:pPr>
          </w:p>
        </w:tc>
      </w:tr>
      <w:tr w:rsidR="00FC7F1B" w14:paraId="12FBA70D" w14:textId="77777777">
        <w:tc>
          <w:tcPr>
            <w:tcW w:w="972" w:type="dxa"/>
            <w:vMerge/>
            <w:shd w:val="clear" w:color="auto" w:fill="FFFFFF"/>
          </w:tcPr>
          <w:p w14:paraId="0A09FFA3" w14:textId="77777777" w:rsidR="00FC7F1B" w:rsidRDefault="00FC7F1B">
            <w:pPr>
              <w:contextualSpacing/>
              <w:jc w:val="both"/>
              <w:rPr>
                <w:rFonts w:asciiTheme="minorHAnsi" w:eastAsia="MS Mincho" w:hAnsiTheme="minorHAnsi" w:cstheme="minorHAnsi"/>
                <w:bCs/>
                <w:szCs w:val="24"/>
                <w:lang w:val="fr-CA"/>
              </w:rPr>
            </w:pPr>
          </w:p>
        </w:tc>
        <w:tc>
          <w:tcPr>
            <w:tcW w:w="2061" w:type="dxa"/>
            <w:vMerge/>
            <w:shd w:val="clear" w:color="auto" w:fill="FFFFFF"/>
          </w:tcPr>
          <w:p w14:paraId="3CA0C02B" w14:textId="77777777" w:rsidR="00FC7F1B" w:rsidRDefault="00FC7F1B">
            <w:pPr>
              <w:contextualSpacing/>
              <w:jc w:val="both"/>
              <w:rPr>
                <w:rFonts w:asciiTheme="minorHAnsi" w:eastAsia="MS Mincho" w:hAnsiTheme="minorHAnsi" w:cstheme="minorHAnsi"/>
                <w:bCs/>
                <w:szCs w:val="24"/>
                <w:lang w:val="fr-CA"/>
              </w:rPr>
            </w:pPr>
          </w:p>
        </w:tc>
        <w:tc>
          <w:tcPr>
            <w:tcW w:w="4936" w:type="dxa"/>
            <w:shd w:val="clear" w:color="auto" w:fill="FFFFFF"/>
          </w:tcPr>
          <w:p w14:paraId="7DF9150C" w14:textId="77777777" w:rsidR="00FC7F1B" w:rsidRDefault="00000000">
            <w:pPr>
              <w:contextualSpacing/>
              <w:jc w:val="both"/>
              <w:rPr>
                <w:rFonts w:asciiTheme="minorHAnsi" w:eastAsia="MS Mincho" w:hAnsiTheme="minorHAnsi" w:cstheme="minorHAnsi"/>
                <w:bCs/>
                <w:szCs w:val="24"/>
                <w:lang w:val="fr-CA"/>
              </w:rPr>
            </w:pPr>
            <w:r>
              <w:rPr>
                <w:rFonts w:asciiTheme="minorHAnsi" w:eastAsia="MS Mincho" w:hAnsiTheme="minorHAnsi" w:cstheme="minorHAnsi"/>
                <w:bCs/>
                <w:szCs w:val="24"/>
                <w:lang w:val="fr-CA"/>
              </w:rPr>
              <w:t xml:space="preserve">Conformité des exemplaires de rapports d’évaluation produits dans le passé par </w:t>
            </w:r>
            <w:r>
              <w:rPr>
                <w:rFonts w:asciiTheme="minorHAnsi" w:eastAsia="MS Mincho" w:hAnsiTheme="minorHAnsi" w:cstheme="minorHAnsi"/>
                <w:b/>
                <w:szCs w:val="24"/>
                <w:lang w:val="fr-CA"/>
              </w:rPr>
              <w:t>le consultant</w:t>
            </w:r>
            <w:r>
              <w:rPr>
                <w:rFonts w:asciiTheme="minorHAnsi" w:eastAsia="MS Mincho" w:hAnsiTheme="minorHAnsi" w:cstheme="minorHAnsi"/>
                <w:bCs/>
                <w:szCs w:val="24"/>
                <w:lang w:val="fr-CA"/>
              </w:rPr>
              <w:t xml:space="preserve"> et répondant aux normes et standards de l’évaluation. </w:t>
            </w:r>
          </w:p>
        </w:tc>
        <w:tc>
          <w:tcPr>
            <w:tcW w:w="1128" w:type="dxa"/>
            <w:shd w:val="clear" w:color="auto" w:fill="FFFFFF"/>
          </w:tcPr>
          <w:p w14:paraId="57A96EFC" w14:textId="77777777" w:rsidR="00FC7F1B" w:rsidRDefault="00FC7F1B">
            <w:pPr>
              <w:contextualSpacing/>
              <w:jc w:val="both"/>
              <w:rPr>
                <w:rFonts w:asciiTheme="minorHAnsi" w:eastAsia="MS Mincho" w:hAnsiTheme="minorHAnsi" w:cstheme="minorHAnsi"/>
                <w:bCs/>
                <w:szCs w:val="24"/>
                <w:lang w:val="fr-CA"/>
              </w:rPr>
            </w:pPr>
          </w:p>
          <w:p w14:paraId="1A139CAE" w14:textId="77777777" w:rsidR="00FC7F1B" w:rsidRDefault="00000000">
            <w:pPr>
              <w:contextualSpacing/>
              <w:jc w:val="both"/>
              <w:rPr>
                <w:rFonts w:asciiTheme="minorHAnsi" w:eastAsia="MS Mincho" w:hAnsiTheme="minorHAnsi" w:cstheme="minorHAnsi"/>
                <w:bCs/>
                <w:szCs w:val="24"/>
                <w:lang w:val="fr-CA"/>
              </w:rPr>
            </w:pPr>
            <w:r>
              <w:rPr>
                <w:rFonts w:asciiTheme="minorHAnsi" w:eastAsia="MS Mincho" w:hAnsiTheme="minorHAnsi" w:cstheme="minorHAnsi"/>
                <w:bCs/>
                <w:szCs w:val="24"/>
                <w:lang w:val="fr-CA"/>
              </w:rPr>
              <w:t>5</w:t>
            </w:r>
          </w:p>
        </w:tc>
        <w:tc>
          <w:tcPr>
            <w:tcW w:w="861" w:type="dxa"/>
            <w:vMerge/>
            <w:shd w:val="clear" w:color="auto" w:fill="FFFFFF"/>
          </w:tcPr>
          <w:p w14:paraId="7D6E7E99" w14:textId="77777777" w:rsidR="00FC7F1B" w:rsidRDefault="00FC7F1B">
            <w:pPr>
              <w:contextualSpacing/>
              <w:jc w:val="both"/>
              <w:rPr>
                <w:rFonts w:asciiTheme="minorHAnsi" w:eastAsia="MS Mincho" w:hAnsiTheme="minorHAnsi" w:cstheme="minorHAnsi"/>
                <w:bCs/>
                <w:szCs w:val="24"/>
                <w:lang w:val="fr-CA"/>
              </w:rPr>
            </w:pPr>
          </w:p>
        </w:tc>
      </w:tr>
      <w:tr w:rsidR="00FC7F1B" w14:paraId="7182194A" w14:textId="77777777">
        <w:tc>
          <w:tcPr>
            <w:tcW w:w="972" w:type="dxa"/>
            <w:vMerge w:val="restart"/>
            <w:shd w:val="clear" w:color="auto" w:fill="FFFFFF"/>
          </w:tcPr>
          <w:p w14:paraId="5B444DC0" w14:textId="77777777" w:rsidR="00FC7F1B" w:rsidRDefault="00000000">
            <w:pPr>
              <w:contextualSpacing/>
              <w:jc w:val="both"/>
              <w:rPr>
                <w:rFonts w:asciiTheme="minorHAnsi" w:eastAsia="MS Mincho" w:hAnsiTheme="minorHAnsi" w:cstheme="minorHAnsi"/>
                <w:bCs/>
                <w:szCs w:val="24"/>
                <w:lang w:val="fr-CA"/>
              </w:rPr>
            </w:pPr>
            <w:r>
              <w:rPr>
                <w:rFonts w:asciiTheme="minorHAnsi" w:eastAsia="MS Mincho" w:hAnsiTheme="minorHAnsi" w:cstheme="minorHAnsi"/>
                <w:bCs/>
                <w:szCs w:val="24"/>
                <w:lang w:val="fr-CA"/>
              </w:rPr>
              <w:t>4</w:t>
            </w:r>
          </w:p>
        </w:tc>
        <w:tc>
          <w:tcPr>
            <w:tcW w:w="2061" w:type="dxa"/>
            <w:vMerge w:val="restart"/>
            <w:shd w:val="clear" w:color="auto" w:fill="FFFFFF"/>
          </w:tcPr>
          <w:p w14:paraId="6667A925" w14:textId="77777777" w:rsidR="00FC7F1B" w:rsidRDefault="00000000">
            <w:pPr>
              <w:contextualSpacing/>
              <w:jc w:val="both"/>
              <w:rPr>
                <w:rFonts w:asciiTheme="minorHAnsi" w:eastAsia="MS Mincho" w:hAnsiTheme="minorHAnsi" w:cstheme="minorHAnsi"/>
                <w:bCs/>
                <w:szCs w:val="24"/>
                <w:lang w:val="fr-FR"/>
              </w:rPr>
            </w:pPr>
            <w:r>
              <w:rPr>
                <w:rFonts w:asciiTheme="minorHAnsi" w:eastAsia="MS Mincho" w:hAnsiTheme="minorHAnsi" w:cstheme="minorHAnsi"/>
                <w:bCs/>
                <w:szCs w:val="24"/>
                <w:lang w:val="fr-CA"/>
              </w:rPr>
              <w:t>Expertise et Expérience du</w:t>
            </w:r>
            <w:r>
              <w:rPr>
                <w:rFonts w:asciiTheme="minorHAnsi" w:eastAsia="MS Mincho" w:hAnsiTheme="minorHAnsi" w:cstheme="minorHAnsi"/>
                <w:bCs/>
                <w:szCs w:val="24"/>
                <w:lang w:val="fr-FR"/>
              </w:rPr>
              <w:t xml:space="preserve"> consultant</w:t>
            </w:r>
          </w:p>
        </w:tc>
        <w:tc>
          <w:tcPr>
            <w:tcW w:w="4936" w:type="dxa"/>
            <w:shd w:val="clear" w:color="auto" w:fill="FFFFFF"/>
          </w:tcPr>
          <w:p w14:paraId="31D0EDF3" w14:textId="77777777" w:rsidR="00FC7F1B" w:rsidRDefault="00000000">
            <w:pPr>
              <w:contextualSpacing/>
              <w:jc w:val="both"/>
              <w:rPr>
                <w:rFonts w:asciiTheme="minorHAnsi" w:eastAsia="MS Mincho" w:hAnsiTheme="minorHAnsi" w:cstheme="minorHAnsi"/>
                <w:bCs/>
                <w:i/>
                <w:szCs w:val="24"/>
                <w:lang w:val="fr-CA"/>
              </w:rPr>
            </w:pPr>
            <w:r>
              <w:rPr>
                <w:rFonts w:asciiTheme="minorHAnsi" w:eastAsia="MS Mincho" w:hAnsiTheme="minorHAnsi" w:cstheme="minorHAnsi"/>
                <w:bCs/>
                <w:szCs w:val="24"/>
                <w:lang w:val="fr-CA"/>
              </w:rPr>
              <w:t>Expertise du</w:t>
            </w:r>
            <w:r>
              <w:rPr>
                <w:rFonts w:asciiTheme="minorHAnsi" w:eastAsia="MS Mincho" w:hAnsiTheme="minorHAnsi" w:cstheme="minorHAnsi"/>
                <w:bCs/>
                <w:szCs w:val="24"/>
                <w:lang w:val="fr-FR"/>
              </w:rPr>
              <w:t xml:space="preserve"> consultant</w:t>
            </w:r>
            <w:r>
              <w:rPr>
                <w:rFonts w:asciiTheme="minorHAnsi" w:eastAsia="MS Mincho" w:hAnsiTheme="minorHAnsi" w:cstheme="minorHAnsi"/>
                <w:bCs/>
                <w:szCs w:val="24"/>
                <w:lang w:val="fr-CA"/>
              </w:rPr>
              <w:t xml:space="preserve"> </w:t>
            </w:r>
            <w:r>
              <w:rPr>
                <w:rFonts w:asciiTheme="minorHAnsi" w:eastAsia="MS Mincho" w:hAnsiTheme="minorHAnsi" w:cstheme="minorHAnsi"/>
                <w:bCs/>
                <w:i/>
                <w:szCs w:val="24"/>
                <w:lang w:val="fr-CA"/>
              </w:rPr>
              <w:t>(selon l’expertise en évaluation en général et en évaluation basée sur l’</w:t>
            </w:r>
            <w:r>
              <w:rPr>
                <w:rFonts w:asciiTheme="minorHAnsi" w:hAnsiTheme="minorHAnsi" w:cstheme="minorHAnsi"/>
                <w:lang w:val="fr-FR"/>
              </w:rPr>
              <w:t>équité</w:t>
            </w:r>
            <w:r>
              <w:rPr>
                <w:rFonts w:asciiTheme="minorHAnsi" w:eastAsia="MS Mincho" w:hAnsiTheme="minorHAnsi" w:cstheme="minorHAnsi"/>
                <w:bCs/>
                <w:i/>
                <w:szCs w:val="24"/>
                <w:lang w:val="fr-CA"/>
              </w:rPr>
              <w:t>, les droits humains</w:t>
            </w:r>
            <w:r>
              <w:rPr>
                <w:rFonts w:asciiTheme="minorHAnsi" w:eastAsia="MS Mincho" w:hAnsiTheme="minorHAnsi" w:cstheme="minorHAnsi"/>
                <w:bCs/>
                <w:i/>
                <w:szCs w:val="24"/>
                <w:lang w:val="fr-FR"/>
              </w:rPr>
              <w:t>, l’inclusion</w:t>
            </w:r>
            <w:r>
              <w:rPr>
                <w:rFonts w:asciiTheme="minorHAnsi" w:eastAsia="MS Mincho" w:hAnsiTheme="minorHAnsi" w:cstheme="minorHAnsi"/>
                <w:bCs/>
                <w:i/>
                <w:szCs w:val="24"/>
                <w:lang w:val="fr-CA"/>
              </w:rPr>
              <w:t xml:space="preserve"> </w:t>
            </w:r>
            <w:r>
              <w:rPr>
                <w:rFonts w:asciiTheme="minorHAnsi" w:eastAsia="MS Mincho" w:hAnsiTheme="minorHAnsi" w:cstheme="minorHAnsi"/>
                <w:bCs/>
                <w:i/>
                <w:szCs w:val="24"/>
                <w:lang w:val="fr-FR"/>
              </w:rPr>
              <w:t xml:space="preserve">sociale </w:t>
            </w:r>
            <w:r>
              <w:rPr>
                <w:rFonts w:asciiTheme="minorHAnsi" w:eastAsia="MS Mincho" w:hAnsiTheme="minorHAnsi" w:cstheme="minorHAnsi"/>
                <w:bCs/>
                <w:i/>
                <w:szCs w:val="24"/>
                <w:lang w:val="fr-CA"/>
              </w:rPr>
              <w:t xml:space="preserve">et le genre) </w:t>
            </w:r>
          </w:p>
        </w:tc>
        <w:tc>
          <w:tcPr>
            <w:tcW w:w="1128" w:type="dxa"/>
            <w:shd w:val="clear" w:color="auto" w:fill="FFFFFF"/>
          </w:tcPr>
          <w:p w14:paraId="37454045" w14:textId="77777777" w:rsidR="00FC7F1B" w:rsidRDefault="00FC7F1B">
            <w:pPr>
              <w:contextualSpacing/>
              <w:jc w:val="both"/>
              <w:rPr>
                <w:rFonts w:asciiTheme="minorHAnsi" w:eastAsia="MS Mincho" w:hAnsiTheme="minorHAnsi" w:cstheme="minorHAnsi"/>
                <w:bCs/>
                <w:szCs w:val="24"/>
                <w:lang w:val="fr-CA"/>
              </w:rPr>
            </w:pPr>
          </w:p>
          <w:p w14:paraId="76BF6B5C" w14:textId="77777777" w:rsidR="00FC7F1B" w:rsidRDefault="00000000">
            <w:pPr>
              <w:contextualSpacing/>
              <w:jc w:val="both"/>
              <w:rPr>
                <w:rFonts w:asciiTheme="minorHAnsi" w:eastAsia="MS Mincho" w:hAnsiTheme="minorHAnsi" w:cstheme="minorHAnsi"/>
                <w:bCs/>
                <w:szCs w:val="24"/>
                <w:lang w:val="fr-CA"/>
              </w:rPr>
            </w:pPr>
            <w:r>
              <w:rPr>
                <w:rFonts w:asciiTheme="minorHAnsi" w:eastAsia="MS Mincho" w:hAnsiTheme="minorHAnsi" w:cstheme="minorHAnsi"/>
                <w:bCs/>
                <w:szCs w:val="24"/>
                <w:lang w:val="fr-CA"/>
              </w:rPr>
              <w:t>5</w:t>
            </w:r>
          </w:p>
        </w:tc>
        <w:tc>
          <w:tcPr>
            <w:tcW w:w="861" w:type="dxa"/>
            <w:vMerge w:val="restart"/>
            <w:shd w:val="clear" w:color="auto" w:fill="FFFFFF"/>
          </w:tcPr>
          <w:p w14:paraId="28868F86" w14:textId="77777777" w:rsidR="00FC7F1B" w:rsidRDefault="00FC7F1B">
            <w:pPr>
              <w:contextualSpacing/>
              <w:jc w:val="both"/>
              <w:rPr>
                <w:rFonts w:asciiTheme="minorHAnsi" w:eastAsia="MS Mincho" w:hAnsiTheme="minorHAnsi" w:cstheme="minorHAnsi"/>
                <w:bCs/>
                <w:szCs w:val="24"/>
                <w:lang w:val="fr-CA"/>
              </w:rPr>
            </w:pPr>
          </w:p>
          <w:p w14:paraId="4D3CDF1F" w14:textId="77777777" w:rsidR="00FC7F1B" w:rsidRDefault="00FC7F1B">
            <w:pPr>
              <w:contextualSpacing/>
              <w:jc w:val="both"/>
              <w:rPr>
                <w:rFonts w:asciiTheme="minorHAnsi" w:eastAsia="MS Mincho" w:hAnsiTheme="minorHAnsi" w:cstheme="minorHAnsi"/>
                <w:bCs/>
                <w:szCs w:val="24"/>
                <w:lang w:val="fr-CA"/>
              </w:rPr>
            </w:pPr>
          </w:p>
          <w:p w14:paraId="33488121" w14:textId="77777777" w:rsidR="00FC7F1B" w:rsidRDefault="00FC7F1B">
            <w:pPr>
              <w:contextualSpacing/>
              <w:jc w:val="both"/>
              <w:rPr>
                <w:rFonts w:asciiTheme="minorHAnsi" w:eastAsia="MS Mincho" w:hAnsiTheme="minorHAnsi" w:cstheme="minorHAnsi"/>
                <w:bCs/>
                <w:szCs w:val="24"/>
                <w:lang w:val="fr-CA"/>
              </w:rPr>
            </w:pPr>
          </w:p>
          <w:p w14:paraId="7F8E92CB" w14:textId="77777777" w:rsidR="00FC7F1B" w:rsidRDefault="00FC7F1B">
            <w:pPr>
              <w:contextualSpacing/>
              <w:jc w:val="both"/>
              <w:rPr>
                <w:rFonts w:asciiTheme="minorHAnsi" w:eastAsia="MS Mincho" w:hAnsiTheme="minorHAnsi" w:cstheme="minorHAnsi"/>
                <w:bCs/>
                <w:szCs w:val="24"/>
                <w:lang w:val="fr-CA"/>
              </w:rPr>
            </w:pPr>
          </w:p>
          <w:p w14:paraId="1BA284B6" w14:textId="77777777" w:rsidR="00FC7F1B" w:rsidRDefault="00FC7F1B">
            <w:pPr>
              <w:contextualSpacing/>
              <w:jc w:val="both"/>
              <w:rPr>
                <w:rFonts w:asciiTheme="minorHAnsi" w:eastAsia="MS Mincho" w:hAnsiTheme="minorHAnsi" w:cstheme="minorHAnsi"/>
                <w:bCs/>
                <w:szCs w:val="24"/>
                <w:lang w:val="fr-CA"/>
              </w:rPr>
            </w:pPr>
          </w:p>
          <w:p w14:paraId="44CA0379" w14:textId="77777777" w:rsidR="00FC7F1B" w:rsidRDefault="00FC7F1B">
            <w:pPr>
              <w:contextualSpacing/>
              <w:jc w:val="both"/>
              <w:rPr>
                <w:rFonts w:asciiTheme="minorHAnsi" w:eastAsia="MS Mincho" w:hAnsiTheme="minorHAnsi" w:cstheme="minorHAnsi"/>
                <w:bCs/>
                <w:szCs w:val="24"/>
                <w:lang w:val="fr-CA"/>
              </w:rPr>
            </w:pPr>
          </w:p>
          <w:p w14:paraId="14F40C21" w14:textId="77777777" w:rsidR="00FC7F1B" w:rsidRDefault="00000000">
            <w:pPr>
              <w:contextualSpacing/>
              <w:jc w:val="both"/>
              <w:rPr>
                <w:rFonts w:asciiTheme="minorHAnsi" w:eastAsia="MS Mincho" w:hAnsiTheme="minorHAnsi" w:cstheme="minorHAnsi"/>
                <w:bCs/>
                <w:szCs w:val="24"/>
                <w:lang w:val="fr-CA"/>
              </w:rPr>
            </w:pPr>
            <w:r>
              <w:rPr>
                <w:rFonts w:asciiTheme="minorHAnsi" w:eastAsia="MS Mincho" w:hAnsiTheme="minorHAnsi" w:cstheme="minorHAnsi"/>
                <w:bCs/>
                <w:szCs w:val="24"/>
              </w:rPr>
              <w:t>20</w:t>
            </w:r>
          </w:p>
        </w:tc>
      </w:tr>
      <w:tr w:rsidR="00FC7F1B" w14:paraId="18E3D53F" w14:textId="77777777">
        <w:tc>
          <w:tcPr>
            <w:tcW w:w="972" w:type="dxa"/>
            <w:vMerge/>
            <w:shd w:val="clear" w:color="auto" w:fill="FFFFFF"/>
          </w:tcPr>
          <w:p w14:paraId="27111AC7" w14:textId="77777777" w:rsidR="00FC7F1B" w:rsidRDefault="00FC7F1B">
            <w:pPr>
              <w:spacing w:after="200"/>
              <w:contextualSpacing/>
              <w:jc w:val="both"/>
              <w:rPr>
                <w:rFonts w:asciiTheme="minorHAnsi" w:eastAsia="MS Mincho" w:hAnsiTheme="minorHAnsi" w:cstheme="minorHAnsi"/>
                <w:bCs/>
                <w:szCs w:val="24"/>
                <w:lang w:val="fr-CA"/>
              </w:rPr>
            </w:pPr>
          </w:p>
        </w:tc>
        <w:tc>
          <w:tcPr>
            <w:tcW w:w="2061" w:type="dxa"/>
            <w:vMerge/>
            <w:shd w:val="clear" w:color="auto" w:fill="FFFFFF"/>
          </w:tcPr>
          <w:p w14:paraId="563D178A" w14:textId="77777777" w:rsidR="00FC7F1B" w:rsidRDefault="00FC7F1B">
            <w:pPr>
              <w:contextualSpacing/>
              <w:jc w:val="both"/>
              <w:rPr>
                <w:rFonts w:asciiTheme="minorHAnsi" w:eastAsia="MS Mincho" w:hAnsiTheme="minorHAnsi" w:cstheme="minorHAnsi"/>
                <w:bCs/>
                <w:szCs w:val="24"/>
                <w:lang w:val="fr-CA"/>
              </w:rPr>
            </w:pPr>
          </w:p>
        </w:tc>
        <w:tc>
          <w:tcPr>
            <w:tcW w:w="4936" w:type="dxa"/>
            <w:shd w:val="clear" w:color="auto" w:fill="FFFFFF"/>
          </w:tcPr>
          <w:p w14:paraId="00BCDB69" w14:textId="77777777" w:rsidR="00FC7F1B" w:rsidRDefault="00000000">
            <w:pPr>
              <w:contextualSpacing/>
              <w:jc w:val="both"/>
              <w:rPr>
                <w:rFonts w:asciiTheme="minorHAnsi" w:eastAsia="MS Mincho" w:hAnsiTheme="minorHAnsi" w:cstheme="minorHAnsi"/>
                <w:bCs/>
                <w:szCs w:val="24"/>
                <w:lang w:val="fr-CA"/>
              </w:rPr>
            </w:pPr>
            <w:r>
              <w:rPr>
                <w:rFonts w:asciiTheme="minorHAnsi" w:eastAsia="MS Mincho" w:hAnsiTheme="minorHAnsi" w:cstheme="minorHAnsi"/>
                <w:bCs/>
                <w:szCs w:val="24"/>
                <w:lang w:val="fr-CA"/>
              </w:rPr>
              <w:t xml:space="preserve">Expérience du </w:t>
            </w:r>
            <w:r>
              <w:rPr>
                <w:rFonts w:asciiTheme="minorHAnsi" w:eastAsia="MS Mincho" w:hAnsiTheme="minorHAnsi" w:cstheme="minorHAnsi"/>
                <w:b/>
                <w:szCs w:val="24"/>
                <w:lang w:val="fr-CA"/>
              </w:rPr>
              <w:t>consultant</w:t>
            </w:r>
            <w:r>
              <w:rPr>
                <w:rFonts w:asciiTheme="minorHAnsi" w:eastAsia="MS Mincho" w:hAnsiTheme="minorHAnsi" w:cstheme="minorHAnsi"/>
                <w:b/>
                <w:szCs w:val="24"/>
                <w:lang w:val="fr-FR"/>
              </w:rPr>
              <w:t xml:space="preserve"> </w:t>
            </w:r>
            <w:r>
              <w:rPr>
                <w:rFonts w:asciiTheme="minorHAnsi" w:eastAsia="MS Mincho" w:hAnsiTheme="minorHAnsi" w:cstheme="minorHAnsi"/>
                <w:bCs/>
                <w:szCs w:val="24"/>
                <w:lang w:val="fr-CA"/>
              </w:rPr>
              <w:t>(</w:t>
            </w:r>
            <w:r>
              <w:rPr>
                <w:rFonts w:asciiTheme="minorHAnsi" w:eastAsia="MS Mincho" w:hAnsiTheme="minorHAnsi" w:cstheme="minorHAnsi"/>
                <w:bCs/>
                <w:i/>
                <w:szCs w:val="24"/>
                <w:lang w:val="fr-CA"/>
              </w:rPr>
              <w:t xml:space="preserve">selon la qualité du rapport soumis dans le cadre de la proposition, cela aidera à estimer l’expérience dans le domaine de l’évaluation en général et dans le domaine thématique ciblé en particulier et en tant que chef </w:t>
            </w:r>
            <w:r>
              <w:rPr>
                <w:rFonts w:asciiTheme="minorHAnsi" w:eastAsia="MS Mincho" w:hAnsiTheme="minorHAnsi" w:cstheme="minorHAnsi"/>
                <w:bCs/>
                <w:i/>
                <w:szCs w:val="24"/>
                <w:lang w:val="fr-FR"/>
              </w:rPr>
              <w:t>de</w:t>
            </w:r>
            <w:r>
              <w:rPr>
                <w:rFonts w:asciiTheme="minorHAnsi" w:eastAsia="MS Mincho" w:hAnsiTheme="minorHAnsi" w:cstheme="minorHAnsi"/>
                <w:bCs/>
                <w:i/>
                <w:szCs w:val="24"/>
                <w:lang w:val="fr-CA"/>
              </w:rPr>
              <w:t xml:space="preserve"> </w:t>
            </w:r>
            <w:r>
              <w:rPr>
                <w:rFonts w:asciiTheme="minorHAnsi" w:eastAsia="MS Mincho" w:hAnsiTheme="minorHAnsi" w:cstheme="minorHAnsi"/>
                <w:bCs/>
                <w:i/>
                <w:szCs w:val="24"/>
                <w:lang w:val="fr-FR"/>
              </w:rPr>
              <w:t>l</w:t>
            </w:r>
            <w:r>
              <w:rPr>
                <w:rFonts w:asciiTheme="minorHAnsi" w:eastAsia="MS Mincho" w:hAnsiTheme="minorHAnsi" w:cstheme="minorHAnsi"/>
                <w:bCs/>
                <w:i/>
                <w:szCs w:val="24"/>
                <w:lang w:val="fr-CA"/>
              </w:rPr>
              <w:t>’évaluation)</w:t>
            </w:r>
          </w:p>
        </w:tc>
        <w:tc>
          <w:tcPr>
            <w:tcW w:w="1128" w:type="dxa"/>
            <w:shd w:val="clear" w:color="auto" w:fill="FFFFFF"/>
          </w:tcPr>
          <w:p w14:paraId="6839E930" w14:textId="77777777" w:rsidR="00FC7F1B" w:rsidRDefault="00FC7F1B">
            <w:pPr>
              <w:contextualSpacing/>
              <w:jc w:val="both"/>
              <w:rPr>
                <w:rFonts w:asciiTheme="minorHAnsi" w:eastAsia="MS Mincho" w:hAnsiTheme="minorHAnsi" w:cstheme="minorHAnsi"/>
                <w:bCs/>
                <w:szCs w:val="24"/>
                <w:lang w:val="fr-CA"/>
              </w:rPr>
            </w:pPr>
          </w:p>
          <w:p w14:paraId="10B3D06D" w14:textId="77777777" w:rsidR="00FC7F1B" w:rsidRDefault="00FC7F1B">
            <w:pPr>
              <w:contextualSpacing/>
              <w:jc w:val="both"/>
              <w:rPr>
                <w:rFonts w:asciiTheme="minorHAnsi" w:eastAsia="MS Mincho" w:hAnsiTheme="minorHAnsi" w:cstheme="minorHAnsi"/>
                <w:bCs/>
                <w:szCs w:val="24"/>
                <w:lang w:val="fr-CA"/>
              </w:rPr>
            </w:pPr>
          </w:p>
          <w:p w14:paraId="5D4F9972" w14:textId="77777777" w:rsidR="00FC7F1B" w:rsidRDefault="00000000">
            <w:pPr>
              <w:contextualSpacing/>
              <w:jc w:val="both"/>
              <w:rPr>
                <w:rFonts w:asciiTheme="minorHAnsi" w:eastAsia="MS Mincho" w:hAnsiTheme="minorHAnsi" w:cstheme="minorHAnsi"/>
                <w:bCs/>
                <w:szCs w:val="24"/>
                <w:lang w:val="fr-CA"/>
              </w:rPr>
            </w:pPr>
            <w:r>
              <w:rPr>
                <w:rFonts w:asciiTheme="minorHAnsi" w:eastAsia="MS Mincho" w:hAnsiTheme="minorHAnsi" w:cstheme="minorHAnsi"/>
                <w:bCs/>
                <w:szCs w:val="24"/>
              </w:rPr>
              <w:t>10</w:t>
            </w:r>
          </w:p>
        </w:tc>
        <w:tc>
          <w:tcPr>
            <w:tcW w:w="861" w:type="dxa"/>
            <w:vMerge/>
            <w:shd w:val="clear" w:color="auto" w:fill="FFFFFF"/>
          </w:tcPr>
          <w:p w14:paraId="51BE9EED" w14:textId="77777777" w:rsidR="00FC7F1B" w:rsidRDefault="00FC7F1B">
            <w:pPr>
              <w:spacing w:after="200"/>
              <w:contextualSpacing/>
              <w:jc w:val="both"/>
              <w:rPr>
                <w:rFonts w:asciiTheme="minorHAnsi" w:eastAsia="MS Mincho" w:hAnsiTheme="minorHAnsi" w:cstheme="minorHAnsi"/>
                <w:bCs/>
                <w:szCs w:val="24"/>
                <w:lang w:val="fr-CA"/>
              </w:rPr>
            </w:pPr>
          </w:p>
        </w:tc>
      </w:tr>
      <w:tr w:rsidR="00FC7F1B" w14:paraId="2DC82D1D" w14:textId="77777777">
        <w:tc>
          <w:tcPr>
            <w:tcW w:w="972" w:type="dxa"/>
            <w:vMerge/>
            <w:shd w:val="clear" w:color="auto" w:fill="FFFFFF"/>
          </w:tcPr>
          <w:p w14:paraId="7778A1FB" w14:textId="77777777" w:rsidR="00FC7F1B" w:rsidRDefault="00FC7F1B">
            <w:pPr>
              <w:spacing w:after="200"/>
              <w:contextualSpacing/>
              <w:jc w:val="both"/>
              <w:rPr>
                <w:rFonts w:asciiTheme="minorHAnsi" w:eastAsia="MS Mincho" w:hAnsiTheme="minorHAnsi" w:cstheme="minorHAnsi"/>
                <w:bCs/>
                <w:szCs w:val="24"/>
                <w:lang w:val="fr-CA"/>
              </w:rPr>
            </w:pPr>
          </w:p>
        </w:tc>
        <w:tc>
          <w:tcPr>
            <w:tcW w:w="2061" w:type="dxa"/>
            <w:vMerge/>
            <w:shd w:val="clear" w:color="auto" w:fill="FFFFFF"/>
          </w:tcPr>
          <w:p w14:paraId="69EB210D" w14:textId="77777777" w:rsidR="00FC7F1B" w:rsidRDefault="00FC7F1B">
            <w:pPr>
              <w:contextualSpacing/>
              <w:jc w:val="both"/>
              <w:rPr>
                <w:rFonts w:asciiTheme="minorHAnsi" w:eastAsia="MS Mincho" w:hAnsiTheme="minorHAnsi" w:cstheme="minorHAnsi"/>
                <w:bCs/>
                <w:szCs w:val="24"/>
                <w:lang w:val="fr-CA"/>
              </w:rPr>
            </w:pPr>
          </w:p>
        </w:tc>
        <w:tc>
          <w:tcPr>
            <w:tcW w:w="4936" w:type="dxa"/>
            <w:shd w:val="clear" w:color="auto" w:fill="FFFFFF"/>
          </w:tcPr>
          <w:p w14:paraId="7C5FEE20" w14:textId="77777777" w:rsidR="00FC7F1B" w:rsidRDefault="00000000">
            <w:pPr>
              <w:contextualSpacing/>
              <w:jc w:val="both"/>
              <w:rPr>
                <w:rFonts w:asciiTheme="minorHAnsi" w:eastAsia="MS Mincho" w:hAnsiTheme="minorHAnsi" w:cstheme="minorHAnsi"/>
                <w:bCs/>
                <w:szCs w:val="24"/>
                <w:lang w:val="fr-CA"/>
              </w:rPr>
            </w:pPr>
            <w:r>
              <w:rPr>
                <w:rFonts w:asciiTheme="minorHAnsi" w:eastAsia="MS Mincho" w:hAnsiTheme="minorHAnsi" w:cstheme="minorHAnsi"/>
                <w:bCs/>
                <w:szCs w:val="24"/>
                <w:lang w:val="fr-CA"/>
              </w:rPr>
              <w:t xml:space="preserve">Expertise </w:t>
            </w:r>
            <w:r>
              <w:rPr>
                <w:rFonts w:asciiTheme="minorHAnsi" w:eastAsia="MS Mincho" w:hAnsiTheme="minorHAnsi" w:cstheme="minorHAnsi"/>
                <w:bCs/>
                <w:i/>
                <w:szCs w:val="24"/>
                <w:lang w:val="fr-CA"/>
              </w:rPr>
              <w:t>dans le domaine thématique ciblé, la connaissance du contexte et la maîtrise des méthodes d’évaluation et de recherche</w:t>
            </w:r>
          </w:p>
        </w:tc>
        <w:tc>
          <w:tcPr>
            <w:tcW w:w="1128" w:type="dxa"/>
            <w:shd w:val="clear" w:color="auto" w:fill="FFFFFF"/>
          </w:tcPr>
          <w:p w14:paraId="073F2BE1" w14:textId="77777777" w:rsidR="00FC7F1B" w:rsidRDefault="00FC7F1B">
            <w:pPr>
              <w:contextualSpacing/>
              <w:jc w:val="both"/>
              <w:rPr>
                <w:rFonts w:asciiTheme="minorHAnsi" w:eastAsia="MS Mincho" w:hAnsiTheme="minorHAnsi" w:cstheme="minorHAnsi"/>
                <w:bCs/>
                <w:szCs w:val="24"/>
                <w:lang w:val="fr-CA"/>
              </w:rPr>
            </w:pPr>
          </w:p>
          <w:p w14:paraId="1D82F9BB" w14:textId="77777777" w:rsidR="00FC7F1B" w:rsidRDefault="00000000">
            <w:pPr>
              <w:contextualSpacing/>
              <w:jc w:val="both"/>
              <w:rPr>
                <w:rFonts w:asciiTheme="minorHAnsi" w:eastAsia="MS Mincho" w:hAnsiTheme="minorHAnsi" w:cstheme="minorHAnsi"/>
                <w:bCs/>
                <w:szCs w:val="24"/>
                <w:lang w:val="fr-CA"/>
              </w:rPr>
            </w:pPr>
            <w:r>
              <w:rPr>
                <w:rFonts w:asciiTheme="minorHAnsi" w:eastAsia="MS Mincho" w:hAnsiTheme="minorHAnsi" w:cstheme="minorHAnsi"/>
                <w:bCs/>
                <w:szCs w:val="24"/>
                <w:lang w:val="fr-CA"/>
              </w:rPr>
              <w:t>5</w:t>
            </w:r>
          </w:p>
        </w:tc>
        <w:tc>
          <w:tcPr>
            <w:tcW w:w="861" w:type="dxa"/>
            <w:vMerge/>
            <w:shd w:val="clear" w:color="auto" w:fill="FFFFFF"/>
          </w:tcPr>
          <w:p w14:paraId="44B34E1B" w14:textId="77777777" w:rsidR="00FC7F1B" w:rsidRDefault="00FC7F1B">
            <w:pPr>
              <w:spacing w:after="200"/>
              <w:contextualSpacing/>
              <w:jc w:val="both"/>
              <w:rPr>
                <w:rFonts w:asciiTheme="minorHAnsi" w:eastAsia="MS Mincho" w:hAnsiTheme="minorHAnsi" w:cstheme="minorHAnsi"/>
                <w:bCs/>
                <w:szCs w:val="24"/>
                <w:lang w:val="fr-CA"/>
              </w:rPr>
            </w:pPr>
          </w:p>
        </w:tc>
      </w:tr>
      <w:tr w:rsidR="00FC7F1B" w14:paraId="1BAD4E95" w14:textId="77777777">
        <w:tc>
          <w:tcPr>
            <w:tcW w:w="9097" w:type="dxa"/>
            <w:gridSpan w:val="4"/>
            <w:shd w:val="clear" w:color="auto" w:fill="FFFFFF"/>
          </w:tcPr>
          <w:p w14:paraId="73777A10" w14:textId="77777777" w:rsidR="00FC7F1B" w:rsidRDefault="00000000">
            <w:pPr>
              <w:contextualSpacing/>
              <w:jc w:val="both"/>
              <w:rPr>
                <w:rFonts w:asciiTheme="minorHAnsi" w:eastAsia="MS Mincho" w:hAnsiTheme="minorHAnsi" w:cstheme="minorHAnsi"/>
                <w:b/>
                <w:bCs/>
                <w:szCs w:val="24"/>
                <w:lang w:val="fr-CA"/>
              </w:rPr>
            </w:pPr>
            <w:r>
              <w:rPr>
                <w:rFonts w:asciiTheme="minorHAnsi" w:eastAsia="MS Mincho" w:hAnsiTheme="minorHAnsi" w:cstheme="minorHAnsi"/>
                <w:b/>
                <w:bCs/>
                <w:szCs w:val="24"/>
                <w:lang w:val="fr-CA"/>
              </w:rPr>
              <w:t xml:space="preserve">Note totale attribuée à l’offre technique </w:t>
            </w:r>
          </w:p>
        </w:tc>
        <w:tc>
          <w:tcPr>
            <w:tcW w:w="861" w:type="dxa"/>
            <w:shd w:val="clear" w:color="auto" w:fill="FFFFFF"/>
          </w:tcPr>
          <w:p w14:paraId="4992B16C" w14:textId="77777777" w:rsidR="00FC7F1B" w:rsidRDefault="00000000">
            <w:pPr>
              <w:contextualSpacing/>
              <w:jc w:val="both"/>
              <w:rPr>
                <w:rFonts w:asciiTheme="minorHAnsi" w:eastAsia="MS Mincho" w:hAnsiTheme="minorHAnsi" w:cstheme="minorHAnsi"/>
                <w:b/>
                <w:bCs/>
                <w:szCs w:val="24"/>
              </w:rPr>
            </w:pPr>
            <w:r>
              <w:rPr>
                <w:rFonts w:asciiTheme="minorHAnsi" w:eastAsia="MS Mincho" w:hAnsiTheme="minorHAnsi" w:cstheme="minorHAnsi"/>
                <w:b/>
                <w:bCs/>
                <w:szCs w:val="24"/>
                <w:lang w:val="fr-CA"/>
              </w:rPr>
              <w:t>7</w:t>
            </w:r>
            <w:r>
              <w:rPr>
                <w:rFonts w:asciiTheme="minorHAnsi" w:eastAsia="MS Mincho" w:hAnsiTheme="minorHAnsi" w:cstheme="minorHAnsi"/>
                <w:b/>
                <w:bCs/>
                <w:szCs w:val="24"/>
              </w:rPr>
              <w:t>5%</w:t>
            </w:r>
          </w:p>
        </w:tc>
      </w:tr>
      <w:tr w:rsidR="00FC7F1B" w14:paraId="57A86DB2" w14:textId="77777777">
        <w:tc>
          <w:tcPr>
            <w:tcW w:w="9097" w:type="dxa"/>
            <w:gridSpan w:val="4"/>
            <w:shd w:val="clear" w:color="auto" w:fill="FFFFFF"/>
          </w:tcPr>
          <w:p w14:paraId="62AC7581" w14:textId="77777777" w:rsidR="00FC7F1B" w:rsidRDefault="00000000">
            <w:pPr>
              <w:contextualSpacing/>
              <w:jc w:val="both"/>
              <w:rPr>
                <w:rFonts w:asciiTheme="minorHAnsi" w:eastAsia="MS Mincho" w:hAnsiTheme="minorHAnsi" w:cstheme="minorHAnsi"/>
                <w:b/>
                <w:bCs/>
                <w:szCs w:val="24"/>
                <w:lang w:val="fr-CA"/>
              </w:rPr>
            </w:pPr>
            <w:r>
              <w:rPr>
                <w:rFonts w:asciiTheme="minorHAnsi" w:eastAsia="MS Mincho" w:hAnsiTheme="minorHAnsi" w:cstheme="minorHAnsi"/>
                <w:b/>
                <w:bCs/>
                <w:szCs w:val="24"/>
                <w:lang w:val="fr-CA"/>
              </w:rPr>
              <w:t>Note totale attribuée à l’offre financière</w:t>
            </w:r>
          </w:p>
        </w:tc>
        <w:tc>
          <w:tcPr>
            <w:tcW w:w="861" w:type="dxa"/>
            <w:shd w:val="clear" w:color="auto" w:fill="FFFFFF"/>
          </w:tcPr>
          <w:p w14:paraId="0D24CBBB" w14:textId="77777777" w:rsidR="00FC7F1B" w:rsidRDefault="00000000">
            <w:pPr>
              <w:contextualSpacing/>
              <w:jc w:val="both"/>
              <w:rPr>
                <w:rFonts w:asciiTheme="minorHAnsi" w:eastAsia="MS Mincho" w:hAnsiTheme="minorHAnsi" w:cstheme="minorHAnsi"/>
                <w:b/>
                <w:bCs/>
                <w:szCs w:val="24"/>
                <w:lang w:val="fr-CA"/>
              </w:rPr>
            </w:pPr>
            <w:r>
              <w:rPr>
                <w:rFonts w:asciiTheme="minorHAnsi" w:eastAsia="MS Mincho" w:hAnsiTheme="minorHAnsi" w:cstheme="minorHAnsi"/>
                <w:b/>
                <w:bCs/>
                <w:szCs w:val="24"/>
              </w:rPr>
              <w:t>25</w:t>
            </w:r>
          </w:p>
        </w:tc>
      </w:tr>
      <w:tr w:rsidR="00FC7F1B" w14:paraId="7D73D0CD" w14:textId="77777777">
        <w:tc>
          <w:tcPr>
            <w:tcW w:w="9097" w:type="dxa"/>
            <w:gridSpan w:val="4"/>
            <w:shd w:val="clear" w:color="auto" w:fill="FFFFFF"/>
          </w:tcPr>
          <w:p w14:paraId="7385184F" w14:textId="77777777" w:rsidR="00FC7F1B" w:rsidRDefault="00000000">
            <w:pPr>
              <w:contextualSpacing/>
              <w:jc w:val="both"/>
              <w:rPr>
                <w:rFonts w:asciiTheme="minorHAnsi" w:eastAsia="MS Mincho" w:hAnsiTheme="minorHAnsi" w:cstheme="minorHAnsi"/>
                <w:b/>
                <w:bCs/>
                <w:szCs w:val="24"/>
                <w:lang w:val="fr-CA"/>
              </w:rPr>
            </w:pPr>
            <w:r>
              <w:rPr>
                <w:rFonts w:asciiTheme="minorHAnsi" w:eastAsia="MS Mincho" w:hAnsiTheme="minorHAnsi" w:cstheme="minorHAnsi"/>
                <w:b/>
                <w:bCs/>
                <w:szCs w:val="24"/>
                <w:lang w:val="fr-CA"/>
              </w:rPr>
              <w:t>Note globale</w:t>
            </w:r>
          </w:p>
        </w:tc>
        <w:tc>
          <w:tcPr>
            <w:tcW w:w="861" w:type="dxa"/>
            <w:shd w:val="clear" w:color="auto" w:fill="FFFFFF"/>
          </w:tcPr>
          <w:p w14:paraId="540275F3" w14:textId="77777777" w:rsidR="00FC7F1B" w:rsidRDefault="00000000">
            <w:pPr>
              <w:contextualSpacing/>
              <w:jc w:val="both"/>
              <w:rPr>
                <w:rFonts w:asciiTheme="minorHAnsi" w:eastAsia="MS Mincho" w:hAnsiTheme="minorHAnsi" w:cstheme="minorHAnsi"/>
                <w:b/>
                <w:bCs/>
                <w:szCs w:val="24"/>
                <w:lang w:val="fr-CA"/>
              </w:rPr>
            </w:pPr>
            <w:r>
              <w:rPr>
                <w:rFonts w:asciiTheme="minorHAnsi" w:eastAsia="MS Mincho" w:hAnsiTheme="minorHAnsi" w:cstheme="minorHAnsi"/>
                <w:b/>
                <w:bCs/>
                <w:szCs w:val="24"/>
                <w:lang w:val="fr-CA"/>
              </w:rPr>
              <w:t>100</w:t>
            </w:r>
          </w:p>
        </w:tc>
      </w:tr>
    </w:tbl>
    <w:p w14:paraId="5F1E4D65" w14:textId="77777777" w:rsidR="00FC7F1B" w:rsidRDefault="00FC7F1B">
      <w:pPr>
        <w:contextualSpacing/>
        <w:jc w:val="both"/>
        <w:rPr>
          <w:rFonts w:asciiTheme="minorHAnsi" w:eastAsia="Calibri" w:hAnsiTheme="minorHAnsi" w:cstheme="minorHAnsi"/>
          <w:b/>
          <w:color w:val="2E74B5"/>
          <w:szCs w:val="24"/>
          <w:lang w:val="fr-FR"/>
        </w:rPr>
      </w:pPr>
    </w:p>
    <w:p w14:paraId="288BFE86" w14:textId="77777777" w:rsidR="00FC7F1B" w:rsidRDefault="00000000">
      <w:pPr>
        <w:keepNext/>
        <w:widowControl w:val="0"/>
        <w:numPr>
          <w:ilvl w:val="0"/>
          <w:numId w:val="17"/>
        </w:numPr>
        <w:tabs>
          <w:tab w:val="left" w:pos="270"/>
        </w:tabs>
        <w:ind w:hanging="540"/>
        <w:jc w:val="both"/>
        <w:rPr>
          <w:rFonts w:asciiTheme="minorHAnsi" w:eastAsia="SimSun" w:hAnsiTheme="minorHAnsi" w:cstheme="minorHAnsi"/>
          <w:kern w:val="2"/>
          <w:szCs w:val="24"/>
          <w:u w:val="single"/>
          <w:lang w:val="fr-FR" w:eastAsia="zh-CN"/>
        </w:rPr>
      </w:pPr>
      <w:r>
        <w:rPr>
          <w:rFonts w:asciiTheme="minorHAnsi" w:eastAsia="SimSun" w:hAnsiTheme="minorHAnsi" w:cstheme="minorHAnsi"/>
          <w:kern w:val="2"/>
          <w:szCs w:val="24"/>
          <w:u w:val="single"/>
          <w:lang w:val="fr-FR" w:eastAsia="zh-CN"/>
        </w:rPr>
        <w:t>Une offre financière</w:t>
      </w:r>
    </w:p>
    <w:p w14:paraId="1DB02490" w14:textId="77777777" w:rsidR="00FC7F1B" w:rsidRDefault="00000000">
      <w:pPr>
        <w:pStyle w:val="ListParagraph"/>
        <w:numPr>
          <w:ilvl w:val="0"/>
          <w:numId w:val="19"/>
        </w:numPr>
        <w:jc w:val="both"/>
        <w:rPr>
          <w:rFonts w:asciiTheme="minorHAnsi" w:hAnsiTheme="minorHAnsi" w:cstheme="minorHAnsi"/>
          <w:szCs w:val="24"/>
          <w:lang w:val="fr-CA"/>
        </w:rPr>
      </w:pPr>
      <w:r>
        <w:rPr>
          <w:rFonts w:asciiTheme="minorHAnsi" w:hAnsiTheme="minorHAnsi" w:cstheme="minorHAnsi"/>
          <w:b/>
          <w:szCs w:val="24"/>
          <w:lang w:val="fr-CA"/>
        </w:rPr>
        <w:t>L’offre financière</w:t>
      </w:r>
      <w:r>
        <w:rPr>
          <w:rFonts w:asciiTheme="minorHAnsi" w:hAnsiTheme="minorHAnsi" w:cstheme="minorHAnsi"/>
          <w:szCs w:val="24"/>
          <w:lang w:val="fr-CA"/>
        </w:rPr>
        <w:t xml:space="preserve"> devra couvrir l’ensemble des dépenses rentrant dans le cadre de cette évaluation y compris la rémunération souhaitée, les frais de transport dans le pays. </w:t>
      </w:r>
      <w:proofErr w:type="gramStart"/>
      <w:r>
        <w:rPr>
          <w:rFonts w:asciiTheme="minorHAnsi" w:hAnsiTheme="minorHAnsi" w:cstheme="minorHAnsi"/>
          <w:szCs w:val="24"/>
          <w:lang w:val="fr-FR"/>
        </w:rPr>
        <w:t>la</w:t>
      </w:r>
      <w:proofErr w:type="gramEnd"/>
      <w:r>
        <w:rPr>
          <w:rFonts w:asciiTheme="minorHAnsi" w:hAnsiTheme="minorHAnsi" w:cstheme="minorHAnsi"/>
          <w:szCs w:val="24"/>
          <w:lang w:val="fr-FR"/>
        </w:rPr>
        <w:t xml:space="preserve"> logistique</w:t>
      </w:r>
      <w:r>
        <w:rPr>
          <w:rFonts w:asciiTheme="minorHAnsi" w:hAnsiTheme="minorHAnsi" w:cstheme="minorHAnsi"/>
          <w:szCs w:val="24"/>
          <w:lang w:val="fr-CA"/>
        </w:rPr>
        <w:t xml:space="preserve"> et </w:t>
      </w:r>
      <w:r>
        <w:rPr>
          <w:rFonts w:asciiTheme="minorHAnsi" w:hAnsiTheme="minorHAnsi" w:cstheme="minorHAnsi"/>
          <w:szCs w:val="24"/>
          <w:lang w:val="fr-FR"/>
        </w:rPr>
        <w:t>la</w:t>
      </w:r>
      <w:r>
        <w:rPr>
          <w:rFonts w:asciiTheme="minorHAnsi" w:hAnsiTheme="minorHAnsi" w:cstheme="minorHAnsi"/>
          <w:szCs w:val="24"/>
          <w:lang w:val="fr-CA"/>
        </w:rPr>
        <w:t xml:space="preserve"> communication</w:t>
      </w:r>
      <w:r>
        <w:rPr>
          <w:rFonts w:asciiTheme="minorHAnsi" w:hAnsiTheme="minorHAnsi" w:cstheme="minorHAnsi"/>
          <w:szCs w:val="24"/>
          <w:lang w:val="fr-FR"/>
        </w:rPr>
        <w:t>,</w:t>
      </w:r>
      <w:r>
        <w:rPr>
          <w:rFonts w:asciiTheme="minorHAnsi" w:hAnsiTheme="minorHAnsi" w:cstheme="minorHAnsi"/>
          <w:szCs w:val="24"/>
          <w:lang w:val="fr-CA"/>
        </w:rPr>
        <w:t xml:space="preserve"> nécessaires pour la bonne organisation de l’évaluation seront à la charge du consultant </w:t>
      </w:r>
      <w:r>
        <w:rPr>
          <w:rFonts w:asciiTheme="minorHAnsi" w:hAnsiTheme="minorHAnsi" w:cstheme="minorHAnsi"/>
          <w:szCs w:val="24"/>
          <w:lang w:val="fr-FR"/>
        </w:rPr>
        <w:t>qui assurera les dépenses</w:t>
      </w:r>
      <w:r>
        <w:rPr>
          <w:rFonts w:asciiTheme="minorHAnsi" w:hAnsiTheme="minorHAnsi" w:cstheme="minorHAnsi"/>
          <w:szCs w:val="24"/>
          <w:lang w:val="fr-CA"/>
        </w:rPr>
        <w:t xml:space="preserve">. </w:t>
      </w:r>
    </w:p>
    <w:p w14:paraId="09775F8A" w14:textId="77777777" w:rsidR="00FC7F1B" w:rsidRDefault="00000000">
      <w:pPr>
        <w:pStyle w:val="ListParagraph"/>
        <w:numPr>
          <w:ilvl w:val="0"/>
          <w:numId w:val="19"/>
        </w:numPr>
        <w:jc w:val="both"/>
        <w:rPr>
          <w:rFonts w:asciiTheme="minorHAnsi" w:hAnsiTheme="minorHAnsi" w:cstheme="minorHAnsi"/>
          <w:szCs w:val="24"/>
          <w:lang w:val="fr-CA"/>
        </w:rPr>
      </w:pPr>
      <w:r>
        <w:rPr>
          <w:rFonts w:asciiTheme="minorHAnsi" w:hAnsiTheme="minorHAnsi" w:cstheme="minorHAnsi"/>
          <w:szCs w:val="24"/>
          <w:lang w:val="fr-CA"/>
        </w:rPr>
        <w:t>Il est à noter que les frais d’organisation des réunions ou ateliers techniques seront pris en charge par l’UNICEF.</w:t>
      </w:r>
    </w:p>
    <w:p w14:paraId="4398DF97" w14:textId="77777777" w:rsidR="00FC7F1B" w:rsidRDefault="00000000">
      <w:pPr>
        <w:pStyle w:val="ListParagraph"/>
        <w:numPr>
          <w:ilvl w:val="0"/>
          <w:numId w:val="19"/>
        </w:numPr>
        <w:jc w:val="both"/>
        <w:rPr>
          <w:rFonts w:asciiTheme="minorHAnsi" w:hAnsiTheme="minorHAnsi" w:cstheme="minorHAnsi"/>
          <w:szCs w:val="24"/>
          <w:lang w:val="fr-CA"/>
        </w:rPr>
      </w:pPr>
      <w:r>
        <w:rPr>
          <w:rFonts w:asciiTheme="minorHAnsi" w:hAnsiTheme="minorHAnsi" w:cstheme="minorHAnsi"/>
          <w:szCs w:val="24"/>
          <w:lang w:val="fr-CA"/>
        </w:rPr>
        <w:t xml:space="preserve">L’offre financière devra être présentée séparément de l’offre technique et ne sera examinée que pour les candidats dont l’offre technique est jugée valable (ayant obtenu un score minimal de </w:t>
      </w:r>
      <w:r>
        <w:rPr>
          <w:rFonts w:asciiTheme="minorHAnsi" w:hAnsiTheme="minorHAnsi" w:cstheme="minorHAnsi"/>
          <w:szCs w:val="24"/>
          <w:lang w:val="fr-FR"/>
        </w:rPr>
        <w:t>7</w:t>
      </w:r>
      <w:r>
        <w:rPr>
          <w:rFonts w:asciiTheme="minorHAnsi" w:hAnsiTheme="minorHAnsi" w:cstheme="minorHAnsi"/>
          <w:szCs w:val="24"/>
          <w:lang w:val="fr-CA"/>
        </w:rPr>
        <w:t xml:space="preserve">0 points). </w:t>
      </w:r>
    </w:p>
    <w:p w14:paraId="5AC66F02" w14:textId="77777777" w:rsidR="00FC7F1B" w:rsidRDefault="00000000">
      <w:pPr>
        <w:pStyle w:val="ListParagraph"/>
        <w:numPr>
          <w:ilvl w:val="0"/>
          <w:numId w:val="19"/>
        </w:numPr>
        <w:jc w:val="both"/>
        <w:rPr>
          <w:rFonts w:asciiTheme="minorHAnsi" w:eastAsia="Calibri" w:hAnsiTheme="minorHAnsi" w:cstheme="minorHAnsi"/>
          <w:szCs w:val="24"/>
          <w:lang w:val="fr-CA" w:eastAsia="fr-FR"/>
        </w:rPr>
      </w:pPr>
      <w:r>
        <w:rPr>
          <w:rFonts w:asciiTheme="minorHAnsi" w:hAnsiTheme="minorHAnsi" w:cstheme="minorHAnsi"/>
          <w:szCs w:val="24"/>
          <w:lang w:val="fr-CA"/>
        </w:rPr>
        <w:t xml:space="preserve">L’offre devra être soumise en </w:t>
      </w:r>
      <w:r>
        <w:rPr>
          <w:rFonts w:asciiTheme="minorHAnsi" w:hAnsiTheme="minorHAnsi" w:cstheme="minorHAnsi"/>
          <w:szCs w:val="24"/>
          <w:lang w:val="fr-FR"/>
        </w:rPr>
        <w:t>FCFA</w:t>
      </w:r>
      <w:r>
        <w:rPr>
          <w:rFonts w:asciiTheme="minorHAnsi" w:hAnsiTheme="minorHAnsi" w:cstheme="minorHAnsi"/>
          <w:szCs w:val="24"/>
          <w:lang w:val="fr-CA"/>
        </w:rPr>
        <w:t xml:space="preserve"> et le montant total de l’offre (tout frais inclus) devra être indiqué</w:t>
      </w:r>
      <w:r>
        <w:rPr>
          <w:rFonts w:asciiTheme="minorHAnsi" w:hAnsiTheme="minorHAnsi" w:cstheme="minorHAnsi"/>
          <w:szCs w:val="24"/>
          <w:lang w:val="fr-FR"/>
        </w:rPr>
        <w:t xml:space="preserve"> (un budget forfaitaire serait bien apprécié)</w:t>
      </w:r>
      <w:r>
        <w:rPr>
          <w:rFonts w:asciiTheme="minorHAnsi" w:hAnsiTheme="minorHAnsi" w:cstheme="minorHAnsi"/>
          <w:szCs w:val="24"/>
          <w:lang w:val="fr-CA"/>
        </w:rPr>
        <w:t>.</w:t>
      </w:r>
    </w:p>
    <w:p w14:paraId="099D80B0" w14:textId="77777777" w:rsidR="00FC7F1B" w:rsidRDefault="00FC7F1B">
      <w:pPr>
        <w:pStyle w:val="NoSpacing"/>
        <w:rPr>
          <w:rFonts w:asciiTheme="minorHAnsi" w:hAnsiTheme="minorHAnsi" w:cstheme="minorHAnsi"/>
          <w:sz w:val="24"/>
          <w:lang w:val="fr-FR"/>
        </w:rPr>
      </w:pPr>
    </w:p>
    <w:p w14:paraId="7A5E950F" w14:textId="77777777" w:rsidR="00FC7F1B" w:rsidRDefault="00000000">
      <w:pPr>
        <w:pStyle w:val="NoSpacing"/>
        <w:rPr>
          <w:rFonts w:asciiTheme="minorHAnsi" w:hAnsiTheme="minorHAnsi" w:cstheme="minorHAnsi"/>
          <w:sz w:val="24"/>
          <w:lang w:val="fr-FR"/>
        </w:rPr>
      </w:pPr>
      <w:r>
        <w:rPr>
          <w:rFonts w:asciiTheme="minorHAnsi" w:hAnsiTheme="minorHAnsi" w:cstheme="minorHAnsi"/>
          <w:sz w:val="24"/>
          <w:lang w:val="fr-FR"/>
        </w:rPr>
        <w:t xml:space="preserve">Date limite pour la soumission :  </w:t>
      </w:r>
      <w:r>
        <w:rPr>
          <w:rFonts w:asciiTheme="minorHAnsi" w:hAnsiTheme="minorHAnsi" w:cstheme="minorHAnsi"/>
          <w:sz w:val="24"/>
          <w:highlight w:val="yellow"/>
          <w:lang w:val="fr-FR"/>
        </w:rPr>
        <w:t>à déterminer par le HR/UNICEF au moment du lancement de l’appel d’offre.</w:t>
      </w:r>
    </w:p>
    <w:p w14:paraId="19895856" w14:textId="77777777" w:rsidR="00FC7F1B" w:rsidRDefault="00FC7F1B">
      <w:pPr>
        <w:jc w:val="both"/>
        <w:rPr>
          <w:rFonts w:asciiTheme="minorHAnsi" w:eastAsia="Times" w:hAnsiTheme="minorHAnsi" w:cstheme="minorHAnsi"/>
          <w:bCs/>
          <w:color w:val="000000"/>
          <w:szCs w:val="24"/>
          <w:lang w:val="fr-FR" w:eastAsia="en-GB"/>
        </w:rPr>
      </w:pPr>
    </w:p>
    <w:tbl>
      <w:tblPr>
        <w:tblW w:w="10115" w:type="dxa"/>
        <w:tblInd w:w="-270" w:type="dxa"/>
        <w:tblBorders>
          <w:top w:val="dashed" w:sz="4" w:space="0" w:color="5B9BD5" w:themeColor="accent1"/>
          <w:left w:val="dashed" w:sz="4" w:space="0" w:color="5B9BD5" w:themeColor="accent1"/>
          <w:bottom w:val="dashed" w:sz="4" w:space="0" w:color="5B9BD5" w:themeColor="accent1"/>
          <w:right w:val="dashed" w:sz="4" w:space="0" w:color="5B9BD5" w:themeColor="accent1"/>
          <w:insideH w:val="dashed" w:sz="4" w:space="0" w:color="5B9BD5" w:themeColor="accent1"/>
          <w:insideV w:val="dashed" w:sz="4" w:space="0" w:color="5B9BD5" w:themeColor="accent1"/>
        </w:tblBorders>
        <w:tblLook w:val="04A0" w:firstRow="1" w:lastRow="0" w:firstColumn="1" w:lastColumn="0" w:noHBand="0" w:noVBand="1"/>
      </w:tblPr>
      <w:tblGrid>
        <w:gridCol w:w="1714"/>
        <w:gridCol w:w="4443"/>
        <w:gridCol w:w="1979"/>
        <w:gridCol w:w="1979"/>
      </w:tblGrid>
      <w:tr w:rsidR="00FC7F1B" w14:paraId="180B3BC9" w14:textId="77777777">
        <w:trPr>
          <w:trHeight w:val="584"/>
        </w:trPr>
        <w:tc>
          <w:tcPr>
            <w:tcW w:w="1714" w:type="dxa"/>
            <w:shd w:val="clear" w:color="auto" w:fill="auto"/>
          </w:tcPr>
          <w:p w14:paraId="450EA6B2" w14:textId="77777777" w:rsidR="00FC7F1B" w:rsidRDefault="00000000">
            <w:pPr>
              <w:pStyle w:val="NoSpacing"/>
              <w:rPr>
                <w:rFonts w:asciiTheme="minorHAnsi" w:hAnsiTheme="minorHAnsi" w:cstheme="minorHAnsi"/>
                <w:b/>
                <w:bCs/>
                <w:sz w:val="24"/>
                <w:lang w:val="fr-FR"/>
              </w:rPr>
            </w:pPr>
            <w:r>
              <w:rPr>
                <w:rFonts w:asciiTheme="minorHAnsi" w:hAnsiTheme="minorHAnsi" w:cstheme="minorHAnsi"/>
                <w:b/>
                <w:bCs/>
                <w:sz w:val="24"/>
                <w:lang w:val="fr-FR"/>
              </w:rPr>
              <w:t xml:space="preserve">Préparés par : </w:t>
            </w:r>
          </w:p>
          <w:p w14:paraId="5E1DD121" w14:textId="77777777" w:rsidR="00FC7F1B" w:rsidRDefault="00FC7F1B">
            <w:pPr>
              <w:pStyle w:val="NoSpacing"/>
              <w:rPr>
                <w:rFonts w:asciiTheme="minorHAnsi" w:hAnsiTheme="minorHAnsi" w:cstheme="minorHAnsi"/>
                <w:b/>
                <w:bCs/>
                <w:sz w:val="24"/>
                <w:lang w:val="fr-FR"/>
              </w:rPr>
            </w:pPr>
          </w:p>
        </w:tc>
        <w:tc>
          <w:tcPr>
            <w:tcW w:w="4443" w:type="dxa"/>
            <w:shd w:val="clear" w:color="auto" w:fill="auto"/>
          </w:tcPr>
          <w:p w14:paraId="38ECD05B" w14:textId="77777777" w:rsidR="00FC7F1B" w:rsidRDefault="00000000">
            <w:pPr>
              <w:jc w:val="both"/>
              <w:rPr>
                <w:rFonts w:asciiTheme="minorHAnsi" w:eastAsia="SimSun" w:hAnsiTheme="minorHAnsi" w:cstheme="minorHAnsi"/>
                <w:kern w:val="2"/>
                <w:szCs w:val="24"/>
                <w:lang w:val="fr-FR" w:eastAsia="zh-CN"/>
              </w:rPr>
            </w:pPr>
            <w:r>
              <w:rPr>
                <w:rFonts w:asciiTheme="minorHAnsi" w:eastAsia="SimSun" w:hAnsiTheme="minorHAnsi" w:cstheme="minorHAnsi"/>
                <w:b/>
                <w:bCs/>
                <w:kern w:val="2"/>
                <w:szCs w:val="24"/>
                <w:lang w:val="fr-FR" w:eastAsia="zh-CN"/>
              </w:rPr>
              <w:t xml:space="preserve">Michel Ikamba, </w:t>
            </w:r>
            <w:proofErr w:type="spellStart"/>
            <w:r>
              <w:rPr>
                <w:rFonts w:asciiTheme="minorHAnsi" w:eastAsia="SimSun" w:hAnsiTheme="minorHAnsi" w:cstheme="minorHAnsi"/>
                <w:b/>
                <w:bCs/>
                <w:kern w:val="2"/>
                <w:szCs w:val="24"/>
                <w:lang w:val="fr-FR" w:eastAsia="zh-CN"/>
              </w:rPr>
              <w:t>Ph.D</w:t>
            </w:r>
            <w:proofErr w:type="spellEnd"/>
            <w:r>
              <w:rPr>
                <w:rFonts w:asciiTheme="minorHAnsi" w:eastAsia="SimSun" w:hAnsiTheme="minorHAnsi" w:cstheme="minorHAnsi"/>
                <w:kern w:val="2"/>
                <w:szCs w:val="24"/>
                <w:lang w:val="fr-FR" w:eastAsia="zh-CN"/>
              </w:rPr>
              <w:t>.</w:t>
            </w:r>
          </w:p>
          <w:p w14:paraId="70020614" w14:textId="77777777" w:rsidR="00FC7F1B" w:rsidRDefault="00000000">
            <w:pPr>
              <w:jc w:val="both"/>
              <w:rPr>
                <w:rFonts w:asciiTheme="minorHAnsi" w:eastAsia="SimSun" w:hAnsiTheme="minorHAnsi" w:cstheme="minorHAnsi"/>
                <w:kern w:val="2"/>
                <w:sz w:val="22"/>
                <w:szCs w:val="24"/>
                <w:lang w:val="fr-FR" w:eastAsia="zh-CN"/>
              </w:rPr>
            </w:pPr>
            <w:r>
              <w:rPr>
                <w:rFonts w:asciiTheme="minorHAnsi" w:eastAsia="SimSun" w:hAnsiTheme="minorHAnsi" w:cstheme="minorHAnsi"/>
                <w:kern w:val="2"/>
                <w:sz w:val="22"/>
                <w:szCs w:val="24"/>
                <w:lang w:val="fr-FR" w:eastAsia="zh-CN"/>
              </w:rPr>
              <w:t>Chef de la section protection de l’enfant</w:t>
            </w:r>
          </w:p>
          <w:p w14:paraId="18B010FF" w14:textId="77777777" w:rsidR="00FC7F1B" w:rsidRDefault="00FC7F1B">
            <w:pPr>
              <w:jc w:val="both"/>
              <w:rPr>
                <w:rFonts w:asciiTheme="minorHAnsi" w:eastAsia="SimSun" w:hAnsiTheme="minorHAnsi" w:cstheme="minorHAnsi"/>
                <w:b/>
                <w:bCs/>
                <w:kern w:val="2"/>
                <w:szCs w:val="24"/>
                <w:lang w:val="fr-FR" w:eastAsia="zh-CN"/>
              </w:rPr>
            </w:pPr>
          </w:p>
        </w:tc>
        <w:tc>
          <w:tcPr>
            <w:tcW w:w="1979" w:type="dxa"/>
          </w:tcPr>
          <w:p w14:paraId="3588D77C" w14:textId="77777777" w:rsidR="00FC7F1B" w:rsidRDefault="00000000">
            <w:pPr>
              <w:pStyle w:val="NoSpacing"/>
              <w:rPr>
                <w:rFonts w:asciiTheme="minorHAnsi" w:hAnsiTheme="minorHAnsi" w:cstheme="minorHAnsi"/>
                <w:sz w:val="24"/>
                <w:lang w:val="fr-FR"/>
              </w:rPr>
            </w:pPr>
            <w:r>
              <w:rPr>
                <w:rFonts w:asciiTheme="minorHAnsi" w:hAnsiTheme="minorHAnsi" w:cstheme="minorHAnsi"/>
                <w:sz w:val="24"/>
                <w:lang w:val="fr-FR"/>
              </w:rPr>
              <w:t>Date :</w:t>
            </w:r>
          </w:p>
        </w:tc>
        <w:tc>
          <w:tcPr>
            <w:tcW w:w="1979" w:type="dxa"/>
          </w:tcPr>
          <w:p w14:paraId="5DBF8983" w14:textId="77777777" w:rsidR="00FC7F1B" w:rsidRDefault="00FC7F1B">
            <w:pPr>
              <w:pStyle w:val="NoSpacing"/>
              <w:rPr>
                <w:rFonts w:asciiTheme="minorHAnsi" w:hAnsiTheme="minorHAnsi" w:cstheme="minorHAnsi"/>
                <w:sz w:val="24"/>
                <w:lang w:val="fr-FR"/>
              </w:rPr>
            </w:pPr>
          </w:p>
        </w:tc>
      </w:tr>
      <w:tr w:rsidR="00FC7F1B" w14:paraId="489FFBA5" w14:textId="77777777">
        <w:trPr>
          <w:trHeight w:val="584"/>
        </w:trPr>
        <w:tc>
          <w:tcPr>
            <w:tcW w:w="1714" w:type="dxa"/>
            <w:shd w:val="clear" w:color="auto" w:fill="auto"/>
          </w:tcPr>
          <w:p w14:paraId="020155A8" w14:textId="77777777" w:rsidR="00FC7F1B" w:rsidRDefault="00000000">
            <w:pPr>
              <w:pStyle w:val="NoSpacing"/>
              <w:rPr>
                <w:rFonts w:asciiTheme="minorHAnsi" w:hAnsiTheme="minorHAnsi" w:cstheme="minorHAnsi"/>
                <w:b/>
                <w:bCs/>
                <w:sz w:val="24"/>
                <w:lang w:val="fr-FR"/>
              </w:rPr>
            </w:pPr>
            <w:r>
              <w:rPr>
                <w:rFonts w:asciiTheme="minorHAnsi" w:hAnsiTheme="minorHAnsi" w:cstheme="minorHAnsi"/>
                <w:b/>
                <w:bCs/>
                <w:sz w:val="24"/>
                <w:lang w:val="fr-FR"/>
              </w:rPr>
              <w:t xml:space="preserve">Revus par :  </w:t>
            </w:r>
          </w:p>
          <w:p w14:paraId="083FB406" w14:textId="77777777" w:rsidR="00FC7F1B" w:rsidRDefault="00FC7F1B">
            <w:pPr>
              <w:pStyle w:val="NoSpacing"/>
              <w:rPr>
                <w:rFonts w:asciiTheme="minorHAnsi" w:hAnsiTheme="minorHAnsi" w:cstheme="minorHAnsi"/>
                <w:b/>
                <w:bCs/>
                <w:sz w:val="24"/>
                <w:lang w:val="fr-FR"/>
              </w:rPr>
            </w:pPr>
          </w:p>
        </w:tc>
        <w:tc>
          <w:tcPr>
            <w:tcW w:w="4443" w:type="dxa"/>
            <w:shd w:val="clear" w:color="auto" w:fill="auto"/>
          </w:tcPr>
          <w:p w14:paraId="0EEA012F" w14:textId="77777777" w:rsidR="00FC7F1B" w:rsidRDefault="00000000">
            <w:pPr>
              <w:pStyle w:val="NoSpacing"/>
              <w:rPr>
                <w:rFonts w:asciiTheme="minorHAnsi" w:hAnsiTheme="minorHAnsi" w:cstheme="minorHAnsi"/>
                <w:b/>
                <w:bCs/>
                <w:sz w:val="24"/>
              </w:rPr>
            </w:pPr>
            <w:r>
              <w:rPr>
                <w:rFonts w:asciiTheme="minorHAnsi" w:hAnsiTheme="minorHAnsi" w:cstheme="minorHAnsi"/>
                <w:b/>
                <w:bCs/>
                <w:sz w:val="24"/>
              </w:rPr>
              <w:t xml:space="preserve">Odette Nsabimana </w:t>
            </w:r>
          </w:p>
          <w:p w14:paraId="423C189E" w14:textId="77777777" w:rsidR="00FC7F1B" w:rsidRDefault="00000000">
            <w:pPr>
              <w:pStyle w:val="NoSpacing"/>
              <w:rPr>
                <w:rFonts w:asciiTheme="minorHAnsi" w:hAnsiTheme="minorHAnsi" w:cstheme="minorHAnsi"/>
                <w:sz w:val="24"/>
              </w:rPr>
            </w:pPr>
            <w:r>
              <w:rPr>
                <w:rFonts w:asciiTheme="minorHAnsi" w:hAnsiTheme="minorHAnsi" w:cstheme="minorHAnsi"/>
                <w:sz w:val="24"/>
              </w:rPr>
              <w:t>Multi-Country Evaluation Specialist</w:t>
            </w:r>
          </w:p>
          <w:p w14:paraId="16894AF7" w14:textId="77777777" w:rsidR="00FC7F1B" w:rsidRDefault="00FC7F1B">
            <w:pPr>
              <w:pStyle w:val="NoSpacing"/>
              <w:rPr>
                <w:rFonts w:asciiTheme="minorHAnsi" w:hAnsiTheme="minorHAnsi" w:cstheme="minorHAnsi"/>
                <w:sz w:val="24"/>
              </w:rPr>
            </w:pPr>
          </w:p>
          <w:p w14:paraId="2C0DB48E" w14:textId="77777777" w:rsidR="00FC7F1B" w:rsidRDefault="00FC7F1B">
            <w:pPr>
              <w:jc w:val="both"/>
              <w:rPr>
                <w:rFonts w:asciiTheme="minorHAnsi" w:eastAsia="SimSun" w:hAnsiTheme="minorHAnsi" w:cstheme="minorHAnsi"/>
                <w:b/>
                <w:bCs/>
                <w:kern w:val="2"/>
                <w:szCs w:val="24"/>
                <w:lang w:eastAsia="zh-CN"/>
              </w:rPr>
            </w:pPr>
          </w:p>
        </w:tc>
        <w:tc>
          <w:tcPr>
            <w:tcW w:w="1979" w:type="dxa"/>
          </w:tcPr>
          <w:p w14:paraId="24D488B9" w14:textId="77777777" w:rsidR="00FC7F1B" w:rsidRDefault="00000000">
            <w:pPr>
              <w:pStyle w:val="NoSpacing"/>
              <w:rPr>
                <w:rFonts w:asciiTheme="minorHAnsi" w:hAnsiTheme="minorHAnsi" w:cstheme="minorHAnsi"/>
                <w:sz w:val="24"/>
              </w:rPr>
            </w:pPr>
            <w:r>
              <w:rPr>
                <w:rFonts w:asciiTheme="minorHAnsi" w:hAnsiTheme="minorHAnsi" w:cstheme="minorHAnsi"/>
                <w:sz w:val="24"/>
                <w:lang w:val="fr-FR"/>
              </w:rPr>
              <w:t>Date :</w:t>
            </w:r>
          </w:p>
        </w:tc>
        <w:tc>
          <w:tcPr>
            <w:tcW w:w="1979" w:type="dxa"/>
          </w:tcPr>
          <w:p w14:paraId="088DF295" w14:textId="77777777" w:rsidR="00FC7F1B" w:rsidRDefault="00FC7F1B">
            <w:pPr>
              <w:pStyle w:val="NoSpacing"/>
              <w:rPr>
                <w:rFonts w:asciiTheme="minorHAnsi" w:hAnsiTheme="minorHAnsi" w:cstheme="minorHAnsi"/>
                <w:sz w:val="24"/>
                <w:lang w:val="fr-FR"/>
              </w:rPr>
            </w:pPr>
          </w:p>
        </w:tc>
      </w:tr>
      <w:tr w:rsidR="00FC7F1B" w14:paraId="1BEAF839" w14:textId="77777777">
        <w:trPr>
          <w:trHeight w:val="584"/>
        </w:trPr>
        <w:tc>
          <w:tcPr>
            <w:tcW w:w="1714" w:type="dxa"/>
            <w:shd w:val="clear" w:color="auto" w:fill="auto"/>
          </w:tcPr>
          <w:p w14:paraId="3C85C7A7" w14:textId="77777777" w:rsidR="00FC7F1B" w:rsidRDefault="00000000">
            <w:pPr>
              <w:pStyle w:val="NoSpacing"/>
              <w:rPr>
                <w:rFonts w:asciiTheme="minorHAnsi" w:hAnsiTheme="minorHAnsi" w:cstheme="minorHAnsi"/>
                <w:b/>
                <w:bCs/>
                <w:sz w:val="22"/>
              </w:rPr>
            </w:pPr>
            <w:r>
              <w:rPr>
                <w:rFonts w:asciiTheme="minorHAnsi" w:hAnsiTheme="minorHAnsi" w:cstheme="minorHAnsi"/>
                <w:b/>
                <w:bCs/>
                <w:i/>
                <w:iCs/>
                <w:sz w:val="22"/>
                <w:lang w:val="fr-FR"/>
              </w:rPr>
              <w:t xml:space="preserve"> </w:t>
            </w:r>
            <w:proofErr w:type="spellStart"/>
            <w:r>
              <w:rPr>
                <w:rFonts w:asciiTheme="minorHAnsi" w:hAnsiTheme="minorHAnsi" w:cstheme="minorHAnsi"/>
                <w:b/>
                <w:bCs/>
                <w:sz w:val="22"/>
              </w:rPr>
              <w:t>Soumis</w:t>
            </w:r>
            <w:proofErr w:type="spellEnd"/>
            <w:r>
              <w:rPr>
                <w:rFonts w:asciiTheme="minorHAnsi" w:hAnsiTheme="minorHAnsi" w:cstheme="minorHAnsi"/>
                <w:b/>
                <w:bCs/>
                <w:sz w:val="22"/>
              </w:rPr>
              <w:t xml:space="preserve"> par</w:t>
            </w:r>
          </w:p>
          <w:p w14:paraId="73491BEB" w14:textId="77777777" w:rsidR="00FC7F1B" w:rsidRDefault="00FC7F1B">
            <w:pPr>
              <w:pStyle w:val="NoSpacing"/>
              <w:rPr>
                <w:rFonts w:asciiTheme="minorHAnsi" w:hAnsiTheme="minorHAnsi" w:cstheme="minorHAnsi"/>
                <w:b/>
                <w:bCs/>
                <w:sz w:val="24"/>
                <w:lang w:val="fr-FR"/>
              </w:rPr>
            </w:pPr>
          </w:p>
        </w:tc>
        <w:tc>
          <w:tcPr>
            <w:tcW w:w="4443" w:type="dxa"/>
            <w:shd w:val="clear" w:color="auto" w:fill="auto"/>
          </w:tcPr>
          <w:p w14:paraId="56C106CC" w14:textId="77777777" w:rsidR="00FC7F1B" w:rsidRDefault="00000000">
            <w:pPr>
              <w:jc w:val="both"/>
              <w:rPr>
                <w:rFonts w:asciiTheme="minorHAnsi" w:eastAsia="Times" w:hAnsiTheme="minorHAnsi" w:cstheme="minorHAnsi"/>
                <w:bCs/>
                <w:color w:val="000000"/>
                <w:szCs w:val="24"/>
                <w:lang w:eastAsia="en-GB"/>
              </w:rPr>
            </w:pPr>
            <w:proofErr w:type="spellStart"/>
            <w:r>
              <w:rPr>
                <w:rFonts w:asciiTheme="minorHAnsi" w:eastAsia="Times" w:hAnsiTheme="minorHAnsi" w:cstheme="minorHAnsi"/>
                <w:bCs/>
                <w:color w:val="000000"/>
                <w:szCs w:val="24"/>
                <w:lang w:eastAsia="en-GB"/>
              </w:rPr>
              <w:t>Représentant</w:t>
            </w:r>
            <w:proofErr w:type="spellEnd"/>
            <w:r>
              <w:rPr>
                <w:rFonts w:asciiTheme="minorHAnsi" w:eastAsia="Times" w:hAnsiTheme="minorHAnsi" w:cstheme="minorHAnsi"/>
                <w:bCs/>
                <w:color w:val="000000"/>
                <w:szCs w:val="24"/>
                <w:lang w:eastAsia="en-GB"/>
              </w:rPr>
              <w:t xml:space="preserve"> Adjoint des </w:t>
            </w:r>
            <w:proofErr w:type="spellStart"/>
            <w:r>
              <w:rPr>
                <w:rFonts w:asciiTheme="minorHAnsi" w:eastAsia="Times" w:hAnsiTheme="minorHAnsi" w:cstheme="minorHAnsi"/>
                <w:bCs/>
                <w:color w:val="000000"/>
                <w:szCs w:val="24"/>
                <w:lang w:eastAsia="en-GB"/>
              </w:rPr>
              <w:t>programmes</w:t>
            </w:r>
            <w:proofErr w:type="spellEnd"/>
          </w:p>
          <w:p w14:paraId="462EA6D6" w14:textId="77777777" w:rsidR="00FC7F1B" w:rsidRDefault="00FC7F1B">
            <w:pPr>
              <w:pStyle w:val="NoSpacing"/>
              <w:rPr>
                <w:rFonts w:asciiTheme="minorHAnsi" w:hAnsiTheme="minorHAnsi" w:cstheme="minorHAnsi"/>
                <w:b/>
                <w:bCs/>
                <w:sz w:val="24"/>
              </w:rPr>
            </w:pPr>
          </w:p>
        </w:tc>
        <w:tc>
          <w:tcPr>
            <w:tcW w:w="1979" w:type="dxa"/>
          </w:tcPr>
          <w:p w14:paraId="06C33AB5" w14:textId="77777777" w:rsidR="00FC7F1B" w:rsidRDefault="00000000">
            <w:pPr>
              <w:pStyle w:val="NoSpacing"/>
              <w:rPr>
                <w:rFonts w:asciiTheme="minorHAnsi" w:hAnsiTheme="minorHAnsi" w:cstheme="minorHAnsi"/>
                <w:sz w:val="24"/>
                <w:lang w:val="fr-FR"/>
              </w:rPr>
            </w:pPr>
            <w:r>
              <w:rPr>
                <w:rFonts w:asciiTheme="minorHAnsi" w:hAnsiTheme="minorHAnsi" w:cstheme="minorHAnsi"/>
                <w:b/>
                <w:bCs/>
                <w:sz w:val="22"/>
                <w:lang w:val="fr-FR"/>
              </w:rPr>
              <w:t>Date :</w:t>
            </w:r>
          </w:p>
        </w:tc>
        <w:tc>
          <w:tcPr>
            <w:tcW w:w="1979" w:type="dxa"/>
          </w:tcPr>
          <w:p w14:paraId="0AAFF8DD" w14:textId="77777777" w:rsidR="00FC7F1B" w:rsidRDefault="00FC7F1B">
            <w:pPr>
              <w:pStyle w:val="NoSpacing"/>
              <w:rPr>
                <w:rFonts w:asciiTheme="minorHAnsi" w:hAnsiTheme="minorHAnsi" w:cstheme="minorHAnsi"/>
                <w:b/>
                <w:bCs/>
                <w:i/>
                <w:iCs/>
                <w:sz w:val="22"/>
                <w:lang w:val="fr-FR"/>
              </w:rPr>
            </w:pPr>
          </w:p>
        </w:tc>
      </w:tr>
      <w:tr w:rsidR="00FC7F1B" w14:paraId="64A62A19" w14:textId="77777777">
        <w:trPr>
          <w:trHeight w:val="584"/>
        </w:trPr>
        <w:tc>
          <w:tcPr>
            <w:tcW w:w="1714" w:type="dxa"/>
            <w:shd w:val="clear" w:color="auto" w:fill="auto"/>
          </w:tcPr>
          <w:p w14:paraId="2041768E" w14:textId="77777777" w:rsidR="00FC7F1B" w:rsidRDefault="00000000">
            <w:pPr>
              <w:pStyle w:val="NoSpacing"/>
              <w:rPr>
                <w:rFonts w:asciiTheme="minorHAnsi" w:hAnsiTheme="minorHAnsi" w:cstheme="minorHAnsi"/>
                <w:b/>
                <w:bCs/>
                <w:sz w:val="24"/>
                <w:lang w:val="fr-FR"/>
              </w:rPr>
            </w:pPr>
            <w:r>
              <w:rPr>
                <w:rFonts w:asciiTheme="minorHAnsi" w:hAnsiTheme="minorHAnsi" w:cstheme="minorHAnsi"/>
                <w:b/>
                <w:bCs/>
                <w:i/>
                <w:iCs/>
                <w:sz w:val="22"/>
                <w:lang w:val="fr-FR"/>
              </w:rPr>
              <w:t>Approuvés par :</w:t>
            </w:r>
          </w:p>
        </w:tc>
        <w:tc>
          <w:tcPr>
            <w:tcW w:w="4443" w:type="dxa"/>
            <w:shd w:val="clear" w:color="auto" w:fill="auto"/>
          </w:tcPr>
          <w:p w14:paraId="0A6DE2E2" w14:textId="77777777" w:rsidR="00FC7F1B" w:rsidRDefault="00000000">
            <w:pPr>
              <w:jc w:val="both"/>
              <w:rPr>
                <w:rFonts w:asciiTheme="minorHAnsi" w:eastAsia="Times" w:hAnsiTheme="minorHAnsi" w:cstheme="minorHAnsi"/>
                <w:bCs/>
                <w:color w:val="000000"/>
                <w:szCs w:val="24"/>
                <w:lang w:eastAsia="en-GB"/>
              </w:rPr>
            </w:pPr>
            <w:r>
              <w:rPr>
                <w:rFonts w:asciiTheme="minorHAnsi" w:eastAsia="Times" w:hAnsiTheme="minorHAnsi" w:cstheme="minorHAnsi"/>
                <w:bCs/>
                <w:color w:val="000000"/>
                <w:szCs w:val="24"/>
                <w:lang w:eastAsia="en-GB"/>
              </w:rPr>
              <w:t xml:space="preserve">Representant de </w:t>
            </w:r>
            <w:proofErr w:type="spellStart"/>
            <w:r>
              <w:rPr>
                <w:rFonts w:asciiTheme="minorHAnsi" w:eastAsia="Times" w:hAnsiTheme="minorHAnsi" w:cstheme="minorHAnsi"/>
                <w:bCs/>
                <w:color w:val="000000"/>
                <w:szCs w:val="24"/>
                <w:lang w:eastAsia="en-GB"/>
              </w:rPr>
              <w:t>l’UNICEF</w:t>
            </w:r>
            <w:proofErr w:type="spellEnd"/>
          </w:p>
          <w:p w14:paraId="34A59B8B" w14:textId="77777777" w:rsidR="00FC7F1B" w:rsidRDefault="00FC7F1B">
            <w:pPr>
              <w:pStyle w:val="NoSpacing"/>
              <w:rPr>
                <w:rFonts w:asciiTheme="minorHAnsi" w:hAnsiTheme="minorHAnsi" w:cstheme="minorHAnsi"/>
                <w:b/>
                <w:bCs/>
                <w:sz w:val="24"/>
              </w:rPr>
            </w:pPr>
          </w:p>
        </w:tc>
        <w:tc>
          <w:tcPr>
            <w:tcW w:w="1979" w:type="dxa"/>
          </w:tcPr>
          <w:p w14:paraId="504CFA1D" w14:textId="77777777" w:rsidR="00FC7F1B" w:rsidRDefault="00000000">
            <w:pPr>
              <w:pStyle w:val="NoSpacing"/>
              <w:rPr>
                <w:rFonts w:asciiTheme="minorHAnsi" w:hAnsiTheme="minorHAnsi" w:cstheme="minorHAnsi"/>
                <w:b/>
                <w:bCs/>
                <w:i/>
                <w:iCs/>
                <w:sz w:val="22"/>
                <w:lang w:val="fr-FR"/>
              </w:rPr>
            </w:pPr>
            <w:r>
              <w:rPr>
                <w:rFonts w:asciiTheme="minorHAnsi" w:hAnsiTheme="minorHAnsi" w:cstheme="minorHAnsi"/>
                <w:b/>
                <w:bCs/>
                <w:i/>
                <w:iCs/>
                <w:sz w:val="22"/>
                <w:lang w:val="fr-FR"/>
              </w:rPr>
              <w:t>Date :</w:t>
            </w:r>
          </w:p>
        </w:tc>
        <w:tc>
          <w:tcPr>
            <w:tcW w:w="1979" w:type="dxa"/>
          </w:tcPr>
          <w:p w14:paraId="3424037A" w14:textId="77777777" w:rsidR="00FC7F1B" w:rsidRDefault="00FC7F1B">
            <w:pPr>
              <w:pStyle w:val="NoSpacing"/>
              <w:rPr>
                <w:rFonts w:asciiTheme="minorHAnsi" w:hAnsiTheme="minorHAnsi" w:cstheme="minorHAnsi"/>
                <w:b/>
                <w:bCs/>
                <w:i/>
                <w:iCs/>
                <w:sz w:val="22"/>
                <w:lang w:val="fr-FR"/>
              </w:rPr>
            </w:pPr>
          </w:p>
        </w:tc>
      </w:tr>
    </w:tbl>
    <w:p w14:paraId="55A9E58F" w14:textId="77777777" w:rsidR="00FC7F1B" w:rsidRDefault="00FC7F1B">
      <w:pPr>
        <w:jc w:val="both"/>
        <w:rPr>
          <w:rFonts w:asciiTheme="minorHAnsi" w:eastAsia="Times" w:hAnsiTheme="minorHAnsi" w:cstheme="minorHAnsi"/>
          <w:bCs/>
          <w:color w:val="000000"/>
          <w:szCs w:val="24"/>
          <w:lang w:val="fr-FR" w:eastAsia="en-GB"/>
        </w:rPr>
      </w:pPr>
    </w:p>
    <w:p w14:paraId="71D88F0A" w14:textId="77777777" w:rsidR="00FC7F1B" w:rsidRDefault="00FC7F1B">
      <w:pPr>
        <w:jc w:val="both"/>
        <w:rPr>
          <w:rFonts w:asciiTheme="minorHAnsi" w:eastAsia="Times" w:hAnsiTheme="minorHAnsi" w:cstheme="minorHAnsi"/>
          <w:bCs/>
          <w:color w:val="000000"/>
          <w:szCs w:val="24"/>
          <w:lang w:eastAsia="en-GB"/>
        </w:rPr>
      </w:pPr>
    </w:p>
    <w:sectPr w:rsidR="00FC7F1B">
      <w:headerReference w:type="default" r:id="rId19"/>
      <w:footerReference w:type="default" r:id="rId20"/>
      <w:pgSz w:w="12240" w:h="15840"/>
      <w:pgMar w:top="1440" w:right="1170" w:bottom="1440" w:left="1440" w:header="1577" w:footer="144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D1D7" w14:textId="77777777" w:rsidR="00AB2842" w:rsidRDefault="00AB2842">
      <w:r>
        <w:separator/>
      </w:r>
    </w:p>
  </w:endnote>
  <w:endnote w:type="continuationSeparator" w:id="0">
    <w:p w14:paraId="04387998" w14:textId="77777777" w:rsidR="00AB2842" w:rsidRDefault="00AB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
    <w:altName w:val="Arial"/>
    <w:panose1 w:val="020B0604020202030204"/>
    <w:charset w:val="00"/>
    <w:family w:val="swiss"/>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BoldM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8B24" w14:textId="77777777" w:rsidR="00FC7F1B" w:rsidRDefault="00000000">
    <w:pPr>
      <w:pStyle w:val="Footer"/>
      <w:rPr>
        <w:rFonts w:ascii="Arial" w:hAnsi="Arial" w:cs="Arial"/>
        <w:sz w:val="18"/>
      </w:rPr>
    </w:pPr>
    <w:r>
      <w:rPr>
        <w:noProof/>
      </w:rPr>
      <mc:AlternateContent>
        <mc:Choice Requires="wps">
          <w:drawing>
            <wp:anchor distT="0" distB="0" distL="114300" distR="114300" simplePos="0" relativeHeight="251664384" behindDoc="0" locked="0" layoutInCell="1" allowOverlap="1" wp14:anchorId="4EA35DB1" wp14:editId="6C4E28D6">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891F5" w14:textId="77777777" w:rsidR="00FC7F1B" w:rsidRDefault="00000000">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nFEXqBoCAABUBAAADgAA&#10;AAAAAAABACAAAAAfAQAAZHJzL2Uyb0RvYy54bWxQSwUGAAAAAAYABgBZAQAAq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D819C45" wp14:editId="4054C6BA">
              <wp:simplePos x="0" y="0"/>
              <wp:positionH relativeFrom="column">
                <wp:posOffset>-4445</wp:posOffset>
              </wp:positionH>
              <wp:positionV relativeFrom="paragraph">
                <wp:posOffset>43180</wp:posOffset>
              </wp:positionV>
              <wp:extent cx="6058535"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6058535" cy="345440"/>
                      </a:xfrm>
                      <a:prstGeom prst="rect">
                        <a:avLst/>
                      </a:prstGeom>
                      <a:noFill/>
                      <a:ln>
                        <a:noFill/>
                      </a:ln>
                      <a:effectLst/>
                    </wps:spPr>
                    <wps:txbx>
                      <w:txbxContent>
                        <w:p w14:paraId="08C4E2EB" w14:textId="77777777" w:rsidR="00FC7F1B" w:rsidRDefault="00000000">
                          <w:pPr>
                            <w:spacing w:line="276" w:lineRule="auto"/>
                            <w:jc w:val="center"/>
                            <w:rPr>
                              <w:rFonts w:ascii="Arial" w:hAnsi="Arial" w:cs="Arial"/>
                              <w:color w:val="A6A6A6"/>
                              <w:sz w:val="14"/>
                              <w:szCs w:val="14"/>
                              <w:lang w:val="fr-FR"/>
                            </w:rPr>
                          </w:pPr>
                          <w:r>
                            <w:rPr>
                              <w:rFonts w:ascii="Arial" w:hAnsi="Arial" w:cs="Arial"/>
                              <w:color w:val="A6A6A6"/>
                              <w:sz w:val="14"/>
                              <w:szCs w:val="14"/>
                              <w:lang w:val="fr-FR"/>
                            </w:rPr>
                            <w:t>Présent dans plus de 190 pays et territoires par le biais de programmes pays et de comités nationaux.</w:t>
                          </w:r>
                        </w:p>
                        <w:p w14:paraId="0441F8CA" w14:textId="77777777" w:rsidR="00FC7F1B" w:rsidRDefault="00000000">
                          <w:pPr>
                            <w:spacing w:line="276" w:lineRule="auto"/>
                            <w:jc w:val="center"/>
                            <w:rPr>
                              <w:rFonts w:ascii="Arial" w:hAnsi="Arial" w:cs="Arial"/>
                              <w:color w:val="A6A6A6"/>
                              <w:sz w:val="16"/>
                              <w:lang w:val="fr-FR"/>
                            </w:rPr>
                          </w:pPr>
                          <w:r>
                            <w:rPr>
                              <w:rFonts w:ascii="Arial" w:hAnsi="Arial" w:cs="Arial"/>
                              <w:color w:val="A6A6A6"/>
                              <w:sz w:val="14"/>
                              <w:szCs w:val="14"/>
                              <w:lang w:val="fr-FR"/>
                            </w:rPr>
                            <w:t>Nous sommes l'UNICEF, le Fonds des Nations Unies pour l'Enfance</w:t>
                          </w:r>
                          <w:r>
                            <w:rPr>
                              <w:rFonts w:ascii="Arial" w:hAnsi="Arial" w:cs="Arial"/>
                              <w:color w:val="A6A6A6"/>
                              <w:sz w:val="16"/>
                              <w:lang w:val="fr-FR"/>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0.35pt;margin-top:3.4pt;height:27.2pt;width:477.05pt;z-index:251662336;mso-width-relative:page;mso-height-relative:page;" filled="f" stroked="f" coordsize="21600,21600" o:gfxdata="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AA&#10;yY7TAAAABgEAAA8AAAAAAAAAAQAgAAAAIgAAAGRycy9kb3ducmV2LnhtbFBLAQIUABQAAAAIAIdO&#10;4kDB1WEqKAIAAGoEAAAOAAAAAAAAAAEAIAAAACIBAABkcnMvZTJvRG9jLnhtbFBLBQYAAAAABgAG&#10;AFkBAAC8BQAAAAA=&#10;">
              <v:fill on="f" focussize="0,0"/>
              <v:stroke on="f"/>
              <v:imagedata o:title=""/>
              <o:lock v:ext="edit" aspectratio="f"/>
              <v:textbox>
                <w:txbxContent>
                  <w:p>
                    <w:pPr>
                      <w:spacing w:line="276" w:lineRule="auto"/>
                      <w:jc w:val="center"/>
                      <w:rPr>
                        <w:rFonts w:ascii="Arial" w:hAnsi="Arial" w:cs="Arial"/>
                        <w:color w:val="A6A6A6"/>
                        <w:sz w:val="14"/>
                        <w:szCs w:val="14"/>
                        <w:lang w:val="fr-FR"/>
                      </w:rPr>
                    </w:pPr>
                    <w:r>
                      <w:rPr>
                        <w:rFonts w:ascii="Arial" w:hAnsi="Arial" w:cs="Arial"/>
                        <w:color w:val="A6A6A6"/>
                        <w:sz w:val="14"/>
                        <w:szCs w:val="14"/>
                        <w:lang w:val="fr-FR"/>
                      </w:rPr>
                      <w:t>Présent dans plus de 190 pays et territoires par le biais de programmes pays et de comités nationaux.</w:t>
                    </w:r>
                  </w:p>
                  <w:p>
                    <w:pPr>
                      <w:spacing w:line="276" w:lineRule="auto"/>
                      <w:jc w:val="center"/>
                      <w:rPr>
                        <w:rFonts w:ascii="Arial" w:hAnsi="Arial" w:cs="Arial"/>
                        <w:color w:val="A6A6A6"/>
                        <w:sz w:val="16"/>
                        <w:lang w:val="fr-FR"/>
                      </w:rPr>
                    </w:pPr>
                    <w:r>
                      <w:rPr>
                        <w:rFonts w:ascii="Arial" w:hAnsi="Arial" w:cs="Arial"/>
                        <w:color w:val="A6A6A6"/>
                        <w:sz w:val="14"/>
                        <w:szCs w:val="14"/>
                        <w:lang w:val="fr-FR"/>
                      </w:rPr>
                      <w:t>Nous sommes l'UNICEF, le Fonds des Nations Unies pour l'Enfance</w:t>
                    </w:r>
                    <w:r>
                      <w:rPr>
                        <w:rFonts w:ascii="Arial" w:hAnsi="Arial" w:cs="Arial"/>
                        <w:color w:val="A6A6A6"/>
                        <w:sz w:val="16"/>
                        <w:lang w:val="fr-FR"/>
                      </w:rPr>
                      <w: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F58A83D" wp14:editId="573AD765">
              <wp:simplePos x="0" y="0"/>
              <wp:positionH relativeFrom="column">
                <wp:posOffset>0</wp:posOffset>
              </wp:positionH>
              <wp:positionV relativeFrom="paragraph">
                <wp:posOffset>0</wp:posOffset>
              </wp:positionV>
              <wp:extent cx="5819775" cy="0"/>
              <wp:effectExtent l="0" t="0" r="22225" b="25400"/>
              <wp:wrapNone/>
              <wp:docPr id="2" name="Straight Connector 2"/>
              <wp:cNvGraphicFramePr/>
              <a:graphic xmlns:a="http://schemas.openxmlformats.org/drawingml/2006/main">
                <a:graphicData uri="http://schemas.microsoft.com/office/word/2010/wordprocessingShape">
                  <wps:wsp>
                    <wps:cNvCnPr/>
                    <wps:spPr>
                      <a:xfrm>
                        <a:off x="0" y="0"/>
                        <a:ext cx="5819775" cy="0"/>
                      </a:xfrm>
                      <a:prstGeom prst="line">
                        <a:avLst/>
                      </a:prstGeom>
                      <a:noFill/>
                      <a:ln w="9525" cap="flat" cmpd="sng" algn="ctr">
                        <a:solidFill>
                          <a:sysClr val="window" lastClr="FFFFFF">
                            <a:lumMod val="65000"/>
                          </a:sysClr>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0pt;margin-top:0pt;height:0pt;width:458.25pt;z-index:251661312;mso-width-relative:page;mso-height-relative:page;" filled="f" stroked="t" coordsize="21600,21600" o:gfxdata="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4uPctEAAAACAQAADwAAAAAAAAABACAAAAAiAAAAZHJzL2Rvd25yZXYueG1sUEsBAhQAFAAAAAgA&#10;h07iQJg2p6PzAQAA8wMAAA4AAAAAAAAAAQAgAAAAIAEAAGRycy9lMm9Eb2MueG1sUEsFBgAAAAAG&#10;AAYAWQEAAIUFAAAAAA==&#10;">
              <v:fill on="f" focussize="0,0"/>
              <v:stroke color="#A6A6A6" miterlimit="8" joinstyle="miter"/>
              <v:imagedata o:title=""/>
              <o:lock v:ext="edit" aspectratio="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0227A" w14:textId="77777777" w:rsidR="00AB2842" w:rsidRDefault="00AB2842">
      <w:r>
        <w:separator/>
      </w:r>
    </w:p>
  </w:footnote>
  <w:footnote w:type="continuationSeparator" w:id="0">
    <w:p w14:paraId="1EB0C02F" w14:textId="77777777" w:rsidR="00AB2842" w:rsidRDefault="00AB2842">
      <w:r>
        <w:continuationSeparator/>
      </w:r>
    </w:p>
  </w:footnote>
  <w:footnote w:id="1">
    <w:p w14:paraId="0766101E" w14:textId="77777777" w:rsidR="00FC7F1B" w:rsidRDefault="00000000">
      <w:pPr>
        <w:pStyle w:val="FootnoteText"/>
        <w:rPr>
          <w:rFonts w:asciiTheme="minorHAnsi" w:hAnsiTheme="minorHAnsi" w:cstheme="minorHAnsi"/>
          <w:sz w:val="18"/>
          <w:szCs w:val="18"/>
          <w:lang w:val="fr-FR"/>
        </w:rPr>
      </w:pPr>
      <w:r>
        <w:rPr>
          <w:rStyle w:val="FootnoteReference"/>
          <w:rFonts w:asciiTheme="minorHAnsi" w:hAnsiTheme="minorHAnsi" w:cstheme="minorHAnsi"/>
          <w:sz w:val="18"/>
          <w:szCs w:val="18"/>
        </w:rPr>
        <w:footnoteRef/>
      </w:r>
      <w:r>
        <w:rPr>
          <w:rFonts w:asciiTheme="minorHAnsi" w:hAnsiTheme="minorHAnsi" w:cstheme="minorHAnsi"/>
          <w:sz w:val="18"/>
          <w:szCs w:val="18"/>
          <w:lang w:val="fr-FR"/>
        </w:rPr>
        <w:t xml:space="preserve"> </w:t>
      </w:r>
      <w:r>
        <w:rPr>
          <w:rFonts w:asciiTheme="minorHAnsi" w:hAnsiTheme="minorHAnsi" w:cstheme="minorHAnsi"/>
          <w:sz w:val="18"/>
          <w:szCs w:val="18"/>
          <w:shd w:val="clear" w:color="auto" w:fill="F6F5F2"/>
          <w:lang w:val="fr-FR"/>
        </w:rPr>
        <w:t xml:space="preserve">La migration mixte désigne « les mouvements transfrontaliers de personnes, y compris les réfugiés fuyant les persécutions et les conflits, les victimes de la traite et les personnes à la recherche d’une vie meilleure ou de perspectives nouvelles. </w:t>
      </w:r>
    </w:p>
  </w:footnote>
  <w:footnote w:id="2">
    <w:p w14:paraId="7184FAE1" w14:textId="77777777" w:rsidR="00FC7F1B" w:rsidRDefault="00000000">
      <w:pPr>
        <w:pStyle w:val="FootnoteText"/>
        <w:rPr>
          <w:lang w:val="fr-FR"/>
        </w:rPr>
      </w:pPr>
      <w:r>
        <w:rPr>
          <w:rStyle w:val="FootnoteReference"/>
        </w:rPr>
        <w:footnoteRef/>
      </w:r>
      <w:r>
        <w:rPr>
          <w:lang w:val="fr-FR"/>
        </w:rPr>
        <w:t xml:space="preserve"> </w:t>
      </w:r>
      <w:hyperlink r:id="rId1" w:history="1">
        <w:r>
          <w:rPr>
            <w:rStyle w:val="Hyperlink"/>
            <w:lang w:val="fr-FR"/>
          </w:rPr>
          <w:t>https://au.int/sites/default/files/documents/41748-doc-Study_Report-Migration_and_Health-From_Policy_to_Practice_FRE.pdf</w:t>
        </w:r>
      </w:hyperlink>
      <w:r>
        <w:rPr>
          <w:lang w:val="fr-FR"/>
        </w:rPr>
        <w:t xml:space="preserve"> </w:t>
      </w:r>
    </w:p>
  </w:footnote>
  <w:footnote w:id="3">
    <w:p w14:paraId="15997B7B" w14:textId="77777777" w:rsidR="00FC7F1B" w:rsidRDefault="00000000">
      <w:pPr>
        <w:pStyle w:val="FootnoteText"/>
        <w:rPr>
          <w:lang w:val="fr-FR"/>
        </w:rPr>
      </w:pPr>
      <w:r>
        <w:rPr>
          <w:rStyle w:val="FootnoteReference"/>
        </w:rPr>
        <w:footnoteRef/>
      </w:r>
      <w:r>
        <w:rPr>
          <w:lang w:val="fr-FR"/>
        </w:rPr>
        <w:t xml:space="preserve"> </w:t>
      </w:r>
      <w:bookmarkStart w:id="2" w:name="_Hlk20558548"/>
      <w:r>
        <w:fldChar w:fldCharType="begin"/>
      </w:r>
      <w:r>
        <w:rPr>
          <w:lang w:val="fr-FR"/>
        </w:rPr>
        <w:instrText xml:space="preserve"> HYPERLINK "http://www.unevaluation.org/document/detail/1914" </w:instrText>
      </w:r>
      <w:r>
        <w:fldChar w:fldCharType="separate"/>
      </w:r>
      <w:r>
        <w:rPr>
          <w:rStyle w:val="Hyperlink"/>
          <w:lang w:val="fr-FR"/>
        </w:rPr>
        <w:t>http://www.unevaluation.org/document/detail/1914</w:t>
      </w:r>
      <w:r>
        <w:fldChar w:fldCharType="end"/>
      </w:r>
      <w:bookmarkEnd w:id="2"/>
    </w:p>
  </w:footnote>
  <w:footnote w:id="4">
    <w:p w14:paraId="3C22ED55" w14:textId="77777777" w:rsidR="00FC7F1B" w:rsidRDefault="00000000">
      <w:pPr>
        <w:pStyle w:val="FootnoteText"/>
        <w:rPr>
          <w:lang w:val="fr-FR"/>
        </w:rPr>
      </w:pPr>
      <w:r>
        <w:rPr>
          <w:rStyle w:val="FootnoteReference"/>
        </w:rPr>
        <w:footnoteRef/>
      </w:r>
      <w:r>
        <w:rPr>
          <w:lang w:val="fr-FR"/>
        </w:rPr>
        <w:t xml:space="preserve"> </w:t>
      </w:r>
      <w:bookmarkStart w:id="3" w:name="_Hlk20559075"/>
      <w:r>
        <w:fldChar w:fldCharType="begin"/>
      </w:r>
      <w:r>
        <w:rPr>
          <w:lang w:val="fr-FR"/>
        </w:rPr>
        <w:instrText xml:space="preserve"> HYPERLINK "http://www.uneval.org/document/detail/607" </w:instrText>
      </w:r>
      <w:r>
        <w:fldChar w:fldCharType="separate"/>
      </w:r>
      <w:r>
        <w:rPr>
          <w:rStyle w:val="Hyperlink"/>
          <w:lang w:val="fr-FR"/>
        </w:rPr>
        <w:t>http://www.uneval.org/document/detail/607</w:t>
      </w:r>
      <w:r>
        <w:fldChar w:fldCharType="end"/>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6043" w14:textId="77777777" w:rsidR="00FC7F1B" w:rsidRDefault="00FC7F1B">
    <w:pPr>
      <w:pStyle w:val="AddressText"/>
      <w:tabs>
        <w:tab w:val="clear" w:pos="2693"/>
        <w:tab w:val="left" w:pos="5254"/>
        <w:tab w:val="left" w:pos="7952"/>
        <w:tab w:val="left" w:pos="8946"/>
      </w:tabs>
      <w:ind w:firstLine="567"/>
      <w:rPr>
        <w:color w:val="00B0F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08372"/>
    <w:multiLevelType w:val="singleLevel"/>
    <w:tmpl w:val="80B08372"/>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99F0F25A"/>
    <w:multiLevelType w:val="singleLevel"/>
    <w:tmpl w:val="99F0F25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A639F645"/>
    <w:multiLevelType w:val="singleLevel"/>
    <w:tmpl w:val="A639F645"/>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A7069746"/>
    <w:multiLevelType w:val="singleLevel"/>
    <w:tmpl w:val="A7069746"/>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A83244FE"/>
    <w:multiLevelType w:val="singleLevel"/>
    <w:tmpl w:val="A83244FE"/>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C875AAB0"/>
    <w:multiLevelType w:val="singleLevel"/>
    <w:tmpl w:val="C875AAB0"/>
    <w:lvl w:ilvl="0">
      <w:start w:val="1"/>
      <w:numFmt w:val="decimal"/>
      <w:lvlText w:val="%1."/>
      <w:lvlJc w:val="left"/>
      <w:pPr>
        <w:tabs>
          <w:tab w:val="left" w:pos="425"/>
        </w:tabs>
        <w:ind w:left="425" w:hanging="425"/>
      </w:pPr>
      <w:rPr>
        <w:rFonts w:hint="default"/>
      </w:rPr>
    </w:lvl>
  </w:abstractNum>
  <w:abstractNum w:abstractNumId="6" w15:restartNumberingAfterBreak="0">
    <w:nsid w:val="CD05E08E"/>
    <w:multiLevelType w:val="singleLevel"/>
    <w:tmpl w:val="CD05E08E"/>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00B24FF0"/>
    <w:multiLevelType w:val="multilevel"/>
    <w:tmpl w:val="00B24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8D6E42"/>
    <w:multiLevelType w:val="multilevel"/>
    <w:tmpl w:val="0A8D6E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54375B"/>
    <w:multiLevelType w:val="multilevel"/>
    <w:tmpl w:val="0F54375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61C10B"/>
    <w:multiLevelType w:val="singleLevel"/>
    <w:tmpl w:val="2661C10B"/>
    <w:lvl w:ilvl="0">
      <w:start w:val="1"/>
      <w:numFmt w:val="bullet"/>
      <w:lvlText w:val=""/>
      <w:lvlJc w:val="left"/>
      <w:pPr>
        <w:tabs>
          <w:tab w:val="left" w:pos="420"/>
        </w:tabs>
        <w:ind w:left="420" w:hanging="420"/>
      </w:pPr>
      <w:rPr>
        <w:rFonts w:ascii="Wingdings" w:hAnsi="Wingdings" w:hint="default"/>
      </w:rPr>
    </w:lvl>
  </w:abstractNum>
  <w:abstractNum w:abstractNumId="11" w15:restartNumberingAfterBreak="0">
    <w:nsid w:val="368EA785"/>
    <w:multiLevelType w:val="singleLevel"/>
    <w:tmpl w:val="368EA785"/>
    <w:lvl w:ilvl="0">
      <w:start w:val="1"/>
      <w:numFmt w:val="bullet"/>
      <w:lvlText w:val=""/>
      <w:lvlJc w:val="left"/>
      <w:pPr>
        <w:tabs>
          <w:tab w:val="left" w:pos="420"/>
        </w:tabs>
        <w:ind w:left="420" w:hanging="420"/>
      </w:pPr>
      <w:rPr>
        <w:rFonts w:ascii="Wingdings" w:hAnsi="Wingdings" w:hint="default"/>
      </w:rPr>
    </w:lvl>
  </w:abstractNum>
  <w:abstractNum w:abstractNumId="12" w15:restartNumberingAfterBreak="0">
    <w:nsid w:val="47B82AA0"/>
    <w:multiLevelType w:val="multilevel"/>
    <w:tmpl w:val="47B82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2595A9"/>
    <w:multiLevelType w:val="singleLevel"/>
    <w:tmpl w:val="4D2595A9"/>
    <w:lvl w:ilvl="0">
      <w:start w:val="1"/>
      <w:numFmt w:val="bullet"/>
      <w:lvlText w:val=""/>
      <w:lvlJc w:val="left"/>
      <w:pPr>
        <w:tabs>
          <w:tab w:val="left" w:pos="420"/>
        </w:tabs>
        <w:ind w:left="420" w:hanging="420"/>
      </w:pPr>
      <w:rPr>
        <w:rFonts w:ascii="Wingdings" w:hAnsi="Wingdings" w:hint="default"/>
      </w:rPr>
    </w:lvl>
  </w:abstractNum>
  <w:abstractNum w:abstractNumId="14" w15:restartNumberingAfterBreak="0">
    <w:nsid w:val="58514196"/>
    <w:multiLevelType w:val="singleLevel"/>
    <w:tmpl w:val="58514196"/>
    <w:lvl w:ilvl="0">
      <w:start w:val="1"/>
      <w:numFmt w:val="upperRoman"/>
      <w:suff w:val="space"/>
      <w:lvlText w:val="%1."/>
      <w:lvlJc w:val="left"/>
      <w:rPr>
        <w:b/>
        <w:bCs w:val="0"/>
        <w:color w:val="0070C0"/>
      </w:rPr>
    </w:lvl>
  </w:abstractNum>
  <w:abstractNum w:abstractNumId="15" w15:restartNumberingAfterBreak="0">
    <w:nsid w:val="58947219"/>
    <w:multiLevelType w:val="multilevel"/>
    <w:tmpl w:val="589472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8B3D08"/>
    <w:multiLevelType w:val="multilevel"/>
    <w:tmpl w:val="5B8B3D08"/>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BD849AD"/>
    <w:multiLevelType w:val="multilevel"/>
    <w:tmpl w:val="5BD84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6305076"/>
    <w:multiLevelType w:val="multilevel"/>
    <w:tmpl w:val="76305076"/>
    <w:lvl w:ilvl="0">
      <w:start w:val="1"/>
      <w:numFmt w:val="lowerLetter"/>
      <w:lvlText w:val="%1)"/>
      <w:lvlJc w:val="left"/>
      <w:pPr>
        <w:ind w:left="54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67362450">
    <w:abstractNumId w:val="14"/>
  </w:num>
  <w:num w:numId="2" w16cid:durableId="2003972823">
    <w:abstractNumId w:val="8"/>
  </w:num>
  <w:num w:numId="3" w16cid:durableId="1343241110">
    <w:abstractNumId w:val="16"/>
  </w:num>
  <w:num w:numId="4" w16cid:durableId="1395081642">
    <w:abstractNumId w:val="3"/>
  </w:num>
  <w:num w:numId="5" w16cid:durableId="1853301091">
    <w:abstractNumId w:val="11"/>
  </w:num>
  <w:num w:numId="6" w16cid:durableId="70544157">
    <w:abstractNumId w:val="2"/>
  </w:num>
  <w:num w:numId="7" w16cid:durableId="764182486">
    <w:abstractNumId w:val="17"/>
  </w:num>
  <w:num w:numId="8" w16cid:durableId="980695443">
    <w:abstractNumId w:val="4"/>
  </w:num>
  <w:num w:numId="9" w16cid:durableId="1585407668">
    <w:abstractNumId w:val="1"/>
  </w:num>
  <w:num w:numId="10" w16cid:durableId="545066800">
    <w:abstractNumId w:val="9"/>
  </w:num>
  <w:num w:numId="11" w16cid:durableId="1655987889">
    <w:abstractNumId w:val="6"/>
  </w:num>
  <w:num w:numId="12" w16cid:durableId="1107890889">
    <w:abstractNumId w:val="0"/>
  </w:num>
  <w:num w:numId="13" w16cid:durableId="1585459756">
    <w:abstractNumId w:val="10"/>
  </w:num>
  <w:num w:numId="14" w16cid:durableId="1912423795">
    <w:abstractNumId w:val="15"/>
  </w:num>
  <w:num w:numId="15" w16cid:durableId="1403916765">
    <w:abstractNumId w:val="13"/>
  </w:num>
  <w:num w:numId="16" w16cid:durableId="1889682675">
    <w:abstractNumId w:val="5"/>
  </w:num>
  <w:num w:numId="17" w16cid:durableId="734595807">
    <w:abstractNumId w:val="18"/>
  </w:num>
  <w:num w:numId="18" w16cid:durableId="212665811">
    <w:abstractNumId w:val="7"/>
  </w:num>
  <w:num w:numId="19" w16cid:durableId="13329482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5D"/>
    <w:rsid w:val="00001F35"/>
    <w:rsid w:val="000056B4"/>
    <w:rsid w:val="00007E4A"/>
    <w:rsid w:val="00012F05"/>
    <w:rsid w:val="0001469A"/>
    <w:rsid w:val="000236EB"/>
    <w:rsid w:val="000237B1"/>
    <w:rsid w:val="00024CA2"/>
    <w:rsid w:val="00024E2B"/>
    <w:rsid w:val="00025F29"/>
    <w:rsid w:val="00027AD8"/>
    <w:rsid w:val="00030834"/>
    <w:rsid w:val="000310DE"/>
    <w:rsid w:val="00035170"/>
    <w:rsid w:val="00037BF6"/>
    <w:rsid w:val="00037E5B"/>
    <w:rsid w:val="000415E9"/>
    <w:rsid w:val="0004433C"/>
    <w:rsid w:val="0004690F"/>
    <w:rsid w:val="0005171B"/>
    <w:rsid w:val="00056A18"/>
    <w:rsid w:val="00056D1C"/>
    <w:rsid w:val="000576DC"/>
    <w:rsid w:val="000605C2"/>
    <w:rsid w:val="000666E7"/>
    <w:rsid w:val="00066CAF"/>
    <w:rsid w:val="0006759D"/>
    <w:rsid w:val="00070E7C"/>
    <w:rsid w:val="00076437"/>
    <w:rsid w:val="00077B08"/>
    <w:rsid w:val="00081CDF"/>
    <w:rsid w:val="0009298D"/>
    <w:rsid w:val="000954DF"/>
    <w:rsid w:val="00096108"/>
    <w:rsid w:val="000A4A5C"/>
    <w:rsid w:val="000A7045"/>
    <w:rsid w:val="000B5829"/>
    <w:rsid w:val="000B594D"/>
    <w:rsid w:val="000B7B8F"/>
    <w:rsid w:val="000C3710"/>
    <w:rsid w:val="000C3F51"/>
    <w:rsid w:val="000C4591"/>
    <w:rsid w:val="000C7DA2"/>
    <w:rsid w:val="000C7E1D"/>
    <w:rsid w:val="000D19F1"/>
    <w:rsid w:val="000D1A1A"/>
    <w:rsid w:val="000D22E7"/>
    <w:rsid w:val="000D3282"/>
    <w:rsid w:val="000D4A49"/>
    <w:rsid w:val="000D6CA1"/>
    <w:rsid w:val="000E1755"/>
    <w:rsid w:val="000E3253"/>
    <w:rsid w:val="000E3968"/>
    <w:rsid w:val="000E414F"/>
    <w:rsid w:val="000E7A32"/>
    <w:rsid w:val="000F134A"/>
    <w:rsid w:val="000F49BE"/>
    <w:rsid w:val="000F6440"/>
    <w:rsid w:val="000F650D"/>
    <w:rsid w:val="000F749A"/>
    <w:rsid w:val="00112DEE"/>
    <w:rsid w:val="00113F10"/>
    <w:rsid w:val="00115E74"/>
    <w:rsid w:val="00120EBA"/>
    <w:rsid w:val="00123504"/>
    <w:rsid w:val="0012364E"/>
    <w:rsid w:val="00123F55"/>
    <w:rsid w:val="00135935"/>
    <w:rsid w:val="001363D4"/>
    <w:rsid w:val="00137D76"/>
    <w:rsid w:val="00146359"/>
    <w:rsid w:val="00150C90"/>
    <w:rsid w:val="00151D19"/>
    <w:rsid w:val="00151D6A"/>
    <w:rsid w:val="00152E97"/>
    <w:rsid w:val="00153265"/>
    <w:rsid w:val="00154641"/>
    <w:rsid w:val="00154647"/>
    <w:rsid w:val="001555CD"/>
    <w:rsid w:val="00156298"/>
    <w:rsid w:val="00156624"/>
    <w:rsid w:val="00156C48"/>
    <w:rsid w:val="0015757A"/>
    <w:rsid w:val="00161F6C"/>
    <w:rsid w:val="00163E2C"/>
    <w:rsid w:val="00164C95"/>
    <w:rsid w:val="0016538D"/>
    <w:rsid w:val="00165C9B"/>
    <w:rsid w:val="00165D52"/>
    <w:rsid w:val="0017029E"/>
    <w:rsid w:val="001715B6"/>
    <w:rsid w:val="00175E9C"/>
    <w:rsid w:val="00176711"/>
    <w:rsid w:val="00183FA9"/>
    <w:rsid w:val="001864C4"/>
    <w:rsid w:val="00190013"/>
    <w:rsid w:val="001977A0"/>
    <w:rsid w:val="001A4008"/>
    <w:rsid w:val="001A4B63"/>
    <w:rsid w:val="001A65FB"/>
    <w:rsid w:val="001B190C"/>
    <w:rsid w:val="001B77DE"/>
    <w:rsid w:val="001C00CB"/>
    <w:rsid w:val="001C067A"/>
    <w:rsid w:val="001C1775"/>
    <w:rsid w:val="001C263F"/>
    <w:rsid w:val="001D7098"/>
    <w:rsid w:val="001E0DE7"/>
    <w:rsid w:val="001E112E"/>
    <w:rsid w:val="001E52CC"/>
    <w:rsid w:val="001E7405"/>
    <w:rsid w:val="001F651F"/>
    <w:rsid w:val="00205A29"/>
    <w:rsid w:val="002072D5"/>
    <w:rsid w:val="002073A0"/>
    <w:rsid w:val="00211029"/>
    <w:rsid w:val="002111FD"/>
    <w:rsid w:val="00211316"/>
    <w:rsid w:val="00211A2F"/>
    <w:rsid w:val="0021319A"/>
    <w:rsid w:val="00215E5E"/>
    <w:rsid w:val="00216070"/>
    <w:rsid w:val="00216A60"/>
    <w:rsid w:val="00216BF4"/>
    <w:rsid w:val="00221668"/>
    <w:rsid w:val="00227D74"/>
    <w:rsid w:val="00234ECD"/>
    <w:rsid w:val="00235A10"/>
    <w:rsid w:val="00235CCB"/>
    <w:rsid w:val="00236C5B"/>
    <w:rsid w:val="00240A49"/>
    <w:rsid w:val="002460BE"/>
    <w:rsid w:val="00246628"/>
    <w:rsid w:val="002466FC"/>
    <w:rsid w:val="00247353"/>
    <w:rsid w:val="00250687"/>
    <w:rsid w:val="0026183E"/>
    <w:rsid w:val="00264B11"/>
    <w:rsid w:val="0026644B"/>
    <w:rsid w:val="00273F7E"/>
    <w:rsid w:val="002755AD"/>
    <w:rsid w:val="00285811"/>
    <w:rsid w:val="002869AE"/>
    <w:rsid w:val="0028700D"/>
    <w:rsid w:val="0029290B"/>
    <w:rsid w:val="00293255"/>
    <w:rsid w:val="00293C94"/>
    <w:rsid w:val="002953B0"/>
    <w:rsid w:val="002A01DA"/>
    <w:rsid w:val="002A0206"/>
    <w:rsid w:val="002A10B8"/>
    <w:rsid w:val="002A4F47"/>
    <w:rsid w:val="002A6134"/>
    <w:rsid w:val="002A7593"/>
    <w:rsid w:val="002B2A26"/>
    <w:rsid w:val="002B3436"/>
    <w:rsid w:val="002B41CA"/>
    <w:rsid w:val="002B60F9"/>
    <w:rsid w:val="002B651B"/>
    <w:rsid w:val="002B7647"/>
    <w:rsid w:val="002B7E57"/>
    <w:rsid w:val="002C5AA6"/>
    <w:rsid w:val="002C5C99"/>
    <w:rsid w:val="002D0C54"/>
    <w:rsid w:val="002D16CD"/>
    <w:rsid w:val="002D19AA"/>
    <w:rsid w:val="002D38E9"/>
    <w:rsid w:val="002D4A0D"/>
    <w:rsid w:val="002D4DEF"/>
    <w:rsid w:val="002D62E4"/>
    <w:rsid w:val="002D7D3A"/>
    <w:rsid w:val="002E1522"/>
    <w:rsid w:val="002E3BC8"/>
    <w:rsid w:val="002E443D"/>
    <w:rsid w:val="002E471F"/>
    <w:rsid w:val="002E4D8D"/>
    <w:rsid w:val="002E553C"/>
    <w:rsid w:val="002F0EC6"/>
    <w:rsid w:val="002F11DA"/>
    <w:rsid w:val="002F2367"/>
    <w:rsid w:val="002F61EE"/>
    <w:rsid w:val="003005E7"/>
    <w:rsid w:val="00301FE6"/>
    <w:rsid w:val="00304790"/>
    <w:rsid w:val="00310EF1"/>
    <w:rsid w:val="0031352D"/>
    <w:rsid w:val="00315226"/>
    <w:rsid w:val="00316263"/>
    <w:rsid w:val="00317817"/>
    <w:rsid w:val="00320886"/>
    <w:rsid w:val="0032151B"/>
    <w:rsid w:val="00322FAE"/>
    <w:rsid w:val="00326994"/>
    <w:rsid w:val="0033002C"/>
    <w:rsid w:val="0033656B"/>
    <w:rsid w:val="00336EDF"/>
    <w:rsid w:val="0034354C"/>
    <w:rsid w:val="00346273"/>
    <w:rsid w:val="003467C1"/>
    <w:rsid w:val="00351FB3"/>
    <w:rsid w:val="003523F4"/>
    <w:rsid w:val="0035299E"/>
    <w:rsid w:val="003538FC"/>
    <w:rsid w:val="00353905"/>
    <w:rsid w:val="00355354"/>
    <w:rsid w:val="00362340"/>
    <w:rsid w:val="00366635"/>
    <w:rsid w:val="00367BAC"/>
    <w:rsid w:val="0037152D"/>
    <w:rsid w:val="00373453"/>
    <w:rsid w:val="0037425C"/>
    <w:rsid w:val="00374C02"/>
    <w:rsid w:val="00381CEE"/>
    <w:rsid w:val="0038200F"/>
    <w:rsid w:val="00384FBE"/>
    <w:rsid w:val="003950DC"/>
    <w:rsid w:val="00395209"/>
    <w:rsid w:val="00396BF0"/>
    <w:rsid w:val="00397D16"/>
    <w:rsid w:val="003A00B6"/>
    <w:rsid w:val="003A24D5"/>
    <w:rsid w:val="003A34EE"/>
    <w:rsid w:val="003A61D2"/>
    <w:rsid w:val="003B3F83"/>
    <w:rsid w:val="003B52AA"/>
    <w:rsid w:val="003B5A97"/>
    <w:rsid w:val="003B67CB"/>
    <w:rsid w:val="003C1C52"/>
    <w:rsid w:val="003C259A"/>
    <w:rsid w:val="003C3058"/>
    <w:rsid w:val="003C48FF"/>
    <w:rsid w:val="003C62E5"/>
    <w:rsid w:val="003D04D3"/>
    <w:rsid w:val="003D0F6C"/>
    <w:rsid w:val="003D2BCF"/>
    <w:rsid w:val="003D42F1"/>
    <w:rsid w:val="003D6612"/>
    <w:rsid w:val="003D7FD1"/>
    <w:rsid w:val="003E0DBD"/>
    <w:rsid w:val="003E2E8C"/>
    <w:rsid w:val="003E4220"/>
    <w:rsid w:val="003E7E75"/>
    <w:rsid w:val="003F16AF"/>
    <w:rsid w:val="003F1E33"/>
    <w:rsid w:val="003F50D0"/>
    <w:rsid w:val="003F6816"/>
    <w:rsid w:val="003F77F8"/>
    <w:rsid w:val="00400E8F"/>
    <w:rsid w:val="00404ED2"/>
    <w:rsid w:val="004068A8"/>
    <w:rsid w:val="004069C0"/>
    <w:rsid w:val="00407665"/>
    <w:rsid w:val="00407853"/>
    <w:rsid w:val="00407931"/>
    <w:rsid w:val="004108D4"/>
    <w:rsid w:val="00411ADA"/>
    <w:rsid w:val="00411F46"/>
    <w:rsid w:val="0041257D"/>
    <w:rsid w:val="00412745"/>
    <w:rsid w:val="00416141"/>
    <w:rsid w:val="00422305"/>
    <w:rsid w:val="0042785D"/>
    <w:rsid w:val="00432113"/>
    <w:rsid w:val="00432B52"/>
    <w:rsid w:val="00433309"/>
    <w:rsid w:val="00435AB0"/>
    <w:rsid w:val="00436A9C"/>
    <w:rsid w:val="00440525"/>
    <w:rsid w:val="004422B0"/>
    <w:rsid w:val="004429D6"/>
    <w:rsid w:val="00442C26"/>
    <w:rsid w:val="00442E8D"/>
    <w:rsid w:val="00445CFF"/>
    <w:rsid w:val="00445FF0"/>
    <w:rsid w:val="004467D7"/>
    <w:rsid w:val="00453073"/>
    <w:rsid w:val="0045555E"/>
    <w:rsid w:val="00460E6C"/>
    <w:rsid w:val="004641BD"/>
    <w:rsid w:val="004652E7"/>
    <w:rsid w:val="004655F6"/>
    <w:rsid w:val="00465675"/>
    <w:rsid w:val="00472BBD"/>
    <w:rsid w:val="00474E1B"/>
    <w:rsid w:val="004809D8"/>
    <w:rsid w:val="00481D11"/>
    <w:rsid w:val="00482CB5"/>
    <w:rsid w:val="00483065"/>
    <w:rsid w:val="004875E3"/>
    <w:rsid w:val="00490EE8"/>
    <w:rsid w:val="004917F5"/>
    <w:rsid w:val="00491E8C"/>
    <w:rsid w:val="00491F2E"/>
    <w:rsid w:val="00492A01"/>
    <w:rsid w:val="0049399E"/>
    <w:rsid w:val="00494C23"/>
    <w:rsid w:val="004A64C8"/>
    <w:rsid w:val="004A6CA6"/>
    <w:rsid w:val="004A6DD7"/>
    <w:rsid w:val="004A72F1"/>
    <w:rsid w:val="004B0AED"/>
    <w:rsid w:val="004B1F05"/>
    <w:rsid w:val="004B276A"/>
    <w:rsid w:val="004B3C59"/>
    <w:rsid w:val="004D01A5"/>
    <w:rsid w:val="004D03B4"/>
    <w:rsid w:val="004D08C1"/>
    <w:rsid w:val="004D1BE7"/>
    <w:rsid w:val="004D5D35"/>
    <w:rsid w:val="004D76FE"/>
    <w:rsid w:val="004E1E88"/>
    <w:rsid w:val="004E2D0B"/>
    <w:rsid w:val="004E67BE"/>
    <w:rsid w:val="004E782A"/>
    <w:rsid w:val="004F28CC"/>
    <w:rsid w:val="005032F9"/>
    <w:rsid w:val="00503882"/>
    <w:rsid w:val="00506EC9"/>
    <w:rsid w:val="00507191"/>
    <w:rsid w:val="005075C6"/>
    <w:rsid w:val="00511A6E"/>
    <w:rsid w:val="00513A5A"/>
    <w:rsid w:val="00515E9D"/>
    <w:rsid w:val="00517887"/>
    <w:rsid w:val="00523923"/>
    <w:rsid w:val="005246DC"/>
    <w:rsid w:val="00525CB2"/>
    <w:rsid w:val="00527C43"/>
    <w:rsid w:val="00532258"/>
    <w:rsid w:val="005356FF"/>
    <w:rsid w:val="005361E0"/>
    <w:rsid w:val="00537744"/>
    <w:rsid w:val="00544092"/>
    <w:rsid w:val="00544681"/>
    <w:rsid w:val="00544A89"/>
    <w:rsid w:val="00550FB8"/>
    <w:rsid w:val="0055184B"/>
    <w:rsid w:val="00562696"/>
    <w:rsid w:val="00574B02"/>
    <w:rsid w:val="00574E01"/>
    <w:rsid w:val="00575C82"/>
    <w:rsid w:val="0057660E"/>
    <w:rsid w:val="00576B58"/>
    <w:rsid w:val="0058170A"/>
    <w:rsid w:val="0059001F"/>
    <w:rsid w:val="00591246"/>
    <w:rsid w:val="00593DD1"/>
    <w:rsid w:val="00596210"/>
    <w:rsid w:val="00596390"/>
    <w:rsid w:val="005A06D1"/>
    <w:rsid w:val="005A21E9"/>
    <w:rsid w:val="005A643C"/>
    <w:rsid w:val="005B2ED1"/>
    <w:rsid w:val="005B3739"/>
    <w:rsid w:val="005C3178"/>
    <w:rsid w:val="005C405C"/>
    <w:rsid w:val="005C4B0C"/>
    <w:rsid w:val="005C51F2"/>
    <w:rsid w:val="005C6349"/>
    <w:rsid w:val="005C70BC"/>
    <w:rsid w:val="005C74A0"/>
    <w:rsid w:val="005D0538"/>
    <w:rsid w:val="005D0BBF"/>
    <w:rsid w:val="005D1A17"/>
    <w:rsid w:val="005D68ED"/>
    <w:rsid w:val="005D7F80"/>
    <w:rsid w:val="005E07BB"/>
    <w:rsid w:val="005E3104"/>
    <w:rsid w:val="005E44CE"/>
    <w:rsid w:val="005E48C2"/>
    <w:rsid w:val="005E629A"/>
    <w:rsid w:val="005E6FE1"/>
    <w:rsid w:val="005F0018"/>
    <w:rsid w:val="005F12F7"/>
    <w:rsid w:val="00600761"/>
    <w:rsid w:val="006007DA"/>
    <w:rsid w:val="006023A3"/>
    <w:rsid w:val="00602892"/>
    <w:rsid w:val="00606781"/>
    <w:rsid w:val="0060685E"/>
    <w:rsid w:val="00611FA4"/>
    <w:rsid w:val="00613C78"/>
    <w:rsid w:val="00622621"/>
    <w:rsid w:val="00626681"/>
    <w:rsid w:val="006301B2"/>
    <w:rsid w:val="006322C8"/>
    <w:rsid w:val="00632D59"/>
    <w:rsid w:val="00632F86"/>
    <w:rsid w:val="00636968"/>
    <w:rsid w:val="00636A11"/>
    <w:rsid w:val="00642EF4"/>
    <w:rsid w:val="00643EE1"/>
    <w:rsid w:val="006445B3"/>
    <w:rsid w:val="0064596E"/>
    <w:rsid w:val="00645A03"/>
    <w:rsid w:val="00645CC8"/>
    <w:rsid w:val="00646019"/>
    <w:rsid w:val="00652BB3"/>
    <w:rsid w:val="00653E0C"/>
    <w:rsid w:val="006579B7"/>
    <w:rsid w:val="00661BE1"/>
    <w:rsid w:val="00662DDF"/>
    <w:rsid w:val="00666207"/>
    <w:rsid w:val="00667794"/>
    <w:rsid w:val="00674FCB"/>
    <w:rsid w:val="00675B4E"/>
    <w:rsid w:val="00676852"/>
    <w:rsid w:val="00682165"/>
    <w:rsid w:val="006829C7"/>
    <w:rsid w:val="0068581E"/>
    <w:rsid w:val="0068655C"/>
    <w:rsid w:val="006907A6"/>
    <w:rsid w:val="006907EB"/>
    <w:rsid w:val="006921D1"/>
    <w:rsid w:val="00697368"/>
    <w:rsid w:val="00697AFB"/>
    <w:rsid w:val="006A01B5"/>
    <w:rsid w:val="006A3358"/>
    <w:rsid w:val="006A5CFB"/>
    <w:rsid w:val="006A605A"/>
    <w:rsid w:val="006A7051"/>
    <w:rsid w:val="006A71E9"/>
    <w:rsid w:val="006B34B4"/>
    <w:rsid w:val="006B4298"/>
    <w:rsid w:val="006B7B1A"/>
    <w:rsid w:val="006C12AB"/>
    <w:rsid w:val="006C1CBE"/>
    <w:rsid w:val="006C5703"/>
    <w:rsid w:val="006C688F"/>
    <w:rsid w:val="006C7D5A"/>
    <w:rsid w:val="006D1A94"/>
    <w:rsid w:val="006D1BD7"/>
    <w:rsid w:val="006D686A"/>
    <w:rsid w:val="006D690A"/>
    <w:rsid w:val="006D6C69"/>
    <w:rsid w:val="006D72B0"/>
    <w:rsid w:val="006D7DC4"/>
    <w:rsid w:val="006E06D3"/>
    <w:rsid w:val="006E17D4"/>
    <w:rsid w:val="006E1E3B"/>
    <w:rsid w:val="006E236F"/>
    <w:rsid w:val="006E3490"/>
    <w:rsid w:val="006F01E5"/>
    <w:rsid w:val="006F3357"/>
    <w:rsid w:val="006F44E8"/>
    <w:rsid w:val="006F5681"/>
    <w:rsid w:val="007001DA"/>
    <w:rsid w:val="00701072"/>
    <w:rsid w:val="00703D81"/>
    <w:rsid w:val="007103DD"/>
    <w:rsid w:val="00720E0B"/>
    <w:rsid w:val="007225AF"/>
    <w:rsid w:val="00722BFE"/>
    <w:rsid w:val="00724D8D"/>
    <w:rsid w:val="0072707D"/>
    <w:rsid w:val="007337F7"/>
    <w:rsid w:val="0073598E"/>
    <w:rsid w:val="00737AFE"/>
    <w:rsid w:val="00741CAA"/>
    <w:rsid w:val="00742380"/>
    <w:rsid w:val="00747C1E"/>
    <w:rsid w:val="007510DC"/>
    <w:rsid w:val="00756755"/>
    <w:rsid w:val="00756C92"/>
    <w:rsid w:val="00760DC6"/>
    <w:rsid w:val="00761F20"/>
    <w:rsid w:val="00763449"/>
    <w:rsid w:val="00774438"/>
    <w:rsid w:val="0077544C"/>
    <w:rsid w:val="00776C3D"/>
    <w:rsid w:val="007775D2"/>
    <w:rsid w:val="007826F8"/>
    <w:rsid w:val="00782F9C"/>
    <w:rsid w:val="00784A26"/>
    <w:rsid w:val="00784B2B"/>
    <w:rsid w:val="00784DB0"/>
    <w:rsid w:val="00785CCC"/>
    <w:rsid w:val="00786924"/>
    <w:rsid w:val="00790E24"/>
    <w:rsid w:val="007A1709"/>
    <w:rsid w:val="007A65C6"/>
    <w:rsid w:val="007B26FC"/>
    <w:rsid w:val="007C11E6"/>
    <w:rsid w:val="007C1CAC"/>
    <w:rsid w:val="007C1F97"/>
    <w:rsid w:val="007C27DD"/>
    <w:rsid w:val="007C7F78"/>
    <w:rsid w:val="007D3B16"/>
    <w:rsid w:val="007D4996"/>
    <w:rsid w:val="007D5968"/>
    <w:rsid w:val="007D7750"/>
    <w:rsid w:val="007E0540"/>
    <w:rsid w:val="007E2942"/>
    <w:rsid w:val="007E50C7"/>
    <w:rsid w:val="007F426E"/>
    <w:rsid w:val="007F5C80"/>
    <w:rsid w:val="0080603F"/>
    <w:rsid w:val="00806AF3"/>
    <w:rsid w:val="00811350"/>
    <w:rsid w:val="00812FFA"/>
    <w:rsid w:val="00813D3A"/>
    <w:rsid w:val="00817E32"/>
    <w:rsid w:val="00826886"/>
    <w:rsid w:val="0083052A"/>
    <w:rsid w:val="008321EB"/>
    <w:rsid w:val="008344F4"/>
    <w:rsid w:val="00837FB3"/>
    <w:rsid w:val="0084276A"/>
    <w:rsid w:val="00843F58"/>
    <w:rsid w:val="00863566"/>
    <w:rsid w:val="00864C55"/>
    <w:rsid w:val="00865979"/>
    <w:rsid w:val="0086613B"/>
    <w:rsid w:val="008738EF"/>
    <w:rsid w:val="00873D10"/>
    <w:rsid w:val="00876DAA"/>
    <w:rsid w:val="00883D70"/>
    <w:rsid w:val="00884571"/>
    <w:rsid w:val="00884F21"/>
    <w:rsid w:val="0089008B"/>
    <w:rsid w:val="008959A0"/>
    <w:rsid w:val="00896E33"/>
    <w:rsid w:val="00896EC3"/>
    <w:rsid w:val="008A0E01"/>
    <w:rsid w:val="008A3A9F"/>
    <w:rsid w:val="008A4A89"/>
    <w:rsid w:val="008B063C"/>
    <w:rsid w:val="008B0A0B"/>
    <w:rsid w:val="008B1F0C"/>
    <w:rsid w:val="008B322E"/>
    <w:rsid w:val="008B3BDE"/>
    <w:rsid w:val="008B42D0"/>
    <w:rsid w:val="008C5147"/>
    <w:rsid w:val="008C55E8"/>
    <w:rsid w:val="008C5761"/>
    <w:rsid w:val="008C63F6"/>
    <w:rsid w:val="008D179E"/>
    <w:rsid w:val="008D2F58"/>
    <w:rsid w:val="008D32F9"/>
    <w:rsid w:val="008D79DD"/>
    <w:rsid w:val="008E15D0"/>
    <w:rsid w:val="008E364A"/>
    <w:rsid w:val="008E375E"/>
    <w:rsid w:val="008E4362"/>
    <w:rsid w:val="008F15E7"/>
    <w:rsid w:val="008F3004"/>
    <w:rsid w:val="008F4EEE"/>
    <w:rsid w:val="008F51D2"/>
    <w:rsid w:val="00903110"/>
    <w:rsid w:val="00903E9D"/>
    <w:rsid w:val="00905953"/>
    <w:rsid w:val="00906E2A"/>
    <w:rsid w:val="00910BA1"/>
    <w:rsid w:val="0091382D"/>
    <w:rsid w:val="0091699F"/>
    <w:rsid w:val="009203FF"/>
    <w:rsid w:val="00927631"/>
    <w:rsid w:val="00927787"/>
    <w:rsid w:val="0093406B"/>
    <w:rsid w:val="0093465C"/>
    <w:rsid w:val="009408EF"/>
    <w:rsid w:val="0094789B"/>
    <w:rsid w:val="0095306B"/>
    <w:rsid w:val="0095658E"/>
    <w:rsid w:val="00960715"/>
    <w:rsid w:val="0096249B"/>
    <w:rsid w:val="00962C46"/>
    <w:rsid w:val="00962DDB"/>
    <w:rsid w:val="009637FF"/>
    <w:rsid w:val="00963C52"/>
    <w:rsid w:val="009640F9"/>
    <w:rsid w:val="009649B1"/>
    <w:rsid w:val="00964CED"/>
    <w:rsid w:val="009650D6"/>
    <w:rsid w:val="009657AF"/>
    <w:rsid w:val="00967EA2"/>
    <w:rsid w:val="00970A2E"/>
    <w:rsid w:val="00975550"/>
    <w:rsid w:val="00981C53"/>
    <w:rsid w:val="00984191"/>
    <w:rsid w:val="009861BA"/>
    <w:rsid w:val="009900BD"/>
    <w:rsid w:val="00991109"/>
    <w:rsid w:val="0099150B"/>
    <w:rsid w:val="009A0CB6"/>
    <w:rsid w:val="009A1C63"/>
    <w:rsid w:val="009A3399"/>
    <w:rsid w:val="009B3F45"/>
    <w:rsid w:val="009B6053"/>
    <w:rsid w:val="009B6BAC"/>
    <w:rsid w:val="009C1C8B"/>
    <w:rsid w:val="009C24EC"/>
    <w:rsid w:val="009E09D9"/>
    <w:rsid w:val="009E2228"/>
    <w:rsid w:val="009E2D69"/>
    <w:rsid w:val="009E35DD"/>
    <w:rsid w:val="009E758D"/>
    <w:rsid w:val="009E75D3"/>
    <w:rsid w:val="009E76A3"/>
    <w:rsid w:val="00A02D28"/>
    <w:rsid w:val="00A05453"/>
    <w:rsid w:val="00A06C33"/>
    <w:rsid w:val="00A11877"/>
    <w:rsid w:val="00A11FA1"/>
    <w:rsid w:val="00A12C04"/>
    <w:rsid w:val="00A13FE6"/>
    <w:rsid w:val="00A1532F"/>
    <w:rsid w:val="00A15FA0"/>
    <w:rsid w:val="00A16BBD"/>
    <w:rsid w:val="00A20425"/>
    <w:rsid w:val="00A20B64"/>
    <w:rsid w:val="00A23F83"/>
    <w:rsid w:val="00A26C7E"/>
    <w:rsid w:val="00A27DBE"/>
    <w:rsid w:val="00A3477D"/>
    <w:rsid w:val="00A359E3"/>
    <w:rsid w:val="00A401FD"/>
    <w:rsid w:val="00A4098A"/>
    <w:rsid w:val="00A5175E"/>
    <w:rsid w:val="00A51965"/>
    <w:rsid w:val="00A51DEE"/>
    <w:rsid w:val="00A53481"/>
    <w:rsid w:val="00A56EC7"/>
    <w:rsid w:val="00A64D10"/>
    <w:rsid w:val="00A6673A"/>
    <w:rsid w:val="00A71AB3"/>
    <w:rsid w:val="00A71AC0"/>
    <w:rsid w:val="00A73543"/>
    <w:rsid w:val="00A74FB6"/>
    <w:rsid w:val="00A80C16"/>
    <w:rsid w:val="00A810CD"/>
    <w:rsid w:val="00A81BCC"/>
    <w:rsid w:val="00A8354D"/>
    <w:rsid w:val="00A84F18"/>
    <w:rsid w:val="00A84FC7"/>
    <w:rsid w:val="00A8677F"/>
    <w:rsid w:val="00A910F5"/>
    <w:rsid w:val="00A95D57"/>
    <w:rsid w:val="00AA2977"/>
    <w:rsid w:val="00AA2DF9"/>
    <w:rsid w:val="00AA3F58"/>
    <w:rsid w:val="00AA5B28"/>
    <w:rsid w:val="00AA68CC"/>
    <w:rsid w:val="00AA6FB6"/>
    <w:rsid w:val="00AB2842"/>
    <w:rsid w:val="00AC4B8F"/>
    <w:rsid w:val="00AC78AC"/>
    <w:rsid w:val="00AD29A2"/>
    <w:rsid w:val="00AD3BD4"/>
    <w:rsid w:val="00AD4122"/>
    <w:rsid w:val="00AD6919"/>
    <w:rsid w:val="00AE1CCA"/>
    <w:rsid w:val="00AE2A41"/>
    <w:rsid w:val="00AE48C4"/>
    <w:rsid w:val="00AE4BCF"/>
    <w:rsid w:val="00AE5063"/>
    <w:rsid w:val="00AE7C56"/>
    <w:rsid w:val="00AF077A"/>
    <w:rsid w:val="00AF2906"/>
    <w:rsid w:val="00AF3B0E"/>
    <w:rsid w:val="00AF60A4"/>
    <w:rsid w:val="00AF77A2"/>
    <w:rsid w:val="00AF7CAD"/>
    <w:rsid w:val="00B026C4"/>
    <w:rsid w:val="00B05ABF"/>
    <w:rsid w:val="00B05BF8"/>
    <w:rsid w:val="00B05E5B"/>
    <w:rsid w:val="00B0611B"/>
    <w:rsid w:val="00B07D33"/>
    <w:rsid w:val="00B1394E"/>
    <w:rsid w:val="00B16A6E"/>
    <w:rsid w:val="00B22FF0"/>
    <w:rsid w:val="00B258F9"/>
    <w:rsid w:val="00B25923"/>
    <w:rsid w:val="00B27A0B"/>
    <w:rsid w:val="00B34235"/>
    <w:rsid w:val="00B35723"/>
    <w:rsid w:val="00B3753E"/>
    <w:rsid w:val="00B409E0"/>
    <w:rsid w:val="00B40C2C"/>
    <w:rsid w:val="00B4127F"/>
    <w:rsid w:val="00B424D4"/>
    <w:rsid w:val="00B43CCC"/>
    <w:rsid w:val="00B44622"/>
    <w:rsid w:val="00B46A65"/>
    <w:rsid w:val="00B47CD3"/>
    <w:rsid w:val="00B47DAA"/>
    <w:rsid w:val="00B518EE"/>
    <w:rsid w:val="00B51CFD"/>
    <w:rsid w:val="00B52A0A"/>
    <w:rsid w:val="00B5604F"/>
    <w:rsid w:val="00B60E47"/>
    <w:rsid w:val="00B61547"/>
    <w:rsid w:val="00B627CC"/>
    <w:rsid w:val="00B66698"/>
    <w:rsid w:val="00B677D8"/>
    <w:rsid w:val="00B67BF1"/>
    <w:rsid w:val="00B71100"/>
    <w:rsid w:val="00B72989"/>
    <w:rsid w:val="00B73981"/>
    <w:rsid w:val="00B74028"/>
    <w:rsid w:val="00B804BF"/>
    <w:rsid w:val="00B81436"/>
    <w:rsid w:val="00B84938"/>
    <w:rsid w:val="00B85FA2"/>
    <w:rsid w:val="00B87B4B"/>
    <w:rsid w:val="00B87BC3"/>
    <w:rsid w:val="00B905CD"/>
    <w:rsid w:val="00B94A0F"/>
    <w:rsid w:val="00B95EEF"/>
    <w:rsid w:val="00B96CAE"/>
    <w:rsid w:val="00B96F05"/>
    <w:rsid w:val="00BA3EB0"/>
    <w:rsid w:val="00BB1683"/>
    <w:rsid w:val="00BB4A6F"/>
    <w:rsid w:val="00BC0092"/>
    <w:rsid w:val="00BC06E9"/>
    <w:rsid w:val="00BC0A8E"/>
    <w:rsid w:val="00BC31C1"/>
    <w:rsid w:val="00BC5C88"/>
    <w:rsid w:val="00BD3CEF"/>
    <w:rsid w:val="00BD4F4E"/>
    <w:rsid w:val="00BD613B"/>
    <w:rsid w:val="00BD641C"/>
    <w:rsid w:val="00BD794D"/>
    <w:rsid w:val="00BE0080"/>
    <w:rsid w:val="00BE12D7"/>
    <w:rsid w:val="00BE2EF6"/>
    <w:rsid w:val="00BE366C"/>
    <w:rsid w:val="00BE7795"/>
    <w:rsid w:val="00BF06D1"/>
    <w:rsid w:val="00BF32B3"/>
    <w:rsid w:val="00BF69C2"/>
    <w:rsid w:val="00C02700"/>
    <w:rsid w:val="00C046B2"/>
    <w:rsid w:val="00C047DE"/>
    <w:rsid w:val="00C20034"/>
    <w:rsid w:val="00C21DC8"/>
    <w:rsid w:val="00C2383B"/>
    <w:rsid w:val="00C2546F"/>
    <w:rsid w:val="00C25DC0"/>
    <w:rsid w:val="00C27EA1"/>
    <w:rsid w:val="00C32900"/>
    <w:rsid w:val="00C346D0"/>
    <w:rsid w:val="00C34740"/>
    <w:rsid w:val="00C35CD9"/>
    <w:rsid w:val="00C3648F"/>
    <w:rsid w:val="00C377BC"/>
    <w:rsid w:val="00C407EA"/>
    <w:rsid w:val="00C40A51"/>
    <w:rsid w:val="00C442F4"/>
    <w:rsid w:val="00C448ED"/>
    <w:rsid w:val="00C471FC"/>
    <w:rsid w:val="00C56644"/>
    <w:rsid w:val="00C60317"/>
    <w:rsid w:val="00C62096"/>
    <w:rsid w:val="00C62638"/>
    <w:rsid w:val="00C62EFB"/>
    <w:rsid w:val="00C66E6D"/>
    <w:rsid w:val="00C67879"/>
    <w:rsid w:val="00C73543"/>
    <w:rsid w:val="00C77AFB"/>
    <w:rsid w:val="00C77B32"/>
    <w:rsid w:val="00C92726"/>
    <w:rsid w:val="00C942F4"/>
    <w:rsid w:val="00C965CC"/>
    <w:rsid w:val="00C972F8"/>
    <w:rsid w:val="00CA0326"/>
    <w:rsid w:val="00CA5280"/>
    <w:rsid w:val="00CA742F"/>
    <w:rsid w:val="00CA78B8"/>
    <w:rsid w:val="00CB0309"/>
    <w:rsid w:val="00CB1554"/>
    <w:rsid w:val="00CB2C54"/>
    <w:rsid w:val="00CB3A3E"/>
    <w:rsid w:val="00CB3A47"/>
    <w:rsid w:val="00CB4112"/>
    <w:rsid w:val="00CB4DC4"/>
    <w:rsid w:val="00CB53C9"/>
    <w:rsid w:val="00CC357E"/>
    <w:rsid w:val="00CC3D32"/>
    <w:rsid w:val="00CC5E17"/>
    <w:rsid w:val="00CC622E"/>
    <w:rsid w:val="00CC698D"/>
    <w:rsid w:val="00CC6D63"/>
    <w:rsid w:val="00CD0FBA"/>
    <w:rsid w:val="00CD1192"/>
    <w:rsid w:val="00CD1F93"/>
    <w:rsid w:val="00CD7A2E"/>
    <w:rsid w:val="00CE46A7"/>
    <w:rsid w:val="00CE5DED"/>
    <w:rsid w:val="00CE769B"/>
    <w:rsid w:val="00CF3D50"/>
    <w:rsid w:val="00CF53A1"/>
    <w:rsid w:val="00D03797"/>
    <w:rsid w:val="00D042EF"/>
    <w:rsid w:val="00D074E7"/>
    <w:rsid w:val="00D15816"/>
    <w:rsid w:val="00D226C7"/>
    <w:rsid w:val="00D24E21"/>
    <w:rsid w:val="00D25293"/>
    <w:rsid w:val="00D259F0"/>
    <w:rsid w:val="00D26336"/>
    <w:rsid w:val="00D2748E"/>
    <w:rsid w:val="00D31BC7"/>
    <w:rsid w:val="00D32502"/>
    <w:rsid w:val="00D3303B"/>
    <w:rsid w:val="00D35998"/>
    <w:rsid w:val="00D374F9"/>
    <w:rsid w:val="00D4092D"/>
    <w:rsid w:val="00D43E9E"/>
    <w:rsid w:val="00D45550"/>
    <w:rsid w:val="00D460BE"/>
    <w:rsid w:val="00D50127"/>
    <w:rsid w:val="00D541BC"/>
    <w:rsid w:val="00D56C93"/>
    <w:rsid w:val="00D577CA"/>
    <w:rsid w:val="00D60309"/>
    <w:rsid w:val="00D61A9A"/>
    <w:rsid w:val="00D62ACA"/>
    <w:rsid w:val="00D64897"/>
    <w:rsid w:val="00D675C4"/>
    <w:rsid w:val="00D72E5E"/>
    <w:rsid w:val="00D75F0C"/>
    <w:rsid w:val="00D7601F"/>
    <w:rsid w:val="00D77172"/>
    <w:rsid w:val="00D81046"/>
    <w:rsid w:val="00D8365F"/>
    <w:rsid w:val="00D84097"/>
    <w:rsid w:val="00D84486"/>
    <w:rsid w:val="00D86EA3"/>
    <w:rsid w:val="00D8750F"/>
    <w:rsid w:val="00D8788F"/>
    <w:rsid w:val="00D9105E"/>
    <w:rsid w:val="00D92BD8"/>
    <w:rsid w:val="00D93E4A"/>
    <w:rsid w:val="00D95760"/>
    <w:rsid w:val="00D97226"/>
    <w:rsid w:val="00D9750F"/>
    <w:rsid w:val="00DA08F2"/>
    <w:rsid w:val="00DB16E4"/>
    <w:rsid w:val="00DB5F1D"/>
    <w:rsid w:val="00DC4961"/>
    <w:rsid w:val="00DC4E15"/>
    <w:rsid w:val="00DC7A3E"/>
    <w:rsid w:val="00DD6D51"/>
    <w:rsid w:val="00DE0DFF"/>
    <w:rsid w:val="00DE33E0"/>
    <w:rsid w:val="00DE40E3"/>
    <w:rsid w:val="00DE4DBE"/>
    <w:rsid w:val="00DE633A"/>
    <w:rsid w:val="00DE6E92"/>
    <w:rsid w:val="00DF07B1"/>
    <w:rsid w:val="00DF080A"/>
    <w:rsid w:val="00DF1D8E"/>
    <w:rsid w:val="00DF52E3"/>
    <w:rsid w:val="00E00B53"/>
    <w:rsid w:val="00E00FC4"/>
    <w:rsid w:val="00E045AE"/>
    <w:rsid w:val="00E065D2"/>
    <w:rsid w:val="00E13740"/>
    <w:rsid w:val="00E1512F"/>
    <w:rsid w:val="00E16930"/>
    <w:rsid w:val="00E1795D"/>
    <w:rsid w:val="00E2153C"/>
    <w:rsid w:val="00E311E1"/>
    <w:rsid w:val="00E43AF8"/>
    <w:rsid w:val="00E53850"/>
    <w:rsid w:val="00E54A5D"/>
    <w:rsid w:val="00E55F8D"/>
    <w:rsid w:val="00E612AA"/>
    <w:rsid w:val="00E630F3"/>
    <w:rsid w:val="00E654DC"/>
    <w:rsid w:val="00E66E8A"/>
    <w:rsid w:val="00E678DA"/>
    <w:rsid w:val="00E67AA3"/>
    <w:rsid w:val="00E710E8"/>
    <w:rsid w:val="00E7616D"/>
    <w:rsid w:val="00E77036"/>
    <w:rsid w:val="00E77C69"/>
    <w:rsid w:val="00E77FB1"/>
    <w:rsid w:val="00E82A93"/>
    <w:rsid w:val="00E82AF8"/>
    <w:rsid w:val="00E84CE5"/>
    <w:rsid w:val="00E93962"/>
    <w:rsid w:val="00EA13CE"/>
    <w:rsid w:val="00EA6D4D"/>
    <w:rsid w:val="00EB7E89"/>
    <w:rsid w:val="00EC2A7F"/>
    <w:rsid w:val="00EC2C9F"/>
    <w:rsid w:val="00EC5E3A"/>
    <w:rsid w:val="00EC7DEA"/>
    <w:rsid w:val="00ED4898"/>
    <w:rsid w:val="00ED58EF"/>
    <w:rsid w:val="00ED7E76"/>
    <w:rsid w:val="00EE162B"/>
    <w:rsid w:val="00EE3E57"/>
    <w:rsid w:val="00EE61E4"/>
    <w:rsid w:val="00EE7747"/>
    <w:rsid w:val="00EF4545"/>
    <w:rsid w:val="00EF459E"/>
    <w:rsid w:val="00EF4AC7"/>
    <w:rsid w:val="00F10030"/>
    <w:rsid w:val="00F11E2C"/>
    <w:rsid w:val="00F2300E"/>
    <w:rsid w:val="00F246C3"/>
    <w:rsid w:val="00F25E4F"/>
    <w:rsid w:val="00F26CCB"/>
    <w:rsid w:val="00F31886"/>
    <w:rsid w:val="00F33E99"/>
    <w:rsid w:val="00F349B0"/>
    <w:rsid w:val="00F35E74"/>
    <w:rsid w:val="00F36ADA"/>
    <w:rsid w:val="00F424C5"/>
    <w:rsid w:val="00F4284A"/>
    <w:rsid w:val="00F43DE1"/>
    <w:rsid w:val="00F509A4"/>
    <w:rsid w:val="00F511D3"/>
    <w:rsid w:val="00F7484C"/>
    <w:rsid w:val="00F77567"/>
    <w:rsid w:val="00F81760"/>
    <w:rsid w:val="00F81E2A"/>
    <w:rsid w:val="00F8439C"/>
    <w:rsid w:val="00F85319"/>
    <w:rsid w:val="00F86AFB"/>
    <w:rsid w:val="00F87F53"/>
    <w:rsid w:val="00F90618"/>
    <w:rsid w:val="00F907A1"/>
    <w:rsid w:val="00F9414A"/>
    <w:rsid w:val="00F95123"/>
    <w:rsid w:val="00F9535F"/>
    <w:rsid w:val="00F97B64"/>
    <w:rsid w:val="00F97FE9"/>
    <w:rsid w:val="00FA3093"/>
    <w:rsid w:val="00FA54EF"/>
    <w:rsid w:val="00FA55CB"/>
    <w:rsid w:val="00FB205C"/>
    <w:rsid w:val="00FB6F21"/>
    <w:rsid w:val="00FC08BA"/>
    <w:rsid w:val="00FC1ABD"/>
    <w:rsid w:val="00FC1B68"/>
    <w:rsid w:val="00FC25D5"/>
    <w:rsid w:val="00FC7F1B"/>
    <w:rsid w:val="00FD16E2"/>
    <w:rsid w:val="00FD6DF9"/>
    <w:rsid w:val="00FD72FD"/>
    <w:rsid w:val="00FE1530"/>
    <w:rsid w:val="00FE15A2"/>
    <w:rsid w:val="00FE1A7E"/>
    <w:rsid w:val="00FE3848"/>
    <w:rsid w:val="00FE46C7"/>
    <w:rsid w:val="00FE672D"/>
    <w:rsid w:val="00FF1AEB"/>
    <w:rsid w:val="00FF2BBB"/>
    <w:rsid w:val="00FF691C"/>
    <w:rsid w:val="02182F12"/>
    <w:rsid w:val="026B55AD"/>
    <w:rsid w:val="02AB3643"/>
    <w:rsid w:val="04FC4E30"/>
    <w:rsid w:val="075B673E"/>
    <w:rsid w:val="0A0F274B"/>
    <w:rsid w:val="0B4A73EE"/>
    <w:rsid w:val="0B525316"/>
    <w:rsid w:val="0BF71C25"/>
    <w:rsid w:val="10472EB9"/>
    <w:rsid w:val="105374CA"/>
    <w:rsid w:val="10715BA2"/>
    <w:rsid w:val="113B4C71"/>
    <w:rsid w:val="11E50A07"/>
    <w:rsid w:val="12AB1850"/>
    <w:rsid w:val="16CF6C7F"/>
    <w:rsid w:val="17092F77"/>
    <w:rsid w:val="18D513A0"/>
    <w:rsid w:val="194F2677"/>
    <w:rsid w:val="19D67DF8"/>
    <w:rsid w:val="1CFC10BB"/>
    <w:rsid w:val="1CFF11F7"/>
    <w:rsid w:val="1E04094F"/>
    <w:rsid w:val="1F41396B"/>
    <w:rsid w:val="1F9F1A46"/>
    <w:rsid w:val="217C2054"/>
    <w:rsid w:val="218E4FA7"/>
    <w:rsid w:val="23B05035"/>
    <w:rsid w:val="27894255"/>
    <w:rsid w:val="29521B35"/>
    <w:rsid w:val="2C275646"/>
    <w:rsid w:val="2D2A05D6"/>
    <w:rsid w:val="2F7708EA"/>
    <w:rsid w:val="30F86356"/>
    <w:rsid w:val="31747780"/>
    <w:rsid w:val="324961CD"/>
    <w:rsid w:val="326E26DB"/>
    <w:rsid w:val="32A94879"/>
    <w:rsid w:val="3675442B"/>
    <w:rsid w:val="36DC18A2"/>
    <w:rsid w:val="38105689"/>
    <w:rsid w:val="38FA165F"/>
    <w:rsid w:val="39B30288"/>
    <w:rsid w:val="3A622828"/>
    <w:rsid w:val="3AB84CFC"/>
    <w:rsid w:val="3EE31B9B"/>
    <w:rsid w:val="3FE133F3"/>
    <w:rsid w:val="43B37EA1"/>
    <w:rsid w:val="447A76ED"/>
    <w:rsid w:val="45DE584B"/>
    <w:rsid w:val="46015167"/>
    <w:rsid w:val="46837726"/>
    <w:rsid w:val="470E7564"/>
    <w:rsid w:val="4D6A25A6"/>
    <w:rsid w:val="4E0E3C4A"/>
    <w:rsid w:val="4FB561A9"/>
    <w:rsid w:val="50036B69"/>
    <w:rsid w:val="52DF73B5"/>
    <w:rsid w:val="54565611"/>
    <w:rsid w:val="57997514"/>
    <w:rsid w:val="58E74122"/>
    <w:rsid w:val="5A0170CF"/>
    <w:rsid w:val="5A976AEB"/>
    <w:rsid w:val="5CD34356"/>
    <w:rsid w:val="5D0B35B7"/>
    <w:rsid w:val="5F4E6DDB"/>
    <w:rsid w:val="603D27AE"/>
    <w:rsid w:val="613F0E54"/>
    <w:rsid w:val="65317DAE"/>
    <w:rsid w:val="6715402C"/>
    <w:rsid w:val="67CC33F9"/>
    <w:rsid w:val="69164A76"/>
    <w:rsid w:val="6A906409"/>
    <w:rsid w:val="6B5A3B76"/>
    <w:rsid w:val="6C0D31E2"/>
    <w:rsid w:val="6D8D3CB0"/>
    <w:rsid w:val="72041E11"/>
    <w:rsid w:val="72E81551"/>
    <w:rsid w:val="76B24BBF"/>
    <w:rsid w:val="78333ED7"/>
    <w:rsid w:val="78A3698A"/>
    <w:rsid w:val="7A9C452E"/>
    <w:rsid w:val="7C9B78AC"/>
    <w:rsid w:val="7E094BEB"/>
    <w:rsid w:val="7E3963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oNotEmbedSmartTags/>
  <w:decimalSymbol w:val="."/>
  <w:listSeparator w:val=","/>
  <w14:docId w14:val="5EA62086"/>
  <w15:docId w15:val="{290E3694-8F19-425C-A858-F777DE88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3">
    <w:name w:val="heading 3"/>
    <w:next w:val="Normal"/>
    <w:qFormat/>
    <w:pPr>
      <w:tabs>
        <w:tab w:val="left" w:pos="990"/>
      </w:tabs>
      <w:ind w:left="907" w:hanging="907"/>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line="260" w:lineRule="exact"/>
    </w:pPr>
    <w:rPr>
      <w:rFonts w:eastAsia="Times"/>
      <w:color w:val="000000"/>
      <w:sz w:val="22"/>
      <w:lang w:eastAsia="en-GB"/>
    </w:rPr>
  </w:style>
  <w:style w:type="paragraph" w:styleId="BodyText3">
    <w:name w:val="Body Text 3"/>
    <w:basedOn w:val="Normal"/>
    <w:qFormat/>
    <w:rPr>
      <w:rFonts w:ascii="Times" w:eastAsia="Times" w:hAnsi="Times"/>
      <w:sz w:val="32"/>
    </w:rPr>
  </w:style>
  <w:style w:type="paragraph" w:styleId="BodyTextIndent">
    <w:name w:val="Body Text Indent"/>
    <w:basedOn w:val="Normal"/>
    <w:link w:val="BodyTextIndentChar"/>
    <w:semiHidden/>
    <w:unhideWhenUsed/>
    <w:qFormat/>
    <w:pPr>
      <w:spacing w:after="120"/>
      <w:ind w:left="360"/>
    </w:pPr>
  </w:style>
  <w:style w:type="paragraph" w:styleId="Caption">
    <w:name w:val="caption"/>
    <w:basedOn w:val="Normal"/>
    <w:next w:val="Normal"/>
    <w:unhideWhenUsed/>
    <w:qFormat/>
    <w:pPr>
      <w:spacing w:line="260" w:lineRule="exact"/>
    </w:pPr>
    <w:rPr>
      <w:rFonts w:eastAsia="Times"/>
      <w:b/>
      <w:bCs/>
      <w:color w:val="000000"/>
      <w:sz w:val="20"/>
      <w:lang w:eastAsia="en-GB"/>
    </w:rPr>
  </w:style>
  <w:style w:type="character" w:styleId="CommentReference">
    <w:name w:val="annotation reference"/>
    <w:basedOn w:val="DefaultParagraphFont"/>
    <w:semiHidden/>
    <w:unhideWhenUsed/>
    <w:qFormat/>
    <w:rPr>
      <w:sz w:val="16"/>
      <w:szCs w:val="16"/>
    </w:rPr>
  </w:style>
  <w:style w:type="paragraph" w:styleId="CommentText">
    <w:name w:val="annotation text"/>
    <w:basedOn w:val="Normal"/>
    <w:link w:val="CommentTextChar"/>
    <w:uiPriority w:val="99"/>
    <w:qFormat/>
    <w:pPr>
      <w:spacing w:line="276" w:lineRule="auto"/>
    </w:pPr>
    <w:rPr>
      <w:sz w:val="20"/>
      <w:lang w:val="en-GB"/>
    </w:rPr>
  </w:style>
  <w:style w:type="paragraph" w:styleId="CommentSubject">
    <w:name w:val="annotation subject"/>
    <w:basedOn w:val="CommentText"/>
    <w:next w:val="CommentText"/>
    <w:link w:val="CommentSubjectChar"/>
    <w:semiHidden/>
    <w:unhideWhenUsed/>
    <w:qFormat/>
    <w:pPr>
      <w:spacing w:line="240" w:lineRule="auto"/>
    </w:pPr>
    <w:rPr>
      <w:b/>
      <w:bCs/>
      <w:lang w:val="en-US"/>
    </w:rPr>
  </w:style>
  <w:style w:type="character" w:styleId="Emphasis">
    <w:name w:val="Emphasis"/>
    <w:qFormat/>
    <w:rPr>
      <w:i/>
      <w:iCs/>
    </w:rPr>
  </w:style>
  <w:style w:type="character" w:styleId="FollowedHyperlink">
    <w:name w:val="FollowedHyperlink"/>
    <w:basedOn w:val="DefaultParagraphFont"/>
    <w:qFormat/>
    <w:rPr>
      <w:color w:val="954F72" w:themeColor="followedHyperlink"/>
      <w:u w:val="single"/>
    </w:rPr>
  </w:style>
  <w:style w:type="paragraph" w:styleId="Footer">
    <w:name w:val="footer"/>
    <w:basedOn w:val="Normal"/>
    <w:link w:val="FooterChar"/>
    <w:uiPriority w:val="99"/>
    <w:qFormat/>
    <w:pPr>
      <w:tabs>
        <w:tab w:val="center" w:pos="4680"/>
        <w:tab w:val="right" w:pos="9360"/>
      </w:tabs>
    </w:pPr>
  </w:style>
  <w:style w:type="character" w:styleId="FootnoteReference">
    <w:name w:val="footnote reference"/>
    <w:link w:val="BVIfnrCarCarCarCarChar"/>
    <w:uiPriority w:val="99"/>
    <w:qFormat/>
    <w:rPr>
      <w:vertAlign w:val="superscript"/>
    </w:rPr>
  </w:style>
  <w:style w:type="paragraph" w:customStyle="1" w:styleId="BVIfnrCarCarCarCarChar">
    <w:name w:val="BVI fnr Car Car Car Car Char"/>
    <w:basedOn w:val="Normal"/>
    <w:link w:val="FootnoteReference"/>
    <w:uiPriority w:val="99"/>
    <w:qFormat/>
    <w:pPr>
      <w:spacing w:after="160" w:line="240" w:lineRule="exact"/>
      <w:jc w:val="both"/>
    </w:pPr>
    <w:rPr>
      <w:rFonts w:eastAsia="SimSun"/>
      <w:sz w:val="20"/>
      <w:vertAlign w:val="superscript"/>
    </w:rPr>
  </w:style>
  <w:style w:type="paragraph" w:styleId="FootnoteText">
    <w:name w:val="footnote text"/>
    <w:basedOn w:val="Normal"/>
    <w:link w:val="FootnoteTextChar"/>
    <w:uiPriority w:val="99"/>
    <w:qFormat/>
    <w:pPr>
      <w:spacing w:line="260" w:lineRule="exact"/>
    </w:pPr>
    <w:rPr>
      <w:rFonts w:eastAsia="Times"/>
      <w:color w:val="000000"/>
      <w:sz w:val="20"/>
      <w:lang w:eastAsia="en-GB"/>
    </w:rPr>
  </w:style>
  <w:style w:type="paragraph" w:styleId="Header">
    <w:name w:val="header"/>
    <w:link w:val="HeaderChar"/>
    <w:qFormat/>
    <w:pPr>
      <w:tabs>
        <w:tab w:val="center" w:pos="4680"/>
        <w:tab w:val="right" w:pos="9360"/>
      </w:tabs>
    </w:pPr>
    <w:rPr>
      <w:rFonts w:ascii="Verdana" w:eastAsia="Times New Roman" w:hAnsi="Verdana"/>
      <w:color w:val="00000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styleId="Hyperlink">
    <w:name w:val="Hyperlink"/>
    <w:qFormat/>
    <w:rPr>
      <w:color w:val="0000FF"/>
      <w:u w:val="single"/>
    </w:rPr>
  </w:style>
  <w:style w:type="paragraph" w:styleId="NormalWeb">
    <w:name w:val="Normal (Web)"/>
    <w:basedOn w:val="Normal"/>
    <w:uiPriority w:val="99"/>
    <w:qFormat/>
    <w:pPr>
      <w:spacing w:before="100" w:beforeAutospacing="1" w:after="100" w:afterAutospacing="1"/>
    </w:pPr>
    <w:rPr>
      <w:color w:val="000000"/>
      <w:szCs w:val="24"/>
    </w:rPr>
  </w:style>
  <w:style w:type="character" w:styleId="PageNumber">
    <w:name w:val="page number"/>
    <w:basedOn w:val="DefaultParagraphFont"/>
    <w:qFormat/>
  </w:style>
  <w:style w:type="character" w:styleId="Strong">
    <w:name w:val="Strong"/>
    <w:qFormat/>
    <w:rPr>
      <w:b/>
      <w:bCs/>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link w:val="ColorfulList-Accent1Char"/>
    <w:uiPriority w:val="34"/>
    <w:qFormat/>
    <w:pPr>
      <w:ind w:left="720"/>
      <w:contextualSpacing/>
    </w:pPr>
    <w:rPr>
      <w:rFonts w:ascii="Cambria" w:eastAsia="Cambria" w:hAnsi="Cambria"/>
      <w:szCs w:val="24"/>
    </w:rPr>
  </w:style>
  <w:style w:type="character" w:customStyle="1" w:styleId="BalloonTextChar">
    <w:name w:val="Balloon Text Char"/>
    <w:link w:val="BalloonText"/>
    <w:qFormat/>
    <w:rPr>
      <w:rFonts w:ascii="Tahoma" w:hAnsi="Tahoma" w:cs="Tahoma"/>
      <w:sz w:val="16"/>
      <w:szCs w:val="16"/>
    </w:rPr>
  </w:style>
  <w:style w:type="character" w:customStyle="1" w:styleId="CommentTextChar">
    <w:name w:val="Comment Text Char"/>
    <w:link w:val="CommentText"/>
    <w:uiPriority w:val="99"/>
    <w:qFormat/>
    <w:rPr>
      <w:lang w:val="en-GB"/>
    </w:rPr>
  </w:style>
  <w:style w:type="character" w:customStyle="1" w:styleId="HeaderChar">
    <w:name w:val="Header Char"/>
    <w:link w:val="Header"/>
    <w:qFormat/>
    <w:rPr>
      <w:rFonts w:ascii="Verdana" w:hAnsi="Verdana"/>
      <w:color w:val="000000"/>
    </w:rPr>
  </w:style>
  <w:style w:type="character" w:customStyle="1" w:styleId="FooterChar">
    <w:name w:val="Footer Char"/>
    <w:link w:val="Footer"/>
    <w:uiPriority w:val="99"/>
    <w:qFormat/>
    <w:rPr>
      <w:sz w:val="24"/>
    </w:rPr>
  </w:style>
  <w:style w:type="paragraph" w:customStyle="1" w:styleId="TitleBoldCentered">
    <w:name w:val="Title Bold Centered"/>
    <w:qFormat/>
    <w:pPr>
      <w:spacing w:line="280" w:lineRule="exact"/>
      <w:jc w:val="center"/>
    </w:pPr>
    <w:rPr>
      <w:rFonts w:ascii="Verdana" w:eastAsia="Times New Roman" w:hAnsi="Verdana" w:cs="Arial"/>
      <w:b/>
      <w:bCs/>
      <w:color w:val="000000"/>
      <w:sz w:val="28"/>
      <w:szCs w:val="28"/>
    </w:rPr>
  </w:style>
  <w:style w:type="paragraph" w:customStyle="1" w:styleId="SubtitleItalicCentered">
    <w:name w:val="Subtitle Italic Centered"/>
    <w:qFormat/>
    <w:pPr>
      <w:spacing w:before="120" w:line="280" w:lineRule="exact"/>
      <w:jc w:val="center"/>
    </w:pPr>
    <w:rPr>
      <w:rFonts w:ascii="Verdana" w:eastAsia="Times New Roman" w:hAnsi="Verdana" w:cs="Arial"/>
      <w:bCs/>
      <w:i/>
      <w:color w:val="000000"/>
      <w:sz w:val="28"/>
      <w:szCs w:val="28"/>
    </w:rPr>
  </w:style>
  <w:style w:type="paragraph" w:customStyle="1" w:styleId="CityDateSubject">
    <w:name w:val="City Date Subject"/>
    <w:qFormat/>
    <w:pPr>
      <w:spacing w:before="480" w:line="320" w:lineRule="exact"/>
    </w:pPr>
    <w:rPr>
      <w:rFonts w:ascii="Verdana" w:eastAsia="Times New Roman" w:hAnsi="Verdana" w:cs="Arial"/>
      <w:b/>
      <w:color w:val="000000"/>
    </w:rPr>
  </w:style>
  <w:style w:type="paragraph" w:customStyle="1" w:styleId="Body10ptVerdana">
    <w:name w:val="Body 10pt Verdana"/>
    <w:basedOn w:val="Normal"/>
    <w:qFormat/>
    <w:pPr>
      <w:shd w:val="clear" w:color="auto" w:fill="FFFFFF"/>
      <w:spacing w:after="180" w:line="240" w:lineRule="exact"/>
    </w:pPr>
    <w:rPr>
      <w:rFonts w:ascii="Verdana" w:hAnsi="Verdana" w:cs="Helv"/>
      <w:color w:val="000000"/>
      <w:sz w:val="20"/>
    </w:rPr>
  </w:style>
  <w:style w:type="paragraph" w:customStyle="1" w:styleId="Body10ptVerdanaBold">
    <w:name w:val="Body 10pt Verdana Bold"/>
    <w:basedOn w:val="Body10ptVerdana"/>
    <w:qFormat/>
    <w:pPr>
      <w:spacing w:before="180" w:after="120"/>
    </w:pPr>
    <w:rPr>
      <w:b/>
    </w:rPr>
  </w:style>
  <w:style w:type="paragraph" w:customStyle="1" w:styleId="Sender">
    <w:name w:val="Sender"/>
    <w:qFormat/>
    <w:pPr>
      <w:spacing w:line="240" w:lineRule="exact"/>
    </w:pPr>
    <w:rPr>
      <w:rFonts w:ascii="Verdana" w:eastAsia="Times New Roman" w:hAnsi="Verdana" w:cs="Helv"/>
      <w:color w:val="000000"/>
    </w:rPr>
  </w:style>
  <w:style w:type="paragraph" w:customStyle="1" w:styleId="Body">
    <w:name w:val="Body"/>
    <w:qFormat/>
    <w:rPr>
      <w:rFonts w:ascii="Helvetica" w:eastAsia="Arial Unicode MS" w:hAnsi="Helvetica" w:cs="Arial Unicode MS"/>
      <w:color w:val="000000"/>
      <w:sz w:val="22"/>
      <w:szCs w:val="22"/>
    </w:rPr>
  </w:style>
  <w:style w:type="character" w:customStyle="1" w:styleId="shorttext">
    <w:name w:val="short_text"/>
    <w:qFormat/>
  </w:style>
  <w:style w:type="paragraph" w:customStyle="1" w:styleId="AddressText">
    <w:name w:val="Address Text"/>
    <w:qFormat/>
    <w:pPr>
      <w:tabs>
        <w:tab w:val="left" w:pos="2693"/>
        <w:tab w:val="left" w:pos="3691"/>
      </w:tabs>
      <w:spacing w:line="200" w:lineRule="exact"/>
    </w:pPr>
    <w:rPr>
      <w:rFonts w:ascii="Arial" w:eastAsia="Times" w:hAnsi="Arial"/>
      <w:color w:val="36A7E9"/>
      <w:sz w:val="16"/>
      <w:szCs w:val="16"/>
      <w:lang w:val="en-GB" w:eastAsia="en-GB"/>
    </w:rPr>
  </w:style>
  <w:style w:type="character" w:customStyle="1" w:styleId="CommentSubjectChar">
    <w:name w:val="Comment Subject Char"/>
    <w:basedOn w:val="CommentTextChar"/>
    <w:link w:val="CommentSubject"/>
    <w:semiHidden/>
    <w:qFormat/>
    <w:rPr>
      <w:b/>
      <w:bCs/>
      <w:lang w:val="en-GB"/>
    </w:rPr>
  </w:style>
  <w:style w:type="character" w:customStyle="1" w:styleId="BodyTextIndentChar">
    <w:name w:val="Body Text Indent Char"/>
    <w:basedOn w:val="DefaultParagraphFont"/>
    <w:link w:val="BodyTextIndent"/>
    <w:semiHidden/>
    <w:qFormat/>
    <w:rPr>
      <w:sz w:val="24"/>
    </w:rPr>
  </w:style>
  <w:style w:type="character" w:customStyle="1" w:styleId="BodyTextChar">
    <w:name w:val="Body Text Char"/>
    <w:basedOn w:val="DefaultParagraphFont"/>
    <w:link w:val="BodyText"/>
    <w:qFormat/>
    <w:rPr>
      <w:rFonts w:eastAsia="Times"/>
      <w:color w:val="000000"/>
      <w:sz w:val="22"/>
      <w:lang w:eastAsia="en-GB"/>
    </w:rPr>
  </w:style>
  <w:style w:type="paragraph" w:styleId="ListParagraph">
    <w:name w:val="List Paragraph"/>
    <w:basedOn w:val="Normal"/>
    <w:link w:val="ListParagraphChar"/>
    <w:uiPriority w:val="34"/>
    <w:qFormat/>
    <w:pPr>
      <w:ind w:left="720"/>
      <w:contextualSpacing/>
    </w:pPr>
  </w:style>
  <w:style w:type="paragraph" w:customStyle="1" w:styleId="Default">
    <w:name w:val="Default"/>
    <w:qFormat/>
    <w:pPr>
      <w:autoSpaceDE w:val="0"/>
      <w:autoSpaceDN w:val="0"/>
      <w:adjustRightInd w:val="0"/>
    </w:pPr>
    <w:rPr>
      <w:rFonts w:eastAsia="Times New Roman"/>
      <w:color w:val="000000"/>
      <w:sz w:val="24"/>
      <w:szCs w:val="24"/>
      <w:lang w:val="fr-FR"/>
    </w:rPr>
  </w:style>
  <w:style w:type="paragraph" w:customStyle="1" w:styleId="Rvision1">
    <w:name w:val="Révision1"/>
    <w:hidden/>
    <w:uiPriority w:val="99"/>
    <w:semiHidden/>
    <w:qFormat/>
    <w:rPr>
      <w:rFonts w:eastAsia="Times New Roman"/>
      <w:sz w:val="24"/>
    </w:rPr>
  </w:style>
  <w:style w:type="character" w:customStyle="1" w:styleId="ListParagraphChar">
    <w:name w:val="List Paragraph Char"/>
    <w:link w:val="ListParagraph"/>
    <w:uiPriority w:val="34"/>
    <w:qFormat/>
    <w:locked/>
    <w:rPr>
      <w:rFonts w:eastAsia="Times New Roman"/>
      <w:sz w:val="24"/>
    </w:rPr>
  </w:style>
  <w:style w:type="character" w:customStyle="1" w:styleId="FootnoteTextChar">
    <w:name w:val="Footnote Text Char"/>
    <w:basedOn w:val="DefaultParagraphFont"/>
    <w:link w:val="FootnoteText"/>
    <w:uiPriority w:val="99"/>
    <w:qFormat/>
    <w:rPr>
      <w:rFonts w:eastAsia="Times"/>
      <w:color w:val="000000"/>
      <w:lang w:eastAsia="en-GB"/>
    </w:rPr>
  </w:style>
  <w:style w:type="character" w:customStyle="1" w:styleId="ColorfulList-Accent1Char">
    <w:name w:val="Colorful List - Accent 1 Char"/>
    <w:link w:val="ColorfulList-Accent11"/>
    <w:uiPriority w:val="34"/>
    <w:qFormat/>
    <w:locked/>
    <w:rPr>
      <w:rFonts w:ascii="Cambria" w:eastAsia="Cambria" w:hAnsi="Cambria"/>
      <w:sz w:val="24"/>
      <w:szCs w:val="24"/>
    </w:rPr>
  </w:style>
  <w:style w:type="character" w:customStyle="1" w:styleId="hps">
    <w:name w:val="hps"/>
    <w:qFormat/>
  </w:style>
  <w:style w:type="paragraph" w:styleId="NoSpacing">
    <w:name w:val="No Spacing"/>
    <w:uiPriority w:val="1"/>
    <w:qFormat/>
    <w:pPr>
      <w:widowControl w:val="0"/>
      <w:jc w:val="both"/>
    </w:pPr>
    <w:rPr>
      <w:kern w:val="2"/>
      <w:sz w:val="21"/>
      <w:szCs w:val="24"/>
      <w:lang w:eastAsia="zh-CN"/>
    </w:rPr>
  </w:style>
  <w:style w:type="character" w:customStyle="1" w:styleId="Mentionnonrsolue1">
    <w:name w:val="Mention non résolue1"/>
    <w:basedOn w:val="DefaultParagraphFont"/>
    <w:uiPriority w:val="99"/>
    <w:semiHidden/>
    <w:unhideWhenUsed/>
    <w:qFormat/>
    <w:rPr>
      <w:color w:val="605E5C"/>
      <w:shd w:val="clear" w:color="auto" w:fill="E1DFDD"/>
    </w:rPr>
  </w:style>
  <w:style w:type="paragraph" w:customStyle="1" w:styleId="Revision1">
    <w:name w:val="Revision1"/>
    <w:hidden/>
    <w:uiPriority w:val="99"/>
    <w:unhideWhenUsed/>
    <w:qFormat/>
    <w:rPr>
      <w:rFonts w:eastAsia="Times New Roman"/>
      <w:sz w:val="24"/>
    </w:rPr>
  </w:style>
  <w:style w:type="paragraph" w:customStyle="1" w:styleId="Revision2">
    <w:name w:val="Revision2"/>
    <w:hidden/>
    <w:uiPriority w:val="99"/>
    <w:semiHidden/>
    <w:qFormat/>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mixedmigration.org/wp-content/uploads/2019/10/terminology_MMC.pdf%22%2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unicef-my.sharepoint.com/:x:/r/personal/onsabimana_unicef_org/_layouts/15/Doc.aspx?sourcedoc=%7BD6E58D76-D9F3-46D1-B34E-1B75A55E27AB%7D&amp;file=ANNEX%20II_UNTFHS_Workplan%20and%20Results%20Monitoring_Gabon_FINAL_update%20Jan2022.xlsx&amp;action=default&amp;mobileredirect=true"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u.int/sites/default/files/documents/41748-doc-Study_Report-Migration_and_Health-From_Policy_to_Practice_FR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ldisselmou\AppData\Local\Temp\Temp1_UNCEF_Letterhead_ForEveryChild_US_Letter.dotx.zip\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1420A47DA5F48A06D4F44779E201B" ma:contentTypeVersion="15" ma:contentTypeDescription="Create a new document." ma:contentTypeScope="" ma:versionID="01a74cb0fb51b6d5368f78fecdbe8829">
  <xsd:schema xmlns:xsd="http://www.w3.org/2001/XMLSchema" xmlns:xs="http://www.w3.org/2001/XMLSchema" xmlns:p="http://schemas.microsoft.com/office/2006/metadata/properties" xmlns:ns3="ce688492-bee9-4c21-b27d-b2db311b6d30" xmlns:ns4="ae8bdd09-4004-4fb1-88c5-bc318c78aab5" targetNamespace="http://schemas.microsoft.com/office/2006/metadata/properties" ma:root="true" ma:fieldsID="6f2f0ab54c17ae8d54abec50eb4e0332" ns3:_="" ns4:_="">
    <xsd:import namespace="ce688492-bee9-4c21-b27d-b2db311b6d30"/>
    <xsd:import namespace="ae8bdd09-4004-4fb1-88c5-bc318c78aa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88492-bee9-4c21-b27d-b2db311b6d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bdd09-4004-4fb1-88c5-bc318c78aa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ae8bdd09-4004-4fb1-88c5-bc318c78aab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88B68E-1028-4A18-AA39-C132D68D8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88492-bee9-4c21-b27d-b2db311b6d30"/>
    <ds:schemaRef ds:uri="ae8bdd09-4004-4fb1-88c5-bc318c78a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F7A75F8-63D2-48F9-8E42-6906EA529CCB}">
  <ds:schemaRefs>
    <ds:schemaRef ds:uri="http://schemas.openxmlformats.org/officeDocument/2006/bibliography"/>
  </ds:schemaRefs>
</ds:datastoreItem>
</file>

<file path=customXml/itemProps4.xml><?xml version="1.0" encoding="utf-8"?>
<ds:datastoreItem xmlns:ds="http://schemas.openxmlformats.org/officeDocument/2006/customXml" ds:itemID="{56D8F144-AB25-4227-9A12-E1846CF8D8A4}">
  <ds:schemaRefs>
    <ds:schemaRef ds:uri="http://schemas.microsoft.com/office/2006/metadata/properties"/>
    <ds:schemaRef ds:uri="http://schemas.microsoft.com/office/infopath/2007/PartnerControls"/>
    <ds:schemaRef ds:uri="ae8bdd09-4004-4fb1-88c5-bc318c78aab5"/>
  </ds:schemaRefs>
</ds:datastoreItem>
</file>

<file path=customXml/itemProps5.xml><?xml version="1.0" encoding="utf-8"?>
<ds:datastoreItem xmlns:ds="http://schemas.openxmlformats.org/officeDocument/2006/customXml" ds:itemID="{981DCF8D-B6CD-4349-9958-9CF38DC4E6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13</TotalTime>
  <Pages>16</Pages>
  <Words>6007</Words>
  <Characters>34246</Characters>
  <Application>Microsoft Office Word</Application>
  <DocSecurity>0</DocSecurity>
  <Lines>285</Lines>
  <Paragraphs>80</Paragraphs>
  <ScaleCrop>false</ScaleCrop>
  <Company>UNICEF</Company>
  <LinksUpToDate>false</LinksUpToDate>
  <CharactersWithSpaces>40173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Brahim Ould Isselmou</dc:creator>
  <cp:lastModifiedBy>Herve Cledjo</cp:lastModifiedBy>
  <cp:revision>2</cp:revision>
  <cp:lastPrinted>2023-08-09T14:21:00Z</cp:lastPrinted>
  <dcterms:created xsi:type="dcterms:W3CDTF">2023-10-05T10:35:00Z</dcterms:created>
  <dcterms:modified xsi:type="dcterms:W3CDTF">2023-10-05T10:35:00Z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69EB4755686E49E4B4A222B6BF728EF8_13</vt:lpwstr>
  </property>
  <property fmtid="{D5CDD505-2E9C-101B-9397-08002B2CF9AE}" pid="4" name="MSIP_Label_2059aa38-f392-4105-be92-628035578272_Enabled">
    <vt:lpwstr>true</vt:lpwstr>
  </property>
  <property fmtid="{D5CDD505-2E9C-101B-9397-08002B2CF9AE}" pid="5" name="MSIP_Label_2059aa38-f392-4105-be92-628035578272_SetDate">
    <vt:lpwstr>2023-09-06T20:29:00Z</vt:lpwstr>
  </property>
  <property fmtid="{D5CDD505-2E9C-101B-9397-08002B2CF9AE}" pid="6" name="MSIP_Label_2059aa38-f392-4105-be92-628035578272_Method">
    <vt:lpwstr>Standard</vt:lpwstr>
  </property>
  <property fmtid="{D5CDD505-2E9C-101B-9397-08002B2CF9AE}" pid="7" name="MSIP_Label_2059aa38-f392-4105-be92-628035578272_Name">
    <vt:lpwstr>IOMLb0020IN123173</vt:lpwstr>
  </property>
  <property fmtid="{D5CDD505-2E9C-101B-9397-08002B2CF9AE}" pid="8" name="MSIP_Label_2059aa38-f392-4105-be92-628035578272_SiteId">
    <vt:lpwstr>1588262d-23fb-43b4-bd6e-bce49c8e6186</vt:lpwstr>
  </property>
  <property fmtid="{D5CDD505-2E9C-101B-9397-08002B2CF9AE}" pid="9" name="MSIP_Label_2059aa38-f392-4105-be92-628035578272_ActionId">
    <vt:lpwstr>4a5a3ecb-2b71-4e14-8831-805d1188ada3</vt:lpwstr>
  </property>
  <property fmtid="{D5CDD505-2E9C-101B-9397-08002B2CF9AE}" pid="10" name="MSIP_Label_2059aa38-f392-4105-be92-628035578272_ContentBits">
    <vt:lpwstr>0</vt:lpwstr>
  </property>
  <property fmtid="{D5CDD505-2E9C-101B-9397-08002B2CF9AE}" pid="11" name="ContentTypeId">
    <vt:lpwstr>0x010100B911420A47DA5F48A06D4F44779E201B</vt:lpwstr>
  </property>
</Properties>
</file>