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3963E" w14:textId="7DFC8505" w:rsidR="00ED5B8F" w:rsidRDefault="00ED5B8F" w:rsidP="00C57A30">
      <w:pPr>
        <w:widowControl w:val="0"/>
        <w:spacing w:after="0"/>
        <w:jc w:val="center"/>
        <w:rPr>
          <w:rFonts w:eastAsia="Arial"/>
          <w:b/>
          <w:bCs/>
          <w:snapToGrid w:val="0"/>
          <w:sz w:val="24"/>
          <w:szCs w:val="24"/>
          <w:lang w:val="fr-FR"/>
        </w:rPr>
      </w:pPr>
      <w:r w:rsidRPr="004C2D91">
        <w:rPr>
          <w:rFonts w:eastAsia="Arial"/>
          <w:b/>
          <w:bCs/>
          <w:snapToGrid w:val="0"/>
          <w:sz w:val="24"/>
          <w:szCs w:val="24"/>
          <w:lang w:val="fr-FR"/>
        </w:rPr>
        <w:t>TERMES DE REFERENCE</w:t>
      </w:r>
    </w:p>
    <w:p w14:paraId="584AFB7A" w14:textId="3F2B71DF" w:rsidR="00C57A30" w:rsidRDefault="00C57A30" w:rsidP="00C57A30">
      <w:pPr>
        <w:widowControl w:val="0"/>
        <w:spacing w:after="0"/>
        <w:jc w:val="center"/>
        <w:rPr>
          <w:rFonts w:eastAsia="Arial"/>
          <w:b/>
          <w:bCs/>
          <w:snapToGrid w:val="0"/>
          <w:sz w:val="24"/>
          <w:szCs w:val="24"/>
          <w:lang w:val="fr-FR"/>
        </w:rPr>
      </w:pPr>
      <w:r>
        <w:rPr>
          <w:b/>
          <w:color w:val="000000"/>
          <w:szCs w:val="20"/>
          <w:lang w:val="fr-FR"/>
        </w:rPr>
        <w:t xml:space="preserve">Analyse des goulots d’étranglement dans les services EHA dans les écoles et </w:t>
      </w:r>
      <w:r w:rsidRPr="00CE5387">
        <w:rPr>
          <w:rFonts w:cs="Arial"/>
          <w:b/>
          <w:szCs w:val="20"/>
          <w:lang w:val="fr-FR"/>
        </w:rPr>
        <w:t xml:space="preserve">Développement de la stratégie </w:t>
      </w:r>
      <w:r>
        <w:rPr>
          <w:rFonts w:cs="Arial"/>
          <w:b/>
          <w:szCs w:val="20"/>
          <w:lang w:val="fr-FR"/>
        </w:rPr>
        <w:t>Eau, Assainissement et Hygiène</w:t>
      </w:r>
      <w:r w:rsidRPr="00CE5387">
        <w:rPr>
          <w:rFonts w:cs="Arial"/>
          <w:b/>
          <w:szCs w:val="20"/>
          <w:lang w:val="fr-FR"/>
        </w:rPr>
        <w:t xml:space="preserve"> dans les Ecoles</w:t>
      </w:r>
      <w:r>
        <w:rPr>
          <w:rFonts w:cs="Arial"/>
          <w:b/>
          <w:szCs w:val="20"/>
          <w:lang w:val="fr-FR"/>
        </w:rPr>
        <w:t xml:space="preserve"> y compris la c</w:t>
      </w:r>
      <w:r w:rsidRPr="00CE5387">
        <w:rPr>
          <w:rFonts w:cs="Arial"/>
          <w:b/>
          <w:szCs w:val="20"/>
          <w:lang w:val="fr-FR"/>
        </w:rPr>
        <w:t>onception de module de formation et d’outils IEC incluant la Gestion de l’Hygiène Menstruelle</w:t>
      </w:r>
    </w:p>
    <w:p w14:paraId="0BBD243B" w14:textId="77777777" w:rsidR="00C57A30" w:rsidRPr="00DB3B95" w:rsidRDefault="00C57A30" w:rsidP="00C57A30">
      <w:pPr>
        <w:widowControl w:val="0"/>
        <w:spacing w:after="0"/>
        <w:rPr>
          <w:rFonts w:eastAsia="Arial"/>
          <w:b/>
          <w:bCs/>
          <w:snapToGrid w:val="0"/>
          <w:sz w:val="24"/>
          <w:szCs w:val="24"/>
          <w:lang w:val="fr-FR"/>
        </w:rPr>
      </w:pPr>
    </w:p>
    <w:p w14:paraId="43F184D7" w14:textId="77777777" w:rsidR="00AD6748" w:rsidRPr="003C7C75" w:rsidRDefault="00AD6748" w:rsidP="00AD6748">
      <w:pPr>
        <w:pStyle w:val="ListParagraph"/>
        <w:numPr>
          <w:ilvl w:val="0"/>
          <w:numId w:val="2"/>
        </w:numPr>
        <w:spacing w:line="240" w:lineRule="auto"/>
        <w:ind w:left="360"/>
        <w:rPr>
          <w:rFonts w:cs="Arial"/>
          <w:b/>
          <w:sz w:val="28"/>
          <w:szCs w:val="28"/>
          <w:lang w:val="fr-FR"/>
        </w:rPr>
      </w:pPr>
      <w:r w:rsidRPr="003C7C75">
        <w:rPr>
          <w:rFonts w:cs="Arial"/>
          <w:b/>
          <w:sz w:val="28"/>
          <w:szCs w:val="28"/>
          <w:lang w:val="fr-FR"/>
        </w:rPr>
        <w:t>Contexte </w:t>
      </w:r>
    </w:p>
    <w:p w14:paraId="7A07AC3B" w14:textId="77777777" w:rsidR="00A253A5" w:rsidRDefault="00AD6748" w:rsidP="00017EA4">
      <w:pPr>
        <w:jc w:val="both"/>
        <w:rPr>
          <w:lang w:val="fr-FR"/>
        </w:rPr>
      </w:pPr>
      <w:r w:rsidRPr="00CE5387">
        <w:rPr>
          <w:lang w:val="fr-FR"/>
        </w:rPr>
        <w:t xml:space="preserve">La situation de l’eau et de l’assainissement dans les écoles elle est très préoccupante. </w:t>
      </w:r>
      <w:r w:rsidR="00A253A5" w:rsidRPr="00A253A5">
        <w:rPr>
          <w:lang w:val="fr-FR"/>
        </w:rPr>
        <w:t>Mondialement selon le Programme Commun de Monitorage du secteur Eau, Assainissement et Hygiène de 2018 (JMP acronyme en anglais), en 2016, près de 570 millions d’enfants ne bénéficient d’aucun service élémentaire d’approvisionnement en eau de boisson dans leur établissement scolaire. En ce qui concerne l’accès à l’assainissement dans les écoles, plus de 620 millions d’enfants à travers le monde ne bénéficient d’aucun service élémentaire d’assainissement dans leur établissement scolaire. Ces données sont plus criardes pour ce qui concerne l’hygiène. Environ 900 millions d’enfants dans le monde ne bénéficient d’aucun service élémentaire d’hygiène dans leur établissement scolaire</w:t>
      </w:r>
    </w:p>
    <w:p w14:paraId="7AC76B00" w14:textId="310E40E4" w:rsidR="00A253A5" w:rsidRDefault="00A253A5" w:rsidP="00017EA4">
      <w:pPr>
        <w:jc w:val="both"/>
        <w:rPr>
          <w:lang w:val="fr-FR"/>
        </w:rPr>
      </w:pPr>
      <w:r w:rsidRPr="00A253A5">
        <w:rPr>
          <w:lang w:val="fr-FR"/>
        </w:rPr>
        <w:t>Près de la moitié des établissements scolaires d’Afrique subsaharienne ne disposent d’aucun service d’approvisionnement en eau de boisson. Un tiers des établissements scolaires d’Afrique Subsaharienne ne disposent d’aucun service d’assainissement. Ces services, quand ils existent, font face à d'énormes difficultés pour l’entretien, la maintenance des ouvrages Eau, Assainissement et Hygiène (WASH son acronyme en anglais) et pour l’application des pratiques d’hygiène.</w:t>
      </w:r>
    </w:p>
    <w:p w14:paraId="68764B4B" w14:textId="17E2A8F7" w:rsidR="00A253A5" w:rsidRPr="00A253A5" w:rsidRDefault="00A253A5" w:rsidP="00A253A5">
      <w:pPr>
        <w:jc w:val="both"/>
        <w:rPr>
          <w:lang w:val="fr-FR"/>
        </w:rPr>
      </w:pPr>
      <w:r w:rsidRPr="00A253A5">
        <w:rPr>
          <w:lang w:val="fr-FR"/>
        </w:rPr>
        <w:t xml:space="preserve">A Djibouti, les résultats de la dernière enquête EDAM de </w:t>
      </w:r>
      <w:r w:rsidR="00D9392D" w:rsidRPr="00A253A5">
        <w:rPr>
          <w:lang w:val="fr-FR"/>
        </w:rPr>
        <w:t>2017 font</w:t>
      </w:r>
      <w:r w:rsidRPr="00A253A5">
        <w:rPr>
          <w:lang w:val="fr-FR"/>
        </w:rPr>
        <w:t xml:space="preserve"> état de 78% d’accès à l’eau potable pour le milieu urbain contre 56% qui représente moins de la moitié en milieu rural. Cette situation est d’autant plus alarmante car les maladies diarrhéiques font partie des 3 premières causes de mortalité infantile des moins de 5 </w:t>
      </w:r>
      <w:r w:rsidR="00D9392D" w:rsidRPr="00A253A5">
        <w:rPr>
          <w:lang w:val="fr-FR"/>
        </w:rPr>
        <w:t>ans au</w:t>
      </w:r>
      <w:r w:rsidRPr="00A253A5">
        <w:rPr>
          <w:lang w:val="fr-FR"/>
        </w:rPr>
        <w:t xml:space="preserve"> côté des IRA et du Paludisme.</w:t>
      </w:r>
    </w:p>
    <w:p w14:paraId="51544BBD" w14:textId="565E0021" w:rsidR="00A253A5" w:rsidRDefault="00A253A5" w:rsidP="00A253A5">
      <w:pPr>
        <w:jc w:val="both"/>
        <w:rPr>
          <w:lang w:val="fr-FR"/>
        </w:rPr>
      </w:pPr>
      <w:r w:rsidRPr="00A253A5">
        <w:rPr>
          <w:lang w:val="fr-FR"/>
        </w:rPr>
        <w:t>Au niveau des écoles la situation est aussi alarmante en matière de pérennité des services surtout d’assainissement et d’hygiène.  Le MENFOP réalise un réel travail de collecte de données qui permettent de renseigner les indicateurs en termes d’eau et d’assainissement dans les écoles ii) mais les données collectées par le MENFOP ne permettent pas d’apprécier les pratiques d’hygiène ou l’existence de dispositifs de lavage des mains avec du savon, indicateur qui est très important pour le suivi de l’hygiène pour les ODD. Bien que la majorité des écoles soient dotées d’infrastructures d’Eau, Assainissement et Hygiène (WASH acronymes anglais) la plupart des installations d’assainissement ne sont pas fonctionnelles et ne sont pas utilisées par manque de plan d’entretien et de maintenance. Cette situation est un problème majeur au sein des établissements scolaires du pays et</w:t>
      </w:r>
      <w:r w:rsidR="00FA433A">
        <w:rPr>
          <w:lang w:val="fr-FR"/>
        </w:rPr>
        <w:t xml:space="preserve"> </w:t>
      </w:r>
      <w:r w:rsidRPr="00A253A5">
        <w:rPr>
          <w:lang w:val="fr-FR"/>
        </w:rPr>
        <w:t>pourrait impacter négativement la scolarité des enfants. En effet, selon le dernier annuaire statistique publié par le MENFOP, le taux d’achèvement scolaire dans les établissements moyens est de 54% chez les garçons contre 50% pour les filles. Selon une enquête nationale de « Diagnostic exhaustif en milieu scolaire » de la situation de l’eau et de l’assainissement dans les écoles, réalisée en 2010 avec l’appui financier de l’UNICEF en partenariat avec le Ministère de l’Education :</w:t>
      </w:r>
    </w:p>
    <w:p w14:paraId="7D203E3F" w14:textId="7AF4157E" w:rsidR="000E404D" w:rsidRDefault="00A253A5" w:rsidP="00017EA4">
      <w:pPr>
        <w:jc w:val="both"/>
        <w:rPr>
          <w:lang w:val="fr-FR"/>
        </w:rPr>
      </w:pPr>
      <w:r w:rsidRPr="00A253A5">
        <w:rPr>
          <w:lang w:val="fr-FR"/>
        </w:rPr>
        <w:lastRenderedPageBreak/>
        <w:t>Malgré les investissements consentis par le gouvernement de Djibouti et ses partenaires les paquets d’actions entrepris par les acteurs se sont focalisés sur les infrastructures d’eau et assainissement en grande majorité sans une approche de travail communautaire. Dans les écoles, ces interventions ne sont pas soutenues par une prise en compte systématique de l’aspect soft visant à un changement durable de comportement chez les enfants. De plus, il y a peu de programmes de suivi et de renforcement des systèmes mis en place intégrant les acteurs locaux, ce qui a fragilisé davantage les acquis.</w:t>
      </w:r>
      <w:r w:rsidRPr="009817AC">
        <w:rPr>
          <w:lang w:val="fr-FR"/>
        </w:rPr>
        <w:t xml:space="preserve"> </w:t>
      </w:r>
      <w:r>
        <w:rPr>
          <w:lang w:val="fr-FR"/>
        </w:rPr>
        <w:t>A</w:t>
      </w:r>
      <w:r w:rsidRPr="00A253A5">
        <w:rPr>
          <w:lang w:val="fr-FR"/>
        </w:rPr>
        <w:t xml:space="preserve">ucune analyse n’a été réalisée dans le pays pour comprendre les goulots d’étranglement, les facteurs déterminants et les opportunités pour développer des programmes durables EAHMS. De ce fait, les facteurs déterminants sont mal connus </w:t>
      </w:r>
      <w:r>
        <w:rPr>
          <w:lang w:val="fr-FR"/>
        </w:rPr>
        <w:t>et le ministère ne dispose pas d’une stratégie</w:t>
      </w:r>
      <w:r w:rsidR="000E404D">
        <w:rPr>
          <w:lang w:val="fr-FR"/>
        </w:rPr>
        <w:t xml:space="preserve"> pour l’amélioration de l’accès aux services </w:t>
      </w:r>
      <w:r w:rsidR="000E404D" w:rsidRPr="000E404D">
        <w:rPr>
          <w:lang w:val="fr-FR"/>
        </w:rPr>
        <w:t>EAHMS</w:t>
      </w:r>
      <w:r w:rsidR="000E404D">
        <w:rPr>
          <w:lang w:val="fr-FR"/>
        </w:rPr>
        <w:t xml:space="preserve"> dans les écoles. </w:t>
      </w:r>
      <w:r>
        <w:rPr>
          <w:lang w:val="fr-FR"/>
        </w:rPr>
        <w:t xml:space="preserve"> </w:t>
      </w:r>
      <w:r w:rsidR="000E404D">
        <w:rPr>
          <w:lang w:val="fr-FR"/>
        </w:rPr>
        <w:t>C</w:t>
      </w:r>
      <w:r w:rsidRPr="00A253A5">
        <w:rPr>
          <w:lang w:val="fr-FR"/>
        </w:rPr>
        <w:t xml:space="preserve">e qui constitue un handicap pour le développement d’une vision nationale cohérente pour l’EHAMS et en phase avec l’engagement de Djibouti à atteindre les ODD, en particulier les objectifs 4 et 6.  </w:t>
      </w:r>
    </w:p>
    <w:p w14:paraId="1E52A531" w14:textId="04C47BB6" w:rsidR="00D9392D" w:rsidRDefault="00D9392D" w:rsidP="00D9392D">
      <w:pPr>
        <w:jc w:val="both"/>
        <w:rPr>
          <w:szCs w:val="20"/>
          <w:lang w:val="fr-FR" w:eastAsia="ja-JP"/>
        </w:rPr>
      </w:pPr>
      <w:r w:rsidRPr="00CE5387">
        <w:rPr>
          <w:lang w:val="fr-FR"/>
        </w:rPr>
        <w:t>Donc</w:t>
      </w:r>
      <w:r>
        <w:rPr>
          <w:lang w:val="fr-FR"/>
        </w:rPr>
        <w:t xml:space="preserve"> </w:t>
      </w:r>
      <w:r w:rsidRPr="00CE5387">
        <w:rPr>
          <w:lang w:val="fr-FR"/>
        </w:rPr>
        <w:t>avec</w:t>
      </w:r>
      <w:r w:rsidR="00A4735A" w:rsidRPr="00CE5387">
        <w:rPr>
          <w:lang w:val="fr-FR"/>
        </w:rPr>
        <w:t xml:space="preserve"> l’appui technique et financier de l’UNICEF</w:t>
      </w:r>
      <w:r w:rsidR="00AD6748" w:rsidRPr="00CE5387">
        <w:rPr>
          <w:lang w:val="fr-FR"/>
        </w:rPr>
        <w:t xml:space="preserve">, le </w:t>
      </w:r>
      <w:r>
        <w:rPr>
          <w:lang w:val="fr-FR"/>
        </w:rPr>
        <w:t xml:space="preserve">MENFOP </w:t>
      </w:r>
      <w:r w:rsidRPr="00CE5387">
        <w:rPr>
          <w:szCs w:val="20"/>
          <w:lang w:val="fr-FR" w:eastAsia="ja-JP"/>
        </w:rPr>
        <w:t>se</w:t>
      </w:r>
      <w:r w:rsidR="00AD6748" w:rsidRPr="00CE5387">
        <w:rPr>
          <w:szCs w:val="20"/>
          <w:lang w:val="fr-FR" w:eastAsia="ja-JP"/>
        </w:rPr>
        <w:t xml:space="preserve"> propose</w:t>
      </w:r>
      <w:r>
        <w:rPr>
          <w:szCs w:val="20"/>
          <w:lang w:val="fr-FR" w:eastAsia="ja-JP"/>
        </w:rPr>
        <w:t xml:space="preserve"> </w:t>
      </w:r>
      <w:r w:rsidR="00AD6748" w:rsidRPr="00CE5387">
        <w:rPr>
          <w:szCs w:val="20"/>
          <w:lang w:val="fr-FR" w:eastAsia="ja-JP"/>
        </w:rPr>
        <w:t xml:space="preserve">de recruter un </w:t>
      </w:r>
      <w:r w:rsidR="004838E9" w:rsidRPr="00CE5387">
        <w:rPr>
          <w:szCs w:val="20"/>
          <w:lang w:val="fr-FR" w:eastAsia="ja-JP"/>
        </w:rPr>
        <w:t xml:space="preserve">(une) </w:t>
      </w:r>
      <w:r w:rsidR="00AD6748" w:rsidRPr="00CE5387">
        <w:rPr>
          <w:szCs w:val="20"/>
          <w:lang w:val="fr-FR" w:eastAsia="ja-JP"/>
        </w:rPr>
        <w:t>consultant</w:t>
      </w:r>
      <w:r w:rsidR="004838E9" w:rsidRPr="00CE5387">
        <w:rPr>
          <w:szCs w:val="20"/>
          <w:lang w:val="fr-FR" w:eastAsia="ja-JP"/>
        </w:rPr>
        <w:t xml:space="preserve"> (e) individuel (e) </w:t>
      </w:r>
      <w:r w:rsidR="00AD6748" w:rsidRPr="00CE5387">
        <w:rPr>
          <w:szCs w:val="20"/>
          <w:lang w:val="fr-FR" w:eastAsia="ja-JP"/>
        </w:rPr>
        <w:t>international</w:t>
      </w:r>
      <w:r w:rsidR="004838E9" w:rsidRPr="00CE5387">
        <w:rPr>
          <w:szCs w:val="20"/>
          <w:lang w:val="fr-FR" w:eastAsia="ja-JP"/>
        </w:rPr>
        <w:t xml:space="preserve">(e) </w:t>
      </w:r>
      <w:r w:rsidR="00AD6748" w:rsidRPr="00CE5387">
        <w:rPr>
          <w:szCs w:val="20"/>
          <w:lang w:val="fr-FR" w:eastAsia="ja-JP"/>
        </w:rPr>
        <w:t>expérimenté</w:t>
      </w:r>
      <w:r w:rsidR="004838E9" w:rsidRPr="00CE5387">
        <w:rPr>
          <w:szCs w:val="20"/>
          <w:lang w:val="fr-FR" w:eastAsia="ja-JP"/>
        </w:rPr>
        <w:t xml:space="preserve"> (e)</w:t>
      </w:r>
      <w:r w:rsidR="00AD6748" w:rsidRPr="00CE5387">
        <w:rPr>
          <w:szCs w:val="20"/>
          <w:lang w:val="fr-FR" w:eastAsia="ja-JP"/>
        </w:rPr>
        <w:t xml:space="preserve"> pour développer la stratégie</w:t>
      </w:r>
      <w:r>
        <w:rPr>
          <w:szCs w:val="20"/>
          <w:lang w:val="fr-FR" w:eastAsia="ja-JP"/>
        </w:rPr>
        <w:t xml:space="preserve"> nationale d’amélioration de l’accès aux services Eau, Assainissement et Hygiène dans les écoles </w:t>
      </w:r>
    </w:p>
    <w:p w14:paraId="1DBDED77" w14:textId="0014CEBB" w:rsidR="00AD6748" w:rsidRPr="003C7C75" w:rsidRDefault="00AD6748" w:rsidP="00B81264">
      <w:pPr>
        <w:pStyle w:val="ListParagraph"/>
        <w:numPr>
          <w:ilvl w:val="0"/>
          <w:numId w:val="2"/>
        </w:numPr>
        <w:spacing w:line="240" w:lineRule="auto"/>
        <w:ind w:left="360"/>
        <w:rPr>
          <w:rFonts w:cs="Arial"/>
          <w:b/>
          <w:sz w:val="28"/>
          <w:szCs w:val="28"/>
          <w:lang w:val="fr-FR"/>
        </w:rPr>
      </w:pPr>
      <w:r w:rsidRPr="003C7C75">
        <w:rPr>
          <w:rFonts w:cs="Arial"/>
          <w:b/>
          <w:sz w:val="28"/>
          <w:szCs w:val="28"/>
          <w:lang w:val="fr-FR"/>
        </w:rPr>
        <w:t xml:space="preserve">Objectifs </w:t>
      </w:r>
      <w:r w:rsidR="0042513D" w:rsidRPr="003C7C75">
        <w:rPr>
          <w:rFonts w:cs="Arial"/>
          <w:b/>
          <w:sz w:val="28"/>
          <w:szCs w:val="28"/>
          <w:lang w:val="fr-FR"/>
        </w:rPr>
        <w:t>de la consultation</w:t>
      </w:r>
    </w:p>
    <w:p w14:paraId="6547AEBD" w14:textId="6D78BA8F" w:rsidR="00AD6748" w:rsidRDefault="00AD6748" w:rsidP="00AA2A49">
      <w:pPr>
        <w:jc w:val="both"/>
        <w:rPr>
          <w:szCs w:val="20"/>
          <w:lang w:val="fr-FR" w:eastAsia="ja-JP"/>
        </w:rPr>
      </w:pPr>
      <w:r w:rsidRPr="00CE5387">
        <w:rPr>
          <w:szCs w:val="20"/>
          <w:lang w:val="fr-FR" w:eastAsia="ja-JP"/>
        </w:rPr>
        <w:t xml:space="preserve">L’objectif principal de la consultation est </w:t>
      </w:r>
      <w:r w:rsidR="00233F31" w:rsidRPr="00CE5387">
        <w:rPr>
          <w:szCs w:val="20"/>
          <w:lang w:val="fr-FR" w:eastAsia="ja-JP"/>
        </w:rPr>
        <w:t>d’</w:t>
      </w:r>
      <w:r w:rsidR="00233F31">
        <w:rPr>
          <w:szCs w:val="20"/>
          <w:lang w:val="fr-FR" w:eastAsia="ja-JP"/>
        </w:rPr>
        <w:t>appuyer</w:t>
      </w:r>
      <w:r w:rsidR="00233F31" w:rsidRPr="00CE5387">
        <w:rPr>
          <w:szCs w:val="20"/>
          <w:lang w:val="fr-FR" w:eastAsia="ja-JP"/>
        </w:rPr>
        <w:t xml:space="preserve"> </w:t>
      </w:r>
      <w:r w:rsidRPr="00CE5387">
        <w:rPr>
          <w:szCs w:val="20"/>
          <w:lang w:val="fr-FR" w:eastAsia="ja-JP"/>
        </w:rPr>
        <w:t xml:space="preserve">le Ministère </w:t>
      </w:r>
      <w:r w:rsidR="00A4735A" w:rsidRPr="00CE5387">
        <w:rPr>
          <w:szCs w:val="20"/>
          <w:lang w:val="fr-FR" w:eastAsia="ja-JP"/>
        </w:rPr>
        <w:t xml:space="preserve">de l’Education Nationale et de </w:t>
      </w:r>
      <w:r w:rsidR="00D9392D">
        <w:rPr>
          <w:szCs w:val="20"/>
          <w:lang w:val="fr-FR" w:eastAsia="ja-JP"/>
        </w:rPr>
        <w:t xml:space="preserve">l’Enseignement </w:t>
      </w:r>
      <w:r w:rsidR="00D9392D" w:rsidRPr="00AA2A49">
        <w:rPr>
          <w:lang w:val="fr-FR"/>
        </w:rPr>
        <w:t>Professionnel</w:t>
      </w:r>
      <w:r w:rsidRPr="00CE5387">
        <w:rPr>
          <w:szCs w:val="20"/>
          <w:lang w:val="fr-FR" w:eastAsia="ja-JP"/>
        </w:rPr>
        <w:t xml:space="preserve"> à </w:t>
      </w:r>
      <w:r w:rsidR="00A4735A" w:rsidRPr="00CE5387">
        <w:rPr>
          <w:szCs w:val="20"/>
          <w:lang w:val="fr-FR" w:eastAsia="ja-JP"/>
        </w:rPr>
        <w:t>développer une stratégie</w:t>
      </w:r>
      <w:r w:rsidRPr="00CE5387">
        <w:rPr>
          <w:szCs w:val="20"/>
          <w:lang w:val="fr-FR" w:eastAsia="ja-JP"/>
        </w:rPr>
        <w:t xml:space="preserve"> eau, hygiène et assainissement </w:t>
      </w:r>
      <w:r w:rsidR="00A4735A" w:rsidRPr="00CE5387">
        <w:rPr>
          <w:szCs w:val="20"/>
          <w:lang w:val="fr-FR" w:eastAsia="ja-JP"/>
        </w:rPr>
        <w:t>dans les écoles</w:t>
      </w:r>
      <w:r w:rsidR="00D9392D">
        <w:rPr>
          <w:szCs w:val="20"/>
          <w:lang w:val="fr-FR" w:eastAsia="ja-JP"/>
        </w:rPr>
        <w:t>.</w:t>
      </w:r>
      <w:r w:rsidR="00A4735A" w:rsidRPr="00CE5387">
        <w:rPr>
          <w:szCs w:val="20"/>
          <w:lang w:val="fr-FR" w:eastAsia="ja-JP"/>
        </w:rPr>
        <w:t xml:space="preserve"> De plus, </w:t>
      </w:r>
      <w:r w:rsidRPr="00CE5387">
        <w:rPr>
          <w:szCs w:val="20"/>
          <w:lang w:val="fr-FR" w:eastAsia="ja-JP"/>
        </w:rPr>
        <w:t xml:space="preserve">un module de formation et son guide de facilitation ainsi que les outils de communication et de </w:t>
      </w:r>
      <w:r w:rsidR="00A4735A" w:rsidRPr="00CE5387">
        <w:rPr>
          <w:szCs w:val="20"/>
          <w:lang w:val="fr-FR" w:eastAsia="ja-JP"/>
        </w:rPr>
        <w:t>suivi seront élaborés.</w:t>
      </w:r>
    </w:p>
    <w:p w14:paraId="082BB6AC" w14:textId="22A89DCA" w:rsidR="00D9392D" w:rsidRDefault="0042513D" w:rsidP="00AD6748">
      <w:pPr>
        <w:spacing w:after="0" w:line="240" w:lineRule="auto"/>
        <w:jc w:val="both"/>
        <w:rPr>
          <w:szCs w:val="20"/>
          <w:lang w:val="fr-FR" w:eastAsia="ja-JP"/>
        </w:rPr>
      </w:pPr>
      <w:r w:rsidRPr="0042513D">
        <w:rPr>
          <w:szCs w:val="20"/>
          <w:lang w:val="fr-FR" w:eastAsia="ja-JP"/>
        </w:rPr>
        <w:t>Spécifiquement, il s’agit de</w:t>
      </w:r>
      <w:r>
        <w:rPr>
          <w:szCs w:val="20"/>
          <w:lang w:val="fr-FR" w:eastAsia="ja-JP"/>
        </w:rPr>
        <w:t> :</w:t>
      </w:r>
    </w:p>
    <w:p w14:paraId="0FC2417A" w14:textId="70F99EA6" w:rsidR="00B81264" w:rsidRPr="001B0D6F" w:rsidRDefault="00B81264" w:rsidP="00AA2A49">
      <w:pPr>
        <w:pStyle w:val="ListParagraph"/>
        <w:numPr>
          <w:ilvl w:val="0"/>
          <w:numId w:val="28"/>
        </w:numPr>
        <w:spacing w:before="120" w:after="120"/>
        <w:jc w:val="both"/>
        <w:rPr>
          <w:szCs w:val="20"/>
          <w:lang w:val="fr-FR" w:eastAsia="ja-JP"/>
        </w:rPr>
      </w:pPr>
      <w:r w:rsidRPr="001B0D6F">
        <w:rPr>
          <w:szCs w:val="20"/>
          <w:lang w:val="fr-FR" w:eastAsia="ja-JP"/>
        </w:rPr>
        <w:t>C</w:t>
      </w:r>
      <w:r w:rsidR="0042513D" w:rsidRPr="001B0D6F">
        <w:rPr>
          <w:szCs w:val="20"/>
          <w:lang w:val="fr-FR" w:eastAsia="ja-JP"/>
        </w:rPr>
        <w:t xml:space="preserve">onduire une analyse de la situation de l’EAHMS </w:t>
      </w:r>
      <w:r w:rsidRPr="001B0D6F">
        <w:rPr>
          <w:szCs w:val="20"/>
          <w:lang w:val="fr-FR" w:eastAsia="ja-JP"/>
        </w:rPr>
        <w:t>(contexte institutionnel et niveau d’accès aux services EAH)</w:t>
      </w:r>
    </w:p>
    <w:p w14:paraId="5C31BFDB" w14:textId="77777777" w:rsidR="00B81264" w:rsidRPr="001B0D6F" w:rsidRDefault="00B81264" w:rsidP="00AA2A49">
      <w:pPr>
        <w:pStyle w:val="ListParagraph"/>
        <w:numPr>
          <w:ilvl w:val="0"/>
          <w:numId w:val="28"/>
        </w:numPr>
        <w:spacing w:before="120" w:after="120"/>
        <w:jc w:val="both"/>
        <w:rPr>
          <w:szCs w:val="20"/>
          <w:lang w:val="fr-FR" w:eastAsia="ja-JP"/>
        </w:rPr>
      </w:pPr>
      <w:r w:rsidRPr="001B0D6F">
        <w:rPr>
          <w:szCs w:val="20"/>
          <w:lang w:val="fr-FR" w:eastAsia="ja-JP"/>
        </w:rPr>
        <w:t>Identifier les goulots d’étranglement et les contraintes majeures relatifs à la couverture tout le long du processus de fourniture de services, le changement de comportement des enfants, l’engagement des communautés</w:t>
      </w:r>
    </w:p>
    <w:p w14:paraId="1C461867" w14:textId="4B1893F5" w:rsidR="00B81264" w:rsidRPr="001B0D6F" w:rsidRDefault="00B81264" w:rsidP="00AA2A49">
      <w:pPr>
        <w:pStyle w:val="ListParagraph"/>
        <w:numPr>
          <w:ilvl w:val="0"/>
          <w:numId w:val="28"/>
        </w:numPr>
        <w:spacing w:before="120" w:after="120"/>
        <w:jc w:val="both"/>
        <w:rPr>
          <w:szCs w:val="20"/>
          <w:lang w:val="fr-FR" w:eastAsia="ja-JP"/>
        </w:rPr>
      </w:pPr>
      <w:r w:rsidRPr="001B0D6F">
        <w:rPr>
          <w:szCs w:val="20"/>
          <w:lang w:val="fr-FR" w:eastAsia="ja-JP"/>
        </w:rPr>
        <w:t xml:space="preserve">Formuler des recommandations clés pour l’amélioration durable de l’EAHMS. </w:t>
      </w:r>
    </w:p>
    <w:p w14:paraId="62F2F086" w14:textId="4BA8F15B" w:rsidR="00B81264" w:rsidRPr="001B0D6F" w:rsidRDefault="00B81264" w:rsidP="00AA2A49">
      <w:pPr>
        <w:pStyle w:val="ListParagraph"/>
        <w:numPr>
          <w:ilvl w:val="0"/>
          <w:numId w:val="28"/>
        </w:numPr>
        <w:spacing w:before="120" w:after="120"/>
        <w:jc w:val="both"/>
        <w:rPr>
          <w:szCs w:val="20"/>
          <w:lang w:val="fr-FR" w:eastAsia="ja-JP"/>
        </w:rPr>
      </w:pPr>
      <w:r w:rsidRPr="001B0D6F">
        <w:rPr>
          <w:szCs w:val="20"/>
          <w:lang w:val="fr-FR" w:eastAsia="ja-JP"/>
        </w:rPr>
        <w:t>Elaborer la stratégie nationale d’amélioration de l’accès aux services EAH dans les écoles</w:t>
      </w:r>
    </w:p>
    <w:p w14:paraId="5E0FC2D4" w14:textId="2771B62F" w:rsidR="0042513D" w:rsidRPr="00ED5B8F" w:rsidRDefault="00B81264" w:rsidP="00ED5B8F">
      <w:pPr>
        <w:pStyle w:val="ListParagraph"/>
        <w:numPr>
          <w:ilvl w:val="0"/>
          <w:numId w:val="28"/>
        </w:numPr>
        <w:spacing w:before="120" w:after="120"/>
        <w:jc w:val="both"/>
        <w:rPr>
          <w:szCs w:val="20"/>
          <w:lang w:val="fr-FR" w:eastAsia="ja-JP"/>
        </w:rPr>
      </w:pPr>
      <w:r w:rsidRPr="001B0D6F">
        <w:rPr>
          <w:szCs w:val="20"/>
          <w:lang w:val="fr-FR" w:eastAsia="ja-JP"/>
        </w:rPr>
        <w:t>Conception de module de formation et d’outils IEC incluant la Gestion de l’Hygiène Menstruelle</w:t>
      </w:r>
    </w:p>
    <w:p w14:paraId="0600E1CB" w14:textId="26B2D1D8" w:rsidR="0042513D" w:rsidRPr="003C7C75" w:rsidRDefault="00B81264" w:rsidP="003C7C75">
      <w:pPr>
        <w:pStyle w:val="ListParagraph"/>
        <w:numPr>
          <w:ilvl w:val="0"/>
          <w:numId w:val="2"/>
        </w:numPr>
        <w:spacing w:line="240" w:lineRule="auto"/>
        <w:ind w:left="360"/>
        <w:rPr>
          <w:rFonts w:cs="Arial"/>
          <w:b/>
          <w:sz w:val="28"/>
          <w:szCs w:val="28"/>
          <w:lang w:val="fr-FR"/>
        </w:rPr>
      </w:pPr>
      <w:r w:rsidRPr="003C7C75">
        <w:rPr>
          <w:rFonts w:cs="Arial"/>
          <w:b/>
          <w:sz w:val="28"/>
          <w:szCs w:val="28"/>
          <w:lang w:val="fr-FR"/>
        </w:rPr>
        <w:t>Cadre méthodologique</w:t>
      </w:r>
    </w:p>
    <w:p w14:paraId="4BBE504E" w14:textId="17D03FDE" w:rsidR="00B81264" w:rsidRPr="00B81264" w:rsidRDefault="00B81264" w:rsidP="00B81264">
      <w:pPr>
        <w:spacing w:after="0" w:line="240" w:lineRule="auto"/>
        <w:jc w:val="both"/>
        <w:rPr>
          <w:szCs w:val="20"/>
          <w:lang w:val="fr-FR" w:eastAsia="ja-JP"/>
        </w:rPr>
      </w:pPr>
      <w:r w:rsidRPr="00B81264">
        <w:rPr>
          <w:szCs w:val="20"/>
          <w:lang w:val="fr-FR" w:eastAsia="ja-JP"/>
        </w:rPr>
        <w:t xml:space="preserve">La stratégie de mise en œuvre de cette consultance se fera en </w:t>
      </w:r>
      <w:r w:rsidR="00BF414B">
        <w:rPr>
          <w:szCs w:val="20"/>
          <w:lang w:val="fr-FR" w:eastAsia="ja-JP"/>
        </w:rPr>
        <w:t>2 phases</w:t>
      </w:r>
    </w:p>
    <w:p w14:paraId="3D887AD3" w14:textId="5066ECCF" w:rsidR="004868A2" w:rsidRDefault="004868A2" w:rsidP="00B81264">
      <w:pPr>
        <w:spacing w:after="0" w:line="240" w:lineRule="auto"/>
        <w:jc w:val="both"/>
        <w:rPr>
          <w:szCs w:val="20"/>
          <w:lang w:val="fr-FR" w:eastAsia="ja-JP"/>
        </w:rPr>
      </w:pPr>
    </w:p>
    <w:p w14:paraId="1797A2D5" w14:textId="77777777" w:rsidR="00ED5B8F" w:rsidRDefault="00ED5B8F" w:rsidP="00B81264">
      <w:pPr>
        <w:spacing w:after="0" w:line="240" w:lineRule="auto"/>
        <w:jc w:val="both"/>
        <w:rPr>
          <w:szCs w:val="20"/>
          <w:lang w:val="fr-FR" w:eastAsia="ja-JP"/>
        </w:rPr>
      </w:pPr>
    </w:p>
    <w:tbl>
      <w:tblPr>
        <w:tblStyle w:val="TableGrid"/>
        <w:tblW w:w="10170" w:type="dxa"/>
        <w:tblInd w:w="-545" w:type="dxa"/>
        <w:tblLook w:val="04A0" w:firstRow="1" w:lastRow="0" w:firstColumn="1" w:lastColumn="0" w:noHBand="0" w:noVBand="1"/>
      </w:tblPr>
      <w:tblGrid>
        <w:gridCol w:w="1890"/>
        <w:gridCol w:w="5760"/>
        <w:gridCol w:w="2520"/>
      </w:tblGrid>
      <w:tr w:rsidR="004868A2" w:rsidRPr="005F7087" w14:paraId="7906A6E1" w14:textId="77777777" w:rsidTr="00947265">
        <w:trPr>
          <w:trHeight w:val="440"/>
        </w:trPr>
        <w:tc>
          <w:tcPr>
            <w:tcW w:w="1890" w:type="dxa"/>
            <w:shd w:val="clear" w:color="auto" w:fill="D9D9D9" w:themeFill="background1" w:themeFillShade="D9"/>
            <w:vAlign w:val="center"/>
          </w:tcPr>
          <w:p w14:paraId="4D54C9C6" w14:textId="3EBEF8C6" w:rsidR="004868A2" w:rsidRPr="005F7087" w:rsidRDefault="004868A2" w:rsidP="005F7087">
            <w:pPr>
              <w:jc w:val="center"/>
              <w:rPr>
                <w:b/>
                <w:bCs/>
                <w:szCs w:val="20"/>
                <w:lang w:val="fr-FR" w:eastAsia="ja-JP"/>
              </w:rPr>
            </w:pPr>
          </w:p>
        </w:tc>
        <w:tc>
          <w:tcPr>
            <w:tcW w:w="5760" w:type="dxa"/>
            <w:shd w:val="clear" w:color="auto" w:fill="D9D9D9" w:themeFill="background1" w:themeFillShade="D9"/>
            <w:vAlign w:val="center"/>
          </w:tcPr>
          <w:p w14:paraId="48CD9422" w14:textId="458143DF" w:rsidR="004868A2" w:rsidRPr="005F7087" w:rsidRDefault="00926A1D" w:rsidP="005F7087">
            <w:pPr>
              <w:jc w:val="center"/>
              <w:rPr>
                <w:b/>
                <w:bCs/>
                <w:szCs w:val="20"/>
                <w:lang w:val="fr-FR" w:eastAsia="ja-JP"/>
              </w:rPr>
            </w:pPr>
            <w:r w:rsidRPr="005F7087">
              <w:rPr>
                <w:b/>
                <w:bCs/>
                <w:szCs w:val="20"/>
                <w:lang w:val="fr-FR" w:eastAsia="ja-JP"/>
              </w:rPr>
              <w:t>Activités</w:t>
            </w:r>
          </w:p>
        </w:tc>
        <w:tc>
          <w:tcPr>
            <w:tcW w:w="2520" w:type="dxa"/>
            <w:shd w:val="clear" w:color="auto" w:fill="D9D9D9" w:themeFill="background1" w:themeFillShade="D9"/>
            <w:vAlign w:val="center"/>
          </w:tcPr>
          <w:p w14:paraId="11B8C913" w14:textId="21C674AF" w:rsidR="004868A2" w:rsidRPr="005F7087" w:rsidRDefault="00D71C1A" w:rsidP="005F7087">
            <w:pPr>
              <w:jc w:val="center"/>
              <w:rPr>
                <w:b/>
                <w:bCs/>
                <w:szCs w:val="20"/>
                <w:lang w:val="fr-FR" w:eastAsia="ja-JP"/>
              </w:rPr>
            </w:pPr>
            <w:r w:rsidRPr="005F7087">
              <w:rPr>
                <w:b/>
                <w:bCs/>
                <w:szCs w:val="20"/>
                <w:lang w:val="fr-FR" w:eastAsia="ja-JP"/>
              </w:rPr>
              <w:t>Outils</w:t>
            </w:r>
          </w:p>
        </w:tc>
      </w:tr>
      <w:tr w:rsidR="005A3AEF" w:rsidRPr="00C57A30" w14:paraId="6466E2AE" w14:textId="77777777" w:rsidTr="00947265">
        <w:trPr>
          <w:trHeight w:val="512"/>
        </w:trPr>
        <w:tc>
          <w:tcPr>
            <w:tcW w:w="10170" w:type="dxa"/>
            <w:gridSpan w:val="3"/>
            <w:shd w:val="clear" w:color="auto" w:fill="F2F2F2" w:themeFill="background1" w:themeFillShade="F2"/>
            <w:vAlign w:val="center"/>
          </w:tcPr>
          <w:p w14:paraId="6665A48F" w14:textId="51FC3275" w:rsidR="005A3AEF" w:rsidRPr="005A3AEF" w:rsidRDefault="005A3AEF" w:rsidP="005A3AEF">
            <w:pPr>
              <w:rPr>
                <w:b/>
                <w:bCs/>
                <w:szCs w:val="20"/>
                <w:lang w:val="fr-FR" w:eastAsia="ja-JP"/>
              </w:rPr>
            </w:pPr>
            <w:r w:rsidRPr="005A3AEF">
              <w:rPr>
                <w:b/>
                <w:bCs/>
                <w:szCs w:val="20"/>
                <w:lang w:val="fr-FR" w:eastAsia="ja-JP"/>
              </w:rPr>
              <w:t xml:space="preserve">Phase 1 - </w:t>
            </w:r>
            <w:r w:rsidRPr="005A3AEF">
              <w:rPr>
                <w:b/>
                <w:bCs/>
                <w:lang w:val="fr-FR"/>
              </w:rPr>
              <w:t>Analyse des goulots d’étranglement de la mise en œuvre des services EAHMS dans les écoles</w:t>
            </w:r>
          </w:p>
        </w:tc>
      </w:tr>
      <w:tr w:rsidR="004868A2" w:rsidRPr="00C57A30" w14:paraId="2AC96A90" w14:textId="77777777" w:rsidTr="00797453">
        <w:trPr>
          <w:trHeight w:val="1448"/>
        </w:trPr>
        <w:tc>
          <w:tcPr>
            <w:tcW w:w="1890" w:type="dxa"/>
          </w:tcPr>
          <w:p w14:paraId="5A131A28" w14:textId="4E15F740" w:rsidR="004868A2" w:rsidRDefault="00D71C1A" w:rsidP="00FE26A1">
            <w:pPr>
              <w:spacing w:before="120" w:after="120"/>
              <w:rPr>
                <w:szCs w:val="20"/>
                <w:lang w:val="fr-FR" w:eastAsia="ja-JP"/>
              </w:rPr>
            </w:pPr>
            <w:r>
              <w:rPr>
                <w:szCs w:val="20"/>
                <w:lang w:val="fr-FR" w:eastAsia="ja-JP"/>
              </w:rPr>
              <w:lastRenderedPageBreak/>
              <w:t>Etape</w:t>
            </w:r>
            <w:r w:rsidR="003562E9">
              <w:rPr>
                <w:szCs w:val="20"/>
                <w:lang w:val="fr-FR" w:eastAsia="ja-JP"/>
              </w:rPr>
              <w:t xml:space="preserve"> 1 - Préparation et revue documentaire</w:t>
            </w:r>
          </w:p>
        </w:tc>
        <w:tc>
          <w:tcPr>
            <w:tcW w:w="5760" w:type="dxa"/>
          </w:tcPr>
          <w:p w14:paraId="662673B7" w14:textId="27D9BC2C" w:rsidR="003562E9" w:rsidRPr="007528DC" w:rsidRDefault="007528DC" w:rsidP="00797453">
            <w:pPr>
              <w:pStyle w:val="ListParagraph"/>
              <w:numPr>
                <w:ilvl w:val="0"/>
                <w:numId w:val="29"/>
              </w:numPr>
              <w:spacing w:before="120" w:after="120"/>
              <w:ind w:left="173" w:hanging="173"/>
              <w:jc w:val="both"/>
              <w:rPr>
                <w:szCs w:val="20"/>
                <w:lang w:val="fr-FR" w:eastAsia="ja-JP"/>
              </w:rPr>
            </w:pPr>
            <w:r w:rsidRPr="007528DC">
              <w:rPr>
                <w:szCs w:val="20"/>
                <w:lang w:val="fr-FR" w:eastAsia="ja-JP"/>
              </w:rPr>
              <w:t>R</w:t>
            </w:r>
            <w:r w:rsidR="003562E9" w:rsidRPr="007528DC">
              <w:rPr>
                <w:szCs w:val="20"/>
                <w:lang w:val="fr-FR" w:eastAsia="ja-JP"/>
              </w:rPr>
              <w:t>evue de littérature de la documentation existante (cadre institutionnel, technique et financier)</w:t>
            </w:r>
          </w:p>
          <w:p w14:paraId="29DF4E6B" w14:textId="6449E916" w:rsidR="004868A2" w:rsidRPr="007528DC" w:rsidRDefault="007528DC" w:rsidP="00797453">
            <w:pPr>
              <w:pStyle w:val="ListParagraph"/>
              <w:numPr>
                <w:ilvl w:val="0"/>
                <w:numId w:val="29"/>
              </w:numPr>
              <w:spacing w:before="120" w:after="120"/>
              <w:ind w:left="173" w:hanging="173"/>
              <w:jc w:val="both"/>
              <w:rPr>
                <w:szCs w:val="20"/>
                <w:lang w:val="fr-FR" w:eastAsia="ja-JP"/>
              </w:rPr>
            </w:pPr>
            <w:r w:rsidRPr="007528DC">
              <w:rPr>
                <w:szCs w:val="20"/>
                <w:lang w:val="fr-FR" w:eastAsia="ja-JP"/>
              </w:rPr>
              <w:t>A</w:t>
            </w:r>
            <w:r w:rsidR="003562E9" w:rsidRPr="007528DC">
              <w:rPr>
                <w:szCs w:val="20"/>
                <w:lang w:val="fr-FR" w:eastAsia="ja-JP"/>
              </w:rPr>
              <w:t>ppréciation des indicateurs de l’EAHMS dans les annuaires statistiques et bases de données du MENFOP</w:t>
            </w:r>
          </w:p>
        </w:tc>
        <w:tc>
          <w:tcPr>
            <w:tcW w:w="2520" w:type="dxa"/>
          </w:tcPr>
          <w:p w14:paraId="76D02932" w14:textId="1477FD24" w:rsidR="004868A2" w:rsidRDefault="00DC0988" w:rsidP="00DB4A0A">
            <w:pPr>
              <w:pStyle w:val="ListParagraph"/>
              <w:numPr>
                <w:ilvl w:val="0"/>
                <w:numId w:val="29"/>
              </w:numPr>
              <w:ind w:left="166" w:hanging="166"/>
              <w:jc w:val="both"/>
              <w:rPr>
                <w:szCs w:val="20"/>
                <w:lang w:val="fr-FR" w:eastAsia="ja-JP"/>
              </w:rPr>
            </w:pPr>
            <w:r>
              <w:rPr>
                <w:szCs w:val="20"/>
                <w:lang w:val="fr-FR" w:eastAsia="ja-JP"/>
              </w:rPr>
              <w:t xml:space="preserve">Rapport de </w:t>
            </w:r>
            <w:r w:rsidR="006056A6">
              <w:rPr>
                <w:szCs w:val="20"/>
                <w:lang w:val="fr-FR" w:eastAsia="ja-JP"/>
              </w:rPr>
              <w:t>la revue</w:t>
            </w:r>
            <w:r>
              <w:rPr>
                <w:szCs w:val="20"/>
                <w:lang w:val="fr-FR" w:eastAsia="ja-JP"/>
              </w:rPr>
              <w:t xml:space="preserve"> d’information</w:t>
            </w:r>
            <w:r w:rsidR="006056A6">
              <w:rPr>
                <w:szCs w:val="20"/>
                <w:lang w:val="fr-FR" w:eastAsia="ja-JP"/>
              </w:rPr>
              <w:t xml:space="preserve"> relative à la consultation</w:t>
            </w:r>
          </w:p>
        </w:tc>
      </w:tr>
      <w:tr w:rsidR="004868A2" w:rsidRPr="00C57A30" w14:paraId="00165425" w14:textId="77777777" w:rsidTr="00866BF5">
        <w:trPr>
          <w:trHeight w:val="8090"/>
        </w:trPr>
        <w:tc>
          <w:tcPr>
            <w:tcW w:w="1890" w:type="dxa"/>
          </w:tcPr>
          <w:p w14:paraId="0C09D27C" w14:textId="1E3EC738" w:rsidR="004868A2" w:rsidRDefault="003562E9" w:rsidP="00FE26A1">
            <w:pPr>
              <w:spacing w:before="120" w:after="120"/>
              <w:rPr>
                <w:szCs w:val="20"/>
                <w:lang w:val="fr-FR" w:eastAsia="ja-JP"/>
              </w:rPr>
            </w:pPr>
            <w:r>
              <w:rPr>
                <w:szCs w:val="20"/>
                <w:lang w:val="fr-FR" w:eastAsia="ja-JP"/>
              </w:rPr>
              <w:t>E</w:t>
            </w:r>
            <w:r w:rsidR="00783A43">
              <w:rPr>
                <w:szCs w:val="20"/>
                <w:lang w:val="fr-FR" w:eastAsia="ja-JP"/>
              </w:rPr>
              <w:t xml:space="preserve">tape 2 - </w:t>
            </w:r>
            <w:r w:rsidR="00783A43" w:rsidRPr="00BF414B">
              <w:rPr>
                <w:szCs w:val="20"/>
                <w:lang w:val="fr-FR" w:eastAsia="ja-JP"/>
              </w:rPr>
              <w:t>Collecte d’informations sur le terrain et analyse</w:t>
            </w:r>
            <w:r w:rsidR="00AF4DA9" w:rsidRPr="00FB35C5">
              <w:rPr>
                <w:szCs w:val="20"/>
                <w:lang w:val="fr-FR" w:eastAsia="ja-JP"/>
              </w:rPr>
              <w:t xml:space="preserve"> du contexte institutionnel</w:t>
            </w:r>
          </w:p>
        </w:tc>
        <w:tc>
          <w:tcPr>
            <w:tcW w:w="5760" w:type="dxa"/>
          </w:tcPr>
          <w:p w14:paraId="2692C7FC" w14:textId="3211DF63" w:rsidR="00522651" w:rsidRDefault="000E013B" w:rsidP="00FC2CC4">
            <w:pPr>
              <w:pStyle w:val="ListParagraph"/>
              <w:numPr>
                <w:ilvl w:val="0"/>
                <w:numId w:val="29"/>
              </w:numPr>
              <w:spacing w:before="120" w:after="120"/>
              <w:ind w:left="173" w:hanging="173"/>
              <w:rPr>
                <w:szCs w:val="20"/>
                <w:lang w:val="fr-FR" w:eastAsia="ja-JP"/>
              </w:rPr>
            </w:pPr>
            <w:r>
              <w:rPr>
                <w:szCs w:val="20"/>
                <w:lang w:val="fr-FR" w:eastAsia="ja-JP"/>
              </w:rPr>
              <w:t>E</w:t>
            </w:r>
            <w:r w:rsidR="00947265" w:rsidRPr="00BF414B">
              <w:rPr>
                <w:szCs w:val="20"/>
                <w:lang w:val="fr-FR" w:eastAsia="ja-JP"/>
              </w:rPr>
              <w:t xml:space="preserve">nquêtes dans les écoles </w:t>
            </w:r>
            <w:r w:rsidR="00EC2149">
              <w:rPr>
                <w:szCs w:val="20"/>
                <w:lang w:val="fr-FR" w:eastAsia="ja-JP"/>
              </w:rPr>
              <w:t>pour collecter information</w:t>
            </w:r>
            <w:r w:rsidR="00947265">
              <w:rPr>
                <w:szCs w:val="20"/>
                <w:lang w:val="fr-FR" w:eastAsia="ja-JP"/>
              </w:rPr>
              <w:t xml:space="preserve"> </w:t>
            </w:r>
            <w:proofErr w:type="spellStart"/>
            <w:r w:rsidR="0091043B">
              <w:rPr>
                <w:szCs w:val="20"/>
                <w:lang w:val="fr-FR" w:eastAsia="ja-JP"/>
              </w:rPr>
              <w:t>a</w:t>
            </w:r>
            <w:proofErr w:type="spellEnd"/>
            <w:r w:rsidR="0091043B">
              <w:rPr>
                <w:szCs w:val="20"/>
                <w:lang w:val="fr-FR" w:eastAsia="ja-JP"/>
              </w:rPr>
              <w:t xml:space="preserve"> propos de :</w:t>
            </w:r>
          </w:p>
          <w:p w14:paraId="684D8156" w14:textId="1EC98BE1" w:rsidR="00211702" w:rsidRDefault="0091043B" w:rsidP="006E1C81">
            <w:pPr>
              <w:pStyle w:val="ListParagraph"/>
              <w:numPr>
                <w:ilvl w:val="1"/>
                <w:numId w:val="29"/>
              </w:numPr>
              <w:ind w:left="436" w:hanging="270"/>
              <w:jc w:val="both"/>
              <w:rPr>
                <w:szCs w:val="20"/>
                <w:lang w:val="fr-FR" w:eastAsia="ja-JP"/>
              </w:rPr>
            </w:pPr>
            <w:r>
              <w:rPr>
                <w:szCs w:val="20"/>
                <w:lang w:val="fr-FR" w:eastAsia="ja-JP"/>
              </w:rPr>
              <w:t>L’existence d’i</w:t>
            </w:r>
            <w:r w:rsidR="00783A43" w:rsidRPr="000C7E51">
              <w:rPr>
                <w:szCs w:val="20"/>
                <w:lang w:val="fr-FR" w:eastAsia="ja-JP"/>
              </w:rPr>
              <w:t>nstallations pour l’accès à l’eau</w:t>
            </w:r>
            <w:r w:rsidR="000C7E51" w:rsidRPr="000C7E51">
              <w:rPr>
                <w:szCs w:val="20"/>
                <w:lang w:val="fr-FR" w:eastAsia="ja-JP"/>
              </w:rPr>
              <w:t xml:space="preserve">, </w:t>
            </w:r>
            <w:r>
              <w:rPr>
                <w:szCs w:val="20"/>
                <w:lang w:val="fr-FR" w:eastAsia="ja-JP"/>
              </w:rPr>
              <w:t xml:space="preserve">dispositifs </w:t>
            </w:r>
            <w:r w:rsidR="00783A43" w:rsidRPr="000C7E51">
              <w:rPr>
                <w:szCs w:val="20"/>
                <w:lang w:val="fr-FR" w:eastAsia="ja-JP"/>
              </w:rPr>
              <w:t xml:space="preserve">sanitaires </w:t>
            </w:r>
            <w:r w:rsidR="000C7E51">
              <w:rPr>
                <w:szCs w:val="20"/>
                <w:lang w:val="fr-FR" w:eastAsia="ja-JP"/>
              </w:rPr>
              <w:t>et p</w:t>
            </w:r>
            <w:r w:rsidR="00783A43" w:rsidRPr="000C7E51">
              <w:rPr>
                <w:szCs w:val="20"/>
                <w:lang w:val="fr-FR" w:eastAsia="ja-JP"/>
              </w:rPr>
              <w:t>oints de lavage des mains</w:t>
            </w:r>
            <w:r>
              <w:rPr>
                <w:szCs w:val="20"/>
                <w:lang w:val="fr-FR" w:eastAsia="ja-JP"/>
              </w:rPr>
              <w:t> ;</w:t>
            </w:r>
          </w:p>
          <w:p w14:paraId="1D2D1F9D" w14:textId="514761F8" w:rsidR="00783A43" w:rsidRPr="000C7E51" w:rsidRDefault="000C7E51" w:rsidP="006E1C81">
            <w:pPr>
              <w:pStyle w:val="ListParagraph"/>
              <w:numPr>
                <w:ilvl w:val="1"/>
                <w:numId w:val="29"/>
              </w:numPr>
              <w:ind w:left="436" w:hanging="270"/>
              <w:jc w:val="both"/>
              <w:rPr>
                <w:szCs w:val="20"/>
                <w:lang w:val="fr-FR" w:eastAsia="ja-JP"/>
              </w:rPr>
            </w:pPr>
            <w:r w:rsidRPr="000C7E51">
              <w:rPr>
                <w:szCs w:val="20"/>
                <w:lang w:val="fr-FR" w:eastAsia="ja-JP"/>
              </w:rPr>
              <w:t>R</w:t>
            </w:r>
            <w:r w:rsidR="00783A43" w:rsidRPr="000C7E51">
              <w:rPr>
                <w:szCs w:val="20"/>
                <w:lang w:val="fr-FR" w:eastAsia="ja-JP"/>
              </w:rPr>
              <w:t>atio</w:t>
            </w:r>
            <w:r>
              <w:rPr>
                <w:szCs w:val="20"/>
                <w:lang w:val="fr-FR" w:eastAsia="ja-JP"/>
              </w:rPr>
              <w:t xml:space="preserve"> d’utilisation de chaque technologie</w:t>
            </w:r>
            <w:r w:rsidR="00783A43" w:rsidRPr="000C7E51">
              <w:rPr>
                <w:szCs w:val="20"/>
                <w:lang w:val="fr-FR" w:eastAsia="ja-JP"/>
              </w:rPr>
              <w:t xml:space="preserve"> (données désagrégées par genre)</w:t>
            </w:r>
            <w:r w:rsidR="0091043B">
              <w:rPr>
                <w:szCs w:val="20"/>
                <w:lang w:val="fr-FR" w:eastAsia="ja-JP"/>
              </w:rPr>
              <w:t> ;</w:t>
            </w:r>
          </w:p>
          <w:p w14:paraId="30F97EFB" w14:textId="19BE408B" w:rsidR="00783A43" w:rsidRPr="00BF414B" w:rsidRDefault="00F502A8" w:rsidP="00F502A8">
            <w:pPr>
              <w:pStyle w:val="ListParagraph"/>
              <w:numPr>
                <w:ilvl w:val="1"/>
                <w:numId w:val="29"/>
              </w:numPr>
              <w:ind w:left="436" w:hanging="270"/>
              <w:jc w:val="both"/>
              <w:rPr>
                <w:szCs w:val="20"/>
                <w:lang w:val="fr-FR" w:eastAsia="ja-JP"/>
              </w:rPr>
            </w:pPr>
            <w:r>
              <w:rPr>
                <w:szCs w:val="20"/>
                <w:lang w:val="fr-FR" w:eastAsia="ja-JP"/>
              </w:rPr>
              <w:t>L’e</w:t>
            </w:r>
            <w:r w:rsidR="00783A43" w:rsidRPr="00BF414B">
              <w:rPr>
                <w:szCs w:val="20"/>
                <w:lang w:val="fr-FR" w:eastAsia="ja-JP"/>
              </w:rPr>
              <w:t>xistence des standards et le respect dans les normes de construction en vigueur</w:t>
            </w:r>
          </w:p>
          <w:p w14:paraId="6E892006" w14:textId="77777777" w:rsidR="00783A43" w:rsidRPr="00BF414B" w:rsidRDefault="00783A43" w:rsidP="00F502A8">
            <w:pPr>
              <w:pStyle w:val="ListParagraph"/>
              <w:numPr>
                <w:ilvl w:val="1"/>
                <w:numId w:val="29"/>
              </w:numPr>
              <w:ind w:left="436" w:hanging="270"/>
              <w:jc w:val="both"/>
              <w:rPr>
                <w:szCs w:val="20"/>
                <w:lang w:val="fr-FR" w:eastAsia="ja-JP"/>
              </w:rPr>
            </w:pPr>
            <w:r w:rsidRPr="00BF414B">
              <w:rPr>
                <w:szCs w:val="20"/>
                <w:lang w:val="fr-FR" w:eastAsia="ja-JP"/>
              </w:rPr>
              <w:t>L’approvisionnement continu des intrants tels que la disponibilité du savon, les intrants pour le nettoyage anal, intrants pour l’hygiène menstruelle des filles ;</w:t>
            </w:r>
          </w:p>
          <w:p w14:paraId="1D9E72E7" w14:textId="77777777" w:rsidR="00783A43" w:rsidRPr="00BF414B" w:rsidRDefault="00783A43" w:rsidP="003E03BF">
            <w:pPr>
              <w:pStyle w:val="ListParagraph"/>
              <w:numPr>
                <w:ilvl w:val="1"/>
                <w:numId w:val="29"/>
              </w:numPr>
              <w:ind w:left="436" w:hanging="270"/>
              <w:jc w:val="both"/>
              <w:rPr>
                <w:szCs w:val="20"/>
                <w:lang w:val="fr-FR" w:eastAsia="ja-JP"/>
              </w:rPr>
            </w:pPr>
            <w:r w:rsidRPr="00BF414B">
              <w:rPr>
                <w:szCs w:val="20"/>
                <w:lang w:val="fr-FR" w:eastAsia="ja-JP"/>
              </w:rPr>
              <w:t>La gestion des intrants et l’entretien continu et régulier des infrastructures ;</w:t>
            </w:r>
          </w:p>
          <w:p w14:paraId="62AAD0F9" w14:textId="77777777" w:rsidR="00783A43" w:rsidRPr="00BF414B" w:rsidRDefault="00783A43" w:rsidP="003E03BF">
            <w:pPr>
              <w:pStyle w:val="ListParagraph"/>
              <w:numPr>
                <w:ilvl w:val="1"/>
                <w:numId w:val="29"/>
              </w:numPr>
              <w:ind w:left="436" w:hanging="270"/>
              <w:jc w:val="both"/>
              <w:rPr>
                <w:szCs w:val="20"/>
                <w:lang w:val="fr-FR" w:eastAsia="ja-JP"/>
              </w:rPr>
            </w:pPr>
            <w:r w:rsidRPr="00BF414B">
              <w:rPr>
                <w:szCs w:val="20"/>
                <w:lang w:val="fr-FR" w:eastAsia="ja-JP"/>
              </w:rPr>
              <w:t>Les mécanismes et circuit de financement : coûts d’investissement, coût de fonctionnement et récurrents pour les intrants.</w:t>
            </w:r>
          </w:p>
          <w:p w14:paraId="4E1FBE1E" w14:textId="362029C7" w:rsidR="00783A43" w:rsidRDefault="00783A43" w:rsidP="003E03BF">
            <w:pPr>
              <w:pStyle w:val="ListParagraph"/>
              <w:numPr>
                <w:ilvl w:val="1"/>
                <w:numId w:val="29"/>
              </w:numPr>
              <w:ind w:left="436" w:hanging="270"/>
              <w:jc w:val="both"/>
              <w:rPr>
                <w:szCs w:val="20"/>
                <w:lang w:val="fr-FR" w:eastAsia="ja-JP"/>
              </w:rPr>
            </w:pPr>
            <w:r w:rsidRPr="00BF414B">
              <w:rPr>
                <w:szCs w:val="20"/>
                <w:lang w:val="fr-FR" w:eastAsia="ja-JP"/>
              </w:rPr>
              <w:t>Approches utilisées pour le changement de comportement au sein des écoles (CHAST, PHAST, ATPE</w:t>
            </w:r>
            <w:r w:rsidR="00866BF5">
              <w:rPr>
                <w:szCs w:val="20"/>
                <w:lang w:val="fr-FR" w:eastAsia="ja-JP"/>
              </w:rPr>
              <w:t xml:space="preserve">) </w:t>
            </w:r>
            <w:r w:rsidRPr="00BF414B">
              <w:rPr>
                <w:szCs w:val="20"/>
                <w:lang w:val="fr-FR" w:eastAsia="ja-JP"/>
              </w:rPr>
              <w:t>;</w:t>
            </w:r>
          </w:p>
          <w:p w14:paraId="32CD60B0" w14:textId="3CF76A90" w:rsidR="00783A43" w:rsidRDefault="00783A43" w:rsidP="003E03BF">
            <w:pPr>
              <w:pStyle w:val="ListParagraph"/>
              <w:numPr>
                <w:ilvl w:val="1"/>
                <w:numId w:val="29"/>
              </w:numPr>
              <w:ind w:left="436" w:hanging="270"/>
              <w:jc w:val="both"/>
              <w:rPr>
                <w:szCs w:val="20"/>
                <w:lang w:val="fr-FR" w:eastAsia="ja-JP"/>
              </w:rPr>
            </w:pPr>
            <w:r w:rsidRPr="00BF414B">
              <w:rPr>
                <w:szCs w:val="20"/>
                <w:lang w:val="fr-FR" w:eastAsia="ja-JP"/>
              </w:rPr>
              <w:t>Compréhension des engagements de la communauté, les associations des parents d’élèves, s’ils existent les membres des clubs d’hygiène, les comités des écoles et leur rôle par rapport au changement de comportement des enfants ;</w:t>
            </w:r>
          </w:p>
          <w:p w14:paraId="6FDC8D0D" w14:textId="01FDAE84" w:rsidR="004868A2" w:rsidRDefault="00783A43" w:rsidP="00797453">
            <w:pPr>
              <w:pStyle w:val="ListParagraph"/>
              <w:numPr>
                <w:ilvl w:val="0"/>
                <w:numId w:val="29"/>
              </w:numPr>
              <w:spacing w:before="120" w:after="120"/>
              <w:ind w:left="173" w:hanging="173"/>
              <w:jc w:val="both"/>
              <w:rPr>
                <w:szCs w:val="20"/>
                <w:lang w:val="fr-FR" w:eastAsia="ja-JP"/>
              </w:rPr>
            </w:pPr>
            <w:r w:rsidRPr="00FB35C5">
              <w:rPr>
                <w:szCs w:val="20"/>
                <w:lang w:val="fr-FR" w:eastAsia="ja-JP"/>
              </w:rPr>
              <w:t>Analyse du contexte institutionnel, politico-social, les capacités réelles des acteurs pour des programmes EAHMS, l’intégration des ministères, la définition des rôles et responsabilités du niveau central, des structures déconcentrées, des chefs traditionnels</w:t>
            </w:r>
            <w:r w:rsidR="00CC5D4C">
              <w:rPr>
                <w:szCs w:val="20"/>
                <w:lang w:val="fr-FR" w:eastAsia="ja-JP"/>
              </w:rPr>
              <w:t xml:space="preserve"> et</w:t>
            </w:r>
            <w:r w:rsidRPr="00FB35C5">
              <w:rPr>
                <w:szCs w:val="20"/>
                <w:lang w:val="fr-FR" w:eastAsia="ja-JP"/>
              </w:rPr>
              <w:t xml:space="preserve"> des associations des parents d’élèves ;</w:t>
            </w:r>
          </w:p>
        </w:tc>
        <w:tc>
          <w:tcPr>
            <w:tcW w:w="2520" w:type="dxa"/>
          </w:tcPr>
          <w:p w14:paraId="182409CC" w14:textId="79D69312" w:rsidR="00295F12" w:rsidRDefault="00FD6260" w:rsidP="00FC2CC4">
            <w:pPr>
              <w:pStyle w:val="ListParagraph"/>
              <w:numPr>
                <w:ilvl w:val="0"/>
                <w:numId w:val="29"/>
              </w:numPr>
              <w:spacing w:before="120" w:after="120"/>
              <w:ind w:left="173" w:hanging="173"/>
              <w:rPr>
                <w:szCs w:val="20"/>
                <w:lang w:val="fr-FR" w:eastAsia="ja-JP"/>
              </w:rPr>
            </w:pPr>
            <w:r>
              <w:rPr>
                <w:szCs w:val="20"/>
                <w:lang w:val="fr-FR" w:eastAsia="ja-JP"/>
              </w:rPr>
              <w:t>Rappor</w:t>
            </w:r>
            <w:r w:rsidR="000E1168">
              <w:rPr>
                <w:szCs w:val="20"/>
                <w:lang w:val="fr-FR" w:eastAsia="ja-JP"/>
              </w:rPr>
              <w:t>t</w:t>
            </w:r>
            <w:r>
              <w:rPr>
                <w:szCs w:val="20"/>
                <w:lang w:val="fr-FR" w:eastAsia="ja-JP"/>
              </w:rPr>
              <w:t xml:space="preserve"> des enquêtes</w:t>
            </w:r>
            <w:r w:rsidR="00295F12">
              <w:rPr>
                <w:szCs w:val="20"/>
                <w:lang w:val="fr-FR" w:eastAsia="ja-JP"/>
              </w:rPr>
              <w:t xml:space="preserve"> dans les écoles</w:t>
            </w:r>
          </w:p>
          <w:p w14:paraId="7B1C19CA" w14:textId="0C963171" w:rsidR="004868A2" w:rsidRDefault="00295F12" w:rsidP="00FC2CC4">
            <w:pPr>
              <w:pStyle w:val="ListParagraph"/>
              <w:numPr>
                <w:ilvl w:val="0"/>
                <w:numId w:val="29"/>
              </w:numPr>
              <w:spacing w:beforeLines="120" w:before="288" w:afterLines="120" w:after="288"/>
              <w:ind w:left="166" w:hanging="166"/>
              <w:rPr>
                <w:szCs w:val="20"/>
                <w:lang w:val="fr-FR" w:eastAsia="ja-JP"/>
              </w:rPr>
            </w:pPr>
            <w:r>
              <w:rPr>
                <w:szCs w:val="20"/>
                <w:lang w:val="fr-FR" w:eastAsia="ja-JP"/>
              </w:rPr>
              <w:t>Rapport de l’</w:t>
            </w:r>
            <w:r w:rsidR="00FD6260">
              <w:rPr>
                <w:szCs w:val="20"/>
                <w:lang w:val="fr-FR" w:eastAsia="ja-JP"/>
              </w:rPr>
              <w:t xml:space="preserve">analyse du contexte </w:t>
            </w:r>
            <w:r w:rsidR="000E1168">
              <w:rPr>
                <w:szCs w:val="20"/>
                <w:lang w:val="fr-FR" w:eastAsia="ja-JP"/>
              </w:rPr>
              <w:t>institutionnel</w:t>
            </w:r>
            <w:r w:rsidR="005531D9">
              <w:rPr>
                <w:szCs w:val="20"/>
                <w:lang w:val="fr-FR" w:eastAsia="ja-JP"/>
              </w:rPr>
              <w:t xml:space="preserve"> </w:t>
            </w:r>
            <w:r w:rsidR="005531D9" w:rsidRPr="00FB35C5">
              <w:rPr>
                <w:szCs w:val="20"/>
                <w:lang w:val="fr-FR" w:eastAsia="ja-JP"/>
              </w:rPr>
              <w:t>des programmes EAHMS</w:t>
            </w:r>
          </w:p>
        </w:tc>
      </w:tr>
      <w:tr w:rsidR="004868A2" w14:paraId="2A1B7BD5" w14:textId="77777777" w:rsidTr="00947265">
        <w:tc>
          <w:tcPr>
            <w:tcW w:w="1890" w:type="dxa"/>
          </w:tcPr>
          <w:p w14:paraId="72EE0149" w14:textId="58AD56D3" w:rsidR="00783A43" w:rsidRDefault="00783A43" w:rsidP="00FE26A1">
            <w:pPr>
              <w:spacing w:before="120" w:after="120"/>
              <w:rPr>
                <w:szCs w:val="20"/>
                <w:lang w:val="fr-FR" w:eastAsia="ja-JP"/>
              </w:rPr>
            </w:pPr>
            <w:r>
              <w:rPr>
                <w:szCs w:val="20"/>
                <w:lang w:val="fr-FR" w:eastAsia="ja-JP"/>
              </w:rPr>
              <w:t>Etape 3 </w:t>
            </w:r>
            <w:r w:rsidR="00B10A7B">
              <w:rPr>
                <w:szCs w:val="20"/>
                <w:lang w:val="fr-FR" w:eastAsia="ja-JP"/>
              </w:rPr>
              <w:t>-</w:t>
            </w:r>
            <w:r>
              <w:rPr>
                <w:szCs w:val="20"/>
                <w:lang w:val="fr-FR" w:eastAsia="ja-JP"/>
              </w:rPr>
              <w:t xml:space="preserve"> Analyse des goulots d’étranglement </w:t>
            </w:r>
          </w:p>
          <w:p w14:paraId="2FB43080" w14:textId="77777777" w:rsidR="00783A43" w:rsidRDefault="00783A43" w:rsidP="00783A43">
            <w:pPr>
              <w:jc w:val="both"/>
              <w:rPr>
                <w:szCs w:val="20"/>
                <w:lang w:val="fr-FR" w:eastAsia="ja-JP"/>
              </w:rPr>
            </w:pPr>
          </w:p>
          <w:p w14:paraId="73A6C95C" w14:textId="77777777" w:rsidR="004868A2" w:rsidRDefault="004868A2" w:rsidP="00B81264">
            <w:pPr>
              <w:jc w:val="both"/>
              <w:rPr>
                <w:szCs w:val="20"/>
                <w:lang w:val="fr-FR" w:eastAsia="ja-JP"/>
              </w:rPr>
            </w:pPr>
          </w:p>
        </w:tc>
        <w:tc>
          <w:tcPr>
            <w:tcW w:w="5760" w:type="dxa"/>
          </w:tcPr>
          <w:p w14:paraId="2452FE84" w14:textId="51018385" w:rsidR="009D7099" w:rsidRPr="009D7099" w:rsidRDefault="00AF4DA9" w:rsidP="009D7099">
            <w:pPr>
              <w:pStyle w:val="ListParagraph"/>
              <w:numPr>
                <w:ilvl w:val="0"/>
                <w:numId w:val="29"/>
              </w:numPr>
              <w:spacing w:before="120" w:after="120"/>
              <w:ind w:left="173" w:hanging="173"/>
              <w:jc w:val="both"/>
              <w:rPr>
                <w:szCs w:val="20"/>
                <w:lang w:val="fr-FR" w:eastAsia="ja-JP"/>
              </w:rPr>
            </w:pPr>
            <w:r w:rsidRPr="009D7099">
              <w:rPr>
                <w:szCs w:val="20"/>
                <w:lang w:val="fr-FR" w:eastAsia="ja-JP"/>
              </w:rPr>
              <w:t>Analyse des goulots d’étranglement</w:t>
            </w:r>
            <w:r w:rsidR="009D7099" w:rsidRPr="009D7099">
              <w:rPr>
                <w:szCs w:val="20"/>
                <w:lang w:val="fr-FR" w:eastAsia="ja-JP"/>
              </w:rPr>
              <w:t xml:space="preserve"> </w:t>
            </w:r>
            <w:r w:rsidR="00FC2CC4">
              <w:rPr>
                <w:rFonts w:cs="Arial"/>
                <w:szCs w:val="20"/>
                <w:lang w:val="fr-FR"/>
              </w:rPr>
              <w:t>des services EAH dans les écoles</w:t>
            </w:r>
            <w:r w:rsidR="00FC2CC4" w:rsidRPr="009D7099">
              <w:rPr>
                <w:szCs w:val="20"/>
                <w:lang w:val="fr-FR" w:eastAsia="ja-JP"/>
              </w:rPr>
              <w:t xml:space="preserve"> </w:t>
            </w:r>
            <w:r w:rsidR="009D7099" w:rsidRPr="009D7099">
              <w:rPr>
                <w:szCs w:val="20"/>
                <w:lang w:val="fr-FR" w:eastAsia="ja-JP"/>
              </w:rPr>
              <w:t xml:space="preserve">et </w:t>
            </w:r>
            <w:r w:rsidR="009D7099">
              <w:rPr>
                <w:szCs w:val="20"/>
                <w:lang w:val="fr-FR" w:eastAsia="ja-JP"/>
              </w:rPr>
              <w:t>f</w:t>
            </w:r>
            <w:r w:rsidRPr="009D7099">
              <w:rPr>
                <w:szCs w:val="20"/>
                <w:lang w:val="fr-FR" w:eastAsia="ja-JP"/>
              </w:rPr>
              <w:t xml:space="preserve">ormulation des recommandations </w:t>
            </w:r>
          </w:p>
          <w:p w14:paraId="247DB78E" w14:textId="77777777" w:rsidR="004868A2" w:rsidRDefault="009D7099" w:rsidP="009D7099">
            <w:pPr>
              <w:pStyle w:val="ListParagraph"/>
              <w:numPr>
                <w:ilvl w:val="0"/>
                <w:numId w:val="29"/>
              </w:numPr>
              <w:spacing w:before="120" w:after="120"/>
              <w:ind w:left="173" w:hanging="173"/>
              <w:jc w:val="both"/>
              <w:rPr>
                <w:szCs w:val="20"/>
                <w:lang w:val="fr-FR" w:eastAsia="ja-JP"/>
              </w:rPr>
            </w:pPr>
            <w:r>
              <w:rPr>
                <w:szCs w:val="20"/>
                <w:lang w:val="fr-FR" w:eastAsia="ja-JP"/>
              </w:rPr>
              <w:t>O</w:t>
            </w:r>
            <w:r w:rsidR="00AF4DA9" w:rsidRPr="00FB35C5">
              <w:rPr>
                <w:szCs w:val="20"/>
                <w:lang w:val="fr-FR" w:eastAsia="ja-JP"/>
              </w:rPr>
              <w:t xml:space="preserve">rganisation d’un atelier </w:t>
            </w:r>
            <w:r>
              <w:rPr>
                <w:szCs w:val="20"/>
                <w:lang w:val="fr-FR" w:eastAsia="ja-JP"/>
              </w:rPr>
              <w:t>pour présenter l</w:t>
            </w:r>
            <w:r w:rsidR="00AF4DA9" w:rsidRPr="00FB35C5">
              <w:rPr>
                <w:szCs w:val="20"/>
                <w:lang w:val="fr-FR" w:eastAsia="ja-JP"/>
              </w:rPr>
              <w:t>’analyse des goulots d’étranglement</w:t>
            </w:r>
          </w:p>
          <w:p w14:paraId="03585158" w14:textId="77777777" w:rsidR="009D5AF9" w:rsidRDefault="009D5AF9" w:rsidP="009D5AF9">
            <w:pPr>
              <w:spacing w:before="120" w:after="120"/>
              <w:jc w:val="both"/>
              <w:rPr>
                <w:szCs w:val="20"/>
                <w:lang w:val="fr-FR" w:eastAsia="ja-JP"/>
              </w:rPr>
            </w:pPr>
          </w:p>
          <w:p w14:paraId="07398DCE" w14:textId="77777777" w:rsidR="009D5AF9" w:rsidRDefault="009D5AF9" w:rsidP="009D5AF9">
            <w:pPr>
              <w:spacing w:before="120" w:after="120"/>
              <w:jc w:val="both"/>
              <w:rPr>
                <w:szCs w:val="20"/>
                <w:lang w:val="fr-FR" w:eastAsia="ja-JP"/>
              </w:rPr>
            </w:pPr>
          </w:p>
          <w:p w14:paraId="6087B7EC" w14:textId="43AAB6F4" w:rsidR="00CB51B1" w:rsidRPr="009D5AF9" w:rsidRDefault="00CB51B1" w:rsidP="009D5AF9">
            <w:pPr>
              <w:spacing w:before="120" w:after="120"/>
              <w:jc w:val="both"/>
              <w:rPr>
                <w:szCs w:val="20"/>
                <w:lang w:val="fr-FR" w:eastAsia="ja-JP"/>
              </w:rPr>
            </w:pPr>
          </w:p>
        </w:tc>
        <w:tc>
          <w:tcPr>
            <w:tcW w:w="2520" w:type="dxa"/>
          </w:tcPr>
          <w:p w14:paraId="76B85C37" w14:textId="300836E8" w:rsidR="00DB4A0A" w:rsidRDefault="00DB4A0A" w:rsidP="00FC2CC4">
            <w:pPr>
              <w:pStyle w:val="ListParagraph"/>
              <w:numPr>
                <w:ilvl w:val="0"/>
                <w:numId w:val="29"/>
              </w:numPr>
              <w:ind w:left="166" w:hanging="166"/>
              <w:rPr>
                <w:rFonts w:cs="Arial"/>
                <w:szCs w:val="20"/>
                <w:lang w:val="fr-FR"/>
              </w:rPr>
            </w:pPr>
            <w:r>
              <w:rPr>
                <w:rFonts w:cs="Arial"/>
                <w:szCs w:val="20"/>
                <w:lang w:val="fr-FR"/>
              </w:rPr>
              <w:t xml:space="preserve">Rapport de l’analyse des </w:t>
            </w:r>
            <w:r w:rsidRPr="007528DC">
              <w:rPr>
                <w:szCs w:val="20"/>
                <w:lang w:val="fr-FR" w:eastAsia="ja-JP"/>
              </w:rPr>
              <w:t>goulots</w:t>
            </w:r>
            <w:r>
              <w:rPr>
                <w:rFonts w:cs="Arial"/>
                <w:szCs w:val="20"/>
                <w:lang w:val="fr-FR"/>
              </w:rPr>
              <w:t xml:space="preserve"> étranglements </w:t>
            </w:r>
          </w:p>
          <w:p w14:paraId="51A7B6C5" w14:textId="0E83C309" w:rsidR="004868A2" w:rsidRDefault="00FC2CC4" w:rsidP="00FC2CC4">
            <w:pPr>
              <w:pStyle w:val="ListParagraph"/>
              <w:numPr>
                <w:ilvl w:val="0"/>
                <w:numId w:val="29"/>
              </w:numPr>
              <w:ind w:left="166" w:hanging="166"/>
              <w:rPr>
                <w:szCs w:val="20"/>
                <w:lang w:val="fr-FR" w:eastAsia="ja-JP"/>
              </w:rPr>
            </w:pPr>
            <w:r>
              <w:rPr>
                <w:szCs w:val="20"/>
                <w:lang w:val="fr-FR" w:eastAsia="ja-JP"/>
              </w:rPr>
              <w:t>Rapport de l’atelier</w:t>
            </w:r>
          </w:p>
        </w:tc>
      </w:tr>
      <w:tr w:rsidR="00FC2CC4" w:rsidRPr="00C57A30" w14:paraId="6D344A4F" w14:textId="77777777" w:rsidTr="00FC2CC4">
        <w:tc>
          <w:tcPr>
            <w:tcW w:w="10170" w:type="dxa"/>
            <w:gridSpan w:val="3"/>
            <w:shd w:val="clear" w:color="auto" w:fill="F2F2F2" w:themeFill="background1" w:themeFillShade="F2"/>
          </w:tcPr>
          <w:p w14:paraId="5C20B107" w14:textId="40F86E41" w:rsidR="00FC2CC4" w:rsidRPr="00FC2CC4" w:rsidRDefault="00FC2CC4" w:rsidP="00FC2CC4">
            <w:pPr>
              <w:spacing w:before="120" w:after="120"/>
              <w:rPr>
                <w:b/>
                <w:bCs/>
                <w:szCs w:val="20"/>
                <w:lang w:val="fr-FR" w:eastAsia="ja-JP"/>
              </w:rPr>
            </w:pPr>
            <w:r w:rsidRPr="00FC2CC4">
              <w:rPr>
                <w:b/>
                <w:bCs/>
                <w:szCs w:val="20"/>
                <w:lang w:val="fr-FR" w:eastAsia="ja-JP"/>
              </w:rPr>
              <w:t>Phase 2 : Développement de la stratégie nationale d’amélioration de l’accès aux services eau, assainissement et hygiène dans les écoles</w:t>
            </w:r>
          </w:p>
        </w:tc>
      </w:tr>
      <w:tr w:rsidR="00783A43" w:rsidRPr="00C57A30" w14:paraId="44DAF13C" w14:textId="77777777" w:rsidTr="00947265">
        <w:tc>
          <w:tcPr>
            <w:tcW w:w="1890" w:type="dxa"/>
          </w:tcPr>
          <w:p w14:paraId="49E8C70B" w14:textId="330D7B4A" w:rsidR="00F50209" w:rsidRDefault="00F50209" w:rsidP="00FE26A1">
            <w:pPr>
              <w:spacing w:before="120" w:after="120"/>
              <w:rPr>
                <w:szCs w:val="20"/>
                <w:lang w:val="fr-FR" w:eastAsia="ja-JP"/>
              </w:rPr>
            </w:pPr>
            <w:r>
              <w:rPr>
                <w:szCs w:val="20"/>
                <w:lang w:val="fr-FR" w:eastAsia="ja-JP"/>
              </w:rPr>
              <w:lastRenderedPageBreak/>
              <w:t>Etape 1 </w:t>
            </w:r>
            <w:r w:rsidR="00B10A7B">
              <w:rPr>
                <w:szCs w:val="20"/>
                <w:lang w:val="fr-FR" w:eastAsia="ja-JP"/>
              </w:rPr>
              <w:t xml:space="preserve">- </w:t>
            </w:r>
            <w:r w:rsidR="00C7224C">
              <w:rPr>
                <w:szCs w:val="20"/>
                <w:lang w:val="fr-FR" w:eastAsia="ja-JP"/>
              </w:rPr>
              <w:t>Elaboration de la stratégie</w:t>
            </w:r>
          </w:p>
          <w:p w14:paraId="73B16807" w14:textId="77777777" w:rsidR="00783A43" w:rsidRDefault="00783A43" w:rsidP="00783A43">
            <w:pPr>
              <w:jc w:val="both"/>
              <w:rPr>
                <w:szCs w:val="20"/>
                <w:lang w:val="fr-FR" w:eastAsia="ja-JP"/>
              </w:rPr>
            </w:pPr>
          </w:p>
        </w:tc>
        <w:tc>
          <w:tcPr>
            <w:tcW w:w="5760" w:type="dxa"/>
          </w:tcPr>
          <w:p w14:paraId="1D62EE98" w14:textId="77777777" w:rsidR="00C7224C" w:rsidRPr="00C7224C" w:rsidRDefault="00783A43" w:rsidP="00C7224C">
            <w:pPr>
              <w:pStyle w:val="ListParagraph"/>
              <w:numPr>
                <w:ilvl w:val="0"/>
                <w:numId w:val="29"/>
              </w:numPr>
              <w:spacing w:before="120" w:after="120"/>
              <w:ind w:left="173" w:hanging="173"/>
              <w:jc w:val="both"/>
              <w:rPr>
                <w:szCs w:val="20"/>
                <w:lang w:val="fr-FR" w:eastAsia="ja-JP"/>
              </w:rPr>
            </w:pPr>
            <w:r w:rsidRPr="00AD1BC2">
              <w:rPr>
                <w:szCs w:val="20"/>
                <w:lang w:val="fr-FR" w:eastAsia="ja-JP"/>
              </w:rPr>
              <w:t>Entretiens</w:t>
            </w:r>
            <w:r>
              <w:rPr>
                <w:szCs w:val="24"/>
                <w:lang w:val="fr-FR" w:eastAsia="ja-JP"/>
              </w:rPr>
              <w:t xml:space="preserve"> dirigés avec des acteurs clés (élèves, Association des Parents d’Elèves (APE), association des mères d’éducatrices (AME), directions d’écoles, représentants des départements impliqués du MENFOP).</w:t>
            </w:r>
            <w:r w:rsidR="00C7224C">
              <w:rPr>
                <w:szCs w:val="24"/>
                <w:lang w:val="fr-FR" w:eastAsia="ja-JP"/>
              </w:rPr>
              <w:t xml:space="preserve"> </w:t>
            </w:r>
          </w:p>
          <w:p w14:paraId="4DD6987E" w14:textId="1F1901B3" w:rsidR="00C7224C" w:rsidRPr="00AD1BC2" w:rsidRDefault="00C7224C" w:rsidP="00C7224C">
            <w:pPr>
              <w:pStyle w:val="ListParagraph"/>
              <w:numPr>
                <w:ilvl w:val="0"/>
                <w:numId w:val="29"/>
              </w:numPr>
              <w:spacing w:before="120" w:after="120"/>
              <w:ind w:left="173" w:hanging="173"/>
              <w:jc w:val="both"/>
              <w:rPr>
                <w:szCs w:val="20"/>
                <w:lang w:val="fr-FR" w:eastAsia="ja-JP"/>
              </w:rPr>
            </w:pPr>
            <w:r>
              <w:rPr>
                <w:szCs w:val="24"/>
                <w:lang w:val="fr-FR" w:eastAsia="ja-JP"/>
              </w:rPr>
              <w:t xml:space="preserve">Elaboration du premier draft de </w:t>
            </w:r>
            <w:r w:rsidRPr="00CE5387">
              <w:rPr>
                <w:szCs w:val="24"/>
                <w:lang w:val="fr-FR" w:eastAsia="ja-JP"/>
              </w:rPr>
              <w:t xml:space="preserve">la Stratégie WASH dans </w:t>
            </w:r>
            <w:r w:rsidRPr="00AD1BC2">
              <w:rPr>
                <w:szCs w:val="20"/>
                <w:lang w:val="fr-FR" w:eastAsia="ja-JP"/>
              </w:rPr>
              <w:t>les écoles à Djibouti prenant en compte les recommandations issues de la phase d’analyse des goulots d’étranglement</w:t>
            </w:r>
          </w:p>
          <w:p w14:paraId="3CA4FAE2" w14:textId="678F972C" w:rsidR="00C7224C" w:rsidRDefault="00C7224C" w:rsidP="00C7224C">
            <w:pPr>
              <w:pStyle w:val="ListParagraph"/>
              <w:numPr>
                <w:ilvl w:val="0"/>
                <w:numId w:val="29"/>
              </w:numPr>
              <w:spacing w:before="120" w:after="120"/>
              <w:ind w:left="173" w:hanging="173"/>
              <w:jc w:val="both"/>
              <w:rPr>
                <w:szCs w:val="20"/>
                <w:lang w:val="fr-FR" w:eastAsia="ja-JP"/>
              </w:rPr>
            </w:pPr>
            <w:r w:rsidRPr="00AD1BC2">
              <w:rPr>
                <w:szCs w:val="20"/>
                <w:lang w:val="fr-FR" w:eastAsia="ja-JP"/>
              </w:rPr>
              <w:t xml:space="preserve">Organisation et facilitation de l’atelier de validation de la Stratégie et sélection des outils IEC/module de formation à développer </w:t>
            </w:r>
          </w:p>
          <w:p w14:paraId="24532EDC" w14:textId="334A3DEF" w:rsidR="004D5F02" w:rsidRPr="004D5F02" w:rsidRDefault="004D5F02" w:rsidP="004D5F02">
            <w:pPr>
              <w:pStyle w:val="ListParagraph"/>
              <w:numPr>
                <w:ilvl w:val="0"/>
                <w:numId w:val="29"/>
              </w:numPr>
              <w:spacing w:before="120" w:after="120"/>
              <w:ind w:left="173" w:hanging="173"/>
              <w:jc w:val="both"/>
              <w:rPr>
                <w:szCs w:val="20"/>
                <w:lang w:val="fr-FR" w:eastAsia="ja-JP"/>
              </w:rPr>
            </w:pPr>
            <w:r w:rsidRPr="00AD1BC2">
              <w:rPr>
                <w:szCs w:val="20"/>
                <w:lang w:val="fr-FR" w:eastAsia="ja-JP"/>
              </w:rPr>
              <w:t>Développement de fiches de suivi (intégration des critères WASH dans la fiche de suivi des inspecteurs, du formulaire du recensement scolaire)</w:t>
            </w:r>
          </w:p>
          <w:p w14:paraId="19BFA0FC" w14:textId="7353B355" w:rsidR="004D5F02" w:rsidRDefault="004D5F02" w:rsidP="004D5F02">
            <w:pPr>
              <w:pStyle w:val="ListParagraph"/>
              <w:numPr>
                <w:ilvl w:val="0"/>
                <w:numId w:val="29"/>
              </w:numPr>
              <w:spacing w:before="120" w:after="120"/>
              <w:ind w:left="173" w:hanging="173"/>
              <w:jc w:val="both"/>
              <w:rPr>
                <w:szCs w:val="24"/>
                <w:lang w:val="fr-FR" w:eastAsia="ja-JP"/>
              </w:rPr>
            </w:pPr>
            <w:r w:rsidRPr="00AD1BC2">
              <w:rPr>
                <w:szCs w:val="20"/>
                <w:lang w:val="fr-FR" w:eastAsia="ja-JP"/>
              </w:rPr>
              <w:t xml:space="preserve">Organisation et </w:t>
            </w:r>
            <w:r>
              <w:rPr>
                <w:szCs w:val="20"/>
                <w:lang w:val="fr-FR" w:eastAsia="ja-JP"/>
              </w:rPr>
              <w:t>f</w:t>
            </w:r>
            <w:r w:rsidRPr="00AD1BC2">
              <w:rPr>
                <w:szCs w:val="20"/>
                <w:lang w:val="fr-FR" w:eastAsia="ja-JP"/>
              </w:rPr>
              <w:t>acilitation</w:t>
            </w:r>
            <w:r w:rsidRPr="00CE5387">
              <w:rPr>
                <w:szCs w:val="24"/>
                <w:lang w:val="fr-FR" w:eastAsia="ja-JP"/>
              </w:rPr>
              <w:t xml:space="preserve"> de l’atelier pour la validation des outils</w:t>
            </w:r>
          </w:p>
          <w:p w14:paraId="77F0C622" w14:textId="2039732A" w:rsidR="00783A43" w:rsidRPr="00AD1BC2" w:rsidRDefault="00783A43" w:rsidP="00C7224C">
            <w:pPr>
              <w:pStyle w:val="ListParagraph"/>
              <w:spacing w:before="120" w:after="120"/>
              <w:ind w:left="173"/>
              <w:jc w:val="both"/>
              <w:rPr>
                <w:szCs w:val="24"/>
                <w:lang w:val="fr-FR" w:eastAsia="ja-JP"/>
              </w:rPr>
            </w:pPr>
          </w:p>
        </w:tc>
        <w:tc>
          <w:tcPr>
            <w:tcW w:w="2520" w:type="dxa"/>
          </w:tcPr>
          <w:p w14:paraId="32252BCD" w14:textId="0EB86212" w:rsidR="00DB4A0A" w:rsidRPr="009932F2" w:rsidRDefault="009932F2" w:rsidP="009932F2">
            <w:pPr>
              <w:pStyle w:val="ListParagraph"/>
              <w:numPr>
                <w:ilvl w:val="0"/>
                <w:numId w:val="29"/>
              </w:numPr>
              <w:ind w:left="166" w:hanging="166"/>
              <w:rPr>
                <w:rFonts w:cs="Arial"/>
                <w:szCs w:val="20"/>
                <w:lang w:val="fr-FR"/>
              </w:rPr>
            </w:pPr>
            <w:r>
              <w:rPr>
                <w:rFonts w:cs="Arial"/>
                <w:szCs w:val="20"/>
                <w:lang w:val="fr-FR"/>
              </w:rPr>
              <w:t>Document de la s</w:t>
            </w:r>
            <w:r w:rsidR="00DB4A0A" w:rsidRPr="009932F2">
              <w:rPr>
                <w:rFonts w:cs="Arial"/>
                <w:szCs w:val="20"/>
                <w:lang w:val="fr-FR"/>
              </w:rPr>
              <w:t>tratégie WASH dans les Écoles</w:t>
            </w:r>
          </w:p>
          <w:p w14:paraId="6AEDEE46" w14:textId="5D2660E9" w:rsidR="00783A43" w:rsidRPr="00647D03" w:rsidRDefault="00AC31B1" w:rsidP="00647D03">
            <w:pPr>
              <w:pStyle w:val="ListParagraph"/>
              <w:numPr>
                <w:ilvl w:val="0"/>
                <w:numId w:val="29"/>
              </w:numPr>
              <w:ind w:left="166" w:hanging="166"/>
              <w:rPr>
                <w:rFonts w:cs="Arial"/>
                <w:szCs w:val="20"/>
                <w:lang w:val="fr-FR"/>
              </w:rPr>
            </w:pPr>
            <w:r>
              <w:rPr>
                <w:rFonts w:cs="Arial"/>
                <w:szCs w:val="20"/>
                <w:lang w:val="fr-FR"/>
              </w:rPr>
              <w:t>O</w:t>
            </w:r>
            <w:r w:rsidRPr="009932F2">
              <w:rPr>
                <w:rFonts w:cs="Arial"/>
                <w:szCs w:val="20"/>
                <w:lang w:val="fr-FR"/>
              </w:rPr>
              <w:t>util de suivi de la progression des indicateurs</w:t>
            </w:r>
            <w:r w:rsidR="002E6CA4" w:rsidRPr="009932F2">
              <w:rPr>
                <w:rFonts w:cs="Arial"/>
                <w:szCs w:val="20"/>
                <w:lang w:val="fr-FR"/>
              </w:rPr>
              <w:t xml:space="preserve"> </w:t>
            </w:r>
            <w:r w:rsidR="002E6CA4">
              <w:rPr>
                <w:rFonts w:cs="Arial"/>
                <w:szCs w:val="20"/>
                <w:lang w:val="fr-FR"/>
              </w:rPr>
              <w:t xml:space="preserve">pour le </w:t>
            </w:r>
            <w:r w:rsidR="002E6CA4" w:rsidRPr="009932F2">
              <w:rPr>
                <w:rFonts w:cs="Arial"/>
                <w:szCs w:val="20"/>
                <w:lang w:val="fr-FR"/>
              </w:rPr>
              <w:t>MENFOP</w:t>
            </w:r>
          </w:p>
        </w:tc>
      </w:tr>
      <w:tr w:rsidR="004868A2" w:rsidRPr="00C57A30" w14:paraId="2608DDDB" w14:textId="77777777" w:rsidTr="00947265">
        <w:tc>
          <w:tcPr>
            <w:tcW w:w="1890" w:type="dxa"/>
          </w:tcPr>
          <w:p w14:paraId="386C4BE5" w14:textId="44C4D256" w:rsidR="00AD1BC2" w:rsidRDefault="00AD1BC2" w:rsidP="00FE26A1">
            <w:pPr>
              <w:spacing w:before="120" w:after="120"/>
              <w:rPr>
                <w:szCs w:val="20"/>
                <w:lang w:val="fr-FR" w:eastAsia="ja-JP"/>
              </w:rPr>
            </w:pPr>
            <w:r>
              <w:rPr>
                <w:szCs w:val="20"/>
                <w:lang w:val="fr-FR" w:eastAsia="ja-JP"/>
              </w:rPr>
              <w:t>Etape 2 </w:t>
            </w:r>
            <w:r w:rsidR="00B10A7B">
              <w:rPr>
                <w:szCs w:val="20"/>
                <w:lang w:val="fr-FR" w:eastAsia="ja-JP"/>
              </w:rPr>
              <w:t>-</w:t>
            </w:r>
            <w:r>
              <w:rPr>
                <w:szCs w:val="20"/>
                <w:lang w:val="fr-FR" w:eastAsia="ja-JP"/>
              </w:rPr>
              <w:t>Elaboration de</w:t>
            </w:r>
            <w:r w:rsidR="00C7224C">
              <w:rPr>
                <w:szCs w:val="20"/>
                <w:lang w:val="fr-FR" w:eastAsia="ja-JP"/>
              </w:rPr>
              <w:t>s modules de formation</w:t>
            </w:r>
          </w:p>
          <w:p w14:paraId="7B6A732A" w14:textId="77777777" w:rsidR="004868A2" w:rsidRDefault="004868A2" w:rsidP="00B81264">
            <w:pPr>
              <w:jc w:val="both"/>
              <w:rPr>
                <w:szCs w:val="20"/>
                <w:lang w:val="fr-FR" w:eastAsia="ja-JP"/>
              </w:rPr>
            </w:pPr>
          </w:p>
        </w:tc>
        <w:tc>
          <w:tcPr>
            <w:tcW w:w="5760" w:type="dxa"/>
          </w:tcPr>
          <w:p w14:paraId="3DD11BD4" w14:textId="764BBB70" w:rsidR="004868A2" w:rsidRPr="004D5F02" w:rsidRDefault="00AD1BC2" w:rsidP="004D5F02">
            <w:pPr>
              <w:pStyle w:val="ListParagraph"/>
              <w:numPr>
                <w:ilvl w:val="0"/>
                <w:numId w:val="29"/>
              </w:numPr>
              <w:spacing w:before="120" w:after="120"/>
              <w:ind w:left="173" w:hanging="173"/>
              <w:jc w:val="both"/>
              <w:rPr>
                <w:szCs w:val="20"/>
                <w:lang w:val="fr-FR" w:eastAsia="ja-JP"/>
              </w:rPr>
            </w:pPr>
            <w:r w:rsidRPr="00AD1BC2">
              <w:rPr>
                <w:szCs w:val="20"/>
                <w:lang w:val="fr-FR" w:eastAsia="ja-JP"/>
              </w:rPr>
              <w:t>Développement des outils IEC</w:t>
            </w:r>
            <w:r w:rsidR="00157ECD">
              <w:rPr>
                <w:szCs w:val="20"/>
                <w:lang w:val="fr-FR" w:eastAsia="ja-JP"/>
              </w:rPr>
              <w:t xml:space="preserve"> : </w:t>
            </w:r>
            <w:r w:rsidRPr="00AD1BC2">
              <w:rPr>
                <w:szCs w:val="20"/>
                <w:lang w:val="fr-FR" w:eastAsia="ja-JP"/>
              </w:rPr>
              <w:t>manuel de formation pour les enseignant</w:t>
            </w:r>
            <w:r w:rsidR="00157ECD">
              <w:rPr>
                <w:szCs w:val="20"/>
                <w:lang w:val="fr-FR" w:eastAsia="ja-JP"/>
              </w:rPr>
              <w:t xml:space="preserve">s et </w:t>
            </w:r>
            <w:r w:rsidRPr="00AD1BC2">
              <w:rPr>
                <w:szCs w:val="20"/>
                <w:lang w:val="fr-FR" w:eastAsia="ja-JP"/>
              </w:rPr>
              <w:t xml:space="preserve">manuel et </w:t>
            </w:r>
            <w:r w:rsidR="00E05078">
              <w:rPr>
                <w:szCs w:val="20"/>
                <w:lang w:val="fr-FR" w:eastAsia="ja-JP"/>
              </w:rPr>
              <w:t>brochure</w:t>
            </w:r>
            <w:r w:rsidRPr="00AD1BC2">
              <w:rPr>
                <w:szCs w:val="20"/>
                <w:lang w:val="fr-FR" w:eastAsia="ja-JP"/>
              </w:rPr>
              <w:t xml:space="preserve"> pour la gestion de l’hygiène menstruelle</w:t>
            </w:r>
            <w:r w:rsidR="00157ECD">
              <w:rPr>
                <w:szCs w:val="20"/>
                <w:lang w:val="fr-FR" w:eastAsia="ja-JP"/>
              </w:rPr>
              <w:t> ;</w:t>
            </w:r>
          </w:p>
        </w:tc>
        <w:tc>
          <w:tcPr>
            <w:tcW w:w="2520" w:type="dxa"/>
          </w:tcPr>
          <w:p w14:paraId="39E6BCE0" w14:textId="7753ADA2" w:rsidR="00AC31B1" w:rsidRPr="009932F2" w:rsidRDefault="00AC31B1" w:rsidP="00AC31B1">
            <w:pPr>
              <w:pStyle w:val="ListParagraph"/>
              <w:numPr>
                <w:ilvl w:val="0"/>
                <w:numId w:val="29"/>
              </w:numPr>
              <w:ind w:left="166" w:hanging="166"/>
              <w:rPr>
                <w:rFonts w:cs="Arial"/>
                <w:szCs w:val="20"/>
                <w:lang w:val="fr-FR"/>
              </w:rPr>
            </w:pPr>
            <w:r>
              <w:rPr>
                <w:rFonts w:cs="Arial"/>
                <w:szCs w:val="20"/>
                <w:lang w:val="fr-FR"/>
              </w:rPr>
              <w:t>M</w:t>
            </w:r>
            <w:r w:rsidRPr="009932F2">
              <w:rPr>
                <w:rFonts w:cs="Arial"/>
                <w:szCs w:val="20"/>
                <w:lang w:val="fr-FR"/>
              </w:rPr>
              <w:t>odules de formation sur le Wash dans les écoles à l’intention des enseignants et des élèves</w:t>
            </w:r>
          </w:p>
          <w:p w14:paraId="4CAFB217" w14:textId="15B03EBE" w:rsidR="004868A2" w:rsidRDefault="00C66C2F" w:rsidP="00157ECD">
            <w:pPr>
              <w:pStyle w:val="ListParagraph"/>
              <w:numPr>
                <w:ilvl w:val="0"/>
                <w:numId w:val="29"/>
              </w:numPr>
              <w:ind w:left="166" w:hanging="166"/>
              <w:rPr>
                <w:rFonts w:cs="Arial"/>
                <w:szCs w:val="20"/>
                <w:lang w:val="fr-FR"/>
              </w:rPr>
            </w:pPr>
            <w:r>
              <w:rPr>
                <w:szCs w:val="20"/>
                <w:lang w:val="fr-FR" w:eastAsia="ja-JP"/>
              </w:rPr>
              <w:t>G</w:t>
            </w:r>
            <w:r w:rsidRPr="00CE5387">
              <w:rPr>
                <w:szCs w:val="20"/>
                <w:lang w:val="fr-FR" w:eastAsia="ja-JP"/>
              </w:rPr>
              <w:t xml:space="preserve">uide de facilitation </w:t>
            </w:r>
            <w:r w:rsidR="00AC31B1" w:rsidRPr="009932F2">
              <w:rPr>
                <w:rFonts w:cs="Arial"/>
                <w:szCs w:val="20"/>
                <w:lang w:val="fr-FR"/>
              </w:rPr>
              <w:t>pour les enseignants</w:t>
            </w:r>
          </w:p>
          <w:p w14:paraId="1A255A60" w14:textId="50A107A9" w:rsidR="00157ECD" w:rsidRPr="00157ECD" w:rsidRDefault="00157ECD" w:rsidP="00157ECD">
            <w:pPr>
              <w:pStyle w:val="ListParagraph"/>
              <w:ind w:left="166"/>
              <w:rPr>
                <w:rFonts w:cs="Arial"/>
                <w:szCs w:val="20"/>
                <w:lang w:val="fr-FR"/>
              </w:rPr>
            </w:pPr>
          </w:p>
        </w:tc>
      </w:tr>
    </w:tbl>
    <w:p w14:paraId="7E927DCA" w14:textId="54F098EE" w:rsidR="004868A2" w:rsidRDefault="004868A2" w:rsidP="00B81264">
      <w:pPr>
        <w:spacing w:after="0" w:line="240" w:lineRule="auto"/>
        <w:jc w:val="both"/>
        <w:rPr>
          <w:szCs w:val="20"/>
          <w:lang w:val="fr-FR" w:eastAsia="ja-JP"/>
        </w:rPr>
      </w:pPr>
    </w:p>
    <w:p w14:paraId="1F00B7F1" w14:textId="6E6BCB9F" w:rsidR="00AD6748" w:rsidRPr="00CE5387" w:rsidRDefault="00AD6748" w:rsidP="00AD6748">
      <w:pPr>
        <w:spacing w:after="0" w:line="240" w:lineRule="auto"/>
        <w:ind w:left="360"/>
        <w:rPr>
          <w:rFonts w:cs="Arial"/>
          <w:szCs w:val="20"/>
          <w:lang w:val="fr-FR"/>
        </w:rPr>
      </w:pPr>
    </w:p>
    <w:p w14:paraId="799D5457" w14:textId="21A2BD4E" w:rsidR="00AD6748" w:rsidRPr="003C7C75" w:rsidRDefault="00AD6748" w:rsidP="000E3BEF">
      <w:pPr>
        <w:pStyle w:val="ListParagraph"/>
        <w:numPr>
          <w:ilvl w:val="0"/>
          <w:numId w:val="2"/>
        </w:numPr>
        <w:spacing w:line="240" w:lineRule="auto"/>
        <w:ind w:left="360"/>
        <w:rPr>
          <w:rFonts w:cs="Arial"/>
          <w:b/>
          <w:sz w:val="28"/>
          <w:szCs w:val="28"/>
          <w:lang w:val="fr-FR"/>
        </w:rPr>
      </w:pPr>
      <w:r w:rsidRPr="003C7C75">
        <w:rPr>
          <w:rFonts w:cs="Arial"/>
          <w:b/>
          <w:sz w:val="28"/>
          <w:szCs w:val="28"/>
          <w:lang w:val="fr-FR"/>
        </w:rPr>
        <w:t xml:space="preserve">Qualifications requises </w:t>
      </w:r>
    </w:p>
    <w:p w14:paraId="07676274" w14:textId="774A4DBD" w:rsidR="00BC1ECA" w:rsidRDefault="00AD6748" w:rsidP="00BC1ECA">
      <w:pPr>
        <w:spacing w:before="120" w:after="120" w:line="240" w:lineRule="auto"/>
        <w:jc w:val="both"/>
        <w:rPr>
          <w:lang w:val="fr-FR"/>
        </w:rPr>
      </w:pPr>
      <w:r w:rsidRPr="00CE5387">
        <w:rPr>
          <w:lang w:val="fr-FR"/>
        </w:rPr>
        <w:t xml:space="preserve">Compte tenu de l’importance du travail qui requiert une organisation/coordination soutenue du processus, la consultation est confiée à </w:t>
      </w:r>
      <w:r w:rsidRPr="00CE5387">
        <w:rPr>
          <w:b/>
          <w:lang w:val="fr-FR"/>
        </w:rPr>
        <w:t>un consultant individuel</w:t>
      </w:r>
      <w:r w:rsidR="00946C72">
        <w:rPr>
          <w:b/>
          <w:lang w:val="fr-FR"/>
        </w:rPr>
        <w:t xml:space="preserve"> ou bureau d’études</w:t>
      </w:r>
      <w:r w:rsidRPr="00CE5387">
        <w:rPr>
          <w:b/>
          <w:lang w:val="fr-FR"/>
        </w:rPr>
        <w:t xml:space="preserve"> international</w:t>
      </w:r>
      <w:r w:rsidR="00995DF6">
        <w:rPr>
          <w:b/>
          <w:lang w:val="fr-FR"/>
        </w:rPr>
        <w:t xml:space="preserve"> ou national</w:t>
      </w:r>
      <w:r w:rsidR="00505663">
        <w:rPr>
          <w:lang w:val="fr-FR"/>
        </w:rPr>
        <w:t xml:space="preserve"> </w:t>
      </w:r>
      <w:r w:rsidR="00946C72">
        <w:rPr>
          <w:lang w:val="fr-FR"/>
        </w:rPr>
        <w:t>(</w:t>
      </w:r>
      <w:r w:rsidR="00553AA0" w:rsidRPr="00553AA0">
        <w:rPr>
          <w:i/>
          <w:iCs/>
          <w:lang w:val="fr-FR"/>
        </w:rPr>
        <w:t>le consultant</w:t>
      </w:r>
      <w:r w:rsidR="00553AA0">
        <w:rPr>
          <w:i/>
          <w:iCs/>
          <w:lang w:val="fr-FR"/>
        </w:rPr>
        <w:t xml:space="preserve"> </w:t>
      </w:r>
      <w:proofErr w:type="spellStart"/>
      <w:proofErr w:type="gramStart"/>
      <w:r w:rsidR="00553AA0">
        <w:rPr>
          <w:i/>
          <w:iCs/>
          <w:lang w:val="fr-FR"/>
        </w:rPr>
        <w:t>a</w:t>
      </w:r>
      <w:proofErr w:type="spellEnd"/>
      <w:proofErr w:type="gramEnd"/>
      <w:r w:rsidR="00553AA0">
        <w:rPr>
          <w:i/>
          <w:iCs/>
          <w:lang w:val="fr-FR"/>
        </w:rPr>
        <w:t xml:space="preserve"> partir d’ici</w:t>
      </w:r>
      <w:r w:rsidR="00553AA0">
        <w:rPr>
          <w:lang w:val="fr-FR"/>
        </w:rPr>
        <w:t xml:space="preserve">) </w:t>
      </w:r>
      <w:r w:rsidR="00505663">
        <w:rPr>
          <w:lang w:val="fr-FR"/>
        </w:rPr>
        <w:t xml:space="preserve">selon les procédures </w:t>
      </w:r>
      <w:r w:rsidRPr="00CE5387">
        <w:rPr>
          <w:lang w:val="fr-FR"/>
        </w:rPr>
        <w:t xml:space="preserve">de l’UNICEF.  </w:t>
      </w:r>
    </w:p>
    <w:p w14:paraId="4D06C363" w14:textId="6A392486" w:rsidR="009F6FBE" w:rsidRDefault="00AD6748" w:rsidP="00BC1ECA">
      <w:pPr>
        <w:spacing w:before="120" w:after="120" w:line="240" w:lineRule="auto"/>
        <w:jc w:val="both"/>
        <w:rPr>
          <w:lang w:val="fr-FR"/>
        </w:rPr>
      </w:pPr>
      <w:r w:rsidRPr="00CE5387">
        <w:rPr>
          <w:lang w:val="fr-FR"/>
        </w:rPr>
        <w:t>Le consultant doit</w:t>
      </w:r>
      <w:r w:rsidR="009F6FBE">
        <w:rPr>
          <w:lang w:val="fr-FR"/>
        </w:rPr>
        <w:t> avoir :</w:t>
      </w:r>
    </w:p>
    <w:p w14:paraId="048D6AAE" w14:textId="4C77DFC0" w:rsidR="00486B86" w:rsidRPr="009F6FBE" w:rsidRDefault="009F6FBE" w:rsidP="00D25F9C">
      <w:pPr>
        <w:pStyle w:val="ListParagraph"/>
        <w:numPr>
          <w:ilvl w:val="0"/>
          <w:numId w:val="28"/>
        </w:numPr>
        <w:spacing w:before="120" w:after="120"/>
        <w:jc w:val="both"/>
        <w:rPr>
          <w:szCs w:val="24"/>
          <w:lang w:val="fr-FR" w:eastAsia="ja-JP"/>
        </w:rPr>
      </w:pPr>
      <w:r>
        <w:rPr>
          <w:lang w:val="fr-FR"/>
        </w:rPr>
        <w:t>U</w:t>
      </w:r>
      <w:r w:rsidR="00486B86" w:rsidRPr="009F6FBE">
        <w:rPr>
          <w:szCs w:val="24"/>
          <w:lang w:val="fr-FR" w:eastAsia="ja-JP"/>
        </w:rPr>
        <w:t xml:space="preserve">n </w:t>
      </w:r>
      <w:r w:rsidR="00486B86" w:rsidRPr="002D27D4">
        <w:rPr>
          <w:szCs w:val="20"/>
          <w:lang w:val="fr-FR" w:eastAsia="ja-JP"/>
        </w:rPr>
        <w:t>diplôme</w:t>
      </w:r>
      <w:r w:rsidR="00486B86" w:rsidRPr="009F6FBE">
        <w:rPr>
          <w:szCs w:val="24"/>
          <w:lang w:val="fr-FR" w:eastAsia="ja-JP"/>
        </w:rPr>
        <w:t xml:space="preserve"> de niveau Master délivré par une Université reconnue dans l’une des disciplines suivantes : Développement, Santé Publique, Sciences Sociales, Education, </w:t>
      </w:r>
      <w:r w:rsidR="00486B86" w:rsidRPr="009F6FBE">
        <w:rPr>
          <w:lang w:val="fr-FR"/>
        </w:rPr>
        <w:t>Environnement</w:t>
      </w:r>
      <w:r w:rsidR="00486B86" w:rsidRPr="009F6FBE">
        <w:rPr>
          <w:szCs w:val="24"/>
          <w:lang w:val="fr-FR" w:eastAsia="ja-JP"/>
        </w:rPr>
        <w:t>, Eau, Assainissement ou tout autre domaine apparenté</w:t>
      </w:r>
      <w:r w:rsidR="00AC1508">
        <w:rPr>
          <w:szCs w:val="24"/>
          <w:lang w:val="fr-FR" w:eastAsia="ja-JP"/>
        </w:rPr>
        <w:t> ;</w:t>
      </w:r>
    </w:p>
    <w:p w14:paraId="5335CE4D" w14:textId="6402E4E8" w:rsidR="00AD6748" w:rsidRPr="002D27D4" w:rsidRDefault="00C3755A" w:rsidP="00D25F9C">
      <w:pPr>
        <w:pStyle w:val="ListParagraph"/>
        <w:numPr>
          <w:ilvl w:val="0"/>
          <w:numId w:val="28"/>
        </w:numPr>
        <w:spacing w:before="120" w:after="120"/>
        <w:jc w:val="both"/>
        <w:rPr>
          <w:szCs w:val="20"/>
          <w:lang w:val="fr-FR" w:eastAsia="ja-JP"/>
        </w:rPr>
      </w:pPr>
      <w:r w:rsidRPr="00D25F9C">
        <w:rPr>
          <w:szCs w:val="20"/>
          <w:lang w:val="fr-FR" w:eastAsia="ja-JP"/>
        </w:rPr>
        <w:t>E</w:t>
      </w:r>
      <w:r w:rsidR="00AD6748" w:rsidRPr="00D25F9C">
        <w:rPr>
          <w:szCs w:val="20"/>
          <w:lang w:val="fr-FR" w:eastAsia="ja-JP"/>
        </w:rPr>
        <w:t xml:space="preserve">xpérience dans le domaine de l’enseignement des adultes </w:t>
      </w:r>
      <w:r w:rsidR="00505663" w:rsidRPr="00D25F9C">
        <w:rPr>
          <w:szCs w:val="20"/>
          <w:lang w:val="fr-FR" w:eastAsia="ja-JP"/>
        </w:rPr>
        <w:t xml:space="preserve">et des approches participatives en milieu </w:t>
      </w:r>
      <w:r w:rsidR="00505663" w:rsidRPr="002D27D4">
        <w:rPr>
          <w:szCs w:val="20"/>
          <w:lang w:val="fr-FR" w:eastAsia="ja-JP"/>
        </w:rPr>
        <w:t>scolaire</w:t>
      </w:r>
      <w:r w:rsidR="00A12B85" w:rsidRPr="002D27D4">
        <w:rPr>
          <w:szCs w:val="20"/>
          <w:lang w:val="fr-FR" w:eastAsia="ja-JP"/>
        </w:rPr>
        <w:t xml:space="preserve">, et </w:t>
      </w:r>
      <w:r w:rsidR="00AD6748" w:rsidRPr="002D27D4">
        <w:rPr>
          <w:szCs w:val="20"/>
          <w:lang w:val="fr-FR" w:eastAsia="ja-JP"/>
        </w:rPr>
        <w:t>dans le domaine de l’intégration</w:t>
      </w:r>
      <w:r w:rsidR="00505663" w:rsidRPr="002D27D4">
        <w:rPr>
          <w:szCs w:val="20"/>
          <w:lang w:val="fr-FR" w:eastAsia="ja-JP"/>
        </w:rPr>
        <w:t xml:space="preserve"> des activités Wash et Education</w:t>
      </w:r>
      <w:r w:rsidR="00AC1508" w:rsidRPr="002D27D4">
        <w:rPr>
          <w:szCs w:val="20"/>
          <w:lang w:val="fr-FR" w:eastAsia="ja-JP"/>
        </w:rPr>
        <w:t> ;</w:t>
      </w:r>
    </w:p>
    <w:p w14:paraId="3EA5F025" w14:textId="77777777" w:rsidR="0028582A" w:rsidRDefault="00216601" w:rsidP="00D25F9C">
      <w:pPr>
        <w:pStyle w:val="ListParagraph"/>
        <w:numPr>
          <w:ilvl w:val="0"/>
          <w:numId w:val="28"/>
        </w:numPr>
        <w:spacing w:before="120" w:after="120"/>
        <w:jc w:val="both"/>
        <w:rPr>
          <w:szCs w:val="24"/>
          <w:lang w:val="fr-FR" w:eastAsia="ja-JP"/>
        </w:rPr>
      </w:pPr>
      <w:r w:rsidRPr="002D27D4">
        <w:rPr>
          <w:szCs w:val="20"/>
          <w:lang w:val="fr-FR" w:eastAsia="ja-JP"/>
        </w:rPr>
        <w:t>Connaissan</w:t>
      </w:r>
      <w:r w:rsidRPr="00D25F9C">
        <w:rPr>
          <w:szCs w:val="20"/>
          <w:lang w:val="fr-FR" w:eastAsia="ja-JP"/>
        </w:rPr>
        <w:t>ce</w:t>
      </w:r>
      <w:r w:rsidRPr="00CE5387">
        <w:rPr>
          <w:szCs w:val="24"/>
          <w:lang w:val="fr-FR" w:eastAsia="ja-JP"/>
        </w:rPr>
        <w:t xml:space="preserve"> de</w:t>
      </w:r>
      <w:r w:rsidR="0028582A">
        <w:rPr>
          <w:szCs w:val="24"/>
          <w:lang w:val="fr-FR" w:eastAsia="ja-JP"/>
        </w:rPr>
        <w:t> :</w:t>
      </w:r>
    </w:p>
    <w:p w14:paraId="14DFC846" w14:textId="6A621DE3" w:rsidR="00216601" w:rsidRPr="00CE5387" w:rsidRDefault="0028582A" w:rsidP="00D25F9C">
      <w:pPr>
        <w:pStyle w:val="ListParagraph"/>
        <w:numPr>
          <w:ilvl w:val="2"/>
          <w:numId w:val="30"/>
        </w:numPr>
        <w:spacing w:before="120" w:after="120"/>
        <w:ind w:left="994" w:hanging="274"/>
        <w:jc w:val="both"/>
        <w:rPr>
          <w:szCs w:val="24"/>
          <w:lang w:val="fr-FR" w:eastAsia="ja-JP"/>
        </w:rPr>
      </w:pPr>
      <w:r>
        <w:rPr>
          <w:szCs w:val="24"/>
          <w:lang w:val="fr-FR" w:eastAsia="ja-JP"/>
        </w:rPr>
        <w:t>M</w:t>
      </w:r>
      <w:r w:rsidR="00216601" w:rsidRPr="00CE5387">
        <w:rPr>
          <w:szCs w:val="24"/>
          <w:lang w:val="fr-FR" w:eastAsia="ja-JP"/>
        </w:rPr>
        <w:t>éthodes participatives d’analyse et de planification communautaire en milieu rural (méthodologies PHAST</w:t>
      </w:r>
      <w:r w:rsidR="00216601" w:rsidRPr="00D25F9C">
        <w:rPr>
          <w:szCs w:val="24"/>
          <w:lang w:val="fr-FR" w:eastAsia="ja-JP"/>
        </w:rPr>
        <w:footnoteReference w:id="1"/>
      </w:r>
      <w:r w:rsidR="00216601">
        <w:rPr>
          <w:szCs w:val="24"/>
          <w:lang w:val="fr-FR" w:eastAsia="ja-JP"/>
        </w:rPr>
        <w:t>, CHAST</w:t>
      </w:r>
      <w:r w:rsidR="00216601" w:rsidRPr="00D25F9C">
        <w:rPr>
          <w:szCs w:val="24"/>
          <w:lang w:val="fr-FR" w:eastAsia="ja-JP"/>
        </w:rPr>
        <w:footnoteReference w:id="2"/>
      </w:r>
      <w:r w:rsidR="00216601" w:rsidRPr="00CE5387">
        <w:rPr>
          <w:szCs w:val="24"/>
          <w:lang w:val="fr-FR" w:eastAsia="ja-JP"/>
        </w:rPr>
        <w:t>, un atout)</w:t>
      </w:r>
      <w:r w:rsidR="00AC1508">
        <w:rPr>
          <w:szCs w:val="24"/>
          <w:lang w:val="fr-FR" w:eastAsia="ja-JP"/>
        </w:rPr>
        <w:t> ;</w:t>
      </w:r>
    </w:p>
    <w:p w14:paraId="250AA552" w14:textId="29F9AEEF" w:rsidR="00216601" w:rsidRPr="00CE5387" w:rsidRDefault="0028582A" w:rsidP="00D25F9C">
      <w:pPr>
        <w:pStyle w:val="ListParagraph"/>
        <w:numPr>
          <w:ilvl w:val="2"/>
          <w:numId w:val="30"/>
        </w:numPr>
        <w:spacing w:before="120" w:after="120"/>
        <w:ind w:left="994" w:hanging="274"/>
        <w:jc w:val="both"/>
        <w:rPr>
          <w:szCs w:val="24"/>
          <w:lang w:val="fr-FR" w:eastAsia="ja-JP"/>
        </w:rPr>
      </w:pPr>
      <w:r>
        <w:rPr>
          <w:szCs w:val="24"/>
          <w:lang w:val="fr-FR" w:eastAsia="ja-JP"/>
        </w:rPr>
        <w:t>Secteur de</w:t>
      </w:r>
      <w:r w:rsidR="00216601" w:rsidRPr="00CE5387">
        <w:rPr>
          <w:szCs w:val="24"/>
          <w:lang w:val="fr-FR" w:eastAsia="ja-JP"/>
        </w:rPr>
        <w:t xml:space="preserve"> l’eau, l’assainissement et l’hygiène (secteur WASH)</w:t>
      </w:r>
      <w:r w:rsidR="00AC1508">
        <w:rPr>
          <w:szCs w:val="24"/>
          <w:lang w:val="fr-FR" w:eastAsia="ja-JP"/>
        </w:rPr>
        <w:t> ;</w:t>
      </w:r>
    </w:p>
    <w:p w14:paraId="59F84D2E" w14:textId="57818F00" w:rsidR="00216601" w:rsidRDefault="0028582A" w:rsidP="00D25F9C">
      <w:pPr>
        <w:pStyle w:val="ListParagraph"/>
        <w:numPr>
          <w:ilvl w:val="2"/>
          <w:numId w:val="30"/>
        </w:numPr>
        <w:spacing w:before="120" w:after="120"/>
        <w:ind w:left="994" w:hanging="274"/>
        <w:jc w:val="both"/>
        <w:rPr>
          <w:szCs w:val="24"/>
          <w:lang w:val="fr-FR" w:eastAsia="ja-JP"/>
        </w:rPr>
      </w:pPr>
      <w:r>
        <w:rPr>
          <w:szCs w:val="24"/>
          <w:lang w:val="fr-FR" w:eastAsia="ja-JP"/>
        </w:rPr>
        <w:lastRenderedPageBreak/>
        <w:t>Secteur de</w:t>
      </w:r>
      <w:r w:rsidR="00216601">
        <w:rPr>
          <w:szCs w:val="24"/>
          <w:lang w:val="fr-FR" w:eastAsia="ja-JP"/>
        </w:rPr>
        <w:t xml:space="preserve"> l’enseignement et ses défis dans les pays en Afrique Subsaharienne et les impacts sur la Santé Scolaire</w:t>
      </w:r>
      <w:r w:rsidR="00AC1508">
        <w:rPr>
          <w:szCs w:val="24"/>
          <w:lang w:val="fr-FR" w:eastAsia="ja-JP"/>
        </w:rPr>
        <w:t> ;</w:t>
      </w:r>
    </w:p>
    <w:p w14:paraId="33300A1F" w14:textId="211E37EE" w:rsidR="00216601" w:rsidRPr="00CE5387" w:rsidRDefault="0028582A" w:rsidP="00D25F9C">
      <w:pPr>
        <w:pStyle w:val="ListParagraph"/>
        <w:numPr>
          <w:ilvl w:val="2"/>
          <w:numId w:val="30"/>
        </w:numPr>
        <w:spacing w:before="120" w:after="120"/>
        <w:ind w:left="994" w:hanging="274"/>
        <w:jc w:val="both"/>
        <w:rPr>
          <w:szCs w:val="24"/>
          <w:lang w:val="fr-FR" w:eastAsia="ja-JP"/>
        </w:rPr>
      </w:pPr>
      <w:r>
        <w:rPr>
          <w:szCs w:val="24"/>
          <w:lang w:val="fr-FR" w:eastAsia="ja-JP"/>
        </w:rPr>
        <w:t>A</w:t>
      </w:r>
      <w:r w:rsidR="00216601" w:rsidRPr="00CE5387">
        <w:rPr>
          <w:szCs w:val="24"/>
          <w:lang w:val="fr-FR" w:eastAsia="ja-JP"/>
        </w:rPr>
        <w:t>pproches sur la Communication pour le Développement (C4D)</w:t>
      </w:r>
      <w:r w:rsidR="00AC1508">
        <w:rPr>
          <w:szCs w:val="24"/>
          <w:lang w:val="fr-FR" w:eastAsia="ja-JP"/>
        </w:rPr>
        <w:t> ;</w:t>
      </w:r>
    </w:p>
    <w:p w14:paraId="550127B2" w14:textId="018D07DD" w:rsidR="00216601" w:rsidRDefault="0028582A" w:rsidP="00D25F9C">
      <w:pPr>
        <w:pStyle w:val="ListParagraph"/>
        <w:numPr>
          <w:ilvl w:val="2"/>
          <w:numId w:val="30"/>
        </w:numPr>
        <w:spacing w:before="120" w:after="120"/>
        <w:ind w:left="994" w:hanging="274"/>
        <w:jc w:val="both"/>
        <w:rPr>
          <w:szCs w:val="24"/>
          <w:lang w:val="fr-FR" w:eastAsia="ja-JP"/>
        </w:rPr>
      </w:pPr>
      <w:r>
        <w:rPr>
          <w:szCs w:val="24"/>
          <w:lang w:val="fr-FR" w:eastAsia="ja-JP"/>
        </w:rPr>
        <w:t>A</w:t>
      </w:r>
      <w:r w:rsidR="00216601" w:rsidRPr="00CE5387">
        <w:rPr>
          <w:szCs w:val="24"/>
          <w:lang w:val="fr-FR" w:eastAsia="ja-JP"/>
        </w:rPr>
        <w:t>pproche genre et de l’approche inclusive (ou équité)</w:t>
      </w:r>
      <w:r w:rsidR="00AC1508">
        <w:rPr>
          <w:szCs w:val="24"/>
          <w:lang w:val="fr-FR" w:eastAsia="ja-JP"/>
        </w:rPr>
        <w:t> ;</w:t>
      </w:r>
    </w:p>
    <w:p w14:paraId="285CA8BD" w14:textId="1F8CBF23" w:rsidR="00216601" w:rsidRPr="00CE5387" w:rsidRDefault="0028582A" w:rsidP="00D25F9C">
      <w:pPr>
        <w:pStyle w:val="ListParagraph"/>
        <w:numPr>
          <w:ilvl w:val="2"/>
          <w:numId w:val="30"/>
        </w:numPr>
        <w:spacing w:before="120" w:after="120"/>
        <w:ind w:left="994" w:hanging="274"/>
        <w:jc w:val="both"/>
        <w:rPr>
          <w:szCs w:val="24"/>
          <w:lang w:val="fr-FR" w:eastAsia="ja-JP"/>
        </w:rPr>
      </w:pPr>
      <w:r>
        <w:rPr>
          <w:szCs w:val="24"/>
          <w:lang w:val="fr-FR" w:eastAsia="ja-JP"/>
        </w:rPr>
        <w:t>P</w:t>
      </w:r>
      <w:r w:rsidR="00216601">
        <w:rPr>
          <w:szCs w:val="24"/>
          <w:lang w:val="fr-FR" w:eastAsia="ja-JP"/>
        </w:rPr>
        <w:t>rogrammes avec l’hygiène menstruelle</w:t>
      </w:r>
      <w:r w:rsidR="00AC1508">
        <w:rPr>
          <w:szCs w:val="24"/>
          <w:lang w:val="fr-FR" w:eastAsia="ja-JP"/>
        </w:rPr>
        <w:t> ;</w:t>
      </w:r>
    </w:p>
    <w:p w14:paraId="4A2E5DA1" w14:textId="4F05E065" w:rsidR="00CA5C13" w:rsidRPr="00CE5387" w:rsidRDefault="00CA5C13" w:rsidP="00D25F9C">
      <w:pPr>
        <w:pStyle w:val="ListParagraph"/>
        <w:numPr>
          <w:ilvl w:val="2"/>
          <w:numId w:val="30"/>
        </w:numPr>
        <w:spacing w:before="120" w:after="120"/>
        <w:ind w:left="994" w:hanging="274"/>
        <w:jc w:val="both"/>
        <w:rPr>
          <w:szCs w:val="24"/>
          <w:lang w:val="fr-FR" w:eastAsia="ja-JP"/>
        </w:rPr>
      </w:pPr>
      <w:r>
        <w:rPr>
          <w:szCs w:val="24"/>
          <w:lang w:val="fr-FR" w:eastAsia="ja-JP"/>
        </w:rPr>
        <w:t>M</w:t>
      </w:r>
      <w:r w:rsidRPr="00CE5387">
        <w:rPr>
          <w:szCs w:val="24"/>
          <w:lang w:val="fr-FR" w:eastAsia="ja-JP"/>
        </w:rPr>
        <w:t>odèle expérientiel dans la rédaction des modules de formation des adultes</w:t>
      </w:r>
      <w:r>
        <w:rPr>
          <w:szCs w:val="24"/>
          <w:lang w:val="fr-FR" w:eastAsia="ja-JP"/>
        </w:rPr>
        <w:t xml:space="preserve"> et des enfants</w:t>
      </w:r>
      <w:r w:rsidR="00AC1508">
        <w:rPr>
          <w:szCs w:val="24"/>
          <w:lang w:val="fr-FR" w:eastAsia="ja-JP"/>
        </w:rPr>
        <w:t> ;</w:t>
      </w:r>
    </w:p>
    <w:p w14:paraId="4ADD2A84" w14:textId="36BE24D7" w:rsidR="00CA5C13" w:rsidRDefault="00CA5C13" w:rsidP="00D25F9C">
      <w:pPr>
        <w:pStyle w:val="ListParagraph"/>
        <w:numPr>
          <w:ilvl w:val="0"/>
          <w:numId w:val="28"/>
        </w:numPr>
        <w:spacing w:before="120" w:after="120"/>
        <w:jc w:val="both"/>
        <w:rPr>
          <w:szCs w:val="24"/>
          <w:lang w:val="fr-FR" w:eastAsia="ja-JP"/>
        </w:rPr>
      </w:pPr>
      <w:r w:rsidRPr="00D25F9C">
        <w:rPr>
          <w:szCs w:val="24"/>
          <w:lang w:val="fr-FR" w:eastAsia="ja-JP"/>
        </w:rPr>
        <w:t>Expérience</w:t>
      </w:r>
      <w:r>
        <w:rPr>
          <w:szCs w:val="24"/>
          <w:lang w:val="fr-FR" w:eastAsia="ja-JP"/>
        </w:rPr>
        <w:t xml:space="preserve"> avérée dans</w:t>
      </w:r>
      <w:r w:rsidR="00CA0601">
        <w:rPr>
          <w:szCs w:val="24"/>
          <w:lang w:val="fr-FR" w:eastAsia="ja-JP"/>
        </w:rPr>
        <w:t> :</w:t>
      </w:r>
    </w:p>
    <w:p w14:paraId="3CA980D1" w14:textId="2C0C9F89" w:rsidR="00CA5C13" w:rsidRPr="00CE5387" w:rsidRDefault="00CA5C13" w:rsidP="00D25F9C">
      <w:pPr>
        <w:pStyle w:val="ListParagraph"/>
        <w:numPr>
          <w:ilvl w:val="2"/>
          <w:numId w:val="30"/>
        </w:numPr>
        <w:spacing w:before="120" w:after="120"/>
        <w:ind w:left="994" w:hanging="274"/>
        <w:jc w:val="both"/>
        <w:rPr>
          <w:szCs w:val="24"/>
          <w:lang w:val="fr-FR" w:eastAsia="ja-JP"/>
        </w:rPr>
      </w:pPr>
      <w:r>
        <w:rPr>
          <w:szCs w:val="24"/>
          <w:lang w:val="fr-FR" w:eastAsia="ja-JP"/>
        </w:rPr>
        <w:t>La conduite, le pilotage de programmes WASH dans les écoles</w:t>
      </w:r>
      <w:r w:rsidR="00AC1508">
        <w:rPr>
          <w:szCs w:val="24"/>
          <w:lang w:val="fr-FR" w:eastAsia="ja-JP"/>
        </w:rPr>
        <w:t> ;</w:t>
      </w:r>
    </w:p>
    <w:p w14:paraId="52384D71" w14:textId="2D0AF90B" w:rsidR="00AD6748" w:rsidRPr="000D7E80" w:rsidRDefault="009A6BC7" w:rsidP="00D25F9C">
      <w:pPr>
        <w:pStyle w:val="ListParagraph"/>
        <w:numPr>
          <w:ilvl w:val="2"/>
          <w:numId w:val="30"/>
        </w:numPr>
        <w:spacing w:before="120" w:after="120"/>
        <w:ind w:left="994" w:hanging="274"/>
        <w:jc w:val="both"/>
        <w:rPr>
          <w:szCs w:val="24"/>
          <w:lang w:val="fr-FR" w:eastAsia="ja-JP"/>
        </w:rPr>
      </w:pPr>
      <w:r>
        <w:rPr>
          <w:szCs w:val="24"/>
          <w:lang w:val="fr-FR" w:eastAsia="ja-JP"/>
        </w:rPr>
        <w:t>U</w:t>
      </w:r>
      <w:r w:rsidR="00AD6748" w:rsidRPr="000D7E80">
        <w:rPr>
          <w:szCs w:val="24"/>
          <w:lang w:val="fr-FR" w:eastAsia="ja-JP"/>
        </w:rPr>
        <w:t xml:space="preserve">n travail similaire dans un pays en développement de préférence en Afrique </w:t>
      </w:r>
      <w:r w:rsidR="00D97A3E" w:rsidRPr="000D7E80">
        <w:rPr>
          <w:szCs w:val="24"/>
          <w:lang w:val="fr-FR" w:eastAsia="ja-JP"/>
        </w:rPr>
        <w:t>Subsaharienne</w:t>
      </w:r>
      <w:r w:rsidR="00AC1508">
        <w:rPr>
          <w:szCs w:val="24"/>
          <w:lang w:val="fr-FR" w:eastAsia="ja-JP"/>
        </w:rPr>
        <w:t> ;</w:t>
      </w:r>
    </w:p>
    <w:p w14:paraId="7E5CDA29" w14:textId="1F5B4035" w:rsidR="00AD6748" w:rsidRPr="00D25F9C" w:rsidRDefault="00AD6748" w:rsidP="00D25F9C">
      <w:pPr>
        <w:pStyle w:val="ListParagraph"/>
        <w:numPr>
          <w:ilvl w:val="0"/>
          <w:numId w:val="28"/>
        </w:numPr>
        <w:spacing w:before="120" w:after="120"/>
        <w:jc w:val="both"/>
        <w:rPr>
          <w:szCs w:val="24"/>
          <w:lang w:val="fr-FR" w:eastAsia="ja-JP"/>
        </w:rPr>
      </w:pPr>
      <w:r w:rsidRPr="00D25F9C">
        <w:rPr>
          <w:szCs w:val="24"/>
          <w:lang w:val="fr-FR" w:eastAsia="ja-JP"/>
        </w:rPr>
        <w:t>Flexibilité et capacité à faire les adaptations nécessaires au plan de travail selon les conditions et exigences se présentant localement</w:t>
      </w:r>
      <w:r w:rsidR="00AC1508" w:rsidRPr="00D25F9C">
        <w:rPr>
          <w:szCs w:val="24"/>
          <w:lang w:val="fr-FR" w:eastAsia="ja-JP"/>
        </w:rPr>
        <w:t> ;</w:t>
      </w:r>
    </w:p>
    <w:p w14:paraId="4D8253D2" w14:textId="759E712B" w:rsidR="009A6BC7" w:rsidRPr="00D25F9C" w:rsidRDefault="006160FE" w:rsidP="00D25F9C">
      <w:pPr>
        <w:pStyle w:val="ListParagraph"/>
        <w:numPr>
          <w:ilvl w:val="0"/>
          <w:numId w:val="28"/>
        </w:numPr>
        <w:spacing w:before="120" w:after="120"/>
        <w:jc w:val="both"/>
        <w:rPr>
          <w:szCs w:val="24"/>
          <w:lang w:val="fr-FR" w:eastAsia="ja-JP"/>
        </w:rPr>
      </w:pPr>
      <w:r w:rsidRPr="00D25F9C">
        <w:rPr>
          <w:szCs w:val="24"/>
          <w:lang w:val="fr-FR" w:eastAsia="ja-JP"/>
        </w:rPr>
        <w:t xml:space="preserve">Maitrise </w:t>
      </w:r>
      <w:r w:rsidR="009A6BC7" w:rsidRPr="00D25F9C">
        <w:rPr>
          <w:szCs w:val="24"/>
          <w:lang w:val="fr-FR" w:eastAsia="ja-JP"/>
        </w:rPr>
        <w:t>du Français écrit et parlé (bonne connaissance de l’anglais est un atout)</w:t>
      </w:r>
      <w:r w:rsidR="00AC1508" w:rsidRPr="00D25F9C">
        <w:rPr>
          <w:szCs w:val="24"/>
          <w:lang w:val="fr-FR" w:eastAsia="ja-JP"/>
        </w:rPr>
        <w:t> ;</w:t>
      </w:r>
    </w:p>
    <w:p w14:paraId="6BE0C7C2" w14:textId="4DF66A13" w:rsidR="00A071CF" w:rsidRDefault="006160FE" w:rsidP="00D25F9C">
      <w:pPr>
        <w:pStyle w:val="ListParagraph"/>
        <w:numPr>
          <w:ilvl w:val="0"/>
          <w:numId w:val="28"/>
        </w:numPr>
        <w:spacing w:before="120" w:after="120"/>
        <w:jc w:val="both"/>
        <w:rPr>
          <w:szCs w:val="24"/>
          <w:lang w:val="fr-FR"/>
        </w:rPr>
      </w:pPr>
      <w:r w:rsidRPr="00D25F9C">
        <w:rPr>
          <w:szCs w:val="24"/>
          <w:lang w:val="fr-FR" w:eastAsia="ja-JP"/>
        </w:rPr>
        <w:t>M</w:t>
      </w:r>
      <w:r w:rsidR="009A6BC7" w:rsidRPr="00D25F9C">
        <w:rPr>
          <w:szCs w:val="24"/>
          <w:lang w:val="fr-FR" w:eastAsia="ja-JP"/>
        </w:rPr>
        <w:t>aitrise</w:t>
      </w:r>
      <w:r w:rsidR="009A6BC7" w:rsidRPr="00CE5387">
        <w:rPr>
          <w:szCs w:val="24"/>
          <w:lang w:val="fr-FR" w:eastAsia="ja-JP"/>
        </w:rPr>
        <w:t xml:space="preserve"> de la suite</w:t>
      </w:r>
      <w:r w:rsidR="009A6BC7" w:rsidRPr="00CE5387">
        <w:rPr>
          <w:szCs w:val="24"/>
          <w:lang w:val="fr-FR"/>
        </w:rPr>
        <w:t xml:space="preserve"> Microsoft Office (Word, Excel et Power Point)</w:t>
      </w:r>
      <w:r w:rsidR="00AC1508">
        <w:rPr>
          <w:szCs w:val="24"/>
          <w:lang w:val="fr-FR"/>
        </w:rPr>
        <w:t> ;</w:t>
      </w:r>
    </w:p>
    <w:p w14:paraId="319113F1" w14:textId="566BA252" w:rsidR="009A6BC7" w:rsidRDefault="009A6BC7" w:rsidP="00D25F9C">
      <w:pPr>
        <w:spacing w:after="0"/>
        <w:rPr>
          <w:lang w:val="fr-FR"/>
        </w:rPr>
      </w:pPr>
    </w:p>
    <w:p w14:paraId="6CF9A9BF" w14:textId="77777777" w:rsidR="00952B53" w:rsidRPr="00952B53" w:rsidRDefault="00952B53" w:rsidP="00952B53">
      <w:pPr>
        <w:pStyle w:val="ListParagraph"/>
        <w:numPr>
          <w:ilvl w:val="0"/>
          <w:numId w:val="2"/>
        </w:numPr>
        <w:spacing w:line="240" w:lineRule="auto"/>
        <w:ind w:left="360"/>
        <w:rPr>
          <w:rFonts w:cs="Arial"/>
          <w:b/>
          <w:sz w:val="28"/>
          <w:szCs w:val="28"/>
          <w:lang w:val="fr-FR"/>
        </w:rPr>
      </w:pPr>
      <w:r w:rsidRPr="00952B53">
        <w:rPr>
          <w:rFonts w:cs="Arial"/>
          <w:b/>
          <w:sz w:val="28"/>
          <w:szCs w:val="28"/>
          <w:lang w:val="fr-FR"/>
        </w:rPr>
        <w:t>Supervision</w:t>
      </w:r>
    </w:p>
    <w:p w14:paraId="18D2F8BB" w14:textId="503DB948" w:rsidR="0011646F" w:rsidRDefault="00952B53" w:rsidP="00952B53">
      <w:pPr>
        <w:rPr>
          <w:lang w:val="fr-FR"/>
        </w:rPr>
      </w:pPr>
      <w:r w:rsidRPr="004B0053">
        <w:rPr>
          <w:lang w:val="fr-FR"/>
        </w:rPr>
        <w:t xml:space="preserve">La </w:t>
      </w:r>
      <w:r w:rsidR="0011646F">
        <w:rPr>
          <w:lang w:val="fr-FR"/>
        </w:rPr>
        <w:t xml:space="preserve">relation contractuelle et donc la </w:t>
      </w:r>
      <w:r w:rsidRPr="004B0053">
        <w:rPr>
          <w:lang w:val="fr-FR"/>
        </w:rPr>
        <w:t xml:space="preserve">supervision </w:t>
      </w:r>
      <w:r w:rsidR="0011646F">
        <w:rPr>
          <w:lang w:val="fr-FR"/>
        </w:rPr>
        <w:t xml:space="preserve">administrative </w:t>
      </w:r>
      <w:r w:rsidRPr="004B0053">
        <w:rPr>
          <w:lang w:val="fr-FR"/>
        </w:rPr>
        <w:t xml:space="preserve">de la consultation sera </w:t>
      </w:r>
      <w:r w:rsidR="0011646F">
        <w:rPr>
          <w:lang w:val="fr-FR"/>
        </w:rPr>
        <w:t>assurée</w:t>
      </w:r>
      <w:r w:rsidR="00514F22">
        <w:rPr>
          <w:lang w:val="fr-FR"/>
        </w:rPr>
        <w:t xml:space="preserve"> par </w:t>
      </w:r>
      <w:r w:rsidR="0011646F">
        <w:rPr>
          <w:lang w:val="fr-FR"/>
        </w:rPr>
        <w:t>l</w:t>
      </w:r>
      <w:r w:rsidR="00514F22">
        <w:rPr>
          <w:lang w:val="fr-FR"/>
        </w:rPr>
        <w:t xml:space="preserve">‘UNICEF a travers du </w:t>
      </w:r>
      <w:r w:rsidRPr="004B0053">
        <w:rPr>
          <w:lang w:val="fr-FR"/>
        </w:rPr>
        <w:t xml:space="preserve">Programme Eau- Hygiène-Assainissement de la Section Survie </w:t>
      </w:r>
      <w:r w:rsidR="00CD45D8">
        <w:rPr>
          <w:lang w:val="fr-FR"/>
        </w:rPr>
        <w:t xml:space="preserve">et </w:t>
      </w:r>
      <w:r w:rsidRPr="004B0053">
        <w:rPr>
          <w:lang w:val="fr-FR"/>
        </w:rPr>
        <w:t>Développement de</w:t>
      </w:r>
      <w:r>
        <w:rPr>
          <w:lang w:val="fr-FR"/>
        </w:rPr>
        <w:t xml:space="preserve"> l’Enfant </w:t>
      </w:r>
      <w:r w:rsidR="00CD45D8">
        <w:rPr>
          <w:lang w:val="fr-FR"/>
        </w:rPr>
        <w:t xml:space="preserve">ainsi que la Section Education et </w:t>
      </w:r>
      <w:r w:rsidR="00E05078">
        <w:rPr>
          <w:lang w:val="fr-FR"/>
        </w:rPr>
        <w:t>Développement</w:t>
      </w:r>
      <w:r w:rsidR="00CD45D8">
        <w:rPr>
          <w:lang w:val="fr-FR"/>
        </w:rPr>
        <w:t xml:space="preserve"> des Adolescents </w:t>
      </w:r>
      <w:r>
        <w:rPr>
          <w:lang w:val="fr-FR"/>
        </w:rPr>
        <w:t>de l’UNICEF Djibouti.</w:t>
      </w:r>
      <w:r w:rsidR="00514F22">
        <w:rPr>
          <w:lang w:val="fr-FR"/>
        </w:rPr>
        <w:t xml:space="preserve"> </w:t>
      </w:r>
    </w:p>
    <w:p w14:paraId="1C42CDA9" w14:textId="6FB0101B" w:rsidR="00952B53" w:rsidRPr="004B0053" w:rsidRDefault="0011646F" w:rsidP="00952B53">
      <w:pPr>
        <w:rPr>
          <w:lang w:val="fr-FR"/>
        </w:rPr>
      </w:pPr>
      <w:r>
        <w:rPr>
          <w:lang w:val="fr-FR"/>
        </w:rPr>
        <w:t>La supervision technique sera assurée c</w:t>
      </w:r>
      <w:r w:rsidRPr="004B0053">
        <w:rPr>
          <w:lang w:val="fr-FR"/>
        </w:rPr>
        <w:t xml:space="preserve">onjointement </w:t>
      </w:r>
      <w:r>
        <w:rPr>
          <w:lang w:val="fr-FR"/>
        </w:rPr>
        <w:t>entre l‘UNICEF et</w:t>
      </w:r>
      <w:r w:rsidRPr="004B0053">
        <w:rPr>
          <w:lang w:val="fr-FR"/>
        </w:rPr>
        <w:t xml:space="preserve"> la Direction de l’Hydraulique Rurale (DHR) du Ministère de l’Agriculture, de la Pêche de l’Elevage de l’Eau, chargé des Ressources Halieutiques (MAPEE-RH)</w:t>
      </w:r>
      <w:r w:rsidR="001E7C09">
        <w:rPr>
          <w:lang w:val="fr-FR"/>
        </w:rPr>
        <w:t>.</w:t>
      </w:r>
    </w:p>
    <w:p w14:paraId="7725EC29" w14:textId="7C9B9635" w:rsidR="00116AD0" w:rsidRPr="00116AD0" w:rsidRDefault="00116AD0" w:rsidP="00116AD0">
      <w:pPr>
        <w:pStyle w:val="ListParagraph"/>
        <w:numPr>
          <w:ilvl w:val="0"/>
          <w:numId w:val="2"/>
        </w:numPr>
        <w:spacing w:line="240" w:lineRule="auto"/>
        <w:ind w:left="360"/>
        <w:rPr>
          <w:rFonts w:cs="Arial"/>
          <w:b/>
          <w:sz w:val="28"/>
          <w:szCs w:val="28"/>
          <w:lang w:val="fr-FR"/>
        </w:rPr>
      </w:pPr>
      <w:r w:rsidRPr="00116AD0">
        <w:rPr>
          <w:rFonts w:cs="Arial"/>
          <w:b/>
          <w:sz w:val="28"/>
          <w:szCs w:val="28"/>
          <w:lang w:val="fr-FR"/>
        </w:rPr>
        <w:t>Recours de l'UNICEF en cas de performance insatisfaisante</w:t>
      </w:r>
    </w:p>
    <w:p w14:paraId="6948C508" w14:textId="533F32F3" w:rsidR="00116AD0" w:rsidRPr="00116AD0" w:rsidRDefault="00116AD0" w:rsidP="00116AD0">
      <w:pPr>
        <w:rPr>
          <w:lang w:val="fr-FR"/>
        </w:rPr>
      </w:pPr>
      <w:r w:rsidRPr="00116AD0">
        <w:rPr>
          <w:lang w:val="fr-FR"/>
        </w:rPr>
        <w:t>L'UNICEF aura droit à des dommages-intérêts de la part d</w:t>
      </w:r>
      <w:r>
        <w:rPr>
          <w:lang w:val="fr-FR"/>
        </w:rPr>
        <w:t xml:space="preserve">u consultant </w:t>
      </w:r>
      <w:r w:rsidRPr="00116AD0">
        <w:rPr>
          <w:lang w:val="fr-FR"/>
        </w:rPr>
        <w:t>pour tout défaut d</w:t>
      </w:r>
      <w:r w:rsidR="00A75BF2">
        <w:rPr>
          <w:lang w:val="fr-FR"/>
        </w:rPr>
        <w:t xml:space="preserve">e </w:t>
      </w:r>
      <w:r w:rsidRPr="00116AD0">
        <w:rPr>
          <w:lang w:val="fr-FR"/>
        </w:rPr>
        <w:t>livraison</w:t>
      </w:r>
      <w:r w:rsidR="00A75BF2">
        <w:rPr>
          <w:lang w:val="fr-FR"/>
        </w:rPr>
        <w:t xml:space="preserve"> et ou de </w:t>
      </w:r>
      <w:r w:rsidRPr="00116AD0">
        <w:rPr>
          <w:lang w:val="fr-FR"/>
        </w:rPr>
        <w:t>qualité dans les conditions et selon les montants spécifiés par contrat.</w:t>
      </w:r>
    </w:p>
    <w:p w14:paraId="3FBA8F85" w14:textId="1015DD25" w:rsidR="00952B53" w:rsidRDefault="00116AD0" w:rsidP="00AA031C">
      <w:pPr>
        <w:rPr>
          <w:lang w:val="fr-FR"/>
        </w:rPr>
      </w:pPr>
      <w:r w:rsidRPr="00116AD0">
        <w:rPr>
          <w:lang w:val="fr-FR"/>
        </w:rPr>
        <w:t xml:space="preserve">Ces dommages-intérêts seront dus du seul fait d'un tel manquement à l'exécution sans qu'il soit nécessaire de préavis, sauf disposition contraire du contrat, ou de toute procédure judiciaire, ou preuve de dommage, qui sera dans tous </w:t>
      </w:r>
      <w:r w:rsidR="00CD45D8" w:rsidRPr="00116AD0">
        <w:rPr>
          <w:lang w:val="fr-FR"/>
        </w:rPr>
        <w:t>les cas considérés</w:t>
      </w:r>
      <w:r w:rsidRPr="00116AD0">
        <w:rPr>
          <w:lang w:val="fr-FR"/>
        </w:rPr>
        <w:t xml:space="preserve"> comme établie. L'UNICEF peut, sans préjudice de toute autre méthode de recouvrement, déduire tout montant de dommages-intérêts des factures ou de toutes sommes dues ou qui pourraient devenir dues </w:t>
      </w:r>
      <w:r w:rsidR="00E86675">
        <w:rPr>
          <w:lang w:val="fr-FR"/>
        </w:rPr>
        <w:t>au consultant</w:t>
      </w:r>
      <w:r w:rsidRPr="00116AD0">
        <w:rPr>
          <w:lang w:val="fr-FR"/>
        </w:rPr>
        <w:t xml:space="preserve">. Le paiement ou la déduction de tels dommages ne libère </w:t>
      </w:r>
      <w:r w:rsidR="002D27D4">
        <w:rPr>
          <w:lang w:val="fr-FR"/>
        </w:rPr>
        <w:t>au consultant</w:t>
      </w:r>
      <w:r w:rsidRPr="00116AD0">
        <w:rPr>
          <w:lang w:val="fr-FR"/>
        </w:rPr>
        <w:t xml:space="preserve"> d'aucune de ses autres obligations ou responsabilités en vertu du contrat. </w:t>
      </w:r>
    </w:p>
    <w:p w14:paraId="295C597C" w14:textId="77777777" w:rsidR="00A071CF" w:rsidRPr="00AA031C" w:rsidRDefault="00A071CF" w:rsidP="00AA031C">
      <w:pPr>
        <w:pStyle w:val="ListParagraph"/>
        <w:numPr>
          <w:ilvl w:val="0"/>
          <w:numId w:val="2"/>
        </w:numPr>
        <w:spacing w:line="240" w:lineRule="auto"/>
        <w:ind w:left="360"/>
        <w:rPr>
          <w:rFonts w:cs="Arial"/>
          <w:b/>
          <w:sz w:val="28"/>
          <w:szCs w:val="28"/>
          <w:lang w:val="fr-FR"/>
        </w:rPr>
      </w:pPr>
      <w:bookmarkStart w:id="0" w:name="_Toc499388328"/>
      <w:bookmarkStart w:id="1" w:name="_Toc10723673"/>
      <w:r w:rsidRPr="00AA031C">
        <w:rPr>
          <w:rFonts w:cs="Arial"/>
          <w:b/>
          <w:sz w:val="28"/>
          <w:szCs w:val="28"/>
          <w:lang w:val="fr-FR"/>
        </w:rPr>
        <w:t>Durée, calendrier et paiement</w:t>
      </w:r>
      <w:bookmarkEnd w:id="0"/>
      <w:bookmarkEnd w:id="1"/>
    </w:p>
    <w:p w14:paraId="56E1B533" w14:textId="6818EF75" w:rsidR="00A071CF" w:rsidRDefault="00A071CF" w:rsidP="00A071CF">
      <w:pPr>
        <w:rPr>
          <w:lang w:val="fr-FR"/>
        </w:rPr>
      </w:pPr>
      <w:r w:rsidRPr="003B4836">
        <w:rPr>
          <w:lang w:val="fr-FR"/>
        </w:rPr>
        <w:lastRenderedPageBreak/>
        <w:t xml:space="preserve">La durée effective de la consultation est de </w:t>
      </w:r>
      <w:r w:rsidR="00ED1409">
        <w:rPr>
          <w:lang w:val="fr-FR"/>
        </w:rPr>
        <w:t>60</w:t>
      </w:r>
      <w:r w:rsidRPr="003B4836">
        <w:rPr>
          <w:lang w:val="fr-FR"/>
        </w:rPr>
        <w:t xml:space="preserve"> jours calendaire </w:t>
      </w:r>
      <w:r w:rsidRPr="00E525D7">
        <w:rPr>
          <w:lang w:val="fr-FR"/>
        </w:rPr>
        <w:t xml:space="preserve">à partir du </w:t>
      </w:r>
      <w:r w:rsidR="004938C1">
        <w:rPr>
          <w:lang w:val="fr-FR"/>
        </w:rPr>
        <w:t>1</w:t>
      </w:r>
      <w:r w:rsidR="004938C1" w:rsidRPr="004938C1">
        <w:rPr>
          <w:vertAlign w:val="superscript"/>
          <w:lang w:val="fr-FR"/>
        </w:rPr>
        <w:t>er</w:t>
      </w:r>
      <w:r w:rsidR="004938C1">
        <w:rPr>
          <w:lang w:val="fr-FR"/>
        </w:rPr>
        <w:t xml:space="preserve"> mars 2021</w:t>
      </w:r>
      <w:r>
        <w:rPr>
          <w:lang w:val="fr-FR"/>
        </w:rPr>
        <w:t>.</w:t>
      </w:r>
      <w:r w:rsidRPr="00257FE8">
        <w:rPr>
          <w:lang w:val="fr-FR"/>
        </w:rPr>
        <w:t xml:space="preserve"> </w:t>
      </w:r>
      <w:r w:rsidRPr="003B4836">
        <w:rPr>
          <w:lang w:val="fr-FR"/>
        </w:rPr>
        <w:t xml:space="preserve">Elle devra </w:t>
      </w:r>
      <w:r>
        <w:rPr>
          <w:lang w:val="fr-FR"/>
        </w:rPr>
        <w:t xml:space="preserve">être finalisée au plus tard </w:t>
      </w:r>
      <w:r w:rsidR="004938C1">
        <w:rPr>
          <w:lang w:val="fr-FR"/>
        </w:rPr>
        <w:t>31 mai 2021</w:t>
      </w:r>
      <w:r w:rsidRPr="003B4836">
        <w:rPr>
          <w:lang w:val="fr-FR"/>
        </w:rPr>
        <w:t>. Le tableau ci-dessous présente les principales activités et les principaux résultats attendus à chacune des étapes.</w:t>
      </w:r>
    </w:p>
    <w:p w14:paraId="3BD1F4EE" w14:textId="00AE2C46" w:rsidR="004D1501" w:rsidRDefault="004D1501" w:rsidP="00A071CF">
      <w:pPr>
        <w:rPr>
          <w:lang w:val="fr-FR"/>
        </w:rPr>
      </w:pPr>
    </w:p>
    <w:tbl>
      <w:tblPr>
        <w:tblStyle w:val="TableGrid"/>
        <w:tblW w:w="10260" w:type="dxa"/>
        <w:tblInd w:w="-545" w:type="dxa"/>
        <w:tblLook w:val="04A0" w:firstRow="1" w:lastRow="0" w:firstColumn="1" w:lastColumn="0" w:noHBand="0" w:noVBand="1"/>
      </w:tblPr>
      <w:tblGrid>
        <w:gridCol w:w="1787"/>
        <w:gridCol w:w="7123"/>
        <w:gridCol w:w="1350"/>
      </w:tblGrid>
      <w:tr w:rsidR="005A5F3A" w:rsidRPr="005F7087" w14:paraId="47EC43AF" w14:textId="20BC0C55" w:rsidTr="0068169D">
        <w:trPr>
          <w:trHeight w:val="440"/>
        </w:trPr>
        <w:tc>
          <w:tcPr>
            <w:tcW w:w="1787" w:type="dxa"/>
            <w:shd w:val="clear" w:color="auto" w:fill="D9D9D9" w:themeFill="background1" w:themeFillShade="D9"/>
            <w:vAlign w:val="center"/>
          </w:tcPr>
          <w:p w14:paraId="51CA67BE" w14:textId="77777777" w:rsidR="005A5F3A" w:rsidRPr="005F7087" w:rsidRDefault="005A5F3A" w:rsidP="001D2507">
            <w:pPr>
              <w:jc w:val="center"/>
              <w:rPr>
                <w:b/>
                <w:bCs/>
                <w:szCs w:val="20"/>
                <w:lang w:val="fr-FR" w:eastAsia="ja-JP"/>
              </w:rPr>
            </w:pPr>
          </w:p>
        </w:tc>
        <w:tc>
          <w:tcPr>
            <w:tcW w:w="7123" w:type="dxa"/>
            <w:shd w:val="clear" w:color="auto" w:fill="D9D9D9" w:themeFill="background1" w:themeFillShade="D9"/>
            <w:vAlign w:val="center"/>
          </w:tcPr>
          <w:p w14:paraId="1CDC3BBB" w14:textId="1A918056" w:rsidR="005A5F3A" w:rsidRPr="005F7087" w:rsidRDefault="005A5F3A" w:rsidP="001D2507">
            <w:pPr>
              <w:jc w:val="center"/>
              <w:rPr>
                <w:b/>
                <w:bCs/>
                <w:szCs w:val="20"/>
                <w:lang w:val="fr-FR" w:eastAsia="ja-JP"/>
              </w:rPr>
            </w:pPr>
            <w:r w:rsidRPr="005F7087">
              <w:rPr>
                <w:b/>
                <w:bCs/>
                <w:szCs w:val="20"/>
                <w:lang w:val="fr-FR" w:eastAsia="ja-JP"/>
              </w:rPr>
              <w:t>Outils</w:t>
            </w:r>
          </w:p>
        </w:tc>
        <w:tc>
          <w:tcPr>
            <w:tcW w:w="1350" w:type="dxa"/>
            <w:shd w:val="clear" w:color="auto" w:fill="D9D9D9" w:themeFill="background1" w:themeFillShade="D9"/>
            <w:vAlign w:val="center"/>
          </w:tcPr>
          <w:p w14:paraId="6931DC9D" w14:textId="76E29289" w:rsidR="005A5F3A" w:rsidRPr="005F7087" w:rsidRDefault="005A5F3A" w:rsidP="005501D9">
            <w:pPr>
              <w:jc w:val="center"/>
              <w:rPr>
                <w:b/>
                <w:bCs/>
                <w:szCs w:val="20"/>
                <w:lang w:val="fr-FR" w:eastAsia="ja-JP"/>
              </w:rPr>
            </w:pPr>
            <w:r>
              <w:rPr>
                <w:b/>
                <w:bCs/>
                <w:szCs w:val="20"/>
                <w:lang w:val="fr-FR" w:eastAsia="ja-JP"/>
              </w:rPr>
              <w:t>Paiement</w:t>
            </w:r>
          </w:p>
        </w:tc>
      </w:tr>
      <w:tr w:rsidR="005501D9" w:rsidRPr="00C57A30" w14:paraId="278B5C85" w14:textId="4A7E4D61" w:rsidTr="005501D9">
        <w:trPr>
          <w:trHeight w:val="512"/>
        </w:trPr>
        <w:tc>
          <w:tcPr>
            <w:tcW w:w="10260" w:type="dxa"/>
            <w:gridSpan w:val="3"/>
            <w:shd w:val="clear" w:color="auto" w:fill="F2F2F2" w:themeFill="background1" w:themeFillShade="F2"/>
            <w:vAlign w:val="center"/>
          </w:tcPr>
          <w:p w14:paraId="6A6B5110" w14:textId="14FF4710" w:rsidR="005501D9" w:rsidRPr="005A3AEF" w:rsidRDefault="005501D9" w:rsidP="001D2507">
            <w:pPr>
              <w:rPr>
                <w:b/>
                <w:bCs/>
                <w:szCs w:val="20"/>
                <w:lang w:val="fr-FR" w:eastAsia="ja-JP"/>
              </w:rPr>
            </w:pPr>
            <w:r w:rsidRPr="005A3AEF">
              <w:rPr>
                <w:b/>
                <w:bCs/>
                <w:szCs w:val="20"/>
                <w:lang w:val="fr-FR" w:eastAsia="ja-JP"/>
              </w:rPr>
              <w:t xml:space="preserve">Phase 1 - </w:t>
            </w:r>
            <w:r w:rsidRPr="005A3AEF">
              <w:rPr>
                <w:b/>
                <w:bCs/>
                <w:lang w:val="fr-FR"/>
              </w:rPr>
              <w:t>Analyse des goulots d’étranglement de la mise en œuvre des services EAHMS dans les écoles</w:t>
            </w:r>
          </w:p>
        </w:tc>
      </w:tr>
      <w:tr w:rsidR="008455FA" w14:paraId="6091C51A" w14:textId="39DF9A2F" w:rsidTr="00A733A9">
        <w:trPr>
          <w:trHeight w:val="1178"/>
        </w:trPr>
        <w:tc>
          <w:tcPr>
            <w:tcW w:w="1787" w:type="dxa"/>
          </w:tcPr>
          <w:p w14:paraId="28691776" w14:textId="77777777" w:rsidR="008455FA" w:rsidRDefault="008455FA" w:rsidP="004D7285">
            <w:pPr>
              <w:rPr>
                <w:szCs w:val="20"/>
                <w:lang w:val="fr-FR" w:eastAsia="ja-JP"/>
              </w:rPr>
            </w:pPr>
            <w:r>
              <w:rPr>
                <w:szCs w:val="20"/>
                <w:lang w:val="fr-FR" w:eastAsia="ja-JP"/>
              </w:rPr>
              <w:t>Etape 1 - Préparation et revue documentaire</w:t>
            </w:r>
          </w:p>
        </w:tc>
        <w:tc>
          <w:tcPr>
            <w:tcW w:w="7123" w:type="dxa"/>
          </w:tcPr>
          <w:p w14:paraId="3EC682B9" w14:textId="7ED56123" w:rsidR="008455FA" w:rsidRPr="000A156F" w:rsidRDefault="008455FA" w:rsidP="008455FA">
            <w:pPr>
              <w:pStyle w:val="ListParagraph"/>
              <w:numPr>
                <w:ilvl w:val="0"/>
                <w:numId w:val="29"/>
              </w:numPr>
              <w:spacing w:before="120" w:after="120"/>
              <w:ind w:left="173" w:hanging="173"/>
              <w:rPr>
                <w:lang w:val="fr-FR" w:eastAsia="ja-JP"/>
              </w:rPr>
            </w:pPr>
            <w:r w:rsidRPr="008455FA">
              <w:rPr>
                <w:rFonts w:cs="Arial"/>
                <w:szCs w:val="20"/>
                <w:lang w:val="fr-FR"/>
              </w:rPr>
              <w:t>Rapport</w:t>
            </w:r>
            <w:r>
              <w:rPr>
                <w:szCs w:val="20"/>
                <w:lang w:val="fr-FR" w:eastAsia="ja-JP"/>
              </w:rPr>
              <w:t xml:space="preserve"> de la revue d’information relative à la consultation</w:t>
            </w:r>
          </w:p>
        </w:tc>
        <w:tc>
          <w:tcPr>
            <w:tcW w:w="1350" w:type="dxa"/>
            <w:vAlign w:val="center"/>
          </w:tcPr>
          <w:p w14:paraId="522ADBDC" w14:textId="2D7B9D9F" w:rsidR="008455FA" w:rsidRPr="000A156F" w:rsidRDefault="008455FA" w:rsidP="000A156F">
            <w:pPr>
              <w:pStyle w:val="ListParagraph"/>
              <w:ind w:left="-59"/>
              <w:jc w:val="center"/>
              <w:rPr>
                <w:lang w:val="fr-FR" w:eastAsia="ja-JP"/>
              </w:rPr>
            </w:pPr>
            <w:r w:rsidRPr="000A156F">
              <w:rPr>
                <w:lang w:val="fr-FR"/>
              </w:rPr>
              <w:t>20%</w:t>
            </w:r>
          </w:p>
        </w:tc>
      </w:tr>
      <w:tr w:rsidR="008455FA" w14:paraId="4AC02C85" w14:textId="5D74EB8D" w:rsidTr="00A733A9">
        <w:trPr>
          <w:trHeight w:val="1700"/>
        </w:trPr>
        <w:tc>
          <w:tcPr>
            <w:tcW w:w="1787" w:type="dxa"/>
          </w:tcPr>
          <w:p w14:paraId="534364BD" w14:textId="77777777" w:rsidR="008455FA" w:rsidRDefault="008455FA" w:rsidP="004752D9">
            <w:pPr>
              <w:rPr>
                <w:szCs w:val="20"/>
                <w:lang w:val="fr-FR" w:eastAsia="ja-JP"/>
              </w:rPr>
            </w:pPr>
            <w:r>
              <w:rPr>
                <w:szCs w:val="20"/>
                <w:lang w:val="fr-FR" w:eastAsia="ja-JP"/>
              </w:rPr>
              <w:t xml:space="preserve">Etape 2 - </w:t>
            </w:r>
            <w:r w:rsidRPr="00BF414B">
              <w:rPr>
                <w:szCs w:val="20"/>
                <w:lang w:val="fr-FR" w:eastAsia="ja-JP"/>
              </w:rPr>
              <w:t>Collecte d’informations sur le terrain et analyse</w:t>
            </w:r>
            <w:r w:rsidRPr="00FB35C5">
              <w:rPr>
                <w:szCs w:val="20"/>
                <w:lang w:val="fr-FR" w:eastAsia="ja-JP"/>
              </w:rPr>
              <w:t xml:space="preserve"> du contexte institutionnel</w:t>
            </w:r>
          </w:p>
        </w:tc>
        <w:tc>
          <w:tcPr>
            <w:tcW w:w="7123" w:type="dxa"/>
          </w:tcPr>
          <w:p w14:paraId="35E11659" w14:textId="77777777" w:rsidR="008455FA" w:rsidRDefault="008455FA" w:rsidP="004752D9">
            <w:pPr>
              <w:pStyle w:val="ListParagraph"/>
              <w:numPr>
                <w:ilvl w:val="0"/>
                <w:numId w:val="29"/>
              </w:numPr>
              <w:spacing w:before="120" w:after="120"/>
              <w:ind w:left="173" w:hanging="173"/>
              <w:rPr>
                <w:szCs w:val="20"/>
                <w:lang w:val="fr-FR" w:eastAsia="ja-JP"/>
              </w:rPr>
            </w:pPr>
            <w:r>
              <w:rPr>
                <w:szCs w:val="20"/>
                <w:lang w:val="fr-FR" w:eastAsia="ja-JP"/>
              </w:rPr>
              <w:t>Rapport des enquêtes dans les écoles</w:t>
            </w:r>
          </w:p>
          <w:p w14:paraId="2D2DA282" w14:textId="310F243A" w:rsidR="008455FA" w:rsidRPr="000A156F" w:rsidRDefault="008455FA" w:rsidP="008455FA">
            <w:pPr>
              <w:pStyle w:val="ListParagraph"/>
              <w:numPr>
                <w:ilvl w:val="0"/>
                <w:numId w:val="29"/>
              </w:numPr>
              <w:spacing w:before="120" w:after="120"/>
              <w:ind w:left="173" w:hanging="173"/>
              <w:rPr>
                <w:lang w:val="fr-FR" w:eastAsia="ja-JP"/>
              </w:rPr>
            </w:pPr>
            <w:r w:rsidRPr="008455FA">
              <w:rPr>
                <w:rFonts w:cs="Arial"/>
                <w:szCs w:val="20"/>
                <w:lang w:val="fr-FR"/>
              </w:rPr>
              <w:t>Rapport</w:t>
            </w:r>
            <w:r>
              <w:rPr>
                <w:szCs w:val="20"/>
                <w:lang w:val="fr-FR" w:eastAsia="ja-JP"/>
              </w:rPr>
              <w:t xml:space="preserve"> de l’analyse du contexte institutionnel </w:t>
            </w:r>
            <w:r w:rsidRPr="00FB35C5">
              <w:rPr>
                <w:szCs w:val="20"/>
                <w:lang w:val="fr-FR" w:eastAsia="ja-JP"/>
              </w:rPr>
              <w:t>des programmes EAHMS</w:t>
            </w:r>
          </w:p>
        </w:tc>
        <w:tc>
          <w:tcPr>
            <w:tcW w:w="1350" w:type="dxa"/>
            <w:vMerge w:val="restart"/>
            <w:vAlign w:val="center"/>
          </w:tcPr>
          <w:p w14:paraId="697D7017" w14:textId="506B7C7D" w:rsidR="008455FA" w:rsidRPr="000A156F" w:rsidRDefault="008455FA" w:rsidP="000A156F">
            <w:pPr>
              <w:pStyle w:val="ListParagraph"/>
              <w:spacing w:before="120" w:after="120"/>
              <w:ind w:left="-59"/>
              <w:jc w:val="center"/>
              <w:rPr>
                <w:lang w:val="fr-FR" w:eastAsia="ja-JP"/>
              </w:rPr>
            </w:pPr>
            <w:r w:rsidRPr="000A156F">
              <w:rPr>
                <w:lang w:val="fr-FR"/>
              </w:rPr>
              <w:t>35%</w:t>
            </w:r>
          </w:p>
        </w:tc>
      </w:tr>
      <w:tr w:rsidR="008455FA" w14:paraId="483130FD" w14:textId="18D09987" w:rsidTr="00A733A9">
        <w:trPr>
          <w:trHeight w:val="890"/>
        </w:trPr>
        <w:tc>
          <w:tcPr>
            <w:tcW w:w="1787" w:type="dxa"/>
          </w:tcPr>
          <w:p w14:paraId="1793C80A" w14:textId="1563ED67" w:rsidR="008455FA" w:rsidRDefault="008455FA" w:rsidP="00A733A9">
            <w:pPr>
              <w:rPr>
                <w:szCs w:val="20"/>
                <w:lang w:val="fr-FR" w:eastAsia="ja-JP"/>
              </w:rPr>
            </w:pPr>
            <w:r>
              <w:rPr>
                <w:szCs w:val="20"/>
                <w:lang w:val="fr-FR" w:eastAsia="ja-JP"/>
              </w:rPr>
              <w:t xml:space="preserve">Etape 3 - Analyse des goulots d’étranglement </w:t>
            </w:r>
          </w:p>
        </w:tc>
        <w:tc>
          <w:tcPr>
            <w:tcW w:w="7123" w:type="dxa"/>
          </w:tcPr>
          <w:p w14:paraId="78DF4646" w14:textId="77777777" w:rsidR="008455FA" w:rsidRDefault="008455FA" w:rsidP="00FE2138">
            <w:pPr>
              <w:pStyle w:val="ListParagraph"/>
              <w:numPr>
                <w:ilvl w:val="0"/>
                <w:numId w:val="29"/>
              </w:numPr>
              <w:spacing w:before="120" w:after="120"/>
              <w:ind w:left="173" w:hanging="173"/>
              <w:rPr>
                <w:rFonts w:cs="Arial"/>
                <w:szCs w:val="20"/>
                <w:lang w:val="fr-FR"/>
              </w:rPr>
            </w:pPr>
            <w:r>
              <w:rPr>
                <w:rFonts w:cs="Arial"/>
                <w:szCs w:val="20"/>
                <w:lang w:val="fr-FR"/>
              </w:rPr>
              <w:t xml:space="preserve">Rapport de l’analyse des </w:t>
            </w:r>
            <w:r w:rsidRPr="007528DC">
              <w:rPr>
                <w:szCs w:val="20"/>
                <w:lang w:val="fr-FR" w:eastAsia="ja-JP"/>
              </w:rPr>
              <w:t>goulots</w:t>
            </w:r>
            <w:r>
              <w:rPr>
                <w:rFonts w:cs="Arial"/>
                <w:szCs w:val="20"/>
                <w:lang w:val="fr-FR"/>
              </w:rPr>
              <w:t xml:space="preserve"> étranglements </w:t>
            </w:r>
          </w:p>
          <w:p w14:paraId="13A5516B" w14:textId="7615E175" w:rsidR="008455FA" w:rsidRPr="000A156F" w:rsidRDefault="008455FA" w:rsidP="008455FA">
            <w:pPr>
              <w:pStyle w:val="ListParagraph"/>
              <w:numPr>
                <w:ilvl w:val="0"/>
                <w:numId w:val="29"/>
              </w:numPr>
              <w:spacing w:before="120" w:after="120"/>
              <w:ind w:left="173" w:hanging="173"/>
              <w:rPr>
                <w:lang w:val="fr-FR" w:eastAsia="ja-JP"/>
              </w:rPr>
            </w:pPr>
            <w:r w:rsidRPr="008455FA">
              <w:rPr>
                <w:rFonts w:cs="Arial"/>
                <w:szCs w:val="20"/>
                <w:lang w:val="fr-FR"/>
              </w:rPr>
              <w:t>Rapport</w:t>
            </w:r>
            <w:r>
              <w:rPr>
                <w:szCs w:val="20"/>
                <w:lang w:val="fr-FR" w:eastAsia="ja-JP"/>
              </w:rPr>
              <w:t xml:space="preserve"> de l’atelier</w:t>
            </w:r>
          </w:p>
        </w:tc>
        <w:tc>
          <w:tcPr>
            <w:tcW w:w="1350" w:type="dxa"/>
            <w:vMerge/>
            <w:vAlign w:val="center"/>
          </w:tcPr>
          <w:p w14:paraId="159E9C3F" w14:textId="30A56719" w:rsidR="008455FA" w:rsidRPr="000A156F" w:rsidRDefault="008455FA" w:rsidP="000A156F">
            <w:pPr>
              <w:ind w:left="-59"/>
              <w:jc w:val="center"/>
              <w:rPr>
                <w:rFonts w:cs="Arial"/>
                <w:lang w:val="fr-FR"/>
              </w:rPr>
            </w:pPr>
          </w:p>
        </w:tc>
      </w:tr>
      <w:tr w:rsidR="005501D9" w:rsidRPr="00C57A30" w14:paraId="5669E999" w14:textId="7C04181C" w:rsidTr="00A733A9">
        <w:tc>
          <w:tcPr>
            <w:tcW w:w="8910" w:type="dxa"/>
            <w:gridSpan w:val="2"/>
            <w:shd w:val="clear" w:color="auto" w:fill="F2F2F2" w:themeFill="background1" w:themeFillShade="F2"/>
          </w:tcPr>
          <w:p w14:paraId="22313FD1" w14:textId="77777777" w:rsidR="005501D9" w:rsidRPr="00FC2CC4" w:rsidRDefault="005501D9" w:rsidP="001D2507">
            <w:pPr>
              <w:spacing w:before="120" w:after="120"/>
              <w:rPr>
                <w:b/>
                <w:bCs/>
                <w:szCs w:val="20"/>
                <w:lang w:val="fr-FR" w:eastAsia="ja-JP"/>
              </w:rPr>
            </w:pPr>
            <w:r w:rsidRPr="00FC2CC4">
              <w:rPr>
                <w:b/>
                <w:bCs/>
                <w:szCs w:val="20"/>
                <w:lang w:val="fr-FR" w:eastAsia="ja-JP"/>
              </w:rPr>
              <w:t>Phase 2 : Développement de la stratégie nationale d’amélioration de l’accès aux services eau, assainissement et hygiène dans les écoles</w:t>
            </w:r>
          </w:p>
        </w:tc>
        <w:tc>
          <w:tcPr>
            <w:tcW w:w="1350" w:type="dxa"/>
            <w:shd w:val="clear" w:color="auto" w:fill="F2F2F2" w:themeFill="background1" w:themeFillShade="F2"/>
          </w:tcPr>
          <w:p w14:paraId="441DDC83" w14:textId="77777777" w:rsidR="005501D9" w:rsidRPr="00FC2CC4" w:rsidRDefault="005501D9" w:rsidP="001D2507">
            <w:pPr>
              <w:spacing w:before="120" w:after="120"/>
              <w:rPr>
                <w:b/>
                <w:bCs/>
                <w:szCs w:val="20"/>
                <w:lang w:val="fr-FR" w:eastAsia="ja-JP"/>
              </w:rPr>
            </w:pPr>
          </w:p>
        </w:tc>
      </w:tr>
      <w:tr w:rsidR="008455FA" w14:paraId="2D6F0C7C" w14:textId="3164ADBF" w:rsidTr="00A733A9">
        <w:trPr>
          <w:trHeight w:val="1367"/>
        </w:trPr>
        <w:tc>
          <w:tcPr>
            <w:tcW w:w="1787" w:type="dxa"/>
          </w:tcPr>
          <w:p w14:paraId="38338705" w14:textId="77777777" w:rsidR="008455FA" w:rsidRDefault="008455FA" w:rsidP="001D2507">
            <w:pPr>
              <w:rPr>
                <w:szCs w:val="20"/>
                <w:lang w:val="fr-FR" w:eastAsia="ja-JP"/>
              </w:rPr>
            </w:pPr>
            <w:r>
              <w:rPr>
                <w:szCs w:val="20"/>
                <w:lang w:val="fr-FR" w:eastAsia="ja-JP"/>
              </w:rPr>
              <w:t>Etape 1 - Elaboration de la stratégie</w:t>
            </w:r>
          </w:p>
          <w:p w14:paraId="2BCFAEFF" w14:textId="77777777" w:rsidR="008455FA" w:rsidRDefault="008455FA" w:rsidP="001D2507">
            <w:pPr>
              <w:jc w:val="both"/>
              <w:rPr>
                <w:szCs w:val="20"/>
                <w:lang w:val="fr-FR" w:eastAsia="ja-JP"/>
              </w:rPr>
            </w:pPr>
          </w:p>
        </w:tc>
        <w:tc>
          <w:tcPr>
            <w:tcW w:w="7123" w:type="dxa"/>
          </w:tcPr>
          <w:p w14:paraId="4EABC632" w14:textId="77777777" w:rsidR="008455FA" w:rsidRPr="009932F2" w:rsidRDefault="008455FA" w:rsidP="00FE2138">
            <w:pPr>
              <w:pStyle w:val="ListParagraph"/>
              <w:numPr>
                <w:ilvl w:val="0"/>
                <w:numId w:val="29"/>
              </w:numPr>
              <w:spacing w:before="120" w:after="120"/>
              <w:ind w:left="173" w:hanging="173"/>
              <w:rPr>
                <w:rFonts w:cs="Arial"/>
                <w:szCs w:val="20"/>
                <w:lang w:val="fr-FR"/>
              </w:rPr>
            </w:pPr>
            <w:r>
              <w:rPr>
                <w:rFonts w:cs="Arial"/>
                <w:szCs w:val="20"/>
                <w:lang w:val="fr-FR"/>
              </w:rPr>
              <w:t>Document de la s</w:t>
            </w:r>
            <w:r w:rsidRPr="009932F2">
              <w:rPr>
                <w:rFonts w:cs="Arial"/>
                <w:szCs w:val="20"/>
                <w:lang w:val="fr-FR"/>
              </w:rPr>
              <w:t>tratégie WASH dans les Écoles et validé par les partenaires sous le leadership du MENFOP</w:t>
            </w:r>
          </w:p>
          <w:p w14:paraId="670B0942" w14:textId="6668CB94" w:rsidR="008455FA" w:rsidRPr="00647D03" w:rsidRDefault="008455FA" w:rsidP="008455FA">
            <w:pPr>
              <w:pStyle w:val="ListParagraph"/>
              <w:numPr>
                <w:ilvl w:val="0"/>
                <w:numId w:val="29"/>
              </w:numPr>
              <w:spacing w:before="120" w:after="120"/>
              <w:ind w:left="173" w:hanging="173"/>
              <w:rPr>
                <w:rFonts w:cs="Arial"/>
                <w:szCs w:val="20"/>
                <w:lang w:val="fr-FR"/>
              </w:rPr>
            </w:pPr>
            <w:r>
              <w:rPr>
                <w:rFonts w:cs="Arial"/>
                <w:szCs w:val="20"/>
                <w:lang w:val="fr-FR"/>
              </w:rPr>
              <w:t>O</w:t>
            </w:r>
            <w:r w:rsidRPr="009932F2">
              <w:rPr>
                <w:rFonts w:cs="Arial"/>
                <w:szCs w:val="20"/>
                <w:lang w:val="fr-FR"/>
              </w:rPr>
              <w:t>util de suivi adapté aux outils de suivi du MENFOP</w:t>
            </w:r>
            <w:r>
              <w:rPr>
                <w:rFonts w:cs="Arial"/>
                <w:szCs w:val="20"/>
                <w:lang w:val="fr-FR"/>
              </w:rPr>
              <w:t xml:space="preserve"> </w:t>
            </w:r>
            <w:r w:rsidRPr="009932F2">
              <w:rPr>
                <w:rFonts w:cs="Arial"/>
                <w:szCs w:val="20"/>
                <w:lang w:val="fr-FR"/>
              </w:rPr>
              <w:t>et qui permet de faire le suivi de la progression des indicateurs</w:t>
            </w:r>
          </w:p>
        </w:tc>
        <w:tc>
          <w:tcPr>
            <w:tcW w:w="1350" w:type="dxa"/>
            <w:vMerge w:val="restart"/>
            <w:vAlign w:val="center"/>
          </w:tcPr>
          <w:p w14:paraId="7E6A4449" w14:textId="54710771" w:rsidR="008455FA" w:rsidRDefault="008455FA" w:rsidP="008455FA">
            <w:pPr>
              <w:pStyle w:val="ListParagraph"/>
              <w:spacing w:before="120" w:after="120"/>
              <w:ind w:left="-59"/>
              <w:jc w:val="center"/>
              <w:rPr>
                <w:rFonts w:cs="Arial"/>
                <w:szCs w:val="20"/>
                <w:lang w:val="fr-FR"/>
              </w:rPr>
            </w:pPr>
            <w:r w:rsidRPr="000A156F">
              <w:rPr>
                <w:lang w:val="fr-FR"/>
              </w:rPr>
              <w:t>45%</w:t>
            </w:r>
          </w:p>
        </w:tc>
      </w:tr>
      <w:tr w:rsidR="008455FA" w:rsidRPr="00C57A30" w14:paraId="0A500AA2" w14:textId="76D9E104" w:rsidTr="00A733A9">
        <w:trPr>
          <w:trHeight w:val="1340"/>
        </w:trPr>
        <w:tc>
          <w:tcPr>
            <w:tcW w:w="1787" w:type="dxa"/>
          </w:tcPr>
          <w:p w14:paraId="183EACEB" w14:textId="77777777" w:rsidR="008455FA" w:rsidRDefault="008455FA" w:rsidP="001D2507">
            <w:pPr>
              <w:rPr>
                <w:szCs w:val="20"/>
                <w:lang w:val="fr-FR" w:eastAsia="ja-JP"/>
              </w:rPr>
            </w:pPr>
            <w:r>
              <w:rPr>
                <w:szCs w:val="20"/>
                <w:lang w:val="fr-FR" w:eastAsia="ja-JP"/>
              </w:rPr>
              <w:t>Etape 2 -Elaboration des modules de formation</w:t>
            </w:r>
          </w:p>
          <w:p w14:paraId="377C6BDE" w14:textId="77777777" w:rsidR="008455FA" w:rsidRDefault="008455FA" w:rsidP="001D2507">
            <w:pPr>
              <w:jc w:val="both"/>
              <w:rPr>
                <w:szCs w:val="20"/>
                <w:lang w:val="fr-FR" w:eastAsia="ja-JP"/>
              </w:rPr>
            </w:pPr>
          </w:p>
        </w:tc>
        <w:tc>
          <w:tcPr>
            <w:tcW w:w="7123" w:type="dxa"/>
          </w:tcPr>
          <w:p w14:paraId="394B83B0" w14:textId="77777777" w:rsidR="008455FA" w:rsidRPr="009932F2" w:rsidRDefault="008455FA" w:rsidP="00FE2138">
            <w:pPr>
              <w:pStyle w:val="ListParagraph"/>
              <w:numPr>
                <w:ilvl w:val="0"/>
                <w:numId w:val="29"/>
              </w:numPr>
              <w:spacing w:before="120" w:after="120"/>
              <w:ind w:left="173" w:hanging="173"/>
              <w:rPr>
                <w:rFonts w:cs="Arial"/>
                <w:szCs w:val="20"/>
                <w:lang w:val="fr-FR"/>
              </w:rPr>
            </w:pPr>
            <w:r>
              <w:rPr>
                <w:rFonts w:cs="Arial"/>
                <w:szCs w:val="20"/>
                <w:lang w:val="fr-FR"/>
              </w:rPr>
              <w:t>M</w:t>
            </w:r>
            <w:r w:rsidRPr="009932F2">
              <w:rPr>
                <w:rFonts w:cs="Arial"/>
                <w:szCs w:val="20"/>
                <w:lang w:val="fr-FR"/>
              </w:rPr>
              <w:t>odules de formation sur le Wash dans les écoles à l’intention des enseignants et des élèves</w:t>
            </w:r>
          </w:p>
          <w:p w14:paraId="55FDF294" w14:textId="7286D626" w:rsidR="008455FA" w:rsidRPr="00157ECD" w:rsidRDefault="008455FA" w:rsidP="008455FA">
            <w:pPr>
              <w:pStyle w:val="ListParagraph"/>
              <w:numPr>
                <w:ilvl w:val="0"/>
                <w:numId w:val="29"/>
              </w:numPr>
              <w:spacing w:before="120" w:after="120"/>
              <w:ind w:left="173" w:hanging="173"/>
              <w:rPr>
                <w:rFonts w:cs="Arial"/>
                <w:szCs w:val="20"/>
                <w:lang w:val="fr-FR"/>
              </w:rPr>
            </w:pPr>
            <w:r>
              <w:rPr>
                <w:rFonts w:cs="Arial"/>
                <w:szCs w:val="20"/>
                <w:lang w:val="fr-FR"/>
              </w:rPr>
              <w:t>S</w:t>
            </w:r>
            <w:r w:rsidRPr="009932F2">
              <w:rPr>
                <w:rFonts w:cs="Arial"/>
                <w:szCs w:val="20"/>
                <w:lang w:val="fr-FR"/>
              </w:rPr>
              <w:t>érie de cartes conseil et techniques de communication inter personnelle pour les enseignants</w:t>
            </w:r>
          </w:p>
        </w:tc>
        <w:tc>
          <w:tcPr>
            <w:tcW w:w="1350" w:type="dxa"/>
            <w:vMerge/>
          </w:tcPr>
          <w:p w14:paraId="1F9A4B91" w14:textId="77777777" w:rsidR="008455FA" w:rsidRDefault="008455FA" w:rsidP="000A156F">
            <w:pPr>
              <w:pStyle w:val="ListParagraph"/>
              <w:ind w:left="166"/>
              <w:rPr>
                <w:rFonts w:cs="Arial"/>
                <w:szCs w:val="20"/>
                <w:lang w:val="fr-FR"/>
              </w:rPr>
            </w:pPr>
          </w:p>
        </w:tc>
      </w:tr>
    </w:tbl>
    <w:p w14:paraId="677F5709" w14:textId="4539C528" w:rsidR="004D1501" w:rsidRDefault="004D1501" w:rsidP="00A071CF">
      <w:pPr>
        <w:rPr>
          <w:lang w:val="fr-FR"/>
        </w:rPr>
      </w:pPr>
    </w:p>
    <w:p w14:paraId="7B359D3C" w14:textId="77777777" w:rsidR="004D52CB" w:rsidRPr="00275C67" w:rsidRDefault="004D52CB" w:rsidP="004D52CB">
      <w:pPr>
        <w:pStyle w:val="ListParagraph"/>
        <w:numPr>
          <w:ilvl w:val="0"/>
          <w:numId w:val="2"/>
        </w:numPr>
        <w:spacing w:line="240" w:lineRule="auto"/>
        <w:ind w:left="360"/>
        <w:rPr>
          <w:rFonts w:cs="Arial"/>
          <w:b/>
          <w:sz w:val="28"/>
          <w:szCs w:val="28"/>
          <w:lang w:val="fr-FR"/>
        </w:rPr>
      </w:pPr>
      <w:r w:rsidRPr="00275C67">
        <w:rPr>
          <w:rFonts w:cs="Arial"/>
          <w:b/>
          <w:sz w:val="28"/>
          <w:szCs w:val="28"/>
          <w:lang w:val="fr-FR"/>
        </w:rPr>
        <w:t>Conditions de travail</w:t>
      </w:r>
    </w:p>
    <w:p w14:paraId="52DE111D" w14:textId="77777777" w:rsidR="004D52CB" w:rsidRDefault="004D52CB" w:rsidP="004D52CB">
      <w:pPr>
        <w:rPr>
          <w:lang w:val="fr-FR"/>
        </w:rPr>
      </w:pPr>
      <w:r w:rsidRPr="004B0053">
        <w:rPr>
          <w:lang w:val="fr-FR"/>
        </w:rPr>
        <w:t xml:space="preserve">Le </w:t>
      </w:r>
      <w:r>
        <w:rPr>
          <w:lang w:val="fr-FR"/>
        </w:rPr>
        <w:t>consultant</w:t>
      </w:r>
      <w:r w:rsidRPr="004B0053">
        <w:rPr>
          <w:lang w:val="fr-FR"/>
        </w:rPr>
        <w:t xml:space="preserve"> devra disposer de ses propres outils de travail. Le </w:t>
      </w:r>
      <w:r>
        <w:rPr>
          <w:lang w:val="fr-FR"/>
        </w:rPr>
        <w:t xml:space="preserve">consultant sera basé(e) au MENFOP </w:t>
      </w:r>
      <w:r w:rsidRPr="004B0053">
        <w:rPr>
          <w:lang w:val="fr-FR"/>
        </w:rPr>
        <w:t xml:space="preserve">où un espace de travail lui sera aménagé. La réalisation de la mission nécessitera quelques déplacements à l’intérieur du pays et la logistique pour ces déplacements sera organisée par le bureau d’études. Des représentants de la </w:t>
      </w:r>
      <w:r>
        <w:rPr>
          <w:lang w:val="fr-FR"/>
        </w:rPr>
        <w:t>MENFOP</w:t>
      </w:r>
      <w:r w:rsidRPr="004B0053">
        <w:rPr>
          <w:lang w:val="fr-FR"/>
        </w:rPr>
        <w:t xml:space="preserve"> et/ou UNICEF participer</w:t>
      </w:r>
      <w:r>
        <w:rPr>
          <w:lang w:val="fr-FR"/>
        </w:rPr>
        <w:t>a</w:t>
      </w:r>
      <w:r w:rsidRPr="004B0053">
        <w:rPr>
          <w:lang w:val="fr-FR"/>
        </w:rPr>
        <w:t xml:space="preserve"> aux déplacements sur terrain avec une organisation logistique à la charge de l’UNICEF.</w:t>
      </w:r>
    </w:p>
    <w:p w14:paraId="652434EF" w14:textId="77777777" w:rsidR="00D25556" w:rsidRPr="00D25556" w:rsidRDefault="00D25556" w:rsidP="00D25556">
      <w:pPr>
        <w:pStyle w:val="ListParagraph"/>
        <w:numPr>
          <w:ilvl w:val="0"/>
          <w:numId w:val="2"/>
        </w:numPr>
        <w:spacing w:line="240" w:lineRule="auto"/>
        <w:ind w:left="360"/>
        <w:rPr>
          <w:rFonts w:cs="Arial"/>
          <w:b/>
          <w:sz w:val="28"/>
          <w:szCs w:val="28"/>
          <w:lang w:val="fr-FR"/>
        </w:rPr>
      </w:pPr>
      <w:r w:rsidRPr="00D25556">
        <w:rPr>
          <w:rFonts w:cs="Arial"/>
          <w:b/>
          <w:sz w:val="28"/>
          <w:szCs w:val="28"/>
          <w:lang w:val="fr-FR"/>
        </w:rPr>
        <w:lastRenderedPageBreak/>
        <w:t>Modalités de soumission des offres</w:t>
      </w:r>
    </w:p>
    <w:p w14:paraId="6B0C4C5E" w14:textId="2861E5BC" w:rsidR="00D25556" w:rsidRPr="00D25556" w:rsidRDefault="00D25556" w:rsidP="00D25556">
      <w:pPr>
        <w:rPr>
          <w:rFonts w:cstheme="minorHAnsi"/>
          <w:lang w:val="fr-FR"/>
        </w:rPr>
      </w:pPr>
      <w:r w:rsidRPr="00D25556">
        <w:rPr>
          <w:rFonts w:cstheme="minorHAnsi"/>
          <w:lang w:val="fr-FR"/>
        </w:rPr>
        <w:t xml:space="preserve">Au-delà du profil tel que décrit ci-dessus, la sélection sera faite sur la base d’une proposition technique et d’une proposition financière. </w:t>
      </w:r>
    </w:p>
    <w:p w14:paraId="48EEDE67" w14:textId="712C9848" w:rsidR="0068445E" w:rsidRDefault="002C76E8" w:rsidP="009A24E1">
      <w:pPr>
        <w:spacing w:before="200"/>
        <w:rPr>
          <w:b/>
          <w:bCs/>
          <w:lang w:val="fr-FR"/>
        </w:rPr>
      </w:pPr>
      <w:r>
        <w:rPr>
          <w:b/>
          <w:bCs/>
          <w:lang w:val="fr-FR"/>
        </w:rPr>
        <w:t>Proposition</w:t>
      </w:r>
      <w:r w:rsidR="00256B48" w:rsidRPr="00256B48">
        <w:rPr>
          <w:b/>
          <w:bCs/>
          <w:lang w:val="fr-FR"/>
        </w:rPr>
        <w:t xml:space="preserve"> technique</w:t>
      </w:r>
    </w:p>
    <w:p w14:paraId="39E0A534" w14:textId="77777777" w:rsidR="00E018EE" w:rsidRDefault="002C76E8" w:rsidP="002C76E8">
      <w:pPr>
        <w:rPr>
          <w:lang w:val="fr-FR"/>
        </w:rPr>
      </w:pPr>
      <w:r w:rsidRPr="004D52CB">
        <w:rPr>
          <w:lang w:val="fr-FR"/>
        </w:rPr>
        <w:t xml:space="preserve">La proposition technique consistera en une note </w:t>
      </w:r>
      <w:r w:rsidR="00E018EE" w:rsidRPr="004D52CB">
        <w:rPr>
          <w:lang w:val="fr-FR"/>
        </w:rPr>
        <w:t>méthodologi</w:t>
      </w:r>
      <w:r w:rsidR="00E018EE">
        <w:rPr>
          <w:lang w:val="fr-FR"/>
        </w:rPr>
        <w:t>que</w:t>
      </w:r>
      <w:r w:rsidRPr="004D52CB">
        <w:rPr>
          <w:lang w:val="fr-FR"/>
        </w:rPr>
        <w:t xml:space="preserve"> détaillée indiquant clairement les approches techniques et opérationnelles que le </w:t>
      </w:r>
      <w:r w:rsidR="00E018EE">
        <w:rPr>
          <w:lang w:val="fr-FR"/>
        </w:rPr>
        <w:t>c</w:t>
      </w:r>
      <w:r w:rsidRPr="004D52CB">
        <w:rPr>
          <w:lang w:val="fr-FR"/>
        </w:rPr>
        <w:t xml:space="preserve">onsultant propose d’adopter pour atteindre les résultats assignés à cette mission. </w:t>
      </w:r>
    </w:p>
    <w:p w14:paraId="7A2E9401" w14:textId="06192EE2" w:rsidR="00E018EE" w:rsidRDefault="00C0713F" w:rsidP="00E018EE">
      <w:pPr>
        <w:rPr>
          <w:lang w:val="fr-FR"/>
        </w:rPr>
      </w:pPr>
      <w:r w:rsidRPr="004D52CB">
        <w:rPr>
          <w:lang w:val="fr-FR"/>
        </w:rPr>
        <w:t xml:space="preserve">Les soumissionnaires </w:t>
      </w:r>
      <w:r w:rsidR="00595236">
        <w:rPr>
          <w:lang w:val="fr-FR"/>
        </w:rPr>
        <w:t>devr</w:t>
      </w:r>
      <w:r>
        <w:rPr>
          <w:lang w:val="fr-FR"/>
        </w:rPr>
        <w:t>ont</w:t>
      </w:r>
      <w:r w:rsidR="00E018EE" w:rsidRPr="00443DEE">
        <w:rPr>
          <w:lang w:val="fr-FR"/>
        </w:rPr>
        <w:t xml:space="preserve"> inclure les documents suivants dans l</w:t>
      </w:r>
      <w:r w:rsidR="00E018EE">
        <w:rPr>
          <w:lang w:val="fr-FR"/>
        </w:rPr>
        <w:t>a proposition technique</w:t>
      </w:r>
      <w:r w:rsidR="00E018EE" w:rsidRPr="00443DEE">
        <w:rPr>
          <w:lang w:val="fr-FR"/>
        </w:rPr>
        <w:t xml:space="preserve"> :</w:t>
      </w:r>
    </w:p>
    <w:p w14:paraId="2438BAB2" w14:textId="77777777" w:rsidR="00254AB3" w:rsidRDefault="00443DEE" w:rsidP="007365E2">
      <w:pPr>
        <w:pStyle w:val="ListParagraph"/>
        <w:numPr>
          <w:ilvl w:val="0"/>
          <w:numId w:val="28"/>
        </w:numPr>
        <w:spacing w:before="120" w:after="120"/>
        <w:jc w:val="both"/>
        <w:rPr>
          <w:lang w:val="fr-FR"/>
        </w:rPr>
      </w:pPr>
      <w:r w:rsidRPr="00443DEE">
        <w:rPr>
          <w:lang w:val="fr-FR"/>
        </w:rPr>
        <w:t xml:space="preserve">Plan de </w:t>
      </w:r>
      <w:r w:rsidRPr="007365E2">
        <w:rPr>
          <w:szCs w:val="24"/>
          <w:lang w:val="fr-FR" w:eastAsia="ja-JP"/>
        </w:rPr>
        <w:t>travail</w:t>
      </w:r>
      <w:r w:rsidRPr="00443DEE">
        <w:rPr>
          <w:lang w:val="fr-FR"/>
        </w:rPr>
        <w:t xml:space="preserve"> </w:t>
      </w:r>
      <w:r w:rsidR="003A54C1" w:rsidRPr="003A54C1">
        <w:rPr>
          <w:lang w:val="fr-FR"/>
        </w:rPr>
        <w:t>décrivant</w:t>
      </w:r>
      <w:r w:rsidR="00254AB3">
        <w:rPr>
          <w:lang w:val="fr-FR"/>
        </w:rPr>
        <w:t> :</w:t>
      </w:r>
    </w:p>
    <w:p w14:paraId="25487BA8" w14:textId="77F8E044" w:rsidR="00254AB3" w:rsidRPr="007365E2" w:rsidRDefault="00254AB3" w:rsidP="007365E2">
      <w:pPr>
        <w:pStyle w:val="ListParagraph"/>
        <w:numPr>
          <w:ilvl w:val="2"/>
          <w:numId w:val="30"/>
        </w:numPr>
        <w:spacing w:before="120" w:after="120"/>
        <w:ind w:left="994" w:hanging="274"/>
        <w:jc w:val="both"/>
        <w:rPr>
          <w:szCs w:val="24"/>
          <w:lang w:val="fr-FR" w:eastAsia="ja-JP"/>
        </w:rPr>
      </w:pPr>
      <w:r>
        <w:rPr>
          <w:lang w:val="fr-FR"/>
        </w:rPr>
        <w:t>L</w:t>
      </w:r>
      <w:r w:rsidR="003A54C1" w:rsidRPr="003A54C1">
        <w:rPr>
          <w:lang w:val="fr-FR"/>
        </w:rPr>
        <w:t xml:space="preserve">a </w:t>
      </w:r>
      <w:r w:rsidR="003A54C1" w:rsidRPr="00254AB3">
        <w:rPr>
          <w:szCs w:val="24"/>
          <w:lang w:val="fr-FR" w:eastAsia="ja-JP"/>
        </w:rPr>
        <w:t>méthodologie</w:t>
      </w:r>
      <w:r w:rsidR="003A54C1" w:rsidRPr="007365E2">
        <w:rPr>
          <w:szCs w:val="24"/>
          <w:lang w:val="fr-FR" w:eastAsia="ja-JP"/>
        </w:rPr>
        <w:t xml:space="preserve"> </w:t>
      </w:r>
      <w:r w:rsidR="00F52932" w:rsidRPr="007365E2">
        <w:rPr>
          <w:szCs w:val="24"/>
          <w:lang w:val="fr-FR" w:eastAsia="ja-JP"/>
        </w:rPr>
        <w:t>proposée pour atteindre les résultats attendus ;</w:t>
      </w:r>
    </w:p>
    <w:p w14:paraId="6860429D" w14:textId="4027A45C" w:rsidR="003A54C1" w:rsidRPr="007365E2" w:rsidRDefault="00254AB3" w:rsidP="007365E2">
      <w:pPr>
        <w:pStyle w:val="ListParagraph"/>
        <w:numPr>
          <w:ilvl w:val="2"/>
          <w:numId w:val="30"/>
        </w:numPr>
        <w:spacing w:before="120" w:after="120"/>
        <w:ind w:left="994" w:hanging="274"/>
        <w:jc w:val="both"/>
        <w:rPr>
          <w:szCs w:val="24"/>
          <w:lang w:val="fr-FR" w:eastAsia="ja-JP"/>
        </w:rPr>
      </w:pPr>
      <w:r w:rsidRPr="007365E2">
        <w:rPr>
          <w:szCs w:val="24"/>
          <w:lang w:val="fr-FR" w:eastAsia="ja-JP"/>
        </w:rPr>
        <w:t xml:space="preserve">Calendrier des travaux </w:t>
      </w:r>
      <w:r w:rsidR="003A54C1" w:rsidRPr="007365E2">
        <w:rPr>
          <w:szCs w:val="24"/>
          <w:lang w:val="fr-FR" w:eastAsia="ja-JP"/>
        </w:rPr>
        <w:t xml:space="preserve">détaillé </w:t>
      </w:r>
      <w:r w:rsidR="00595236" w:rsidRPr="007365E2">
        <w:rPr>
          <w:szCs w:val="24"/>
          <w:lang w:val="fr-FR" w:eastAsia="ja-JP"/>
        </w:rPr>
        <w:t>précisant le nombre de jours de travail à distance et sur le terrain</w:t>
      </w:r>
      <w:r w:rsidR="00F52932" w:rsidRPr="007365E2">
        <w:rPr>
          <w:szCs w:val="24"/>
          <w:lang w:val="fr-FR" w:eastAsia="ja-JP"/>
        </w:rPr>
        <w:t> ;</w:t>
      </w:r>
    </w:p>
    <w:p w14:paraId="4BD92A73" w14:textId="4B47CE8C" w:rsidR="004B3D34" w:rsidRDefault="004B3D34" w:rsidP="007365E2">
      <w:pPr>
        <w:pStyle w:val="ListParagraph"/>
        <w:numPr>
          <w:ilvl w:val="2"/>
          <w:numId w:val="30"/>
        </w:numPr>
        <w:spacing w:before="120" w:after="120"/>
        <w:ind w:left="994" w:hanging="274"/>
        <w:jc w:val="both"/>
        <w:rPr>
          <w:lang w:val="fr-FR"/>
        </w:rPr>
      </w:pPr>
      <w:r w:rsidRPr="007365E2">
        <w:rPr>
          <w:szCs w:val="24"/>
          <w:lang w:val="fr-FR" w:eastAsia="ja-JP"/>
        </w:rPr>
        <w:t>Mécanisme</w:t>
      </w:r>
      <w:r>
        <w:rPr>
          <w:lang w:val="fr-FR"/>
        </w:rPr>
        <w:t xml:space="preserve"> d’assurance de la qualité proposé </w:t>
      </w:r>
      <w:r w:rsidR="006438C6">
        <w:rPr>
          <w:lang w:val="fr-FR"/>
        </w:rPr>
        <w:t xml:space="preserve">et plan de </w:t>
      </w:r>
      <w:r w:rsidR="006438C6">
        <w:rPr>
          <w:rFonts w:cstheme="minorHAnsi"/>
          <w:lang w:val="fr-FR"/>
        </w:rPr>
        <w:t>g</w:t>
      </w:r>
      <w:r w:rsidR="006438C6" w:rsidRPr="00333B38">
        <w:rPr>
          <w:rFonts w:cstheme="minorHAnsi"/>
          <w:lang w:val="fr-FR"/>
        </w:rPr>
        <w:t xml:space="preserve">estion des </w:t>
      </w:r>
      <w:r w:rsidR="007365E2" w:rsidRPr="00333B38">
        <w:rPr>
          <w:rFonts w:cstheme="minorHAnsi"/>
          <w:lang w:val="fr-FR"/>
        </w:rPr>
        <w:t>risques</w:t>
      </w:r>
      <w:r w:rsidR="007365E2">
        <w:rPr>
          <w:lang w:val="fr-FR"/>
        </w:rPr>
        <w:t xml:space="preserve"> ;</w:t>
      </w:r>
    </w:p>
    <w:p w14:paraId="2D4B9346" w14:textId="3FDE23A6" w:rsidR="00F52932" w:rsidRPr="007365E2" w:rsidRDefault="00F52932" w:rsidP="007365E2">
      <w:pPr>
        <w:pStyle w:val="ListParagraph"/>
        <w:numPr>
          <w:ilvl w:val="0"/>
          <w:numId w:val="28"/>
        </w:numPr>
        <w:spacing w:before="120" w:after="120"/>
        <w:jc w:val="both"/>
        <w:rPr>
          <w:szCs w:val="24"/>
          <w:lang w:val="fr-FR" w:eastAsia="ja-JP"/>
        </w:rPr>
      </w:pPr>
      <w:r w:rsidRPr="007365E2">
        <w:rPr>
          <w:szCs w:val="24"/>
          <w:lang w:val="fr-FR" w:eastAsia="ja-JP"/>
        </w:rPr>
        <w:t>Titres universitaires du consultant ;</w:t>
      </w:r>
    </w:p>
    <w:p w14:paraId="59536E25" w14:textId="1ECB9D79" w:rsidR="00443DEE" w:rsidRPr="007365E2" w:rsidRDefault="00443DEE" w:rsidP="007365E2">
      <w:pPr>
        <w:pStyle w:val="ListParagraph"/>
        <w:numPr>
          <w:ilvl w:val="0"/>
          <w:numId w:val="28"/>
        </w:numPr>
        <w:spacing w:before="120" w:after="120"/>
        <w:jc w:val="both"/>
        <w:rPr>
          <w:szCs w:val="24"/>
          <w:lang w:val="fr-FR" w:eastAsia="ja-JP"/>
        </w:rPr>
      </w:pPr>
      <w:r w:rsidRPr="007365E2">
        <w:rPr>
          <w:szCs w:val="24"/>
          <w:lang w:val="fr-FR" w:eastAsia="ja-JP"/>
        </w:rPr>
        <w:t>Preuves de l’expérience d</w:t>
      </w:r>
      <w:r w:rsidR="00F52932" w:rsidRPr="007365E2">
        <w:rPr>
          <w:szCs w:val="24"/>
          <w:lang w:val="fr-FR" w:eastAsia="ja-JP"/>
        </w:rPr>
        <w:t>u consultant ;</w:t>
      </w:r>
    </w:p>
    <w:p w14:paraId="326E09E5" w14:textId="115BF107" w:rsidR="00F52932" w:rsidRPr="00443DEE" w:rsidRDefault="00F52932" w:rsidP="007365E2">
      <w:pPr>
        <w:pStyle w:val="ListParagraph"/>
        <w:numPr>
          <w:ilvl w:val="0"/>
          <w:numId w:val="28"/>
        </w:numPr>
        <w:spacing w:before="120" w:after="120"/>
        <w:jc w:val="both"/>
        <w:rPr>
          <w:lang w:val="fr-FR"/>
        </w:rPr>
      </w:pPr>
      <w:r w:rsidRPr="007365E2">
        <w:rPr>
          <w:szCs w:val="24"/>
          <w:lang w:val="fr-FR" w:eastAsia="ja-JP"/>
        </w:rPr>
        <w:t>Lettres</w:t>
      </w:r>
      <w:r>
        <w:rPr>
          <w:lang w:val="fr-FR"/>
        </w:rPr>
        <w:t xml:space="preserve"> de recommandations pour des travaux </w:t>
      </w:r>
      <w:r w:rsidR="0068445E">
        <w:rPr>
          <w:lang w:val="fr-FR"/>
        </w:rPr>
        <w:t>similaires</w:t>
      </w:r>
      <w:r>
        <w:rPr>
          <w:lang w:val="fr-FR"/>
        </w:rPr>
        <w:t> ;</w:t>
      </w:r>
    </w:p>
    <w:p w14:paraId="1AA984D7" w14:textId="19993277" w:rsidR="00256B48" w:rsidRDefault="002C76E8" w:rsidP="009A24E1">
      <w:pPr>
        <w:spacing w:before="200"/>
        <w:rPr>
          <w:b/>
          <w:bCs/>
          <w:lang w:val="fr-FR"/>
        </w:rPr>
      </w:pPr>
      <w:r>
        <w:rPr>
          <w:b/>
          <w:bCs/>
          <w:lang w:val="fr-FR"/>
        </w:rPr>
        <w:t>Proposition</w:t>
      </w:r>
      <w:r w:rsidR="00A071CF" w:rsidRPr="00256B48">
        <w:rPr>
          <w:b/>
          <w:bCs/>
          <w:lang w:val="fr-FR"/>
        </w:rPr>
        <w:t xml:space="preserve"> financière </w:t>
      </w:r>
    </w:p>
    <w:p w14:paraId="2BB5C840" w14:textId="11481040" w:rsidR="00C54EA4" w:rsidRDefault="002C76E8" w:rsidP="00C54EA4">
      <w:pPr>
        <w:rPr>
          <w:lang w:val="fr-FR"/>
        </w:rPr>
      </w:pPr>
      <w:r w:rsidRPr="004D52CB">
        <w:rPr>
          <w:lang w:val="fr-FR"/>
        </w:rPr>
        <w:t>La proposition financière devra couvrir l’ensemble des dépenses rentrant dans le cadre de cette mission d’assistance technique.</w:t>
      </w:r>
      <w:r w:rsidR="00AA1142">
        <w:rPr>
          <w:lang w:val="fr-FR"/>
        </w:rPr>
        <w:t xml:space="preserve"> </w:t>
      </w:r>
      <w:r w:rsidR="00C0713F" w:rsidRPr="004D52CB">
        <w:rPr>
          <w:lang w:val="fr-FR"/>
        </w:rPr>
        <w:t xml:space="preserve">Les soumissionnaires </w:t>
      </w:r>
      <w:r w:rsidR="00C54EA4">
        <w:rPr>
          <w:lang w:val="fr-FR"/>
        </w:rPr>
        <w:t>devr</w:t>
      </w:r>
      <w:r w:rsidR="00C0713F">
        <w:rPr>
          <w:lang w:val="fr-FR"/>
        </w:rPr>
        <w:t>ont</w:t>
      </w:r>
      <w:r w:rsidR="00C54EA4" w:rsidRPr="00443DEE">
        <w:rPr>
          <w:lang w:val="fr-FR"/>
        </w:rPr>
        <w:t xml:space="preserve"> inclure les documents suivants dans l</w:t>
      </w:r>
      <w:r w:rsidR="00C54EA4">
        <w:rPr>
          <w:lang w:val="fr-FR"/>
        </w:rPr>
        <w:t xml:space="preserve">a proposition </w:t>
      </w:r>
      <w:r w:rsidR="00C0713F">
        <w:rPr>
          <w:lang w:val="fr-FR"/>
        </w:rPr>
        <w:t>financière</w:t>
      </w:r>
      <w:r w:rsidR="00C54EA4" w:rsidRPr="00443DEE">
        <w:rPr>
          <w:lang w:val="fr-FR"/>
        </w:rPr>
        <w:t xml:space="preserve"> :</w:t>
      </w:r>
    </w:p>
    <w:p w14:paraId="22B71652" w14:textId="295F11A9" w:rsidR="00A071CF" w:rsidRPr="007365E2" w:rsidRDefault="00A071CF" w:rsidP="007365E2">
      <w:pPr>
        <w:pStyle w:val="ListParagraph"/>
        <w:numPr>
          <w:ilvl w:val="0"/>
          <w:numId w:val="28"/>
        </w:numPr>
        <w:spacing w:before="120" w:after="120"/>
        <w:jc w:val="both"/>
        <w:rPr>
          <w:szCs w:val="24"/>
          <w:lang w:val="fr-FR" w:eastAsia="ja-JP"/>
        </w:rPr>
      </w:pPr>
      <w:r w:rsidRPr="004B0053">
        <w:rPr>
          <w:lang w:val="fr-FR"/>
        </w:rPr>
        <w:t xml:space="preserve">Les </w:t>
      </w:r>
      <w:r w:rsidRPr="007365E2">
        <w:rPr>
          <w:szCs w:val="24"/>
          <w:lang w:val="fr-FR" w:eastAsia="ja-JP"/>
        </w:rPr>
        <w:t>honoraires d</w:t>
      </w:r>
      <w:r w:rsidR="00256B48" w:rsidRPr="007365E2">
        <w:rPr>
          <w:szCs w:val="24"/>
          <w:lang w:val="fr-FR" w:eastAsia="ja-JP"/>
        </w:rPr>
        <w:t>u</w:t>
      </w:r>
      <w:r w:rsidRPr="007365E2">
        <w:rPr>
          <w:szCs w:val="24"/>
          <w:lang w:val="fr-FR" w:eastAsia="ja-JP"/>
        </w:rPr>
        <w:t xml:space="preserve"> consultant ;</w:t>
      </w:r>
    </w:p>
    <w:p w14:paraId="64E00381" w14:textId="20AD76A3" w:rsidR="00A071CF" w:rsidRPr="007365E2" w:rsidRDefault="00A071CF" w:rsidP="007365E2">
      <w:pPr>
        <w:pStyle w:val="ListParagraph"/>
        <w:numPr>
          <w:ilvl w:val="0"/>
          <w:numId w:val="28"/>
        </w:numPr>
        <w:spacing w:before="120" w:after="120"/>
        <w:jc w:val="both"/>
        <w:rPr>
          <w:szCs w:val="24"/>
          <w:lang w:val="fr-FR" w:eastAsia="ja-JP"/>
        </w:rPr>
      </w:pPr>
      <w:r w:rsidRPr="007365E2">
        <w:rPr>
          <w:szCs w:val="24"/>
          <w:lang w:val="fr-FR" w:eastAsia="ja-JP"/>
        </w:rPr>
        <w:t>Les indemnités journalières pour les séjours à Djibouti (incluant les frais de subsistance, hébergement, communications, déplacements dans la ville et sur le terrain, autres frais de reproduction) ;</w:t>
      </w:r>
    </w:p>
    <w:p w14:paraId="00F36327" w14:textId="481CE27D" w:rsidR="00A071CF" w:rsidRDefault="00A071CF" w:rsidP="007365E2">
      <w:pPr>
        <w:pStyle w:val="ListParagraph"/>
        <w:numPr>
          <w:ilvl w:val="0"/>
          <w:numId w:val="28"/>
        </w:numPr>
        <w:spacing w:before="120" w:after="120"/>
        <w:jc w:val="both"/>
        <w:rPr>
          <w:lang w:val="fr-FR"/>
        </w:rPr>
      </w:pPr>
      <w:r w:rsidRPr="007365E2">
        <w:rPr>
          <w:szCs w:val="24"/>
          <w:lang w:val="fr-FR" w:eastAsia="ja-JP"/>
        </w:rPr>
        <w:t>Les billets aller-retour en classe économique</w:t>
      </w:r>
      <w:r w:rsidR="00197249" w:rsidRPr="007365E2">
        <w:rPr>
          <w:szCs w:val="24"/>
          <w:lang w:val="fr-FR" w:eastAsia="ja-JP"/>
        </w:rPr>
        <w:t>.</w:t>
      </w:r>
      <w:r w:rsidRPr="007365E2">
        <w:rPr>
          <w:szCs w:val="24"/>
          <w:lang w:val="fr-FR" w:eastAsia="ja-JP"/>
        </w:rPr>
        <w:t xml:space="preserve"> UNICEF s’assurera que le tarif donné est raisonnable</w:t>
      </w:r>
      <w:r w:rsidRPr="004B0053">
        <w:rPr>
          <w:lang w:val="fr-FR"/>
        </w:rPr>
        <w:t xml:space="preserve"> par rapport au trajet</w:t>
      </w:r>
      <w:r w:rsidR="008F5ABC">
        <w:rPr>
          <w:lang w:val="fr-FR"/>
        </w:rPr>
        <w:t> ;</w:t>
      </w:r>
    </w:p>
    <w:p w14:paraId="1638BC97" w14:textId="28E75D60" w:rsidR="00402E98" w:rsidRDefault="00A071CF" w:rsidP="00C0713F">
      <w:pPr>
        <w:rPr>
          <w:lang w:val="fr-FR"/>
        </w:rPr>
      </w:pPr>
      <w:r w:rsidRPr="004B0053">
        <w:rPr>
          <w:lang w:val="fr-FR"/>
        </w:rPr>
        <w:t xml:space="preserve">Tout autre frais sera à la charge </w:t>
      </w:r>
      <w:r w:rsidR="00C0713F">
        <w:rPr>
          <w:lang w:val="fr-FR"/>
        </w:rPr>
        <w:t>du consultant</w:t>
      </w:r>
      <w:r w:rsidRPr="004B0053">
        <w:rPr>
          <w:lang w:val="fr-FR"/>
        </w:rPr>
        <w:t xml:space="preserve">, notamment visa et vaccins. Le </w:t>
      </w:r>
      <w:r w:rsidR="00402E98">
        <w:rPr>
          <w:lang w:val="fr-FR"/>
        </w:rPr>
        <w:t>consultant</w:t>
      </w:r>
      <w:r w:rsidRPr="004B0053">
        <w:rPr>
          <w:lang w:val="fr-FR"/>
        </w:rPr>
        <w:t xml:space="preserve"> devra fournir une preuve de sa couverture médicale le couvrant durant la mission.</w:t>
      </w:r>
      <w:r w:rsidRPr="009817AC">
        <w:rPr>
          <w:lang w:val="fr-FR"/>
        </w:rPr>
        <w:t xml:space="preserve"> </w:t>
      </w:r>
      <w:r w:rsidR="00332B28">
        <w:rPr>
          <w:lang w:val="fr-FR"/>
        </w:rPr>
        <w:t>L</w:t>
      </w:r>
      <w:r w:rsidRPr="004B0053">
        <w:rPr>
          <w:lang w:val="fr-FR"/>
        </w:rPr>
        <w:t xml:space="preserve">es frais de voyage (en classe économique), les frais de déplacement dans la ville et sur le terrain. </w:t>
      </w:r>
    </w:p>
    <w:p w14:paraId="142F893E" w14:textId="1C00688B" w:rsidR="00A071CF" w:rsidRDefault="00402E98" w:rsidP="00332B28">
      <w:pPr>
        <w:jc w:val="both"/>
        <w:rPr>
          <w:lang w:val="fr-FR"/>
        </w:rPr>
      </w:pPr>
      <w:r>
        <w:rPr>
          <w:lang w:val="fr-FR"/>
        </w:rPr>
        <w:t>Le</w:t>
      </w:r>
      <w:r w:rsidR="00A071CF" w:rsidRPr="004B0053">
        <w:rPr>
          <w:lang w:val="fr-FR"/>
        </w:rPr>
        <w:t>s frais d’organisation des réunions ou ateliers techniques ainsi que les frais d’achat des matériels et équipements directement utilisables pour l’opérationnalisation du dispositif seront pris en charge par la Direction de l’Hydraulique Rurale</w:t>
      </w:r>
      <w:r w:rsidR="00A071CF">
        <w:rPr>
          <w:lang w:val="fr-FR"/>
        </w:rPr>
        <w:t xml:space="preserve"> en collaboration avec l’UNICEF</w:t>
      </w:r>
      <w:r w:rsidR="00DF6FB0">
        <w:rPr>
          <w:lang w:val="fr-FR"/>
        </w:rPr>
        <w:t>.</w:t>
      </w:r>
      <w:r w:rsidR="00D25556" w:rsidRPr="00ED5B8F">
        <w:rPr>
          <w:rFonts w:cstheme="minorHAnsi"/>
          <w:lang w:val="fr-FR"/>
        </w:rPr>
        <w:t xml:space="preserve"> </w:t>
      </w:r>
      <w:r w:rsidR="00D25556" w:rsidRPr="00D25556">
        <w:rPr>
          <w:rFonts w:cstheme="minorHAnsi"/>
          <w:lang w:val="fr-FR"/>
        </w:rPr>
        <w:t>Les offres financières doivent être présentées séparément de l’offre technique et ne seront examinées que pour les candidats dont l’offre technique est jugée techniquement valable.</w:t>
      </w:r>
    </w:p>
    <w:p w14:paraId="1756AE5C" w14:textId="77777777" w:rsidR="000A401D" w:rsidRDefault="000A401D" w:rsidP="000A401D">
      <w:pPr>
        <w:pStyle w:val="ListParagraph"/>
        <w:numPr>
          <w:ilvl w:val="0"/>
          <w:numId w:val="2"/>
        </w:numPr>
        <w:spacing w:line="240" w:lineRule="auto"/>
        <w:ind w:left="360"/>
        <w:rPr>
          <w:rFonts w:cs="Arial"/>
          <w:b/>
          <w:sz w:val="28"/>
          <w:szCs w:val="28"/>
          <w:lang w:val="fr-FR"/>
        </w:rPr>
      </w:pPr>
      <w:r>
        <w:rPr>
          <w:rFonts w:cs="Arial"/>
          <w:b/>
          <w:sz w:val="28"/>
          <w:szCs w:val="28"/>
          <w:lang w:val="fr-FR"/>
        </w:rPr>
        <w:lastRenderedPageBreak/>
        <w:t xml:space="preserve"> C</w:t>
      </w:r>
      <w:r w:rsidR="00A071CF" w:rsidRPr="000A401D">
        <w:rPr>
          <w:rFonts w:cs="Arial"/>
          <w:b/>
          <w:sz w:val="28"/>
          <w:szCs w:val="28"/>
          <w:lang w:val="fr-FR"/>
        </w:rPr>
        <w:t xml:space="preserve">ritères de notation des offres </w:t>
      </w:r>
    </w:p>
    <w:p w14:paraId="2650E295" w14:textId="0765619E" w:rsidR="00095AF5" w:rsidRDefault="00622306" w:rsidP="00095AF5">
      <w:pPr>
        <w:jc w:val="both"/>
        <w:rPr>
          <w:lang w:val="fr-FR"/>
        </w:rPr>
      </w:pPr>
      <w:r w:rsidRPr="00622306">
        <w:rPr>
          <w:lang w:val="fr-FR"/>
        </w:rPr>
        <w:t xml:space="preserve">La sélection finale du </w:t>
      </w:r>
      <w:r>
        <w:rPr>
          <w:lang w:val="fr-FR"/>
        </w:rPr>
        <w:t>consultant</w:t>
      </w:r>
      <w:r w:rsidRPr="00622306">
        <w:rPr>
          <w:lang w:val="fr-FR"/>
        </w:rPr>
        <w:t xml:space="preserve"> sera basée sur une base de qualité et de coût avec une pondération de 60% de la proposition technique et de 40% de la proposition financière.</w:t>
      </w:r>
      <w:r w:rsidR="00095AF5">
        <w:rPr>
          <w:lang w:val="fr-FR"/>
        </w:rPr>
        <w:t xml:space="preserve"> </w:t>
      </w:r>
      <w:r w:rsidR="00095AF5" w:rsidRPr="008B7A7B">
        <w:rPr>
          <w:lang w:val="fr-FR"/>
        </w:rPr>
        <w:t>La proposition qui obtien</w:t>
      </w:r>
      <w:r w:rsidR="00095AF5">
        <w:rPr>
          <w:lang w:val="fr-FR"/>
        </w:rPr>
        <w:t>dra</w:t>
      </w:r>
      <w:r w:rsidR="00095AF5" w:rsidRPr="008B7A7B">
        <w:rPr>
          <w:lang w:val="fr-FR"/>
        </w:rPr>
        <w:t xml:space="preserve"> la note globale la plus élevée après avoir additionné les notes de la soumission technique et de la soumission financière est la proposition qui offre le meilleur rapport qualité-prix et </w:t>
      </w:r>
      <w:r w:rsidR="00FA4111">
        <w:rPr>
          <w:lang w:val="fr-FR"/>
        </w:rPr>
        <w:t>sera</w:t>
      </w:r>
      <w:r w:rsidR="00095AF5" w:rsidRPr="008B7A7B">
        <w:rPr>
          <w:lang w:val="fr-FR"/>
        </w:rPr>
        <w:t xml:space="preserve"> sélectionnée pour l’attribution.</w:t>
      </w:r>
    </w:p>
    <w:p w14:paraId="7067EE4C" w14:textId="2827B580" w:rsidR="00604DCD" w:rsidRPr="00622306" w:rsidRDefault="00604DCD" w:rsidP="00095AF5">
      <w:pPr>
        <w:jc w:val="both"/>
        <w:rPr>
          <w:lang w:val="fr-FR"/>
        </w:rPr>
      </w:pPr>
      <w:r>
        <w:rPr>
          <w:lang w:val="fr-FR"/>
        </w:rPr>
        <w:t xml:space="preserve">Les propositions financières </w:t>
      </w:r>
      <w:r w:rsidRPr="004D52CB">
        <w:rPr>
          <w:lang w:val="fr-FR"/>
        </w:rPr>
        <w:t xml:space="preserve">ne seront examinées que pour les candidats dont l’offre technique est jugée techniquement </w:t>
      </w:r>
      <w:r>
        <w:rPr>
          <w:lang w:val="fr-FR"/>
        </w:rPr>
        <w:t xml:space="preserve">conforme. </w:t>
      </w:r>
      <w:r w:rsidRPr="00622306">
        <w:rPr>
          <w:lang w:val="fr-FR"/>
        </w:rPr>
        <w:t>L'</w:t>
      </w:r>
      <w:r>
        <w:rPr>
          <w:lang w:val="fr-FR"/>
        </w:rPr>
        <w:t>o</w:t>
      </w:r>
      <w:r w:rsidRPr="00622306">
        <w:rPr>
          <w:lang w:val="fr-FR"/>
        </w:rPr>
        <w:t xml:space="preserve">ffre est considérée comme techniquement </w:t>
      </w:r>
      <w:r w:rsidR="00F93F73">
        <w:rPr>
          <w:lang w:val="fr-FR"/>
        </w:rPr>
        <w:t>conforme</w:t>
      </w:r>
      <w:r w:rsidRPr="00622306">
        <w:rPr>
          <w:lang w:val="fr-FR"/>
        </w:rPr>
        <w:t>, lorsqu'elle obtient 70 points sur 100 en cours d'évaluation technique.</w:t>
      </w:r>
    </w:p>
    <w:p w14:paraId="7FB05438" w14:textId="5FDC2F81" w:rsidR="00DF6FB0" w:rsidRDefault="00DF6FB0" w:rsidP="00DF6FB0">
      <w:pPr>
        <w:spacing w:before="200"/>
        <w:rPr>
          <w:b/>
          <w:bCs/>
          <w:lang w:val="fr-FR"/>
        </w:rPr>
      </w:pPr>
      <w:r>
        <w:rPr>
          <w:b/>
          <w:bCs/>
          <w:lang w:val="fr-FR"/>
        </w:rPr>
        <w:t>Evaluation de la proposition</w:t>
      </w:r>
      <w:r w:rsidRPr="00256B48">
        <w:rPr>
          <w:b/>
          <w:bCs/>
          <w:lang w:val="fr-FR"/>
        </w:rPr>
        <w:t xml:space="preserve"> technique</w:t>
      </w:r>
    </w:p>
    <w:p w14:paraId="094C247F" w14:textId="60A5FAB9" w:rsidR="00311BBB" w:rsidRDefault="00710CA6" w:rsidP="00622306">
      <w:pPr>
        <w:jc w:val="both"/>
        <w:rPr>
          <w:lang w:val="fr-FR"/>
        </w:rPr>
      </w:pPr>
      <w:r w:rsidRPr="00710CA6">
        <w:rPr>
          <w:lang w:val="fr-FR"/>
        </w:rPr>
        <w:t>Toutes les propositions techniques seront évaluées en utilisant les critères d'évaluation indiqués ci-dessous. Les soumissionnaires sont invités à soumettre la soumission de la proposition technique dans une enveloppe distincte démontrant chacun des critères énumérés ci-dessous et d'être cohérent avec les tâches détaillées dans les exigences du mandat et des travaux.</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1710"/>
      </w:tblGrid>
      <w:tr w:rsidR="006D66C0" w:rsidRPr="00EE71D7" w14:paraId="2C867673" w14:textId="77777777" w:rsidTr="004710CB">
        <w:tc>
          <w:tcPr>
            <w:tcW w:w="7537" w:type="dxa"/>
            <w:shd w:val="clear" w:color="auto" w:fill="auto"/>
            <w:vAlign w:val="center"/>
          </w:tcPr>
          <w:p w14:paraId="517511BE" w14:textId="58DE1B76" w:rsidR="006D66C0" w:rsidRPr="00EE71D7" w:rsidRDefault="006D66C0" w:rsidP="002F6F3F">
            <w:pPr>
              <w:spacing w:before="120" w:after="120"/>
              <w:jc w:val="center"/>
              <w:rPr>
                <w:rFonts w:cstheme="minorHAnsi"/>
                <w:b/>
                <w:bCs/>
              </w:rPr>
            </w:pPr>
            <w:proofErr w:type="spellStart"/>
            <w:r w:rsidRPr="00EE71D7">
              <w:rPr>
                <w:rFonts w:cstheme="minorHAnsi"/>
                <w:b/>
                <w:bCs/>
              </w:rPr>
              <w:t>Catego</w:t>
            </w:r>
            <w:r w:rsidR="00EE71D7" w:rsidRPr="00EE71D7">
              <w:rPr>
                <w:rFonts w:cstheme="minorHAnsi"/>
                <w:b/>
                <w:bCs/>
              </w:rPr>
              <w:t>rie</w:t>
            </w:r>
            <w:proofErr w:type="spellEnd"/>
          </w:p>
        </w:tc>
        <w:tc>
          <w:tcPr>
            <w:tcW w:w="1710" w:type="dxa"/>
            <w:shd w:val="clear" w:color="auto" w:fill="auto"/>
            <w:vAlign w:val="center"/>
          </w:tcPr>
          <w:p w14:paraId="13367DD8" w14:textId="458A6B30" w:rsidR="006D66C0" w:rsidRPr="00EE71D7" w:rsidRDefault="006D66C0" w:rsidP="002F6F3F">
            <w:pPr>
              <w:spacing w:before="120" w:after="120"/>
              <w:jc w:val="center"/>
              <w:rPr>
                <w:rFonts w:cstheme="minorHAnsi"/>
                <w:b/>
                <w:bCs/>
              </w:rPr>
            </w:pPr>
            <w:r w:rsidRPr="00EE71D7">
              <w:rPr>
                <w:rFonts w:cstheme="minorHAnsi"/>
                <w:b/>
                <w:bCs/>
              </w:rPr>
              <w:t>Point</w:t>
            </w:r>
            <w:r w:rsidR="00EE71D7">
              <w:rPr>
                <w:rFonts w:cstheme="minorHAnsi"/>
                <w:b/>
                <w:bCs/>
              </w:rPr>
              <w:t>s</w:t>
            </w:r>
          </w:p>
        </w:tc>
      </w:tr>
      <w:tr w:rsidR="006D66C0" w:rsidRPr="0032274C" w14:paraId="7DA18819" w14:textId="77777777" w:rsidTr="001D2507">
        <w:tc>
          <w:tcPr>
            <w:tcW w:w="7537" w:type="dxa"/>
            <w:shd w:val="clear" w:color="auto" w:fill="D9D9D9" w:themeFill="background1" w:themeFillShade="D9"/>
          </w:tcPr>
          <w:p w14:paraId="142691BB" w14:textId="1C4814E2" w:rsidR="006D66C0" w:rsidRPr="00110A50" w:rsidRDefault="00783187" w:rsidP="001D2507">
            <w:pPr>
              <w:spacing w:before="120" w:after="120"/>
              <w:rPr>
                <w:rFonts w:cstheme="minorHAnsi"/>
                <w:b/>
                <w:bCs/>
                <w:lang w:val="fr-FR"/>
              </w:rPr>
            </w:pPr>
            <w:r>
              <w:rPr>
                <w:rFonts w:cstheme="minorHAnsi"/>
                <w:b/>
                <w:bCs/>
                <w:lang w:val="fr-FR"/>
              </w:rPr>
              <w:t>C</w:t>
            </w:r>
            <w:r w:rsidR="00110A50" w:rsidRPr="009748D4">
              <w:rPr>
                <w:rFonts w:cstheme="minorHAnsi"/>
                <w:b/>
                <w:bCs/>
                <w:lang w:val="fr-FR"/>
              </w:rPr>
              <w:t>ompréhension des TDR</w:t>
            </w:r>
            <w:r w:rsidRPr="009748D4">
              <w:rPr>
                <w:rFonts w:cstheme="minorHAnsi"/>
                <w:b/>
                <w:bCs/>
                <w:lang w:val="fr-FR"/>
              </w:rPr>
              <w:t xml:space="preserve"> </w:t>
            </w:r>
            <w:r>
              <w:rPr>
                <w:rFonts w:cstheme="minorHAnsi"/>
                <w:b/>
                <w:bCs/>
                <w:lang w:val="fr-FR"/>
              </w:rPr>
              <w:t>et m</w:t>
            </w:r>
            <w:r w:rsidRPr="009748D4">
              <w:rPr>
                <w:rFonts w:cstheme="minorHAnsi"/>
                <w:b/>
                <w:bCs/>
                <w:lang w:val="fr-FR"/>
              </w:rPr>
              <w:t>éthodologie</w:t>
            </w:r>
          </w:p>
        </w:tc>
        <w:tc>
          <w:tcPr>
            <w:tcW w:w="1710" w:type="dxa"/>
            <w:shd w:val="clear" w:color="auto" w:fill="D9D9D9" w:themeFill="background1" w:themeFillShade="D9"/>
            <w:vAlign w:val="center"/>
          </w:tcPr>
          <w:p w14:paraId="26B15F4B" w14:textId="77777777" w:rsidR="006D66C0" w:rsidRPr="006D66C0" w:rsidRDefault="006D66C0" w:rsidP="009748D4">
            <w:pPr>
              <w:spacing w:before="120" w:after="120"/>
              <w:jc w:val="center"/>
              <w:rPr>
                <w:rFonts w:cstheme="minorHAnsi"/>
                <w:b/>
                <w:bCs/>
              </w:rPr>
            </w:pPr>
            <w:r w:rsidRPr="006D66C0">
              <w:rPr>
                <w:rFonts w:cstheme="minorHAnsi"/>
                <w:b/>
                <w:bCs/>
              </w:rPr>
              <w:t>20</w:t>
            </w:r>
          </w:p>
        </w:tc>
      </w:tr>
      <w:tr w:rsidR="006D66C0" w:rsidRPr="0032274C" w14:paraId="7B52FD1B" w14:textId="77777777" w:rsidTr="001D2507">
        <w:trPr>
          <w:trHeight w:val="620"/>
        </w:trPr>
        <w:tc>
          <w:tcPr>
            <w:tcW w:w="7537" w:type="dxa"/>
            <w:shd w:val="clear" w:color="auto" w:fill="auto"/>
          </w:tcPr>
          <w:p w14:paraId="38EF2EB4" w14:textId="57D42316" w:rsidR="006D66C0" w:rsidRPr="009748D4" w:rsidRDefault="009748D4" w:rsidP="006D66C0">
            <w:pPr>
              <w:pStyle w:val="ListParagraph"/>
              <w:numPr>
                <w:ilvl w:val="0"/>
                <w:numId w:val="32"/>
              </w:numPr>
              <w:spacing w:before="120" w:after="120" w:line="240" w:lineRule="auto"/>
              <w:rPr>
                <w:rFonts w:cstheme="minorHAnsi"/>
                <w:lang w:val="fr-FR"/>
              </w:rPr>
            </w:pPr>
            <w:r w:rsidRPr="009748D4">
              <w:rPr>
                <w:rFonts w:cstheme="minorHAnsi"/>
                <w:lang w:val="fr-FR"/>
              </w:rPr>
              <w:t xml:space="preserve">Compréhension de la </w:t>
            </w:r>
            <w:r>
              <w:rPr>
                <w:rFonts w:cstheme="minorHAnsi"/>
                <w:lang w:val="fr-FR"/>
              </w:rPr>
              <w:t>tache</w:t>
            </w:r>
            <w:r w:rsidRPr="009748D4">
              <w:rPr>
                <w:rFonts w:cstheme="minorHAnsi"/>
                <w:lang w:val="fr-FR"/>
              </w:rPr>
              <w:t xml:space="preserve"> proposée</w:t>
            </w:r>
          </w:p>
        </w:tc>
        <w:tc>
          <w:tcPr>
            <w:tcW w:w="1710" w:type="dxa"/>
            <w:shd w:val="clear" w:color="auto" w:fill="auto"/>
            <w:vAlign w:val="center"/>
          </w:tcPr>
          <w:p w14:paraId="4ADF808A" w14:textId="77777777" w:rsidR="006D66C0" w:rsidRPr="00333B38" w:rsidRDefault="006D66C0" w:rsidP="00333B38">
            <w:pPr>
              <w:spacing w:before="120" w:after="120"/>
              <w:jc w:val="center"/>
              <w:rPr>
                <w:rFonts w:cstheme="minorHAnsi"/>
              </w:rPr>
            </w:pPr>
            <w:r w:rsidRPr="00333B38">
              <w:rPr>
                <w:rFonts w:cstheme="minorHAnsi"/>
              </w:rPr>
              <w:t>10</w:t>
            </w:r>
          </w:p>
        </w:tc>
      </w:tr>
      <w:tr w:rsidR="006D66C0" w:rsidRPr="0032274C" w14:paraId="7D0B5DEE" w14:textId="77777777" w:rsidTr="001D2507">
        <w:tc>
          <w:tcPr>
            <w:tcW w:w="7537" w:type="dxa"/>
            <w:shd w:val="clear" w:color="auto" w:fill="auto"/>
          </w:tcPr>
          <w:p w14:paraId="39C4DFE2" w14:textId="3DF7F573" w:rsidR="006D66C0" w:rsidRPr="002F6F3F" w:rsidRDefault="002F6F3F" w:rsidP="006D66C0">
            <w:pPr>
              <w:pStyle w:val="ListParagraph"/>
              <w:numPr>
                <w:ilvl w:val="0"/>
                <w:numId w:val="32"/>
              </w:numPr>
              <w:spacing w:before="120" w:after="120" w:line="240" w:lineRule="auto"/>
              <w:rPr>
                <w:rFonts w:cstheme="minorHAnsi"/>
                <w:lang w:val="fr-FR"/>
              </w:rPr>
            </w:pPr>
            <w:r w:rsidRPr="002F6F3F">
              <w:rPr>
                <w:rFonts w:cstheme="minorHAnsi"/>
                <w:lang w:val="fr-FR"/>
              </w:rPr>
              <w:t xml:space="preserve">Proposition de mécanisme de contrôle de la qualité </w:t>
            </w:r>
            <w:r w:rsidR="00783187">
              <w:rPr>
                <w:rFonts w:cstheme="minorHAnsi"/>
                <w:lang w:val="fr-FR"/>
              </w:rPr>
              <w:t xml:space="preserve">et méthodologie </w:t>
            </w:r>
            <w:r w:rsidR="0085313B">
              <w:rPr>
                <w:rFonts w:cstheme="minorHAnsi"/>
                <w:lang w:val="fr-FR"/>
              </w:rPr>
              <w:t>proposée</w:t>
            </w:r>
          </w:p>
        </w:tc>
        <w:tc>
          <w:tcPr>
            <w:tcW w:w="1710" w:type="dxa"/>
            <w:shd w:val="clear" w:color="auto" w:fill="auto"/>
            <w:vAlign w:val="center"/>
          </w:tcPr>
          <w:p w14:paraId="50CDAA4E" w14:textId="77777777" w:rsidR="006D66C0" w:rsidRPr="006D66C0" w:rsidRDefault="006D66C0" w:rsidP="00333B38">
            <w:pPr>
              <w:spacing w:before="120" w:after="120"/>
              <w:jc w:val="center"/>
              <w:rPr>
                <w:rFonts w:cstheme="minorHAnsi"/>
              </w:rPr>
            </w:pPr>
            <w:r w:rsidRPr="006D66C0">
              <w:rPr>
                <w:rFonts w:cstheme="minorHAnsi"/>
                <w:bCs/>
              </w:rPr>
              <w:t>10</w:t>
            </w:r>
          </w:p>
        </w:tc>
      </w:tr>
      <w:tr w:rsidR="006D66C0" w:rsidRPr="0032274C" w14:paraId="0DA90069" w14:textId="77777777" w:rsidTr="001D2507">
        <w:tc>
          <w:tcPr>
            <w:tcW w:w="7537" w:type="dxa"/>
            <w:shd w:val="clear" w:color="auto" w:fill="D9D9D9" w:themeFill="background1" w:themeFillShade="D9"/>
          </w:tcPr>
          <w:p w14:paraId="381F6D5F" w14:textId="4C95D884" w:rsidR="006D66C0" w:rsidRPr="00110A50" w:rsidRDefault="006D66C0" w:rsidP="001D2507">
            <w:pPr>
              <w:spacing w:before="120" w:after="120"/>
              <w:rPr>
                <w:rFonts w:cstheme="minorHAnsi"/>
                <w:b/>
                <w:bCs/>
                <w:lang w:val="fr-FR"/>
              </w:rPr>
            </w:pPr>
            <w:r w:rsidRPr="00110A50">
              <w:rPr>
                <w:rFonts w:cstheme="minorHAnsi"/>
                <w:b/>
                <w:bCs/>
                <w:lang w:val="fr-FR"/>
              </w:rPr>
              <w:t>Plan</w:t>
            </w:r>
            <w:r w:rsidR="0085313B">
              <w:rPr>
                <w:rFonts w:cstheme="minorHAnsi"/>
                <w:b/>
                <w:bCs/>
                <w:lang w:val="fr-FR"/>
              </w:rPr>
              <w:t xml:space="preserve"> de </w:t>
            </w:r>
            <w:r w:rsidR="002439A9">
              <w:rPr>
                <w:rFonts w:cstheme="minorHAnsi"/>
                <w:b/>
                <w:bCs/>
                <w:lang w:val="fr-FR"/>
              </w:rPr>
              <w:t>mise en œuvre</w:t>
            </w:r>
            <w:r w:rsidR="0085313B">
              <w:rPr>
                <w:rFonts w:cstheme="minorHAnsi"/>
                <w:b/>
                <w:bCs/>
                <w:lang w:val="fr-FR"/>
              </w:rPr>
              <w:t xml:space="preserve"> et</w:t>
            </w:r>
            <w:r w:rsidRPr="00110A50">
              <w:rPr>
                <w:rFonts w:cstheme="minorHAnsi"/>
                <w:b/>
                <w:bCs/>
                <w:lang w:val="fr-FR"/>
              </w:rPr>
              <w:t xml:space="preserve"> </w:t>
            </w:r>
            <w:r w:rsidR="009A45AB" w:rsidRPr="00110A50">
              <w:rPr>
                <w:rFonts w:cstheme="minorHAnsi"/>
                <w:b/>
                <w:bCs/>
                <w:lang w:val="fr-FR"/>
              </w:rPr>
              <w:t>calendrier</w:t>
            </w:r>
            <w:r w:rsidR="002439A9">
              <w:rPr>
                <w:rFonts w:cstheme="minorHAnsi"/>
                <w:b/>
                <w:bCs/>
                <w:lang w:val="fr-FR"/>
              </w:rPr>
              <w:t xml:space="preserve"> de travail</w:t>
            </w:r>
          </w:p>
        </w:tc>
        <w:tc>
          <w:tcPr>
            <w:tcW w:w="1710" w:type="dxa"/>
            <w:shd w:val="clear" w:color="auto" w:fill="D9D9D9" w:themeFill="background1" w:themeFillShade="D9"/>
            <w:vAlign w:val="center"/>
          </w:tcPr>
          <w:p w14:paraId="28B39D5F" w14:textId="77777777" w:rsidR="006D66C0" w:rsidRPr="006D66C0" w:rsidRDefault="006D66C0" w:rsidP="009748D4">
            <w:pPr>
              <w:spacing w:before="120" w:after="120"/>
              <w:jc w:val="center"/>
              <w:rPr>
                <w:rFonts w:cstheme="minorHAnsi"/>
                <w:b/>
                <w:bCs/>
              </w:rPr>
            </w:pPr>
            <w:r w:rsidRPr="006D66C0">
              <w:rPr>
                <w:rFonts w:cstheme="minorHAnsi"/>
                <w:b/>
                <w:bCs/>
              </w:rPr>
              <w:t>30</w:t>
            </w:r>
          </w:p>
        </w:tc>
      </w:tr>
      <w:tr w:rsidR="006D66C0" w:rsidRPr="0032274C" w14:paraId="7809C49D" w14:textId="77777777" w:rsidTr="001D2507">
        <w:tc>
          <w:tcPr>
            <w:tcW w:w="7537" w:type="dxa"/>
            <w:shd w:val="clear" w:color="auto" w:fill="auto"/>
          </w:tcPr>
          <w:p w14:paraId="278166C8" w14:textId="6BC9D95E" w:rsidR="006D66C0" w:rsidRPr="002439A9" w:rsidRDefault="002439A9" w:rsidP="006D66C0">
            <w:pPr>
              <w:pStyle w:val="ListParagraph"/>
              <w:numPr>
                <w:ilvl w:val="0"/>
                <w:numId w:val="33"/>
              </w:numPr>
              <w:spacing w:before="120" w:after="120" w:line="240" w:lineRule="auto"/>
              <w:rPr>
                <w:rFonts w:cstheme="minorHAnsi"/>
                <w:snapToGrid w:val="0"/>
                <w:lang w:val="fr-FR"/>
              </w:rPr>
            </w:pPr>
            <w:r w:rsidRPr="002439A9">
              <w:rPr>
                <w:rFonts w:cstheme="minorHAnsi"/>
                <w:lang w:val="fr-FR"/>
              </w:rPr>
              <w:t xml:space="preserve">Qualité du plan de mise en œuvre proposé </w:t>
            </w:r>
            <w:r>
              <w:rPr>
                <w:rFonts w:cstheme="minorHAnsi"/>
                <w:lang w:val="fr-FR"/>
              </w:rPr>
              <w:t>pour chaque activité et</w:t>
            </w:r>
            <w:r w:rsidRPr="002439A9">
              <w:rPr>
                <w:rFonts w:cstheme="minorHAnsi"/>
                <w:lang w:val="fr-FR"/>
              </w:rPr>
              <w:t xml:space="preserve"> calendrier</w:t>
            </w:r>
          </w:p>
        </w:tc>
        <w:tc>
          <w:tcPr>
            <w:tcW w:w="1710" w:type="dxa"/>
            <w:shd w:val="clear" w:color="auto" w:fill="auto"/>
            <w:vAlign w:val="center"/>
          </w:tcPr>
          <w:p w14:paraId="2A50C7B2" w14:textId="77777777" w:rsidR="006D66C0" w:rsidRPr="006D66C0" w:rsidRDefault="006D66C0" w:rsidP="00333B38">
            <w:pPr>
              <w:spacing w:before="120" w:after="120"/>
              <w:jc w:val="center"/>
              <w:rPr>
                <w:rFonts w:cstheme="minorHAnsi"/>
              </w:rPr>
            </w:pPr>
            <w:r w:rsidRPr="00333B38">
              <w:rPr>
                <w:rFonts w:cstheme="minorHAnsi"/>
              </w:rPr>
              <w:t>15</w:t>
            </w:r>
          </w:p>
        </w:tc>
      </w:tr>
      <w:tr w:rsidR="006D66C0" w:rsidRPr="0032274C" w14:paraId="5C1DF7FC" w14:textId="77777777" w:rsidTr="001D2507">
        <w:tc>
          <w:tcPr>
            <w:tcW w:w="7537" w:type="dxa"/>
            <w:shd w:val="clear" w:color="auto" w:fill="auto"/>
          </w:tcPr>
          <w:p w14:paraId="29C8A9C8" w14:textId="0C25E319" w:rsidR="006D66C0" w:rsidRPr="00333B38" w:rsidRDefault="00333B38" w:rsidP="006D66C0">
            <w:pPr>
              <w:pStyle w:val="ListParagraph"/>
              <w:numPr>
                <w:ilvl w:val="0"/>
                <w:numId w:val="33"/>
              </w:numPr>
              <w:spacing w:before="120" w:after="120" w:line="240" w:lineRule="auto"/>
              <w:rPr>
                <w:rFonts w:cstheme="minorHAnsi"/>
                <w:lang w:val="fr-FR"/>
              </w:rPr>
            </w:pPr>
            <w:r w:rsidRPr="00333B38">
              <w:rPr>
                <w:rFonts w:cstheme="minorHAnsi"/>
                <w:lang w:val="fr-FR"/>
              </w:rPr>
              <w:t>Gestion des risques et flexibilité de la proposition dans le contexte des besoins éventuels pour apporter des changements en ce qui concerne le temps, la durée, le lieu et le type d'activités</w:t>
            </w:r>
          </w:p>
        </w:tc>
        <w:tc>
          <w:tcPr>
            <w:tcW w:w="1710" w:type="dxa"/>
            <w:shd w:val="clear" w:color="auto" w:fill="auto"/>
            <w:vAlign w:val="center"/>
          </w:tcPr>
          <w:p w14:paraId="1226231E" w14:textId="77777777" w:rsidR="006D66C0" w:rsidRPr="006D66C0" w:rsidRDefault="006D66C0" w:rsidP="00333B38">
            <w:pPr>
              <w:spacing w:before="120" w:after="120"/>
              <w:jc w:val="center"/>
              <w:rPr>
                <w:rFonts w:cstheme="minorHAnsi"/>
              </w:rPr>
            </w:pPr>
            <w:r w:rsidRPr="00333B38">
              <w:rPr>
                <w:rFonts w:cstheme="minorHAnsi"/>
              </w:rPr>
              <w:t>15</w:t>
            </w:r>
          </w:p>
        </w:tc>
      </w:tr>
      <w:tr w:rsidR="006D66C0" w:rsidRPr="006438C6" w14:paraId="5E56E203" w14:textId="77777777" w:rsidTr="001D2507">
        <w:tc>
          <w:tcPr>
            <w:tcW w:w="7537" w:type="dxa"/>
            <w:shd w:val="clear" w:color="auto" w:fill="D9D9D9" w:themeFill="background1" w:themeFillShade="D9"/>
          </w:tcPr>
          <w:p w14:paraId="04BF6055" w14:textId="473D7CA2" w:rsidR="006D66C0" w:rsidRPr="009A45AB" w:rsidRDefault="009A45AB" w:rsidP="001D2507">
            <w:pPr>
              <w:spacing w:before="120" w:after="120"/>
              <w:rPr>
                <w:rFonts w:cstheme="minorHAnsi"/>
                <w:b/>
                <w:bCs/>
                <w:lang w:val="fr-FR"/>
              </w:rPr>
            </w:pPr>
            <w:r w:rsidRPr="006438C6">
              <w:rPr>
                <w:rFonts w:cstheme="minorHAnsi"/>
                <w:b/>
                <w:bCs/>
                <w:lang w:val="fr-FR"/>
              </w:rPr>
              <w:t>Expérience et références techniques pertinentes</w:t>
            </w:r>
          </w:p>
        </w:tc>
        <w:tc>
          <w:tcPr>
            <w:tcW w:w="1710" w:type="dxa"/>
            <w:shd w:val="clear" w:color="auto" w:fill="D9D9D9" w:themeFill="background1" w:themeFillShade="D9"/>
            <w:vAlign w:val="center"/>
          </w:tcPr>
          <w:p w14:paraId="3CDF51EE" w14:textId="6FA187EA" w:rsidR="006D66C0" w:rsidRPr="006438C6" w:rsidRDefault="00D53095" w:rsidP="006438C6">
            <w:pPr>
              <w:spacing w:before="120" w:after="120"/>
              <w:jc w:val="center"/>
              <w:rPr>
                <w:rFonts w:cstheme="minorHAnsi"/>
                <w:b/>
                <w:bCs/>
                <w:lang w:val="fr-FR"/>
              </w:rPr>
            </w:pPr>
            <w:r>
              <w:rPr>
                <w:rFonts w:cstheme="minorHAnsi"/>
                <w:b/>
                <w:bCs/>
                <w:lang w:val="fr-FR"/>
              </w:rPr>
              <w:t>50</w:t>
            </w:r>
          </w:p>
        </w:tc>
      </w:tr>
      <w:tr w:rsidR="006D66C0" w:rsidRPr="0032274C" w14:paraId="780B30BD" w14:textId="77777777" w:rsidTr="001D2507">
        <w:tc>
          <w:tcPr>
            <w:tcW w:w="7537" w:type="dxa"/>
            <w:shd w:val="clear" w:color="auto" w:fill="auto"/>
          </w:tcPr>
          <w:p w14:paraId="46298307" w14:textId="636F32F0" w:rsidR="006D66C0" w:rsidRPr="00F657A2" w:rsidRDefault="00F657A2" w:rsidP="006D66C0">
            <w:pPr>
              <w:pStyle w:val="ListParagraph"/>
              <w:numPr>
                <w:ilvl w:val="0"/>
                <w:numId w:val="34"/>
              </w:numPr>
              <w:spacing w:before="120" w:after="120" w:line="240" w:lineRule="auto"/>
              <w:rPr>
                <w:rFonts w:cstheme="minorHAnsi"/>
                <w:b/>
                <w:bCs/>
                <w:lang w:val="fr-FR"/>
              </w:rPr>
            </w:pPr>
            <w:r w:rsidRPr="00F657A2">
              <w:rPr>
                <w:rFonts w:cstheme="minorHAnsi"/>
                <w:lang w:val="fr-FR"/>
              </w:rPr>
              <w:t>Expérience démontrée dans l</w:t>
            </w:r>
            <w:r>
              <w:rPr>
                <w:rFonts w:cstheme="minorHAnsi"/>
                <w:lang w:val="fr-FR"/>
              </w:rPr>
              <w:t>e</w:t>
            </w:r>
            <w:r w:rsidRPr="00F657A2">
              <w:rPr>
                <w:rFonts w:cstheme="minorHAnsi"/>
                <w:lang w:val="fr-FR"/>
              </w:rPr>
              <w:t xml:space="preserve"> </w:t>
            </w:r>
            <w:r>
              <w:rPr>
                <w:rFonts w:cstheme="minorHAnsi"/>
                <w:lang w:val="fr-FR"/>
              </w:rPr>
              <w:t>domaine</w:t>
            </w:r>
          </w:p>
        </w:tc>
        <w:tc>
          <w:tcPr>
            <w:tcW w:w="1710" w:type="dxa"/>
            <w:shd w:val="clear" w:color="auto" w:fill="auto"/>
            <w:vAlign w:val="center"/>
          </w:tcPr>
          <w:p w14:paraId="419479A3" w14:textId="4509030F" w:rsidR="006D66C0" w:rsidRPr="00333B38" w:rsidRDefault="00D53095" w:rsidP="00333B38">
            <w:pPr>
              <w:spacing w:before="120" w:after="120"/>
              <w:jc w:val="center"/>
              <w:rPr>
                <w:rFonts w:cstheme="minorHAnsi"/>
              </w:rPr>
            </w:pPr>
            <w:r>
              <w:rPr>
                <w:rFonts w:cstheme="minorHAnsi"/>
              </w:rPr>
              <w:t>25</w:t>
            </w:r>
          </w:p>
        </w:tc>
      </w:tr>
      <w:tr w:rsidR="006D66C0" w:rsidRPr="00BE12F4" w14:paraId="2AD9E921" w14:textId="77777777" w:rsidTr="001D2507">
        <w:tc>
          <w:tcPr>
            <w:tcW w:w="7537" w:type="dxa"/>
            <w:shd w:val="clear" w:color="auto" w:fill="auto"/>
          </w:tcPr>
          <w:p w14:paraId="6059AA49" w14:textId="017C76BB" w:rsidR="006D66C0" w:rsidRPr="00BE12F4" w:rsidRDefault="00BE12F4" w:rsidP="006D66C0">
            <w:pPr>
              <w:pStyle w:val="ListParagraph"/>
              <w:numPr>
                <w:ilvl w:val="0"/>
                <w:numId w:val="34"/>
              </w:numPr>
              <w:spacing w:before="120" w:after="120" w:line="240" w:lineRule="auto"/>
              <w:rPr>
                <w:rFonts w:cstheme="minorHAnsi"/>
                <w:snapToGrid w:val="0"/>
                <w:lang w:val="fr-FR"/>
              </w:rPr>
            </w:pPr>
            <w:r>
              <w:rPr>
                <w:rFonts w:cstheme="minorHAnsi"/>
                <w:lang w:val="fr-FR"/>
              </w:rPr>
              <w:t xml:space="preserve">Valuation </w:t>
            </w:r>
            <w:r w:rsidRPr="00BE12F4">
              <w:rPr>
                <w:rFonts w:cstheme="minorHAnsi"/>
                <w:lang w:val="fr-FR"/>
              </w:rPr>
              <w:t>des références techniques</w:t>
            </w:r>
          </w:p>
        </w:tc>
        <w:tc>
          <w:tcPr>
            <w:tcW w:w="1710" w:type="dxa"/>
            <w:shd w:val="clear" w:color="auto" w:fill="auto"/>
            <w:vAlign w:val="center"/>
          </w:tcPr>
          <w:p w14:paraId="6AE69473" w14:textId="46469089" w:rsidR="006D66C0" w:rsidRPr="00BE12F4" w:rsidRDefault="00D53095" w:rsidP="00333B38">
            <w:pPr>
              <w:spacing w:before="120" w:after="120"/>
              <w:jc w:val="center"/>
              <w:rPr>
                <w:rFonts w:cstheme="minorHAnsi"/>
              </w:rPr>
            </w:pPr>
            <w:r>
              <w:rPr>
                <w:rFonts w:cstheme="minorHAnsi"/>
              </w:rPr>
              <w:t>2</w:t>
            </w:r>
            <w:r w:rsidR="006D66C0" w:rsidRPr="00BE12F4">
              <w:rPr>
                <w:rFonts w:cstheme="minorHAnsi"/>
              </w:rPr>
              <w:t>5</w:t>
            </w:r>
          </w:p>
        </w:tc>
      </w:tr>
      <w:tr w:rsidR="006D66C0" w:rsidRPr="0032274C" w14:paraId="2AED9971" w14:textId="77777777" w:rsidTr="001D2507">
        <w:trPr>
          <w:trHeight w:val="449"/>
        </w:trPr>
        <w:tc>
          <w:tcPr>
            <w:tcW w:w="7537" w:type="dxa"/>
            <w:shd w:val="clear" w:color="auto" w:fill="D9D9D9" w:themeFill="background1" w:themeFillShade="D9"/>
          </w:tcPr>
          <w:p w14:paraId="04D15974" w14:textId="1EE39E74" w:rsidR="006D66C0" w:rsidRPr="006D66C0" w:rsidRDefault="006D66C0" w:rsidP="001D2507">
            <w:pPr>
              <w:spacing w:before="120" w:after="120"/>
              <w:rPr>
                <w:rFonts w:cstheme="minorHAnsi"/>
              </w:rPr>
            </w:pPr>
            <w:r w:rsidRPr="006D66C0">
              <w:rPr>
                <w:rFonts w:cstheme="minorHAnsi"/>
              </w:rPr>
              <w:t xml:space="preserve">Total </w:t>
            </w:r>
          </w:p>
        </w:tc>
        <w:tc>
          <w:tcPr>
            <w:tcW w:w="1710" w:type="dxa"/>
            <w:shd w:val="clear" w:color="auto" w:fill="D9D9D9" w:themeFill="background1" w:themeFillShade="D9"/>
            <w:vAlign w:val="center"/>
          </w:tcPr>
          <w:p w14:paraId="6E616F09" w14:textId="77777777" w:rsidR="006D66C0" w:rsidRPr="006D66C0" w:rsidRDefault="006D66C0" w:rsidP="009748D4">
            <w:pPr>
              <w:spacing w:before="120" w:after="120"/>
              <w:jc w:val="center"/>
              <w:rPr>
                <w:rFonts w:cstheme="minorHAnsi"/>
                <w:b/>
                <w:bCs/>
              </w:rPr>
            </w:pPr>
            <w:r w:rsidRPr="006D66C0">
              <w:rPr>
                <w:rFonts w:cstheme="minorHAnsi"/>
                <w:b/>
                <w:bCs/>
              </w:rPr>
              <w:t>100</w:t>
            </w:r>
          </w:p>
        </w:tc>
      </w:tr>
    </w:tbl>
    <w:p w14:paraId="25EC8344" w14:textId="2BAE300C" w:rsidR="00710CA6" w:rsidRDefault="00710CA6" w:rsidP="00622306">
      <w:pPr>
        <w:jc w:val="both"/>
        <w:rPr>
          <w:lang w:val="fr-FR"/>
        </w:rPr>
      </w:pPr>
    </w:p>
    <w:p w14:paraId="3A099160" w14:textId="77777777" w:rsidR="00F93F73" w:rsidRDefault="00F93F73" w:rsidP="00DF6FB0">
      <w:pPr>
        <w:spacing w:before="200"/>
        <w:rPr>
          <w:b/>
          <w:bCs/>
          <w:lang w:val="fr-FR"/>
        </w:rPr>
      </w:pPr>
      <w:bookmarkStart w:id="2" w:name="_GoBack"/>
      <w:bookmarkEnd w:id="2"/>
    </w:p>
    <w:p w14:paraId="7842F13C" w14:textId="5F9A35AA" w:rsidR="00DF6FB0" w:rsidRDefault="00DF6FB0" w:rsidP="00DF6FB0">
      <w:pPr>
        <w:spacing w:before="200"/>
        <w:rPr>
          <w:b/>
          <w:bCs/>
          <w:lang w:val="fr-FR"/>
        </w:rPr>
      </w:pPr>
      <w:r>
        <w:rPr>
          <w:b/>
          <w:bCs/>
          <w:lang w:val="fr-FR"/>
        </w:rPr>
        <w:t>Evaluation de la proposition</w:t>
      </w:r>
      <w:r w:rsidRPr="00256B48">
        <w:rPr>
          <w:b/>
          <w:bCs/>
          <w:lang w:val="fr-FR"/>
        </w:rPr>
        <w:t xml:space="preserve"> </w:t>
      </w:r>
      <w:r>
        <w:rPr>
          <w:b/>
          <w:bCs/>
          <w:lang w:val="fr-FR"/>
        </w:rPr>
        <w:t>financière</w:t>
      </w:r>
    </w:p>
    <w:p w14:paraId="607CAAAD" w14:textId="4AF3ED9D" w:rsidR="008B7A7B" w:rsidRPr="008B7A7B" w:rsidRDefault="007E76B2" w:rsidP="008B7A7B">
      <w:pPr>
        <w:jc w:val="both"/>
        <w:rPr>
          <w:lang w:val="fr-FR"/>
        </w:rPr>
      </w:pPr>
      <w:r>
        <w:rPr>
          <w:lang w:val="fr-FR"/>
        </w:rPr>
        <w:t>L</w:t>
      </w:r>
      <w:r w:rsidR="008B7A7B" w:rsidRPr="008B7A7B">
        <w:rPr>
          <w:lang w:val="fr-FR"/>
        </w:rPr>
        <w:t xml:space="preserve">e nombre maximal de points attribués à la </w:t>
      </w:r>
      <w:r>
        <w:rPr>
          <w:lang w:val="fr-FR"/>
        </w:rPr>
        <w:t>proposition</w:t>
      </w:r>
      <w:r w:rsidR="008B7A7B" w:rsidRPr="008B7A7B">
        <w:rPr>
          <w:lang w:val="fr-FR"/>
        </w:rPr>
        <w:t xml:space="preserve"> financière est attribué à la proposition de prix la plus basse. Toutes les autres propositions de prix </w:t>
      </w:r>
      <w:r w:rsidRPr="008B7A7B">
        <w:rPr>
          <w:lang w:val="fr-FR"/>
        </w:rPr>
        <w:t>recevr</w:t>
      </w:r>
      <w:r>
        <w:rPr>
          <w:lang w:val="fr-FR"/>
        </w:rPr>
        <w:t>ont</w:t>
      </w:r>
      <w:r w:rsidR="008B7A7B" w:rsidRPr="008B7A7B">
        <w:rPr>
          <w:lang w:val="fr-FR"/>
        </w:rPr>
        <w:t xml:space="preserve"> des points en proportion inverse. </w:t>
      </w:r>
      <w:r>
        <w:rPr>
          <w:lang w:val="fr-FR"/>
        </w:rPr>
        <w:t>La</w:t>
      </w:r>
      <w:r w:rsidR="008B7A7B" w:rsidRPr="008B7A7B">
        <w:rPr>
          <w:lang w:val="fr-FR"/>
        </w:rPr>
        <w:t xml:space="preserve"> formule </w:t>
      </w:r>
      <w:r w:rsidR="00C01604">
        <w:rPr>
          <w:lang w:val="fr-FR"/>
        </w:rPr>
        <w:t>a</w:t>
      </w:r>
      <w:r>
        <w:rPr>
          <w:lang w:val="fr-FR"/>
        </w:rPr>
        <w:t xml:space="preserve"> </w:t>
      </w:r>
      <w:proofErr w:type="gramStart"/>
      <w:r>
        <w:rPr>
          <w:lang w:val="fr-FR"/>
        </w:rPr>
        <w:t>utiliser</w:t>
      </w:r>
      <w:proofErr w:type="gramEnd"/>
      <w:r>
        <w:rPr>
          <w:lang w:val="fr-FR"/>
        </w:rPr>
        <w:t xml:space="preserve"> sera</w:t>
      </w:r>
      <w:r w:rsidR="008B7A7B" w:rsidRPr="008B7A7B">
        <w:rPr>
          <w:lang w:val="fr-FR"/>
        </w:rPr>
        <w:t xml:space="preserve"> la suivante :</w:t>
      </w:r>
    </w:p>
    <w:p w14:paraId="29AC9A12" w14:textId="0A12E5D3" w:rsidR="008B7A7B" w:rsidRPr="00095AF5" w:rsidRDefault="008B7A7B" w:rsidP="007E76B2">
      <w:pPr>
        <w:jc w:val="center"/>
        <w:rPr>
          <w:sz w:val="28"/>
          <w:szCs w:val="28"/>
          <w:lang w:val="fr-FR"/>
        </w:rPr>
      </w:pPr>
      <w:proofErr w:type="gramStart"/>
      <w:r w:rsidRPr="00095AF5">
        <w:rPr>
          <w:sz w:val="28"/>
          <w:szCs w:val="28"/>
          <w:lang w:val="fr-FR"/>
        </w:rPr>
        <w:t>p</w:t>
      </w:r>
      <w:proofErr w:type="gramEnd"/>
      <w:r w:rsidRPr="00095AF5">
        <w:rPr>
          <w:sz w:val="28"/>
          <w:szCs w:val="28"/>
          <w:lang w:val="fr-FR"/>
        </w:rPr>
        <w:t xml:space="preserve"> = </w:t>
      </w:r>
      <w:r w:rsidR="007E76B2" w:rsidRPr="00095AF5">
        <w:rPr>
          <w:sz w:val="28"/>
          <w:szCs w:val="28"/>
          <w:lang w:val="fr-FR"/>
        </w:rPr>
        <w:t>a</w:t>
      </w:r>
      <w:r w:rsidRPr="00095AF5">
        <w:rPr>
          <w:sz w:val="28"/>
          <w:szCs w:val="28"/>
          <w:lang w:val="fr-FR"/>
        </w:rPr>
        <w:t xml:space="preserve"> (</w:t>
      </w:r>
      <w:r w:rsidR="00C01604" w:rsidRPr="00095AF5">
        <w:rPr>
          <w:sz w:val="28"/>
          <w:szCs w:val="28"/>
          <w:lang w:val="fr-FR"/>
        </w:rPr>
        <w:t>b</w:t>
      </w:r>
      <w:r w:rsidRPr="00095AF5">
        <w:rPr>
          <w:sz w:val="28"/>
          <w:szCs w:val="28"/>
          <w:lang w:val="fr-FR"/>
        </w:rPr>
        <w:t>/</w:t>
      </w:r>
      <w:r w:rsidR="00C01604" w:rsidRPr="00095AF5">
        <w:rPr>
          <w:sz w:val="28"/>
          <w:szCs w:val="28"/>
          <w:lang w:val="fr-FR"/>
        </w:rPr>
        <w:t>c</w:t>
      </w:r>
      <w:r w:rsidRPr="00095AF5">
        <w:rPr>
          <w:sz w:val="28"/>
          <w:szCs w:val="28"/>
          <w:lang w:val="fr-FR"/>
        </w:rPr>
        <w:t>)</w:t>
      </w:r>
    </w:p>
    <w:p w14:paraId="5D9F7B9B" w14:textId="77777777" w:rsidR="008B7A7B" w:rsidRPr="008B7A7B" w:rsidRDefault="008B7A7B" w:rsidP="008B7A7B">
      <w:pPr>
        <w:jc w:val="both"/>
        <w:rPr>
          <w:lang w:val="fr-FR"/>
        </w:rPr>
      </w:pPr>
      <w:r w:rsidRPr="008B7A7B">
        <w:rPr>
          <w:lang w:val="fr-FR"/>
        </w:rPr>
        <w:t>Où :</w:t>
      </w:r>
    </w:p>
    <w:p w14:paraId="4A55C5B2" w14:textId="77777777" w:rsidR="008B7A7B" w:rsidRPr="008B7A7B" w:rsidRDefault="008B7A7B" w:rsidP="008B7A7B">
      <w:pPr>
        <w:jc w:val="both"/>
        <w:rPr>
          <w:lang w:val="fr-FR"/>
        </w:rPr>
      </w:pPr>
      <w:proofErr w:type="gramStart"/>
      <w:r w:rsidRPr="008B7A7B">
        <w:rPr>
          <w:lang w:val="fr-FR"/>
        </w:rPr>
        <w:t>p</w:t>
      </w:r>
      <w:proofErr w:type="gramEnd"/>
      <w:r w:rsidRPr="008B7A7B">
        <w:rPr>
          <w:lang w:val="fr-FR"/>
        </w:rPr>
        <w:t xml:space="preserve"> = points pour la soumission financière évaluée</w:t>
      </w:r>
    </w:p>
    <w:p w14:paraId="578E1614" w14:textId="21CAFB29" w:rsidR="008B7A7B" w:rsidRPr="008B7A7B" w:rsidRDefault="007E76B2" w:rsidP="008B7A7B">
      <w:pPr>
        <w:jc w:val="both"/>
        <w:rPr>
          <w:lang w:val="fr-FR"/>
        </w:rPr>
      </w:pPr>
      <w:proofErr w:type="gramStart"/>
      <w:r>
        <w:rPr>
          <w:lang w:val="fr-FR"/>
        </w:rPr>
        <w:t>a</w:t>
      </w:r>
      <w:proofErr w:type="gramEnd"/>
      <w:r w:rsidR="008B7A7B" w:rsidRPr="008B7A7B">
        <w:rPr>
          <w:lang w:val="fr-FR"/>
        </w:rPr>
        <w:t xml:space="preserve"> = nombre maximal de points pour la soumission financière</w:t>
      </w:r>
    </w:p>
    <w:p w14:paraId="00F1E3FF" w14:textId="5238FBB8" w:rsidR="008B7A7B" w:rsidRPr="008B7A7B" w:rsidRDefault="00C01604" w:rsidP="008B7A7B">
      <w:pPr>
        <w:jc w:val="both"/>
        <w:rPr>
          <w:lang w:val="fr-FR"/>
        </w:rPr>
      </w:pPr>
      <w:proofErr w:type="gramStart"/>
      <w:r>
        <w:rPr>
          <w:lang w:val="fr-FR"/>
        </w:rPr>
        <w:t>b</w:t>
      </w:r>
      <w:proofErr w:type="gramEnd"/>
      <w:r w:rsidR="008B7A7B" w:rsidRPr="008B7A7B">
        <w:rPr>
          <w:lang w:val="fr-FR"/>
        </w:rPr>
        <w:t xml:space="preserve"> = prix de la proposition de prix la plus basse</w:t>
      </w:r>
    </w:p>
    <w:p w14:paraId="5AC4623C" w14:textId="08B91326" w:rsidR="008B7A7B" w:rsidRPr="008B7A7B" w:rsidRDefault="00C01604" w:rsidP="008B7A7B">
      <w:pPr>
        <w:jc w:val="both"/>
        <w:rPr>
          <w:lang w:val="fr-FR"/>
        </w:rPr>
      </w:pPr>
      <w:proofErr w:type="gramStart"/>
      <w:r>
        <w:rPr>
          <w:lang w:val="fr-FR"/>
        </w:rPr>
        <w:t>c</w:t>
      </w:r>
      <w:proofErr w:type="gramEnd"/>
      <w:r w:rsidR="008B7A7B" w:rsidRPr="008B7A7B">
        <w:rPr>
          <w:lang w:val="fr-FR"/>
        </w:rPr>
        <w:t xml:space="preserve"> = prix de la proposition évaluée</w:t>
      </w:r>
    </w:p>
    <w:p w14:paraId="58B76D2B" w14:textId="77777777" w:rsidR="00AD6748" w:rsidRPr="00CE5387" w:rsidRDefault="00AD6748" w:rsidP="00AD6748">
      <w:pPr>
        <w:spacing w:line="240" w:lineRule="auto"/>
        <w:rPr>
          <w:rFonts w:cs="Arial"/>
          <w:szCs w:val="20"/>
          <w:lang w:val="fr-FR"/>
        </w:rPr>
      </w:pPr>
    </w:p>
    <w:sectPr w:rsidR="00AD6748" w:rsidRPr="00CE5387" w:rsidSect="005E077F">
      <w:headerReference w:type="default" r:id="rId8"/>
      <w:footerReference w:type="default" r:id="rId9"/>
      <w:pgSz w:w="11906" w:h="16838"/>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CE8A4" w14:textId="77777777" w:rsidR="00217512" w:rsidRDefault="00217512" w:rsidP="00AD6748">
      <w:pPr>
        <w:spacing w:after="0" w:line="240" w:lineRule="auto"/>
      </w:pPr>
      <w:r>
        <w:separator/>
      </w:r>
    </w:p>
  </w:endnote>
  <w:endnote w:type="continuationSeparator" w:id="0">
    <w:p w14:paraId="41D910A0" w14:textId="77777777" w:rsidR="00217512" w:rsidRDefault="00217512" w:rsidP="00AD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053424"/>
      <w:docPartObj>
        <w:docPartGallery w:val="Page Numbers (Bottom of Page)"/>
        <w:docPartUnique/>
      </w:docPartObj>
    </w:sdtPr>
    <w:sdtEndPr>
      <w:rPr>
        <w:noProof/>
      </w:rPr>
    </w:sdtEndPr>
    <w:sdtContent>
      <w:p w14:paraId="7BAFE8BE" w14:textId="31FDBCCA" w:rsidR="002A6073" w:rsidRDefault="002A6073">
        <w:pPr>
          <w:pStyle w:val="Footer"/>
          <w:jc w:val="right"/>
        </w:pPr>
        <w:r>
          <w:fldChar w:fldCharType="begin"/>
        </w:r>
        <w:r>
          <w:instrText xml:space="preserve"> PAGE   \* MERGEFORMAT </w:instrText>
        </w:r>
        <w:r>
          <w:fldChar w:fldCharType="separate"/>
        </w:r>
        <w:r w:rsidR="00961D77">
          <w:rPr>
            <w:noProof/>
          </w:rPr>
          <w:t>8</w:t>
        </w:r>
        <w:r>
          <w:rPr>
            <w:noProof/>
          </w:rPr>
          <w:fldChar w:fldCharType="end"/>
        </w:r>
      </w:p>
    </w:sdtContent>
  </w:sdt>
  <w:p w14:paraId="6B8E3D67" w14:textId="77777777" w:rsidR="002A6073" w:rsidRDefault="002A6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ABBBC" w14:textId="77777777" w:rsidR="00217512" w:rsidRDefault="00217512" w:rsidP="00AD6748">
      <w:pPr>
        <w:spacing w:after="0" w:line="240" w:lineRule="auto"/>
      </w:pPr>
      <w:r>
        <w:separator/>
      </w:r>
    </w:p>
  </w:footnote>
  <w:footnote w:type="continuationSeparator" w:id="0">
    <w:p w14:paraId="773DB302" w14:textId="77777777" w:rsidR="00217512" w:rsidRDefault="00217512" w:rsidP="00AD6748">
      <w:pPr>
        <w:spacing w:after="0" w:line="240" w:lineRule="auto"/>
      </w:pPr>
      <w:r>
        <w:continuationSeparator/>
      </w:r>
    </w:p>
  </w:footnote>
  <w:footnote w:id="1">
    <w:p w14:paraId="6812EFC2" w14:textId="77777777" w:rsidR="00216601" w:rsidRPr="005E077F" w:rsidRDefault="00216601" w:rsidP="00216601">
      <w:pPr>
        <w:pStyle w:val="FootnoteText"/>
        <w:rPr>
          <w:rFonts w:asciiTheme="minorHAnsi" w:hAnsiTheme="minorHAnsi" w:cstheme="minorHAnsi"/>
          <w:lang w:val="fr-FR"/>
        </w:rPr>
      </w:pPr>
      <w:r w:rsidRPr="005E077F">
        <w:rPr>
          <w:rStyle w:val="FootnoteReference"/>
          <w:rFonts w:asciiTheme="minorHAnsi" w:hAnsiTheme="minorHAnsi" w:cstheme="minorHAnsi"/>
        </w:rPr>
        <w:footnoteRef/>
      </w:r>
      <w:r w:rsidRPr="005E077F">
        <w:rPr>
          <w:rFonts w:asciiTheme="minorHAnsi" w:hAnsiTheme="minorHAnsi" w:cstheme="minorHAnsi"/>
          <w:lang w:val="fr-FR"/>
        </w:rPr>
        <w:t xml:space="preserve"> Participation à la Transformation de l’Hygiène et de l’Assainissement </w:t>
      </w:r>
    </w:p>
    <w:p w14:paraId="3984C682" w14:textId="77777777" w:rsidR="00216601" w:rsidRPr="00D31DCB" w:rsidRDefault="00216601" w:rsidP="00216601">
      <w:pPr>
        <w:pStyle w:val="FootnoteText"/>
        <w:rPr>
          <w:lang w:val="fr-FR"/>
        </w:rPr>
      </w:pPr>
    </w:p>
  </w:footnote>
  <w:footnote w:id="2">
    <w:p w14:paraId="35C04BAF" w14:textId="77777777" w:rsidR="00216601" w:rsidRPr="005E077F" w:rsidRDefault="00216601" w:rsidP="00216601">
      <w:pPr>
        <w:pStyle w:val="FootnoteText"/>
        <w:rPr>
          <w:rFonts w:asciiTheme="minorHAnsi" w:hAnsiTheme="minorHAnsi" w:cstheme="minorHAnsi"/>
          <w:lang w:val="fr-FR"/>
        </w:rPr>
      </w:pPr>
      <w:r w:rsidRPr="005E077F">
        <w:rPr>
          <w:rStyle w:val="FootnoteReference"/>
          <w:rFonts w:asciiTheme="minorHAnsi" w:hAnsiTheme="minorHAnsi" w:cstheme="minorHAnsi"/>
        </w:rPr>
        <w:footnoteRef/>
      </w:r>
      <w:r w:rsidRPr="005E077F">
        <w:rPr>
          <w:rFonts w:asciiTheme="minorHAnsi" w:hAnsiTheme="minorHAnsi" w:cstheme="minorHAnsi"/>
          <w:lang w:val="fr-FR"/>
        </w:rPr>
        <w:t xml:space="preserve"> </w:t>
      </w:r>
      <w:proofErr w:type="spellStart"/>
      <w:r w:rsidRPr="005E077F">
        <w:rPr>
          <w:rFonts w:asciiTheme="minorHAnsi" w:hAnsiTheme="minorHAnsi" w:cstheme="minorHAnsi"/>
          <w:lang w:val="fr-FR"/>
        </w:rPr>
        <w:t>Children’s</w:t>
      </w:r>
      <w:proofErr w:type="spellEnd"/>
      <w:r w:rsidRPr="005E077F">
        <w:rPr>
          <w:rFonts w:asciiTheme="minorHAnsi" w:hAnsiTheme="minorHAnsi" w:cstheme="minorHAnsi"/>
          <w:lang w:val="fr-FR"/>
        </w:rPr>
        <w:t xml:space="preserve"> </w:t>
      </w:r>
      <w:proofErr w:type="spellStart"/>
      <w:r w:rsidRPr="005E077F">
        <w:rPr>
          <w:rFonts w:asciiTheme="minorHAnsi" w:hAnsiTheme="minorHAnsi" w:cstheme="minorHAnsi"/>
          <w:lang w:val="fr-FR"/>
        </w:rPr>
        <w:t>Hygiene</w:t>
      </w:r>
      <w:proofErr w:type="spellEnd"/>
      <w:r w:rsidRPr="005E077F">
        <w:rPr>
          <w:rFonts w:asciiTheme="minorHAnsi" w:hAnsiTheme="minorHAnsi" w:cstheme="minorHAnsi"/>
          <w:lang w:val="fr-FR"/>
        </w:rPr>
        <w:t xml:space="preserve"> And </w:t>
      </w:r>
      <w:proofErr w:type="spellStart"/>
      <w:r w:rsidRPr="005E077F">
        <w:rPr>
          <w:rFonts w:asciiTheme="minorHAnsi" w:hAnsiTheme="minorHAnsi" w:cstheme="minorHAnsi"/>
          <w:lang w:val="fr-FR"/>
        </w:rPr>
        <w:t>Sanitation</w:t>
      </w:r>
      <w:proofErr w:type="spellEnd"/>
      <w:r w:rsidRPr="005E077F">
        <w:rPr>
          <w:rFonts w:asciiTheme="minorHAnsi" w:hAnsiTheme="minorHAnsi" w:cstheme="minorHAnsi"/>
          <w:lang w:val="fr-FR"/>
        </w:rPr>
        <w:t xml:space="preserve"> Training – PHAST adapté aux enfants en milieu scolaire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DA78" w14:textId="0498E6DB" w:rsidR="00AF06B3" w:rsidRDefault="00302571" w:rsidP="003741BF">
    <w:pPr>
      <w:pStyle w:val="Header"/>
      <w:jc w:val="right"/>
    </w:pPr>
    <w:r>
      <w:t xml:space="preserve">                                                                                                                           </w:t>
    </w:r>
    <w:r>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309"/>
    <w:multiLevelType w:val="hybridMultilevel"/>
    <w:tmpl w:val="342AAE16"/>
    <w:lvl w:ilvl="0" w:tplc="7C6CBA2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B0C22"/>
    <w:multiLevelType w:val="hybridMultilevel"/>
    <w:tmpl w:val="F0C699BE"/>
    <w:lvl w:ilvl="0" w:tplc="7C6CBA2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70BA2"/>
    <w:multiLevelType w:val="hybridMultilevel"/>
    <w:tmpl w:val="B5CCDAF4"/>
    <w:lvl w:ilvl="0" w:tplc="4A82DC0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8463B3"/>
    <w:multiLevelType w:val="hybridMultilevel"/>
    <w:tmpl w:val="E716F312"/>
    <w:lvl w:ilvl="0" w:tplc="7C6CBA2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16534"/>
    <w:multiLevelType w:val="hybridMultilevel"/>
    <w:tmpl w:val="6A48BED2"/>
    <w:lvl w:ilvl="0" w:tplc="E6025BE0">
      <w:start w:val="6"/>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C5511"/>
    <w:multiLevelType w:val="hybridMultilevel"/>
    <w:tmpl w:val="E7181FE0"/>
    <w:lvl w:ilvl="0" w:tplc="34AADBA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408C9"/>
    <w:multiLevelType w:val="singleLevel"/>
    <w:tmpl w:val="C5502380"/>
    <w:lvl w:ilvl="0">
      <w:start w:val="2"/>
      <w:numFmt w:val="decimal"/>
      <w:lvlText w:val="%1."/>
      <w:lvlJc w:val="left"/>
      <w:pPr>
        <w:tabs>
          <w:tab w:val="num" w:pos="450"/>
        </w:tabs>
        <w:ind w:left="450" w:hanging="360"/>
      </w:pPr>
      <w:rPr>
        <w:rFonts w:hint="default"/>
        <w:b/>
        <w:color w:val="000000" w:themeColor="text1"/>
      </w:rPr>
    </w:lvl>
  </w:abstractNum>
  <w:abstractNum w:abstractNumId="7" w15:restartNumberingAfterBreak="0">
    <w:nsid w:val="0ADF2CA8"/>
    <w:multiLevelType w:val="hybridMultilevel"/>
    <w:tmpl w:val="CDF237E0"/>
    <w:lvl w:ilvl="0" w:tplc="7C6CBA2A">
      <w:start w:val="5"/>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77A46"/>
    <w:multiLevelType w:val="hybridMultilevel"/>
    <w:tmpl w:val="5BF4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6259B"/>
    <w:multiLevelType w:val="hybridMultilevel"/>
    <w:tmpl w:val="5686C7AE"/>
    <w:lvl w:ilvl="0" w:tplc="3C9EDF3A">
      <w:numFmt w:val="bullet"/>
      <w:lvlText w:val="-"/>
      <w:lvlJc w:val="left"/>
      <w:pPr>
        <w:ind w:left="1668" w:hanging="360"/>
      </w:pPr>
      <w:rPr>
        <w:rFonts w:ascii="Calibri" w:eastAsiaTheme="minorHAnsi" w:hAnsi="Calibri" w:cs="Arial" w:hint="default"/>
      </w:rPr>
    </w:lvl>
    <w:lvl w:ilvl="1" w:tplc="04090003" w:tentative="1">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10" w15:restartNumberingAfterBreak="0">
    <w:nsid w:val="0E493A70"/>
    <w:multiLevelType w:val="hybridMultilevel"/>
    <w:tmpl w:val="59408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9C5040"/>
    <w:multiLevelType w:val="hybridMultilevel"/>
    <w:tmpl w:val="D6EEF65E"/>
    <w:lvl w:ilvl="0" w:tplc="EF9E04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4D510F"/>
    <w:multiLevelType w:val="hybridMultilevel"/>
    <w:tmpl w:val="A3B2644A"/>
    <w:lvl w:ilvl="0" w:tplc="7C6CBA2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2059C"/>
    <w:multiLevelType w:val="hybridMultilevel"/>
    <w:tmpl w:val="68DE726C"/>
    <w:lvl w:ilvl="0" w:tplc="7C6CBA2A">
      <w:start w:val="5"/>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5FAE16D2">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1D37A6"/>
    <w:multiLevelType w:val="hybridMultilevel"/>
    <w:tmpl w:val="56E4F2C8"/>
    <w:lvl w:ilvl="0" w:tplc="D114A960">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E7155"/>
    <w:multiLevelType w:val="hybridMultilevel"/>
    <w:tmpl w:val="27E00186"/>
    <w:lvl w:ilvl="0" w:tplc="EF9E04A0">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7714ECD"/>
    <w:multiLevelType w:val="hybridMultilevel"/>
    <w:tmpl w:val="19DC7CB4"/>
    <w:lvl w:ilvl="0" w:tplc="D644A9F2">
      <w:start w:val="1"/>
      <w:numFmt w:val="decimal"/>
      <w:lvlText w:val="%1."/>
      <w:lvlJc w:val="left"/>
      <w:pPr>
        <w:ind w:left="720" w:hanging="360"/>
      </w:p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C260F"/>
    <w:multiLevelType w:val="hybridMultilevel"/>
    <w:tmpl w:val="F40C1134"/>
    <w:lvl w:ilvl="0" w:tplc="4A82DC0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4A2206"/>
    <w:multiLevelType w:val="hybridMultilevel"/>
    <w:tmpl w:val="0DBC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B5FA8"/>
    <w:multiLevelType w:val="hybridMultilevel"/>
    <w:tmpl w:val="38769A8E"/>
    <w:lvl w:ilvl="0" w:tplc="7C6CBA2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76452"/>
    <w:multiLevelType w:val="hybridMultilevel"/>
    <w:tmpl w:val="D08AC60A"/>
    <w:lvl w:ilvl="0" w:tplc="7C6CBA2A">
      <w:start w:val="5"/>
      <w:numFmt w:val="bullet"/>
      <w:lvlText w:val=""/>
      <w:lvlJc w:val="left"/>
      <w:pPr>
        <w:ind w:left="773" w:hanging="360"/>
      </w:pPr>
      <w:rPr>
        <w:rFonts w:ascii="Symbol" w:eastAsiaTheme="minorHAnsi" w:hAnsi="Symbol" w:cstheme="minorBidi"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5C656155"/>
    <w:multiLevelType w:val="hybridMultilevel"/>
    <w:tmpl w:val="B02617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0069DD"/>
    <w:multiLevelType w:val="hybridMultilevel"/>
    <w:tmpl w:val="3AF8C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90666"/>
    <w:multiLevelType w:val="hybridMultilevel"/>
    <w:tmpl w:val="3EBE482E"/>
    <w:lvl w:ilvl="0" w:tplc="7C6CBA2A">
      <w:start w:val="5"/>
      <w:numFmt w:val="bullet"/>
      <w:lvlText w:val=""/>
      <w:lvlJc w:val="left"/>
      <w:pPr>
        <w:ind w:left="360" w:hanging="360"/>
      </w:pPr>
      <w:rPr>
        <w:rFonts w:ascii="Symbol" w:eastAsiaTheme="minorHAnsi" w:hAnsi="Symbol"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9C4CCF"/>
    <w:multiLevelType w:val="singleLevel"/>
    <w:tmpl w:val="CE4844B2"/>
    <w:lvl w:ilvl="0">
      <w:start w:val="9"/>
      <w:numFmt w:val="decimal"/>
      <w:lvlText w:val="%1."/>
      <w:lvlJc w:val="left"/>
      <w:pPr>
        <w:tabs>
          <w:tab w:val="num" w:pos="360"/>
        </w:tabs>
        <w:ind w:left="360" w:hanging="360"/>
      </w:pPr>
      <w:rPr>
        <w:rFonts w:hint="default"/>
        <w:b/>
      </w:rPr>
    </w:lvl>
  </w:abstractNum>
  <w:abstractNum w:abstractNumId="25" w15:restartNumberingAfterBreak="0">
    <w:nsid w:val="675444CF"/>
    <w:multiLevelType w:val="hybridMultilevel"/>
    <w:tmpl w:val="0EF29808"/>
    <w:lvl w:ilvl="0" w:tplc="B8ECCD70">
      <w:start w:val="10"/>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B7045"/>
    <w:multiLevelType w:val="hybridMultilevel"/>
    <w:tmpl w:val="A51A8092"/>
    <w:lvl w:ilvl="0" w:tplc="7C6CBA2A">
      <w:start w:val="5"/>
      <w:numFmt w:val="bullet"/>
      <w:lvlText w:val=""/>
      <w:lvlJc w:val="left"/>
      <w:pPr>
        <w:ind w:left="810" w:hanging="360"/>
      </w:pPr>
      <w:rPr>
        <w:rFonts w:ascii="Symbol" w:eastAsiaTheme="minorHAnsi" w:hAnsi="Symbol"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6B625304"/>
    <w:multiLevelType w:val="hybridMultilevel"/>
    <w:tmpl w:val="128833E8"/>
    <w:lvl w:ilvl="0" w:tplc="924E41B2">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C6D2D"/>
    <w:multiLevelType w:val="hybridMultilevel"/>
    <w:tmpl w:val="F40C1134"/>
    <w:lvl w:ilvl="0" w:tplc="4A82DC0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636E4E"/>
    <w:multiLevelType w:val="hybridMultilevel"/>
    <w:tmpl w:val="9B20A3C0"/>
    <w:lvl w:ilvl="0" w:tplc="0FEC2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05594"/>
    <w:multiLevelType w:val="hybridMultilevel"/>
    <w:tmpl w:val="AB9E7490"/>
    <w:lvl w:ilvl="0" w:tplc="890C3CC0">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50415"/>
    <w:multiLevelType w:val="hybridMultilevel"/>
    <w:tmpl w:val="94EE1D86"/>
    <w:lvl w:ilvl="0" w:tplc="7C6CBA2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D6C22"/>
    <w:multiLevelType w:val="hybridMultilevel"/>
    <w:tmpl w:val="4184B6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27"/>
  </w:num>
  <w:num w:numId="4">
    <w:abstractNumId w:val="24"/>
  </w:num>
  <w:num w:numId="5">
    <w:abstractNumId w:val="19"/>
  </w:num>
  <w:num w:numId="6">
    <w:abstractNumId w:val="12"/>
  </w:num>
  <w:num w:numId="7">
    <w:abstractNumId w:val="3"/>
  </w:num>
  <w:num w:numId="8">
    <w:abstractNumId w:val="1"/>
  </w:num>
  <w:num w:numId="9">
    <w:abstractNumId w:val="0"/>
  </w:num>
  <w:num w:numId="10">
    <w:abstractNumId w:val="4"/>
  </w:num>
  <w:num w:numId="11">
    <w:abstractNumId w:val="23"/>
  </w:num>
  <w:num w:numId="12">
    <w:abstractNumId w:val="8"/>
  </w:num>
  <w:num w:numId="13">
    <w:abstractNumId w:val="10"/>
  </w:num>
  <w:num w:numId="14">
    <w:abstractNumId w:val="32"/>
  </w:num>
  <w:num w:numId="15">
    <w:abstractNumId w:val="30"/>
  </w:num>
  <w:num w:numId="16">
    <w:abstractNumId w:val="20"/>
  </w:num>
  <w:num w:numId="17">
    <w:abstractNumId w:val="31"/>
  </w:num>
  <w:num w:numId="18">
    <w:abstractNumId w:val="26"/>
  </w:num>
  <w:num w:numId="19">
    <w:abstractNumId w:val="25"/>
  </w:num>
  <w:num w:numId="20">
    <w:abstractNumId w:val="14"/>
  </w:num>
  <w:num w:numId="21">
    <w:abstractNumId w:val="9"/>
  </w:num>
  <w:num w:numId="22">
    <w:abstractNumId w:val="11"/>
  </w:num>
  <w:num w:numId="23">
    <w:abstractNumId w:val="15"/>
  </w:num>
  <w:num w:numId="24">
    <w:abstractNumId w:val="16"/>
  </w:num>
  <w:num w:numId="25">
    <w:abstractNumId w:val="16"/>
  </w:num>
  <w:num w:numId="26">
    <w:abstractNumId w:val="29"/>
  </w:num>
  <w:num w:numId="27">
    <w:abstractNumId w:val="22"/>
  </w:num>
  <w:num w:numId="28">
    <w:abstractNumId w:val="18"/>
  </w:num>
  <w:num w:numId="29">
    <w:abstractNumId w:val="7"/>
  </w:num>
  <w:num w:numId="30">
    <w:abstractNumId w:val="13"/>
  </w:num>
  <w:num w:numId="31">
    <w:abstractNumId w:val="21"/>
  </w:num>
  <w:num w:numId="32">
    <w:abstractNumId w:val="28"/>
  </w:num>
  <w:num w:numId="33">
    <w:abstractNumId w:val="17"/>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48"/>
    <w:rsid w:val="00017EA4"/>
    <w:rsid w:val="00060A31"/>
    <w:rsid w:val="0006266E"/>
    <w:rsid w:val="000631A1"/>
    <w:rsid w:val="00095AF5"/>
    <w:rsid w:val="000A156F"/>
    <w:rsid w:val="000A401D"/>
    <w:rsid w:val="000C7E51"/>
    <w:rsid w:val="000D7E80"/>
    <w:rsid w:val="000E013B"/>
    <w:rsid w:val="000E1168"/>
    <w:rsid w:val="000E3BEF"/>
    <w:rsid w:val="000E404D"/>
    <w:rsid w:val="000E7E43"/>
    <w:rsid w:val="000F141D"/>
    <w:rsid w:val="00103687"/>
    <w:rsid w:val="00110A50"/>
    <w:rsid w:val="0011646F"/>
    <w:rsid w:val="00116AD0"/>
    <w:rsid w:val="0011747D"/>
    <w:rsid w:val="001470F2"/>
    <w:rsid w:val="00152A83"/>
    <w:rsid w:val="0015635F"/>
    <w:rsid w:val="00157785"/>
    <w:rsid w:val="00157ECD"/>
    <w:rsid w:val="00186364"/>
    <w:rsid w:val="001925A9"/>
    <w:rsid w:val="00197249"/>
    <w:rsid w:val="001A4926"/>
    <w:rsid w:val="001B0D6F"/>
    <w:rsid w:val="001B15AA"/>
    <w:rsid w:val="001B702A"/>
    <w:rsid w:val="001D3E52"/>
    <w:rsid w:val="001E7C09"/>
    <w:rsid w:val="00205551"/>
    <w:rsid w:val="00211702"/>
    <w:rsid w:val="00214118"/>
    <w:rsid w:val="00216601"/>
    <w:rsid w:val="00217512"/>
    <w:rsid w:val="00233F31"/>
    <w:rsid w:val="002439A9"/>
    <w:rsid w:val="002458C2"/>
    <w:rsid w:val="002471E0"/>
    <w:rsid w:val="00254AB3"/>
    <w:rsid w:val="00256B48"/>
    <w:rsid w:val="002623A5"/>
    <w:rsid w:val="00275C67"/>
    <w:rsid w:val="0028582A"/>
    <w:rsid w:val="00295F12"/>
    <w:rsid w:val="002967A0"/>
    <w:rsid w:val="002A6073"/>
    <w:rsid w:val="002C442F"/>
    <w:rsid w:val="002C76E8"/>
    <w:rsid w:val="002D27D4"/>
    <w:rsid w:val="002E6CA4"/>
    <w:rsid w:val="002F2ED8"/>
    <w:rsid w:val="002F5C0D"/>
    <w:rsid w:val="002F6F3F"/>
    <w:rsid w:val="00302571"/>
    <w:rsid w:val="00311BBB"/>
    <w:rsid w:val="00332B28"/>
    <w:rsid w:val="00333B38"/>
    <w:rsid w:val="0034796B"/>
    <w:rsid w:val="003562E9"/>
    <w:rsid w:val="00364A9E"/>
    <w:rsid w:val="00373157"/>
    <w:rsid w:val="003741BF"/>
    <w:rsid w:val="003975FD"/>
    <w:rsid w:val="003A4B5E"/>
    <w:rsid w:val="003A4EC6"/>
    <w:rsid w:val="003A54C1"/>
    <w:rsid w:val="003B4052"/>
    <w:rsid w:val="003B4773"/>
    <w:rsid w:val="003B4F01"/>
    <w:rsid w:val="003C0B3B"/>
    <w:rsid w:val="003C0F03"/>
    <w:rsid w:val="003C532C"/>
    <w:rsid w:val="003C7C75"/>
    <w:rsid w:val="003E03BF"/>
    <w:rsid w:val="003E28BC"/>
    <w:rsid w:val="00402E98"/>
    <w:rsid w:val="004242E2"/>
    <w:rsid w:val="0042513D"/>
    <w:rsid w:val="00435C81"/>
    <w:rsid w:val="00443DEE"/>
    <w:rsid w:val="004710CB"/>
    <w:rsid w:val="004752D9"/>
    <w:rsid w:val="00476D86"/>
    <w:rsid w:val="004838E9"/>
    <w:rsid w:val="004868A2"/>
    <w:rsid w:val="00486B86"/>
    <w:rsid w:val="00486BE5"/>
    <w:rsid w:val="004938C1"/>
    <w:rsid w:val="004A4312"/>
    <w:rsid w:val="004B0CC4"/>
    <w:rsid w:val="004B3D34"/>
    <w:rsid w:val="004D1501"/>
    <w:rsid w:val="004D486D"/>
    <w:rsid w:val="004D52CB"/>
    <w:rsid w:val="004D5F02"/>
    <w:rsid w:val="004D7285"/>
    <w:rsid w:val="004E2E9B"/>
    <w:rsid w:val="004E3197"/>
    <w:rsid w:val="004F0369"/>
    <w:rsid w:val="00505663"/>
    <w:rsid w:val="00506BE5"/>
    <w:rsid w:val="00514F22"/>
    <w:rsid w:val="0051784F"/>
    <w:rsid w:val="00520E7B"/>
    <w:rsid w:val="00522651"/>
    <w:rsid w:val="00533C07"/>
    <w:rsid w:val="005501D9"/>
    <w:rsid w:val="005531D9"/>
    <w:rsid w:val="00553AA0"/>
    <w:rsid w:val="00575E36"/>
    <w:rsid w:val="00595236"/>
    <w:rsid w:val="00597937"/>
    <w:rsid w:val="005A3AEF"/>
    <w:rsid w:val="005A5F3A"/>
    <w:rsid w:val="005B49DA"/>
    <w:rsid w:val="005C1019"/>
    <w:rsid w:val="005D2676"/>
    <w:rsid w:val="005D55FE"/>
    <w:rsid w:val="005E077F"/>
    <w:rsid w:val="005F7087"/>
    <w:rsid w:val="00601B69"/>
    <w:rsid w:val="00604DCD"/>
    <w:rsid w:val="006056A6"/>
    <w:rsid w:val="0061594A"/>
    <w:rsid w:val="006160FE"/>
    <w:rsid w:val="00622306"/>
    <w:rsid w:val="00634AFE"/>
    <w:rsid w:val="006438C6"/>
    <w:rsid w:val="006445F8"/>
    <w:rsid w:val="00647D03"/>
    <w:rsid w:val="006564FF"/>
    <w:rsid w:val="0068445E"/>
    <w:rsid w:val="006D5583"/>
    <w:rsid w:val="006D66C0"/>
    <w:rsid w:val="006E1C81"/>
    <w:rsid w:val="006E20E3"/>
    <w:rsid w:val="006F1AB0"/>
    <w:rsid w:val="00700552"/>
    <w:rsid w:val="00706918"/>
    <w:rsid w:val="00710CA6"/>
    <w:rsid w:val="007339C0"/>
    <w:rsid w:val="007365E2"/>
    <w:rsid w:val="007528DC"/>
    <w:rsid w:val="00757C91"/>
    <w:rsid w:val="00757DCF"/>
    <w:rsid w:val="00760CD1"/>
    <w:rsid w:val="007670EC"/>
    <w:rsid w:val="00783187"/>
    <w:rsid w:val="00783A43"/>
    <w:rsid w:val="0078435F"/>
    <w:rsid w:val="007857B1"/>
    <w:rsid w:val="00794DA0"/>
    <w:rsid w:val="00797453"/>
    <w:rsid w:val="007A66E8"/>
    <w:rsid w:val="007B4E59"/>
    <w:rsid w:val="007E5D14"/>
    <w:rsid w:val="007E6949"/>
    <w:rsid w:val="007E76B2"/>
    <w:rsid w:val="008017A9"/>
    <w:rsid w:val="00805157"/>
    <w:rsid w:val="00820A5F"/>
    <w:rsid w:val="0082522F"/>
    <w:rsid w:val="008455FA"/>
    <w:rsid w:val="0085008B"/>
    <w:rsid w:val="0085313B"/>
    <w:rsid w:val="00866BF5"/>
    <w:rsid w:val="008A5DCB"/>
    <w:rsid w:val="008B30FA"/>
    <w:rsid w:val="008B7A7B"/>
    <w:rsid w:val="008E376D"/>
    <w:rsid w:val="008F1859"/>
    <w:rsid w:val="008F5ABC"/>
    <w:rsid w:val="00906318"/>
    <w:rsid w:val="0091043B"/>
    <w:rsid w:val="009220CE"/>
    <w:rsid w:val="00925695"/>
    <w:rsid w:val="00926A1D"/>
    <w:rsid w:val="00931BBB"/>
    <w:rsid w:val="00942349"/>
    <w:rsid w:val="00946C72"/>
    <w:rsid w:val="00947265"/>
    <w:rsid w:val="00952B53"/>
    <w:rsid w:val="00953BB9"/>
    <w:rsid w:val="00961D77"/>
    <w:rsid w:val="009671CD"/>
    <w:rsid w:val="009748D4"/>
    <w:rsid w:val="00977004"/>
    <w:rsid w:val="009817AC"/>
    <w:rsid w:val="009932F2"/>
    <w:rsid w:val="00995DF6"/>
    <w:rsid w:val="009A24E1"/>
    <w:rsid w:val="009A45AB"/>
    <w:rsid w:val="009A6BC7"/>
    <w:rsid w:val="009A6E7D"/>
    <w:rsid w:val="009D5AF9"/>
    <w:rsid w:val="009D7099"/>
    <w:rsid w:val="009F2A83"/>
    <w:rsid w:val="009F6FBE"/>
    <w:rsid w:val="00A071CF"/>
    <w:rsid w:val="00A12758"/>
    <w:rsid w:val="00A12B85"/>
    <w:rsid w:val="00A22E30"/>
    <w:rsid w:val="00A253A5"/>
    <w:rsid w:val="00A4735A"/>
    <w:rsid w:val="00A53D0E"/>
    <w:rsid w:val="00A733A9"/>
    <w:rsid w:val="00A75BF2"/>
    <w:rsid w:val="00A7782F"/>
    <w:rsid w:val="00AA031C"/>
    <w:rsid w:val="00AA1142"/>
    <w:rsid w:val="00AA2A49"/>
    <w:rsid w:val="00AC1508"/>
    <w:rsid w:val="00AC31B1"/>
    <w:rsid w:val="00AD1BC2"/>
    <w:rsid w:val="00AD6748"/>
    <w:rsid w:val="00AF06B3"/>
    <w:rsid w:val="00AF48EE"/>
    <w:rsid w:val="00AF4DA9"/>
    <w:rsid w:val="00B10A7B"/>
    <w:rsid w:val="00B33178"/>
    <w:rsid w:val="00B452B3"/>
    <w:rsid w:val="00B46D06"/>
    <w:rsid w:val="00B54655"/>
    <w:rsid w:val="00B67449"/>
    <w:rsid w:val="00B73882"/>
    <w:rsid w:val="00B74669"/>
    <w:rsid w:val="00B75BE7"/>
    <w:rsid w:val="00B81264"/>
    <w:rsid w:val="00B964E0"/>
    <w:rsid w:val="00BB29AC"/>
    <w:rsid w:val="00BC07E0"/>
    <w:rsid w:val="00BC1ECA"/>
    <w:rsid w:val="00BD7934"/>
    <w:rsid w:val="00BE12F4"/>
    <w:rsid w:val="00BE5ED7"/>
    <w:rsid w:val="00BF414B"/>
    <w:rsid w:val="00C01604"/>
    <w:rsid w:val="00C0713F"/>
    <w:rsid w:val="00C3755A"/>
    <w:rsid w:val="00C52612"/>
    <w:rsid w:val="00C52D1E"/>
    <w:rsid w:val="00C54EA4"/>
    <w:rsid w:val="00C55A2D"/>
    <w:rsid w:val="00C57A30"/>
    <w:rsid w:val="00C66C2F"/>
    <w:rsid w:val="00C7024B"/>
    <w:rsid w:val="00C7224C"/>
    <w:rsid w:val="00C8595F"/>
    <w:rsid w:val="00CA0601"/>
    <w:rsid w:val="00CA5C13"/>
    <w:rsid w:val="00CB51B1"/>
    <w:rsid w:val="00CC1019"/>
    <w:rsid w:val="00CC1766"/>
    <w:rsid w:val="00CC5D4C"/>
    <w:rsid w:val="00CC696B"/>
    <w:rsid w:val="00CD45D8"/>
    <w:rsid w:val="00CE5387"/>
    <w:rsid w:val="00CF1E97"/>
    <w:rsid w:val="00D01282"/>
    <w:rsid w:val="00D0249A"/>
    <w:rsid w:val="00D14BBD"/>
    <w:rsid w:val="00D16388"/>
    <w:rsid w:val="00D25556"/>
    <w:rsid w:val="00D25F9C"/>
    <w:rsid w:val="00D26C56"/>
    <w:rsid w:val="00D27774"/>
    <w:rsid w:val="00D31DCB"/>
    <w:rsid w:val="00D34016"/>
    <w:rsid w:val="00D53095"/>
    <w:rsid w:val="00D71C1A"/>
    <w:rsid w:val="00D9392D"/>
    <w:rsid w:val="00D97A3E"/>
    <w:rsid w:val="00DA2E1D"/>
    <w:rsid w:val="00DA5F77"/>
    <w:rsid w:val="00DB4A0A"/>
    <w:rsid w:val="00DB69DC"/>
    <w:rsid w:val="00DC0988"/>
    <w:rsid w:val="00DC67C2"/>
    <w:rsid w:val="00DD2C38"/>
    <w:rsid w:val="00DE5AD3"/>
    <w:rsid w:val="00DF68D6"/>
    <w:rsid w:val="00DF6FB0"/>
    <w:rsid w:val="00DF798D"/>
    <w:rsid w:val="00E018EE"/>
    <w:rsid w:val="00E05078"/>
    <w:rsid w:val="00E066DD"/>
    <w:rsid w:val="00E12BEF"/>
    <w:rsid w:val="00E136BE"/>
    <w:rsid w:val="00E27353"/>
    <w:rsid w:val="00E35202"/>
    <w:rsid w:val="00E37B4A"/>
    <w:rsid w:val="00E51E9A"/>
    <w:rsid w:val="00E86675"/>
    <w:rsid w:val="00EA2278"/>
    <w:rsid w:val="00EA27BE"/>
    <w:rsid w:val="00EB32F8"/>
    <w:rsid w:val="00EC2149"/>
    <w:rsid w:val="00ED1409"/>
    <w:rsid w:val="00ED5B8F"/>
    <w:rsid w:val="00EE71D7"/>
    <w:rsid w:val="00EF0877"/>
    <w:rsid w:val="00F23918"/>
    <w:rsid w:val="00F36E61"/>
    <w:rsid w:val="00F4219A"/>
    <w:rsid w:val="00F429E1"/>
    <w:rsid w:val="00F50209"/>
    <w:rsid w:val="00F502A8"/>
    <w:rsid w:val="00F52932"/>
    <w:rsid w:val="00F61579"/>
    <w:rsid w:val="00F657A2"/>
    <w:rsid w:val="00F9346C"/>
    <w:rsid w:val="00F93F73"/>
    <w:rsid w:val="00FA4111"/>
    <w:rsid w:val="00FA433A"/>
    <w:rsid w:val="00FB35C5"/>
    <w:rsid w:val="00FC2CC4"/>
    <w:rsid w:val="00FD6260"/>
    <w:rsid w:val="00FD635A"/>
    <w:rsid w:val="00FE2138"/>
    <w:rsid w:val="00FE26A1"/>
    <w:rsid w:val="00FE3E70"/>
    <w:rsid w:val="00FE41D0"/>
    <w:rsid w:val="00FE51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C653A"/>
  <w15:chartTrackingRefBased/>
  <w15:docId w15:val="{1D4366B2-4620-4AAE-BA4B-83B0FDD4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6748"/>
  </w:style>
  <w:style w:type="paragraph" w:styleId="Heading1">
    <w:name w:val="heading 1"/>
    <w:basedOn w:val="Normal"/>
    <w:next w:val="Normal"/>
    <w:link w:val="Heading1Char"/>
    <w:qFormat/>
    <w:rsid w:val="00AD6748"/>
    <w:pPr>
      <w:keepNext/>
      <w:spacing w:after="0" w:line="240" w:lineRule="auto"/>
      <w:outlineLvl w:val="0"/>
    </w:pPr>
    <w:rPr>
      <w:rFonts w:ascii="Times New Roman" w:eastAsia="Times New Roman" w:hAnsi="Times New Roman" w:cs="Times New Roman"/>
      <w:b/>
      <w:szCs w:val="21"/>
    </w:rPr>
  </w:style>
  <w:style w:type="paragraph" w:styleId="Heading2">
    <w:name w:val="heading 2"/>
    <w:basedOn w:val="Normal"/>
    <w:next w:val="Normal"/>
    <w:link w:val="Heading2Char"/>
    <w:uiPriority w:val="9"/>
    <w:unhideWhenUsed/>
    <w:qFormat/>
    <w:rsid w:val="00BF414B"/>
    <w:pPr>
      <w:keepNext/>
      <w:keepLines/>
      <w:numPr>
        <w:ilvl w:val="1"/>
        <w:numId w:val="2"/>
      </w:numPr>
      <w:spacing w:before="40" w:after="0" w:line="360" w:lineRule="auto"/>
      <w:outlineLvl w:val="1"/>
    </w:pPr>
    <w:rPr>
      <w:rFonts w:ascii="Arial" w:eastAsiaTheme="majorEastAsia" w:hAnsi="Arial" w:cstheme="majorBidi"/>
      <w:color w:val="365F91" w:themeColor="accent1" w:themeShade="BF"/>
      <w:szCs w:val="26"/>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748"/>
    <w:rPr>
      <w:rFonts w:ascii="Times New Roman" w:eastAsia="Times New Roman" w:hAnsi="Times New Roman" w:cs="Times New Roman"/>
      <w:b/>
      <w:szCs w:val="21"/>
    </w:rPr>
  </w:style>
  <w:style w:type="paragraph" w:styleId="ListParagraph">
    <w:name w:val="List Paragraph"/>
    <w:aliases w:val="Resume Title,Citation List,heading 4,Evidence on Demand bullet points,Premier,Tableau Adere,Liste 1,Bullets,References,Medium Grid 1 - Accent 21,List Paragraph (numbered (a)),List Paragraph nowy,Titre1,List Tables,Objectifs,- List t"/>
    <w:basedOn w:val="Normal"/>
    <w:link w:val="ListParagraphChar"/>
    <w:uiPriority w:val="34"/>
    <w:qFormat/>
    <w:rsid w:val="00AD6748"/>
    <w:pPr>
      <w:ind w:left="720"/>
      <w:contextualSpacing/>
    </w:pPr>
  </w:style>
  <w:style w:type="paragraph" w:customStyle="1" w:styleId="Pa7">
    <w:name w:val="Pa7"/>
    <w:basedOn w:val="Normal"/>
    <w:next w:val="Normal"/>
    <w:uiPriority w:val="99"/>
    <w:rsid w:val="00AD6748"/>
    <w:pPr>
      <w:autoSpaceDE w:val="0"/>
      <w:autoSpaceDN w:val="0"/>
      <w:adjustRightInd w:val="0"/>
      <w:spacing w:after="0" w:line="201" w:lineRule="atLeast"/>
    </w:pPr>
    <w:rPr>
      <w:rFonts w:ascii="Minion Pro" w:hAnsi="Minion Pro"/>
      <w:sz w:val="24"/>
      <w:szCs w:val="24"/>
      <w:lang w:val="en-US"/>
    </w:rPr>
  </w:style>
  <w:style w:type="character" w:customStyle="1" w:styleId="A17">
    <w:name w:val="A17"/>
    <w:uiPriority w:val="99"/>
    <w:rsid w:val="00AD6748"/>
    <w:rPr>
      <w:rFonts w:cs="Minion Pro"/>
      <w:color w:val="000000"/>
      <w:sz w:val="11"/>
      <w:szCs w:val="11"/>
    </w:rPr>
  </w:style>
  <w:style w:type="paragraph" w:styleId="BodyText2">
    <w:name w:val="Body Text 2"/>
    <w:basedOn w:val="Normal"/>
    <w:link w:val="BodyText2Char"/>
    <w:rsid w:val="00AD6748"/>
    <w:pPr>
      <w:spacing w:after="0" w:line="240" w:lineRule="auto"/>
    </w:pPr>
    <w:rPr>
      <w:rFonts w:ascii="Times New Roman" w:eastAsia="Times New Roman" w:hAnsi="Times New Roman" w:cs="Times New Roman"/>
      <w:b/>
      <w:sz w:val="28"/>
      <w:szCs w:val="20"/>
      <w:lang w:val="es-MX"/>
    </w:rPr>
  </w:style>
  <w:style w:type="character" w:customStyle="1" w:styleId="BodyText2Char">
    <w:name w:val="Body Text 2 Char"/>
    <w:basedOn w:val="DefaultParagraphFont"/>
    <w:link w:val="BodyText2"/>
    <w:rsid w:val="00AD6748"/>
    <w:rPr>
      <w:rFonts w:ascii="Times New Roman" w:eastAsia="Times New Roman" w:hAnsi="Times New Roman" w:cs="Times New Roman"/>
      <w:b/>
      <w:sz w:val="28"/>
      <w:szCs w:val="20"/>
      <w:lang w:val="es-MX"/>
    </w:rPr>
  </w:style>
  <w:style w:type="character" w:styleId="CommentReference">
    <w:name w:val="annotation reference"/>
    <w:basedOn w:val="DefaultParagraphFont"/>
    <w:uiPriority w:val="99"/>
    <w:semiHidden/>
    <w:unhideWhenUsed/>
    <w:rsid w:val="00AD6748"/>
    <w:rPr>
      <w:sz w:val="16"/>
      <w:szCs w:val="16"/>
    </w:rPr>
  </w:style>
  <w:style w:type="paragraph" w:styleId="CommentText">
    <w:name w:val="annotation text"/>
    <w:basedOn w:val="Normal"/>
    <w:link w:val="CommentTextChar"/>
    <w:uiPriority w:val="99"/>
    <w:semiHidden/>
    <w:unhideWhenUsed/>
    <w:rsid w:val="00AD6748"/>
    <w:pPr>
      <w:spacing w:line="240" w:lineRule="auto"/>
    </w:pPr>
    <w:rPr>
      <w:sz w:val="20"/>
      <w:szCs w:val="20"/>
    </w:rPr>
  </w:style>
  <w:style w:type="character" w:customStyle="1" w:styleId="CommentTextChar">
    <w:name w:val="Comment Text Char"/>
    <w:basedOn w:val="DefaultParagraphFont"/>
    <w:link w:val="CommentText"/>
    <w:uiPriority w:val="99"/>
    <w:semiHidden/>
    <w:rsid w:val="00AD6748"/>
    <w:rPr>
      <w:sz w:val="20"/>
      <w:szCs w:val="20"/>
    </w:rPr>
  </w:style>
  <w:style w:type="paragraph" w:styleId="CommentSubject">
    <w:name w:val="annotation subject"/>
    <w:basedOn w:val="CommentText"/>
    <w:next w:val="CommentText"/>
    <w:link w:val="CommentSubjectChar"/>
    <w:uiPriority w:val="99"/>
    <w:semiHidden/>
    <w:unhideWhenUsed/>
    <w:rsid w:val="00AD6748"/>
    <w:rPr>
      <w:b/>
      <w:bCs/>
    </w:rPr>
  </w:style>
  <w:style w:type="character" w:customStyle="1" w:styleId="CommentSubjectChar">
    <w:name w:val="Comment Subject Char"/>
    <w:basedOn w:val="CommentTextChar"/>
    <w:link w:val="CommentSubject"/>
    <w:uiPriority w:val="99"/>
    <w:semiHidden/>
    <w:rsid w:val="00AD6748"/>
    <w:rPr>
      <w:b/>
      <w:bCs/>
      <w:sz w:val="20"/>
      <w:szCs w:val="20"/>
    </w:rPr>
  </w:style>
  <w:style w:type="paragraph" w:styleId="BalloonText">
    <w:name w:val="Balloon Text"/>
    <w:basedOn w:val="Normal"/>
    <w:link w:val="BalloonTextChar"/>
    <w:uiPriority w:val="99"/>
    <w:semiHidden/>
    <w:unhideWhenUsed/>
    <w:rsid w:val="00AD6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748"/>
    <w:rPr>
      <w:rFonts w:ascii="Segoe UI" w:hAnsi="Segoe UI" w:cs="Segoe UI"/>
      <w:sz w:val="18"/>
      <w:szCs w:val="18"/>
    </w:rPr>
  </w:style>
  <w:style w:type="paragraph" w:styleId="FootnoteText">
    <w:name w:val="footnote text"/>
    <w:aliases w:val="fn,ALTS FOOTNOTE,single space,Footnote Text Quote,FOOTNOTES,Note de bas de page2,Note de bas de page Car Car Car,Note de bas de page Car Car,Note de bas de page Car Car Car2,Footnote Text Char1,Char,ft,AD,12pt,Footnote Text Char2 Cha"/>
    <w:basedOn w:val="Normal"/>
    <w:link w:val="FootnoteTextChar"/>
    <w:rsid w:val="00AD6748"/>
    <w:pPr>
      <w:spacing w:after="0"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aliases w:val="fn Char,ALTS FOOTNOTE Char,single space Char,Footnote Text Quote Char,FOOTNOTES Char,Note de bas de page2 Char,Note de bas de page Car Car Car Char,Note de bas de page Car Car Char,Note de bas de page Car Car Car2 Char,Char Char"/>
    <w:basedOn w:val="DefaultParagraphFont"/>
    <w:link w:val="FootnoteText"/>
    <w:rsid w:val="00AD6748"/>
    <w:rPr>
      <w:rFonts w:ascii="Times New Roman" w:eastAsia="Times New Roman" w:hAnsi="Times New Roman" w:cs="Times New Roman"/>
      <w:sz w:val="20"/>
      <w:szCs w:val="20"/>
      <w:lang w:val="en-US" w:eastAsia="x-none"/>
    </w:rPr>
  </w:style>
  <w:style w:type="character" w:styleId="FootnoteReference">
    <w:name w:val="footnote reference"/>
    <w:aliases w:val="ftref"/>
    <w:rsid w:val="00AD6748"/>
    <w:rPr>
      <w:vertAlign w:val="superscript"/>
    </w:rPr>
  </w:style>
  <w:style w:type="paragraph" w:styleId="Header">
    <w:name w:val="header"/>
    <w:basedOn w:val="Normal"/>
    <w:link w:val="HeaderChar"/>
    <w:uiPriority w:val="99"/>
    <w:unhideWhenUsed/>
    <w:rsid w:val="002A6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073"/>
  </w:style>
  <w:style w:type="paragraph" w:styleId="Footer">
    <w:name w:val="footer"/>
    <w:basedOn w:val="Normal"/>
    <w:link w:val="FooterChar"/>
    <w:uiPriority w:val="99"/>
    <w:unhideWhenUsed/>
    <w:rsid w:val="002A6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073"/>
  </w:style>
  <w:style w:type="character" w:customStyle="1" w:styleId="Heading2Char">
    <w:name w:val="Heading 2 Char"/>
    <w:basedOn w:val="DefaultParagraphFont"/>
    <w:link w:val="Heading2"/>
    <w:uiPriority w:val="9"/>
    <w:rsid w:val="00BF414B"/>
    <w:rPr>
      <w:rFonts w:ascii="Arial" w:eastAsiaTheme="majorEastAsia" w:hAnsi="Arial" w:cstheme="majorBidi"/>
      <w:color w:val="365F91" w:themeColor="accent1" w:themeShade="BF"/>
      <w:szCs w:val="26"/>
      <w:lang w:val="fr-CH" w:eastAsia="fr-CH"/>
    </w:rPr>
  </w:style>
  <w:style w:type="character" w:customStyle="1" w:styleId="ListParagraphChar">
    <w:name w:val="List Paragraph Char"/>
    <w:aliases w:val="Resume Title Char,Citation List Char,heading 4 Char,Evidence on Demand bullet points Char,Premier Char,Tableau Adere Char,Liste 1 Char,Bullets Char,References Char,Medium Grid 1 - Accent 21 Char,List Paragraph (numbered (a)) Char"/>
    <w:link w:val="ListParagraph"/>
    <w:uiPriority w:val="34"/>
    <w:qFormat/>
    <w:rsid w:val="00A071CF"/>
  </w:style>
  <w:style w:type="table" w:customStyle="1" w:styleId="TableGrid1">
    <w:name w:val="Table Grid1"/>
    <w:basedOn w:val="TableNormal"/>
    <w:next w:val="TableGrid"/>
    <w:uiPriority w:val="59"/>
    <w:rsid w:val="00A071C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A071CF"/>
    <w:pPr>
      <w:spacing w:after="0" w:line="240" w:lineRule="auto"/>
    </w:pPr>
    <w:rPr>
      <w:rFonts w:ascii="Calibri" w:eastAsia="Calibri" w:hAnsi="Calibri" w:cs="Times New Roman"/>
      <w:sz w:val="20"/>
      <w:szCs w:val="20"/>
      <w:lang w:eastAsia="ja-JP"/>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
    <w:name w:val="Table Grid"/>
    <w:basedOn w:val="TableNormal"/>
    <w:uiPriority w:val="59"/>
    <w:rsid w:val="00A0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D5B8F"/>
    <w:pPr>
      <w:widowControl w:val="0"/>
      <w:spacing w:after="0" w:line="240" w:lineRule="auto"/>
      <w:jc w:val="center"/>
    </w:pPr>
    <w:rPr>
      <w:rFonts w:ascii="Times New Roman" w:eastAsia="Times New Roman" w:hAnsi="Times New Roman" w:cs="Times New Roman"/>
      <w:snapToGrid w:val="0"/>
      <w:sz w:val="24"/>
      <w:szCs w:val="20"/>
      <w:lang w:val="en-US"/>
    </w:rPr>
  </w:style>
  <w:style w:type="character" w:customStyle="1" w:styleId="TitleChar">
    <w:name w:val="Title Char"/>
    <w:basedOn w:val="DefaultParagraphFont"/>
    <w:link w:val="Title"/>
    <w:rsid w:val="00ED5B8F"/>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B4BCC-E012-4A9F-ADE1-83DF0657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Bertrand</dc:creator>
  <cp:keywords/>
  <dc:description/>
  <cp:lastModifiedBy>Fatouma Salem</cp:lastModifiedBy>
  <cp:revision>3</cp:revision>
  <cp:lastPrinted>2021-02-02T08:48:00Z</cp:lastPrinted>
  <dcterms:created xsi:type="dcterms:W3CDTF">2021-02-17T07:16:00Z</dcterms:created>
  <dcterms:modified xsi:type="dcterms:W3CDTF">2021-02-17T07:23:00Z</dcterms:modified>
</cp:coreProperties>
</file>