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84822" w14:textId="083F8C5E" w:rsidR="00A1417B" w:rsidRPr="00A1417B" w:rsidRDefault="00B14BE6" w:rsidP="00A1417B">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415"/>
        <w:gridCol w:w="3150"/>
        <w:gridCol w:w="3322"/>
        <w:gridCol w:w="8"/>
      </w:tblGrid>
      <w:tr w:rsidR="0021796C" w:rsidRPr="007613B3" w14:paraId="523C54D2" w14:textId="77777777" w:rsidTr="0021796C">
        <w:tc>
          <w:tcPr>
            <w:tcW w:w="3415" w:type="dxa"/>
            <w:tcBorders>
              <w:bottom w:val="nil"/>
            </w:tcBorders>
            <w:shd w:val="clear" w:color="auto" w:fill="auto"/>
            <w:noWrap/>
            <w:hideMark/>
          </w:tcPr>
          <w:p w14:paraId="75D9A581" w14:textId="0CC71744" w:rsidR="0021796C" w:rsidRPr="001E479E" w:rsidRDefault="0021796C" w:rsidP="00530EE0">
            <w:pPr>
              <w:spacing w:before="100" w:beforeAutospacing="1" w:after="100" w:afterAutospacing="1" w:line="240" w:lineRule="auto"/>
              <w:jc w:val="both"/>
              <w:rPr>
                <w:rFonts w:ascii="Calibri" w:eastAsia="Arial Unicode MS" w:hAnsi="Calibri" w:cs="Calibri"/>
                <w:color w:val="auto"/>
                <w:lang w:val="fr-FR"/>
              </w:rPr>
            </w:pPr>
            <w:proofErr w:type="spellStart"/>
            <w:proofErr w:type="gramStart"/>
            <w:r w:rsidRPr="001E479E">
              <w:rPr>
                <w:rFonts w:ascii="Calibri" w:eastAsia="Arial Unicode MS" w:hAnsi="Calibri" w:cs="Calibri"/>
                <w:b/>
                <w:color w:val="auto"/>
                <w:lang w:val="fr-FR"/>
              </w:rPr>
              <w:t>Title</w:t>
            </w:r>
            <w:proofErr w:type="spellEnd"/>
            <w:r w:rsidRPr="001E479E">
              <w:rPr>
                <w:rFonts w:ascii="Calibri" w:eastAsia="Arial Unicode MS" w:hAnsi="Calibri" w:cs="Calibri"/>
                <w:b/>
                <w:color w:val="auto"/>
                <w:lang w:val="fr-FR"/>
              </w:rPr>
              <w:t>:</w:t>
            </w:r>
            <w:proofErr w:type="gramEnd"/>
            <w:r w:rsidRPr="001E479E">
              <w:rPr>
                <w:rFonts w:ascii="Calibri" w:eastAsia="Arial Unicode MS" w:hAnsi="Calibri" w:cs="Calibri"/>
                <w:b/>
                <w:color w:val="auto"/>
                <w:lang w:val="fr-FR"/>
              </w:rPr>
              <w:t xml:space="preserve"> </w:t>
            </w:r>
            <w:r w:rsidRPr="001E479E">
              <w:rPr>
                <w:color w:val="auto"/>
                <w:sz w:val="24"/>
                <w:szCs w:val="24"/>
                <w:lang w:val="fr-FR"/>
              </w:rPr>
              <w:t xml:space="preserve"> </w:t>
            </w:r>
            <w:r w:rsidRPr="001E479E">
              <w:rPr>
                <w:rFonts w:ascii="Calibri" w:eastAsia="Arial Unicode MS" w:hAnsi="Calibri" w:cs="Calibri"/>
                <w:bCs/>
                <w:color w:val="auto"/>
                <w:lang w:val="fr-FR"/>
              </w:rPr>
              <w:t>Consultant International pour le renforcement des capacités d</w:t>
            </w:r>
            <w:r>
              <w:rPr>
                <w:rFonts w:ascii="Calibri" w:eastAsia="Arial Unicode MS" w:hAnsi="Calibri" w:cs="Calibri"/>
                <w:bCs/>
                <w:color w:val="auto"/>
                <w:lang w:val="fr-FR"/>
              </w:rPr>
              <w:t>u système éducatif du Burundi au travers de l’appui à la planification stratégique, le suivi et l’appui au dialogue politique sectoriel</w:t>
            </w:r>
          </w:p>
        </w:tc>
        <w:tc>
          <w:tcPr>
            <w:tcW w:w="3150" w:type="dxa"/>
            <w:tcBorders>
              <w:bottom w:val="nil"/>
            </w:tcBorders>
            <w:shd w:val="clear" w:color="auto" w:fill="auto"/>
          </w:tcPr>
          <w:p w14:paraId="11BB878C" w14:textId="77777777" w:rsidR="0021796C" w:rsidRPr="001E479E" w:rsidRDefault="0021796C" w:rsidP="00377BF5">
            <w:pPr>
              <w:spacing w:before="100" w:beforeAutospacing="1" w:after="100" w:afterAutospacing="1" w:line="240" w:lineRule="auto"/>
              <w:rPr>
                <w:rFonts w:ascii="Calibri" w:eastAsia="Arial Unicode MS" w:hAnsi="Calibri" w:cs="Calibri"/>
                <w:b/>
                <w:color w:val="auto"/>
                <w:lang w:val="en-AU"/>
              </w:rPr>
            </w:pPr>
            <w:r w:rsidRPr="001E479E">
              <w:rPr>
                <w:rFonts w:ascii="Calibri" w:eastAsia="Arial Unicode MS" w:hAnsi="Calibri" w:cs="Calibri"/>
                <w:b/>
                <w:color w:val="auto"/>
                <w:lang w:val="en-AU"/>
              </w:rPr>
              <w:t>Type of engagement</w:t>
            </w:r>
          </w:p>
          <w:p w14:paraId="49FA3C13" w14:textId="4CE4632D" w:rsidR="0021796C" w:rsidRPr="001E479E" w:rsidRDefault="0021796C" w:rsidP="00377BF5">
            <w:pPr>
              <w:spacing w:before="60" w:after="60" w:line="240" w:lineRule="auto"/>
              <w:ind w:right="-108"/>
              <w:rPr>
                <w:rFonts w:ascii="Calibri" w:eastAsia="Arial Unicode MS" w:hAnsi="Calibri" w:cs="Calibri"/>
                <w:color w:val="auto"/>
                <w:lang w:val="en-AU"/>
              </w:rPr>
            </w:pPr>
            <w:r w:rsidRPr="001E479E">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sidRPr="001E479E">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sidRPr="001E479E">
              <w:rPr>
                <w:rFonts w:ascii="Calibri" w:eastAsia="Arial Unicode MS" w:hAnsi="Calibri" w:cs="Calibri"/>
                <w:color w:val="auto"/>
                <w:lang w:val="en-AU"/>
              </w:rPr>
              <w:fldChar w:fldCharType="end"/>
            </w:r>
            <w:bookmarkEnd w:id="0"/>
            <w:r w:rsidRPr="001E479E">
              <w:rPr>
                <w:rFonts w:ascii="Calibri" w:eastAsia="Arial Unicode MS" w:hAnsi="Calibri" w:cs="Calibri"/>
                <w:color w:val="auto"/>
                <w:lang w:val="en-AU"/>
              </w:rPr>
              <w:t xml:space="preserve"> Consultant  </w:t>
            </w:r>
          </w:p>
          <w:p w14:paraId="33BFAE9D" w14:textId="186E2C0C" w:rsidR="0021796C" w:rsidRPr="001E479E" w:rsidRDefault="0021796C" w:rsidP="00377BF5">
            <w:pPr>
              <w:spacing w:before="60" w:after="60" w:line="240" w:lineRule="auto"/>
              <w:ind w:right="-108"/>
              <w:rPr>
                <w:rFonts w:ascii="Calibri" w:eastAsia="Arial Unicode MS" w:hAnsi="Calibri" w:cs="Calibri"/>
                <w:color w:val="auto"/>
                <w:lang w:val="en-AU"/>
              </w:rPr>
            </w:pPr>
            <w:r w:rsidRPr="001E479E">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1E479E">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sidRPr="001E479E">
              <w:rPr>
                <w:rFonts w:ascii="Calibri" w:eastAsia="Arial Unicode MS" w:hAnsi="Calibri" w:cs="Calibri"/>
                <w:color w:val="auto"/>
                <w:lang w:val="en-AU"/>
              </w:rPr>
              <w:fldChar w:fldCharType="end"/>
            </w:r>
            <w:bookmarkEnd w:id="1"/>
            <w:r w:rsidRPr="001E479E">
              <w:rPr>
                <w:rFonts w:ascii="Calibri" w:eastAsia="Arial Unicode MS" w:hAnsi="Calibri" w:cs="Calibri"/>
                <w:color w:val="auto"/>
                <w:lang w:val="en-AU"/>
              </w:rPr>
              <w:t xml:space="preserve"> Individual Contractor Part-Time</w:t>
            </w:r>
          </w:p>
          <w:p w14:paraId="0F67FA87" w14:textId="3E48FCE1" w:rsidR="0021796C" w:rsidRPr="001E479E" w:rsidRDefault="0021796C" w:rsidP="00377BF5">
            <w:pPr>
              <w:spacing w:before="60" w:after="60" w:line="240" w:lineRule="auto"/>
              <w:ind w:right="-108"/>
              <w:rPr>
                <w:rFonts w:ascii="Calibri" w:eastAsia="Arial Unicode MS" w:hAnsi="Calibri" w:cs="Calibri"/>
                <w:color w:val="auto"/>
                <w:lang w:val="en-AU"/>
              </w:rPr>
            </w:pPr>
            <w:r w:rsidRPr="001E479E">
              <w:rPr>
                <w:rFonts w:ascii="Calibri" w:eastAsia="Arial Unicode MS" w:hAnsi="Calibri" w:cs="Calibri"/>
                <w:color w:val="auto"/>
                <w:lang w:val="en-AU"/>
              </w:rPr>
              <w:fldChar w:fldCharType="begin">
                <w:ffData>
                  <w:name w:val="Check12"/>
                  <w:enabled/>
                  <w:calcOnExit w:val="0"/>
                  <w:checkBox>
                    <w:sizeAuto/>
                    <w:default w:val="0"/>
                  </w:checkBox>
                </w:ffData>
              </w:fldChar>
            </w:r>
            <w:r w:rsidRPr="001E479E">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sidRPr="001E479E">
              <w:rPr>
                <w:rFonts w:ascii="Calibri" w:eastAsia="Arial Unicode MS" w:hAnsi="Calibri" w:cs="Calibri"/>
                <w:color w:val="auto"/>
                <w:lang w:val="en-AU"/>
              </w:rPr>
              <w:fldChar w:fldCharType="end"/>
            </w:r>
            <w:r w:rsidRPr="001E479E">
              <w:rPr>
                <w:rFonts w:ascii="Calibri" w:eastAsia="Arial Unicode MS" w:hAnsi="Calibri" w:cs="Calibri"/>
                <w:color w:val="auto"/>
                <w:lang w:val="en-AU"/>
              </w:rPr>
              <w:t xml:space="preserve"> Individual Contractor Full-Time</w:t>
            </w:r>
          </w:p>
        </w:tc>
        <w:tc>
          <w:tcPr>
            <w:tcW w:w="3330" w:type="dxa"/>
            <w:gridSpan w:val="2"/>
            <w:tcBorders>
              <w:bottom w:val="nil"/>
            </w:tcBorders>
            <w:shd w:val="clear" w:color="auto" w:fill="auto"/>
          </w:tcPr>
          <w:p w14:paraId="2302C863" w14:textId="77777777" w:rsidR="0021796C" w:rsidRPr="001E479E" w:rsidRDefault="0021796C" w:rsidP="00377BF5">
            <w:pPr>
              <w:spacing w:before="100" w:beforeAutospacing="1" w:after="100" w:afterAutospacing="1" w:line="240" w:lineRule="auto"/>
              <w:rPr>
                <w:rFonts w:ascii="Calibri" w:eastAsia="Arial Unicode MS" w:hAnsi="Calibri" w:cs="Calibri"/>
                <w:b/>
                <w:color w:val="auto"/>
                <w:lang w:val="en-AU"/>
              </w:rPr>
            </w:pPr>
            <w:r w:rsidRPr="001E479E">
              <w:rPr>
                <w:rFonts w:ascii="Calibri" w:eastAsia="Arial Unicode MS" w:hAnsi="Calibri" w:cs="Calibri"/>
                <w:b/>
                <w:color w:val="auto"/>
                <w:lang w:val="en-AU"/>
              </w:rPr>
              <w:t>Duty Station:</w:t>
            </w:r>
          </w:p>
          <w:p w14:paraId="3CCE5269" w14:textId="0E043B02" w:rsidR="0021796C" w:rsidRPr="001E479E" w:rsidRDefault="0021796C" w:rsidP="00377BF5">
            <w:pPr>
              <w:spacing w:before="100" w:beforeAutospacing="1" w:after="100" w:afterAutospacing="1" w:line="240" w:lineRule="auto"/>
              <w:rPr>
                <w:rFonts w:ascii="Calibri" w:eastAsia="Arial Unicode MS" w:hAnsi="Calibri" w:cs="Calibri"/>
                <w:color w:val="auto"/>
                <w:lang w:val="en-AU"/>
              </w:rPr>
            </w:pPr>
            <w:r w:rsidRPr="001E479E">
              <w:rPr>
                <w:rFonts w:ascii="Calibri" w:eastAsia="Arial Unicode MS" w:hAnsi="Calibri" w:cs="Calibri"/>
                <w:color w:val="auto"/>
                <w:lang w:val="en-AU"/>
              </w:rPr>
              <w:t>Bujumbura</w:t>
            </w:r>
          </w:p>
        </w:tc>
      </w:tr>
      <w:tr w:rsidR="007613B3" w:rsidRPr="0021796C" w14:paraId="2F971280" w14:textId="77777777" w:rsidTr="0021796C">
        <w:trPr>
          <w:gridAfter w:val="1"/>
          <w:wAfter w:w="8" w:type="dxa"/>
          <w:trHeight w:val="828"/>
        </w:trPr>
        <w:tc>
          <w:tcPr>
            <w:tcW w:w="9887" w:type="dxa"/>
            <w:gridSpan w:val="3"/>
            <w:tcBorders>
              <w:bottom w:val="nil"/>
            </w:tcBorders>
            <w:shd w:val="clear" w:color="auto" w:fill="auto"/>
            <w:noWrap/>
            <w:hideMark/>
          </w:tcPr>
          <w:p w14:paraId="30C0C19D" w14:textId="341B217B" w:rsidR="00EE2FEF" w:rsidRPr="007D010E" w:rsidRDefault="007613B3" w:rsidP="00D74729">
            <w:pPr>
              <w:spacing w:before="100" w:beforeAutospacing="1" w:after="100" w:afterAutospacing="1" w:line="240" w:lineRule="auto"/>
              <w:rPr>
                <w:rFonts w:ascii="Calibri" w:eastAsia="Arial Unicode MS" w:hAnsi="Calibri" w:cs="Calibri"/>
                <w:b/>
                <w:color w:val="auto"/>
                <w:lang w:val="fr-FR"/>
              </w:rPr>
            </w:pPr>
            <w:proofErr w:type="spellStart"/>
            <w:r w:rsidRPr="007D010E">
              <w:rPr>
                <w:rFonts w:ascii="Calibri" w:eastAsia="Arial Unicode MS" w:hAnsi="Calibri" w:cs="Calibri"/>
                <w:b/>
                <w:color w:val="auto"/>
                <w:lang w:val="fr-FR"/>
              </w:rPr>
              <w:t>Purpose</w:t>
            </w:r>
            <w:proofErr w:type="spellEnd"/>
            <w:r w:rsidRPr="007D010E">
              <w:rPr>
                <w:rFonts w:ascii="Calibri" w:eastAsia="Arial Unicode MS" w:hAnsi="Calibri" w:cs="Calibri"/>
                <w:b/>
                <w:color w:val="auto"/>
                <w:lang w:val="fr-FR"/>
              </w:rPr>
              <w:t xml:space="preserve"> of Activity/</w:t>
            </w:r>
            <w:proofErr w:type="spellStart"/>
            <w:r w:rsidR="0021796C" w:rsidRPr="007D010E">
              <w:rPr>
                <w:rFonts w:ascii="Calibri" w:eastAsia="Arial Unicode MS" w:hAnsi="Calibri" w:cs="Calibri"/>
                <w:b/>
                <w:color w:val="auto"/>
                <w:lang w:val="fr-FR"/>
              </w:rPr>
              <w:t>Assignment</w:t>
            </w:r>
            <w:proofErr w:type="spellEnd"/>
            <w:r w:rsidR="0021796C" w:rsidRPr="007D010E">
              <w:rPr>
                <w:rFonts w:ascii="Calibri" w:eastAsia="Arial Unicode MS" w:hAnsi="Calibri" w:cs="Calibri"/>
                <w:b/>
                <w:color w:val="auto"/>
                <w:lang w:val="fr-FR"/>
              </w:rPr>
              <w:t xml:space="preserve"> :</w:t>
            </w:r>
            <w:r w:rsidRPr="007D010E">
              <w:rPr>
                <w:rFonts w:ascii="Calibri" w:eastAsia="Arial Unicode MS" w:hAnsi="Calibri" w:cs="Calibri"/>
                <w:b/>
                <w:color w:val="auto"/>
                <w:lang w:val="fr-FR"/>
              </w:rPr>
              <w:t xml:space="preserve"> </w:t>
            </w:r>
          </w:p>
          <w:p w14:paraId="52865D6F" w14:textId="77777777" w:rsidR="00D74729" w:rsidRPr="00D74729" w:rsidRDefault="00530EE0" w:rsidP="00D74729">
            <w:pPr>
              <w:spacing w:before="100" w:beforeAutospacing="1" w:after="100" w:afterAutospacing="1" w:line="240" w:lineRule="auto"/>
              <w:jc w:val="both"/>
              <w:rPr>
                <w:rFonts w:ascii="Calibri" w:eastAsia="Arial Unicode MS" w:hAnsi="Calibri" w:cs="Calibri"/>
                <w:bCs/>
                <w:color w:val="auto"/>
                <w:lang w:val="fr-FR"/>
              </w:rPr>
            </w:pPr>
            <w:r w:rsidRPr="00D74729">
              <w:rPr>
                <w:rFonts w:ascii="Calibri" w:eastAsia="Arial Unicode MS" w:hAnsi="Calibri" w:cs="Calibri"/>
                <w:bCs/>
                <w:color w:val="auto"/>
                <w:lang w:val="fr-FR"/>
              </w:rPr>
              <w:t xml:space="preserve">Sous la supervision générale du Chef éducation, la/le titulaire du poste apportera son soutien au Ministère de l’éducation nationale et de la recherche scientifique, dans le contexte de la finalisation/lancement d’un nouveau Plan sectoriel éducation (PSE) 2022-2030, mais également de la préparation des Etats généraux de l’éducation (EGE) et du Sommet mondial sur l’éducation (TES) prévu au mois de septembre en marge de l’assemblée générales des Nations unies. La/le titulaire, au nom de l’UNICEF chef de file des Partenaires techniques et financiers et Agence de coordination du secteur, appuiera le MENRS dans la conception, la planification, la mise en œuvre, le suivi et l’évaluation périodique du PSE au travers des réunions du Groupe sectoriel éducation (GSE), des revues conjointes à mi-parcours et de fin d’année du PSE. A ce titre, la/le titulaire du poste gérera également la collecte, l'analyse et le partage de données/informations clés importantes pour les acteurs du secteur, afin de faciliter la prise de décisions stratégiques éclairées (fondées sur des évidences). </w:t>
            </w:r>
          </w:p>
          <w:p w14:paraId="37400F48" w14:textId="65D65639" w:rsidR="007613B3" w:rsidRPr="00D74729" w:rsidRDefault="00530EE0" w:rsidP="00D74729">
            <w:pPr>
              <w:spacing w:before="100" w:beforeAutospacing="1" w:after="100" w:afterAutospacing="1" w:line="240" w:lineRule="auto"/>
              <w:jc w:val="both"/>
              <w:rPr>
                <w:rFonts w:ascii="Calibri" w:eastAsia="Arial Unicode MS" w:hAnsi="Calibri" w:cs="Calibri"/>
                <w:bCs/>
                <w:color w:val="auto"/>
                <w:lang w:val="fr-FR"/>
              </w:rPr>
            </w:pPr>
            <w:r w:rsidRPr="00D74729">
              <w:rPr>
                <w:rFonts w:ascii="Calibri" w:eastAsia="Arial Unicode MS" w:hAnsi="Calibri" w:cs="Calibri"/>
                <w:bCs/>
                <w:color w:val="auto"/>
                <w:lang w:val="fr-FR"/>
              </w:rPr>
              <w:t>La/le titulaire appuiera également le ministère dans la coordination et la mise en œuvre de la thématique émergente relative à la promotion de</w:t>
            </w:r>
            <w:r w:rsidR="00D74729" w:rsidRPr="00D74729">
              <w:rPr>
                <w:rFonts w:ascii="Calibri" w:eastAsia="Arial Unicode MS" w:hAnsi="Calibri" w:cs="Calibri"/>
                <w:bCs/>
                <w:color w:val="auto"/>
                <w:lang w:val="fr-FR"/>
              </w:rPr>
              <w:t>s</w:t>
            </w:r>
            <w:r w:rsidRPr="00D74729">
              <w:rPr>
                <w:rFonts w:ascii="Calibri" w:eastAsia="Arial Unicode MS" w:hAnsi="Calibri" w:cs="Calibri"/>
                <w:bCs/>
                <w:color w:val="auto"/>
                <w:lang w:val="fr-FR"/>
              </w:rPr>
              <w:t xml:space="preserve"> compétences cognitives liées à l’employabilité ( incluant les compétences du XXIème siècle, le digitale, les innovations), en mettant l'accent sur les parcours d’apprentissage multiples et alternatifs accrédités (de l'éducation formelle à l'éducation non formelle), les solutions mixtes et numériques pour l'apprentissage autonome pour accéder aux moyens de subsistance. </w:t>
            </w:r>
          </w:p>
        </w:tc>
      </w:tr>
      <w:tr w:rsidR="007613B3" w:rsidRPr="0021796C" w14:paraId="55B63C31" w14:textId="77777777" w:rsidTr="0021796C">
        <w:trPr>
          <w:gridAfter w:val="1"/>
          <w:wAfter w:w="8" w:type="dxa"/>
          <w:trHeight w:val="3771"/>
        </w:trPr>
        <w:tc>
          <w:tcPr>
            <w:tcW w:w="9887" w:type="dxa"/>
            <w:gridSpan w:val="3"/>
            <w:tcBorders>
              <w:bottom w:val="nil"/>
            </w:tcBorders>
            <w:shd w:val="clear" w:color="auto" w:fill="auto"/>
            <w:noWrap/>
          </w:tcPr>
          <w:p w14:paraId="08D1790E" w14:textId="77777777" w:rsidR="0021796C" w:rsidRDefault="007613B3" w:rsidP="0021796C">
            <w:pPr>
              <w:spacing w:before="100" w:beforeAutospacing="1" w:after="100" w:afterAutospacing="1" w:line="240" w:lineRule="auto"/>
              <w:jc w:val="both"/>
              <w:rPr>
                <w:rFonts w:ascii="Calibri" w:eastAsia="Arial Unicode MS" w:hAnsi="Calibri" w:cs="Calibri"/>
                <w:b/>
                <w:color w:val="auto"/>
                <w:lang w:val="fr-FR"/>
              </w:rPr>
            </w:pPr>
            <w:r w:rsidRPr="007D010E">
              <w:rPr>
                <w:rFonts w:ascii="Calibri" w:eastAsia="Arial Unicode MS" w:hAnsi="Calibri" w:cs="Calibri"/>
                <w:b/>
                <w:color w:val="auto"/>
                <w:lang w:val="fr-FR"/>
              </w:rPr>
              <w:t xml:space="preserve">Scope of </w:t>
            </w:r>
            <w:proofErr w:type="gramStart"/>
            <w:r w:rsidRPr="007D010E">
              <w:rPr>
                <w:rFonts w:ascii="Calibri" w:eastAsia="Arial Unicode MS" w:hAnsi="Calibri" w:cs="Calibri"/>
                <w:b/>
                <w:color w:val="auto"/>
                <w:lang w:val="fr-FR"/>
              </w:rPr>
              <w:t>Work:</w:t>
            </w:r>
            <w:proofErr w:type="gramEnd"/>
          </w:p>
          <w:p w14:paraId="4187304A" w14:textId="17BB55A6" w:rsidR="00747960" w:rsidRPr="0021796C" w:rsidRDefault="00747960" w:rsidP="0021796C">
            <w:pPr>
              <w:spacing w:before="100" w:beforeAutospacing="1" w:after="100" w:afterAutospacing="1" w:line="240" w:lineRule="auto"/>
              <w:jc w:val="both"/>
              <w:rPr>
                <w:rFonts w:ascii="Calibri" w:eastAsia="Arial Unicode MS" w:hAnsi="Calibri" w:cs="Calibri"/>
                <w:b/>
                <w:color w:val="auto"/>
                <w:lang w:val="fr-FR"/>
              </w:rPr>
            </w:pPr>
            <w:r w:rsidRPr="00747960">
              <w:rPr>
                <w:rFonts w:ascii="Calibri" w:eastAsia="Arial Unicode MS" w:hAnsi="Calibri" w:cs="Calibri"/>
                <w:bCs/>
                <w:color w:val="auto"/>
                <w:lang w:val="fr-FR"/>
              </w:rPr>
              <w:t xml:space="preserve">Plus précisément, le soutien du candidat sera requis dans trois domaines principaux : </w:t>
            </w:r>
          </w:p>
          <w:p w14:paraId="1165D283" w14:textId="40E3D0D1" w:rsidR="00747960" w:rsidRPr="0021796C" w:rsidRDefault="00747960" w:rsidP="0021796C">
            <w:pPr>
              <w:pStyle w:val="ListParagraph"/>
              <w:numPr>
                <w:ilvl w:val="0"/>
                <w:numId w:val="31"/>
              </w:numPr>
              <w:spacing w:after="160" w:line="259" w:lineRule="auto"/>
              <w:jc w:val="both"/>
              <w:rPr>
                <w:rFonts w:ascii="Calibri" w:eastAsia="Arial Unicode MS" w:hAnsi="Calibri" w:cs="Calibri"/>
                <w:bCs/>
                <w:color w:val="auto"/>
                <w:lang w:val="fr-FR"/>
              </w:rPr>
            </w:pPr>
            <w:r w:rsidRPr="00747960">
              <w:rPr>
                <w:rFonts w:ascii="Calibri" w:eastAsia="Arial Unicode MS" w:hAnsi="Calibri" w:cs="Calibri"/>
                <w:bCs/>
                <w:color w:val="auto"/>
                <w:lang w:val="fr-FR"/>
              </w:rPr>
              <w:t xml:space="preserve">Renforcer la coordination sectorielle et entretenir le dialogue politique sur les questions éducatives : Le MENRS </w:t>
            </w:r>
            <w:r>
              <w:rPr>
                <w:rFonts w:ascii="Calibri" w:eastAsia="Arial Unicode MS" w:hAnsi="Calibri" w:cs="Calibri"/>
                <w:bCs/>
                <w:color w:val="auto"/>
                <w:lang w:val="fr-FR"/>
              </w:rPr>
              <w:t>s’</w:t>
            </w:r>
            <w:r w:rsidRPr="00747960">
              <w:rPr>
                <w:rFonts w:ascii="Calibri" w:eastAsia="Arial Unicode MS" w:hAnsi="Calibri" w:cs="Calibri"/>
                <w:bCs/>
                <w:color w:val="auto"/>
                <w:lang w:val="fr-FR"/>
              </w:rPr>
              <w:t xml:space="preserve">est </w:t>
            </w:r>
            <w:r>
              <w:rPr>
                <w:rFonts w:ascii="Calibri" w:eastAsia="Arial Unicode MS" w:hAnsi="Calibri" w:cs="Calibri"/>
                <w:bCs/>
                <w:color w:val="auto"/>
                <w:lang w:val="fr-FR"/>
              </w:rPr>
              <w:t>doté d’un</w:t>
            </w:r>
            <w:r w:rsidRPr="00747960">
              <w:rPr>
                <w:rFonts w:ascii="Calibri" w:eastAsia="Arial Unicode MS" w:hAnsi="Calibri" w:cs="Calibri"/>
                <w:bCs/>
                <w:color w:val="auto"/>
                <w:lang w:val="fr-FR"/>
              </w:rPr>
              <w:t xml:space="preserve"> nouveau PSE 2022-2030. L'UNICEF joue actuellement un rôle d’interface de premier plan entre le MENRS et ses PTFs en co-présidant le GSE et le </w:t>
            </w:r>
            <w:proofErr w:type="spellStart"/>
            <w:r w:rsidRPr="00747960">
              <w:rPr>
                <w:rFonts w:ascii="Calibri" w:eastAsia="Arial Unicode MS" w:hAnsi="Calibri" w:cs="Calibri"/>
                <w:bCs/>
                <w:color w:val="auto"/>
                <w:lang w:val="fr-FR"/>
              </w:rPr>
              <w:t>GdT</w:t>
            </w:r>
            <w:proofErr w:type="spellEnd"/>
            <w:r w:rsidRPr="00747960">
              <w:rPr>
                <w:rFonts w:ascii="Calibri" w:eastAsia="Arial Unicode MS" w:hAnsi="Calibri" w:cs="Calibri"/>
                <w:bCs/>
                <w:color w:val="auto"/>
                <w:lang w:val="fr-FR"/>
              </w:rPr>
              <w:t xml:space="preserve"> ESU tout en jouant également un rôle d’agent partenaire des fonds COVID et urgence du Partenariat mondial pour l'éducation (GPE). L’UNICEF a porté l’élaboration du PTE et apporter une contribution importante dans l’élaboration du PSE en cours de finalisation, depuis la phase analyse de la situation au travers de</w:t>
            </w:r>
            <w:r>
              <w:rPr>
                <w:rFonts w:ascii="Calibri" w:eastAsia="Arial Unicode MS" w:hAnsi="Calibri" w:cs="Calibri"/>
                <w:bCs/>
                <w:color w:val="auto"/>
                <w:lang w:val="fr-FR"/>
              </w:rPr>
              <w:t xml:space="preserve"> : </w:t>
            </w:r>
            <w:r w:rsidRPr="00747960">
              <w:rPr>
                <w:rFonts w:ascii="Calibri" w:eastAsia="Arial Unicode MS" w:hAnsi="Calibri" w:cs="Calibri"/>
                <w:bCs/>
                <w:color w:val="auto"/>
                <w:lang w:val="fr-FR"/>
              </w:rPr>
              <w:t xml:space="preserve">l’évaluation de la réforme </w:t>
            </w:r>
            <w:r>
              <w:rPr>
                <w:rFonts w:ascii="Calibri" w:eastAsia="Arial Unicode MS" w:hAnsi="Calibri" w:cs="Calibri"/>
                <w:bCs/>
                <w:color w:val="auto"/>
                <w:lang w:val="fr-FR"/>
              </w:rPr>
              <w:t xml:space="preserve">du système </w:t>
            </w:r>
            <w:r w:rsidRPr="00747960">
              <w:rPr>
                <w:rFonts w:ascii="Calibri" w:eastAsia="Arial Unicode MS" w:hAnsi="Calibri" w:cs="Calibri"/>
                <w:bCs/>
                <w:color w:val="auto"/>
                <w:lang w:val="fr-FR"/>
              </w:rPr>
              <w:t xml:space="preserve">éducatif, de l’étude sur les enfants et adolescents en dehors de l’école, du RESEN, etc. au développement du PSE. La /le titulaire soutiendra la coordination du secteur de l'éducation et </w:t>
            </w:r>
            <w:r>
              <w:rPr>
                <w:rFonts w:ascii="Calibri" w:eastAsia="Arial Unicode MS" w:hAnsi="Calibri" w:cs="Calibri"/>
                <w:bCs/>
                <w:color w:val="auto"/>
                <w:lang w:val="fr-FR"/>
              </w:rPr>
              <w:t xml:space="preserve">appuiera </w:t>
            </w:r>
            <w:r w:rsidRPr="00747960">
              <w:rPr>
                <w:rFonts w:ascii="Calibri" w:eastAsia="Arial Unicode MS" w:hAnsi="Calibri" w:cs="Calibri"/>
                <w:bCs/>
                <w:color w:val="auto"/>
                <w:lang w:val="fr-FR"/>
              </w:rPr>
              <w:t xml:space="preserve">l'UNICEF </w:t>
            </w:r>
            <w:r>
              <w:rPr>
                <w:rFonts w:ascii="Calibri" w:eastAsia="Arial Unicode MS" w:hAnsi="Calibri" w:cs="Calibri"/>
                <w:bCs/>
                <w:color w:val="auto"/>
                <w:lang w:val="fr-FR"/>
              </w:rPr>
              <w:t>dans son rôle de C</w:t>
            </w:r>
            <w:r w:rsidRPr="00747960">
              <w:rPr>
                <w:rFonts w:ascii="Calibri" w:eastAsia="Arial Unicode MS" w:hAnsi="Calibri" w:cs="Calibri"/>
                <w:bCs/>
                <w:color w:val="auto"/>
                <w:lang w:val="fr-FR"/>
              </w:rPr>
              <w:t xml:space="preserve">hef de file </w:t>
            </w:r>
            <w:r>
              <w:rPr>
                <w:rFonts w:ascii="Calibri" w:eastAsia="Arial Unicode MS" w:hAnsi="Calibri" w:cs="Calibri"/>
                <w:bCs/>
                <w:color w:val="auto"/>
                <w:lang w:val="fr-FR"/>
              </w:rPr>
              <w:t xml:space="preserve">des PTFs </w:t>
            </w:r>
            <w:r w:rsidRPr="00747960">
              <w:rPr>
                <w:rFonts w:ascii="Calibri" w:eastAsia="Arial Unicode MS" w:hAnsi="Calibri" w:cs="Calibri"/>
                <w:bCs/>
                <w:color w:val="auto"/>
                <w:lang w:val="fr-FR"/>
              </w:rPr>
              <w:t>s. Elle/ il examinera</w:t>
            </w:r>
            <w:r w:rsidR="00457053">
              <w:rPr>
                <w:rFonts w:ascii="Calibri" w:eastAsia="Arial Unicode MS" w:hAnsi="Calibri" w:cs="Calibri"/>
                <w:bCs/>
                <w:color w:val="auto"/>
                <w:lang w:val="fr-FR"/>
              </w:rPr>
              <w:t>/</w:t>
            </w:r>
            <w:r w:rsidRPr="00747960">
              <w:rPr>
                <w:rFonts w:ascii="Calibri" w:eastAsia="Arial Unicode MS" w:hAnsi="Calibri" w:cs="Calibri"/>
                <w:bCs/>
                <w:color w:val="auto"/>
                <w:lang w:val="fr-FR"/>
              </w:rPr>
              <w:t>analysera les initiatives de l'UNICEF Burundi visant à améliorer la coordination du secteur de l'éducation, à soutenir le renforcement du système éducatif, la mise en place et le déploiement d'un mécanisme de dialogue politique cohérent et soutiendra le développement de notes d'orientation. L</w:t>
            </w:r>
            <w:r w:rsidR="00457053">
              <w:rPr>
                <w:rFonts w:ascii="Calibri" w:eastAsia="Arial Unicode MS" w:hAnsi="Calibri" w:cs="Calibri"/>
                <w:bCs/>
                <w:color w:val="auto"/>
                <w:lang w:val="fr-FR"/>
              </w:rPr>
              <w:t>a/l</w:t>
            </w:r>
            <w:r w:rsidRPr="00747960">
              <w:rPr>
                <w:rFonts w:ascii="Calibri" w:eastAsia="Arial Unicode MS" w:hAnsi="Calibri" w:cs="Calibri"/>
                <w:bCs/>
                <w:color w:val="auto"/>
                <w:lang w:val="fr-FR"/>
              </w:rPr>
              <w:t>e consultant</w:t>
            </w:r>
            <w:r w:rsidR="00457053">
              <w:rPr>
                <w:rFonts w:ascii="Calibri" w:eastAsia="Arial Unicode MS" w:hAnsi="Calibri" w:cs="Calibri"/>
                <w:bCs/>
                <w:color w:val="auto"/>
                <w:lang w:val="fr-FR"/>
              </w:rPr>
              <w:t>(e)</w:t>
            </w:r>
            <w:r w:rsidRPr="00747960">
              <w:rPr>
                <w:rFonts w:ascii="Calibri" w:eastAsia="Arial Unicode MS" w:hAnsi="Calibri" w:cs="Calibri"/>
                <w:bCs/>
                <w:color w:val="auto"/>
                <w:lang w:val="fr-FR"/>
              </w:rPr>
              <w:t xml:space="preserve"> soutiendra également le développement de résumés de bonnes pratiques, afin de promouvoir le partage et l'apprentissage avec d'autres pays. Le consultant aidera également le </w:t>
            </w:r>
            <w:r w:rsidR="00457053">
              <w:rPr>
                <w:rFonts w:ascii="Calibri" w:eastAsia="Arial Unicode MS" w:hAnsi="Calibri" w:cs="Calibri"/>
                <w:bCs/>
                <w:color w:val="auto"/>
                <w:lang w:val="fr-FR"/>
              </w:rPr>
              <w:t>MENRS dans l’</w:t>
            </w:r>
            <w:r w:rsidRPr="00747960">
              <w:rPr>
                <w:rFonts w:ascii="Calibri" w:eastAsia="Arial Unicode MS" w:hAnsi="Calibri" w:cs="Calibri"/>
                <w:bCs/>
                <w:color w:val="auto"/>
                <w:lang w:val="fr-FR"/>
              </w:rPr>
              <w:t>identifi</w:t>
            </w:r>
            <w:r w:rsidR="00457053">
              <w:rPr>
                <w:rFonts w:ascii="Calibri" w:eastAsia="Arial Unicode MS" w:hAnsi="Calibri" w:cs="Calibri"/>
                <w:bCs/>
                <w:color w:val="auto"/>
                <w:lang w:val="fr-FR"/>
              </w:rPr>
              <w:t xml:space="preserve">cation </w:t>
            </w:r>
            <w:r w:rsidRPr="00747960">
              <w:rPr>
                <w:rFonts w:ascii="Calibri" w:eastAsia="Arial Unicode MS" w:hAnsi="Calibri" w:cs="Calibri"/>
                <w:bCs/>
                <w:color w:val="auto"/>
                <w:lang w:val="fr-FR"/>
              </w:rPr>
              <w:t xml:space="preserve">et </w:t>
            </w:r>
            <w:r w:rsidR="00457053">
              <w:rPr>
                <w:rFonts w:ascii="Calibri" w:eastAsia="Arial Unicode MS" w:hAnsi="Calibri" w:cs="Calibri"/>
                <w:bCs/>
                <w:color w:val="auto"/>
                <w:lang w:val="fr-FR"/>
              </w:rPr>
              <w:t xml:space="preserve">la </w:t>
            </w:r>
            <w:r w:rsidRPr="00747960">
              <w:rPr>
                <w:rFonts w:ascii="Calibri" w:eastAsia="Arial Unicode MS" w:hAnsi="Calibri" w:cs="Calibri"/>
                <w:bCs/>
                <w:color w:val="auto"/>
                <w:lang w:val="fr-FR"/>
              </w:rPr>
              <w:t>m</w:t>
            </w:r>
            <w:r w:rsidR="00457053">
              <w:rPr>
                <w:rFonts w:ascii="Calibri" w:eastAsia="Arial Unicode MS" w:hAnsi="Calibri" w:cs="Calibri"/>
                <w:bCs/>
                <w:color w:val="auto"/>
                <w:lang w:val="fr-FR"/>
              </w:rPr>
              <w:t xml:space="preserve">ise à </w:t>
            </w:r>
            <w:r w:rsidRPr="00747960">
              <w:rPr>
                <w:rFonts w:ascii="Calibri" w:eastAsia="Arial Unicode MS" w:hAnsi="Calibri" w:cs="Calibri"/>
                <w:bCs/>
                <w:color w:val="auto"/>
                <w:lang w:val="fr-FR"/>
              </w:rPr>
              <w:t>disposition de méthodologies, d</w:t>
            </w:r>
            <w:r w:rsidR="00457053">
              <w:rPr>
                <w:rFonts w:ascii="Calibri" w:eastAsia="Arial Unicode MS" w:hAnsi="Calibri" w:cs="Calibri"/>
                <w:bCs/>
                <w:color w:val="auto"/>
                <w:lang w:val="fr-FR"/>
              </w:rPr>
              <w:t>’</w:t>
            </w:r>
            <w:r w:rsidRPr="00747960">
              <w:rPr>
                <w:rFonts w:ascii="Calibri" w:eastAsia="Arial Unicode MS" w:hAnsi="Calibri" w:cs="Calibri"/>
                <w:bCs/>
                <w:color w:val="auto"/>
                <w:lang w:val="fr-FR"/>
              </w:rPr>
              <w:t xml:space="preserve">outils et de conseils éprouvés afin d'améliorer l'offre d'une éducation de qualité pertinente. </w:t>
            </w:r>
            <w:r w:rsidR="00457053">
              <w:rPr>
                <w:rFonts w:ascii="Calibri" w:eastAsia="Arial Unicode MS" w:hAnsi="Calibri" w:cs="Calibri"/>
                <w:bCs/>
                <w:color w:val="auto"/>
                <w:lang w:val="fr-FR"/>
              </w:rPr>
              <w:t xml:space="preserve">Elle/il </w:t>
            </w:r>
            <w:r w:rsidRPr="00747960">
              <w:rPr>
                <w:rFonts w:ascii="Calibri" w:eastAsia="Arial Unicode MS" w:hAnsi="Calibri" w:cs="Calibri"/>
                <w:bCs/>
                <w:color w:val="auto"/>
                <w:lang w:val="fr-FR"/>
              </w:rPr>
              <w:t>assurera la coordination avec le Chef éducation de l'UNICEF pour veiller à ce que les stratégies d</w:t>
            </w:r>
            <w:r w:rsidR="00457053">
              <w:rPr>
                <w:rFonts w:ascii="Calibri" w:eastAsia="Arial Unicode MS" w:hAnsi="Calibri" w:cs="Calibri"/>
                <w:bCs/>
                <w:color w:val="auto"/>
                <w:lang w:val="fr-FR"/>
              </w:rPr>
              <w:t xml:space="preserve">u Burundi </w:t>
            </w:r>
            <w:r w:rsidRPr="00747960">
              <w:rPr>
                <w:rFonts w:ascii="Calibri" w:eastAsia="Arial Unicode MS" w:hAnsi="Calibri" w:cs="Calibri"/>
                <w:bCs/>
                <w:color w:val="auto"/>
                <w:lang w:val="fr-FR"/>
              </w:rPr>
              <w:t xml:space="preserve">soient alignées sur les stratégies mondiales et régionales. Elle / il accompagnera le MENRS dans la préparation d’évènements d’envergure comme les EGE et le Sommet mondial sur l’éducation. </w:t>
            </w:r>
          </w:p>
          <w:p w14:paraId="474B0B1F" w14:textId="33BDEEBD" w:rsidR="00747960" w:rsidRPr="0021796C" w:rsidRDefault="00747960" w:rsidP="0021796C">
            <w:pPr>
              <w:pStyle w:val="ListParagraph"/>
              <w:numPr>
                <w:ilvl w:val="0"/>
                <w:numId w:val="31"/>
              </w:numPr>
              <w:suppressAutoHyphens/>
              <w:autoSpaceDN w:val="0"/>
              <w:spacing w:after="160" w:line="244" w:lineRule="auto"/>
              <w:jc w:val="both"/>
              <w:textAlignment w:val="baseline"/>
              <w:rPr>
                <w:rFonts w:ascii="Calibri" w:eastAsia="Arial Unicode MS" w:hAnsi="Calibri" w:cs="Calibri"/>
                <w:bCs/>
                <w:color w:val="auto"/>
                <w:lang w:val="fr-FR"/>
              </w:rPr>
            </w:pPr>
            <w:r w:rsidRPr="00747960">
              <w:rPr>
                <w:rFonts w:ascii="Calibri" w:eastAsia="Arial Unicode MS" w:hAnsi="Calibri" w:cs="Calibri"/>
                <w:bCs/>
                <w:color w:val="auto"/>
                <w:lang w:val="fr-FR"/>
              </w:rPr>
              <w:t>Cont</w:t>
            </w:r>
            <w:r w:rsidR="00457053">
              <w:rPr>
                <w:rFonts w:ascii="Calibri" w:eastAsia="Arial Unicode MS" w:hAnsi="Calibri" w:cs="Calibri"/>
                <w:bCs/>
                <w:color w:val="auto"/>
                <w:lang w:val="fr-FR"/>
              </w:rPr>
              <w:t xml:space="preserve">ribuer à la production d’évidences </w:t>
            </w:r>
            <w:r w:rsidRPr="00747960">
              <w:rPr>
                <w:rFonts w:ascii="Calibri" w:eastAsia="Arial Unicode MS" w:hAnsi="Calibri" w:cs="Calibri"/>
                <w:bCs/>
                <w:color w:val="auto"/>
                <w:lang w:val="fr-FR"/>
              </w:rPr>
              <w:t xml:space="preserve">: Le Ministère de l’Education Nationale et de la Recherche Scientifique (MENRS) a modernisé son Système d’information et de gestion de l’éducation (SIGE) avec l’appui de l’UNICEF. La salle de saisie du bureau de la planification et des statistiques de l’éducation a été rénovée de fond en comble, l’installation électrique et le réseau informatique mis à niveau avec la dotation d’équipements informatiques (matériels et logiciels) modernes. L’UNICEF appuie également depuis des années la production des annuaires et indicateurs statistiques qui renseignent la planification basée sur les évidences du secteur. </w:t>
            </w:r>
            <w:r w:rsidRPr="00747960">
              <w:rPr>
                <w:rFonts w:ascii="Calibri" w:eastAsia="Arial Unicode MS" w:hAnsi="Calibri" w:cs="Calibri"/>
                <w:bCs/>
                <w:color w:val="auto"/>
                <w:lang w:val="fr-FR"/>
              </w:rPr>
              <w:lastRenderedPageBreak/>
              <w:t xml:space="preserve">D’importantes interventions visant le renforcement des capacités des cadres du MENRS ont également été mises en œuvre. </w:t>
            </w:r>
            <w:r w:rsidR="000C3F11">
              <w:rPr>
                <w:rFonts w:ascii="Calibri" w:eastAsia="Arial Unicode MS" w:hAnsi="Calibri" w:cs="Calibri"/>
                <w:bCs/>
                <w:color w:val="auto"/>
                <w:lang w:val="fr-FR"/>
              </w:rPr>
              <w:t xml:space="preserve">La/le titulaire appuiera la finalisation du plan de suivi de la mise en œuvre du PSE, assurera le suivi dudit plan. A ce titre, il contribuera à la définition des indicateurs, leurs modes et fréquence de collecte, leur suivi au travers des GSE et des revues conjointes, etc. il veillera au transfert de capacités aux cadres du </w:t>
            </w:r>
            <w:r w:rsidR="0029323C">
              <w:rPr>
                <w:rFonts w:ascii="Calibri" w:eastAsia="Arial Unicode MS" w:hAnsi="Calibri" w:cs="Calibri"/>
                <w:bCs/>
                <w:color w:val="auto"/>
                <w:lang w:val="fr-FR"/>
              </w:rPr>
              <w:t>ministère</w:t>
            </w:r>
            <w:r w:rsidRPr="00747960">
              <w:rPr>
                <w:rFonts w:ascii="Calibri" w:eastAsia="Arial Unicode MS" w:hAnsi="Calibri" w:cs="Calibri"/>
                <w:bCs/>
                <w:color w:val="auto"/>
                <w:lang w:val="fr-FR"/>
              </w:rPr>
              <w:t>.</w:t>
            </w:r>
          </w:p>
          <w:p w14:paraId="78C5C227" w14:textId="23A15915" w:rsidR="00D74729" w:rsidRPr="00AE09EB" w:rsidRDefault="0029323C" w:rsidP="00AE09EB">
            <w:pPr>
              <w:pStyle w:val="ListParagraph"/>
              <w:numPr>
                <w:ilvl w:val="0"/>
                <w:numId w:val="31"/>
              </w:numPr>
              <w:suppressAutoHyphens/>
              <w:autoSpaceDN w:val="0"/>
              <w:spacing w:after="160" w:line="244"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 xml:space="preserve">Promouvoir </w:t>
            </w:r>
            <w:r w:rsidR="00747960" w:rsidRPr="00747960">
              <w:rPr>
                <w:rFonts w:ascii="Calibri" w:eastAsia="Arial Unicode MS" w:hAnsi="Calibri" w:cs="Calibri"/>
                <w:bCs/>
                <w:color w:val="auto"/>
                <w:lang w:val="fr-FR"/>
              </w:rPr>
              <w:t>l’approche cycle de vie, avec un focus sur la petite enfance</w:t>
            </w:r>
            <w:r>
              <w:rPr>
                <w:rFonts w:ascii="Calibri" w:eastAsia="Arial Unicode MS" w:hAnsi="Calibri" w:cs="Calibri"/>
                <w:bCs/>
                <w:color w:val="auto"/>
                <w:lang w:val="fr-FR"/>
              </w:rPr>
              <w:t xml:space="preserve">, </w:t>
            </w:r>
            <w:r w:rsidR="00747960" w:rsidRPr="00747960">
              <w:rPr>
                <w:rFonts w:ascii="Calibri" w:eastAsia="Arial Unicode MS" w:hAnsi="Calibri" w:cs="Calibri"/>
                <w:bCs/>
                <w:color w:val="auto"/>
                <w:lang w:val="fr-FR"/>
              </w:rPr>
              <w:t xml:space="preserve">l’adolescence et les thématiques subséquentes y afférentes : le programme éducation s’articule autour de tranches d’âges assez distincts que sont : les premiers stades du développement correspondant </w:t>
            </w:r>
            <w:r w:rsidRPr="00747960">
              <w:rPr>
                <w:rFonts w:ascii="Calibri" w:eastAsia="Arial Unicode MS" w:hAnsi="Calibri" w:cs="Calibri"/>
                <w:bCs/>
                <w:color w:val="auto"/>
                <w:lang w:val="fr-FR"/>
              </w:rPr>
              <w:t>à</w:t>
            </w:r>
            <w:r w:rsidR="00747960" w:rsidRPr="00747960">
              <w:rPr>
                <w:rFonts w:ascii="Calibri" w:eastAsia="Arial Unicode MS" w:hAnsi="Calibri" w:cs="Calibri"/>
                <w:bCs/>
                <w:color w:val="auto"/>
                <w:lang w:val="fr-FR"/>
              </w:rPr>
              <w:t xml:space="preserve"> la petite enfance (3 à 5 ans) ; l’enfance (6-9 ans) ; et les adolescents (10-19 ans) qui nécessitent des approches et interventions spécifiques. La/le consultant</w:t>
            </w:r>
            <w:r>
              <w:rPr>
                <w:rFonts w:ascii="Calibri" w:eastAsia="Arial Unicode MS" w:hAnsi="Calibri" w:cs="Calibri"/>
                <w:bCs/>
                <w:color w:val="auto"/>
                <w:lang w:val="fr-FR"/>
              </w:rPr>
              <w:t>(e)</w:t>
            </w:r>
            <w:r w:rsidR="00747960" w:rsidRPr="00747960">
              <w:rPr>
                <w:rFonts w:ascii="Calibri" w:eastAsia="Arial Unicode MS" w:hAnsi="Calibri" w:cs="Calibri"/>
                <w:bCs/>
                <w:color w:val="auto"/>
                <w:lang w:val="fr-FR"/>
              </w:rPr>
              <w:t xml:space="preserve"> veillera à ce que les sous-secteurs que sont la petite enfance et l’adolescence, souvent </w:t>
            </w:r>
            <w:r w:rsidRPr="00747960">
              <w:rPr>
                <w:rFonts w:ascii="Calibri" w:eastAsia="Arial Unicode MS" w:hAnsi="Calibri" w:cs="Calibri"/>
                <w:bCs/>
                <w:color w:val="auto"/>
                <w:lang w:val="fr-FR"/>
              </w:rPr>
              <w:t>laiss</w:t>
            </w:r>
            <w:r>
              <w:rPr>
                <w:rFonts w:ascii="Calibri" w:eastAsia="Arial Unicode MS" w:hAnsi="Calibri" w:cs="Calibri"/>
                <w:bCs/>
                <w:color w:val="auto"/>
                <w:lang w:val="fr-FR"/>
              </w:rPr>
              <w:t>és</w:t>
            </w:r>
            <w:r w:rsidR="00747960" w:rsidRPr="00747960">
              <w:rPr>
                <w:rFonts w:ascii="Calibri" w:eastAsia="Arial Unicode MS" w:hAnsi="Calibri" w:cs="Calibri"/>
                <w:bCs/>
                <w:color w:val="auto"/>
                <w:lang w:val="fr-FR"/>
              </w:rPr>
              <w:t xml:space="preserve"> en rade et quasi invisibles dans le vaste programme éducation, soient mieux reflétés et pris en compte dans le cadre du dialogue politique sur les questions éducatives</w:t>
            </w:r>
            <w:r w:rsidR="00E062FC">
              <w:rPr>
                <w:rFonts w:ascii="Calibri" w:eastAsia="Arial Unicode MS" w:hAnsi="Calibri" w:cs="Calibri"/>
                <w:bCs/>
                <w:color w:val="auto"/>
                <w:lang w:val="fr-FR"/>
              </w:rPr>
              <w:t xml:space="preserve"> avec en filigrane la problématique liée au changement climatique</w:t>
            </w:r>
            <w:r w:rsidR="00747960" w:rsidRPr="00747960">
              <w:rPr>
                <w:rFonts w:ascii="Calibri" w:eastAsia="Arial Unicode MS" w:hAnsi="Calibri" w:cs="Calibri"/>
                <w:bCs/>
                <w:color w:val="auto"/>
                <w:lang w:val="fr-FR"/>
              </w:rPr>
              <w:t>. Il contribuera à</w:t>
            </w:r>
            <w:r>
              <w:rPr>
                <w:rFonts w:ascii="Calibri" w:eastAsia="Arial Unicode MS" w:hAnsi="Calibri" w:cs="Calibri"/>
                <w:bCs/>
                <w:color w:val="auto"/>
                <w:lang w:val="fr-FR"/>
              </w:rPr>
              <w:t> :</w:t>
            </w:r>
            <w:r w:rsidR="00747960" w:rsidRPr="00747960">
              <w:rPr>
                <w:rFonts w:ascii="Calibri" w:eastAsia="Arial Unicode MS" w:hAnsi="Calibri" w:cs="Calibri"/>
                <w:bCs/>
                <w:color w:val="auto"/>
                <w:lang w:val="fr-FR"/>
              </w:rPr>
              <w:t xml:space="preserve"> (i)</w:t>
            </w:r>
            <w:r>
              <w:rPr>
                <w:rFonts w:ascii="Calibri" w:eastAsia="Arial Unicode MS" w:hAnsi="Calibri" w:cs="Calibri"/>
                <w:bCs/>
                <w:color w:val="auto"/>
                <w:lang w:val="fr-FR"/>
              </w:rPr>
              <w:t xml:space="preserve"> </w:t>
            </w:r>
            <w:r w:rsidR="00747960" w:rsidRPr="00747960">
              <w:rPr>
                <w:rFonts w:ascii="Calibri" w:eastAsia="Arial Unicode MS" w:hAnsi="Calibri" w:cs="Calibri"/>
                <w:bCs/>
                <w:color w:val="auto"/>
                <w:lang w:val="fr-FR"/>
              </w:rPr>
              <w:t>l’amélioration de la qualité des services de développement de la petite enfance</w:t>
            </w:r>
            <w:r>
              <w:rPr>
                <w:rFonts w:ascii="Calibri" w:eastAsia="Arial Unicode MS" w:hAnsi="Calibri" w:cs="Calibri"/>
                <w:bCs/>
                <w:color w:val="auto"/>
                <w:lang w:val="fr-FR"/>
              </w:rPr>
              <w:t xml:space="preserve"> afin de jeter les</w:t>
            </w:r>
            <w:r w:rsidR="00747960" w:rsidRPr="00747960">
              <w:rPr>
                <w:rFonts w:ascii="Calibri" w:eastAsia="Arial Unicode MS" w:hAnsi="Calibri" w:cs="Calibri"/>
                <w:bCs/>
                <w:color w:val="auto"/>
                <w:lang w:val="fr-FR"/>
              </w:rPr>
              <w:t xml:space="preserve"> base</w:t>
            </w:r>
            <w:r>
              <w:rPr>
                <w:rFonts w:ascii="Calibri" w:eastAsia="Arial Unicode MS" w:hAnsi="Calibri" w:cs="Calibri"/>
                <w:bCs/>
                <w:color w:val="auto"/>
                <w:lang w:val="fr-FR"/>
              </w:rPr>
              <w:t>s</w:t>
            </w:r>
            <w:r w:rsidR="00747960" w:rsidRPr="00747960">
              <w:rPr>
                <w:rFonts w:ascii="Calibri" w:eastAsia="Arial Unicode MS" w:hAnsi="Calibri" w:cs="Calibri"/>
                <w:bCs/>
                <w:color w:val="auto"/>
                <w:lang w:val="fr-FR"/>
              </w:rPr>
              <w:t xml:space="preserve"> </w:t>
            </w:r>
            <w:r>
              <w:rPr>
                <w:rFonts w:ascii="Calibri" w:eastAsia="Arial Unicode MS" w:hAnsi="Calibri" w:cs="Calibri"/>
                <w:bCs/>
                <w:color w:val="auto"/>
                <w:lang w:val="fr-FR"/>
              </w:rPr>
              <w:t>d’un</w:t>
            </w:r>
            <w:r w:rsidR="00747960" w:rsidRPr="00747960">
              <w:rPr>
                <w:rFonts w:ascii="Calibri" w:eastAsia="Arial Unicode MS" w:hAnsi="Calibri" w:cs="Calibri"/>
                <w:bCs/>
                <w:color w:val="auto"/>
                <w:lang w:val="fr-FR"/>
              </w:rPr>
              <w:t xml:space="preserve"> meilleur départ dans la vie </w:t>
            </w:r>
            <w:r>
              <w:rPr>
                <w:rFonts w:ascii="Calibri" w:eastAsia="Arial Unicode MS" w:hAnsi="Calibri" w:cs="Calibri"/>
                <w:bCs/>
                <w:color w:val="auto"/>
                <w:lang w:val="fr-FR"/>
              </w:rPr>
              <w:t>tels que définis par l</w:t>
            </w:r>
            <w:r w:rsidR="00747960" w:rsidRPr="00747960">
              <w:rPr>
                <w:rFonts w:ascii="Calibri" w:eastAsia="Arial Unicode MS" w:hAnsi="Calibri" w:cs="Calibri"/>
                <w:bCs/>
                <w:color w:val="auto"/>
                <w:lang w:val="fr-FR"/>
              </w:rPr>
              <w:t xml:space="preserve">es objectifs durables liés à l'enfant ; (ii) la correction des lacunes dans l'offre publique </w:t>
            </w:r>
            <w:r>
              <w:rPr>
                <w:rFonts w:ascii="Calibri" w:eastAsia="Arial Unicode MS" w:hAnsi="Calibri" w:cs="Calibri"/>
                <w:bCs/>
                <w:color w:val="auto"/>
                <w:lang w:val="fr-FR"/>
              </w:rPr>
              <w:t xml:space="preserve">de services aux </w:t>
            </w:r>
            <w:r w:rsidR="00747960" w:rsidRPr="00747960">
              <w:rPr>
                <w:rFonts w:ascii="Calibri" w:eastAsia="Arial Unicode MS" w:hAnsi="Calibri" w:cs="Calibri"/>
                <w:bCs/>
                <w:color w:val="auto"/>
                <w:lang w:val="fr-FR"/>
              </w:rPr>
              <w:t xml:space="preserve">adolescents </w:t>
            </w:r>
            <w:r>
              <w:rPr>
                <w:rFonts w:ascii="Calibri" w:eastAsia="Arial Unicode MS" w:hAnsi="Calibri" w:cs="Calibri"/>
                <w:bCs/>
                <w:color w:val="auto"/>
                <w:lang w:val="fr-FR"/>
              </w:rPr>
              <w:t>qui promeuvent leur</w:t>
            </w:r>
            <w:r w:rsidR="00747960" w:rsidRPr="00747960">
              <w:rPr>
                <w:rFonts w:ascii="Calibri" w:eastAsia="Arial Unicode MS" w:hAnsi="Calibri" w:cs="Calibri"/>
                <w:bCs/>
                <w:color w:val="auto"/>
                <w:lang w:val="fr-FR"/>
              </w:rPr>
              <w:t xml:space="preserve"> développement, participation et citoyenneté</w:t>
            </w:r>
            <w:r>
              <w:rPr>
                <w:rFonts w:ascii="Calibri" w:eastAsia="Arial Unicode MS" w:hAnsi="Calibri" w:cs="Calibri"/>
                <w:bCs/>
                <w:color w:val="auto"/>
                <w:lang w:val="fr-FR"/>
              </w:rPr>
              <w:t> ;</w:t>
            </w:r>
            <w:r w:rsidR="00747960" w:rsidRPr="00747960">
              <w:rPr>
                <w:rFonts w:ascii="Calibri" w:eastAsia="Arial Unicode MS" w:hAnsi="Calibri" w:cs="Calibri"/>
                <w:bCs/>
                <w:color w:val="auto"/>
                <w:lang w:val="fr-FR"/>
              </w:rPr>
              <w:t xml:space="preserve">  (iii) </w:t>
            </w:r>
            <w:r>
              <w:rPr>
                <w:rFonts w:ascii="Calibri" w:eastAsia="Arial Unicode MS" w:hAnsi="Calibri" w:cs="Calibri"/>
                <w:bCs/>
                <w:color w:val="auto"/>
                <w:lang w:val="fr-FR"/>
              </w:rPr>
              <w:t xml:space="preserve">la </w:t>
            </w:r>
            <w:r w:rsidR="00747960" w:rsidRPr="00747960">
              <w:rPr>
                <w:rFonts w:ascii="Calibri" w:eastAsia="Arial Unicode MS" w:hAnsi="Calibri" w:cs="Calibri"/>
                <w:bCs/>
                <w:color w:val="auto"/>
                <w:lang w:val="fr-FR"/>
              </w:rPr>
              <w:t>génér</w:t>
            </w:r>
            <w:r>
              <w:rPr>
                <w:rFonts w:ascii="Calibri" w:eastAsia="Arial Unicode MS" w:hAnsi="Calibri" w:cs="Calibri"/>
                <w:bCs/>
                <w:color w:val="auto"/>
                <w:lang w:val="fr-FR"/>
              </w:rPr>
              <w:t xml:space="preserve">ation </w:t>
            </w:r>
            <w:r w:rsidR="00747960" w:rsidRPr="00747960">
              <w:rPr>
                <w:rFonts w:ascii="Calibri" w:eastAsia="Arial Unicode MS" w:hAnsi="Calibri" w:cs="Calibri"/>
                <w:bCs/>
                <w:color w:val="auto"/>
                <w:lang w:val="fr-FR"/>
              </w:rPr>
              <w:t>d</w:t>
            </w:r>
            <w:r>
              <w:rPr>
                <w:rFonts w:ascii="Calibri" w:eastAsia="Arial Unicode MS" w:hAnsi="Calibri" w:cs="Calibri"/>
                <w:bCs/>
                <w:color w:val="auto"/>
                <w:lang w:val="fr-FR"/>
              </w:rPr>
              <w:t>’</w:t>
            </w:r>
            <w:r w:rsidR="00747960" w:rsidRPr="00747960">
              <w:rPr>
                <w:rFonts w:ascii="Calibri" w:eastAsia="Arial Unicode MS" w:hAnsi="Calibri" w:cs="Calibri"/>
                <w:bCs/>
                <w:color w:val="auto"/>
                <w:lang w:val="fr-FR"/>
              </w:rPr>
              <w:t>évidences pour sensibiliser les différentes parties prenantes sur l’importance de l’accréditation des programmes de développement de compétences alternati</w:t>
            </w:r>
            <w:r>
              <w:rPr>
                <w:rFonts w:ascii="Calibri" w:eastAsia="Arial Unicode MS" w:hAnsi="Calibri" w:cs="Calibri"/>
                <w:bCs/>
                <w:color w:val="auto"/>
                <w:lang w:val="fr-FR"/>
              </w:rPr>
              <w:t xml:space="preserve">ves </w:t>
            </w:r>
            <w:r w:rsidR="00CE65CD">
              <w:rPr>
                <w:rFonts w:ascii="Calibri" w:eastAsia="Arial Unicode MS" w:hAnsi="Calibri" w:cs="Calibri"/>
                <w:bCs/>
                <w:color w:val="auto"/>
                <w:lang w:val="fr-FR"/>
              </w:rPr>
              <w:t>à</w:t>
            </w:r>
            <w:r>
              <w:rPr>
                <w:rFonts w:ascii="Calibri" w:eastAsia="Arial Unicode MS" w:hAnsi="Calibri" w:cs="Calibri"/>
                <w:bCs/>
                <w:color w:val="auto"/>
                <w:lang w:val="fr-FR"/>
              </w:rPr>
              <w:t xml:space="preserve"> travers </w:t>
            </w:r>
            <w:r w:rsidR="00747960" w:rsidRPr="00747960">
              <w:rPr>
                <w:rFonts w:ascii="Calibri" w:eastAsia="Arial Unicode MS" w:hAnsi="Calibri" w:cs="Calibri"/>
                <w:bCs/>
                <w:color w:val="auto"/>
                <w:lang w:val="fr-FR"/>
              </w:rPr>
              <w:t>la promotion de l'expansion des possibilités de développement positif des adolescents visant à accroître l'inclusion, la participation et l'achèvement d'une éducation débouchant sur l’emploi ou l’auto-emploi</w:t>
            </w:r>
            <w:r w:rsidR="00CE65CD">
              <w:rPr>
                <w:rFonts w:ascii="Calibri" w:eastAsia="Arial Unicode MS" w:hAnsi="Calibri" w:cs="Calibri"/>
                <w:bCs/>
                <w:color w:val="auto"/>
                <w:lang w:val="fr-FR"/>
              </w:rPr>
              <w:t xml:space="preserve"> et</w:t>
            </w:r>
            <w:r w:rsidR="00747960" w:rsidRPr="00747960">
              <w:rPr>
                <w:rFonts w:ascii="Calibri" w:eastAsia="Arial Unicode MS" w:hAnsi="Calibri" w:cs="Calibri"/>
                <w:bCs/>
                <w:color w:val="auto"/>
                <w:lang w:val="fr-FR"/>
              </w:rPr>
              <w:t xml:space="preserve"> des opportunités économiques.</w:t>
            </w:r>
          </w:p>
        </w:tc>
      </w:tr>
      <w:tr w:rsidR="007613B3" w:rsidRPr="0021796C" w14:paraId="0A300CA7" w14:textId="77777777" w:rsidTr="0021796C">
        <w:trPr>
          <w:gridAfter w:val="1"/>
          <w:wAfter w:w="8" w:type="dxa"/>
          <w:trHeight w:val="60"/>
        </w:trPr>
        <w:tc>
          <w:tcPr>
            <w:tcW w:w="9887" w:type="dxa"/>
            <w:gridSpan w:val="3"/>
            <w:tcBorders>
              <w:top w:val="nil"/>
            </w:tcBorders>
            <w:shd w:val="clear" w:color="auto" w:fill="auto"/>
            <w:noWrap/>
          </w:tcPr>
          <w:p w14:paraId="51AD8E11" w14:textId="77777777" w:rsidR="007613B3" w:rsidRPr="001E479E" w:rsidRDefault="007613B3" w:rsidP="00377BF5">
            <w:pPr>
              <w:spacing w:before="60" w:after="60" w:line="240" w:lineRule="auto"/>
              <w:rPr>
                <w:rFonts w:ascii="Calibri" w:eastAsia="Arial Unicode MS" w:hAnsi="Calibri" w:cs="Calibri"/>
                <w:i/>
                <w:color w:val="auto"/>
                <w:lang w:val="fr-FR"/>
              </w:rPr>
            </w:pPr>
          </w:p>
        </w:tc>
      </w:tr>
      <w:tr w:rsidR="00B14BE6" w:rsidRPr="0021796C" w14:paraId="5BFCD508" w14:textId="77777777" w:rsidTr="0021796C">
        <w:trPr>
          <w:gridAfter w:val="1"/>
          <w:wAfter w:w="8" w:type="dxa"/>
          <w:trHeight w:val="60"/>
        </w:trPr>
        <w:tc>
          <w:tcPr>
            <w:tcW w:w="9887" w:type="dxa"/>
            <w:gridSpan w:val="3"/>
            <w:tcBorders>
              <w:top w:val="nil"/>
            </w:tcBorders>
            <w:shd w:val="clear" w:color="auto" w:fill="auto"/>
            <w:noWrap/>
          </w:tcPr>
          <w:p w14:paraId="312E659C" w14:textId="6A43798D" w:rsidR="00B14BE6" w:rsidRPr="00A518F7" w:rsidRDefault="00B14BE6" w:rsidP="00B14BE6">
            <w:pPr>
              <w:pStyle w:val="paragraph"/>
              <w:spacing w:before="0" w:beforeAutospacing="0" w:after="0" w:afterAutospacing="0"/>
              <w:textAlignment w:val="baseline"/>
              <w:rPr>
                <w:rFonts w:ascii="Calibri" w:eastAsia="Arial Unicode MS" w:hAnsi="Calibri" w:cs="Calibri"/>
                <w:i/>
                <w:lang w:val="fr-FR"/>
              </w:rPr>
            </w:pPr>
          </w:p>
        </w:tc>
      </w:tr>
    </w:tbl>
    <w:p w14:paraId="0E24A3B3" w14:textId="6F1ACB11" w:rsidR="007613B3" w:rsidRPr="00A518F7" w:rsidRDefault="007613B3">
      <w:pPr>
        <w:jc w:val="center"/>
        <w:rPr>
          <w:rFonts w:ascii="Calibri" w:hAnsi="Calibri" w:cs="Calibri"/>
          <w:b/>
          <w:bCs/>
          <w:sz w:val="24"/>
          <w:szCs w:val="24"/>
          <w:u w:val="single"/>
          <w:lang w:val="fr-FR"/>
        </w:rPr>
      </w:pPr>
    </w:p>
    <w:tbl>
      <w:tblPr>
        <w:tblpPr w:leftFromText="180" w:rightFromText="180" w:vertAnchor="page" w:horzAnchor="page" w:tblpX="801" w:tblpY="151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238"/>
        <w:gridCol w:w="3767"/>
        <w:gridCol w:w="1080"/>
        <w:gridCol w:w="990"/>
      </w:tblGrid>
      <w:tr w:rsidR="00A1417B" w:rsidRPr="0054592E" w14:paraId="3C4B56C3" w14:textId="77777777" w:rsidTr="000A1256">
        <w:trPr>
          <w:trHeight w:val="220"/>
        </w:trPr>
        <w:tc>
          <w:tcPr>
            <w:tcW w:w="10075" w:type="dxa"/>
            <w:gridSpan w:val="4"/>
            <w:tcBorders>
              <w:bottom w:val="nil"/>
            </w:tcBorders>
            <w:shd w:val="clear" w:color="auto" w:fill="auto"/>
            <w:noWrap/>
            <w:hideMark/>
          </w:tcPr>
          <w:p w14:paraId="397AEFB9" w14:textId="77777777" w:rsidR="00A1417B" w:rsidRPr="007D010E" w:rsidRDefault="00A1417B" w:rsidP="007D010E">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7D010E">
              <w:rPr>
                <w:rFonts w:ascii="Calibri" w:eastAsia="Arial Unicode MS" w:hAnsi="Calibri" w:cs="Calibri"/>
                <w:bCs/>
                <w:color w:val="auto"/>
                <w:lang w:val="fr-FR"/>
              </w:rPr>
              <w:lastRenderedPageBreak/>
              <w:t xml:space="preserve">Work </w:t>
            </w:r>
            <w:proofErr w:type="spellStart"/>
            <w:r w:rsidRPr="007D010E">
              <w:rPr>
                <w:rFonts w:ascii="Calibri" w:eastAsia="Arial Unicode MS" w:hAnsi="Calibri" w:cs="Calibri"/>
                <w:bCs/>
                <w:color w:val="auto"/>
                <w:lang w:val="fr-FR"/>
              </w:rPr>
              <w:t>Assignment</w:t>
            </w:r>
            <w:proofErr w:type="spellEnd"/>
            <w:r w:rsidRPr="007D010E">
              <w:rPr>
                <w:rFonts w:ascii="Calibri" w:eastAsia="Arial Unicode MS" w:hAnsi="Calibri" w:cs="Calibri"/>
                <w:bCs/>
                <w:color w:val="auto"/>
                <w:lang w:val="fr-FR"/>
              </w:rPr>
              <w:t xml:space="preserve"> </w:t>
            </w:r>
            <w:proofErr w:type="spellStart"/>
            <w:r w:rsidRPr="007D010E">
              <w:rPr>
                <w:rFonts w:ascii="Calibri" w:eastAsia="Arial Unicode MS" w:hAnsi="Calibri" w:cs="Calibri"/>
                <w:bCs/>
                <w:color w:val="auto"/>
                <w:lang w:val="fr-FR"/>
              </w:rPr>
              <w:t>Overview</w:t>
            </w:r>
            <w:proofErr w:type="spellEnd"/>
          </w:p>
        </w:tc>
      </w:tr>
      <w:tr w:rsidR="00A1417B" w:rsidRPr="007613B3" w14:paraId="44C4ED46" w14:textId="77777777" w:rsidTr="000A1256">
        <w:trPr>
          <w:trHeight w:val="608"/>
        </w:trPr>
        <w:tc>
          <w:tcPr>
            <w:tcW w:w="4238" w:type="dxa"/>
            <w:tcBorders>
              <w:top w:val="nil"/>
              <w:left w:val="single" w:sz="4" w:space="0" w:color="auto"/>
              <w:bottom w:val="single" w:sz="8" w:space="0" w:color="6D6D6D"/>
              <w:right w:val="nil"/>
            </w:tcBorders>
            <w:shd w:val="clear" w:color="auto" w:fill="auto"/>
            <w:noWrap/>
          </w:tcPr>
          <w:p w14:paraId="314C466A" w14:textId="77777777" w:rsidR="00A1417B" w:rsidRPr="007D010E" w:rsidRDefault="00A1417B" w:rsidP="007D010E">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proofErr w:type="spellStart"/>
            <w:r w:rsidRPr="007D010E">
              <w:rPr>
                <w:rFonts w:ascii="Calibri" w:eastAsia="Arial Unicode MS" w:hAnsi="Calibri" w:cs="Calibri"/>
                <w:bCs/>
                <w:color w:val="auto"/>
                <w:lang w:val="fr-FR"/>
              </w:rPr>
              <w:t>Tasks</w:t>
            </w:r>
            <w:proofErr w:type="spellEnd"/>
            <w:r w:rsidRPr="007D010E">
              <w:rPr>
                <w:rFonts w:ascii="Calibri" w:eastAsia="Arial Unicode MS" w:hAnsi="Calibri" w:cs="Calibri"/>
                <w:bCs/>
                <w:color w:val="auto"/>
                <w:lang w:val="fr-FR"/>
              </w:rPr>
              <w:t>/</w:t>
            </w:r>
            <w:proofErr w:type="gramStart"/>
            <w:r w:rsidRPr="007D010E">
              <w:rPr>
                <w:rFonts w:ascii="Calibri" w:eastAsia="Arial Unicode MS" w:hAnsi="Calibri" w:cs="Calibri"/>
                <w:bCs/>
                <w:color w:val="auto"/>
                <w:lang w:val="fr-FR"/>
              </w:rPr>
              <w:t>Milestone:</w:t>
            </w:r>
            <w:proofErr w:type="gramEnd"/>
          </w:p>
        </w:tc>
        <w:tc>
          <w:tcPr>
            <w:tcW w:w="3767" w:type="dxa"/>
            <w:tcBorders>
              <w:top w:val="nil"/>
              <w:left w:val="nil"/>
              <w:bottom w:val="single" w:sz="8" w:space="0" w:color="6D6D6D"/>
              <w:right w:val="nil"/>
            </w:tcBorders>
            <w:shd w:val="clear" w:color="auto" w:fill="auto"/>
          </w:tcPr>
          <w:p w14:paraId="56362699" w14:textId="77777777" w:rsidR="00A1417B" w:rsidRPr="007D010E" w:rsidRDefault="00A1417B" w:rsidP="007D010E">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proofErr w:type="spellStart"/>
            <w:r w:rsidRPr="007D010E">
              <w:rPr>
                <w:rFonts w:ascii="Calibri" w:eastAsia="Arial Unicode MS" w:hAnsi="Calibri" w:cs="Calibri"/>
                <w:bCs/>
                <w:color w:val="auto"/>
                <w:lang w:val="fr-FR"/>
              </w:rPr>
              <w:t>Deliverables</w:t>
            </w:r>
            <w:proofErr w:type="spellEnd"/>
            <w:r w:rsidRPr="007D010E">
              <w:rPr>
                <w:rFonts w:ascii="Calibri" w:eastAsia="Arial Unicode MS" w:hAnsi="Calibri" w:cs="Calibri"/>
                <w:bCs/>
                <w:color w:val="auto"/>
                <w:lang w:val="fr-FR"/>
              </w:rPr>
              <w:t>/</w:t>
            </w:r>
            <w:proofErr w:type="gramStart"/>
            <w:r w:rsidRPr="007D010E">
              <w:rPr>
                <w:rFonts w:ascii="Calibri" w:eastAsia="Arial Unicode MS" w:hAnsi="Calibri" w:cs="Calibri"/>
                <w:bCs/>
                <w:color w:val="auto"/>
                <w:lang w:val="fr-FR"/>
              </w:rPr>
              <w:t>Outputs:</w:t>
            </w:r>
            <w:proofErr w:type="gramEnd"/>
          </w:p>
        </w:tc>
        <w:tc>
          <w:tcPr>
            <w:tcW w:w="1080" w:type="dxa"/>
            <w:tcBorders>
              <w:top w:val="nil"/>
              <w:left w:val="nil"/>
              <w:bottom w:val="single" w:sz="8" w:space="0" w:color="6D6D6D"/>
              <w:right w:val="nil"/>
            </w:tcBorders>
            <w:shd w:val="clear" w:color="auto" w:fill="auto"/>
          </w:tcPr>
          <w:p w14:paraId="7673B078" w14:textId="77777777" w:rsidR="00A1417B" w:rsidRPr="007D010E" w:rsidRDefault="00A1417B" w:rsidP="007D010E">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7D010E">
              <w:rPr>
                <w:rFonts w:ascii="Calibri" w:eastAsia="Arial Unicode MS" w:hAnsi="Calibri" w:cs="Calibri"/>
                <w:bCs/>
                <w:color w:val="auto"/>
                <w:lang w:val="fr-FR"/>
              </w:rPr>
              <w:t>Timeline</w:t>
            </w:r>
          </w:p>
        </w:tc>
        <w:tc>
          <w:tcPr>
            <w:tcW w:w="990" w:type="dxa"/>
            <w:tcBorders>
              <w:top w:val="nil"/>
              <w:left w:val="nil"/>
              <w:bottom w:val="single" w:sz="8" w:space="0" w:color="6D6D6D"/>
              <w:right w:val="single" w:sz="4" w:space="0" w:color="auto"/>
            </w:tcBorders>
            <w:shd w:val="clear" w:color="auto" w:fill="auto"/>
          </w:tcPr>
          <w:p w14:paraId="4F45D338" w14:textId="77777777" w:rsidR="00A1417B" w:rsidRPr="007D010E" w:rsidRDefault="00A1417B" w:rsidP="007D010E">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proofErr w:type="spellStart"/>
            <w:r w:rsidRPr="007D010E">
              <w:rPr>
                <w:rFonts w:ascii="Calibri" w:eastAsia="Arial Unicode MS" w:hAnsi="Calibri" w:cs="Calibri"/>
                <w:bCs/>
                <w:color w:val="auto"/>
                <w:lang w:val="fr-FR"/>
              </w:rPr>
              <w:t>Estimate</w:t>
            </w:r>
            <w:proofErr w:type="spellEnd"/>
            <w:r w:rsidRPr="007D010E">
              <w:rPr>
                <w:rFonts w:ascii="Calibri" w:eastAsia="Arial Unicode MS" w:hAnsi="Calibri" w:cs="Calibri"/>
                <w:bCs/>
                <w:color w:val="auto"/>
                <w:lang w:val="fr-FR"/>
              </w:rPr>
              <w:t xml:space="preserve"> Budget </w:t>
            </w:r>
          </w:p>
        </w:tc>
      </w:tr>
      <w:tr w:rsidR="004168ED" w:rsidRPr="001E479E" w14:paraId="7C8C6EEB" w14:textId="77777777" w:rsidTr="000A1256">
        <w:trPr>
          <w:trHeight w:val="368"/>
        </w:trPr>
        <w:tc>
          <w:tcPr>
            <w:tcW w:w="4238" w:type="dxa"/>
            <w:tcBorders>
              <w:top w:val="single" w:sz="8" w:space="0" w:color="6D6D6D"/>
              <w:left w:val="single" w:sz="8" w:space="0" w:color="6D6D6D"/>
              <w:bottom w:val="single" w:sz="8" w:space="0" w:color="6D6D6D"/>
              <w:right w:val="single" w:sz="8" w:space="0" w:color="6D6D6D"/>
            </w:tcBorders>
            <w:shd w:val="clear" w:color="auto" w:fill="auto"/>
            <w:noWrap/>
          </w:tcPr>
          <w:p w14:paraId="51CF7FC7" w14:textId="5672B2C4" w:rsidR="004168ED" w:rsidRPr="001E479E" w:rsidRDefault="004168ED" w:rsidP="00B96021">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1E479E">
              <w:rPr>
                <w:rFonts w:ascii="Calibri" w:eastAsia="Arial Unicode MS" w:hAnsi="Calibri" w:cs="Calibri"/>
                <w:bCs/>
                <w:color w:val="auto"/>
                <w:lang w:val="fr-FR"/>
              </w:rPr>
              <w:t>Mettre en place un</w:t>
            </w:r>
            <w:r>
              <w:rPr>
                <w:rFonts w:ascii="Calibri" w:eastAsia="Arial Unicode MS" w:hAnsi="Calibri" w:cs="Calibri"/>
                <w:bCs/>
                <w:color w:val="auto"/>
                <w:lang w:val="fr-FR"/>
              </w:rPr>
              <w:t xml:space="preserve"> plan de suivi de la mise en œuvre du PSE qui tient compte des contributions de tous les partenaires du secteur</w:t>
            </w:r>
          </w:p>
        </w:tc>
        <w:tc>
          <w:tcPr>
            <w:tcW w:w="3767" w:type="dxa"/>
            <w:tcBorders>
              <w:top w:val="single" w:sz="8" w:space="0" w:color="6D6D6D"/>
              <w:left w:val="single" w:sz="8" w:space="0" w:color="6D6D6D"/>
              <w:bottom w:val="single" w:sz="8" w:space="0" w:color="6D6D6D"/>
              <w:right w:val="single" w:sz="8" w:space="0" w:color="6D6D6D"/>
            </w:tcBorders>
            <w:shd w:val="clear" w:color="auto" w:fill="auto"/>
          </w:tcPr>
          <w:p w14:paraId="2065DDF8" w14:textId="44BDC874" w:rsidR="004168ED" w:rsidRPr="007D010E" w:rsidRDefault="004168ED" w:rsidP="00EF31C2">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1E479E">
              <w:rPr>
                <w:rFonts w:ascii="Calibri" w:eastAsia="Arial Unicode MS" w:hAnsi="Calibri" w:cs="Calibri"/>
                <w:bCs/>
                <w:color w:val="auto"/>
                <w:lang w:val="fr-FR"/>
              </w:rPr>
              <w:t>Un</w:t>
            </w:r>
            <w:r>
              <w:rPr>
                <w:rFonts w:ascii="Calibri" w:eastAsia="Arial Unicode MS" w:hAnsi="Calibri" w:cs="Calibri"/>
                <w:bCs/>
                <w:color w:val="auto"/>
                <w:lang w:val="fr-FR"/>
              </w:rPr>
              <w:t xml:space="preserve"> plan détaillé de suivi du PSE adossé au plan d’actions du Ministère qui aligne les contributions des différents partenaires du secteur est disponible </w:t>
            </w:r>
          </w:p>
        </w:tc>
        <w:tc>
          <w:tcPr>
            <w:tcW w:w="1080" w:type="dxa"/>
            <w:vMerge w:val="restart"/>
            <w:tcBorders>
              <w:top w:val="single" w:sz="8" w:space="0" w:color="6D6D6D"/>
              <w:left w:val="single" w:sz="8" w:space="0" w:color="6D6D6D"/>
              <w:right w:val="single" w:sz="8" w:space="0" w:color="6D6D6D"/>
            </w:tcBorders>
            <w:shd w:val="clear" w:color="auto" w:fill="auto"/>
            <w:vAlign w:val="center"/>
          </w:tcPr>
          <w:p w14:paraId="78542321" w14:textId="48A27584" w:rsidR="004168ED" w:rsidRPr="007D010E" w:rsidRDefault="004168ED" w:rsidP="00B96021">
            <w:pPr>
              <w:spacing w:before="60" w:after="60" w:line="240" w:lineRule="auto"/>
              <w:rPr>
                <w:rFonts w:ascii="Calibri" w:eastAsia="Arial Unicode MS" w:hAnsi="Calibri" w:cs="Calibri"/>
                <w:bCs/>
                <w:color w:val="auto"/>
                <w:lang w:val="fr-FR"/>
              </w:rPr>
            </w:pPr>
          </w:p>
          <w:p w14:paraId="7F01436A" w14:textId="5F29B99F" w:rsidR="004168ED" w:rsidRPr="007D010E" w:rsidRDefault="00EB4B50" w:rsidP="00387BE7">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 xml:space="preserve">9 </w:t>
            </w:r>
            <w:r w:rsidR="004168ED">
              <w:rPr>
                <w:rFonts w:ascii="Calibri" w:eastAsia="Arial Unicode MS" w:hAnsi="Calibri" w:cs="Calibri"/>
                <w:bCs/>
                <w:color w:val="auto"/>
                <w:lang w:val="fr-FR"/>
              </w:rPr>
              <w:t>mois</w:t>
            </w:r>
          </w:p>
        </w:tc>
        <w:tc>
          <w:tcPr>
            <w:tcW w:w="990" w:type="dxa"/>
            <w:vMerge w:val="restart"/>
            <w:tcBorders>
              <w:top w:val="single" w:sz="8" w:space="0" w:color="6D6D6D"/>
              <w:left w:val="single" w:sz="8" w:space="0" w:color="6D6D6D"/>
              <w:right w:val="single" w:sz="8" w:space="0" w:color="6D6D6D"/>
            </w:tcBorders>
            <w:shd w:val="clear" w:color="auto" w:fill="auto"/>
          </w:tcPr>
          <w:p w14:paraId="6E842EEB" w14:textId="77777777" w:rsidR="004168ED" w:rsidRPr="007D010E" w:rsidRDefault="004168ED" w:rsidP="00B96021">
            <w:pPr>
              <w:spacing w:before="60" w:after="60"/>
              <w:jc w:val="center"/>
              <w:rPr>
                <w:rFonts w:ascii="Calibri" w:eastAsia="Arial Unicode MS" w:hAnsi="Calibri" w:cs="Calibri"/>
                <w:bCs/>
                <w:color w:val="auto"/>
                <w:lang w:val="fr-FR"/>
              </w:rPr>
            </w:pPr>
          </w:p>
          <w:p w14:paraId="6008DF7C" w14:textId="77777777" w:rsidR="004168ED" w:rsidRPr="007D010E" w:rsidRDefault="004168ED" w:rsidP="00B96021">
            <w:pPr>
              <w:spacing w:before="60" w:after="60"/>
              <w:jc w:val="center"/>
              <w:rPr>
                <w:rFonts w:ascii="Calibri" w:eastAsia="Arial Unicode MS" w:hAnsi="Calibri" w:cs="Calibri"/>
                <w:bCs/>
                <w:color w:val="auto"/>
                <w:lang w:val="fr-FR"/>
              </w:rPr>
            </w:pPr>
          </w:p>
          <w:p w14:paraId="4F728A76" w14:textId="77777777" w:rsidR="004168ED" w:rsidRPr="007D010E" w:rsidRDefault="004168ED" w:rsidP="00B96021">
            <w:pPr>
              <w:spacing w:before="60" w:after="60"/>
              <w:jc w:val="center"/>
              <w:rPr>
                <w:rFonts w:ascii="Calibri" w:eastAsia="Arial Unicode MS" w:hAnsi="Calibri" w:cs="Calibri"/>
                <w:bCs/>
                <w:color w:val="auto"/>
                <w:lang w:val="fr-FR"/>
              </w:rPr>
            </w:pPr>
          </w:p>
          <w:p w14:paraId="7836B8B7" w14:textId="77777777" w:rsidR="004168ED" w:rsidRPr="007D010E" w:rsidRDefault="004168ED" w:rsidP="00B96021">
            <w:pPr>
              <w:spacing w:before="60" w:after="60"/>
              <w:jc w:val="center"/>
              <w:rPr>
                <w:rFonts w:ascii="Calibri" w:eastAsia="Arial Unicode MS" w:hAnsi="Calibri" w:cs="Calibri"/>
                <w:bCs/>
                <w:color w:val="auto"/>
                <w:lang w:val="fr-FR"/>
              </w:rPr>
            </w:pPr>
          </w:p>
          <w:p w14:paraId="66593B3D" w14:textId="089988FD" w:rsidR="004168ED" w:rsidRDefault="004168ED" w:rsidP="00B96021">
            <w:pPr>
              <w:spacing w:before="60" w:after="60"/>
              <w:jc w:val="center"/>
              <w:rPr>
                <w:rFonts w:ascii="Calibri" w:eastAsia="Arial Unicode MS" w:hAnsi="Calibri" w:cs="Calibri"/>
                <w:bCs/>
                <w:color w:val="auto"/>
                <w:lang w:val="fr-FR"/>
              </w:rPr>
            </w:pPr>
          </w:p>
          <w:p w14:paraId="0529181F" w14:textId="148F184F" w:rsidR="004168ED" w:rsidRDefault="004168ED" w:rsidP="00B96021">
            <w:pPr>
              <w:spacing w:before="60" w:after="60"/>
              <w:jc w:val="center"/>
              <w:rPr>
                <w:rFonts w:ascii="Calibri" w:eastAsia="Arial Unicode MS" w:hAnsi="Calibri" w:cs="Calibri"/>
                <w:bCs/>
                <w:color w:val="auto"/>
                <w:lang w:val="fr-FR"/>
              </w:rPr>
            </w:pPr>
          </w:p>
          <w:p w14:paraId="50A44745" w14:textId="494F013A" w:rsidR="004168ED" w:rsidRDefault="004168ED" w:rsidP="00B96021">
            <w:pPr>
              <w:spacing w:before="60" w:after="60"/>
              <w:jc w:val="center"/>
              <w:rPr>
                <w:rFonts w:ascii="Calibri" w:eastAsia="Arial Unicode MS" w:hAnsi="Calibri" w:cs="Calibri"/>
                <w:bCs/>
                <w:color w:val="auto"/>
                <w:lang w:val="fr-FR"/>
              </w:rPr>
            </w:pPr>
          </w:p>
          <w:p w14:paraId="76EEDBC5" w14:textId="4471FC44" w:rsidR="004168ED" w:rsidRDefault="004168ED" w:rsidP="00B96021">
            <w:pPr>
              <w:spacing w:before="60" w:after="60"/>
              <w:jc w:val="center"/>
              <w:rPr>
                <w:rFonts w:ascii="Calibri" w:eastAsia="Arial Unicode MS" w:hAnsi="Calibri" w:cs="Calibri"/>
                <w:bCs/>
                <w:color w:val="auto"/>
                <w:lang w:val="fr-FR"/>
              </w:rPr>
            </w:pPr>
          </w:p>
          <w:p w14:paraId="63E7A587" w14:textId="77777777" w:rsidR="004168ED" w:rsidRPr="007D010E" w:rsidRDefault="004168ED" w:rsidP="00B96021">
            <w:pPr>
              <w:spacing w:before="60" w:after="60"/>
              <w:jc w:val="center"/>
              <w:rPr>
                <w:rFonts w:ascii="Calibri" w:eastAsia="Arial Unicode MS" w:hAnsi="Calibri" w:cs="Calibri"/>
                <w:bCs/>
                <w:color w:val="auto"/>
                <w:lang w:val="fr-FR"/>
              </w:rPr>
            </w:pPr>
          </w:p>
          <w:p w14:paraId="08428F9F" w14:textId="729290B9" w:rsidR="004168ED" w:rsidRPr="007D010E" w:rsidRDefault="000A1256" w:rsidP="00B96021">
            <w:pPr>
              <w:spacing w:before="60" w:after="60" w:line="240" w:lineRule="auto"/>
              <w:rPr>
                <w:rFonts w:ascii="Calibri" w:eastAsia="Arial Unicode MS" w:hAnsi="Calibri" w:cs="Calibri"/>
                <w:bCs/>
                <w:color w:val="auto"/>
                <w:lang w:val="fr-FR"/>
              </w:rPr>
            </w:pPr>
            <w:r>
              <w:rPr>
                <w:rFonts w:ascii="Calibri" w:eastAsia="Arial Unicode MS" w:hAnsi="Calibri" w:cs="Calibri"/>
                <w:bCs/>
                <w:color w:val="auto"/>
                <w:lang w:val="fr-FR"/>
              </w:rPr>
              <w:t>60</w:t>
            </w:r>
            <w:r w:rsidR="004168ED" w:rsidRPr="007D010E">
              <w:rPr>
                <w:rFonts w:ascii="Calibri" w:eastAsia="Arial Unicode MS" w:hAnsi="Calibri" w:cs="Calibri"/>
                <w:bCs/>
                <w:color w:val="auto"/>
                <w:lang w:val="fr-FR"/>
              </w:rPr>
              <w:t>%</w:t>
            </w:r>
          </w:p>
        </w:tc>
      </w:tr>
      <w:tr w:rsidR="004168ED" w:rsidRPr="0021796C" w14:paraId="369EC4CF" w14:textId="77777777" w:rsidTr="000A1256">
        <w:trPr>
          <w:trHeight w:val="343"/>
        </w:trPr>
        <w:tc>
          <w:tcPr>
            <w:tcW w:w="4238" w:type="dxa"/>
            <w:tcBorders>
              <w:top w:val="single" w:sz="8" w:space="0" w:color="6D6D6D"/>
              <w:left w:val="single" w:sz="8" w:space="0" w:color="6D6D6D"/>
              <w:bottom w:val="single" w:sz="8" w:space="0" w:color="6D6D6D"/>
              <w:right w:val="single" w:sz="8" w:space="0" w:color="6D6D6D"/>
            </w:tcBorders>
            <w:shd w:val="clear" w:color="auto" w:fill="auto"/>
            <w:noWrap/>
          </w:tcPr>
          <w:p w14:paraId="11DD0B16" w14:textId="0C2F6114" w:rsidR="004168ED" w:rsidRPr="007D010E"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7D010E">
              <w:rPr>
                <w:rFonts w:ascii="Calibri" w:eastAsia="Arial Unicode MS" w:hAnsi="Calibri" w:cs="Calibri"/>
                <w:bCs/>
                <w:color w:val="auto"/>
                <w:lang w:val="fr-FR"/>
              </w:rPr>
              <w:t>Réaliser un diagnostic du G</w:t>
            </w:r>
            <w:r>
              <w:rPr>
                <w:rFonts w:ascii="Calibri" w:eastAsia="Arial Unicode MS" w:hAnsi="Calibri" w:cs="Calibri"/>
                <w:bCs/>
                <w:color w:val="auto"/>
                <w:lang w:val="fr-FR"/>
              </w:rPr>
              <w:t>S</w:t>
            </w:r>
            <w:r w:rsidRPr="007D010E">
              <w:rPr>
                <w:rFonts w:ascii="Calibri" w:eastAsia="Arial Unicode MS" w:hAnsi="Calibri" w:cs="Calibri"/>
                <w:bCs/>
                <w:color w:val="auto"/>
                <w:lang w:val="fr-FR"/>
              </w:rPr>
              <w:t xml:space="preserve">E </w:t>
            </w:r>
            <w:r>
              <w:rPr>
                <w:rFonts w:ascii="Calibri" w:eastAsia="Arial Unicode MS" w:hAnsi="Calibri" w:cs="Calibri"/>
                <w:bCs/>
                <w:color w:val="auto"/>
                <w:lang w:val="fr-FR"/>
              </w:rPr>
              <w:t xml:space="preserve">et des GTE </w:t>
            </w:r>
            <w:r w:rsidRPr="007D010E">
              <w:rPr>
                <w:rFonts w:ascii="Calibri" w:eastAsia="Arial Unicode MS" w:hAnsi="Calibri" w:cs="Calibri"/>
                <w:bCs/>
                <w:color w:val="auto"/>
                <w:lang w:val="fr-FR"/>
              </w:rPr>
              <w:t>à travers un dialogue structuré et ciblé</w:t>
            </w:r>
          </w:p>
          <w:p w14:paraId="67FF16BE" w14:textId="15B48A4F" w:rsidR="004168ED" w:rsidRPr="007D010E"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7D010E">
              <w:rPr>
                <w:rFonts w:ascii="Calibri" w:eastAsia="Arial Unicode MS" w:hAnsi="Calibri" w:cs="Calibri"/>
                <w:bCs/>
                <w:color w:val="auto"/>
                <w:lang w:val="fr-FR"/>
              </w:rPr>
              <w:t>Utiliser les résultats de l'évaluation pour hiérarchiser et mettre en œuvre des actions visant à améliorer l'efficacité stratégique du G</w:t>
            </w:r>
            <w:r>
              <w:rPr>
                <w:rFonts w:ascii="Calibri" w:eastAsia="Arial Unicode MS" w:hAnsi="Calibri" w:cs="Calibri"/>
                <w:bCs/>
                <w:color w:val="auto"/>
                <w:lang w:val="fr-FR"/>
              </w:rPr>
              <w:t>S</w:t>
            </w:r>
            <w:r w:rsidRPr="007D010E">
              <w:rPr>
                <w:rFonts w:ascii="Calibri" w:eastAsia="Arial Unicode MS" w:hAnsi="Calibri" w:cs="Calibri"/>
                <w:bCs/>
                <w:color w:val="auto"/>
                <w:lang w:val="fr-FR"/>
              </w:rPr>
              <w:t>E, ainsi que ses capacités organisationnelles et de collaboration.</w:t>
            </w:r>
          </w:p>
          <w:p w14:paraId="4018695D" w14:textId="6540F1D3" w:rsidR="004168ED" w:rsidRPr="007D010E"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R</w:t>
            </w:r>
            <w:r w:rsidRPr="007D010E">
              <w:rPr>
                <w:rFonts w:ascii="Calibri" w:eastAsia="Arial Unicode MS" w:hAnsi="Calibri" w:cs="Calibri"/>
                <w:bCs/>
                <w:color w:val="auto"/>
                <w:lang w:val="fr-FR"/>
              </w:rPr>
              <w:t>enforcer le mandat du G</w:t>
            </w:r>
            <w:r>
              <w:rPr>
                <w:rFonts w:ascii="Calibri" w:eastAsia="Arial Unicode MS" w:hAnsi="Calibri" w:cs="Calibri"/>
                <w:bCs/>
                <w:color w:val="auto"/>
                <w:lang w:val="fr-FR"/>
              </w:rPr>
              <w:t>S</w:t>
            </w:r>
            <w:r w:rsidRPr="007D010E">
              <w:rPr>
                <w:rFonts w:ascii="Calibri" w:eastAsia="Arial Unicode MS" w:hAnsi="Calibri" w:cs="Calibri"/>
                <w:bCs/>
                <w:color w:val="auto"/>
                <w:lang w:val="fr-FR"/>
              </w:rPr>
              <w:t>E</w:t>
            </w:r>
            <w:r>
              <w:rPr>
                <w:rFonts w:ascii="Calibri" w:eastAsia="Arial Unicode MS" w:hAnsi="Calibri" w:cs="Calibri"/>
                <w:bCs/>
                <w:color w:val="auto"/>
                <w:lang w:val="fr-FR"/>
              </w:rPr>
              <w:t xml:space="preserve"> et contribuer au renouvèlement du </w:t>
            </w:r>
            <w:r w:rsidRPr="007D010E">
              <w:rPr>
                <w:rFonts w:ascii="Calibri" w:eastAsia="Arial Unicode MS" w:hAnsi="Calibri" w:cs="Calibri"/>
                <w:bCs/>
                <w:color w:val="auto"/>
                <w:lang w:val="fr-FR"/>
              </w:rPr>
              <w:t>protocole d'entente, l'accord de partenariat ou tout autre document équivalent afin de clarifier les rôles et responsabilités, les mécanismes de collaboration, les objectifs et les attentes des membres du G</w:t>
            </w:r>
            <w:r>
              <w:rPr>
                <w:rFonts w:ascii="Calibri" w:eastAsia="Arial Unicode MS" w:hAnsi="Calibri" w:cs="Calibri"/>
                <w:bCs/>
                <w:color w:val="auto"/>
                <w:lang w:val="fr-FR"/>
              </w:rPr>
              <w:t>S</w:t>
            </w:r>
            <w:r w:rsidRPr="007D010E">
              <w:rPr>
                <w:rFonts w:ascii="Calibri" w:eastAsia="Arial Unicode MS" w:hAnsi="Calibri" w:cs="Calibri"/>
                <w:bCs/>
                <w:color w:val="auto"/>
                <w:lang w:val="fr-FR"/>
              </w:rPr>
              <w:t>E</w:t>
            </w:r>
            <w:r>
              <w:rPr>
                <w:rFonts w:ascii="Calibri" w:eastAsia="Arial Unicode MS" w:hAnsi="Calibri" w:cs="Calibri"/>
                <w:bCs/>
                <w:color w:val="auto"/>
                <w:lang w:val="fr-FR"/>
              </w:rPr>
              <w:t xml:space="preserve"> pour une planification sectorielle réussie</w:t>
            </w:r>
            <w:r w:rsidRPr="007D010E">
              <w:rPr>
                <w:rFonts w:ascii="Calibri" w:eastAsia="Arial Unicode MS" w:hAnsi="Calibri" w:cs="Calibri"/>
                <w:bCs/>
                <w:color w:val="auto"/>
                <w:lang w:val="fr-FR"/>
              </w:rPr>
              <w:t xml:space="preserve">. </w:t>
            </w:r>
          </w:p>
          <w:p w14:paraId="32883B5D" w14:textId="2DCF339C" w:rsidR="004168ED" w:rsidRPr="001E479E" w:rsidRDefault="004168ED" w:rsidP="00FA0491">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Appuyer la tenue des GTE, GSE</w:t>
            </w:r>
            <w:r w:rsidR="009F778A">
              <w:rPr>
                <w:rFonts w:ascii="Calibri" w:eastAsia="Arial Unicode MS" w:hAnsi="Calibri" w:cs="Calibri"/>
                <w:bCs/>
                <w:color w:val="auto"/>
                <w:lang w:val="fr-FR"/>
              </w:rPr>
              <w:t xml:space="preserve">, </w:t>
            </w:r>
            <w:r>
              <w:rPr>
                <w:rFonts w:ascii="Calibri" w:eastAsia="Arial Unicode MS" w:hAnsi="Calibri" w:cs="Calibri"/>
                <w:bCs/>
                <w:color w:val="auto"/>
                <w:lang w:val="fr-FR"/>
              </w:rPr>
              <w:t>revues conjointes sectorielles</w:t>
            </w:r>
            <w:r w:rsidR="009F778A">
              <w:rPr>
                <w:rFonts w:ascii="Calibri" w:eastAsia="Arial Unicode MS" w:hAnsi="Calibri" w:cs="Calibri"/>
                <w:bCs/>
                <w:color w:val="auto"/>
                <w:lang w:val="fr-FR"/>
              </w:rPr>
              <w:t xml:space="preserve">, </w:t>
            </w:r>
            <w:proofErr w:type="spellStart"/>
            <w:r w:rsidR="009F778A">
              <w:rPr>
                <w:rFonts w:ascii="Calibri" w:eastAsia="Arial Unicode MS" w:hAnsi="Calibri" w:cs="Calibri"/>
                <w:bCs/>
                <w:color w:val="auto"/>
                <w:lang w:val="fr-FR"/>
              </w:rPr>
              <w:t>EGEs</w:t>
            </w:r>
            <w:proofErr w:type="spellEnd"/>
            <w:r w:rsidR="009F778A">
              <w:rPr>
                <w:rFonts w:ascii="Calibri" w:eastAsia="Arial Unicode MS" w:hAnsi="Calibri" w:cs="Calibri"/>
                <w:bCs/>
                <w:color w:val="auto"/>
                <w:lang w:val="fr-FR"/>
              </w:rPr>
              <w:t xml:space="preserve"> et le sommet mondial sur la transformation de l’</w:t>
            </w:r>
            <w:r w:rsidR="009C3DF5">
              <w:rPr>
                <w:rFonts w:ascii="Calibri" w:eastAsia="Arial Unicode MS" w:hAnsi="Calibri" w:cs="Calibri"/>
                <w:bCs/>
                <w:color w:val="auto"/>
                <w:lang w:val="fr-FR"/>
              </w:rPr>
              <w:t>éducation</w:t>
            </w:r>
          </w:p>
        </w:tc>
        <w:tc>
          <w:tcPr>
            <w:tcW w:w="3767" w:type="dxa"/>
            <w:tcBorders>
              <w:top w:val="single" w:sz="8" w:space="0" w:color="6D6D6D"/>
              <w:left w:val="single" w:sz="8" w:space="0" w:color="6D6D6D"/>
              <w:bottom w:val="single" w:sz="8" w:space="0" w:color="6D6D6D"/>
              <w:right w:val="single" w:sz="8" w:space="0" w:color="6D6D6D"/>
            </w:tcBorders>
            <w:shd w:val="clear" w:color="auto" w:fill="auto"/>
          </w:tcPr>
          <w:p w14:paraId="0C194A23" w14:textId="77777777" w:rsidR="004168ED"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Un diagnostic exhaustif du GSE et des GTE assorti de recommandations claires et ciblées est disponible</w:t>
            </w:r>
          </w:p>
          <w:p w14:paraId="6BC57C6B" w14:textId="7247FE92" w:rsidR="004168ED"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 xml:space="preserve">Le cadre partenarial est actualisé avec l’entrée en vigueur du nouveau PSE </w:t>
            </w:r>
          </w:p>
          <w:p w14:paraId="34EA87CF" w14:textId="77777777" w:rsidR="004168ED"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p>
          <w:p w14:paraId="77411395" w14:textId="77777777" w:rsidR="004168ED" w:rsidRDefault="004168ED" w:rsidP="00FA0491">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 xml:space="preserve">La feuille de route de la planification sectorielle </w:t>
            </w:r>
          </w:p>
          <w:p w14:paraId="57C2E26C" w14:textId="65D40296" w:rsidR="004168ED" w:rsidRDefault="004168ED" w:rsidP="00FA0491">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 xml:space="preserve">Au moins 2 GSE et une revue conjointe sont organisées et leurs rapports et aides mémoires mettant en exergue la revue des performances et le suivi des </w:t>
            </w:r>
            <w:r w:rsidR="009C3DF5">
              <w:rPr>
                <w:rFonts w:ascii="Calibri" w:eastAsia="Arial Unicode MS" w:hAnsi="Calibri" w:cs="Calibri"/>
                <w:bCs/>
                <w:color w:val="auto"/>
                <w:lang w:val="fr-FR"/>
              </w:rPr>
              <w:t>indicateurs rédigés</w:t>
            </w:r>
          </w:p>
          <w:p w14:paraId="6FF11068" w14:textId="0D518159" w:rsidR="009F778A" w:rsidRPr="009F778A" w:rsidRDefault="009F778A" w:rsidP="009F778A">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9F778A">
              <w:rPr>
                <w:rFonts w:ascii="Calibri" w:eastAsia="Arial Unicode MS" w:hAnsi="Calibri" w:cs="Calibri"/>
                <w:bCs/>
                <w:color w:val="auto"/>
                <w:lang w:val="fr-FR"/>
              </w:rPr>
              <w:t xml:space="preserve">Accompagner le MENRS dans la préparation et la production de documents pour les </w:t>
            </w:r>
            <w:proofErr w:type="spellStart"/>
            <w:r w:rsidRPr="009F778A">
              <w:rPr>
                <w:rFonts w:ascii="Calibri" w:eastAsia="Arial Unicode MS" w:hAnsi="Calibri" w:cs="Calibri"/>
                <w:bCs/>
                <w:color w:val="auto"/>
                <w:lang w:val="fr-FR"/>
              </w:rPr>
              <w:t>EGEs</w:t>
            </w:r>
            <w:proofErr w:type="spellEnd"/>
            <w:r w:rsidRPr="009F778A">
              <w:rPr>
                <w:rFonts w:ascii="Calibri" w:eastAsia="Arial Unicode MS" w:hAnsi="Calibri" w:cs="Calibri"/>
                <w:bCs/>
                <w:color w:val="auto"/>
                <w:lang w:val="fr-FR"/>
              </w:rPr>
              <w:t xml:space="preserve"> et le TES ainsi que le suivi </w:t>
            </w:r>
            <w:r>
              <w:rPr>
                <w:rFonts w:ascii="Calibri" w:eastAsia="Arial Unicode MS" w:hAnsi="Calibri" w:cs="Calibri"/>
                <w:bCs/>
                <w:color w:val="auto"/>
                <w:lang w:val="fr-FR"/>
              </w:rPr>
              <w:t xml:space="preserve">de </w:t>
            </w:r>
            <w:r w:rsidRPr="009F778A">
              <w:rPr>
                <w:rFonts w:ascii="Calibri" w:eastAsia="Arial Unicode MS" w:hAnsi="Calibri" w:cs="Calibri"/>
                <w:bCs/>
                <w:color w:val="auto"/>
                <w:lang w:val="fr-FR"/>
              </w:rPr>
              <w:t xml:space="preserve">ces </w:t>
            </w:r>
            <w:proofErr w:type="gramStart"/>
            <w:r w:rsidRPr="009F778A">
              <w:rPr>
                <w:rFonts w:ascii="Calibri" w:eastAsia="Arial Unicode MS" w:hAnsi="Calibri" w:cs="Calibri"/>
                <w:bCs/>
                <w:color w:val="auto"/>
                <w:lang w:val="fr-FR"/>
              </w:rPr>
              <w:t>fora;</w:t>
            </w:r>
            <w:proofErr w:type="gramEnd"/>
          </w:p>
          <w:p w14:paraId="2F5A1A5B" w14:textId="0ADBF785" w:rsidR="00775BB7" w:rsidRPr="007D010E" w:rsidRDefault="00775BB7" w:rsidP="00FA0491">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Les capacités nationales sont renforcées dans le domaine de la planification et de la coordination sectorielles</w:t>
            </w:r>
          </w:p>
        </w:tc>
        <w:tc>
          <w:tcPr>
            <w:tcW w:w="1080" w:type="dxa"/>
            <w:vMerge/>
            <w:tcBorders>
              <w:left w:val="single" w:sz="8" w:space="0" w:color="6D6D6D"/>
              <w:bottom w:val="single" w:sz="8" w:space="0" w:color="6D6D6D"/>
              <w:right w:val="single" w:sz="8" w:space="0" w:color="6D6D6D"/>
            </w:tcBorders>
            <w:shd w:val="clear" w:color="auto" w:fill="auto"/>
            <w:vAlign w:val="center"/>
          </w:tcPr>
          <w:p w14:paraId="2EB1D80C" w14:textId="2EC28AD0" w:rsidR="004168ED" w:rsidRPr="007D010E"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p>
        </w:tc>
        <w:tc>
          <w:tcPr>
            <w:tcW w:w="990" w:type="dxa"/>
            <w:vMerge/>
            <w:tcBorders>
              <w:left w:val="single" w:sz="8" w:space="0" w:color="6D6D6D"/>
              <w:bottom w:val="single" w:sz="8" w:space="0" w:color="6D6D6D"/>
              <w:right w:val="single" w:sz="8" w:space="0" w:color="6D6D6D"/>
            </w:tcBorders>
            <w:shd w:val="clear" w:color="auto" w:fill="auto"/>
          </w:tcPr>
          <w:p w14:paraId="77BA06AB" w14:textId="77777777" w:rsidR="004168ED" w:rsidRPr="007D010E" w:rsidRDefault="004168ED" w:rsidP="007D010E">
            <w:pPr>
              <w:widowControl w:val="0"/>
              <w:pBdr>
                <w:top w:val="nil"/>
                <w:left w:val="nil"/>
                <w:bottom w:val="nil"/>
                <w:right w:val="nil"/>
                <w:between w:val="nil"/>
                <w:bar w:val="nil"/>
              </w:pBdr>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p>
        </w:tc>
      </w:tr>
      <w:tr w:rsidR="00EF31C2" w:rsidRPr="001E479E" w14:paraId="6C062C94" w14:textId="77777777" w:rsidTr="000A1256">
        <w:trPr>
          <w:trHeight w:val="1885"/>
        </w:trPr>
        <w:tc>
          <w:tcPr>
            <w:tcW w:w="4238" w:type="dxa"/>
            <w:tcBorders>
              <w:top w:val="single" w:sz="8" w:space="0" w:color="6D6D6D"/>
              <w:left w:val="single" w:sz="8" w:space="0" w:color="6D6D6D"/>
              <w:right w:val="single" w:sz="8" w:space="0" w:color="6D6D6D"/>
            </w:tcBorders>
            <w:shd w:val="clear" w:color="auto" w:fill="auto"/>
            <w:noWrap/>
          </w:tcPr>
          <w:p w14:paraId="03F10841" w14:textId="5B818565" w:rsidR="00EF31C2" w:rsidRPr="001E479E" w:rsidRDefault="00EF31C2" w:rsidP="00602668">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1E479E">
              <w:rPr>
                <w:rFonts w:ascii="Calibri" w:eastAsia="Arial Unicode MS" w:hAnsi="Calibri" w:cs="Calibri"/>
                <w:bCs/>
                <w:color w:val="auto"/>
                <w:lang w:val="fr-FR"/>
              </w:rPr>
              <w:t>Mettre en place des sources de données multisectorielles et pluriannuelles d’indicateurs de l’éducation.</w:t>
            </w:r>
          </w:p>
        </w:tc>
        <w:tc>
          <w:tcPr>
            <w:tcW w:w="3767" w:type="dxa"/>
            <w:tcBorders>
              <w:top w:val="single" w:sz="8" w:space="0" w:color="6D6D6D"/>
              <w:left w:val="single" w:sz="8" w:space="0" w:color="6D6D6D"/>
              <w:right w:val="single" w:sz="8" w:space="0" w:color="6D6D6D"/>
            </w:tcBorders>
            <w:shd w:val="clear" w:color="auto" w:fill="auto"/>
          </w:tcPr>
          <w:p w14:paraId="04AAD606" w14:textId="0F8B02FA" w:rsidR="009F778A" w:rsidRPr="009F778A" w:rsidRDefault="009F778A" w:rsidP="009F778A">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sidRPr="009F778A">
              <w:rPr>
                <w:rFonts w:ascii="Calibri" w:eastAsia="Arial Unicode MS" w:hAnsi="Calibri" w:cs="Calibri"/>
                <w:bCs/>
                <w:color w:val="auto"/>
                <w:lang w:val="fr-FR"/>
              </w:rPr>
              <w:t>Adapter les approches de gestion de l'information existantes dans le pays pour collecter, analyser et rendre compte des activités et des ressources du secteur, et identifier les lacunes en matière d'information</w:t>
            </w:r>
          </w:p>
          <w:p w14:paraId="0EBBE92C" w14:textId="53880DF6" w:rsidR="00EF31C2" w:rsidRDefault="00EF31C2" w:rsidP="00595B97">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Une b</w:t>
            </w:r>
            <w:r w:rsidRPr="00EF31C2">
              <w:rPr>
                <w:rFonts w:ascii="Calibri" w:eastAsia="Arial Unicode MS" w:hAnsi="Calibri" w:cs="Calibri"/>
                <w:bCs/>
                <w:color w:val="auto"/>
                <w:lang w:val="fr-FR"/>
              </w:rPr>
              <w:t>ase de données des i</w:t>
            </w:r>
            <w:r>
              <w:rPr>
                <w:rFonts w:ascii="Calibri" w:eastAsia="Arial Unicode MS" w:hAnsi="Calibri" w:cs="Calibri"/>
                <w:bCs/>
                <w:color w:val="auto"/>
                <w:lang w:val="fr-FR"/>
              </w:rPr>
              <w:t>ndicateurs clés du PSE</w:t>
            </w:r>
            <w:r w:rsidR="009F778A">
              <w:rPr>
                <w:rFonts w:ascii="Calibri" w:eastAsia="Arial Unicode MS" w:hAnsi="Calibri" w:cs="Calibri"/>
                <w:bCs/>
                <w:color w:val="auto"/>
                <w:lang w:val="fr-FR"/>
              </w:rPr>
              <w:t xml:space="preserve"> </w:t>
            </w:r>
            <w:r w:rsidR="009F778A" w:rsidRPr="009F778A">
              <w:rPr>
                <w:rFonts w:ascii="Calibri" w:eastAsia="Arial Unicode MS" w:hAnsi="Calibri" w:cs="Calibri"/>
                <w:bCs/>
                <w:color w:val="auto"/>
                <w:lang w:val="fr-FR"/>
              </w:rPr>
              <w:t>qui consolide, analyse et rapporte/diffuse</w:t>
            </w:r>
            <w:r w:rsidR="009F778A">
              <w:rPr>
                <w:rFonts w:ascii="Calibri" w:eastAsia="Arial Unicode MS" w:hAnsi="Calibri" w:cs="Calibri"/>
                <w:bCs/>
                <w:color w:val="auto"/>
                <w:lang w:val="fr-FR"/>
              </w:rPr>
              <w:t xml:space="preserve"> </w:t>
            </w:r>
            <w:r w:rsidR="009F778A" w:rsidRPr="009F778A">
              <w:rPr>
                <w:rFonts w:ascii="Calibri" w:eastAsia="Arial Unicode MS" w:hAnsi="Calibri" w:cs="Calibri"/>
                <w:bCs/>
                <w:color w:val="auto"/>
                <w:lang w:val="fr-FR"/>
              </w:rPr>
              <w:t>les informations essentielles à la prise de décision</w:t>
            </w:r>
            <w:r w:rsidR="009F778A">
              <w:rPr>
                <w:rFonts w:ascii="Calibri" w:eastAsia="Arial Unicode MS" w:hAnsi="Calibri" w:cs="Calibri"/>
                <w:bCs/>
                <w:color w:val="auto"/>
                <w:lang w:val="fr-FR"/>
              </w:rPr>
              <w:t xml:space="preserve"> </w:t>
            </w:r>
            <w:r>
              <w:rPr>
                <w:rFonts w:ascii="Calibri" w:eastAsia="Arial Unicode MS" w:hAnsi="Calibri" w:cs="Calibri"/>
                <w:bCs/>
                <w:color w:val="auto"/>
                <w:lang w:val="fr-FR"/>
              </w:rPr>
              <w:t>est mise en place</w:t>
            </w:r>
          </w:p>
          <w:p w14:paraId="12AB5B34" w14:textId="40A9CDDA" w:rsidR="009F778A" w:rsidRPr="009F778A" w:rsidRDefault="00EF31C2" w:rsidP="009F778A">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Une carto</w:t>
            </w:r>
            <w:r w:rsidR="004168ED">
              <w:rPr>
                <w:rFonts w:ascii="Calibri" w:eastAsia="Arial Unicode MS" w:hAnsi="Calibri" w:cs="Calibri"/>
                <w:bCs/>
                <w:color w:val="auto"/>
                <w:lang w:val="fr-FR"/>
              </w:rPr>
              <w:t xml:space="preserve">graphie des interventions </w:t>
            </w:r>
            <w:r w:rsidR="00775BB7">
              <w:rPr>
                <w:rFonts w:ascii="Calibri" w:eastAsia="Arial Unicode MS" w:hAnsi="Calibri" w:cs="Calibri"/>
                <w:bCs/>
                <w:color w:val="auto"/>
                <w:lang w:val="fr-FR"/>
              </w:rPr>
              <w:t>des différents</w:t>
            </w:r>
            <w:r w:rsidR="004168ED">
              <w:rPr>
                <w:rFonts w:ascii="Calibri" w:eastAsia="Arial Unicode MS" w:hAnsi="Calibri" w:cs="Calibri"/>
                <w:bCs/>
                <w:color w:val="auto"/>
                <w:lang w:val="fr-FR"/>
              </w:rPr>
              <w:t xml:space="preserve"> partenaires</w:t>
            </w:r>
            <w:r w:rsidR="009F778A">
              <w:rPr>
                <w:rFonts w:ascii="Calibri" w:eastAsia="Arial Unicode MS" w:hAnsi="Calibri" w:cs="Calibri"/>
                <w:bCs/>
                <w:color w:val="auto"/>
                <w:lang w:val="fr-FR"/>
              </w:rPr>
              <w:t xml:space="preserve"> qui tient </w:t>
            </w:r>
            <w:r w:rsidR="009F778A" w:rsidRPr="009F778A">
              <w:rPr>
                <w:rFonts w:ascii="Calibri" w:eastAsia="Arial Unicode MS" w:hAnsi="Calibri" w:cs="Calibri"/>
                <w:bCs/>
                <w:color w:val="auto"/>
                <w:lang w:val="fr-FR"/>
              </w:rPr>
              <w:t>compte des 5Ws "Qui fait quoi, où, quand et pour qui ?</w:t>
            </w:r>
            <w:r w:rsidR="009F778A">
              <w:rPr>
                <w:rFonts w:ascii="Calibri" w:eastAsia="Arial Unicode MS" w:hAnsi="Calibri" w:cs="Calibri"/>
                <w:bCs/>
                <w:color w:val="auto"/>
                <w:lang w:val="fr-FR"/>
              </w:rPr>
              <w:t xml:space="preserve"> est établie</w:t>
            </w:r>
          </w:p>
          <w:p w14:paraId="50D64AED" w14:textId="2899FF33" w:rsidR="004168ED" w:rsidRPr="009F778A" w:rsidRDefault="004168ED" w:rsidP="004168ED">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Un manuel de formation des cadres du ministère élaboré</w:t>
            </w:r>
          </w:p>
        </w:tc>
        <w:tc>
          <w:tcPr>
            <w:tcW w:w="1080" w:type="dxa"/>
            <w:tcBorders>
              <w:top w:val="single" w:sz="8" w:space="0" w:color="6D6D6D"/>
              <w:left w:val="single" w:sz="8" w:space="0" w:color="6D6D6D"/>
              <w:right w:val="single" w:sz="8" w:space="0" w:color="6D6D6D"/>
            </w:tcBorders>
            <w:shd w:val="clear" w:color="auto" w:fill="auto"/>
            <w:vAlign w:val="center"/>
          </w:tcPr>
          <w:p w14:paraId="71D1F940" w14:textId="54590A0B" w:rsidR="00EF31C2" w:rsidRPr="001E479E" w:rsidRDefault="0084545D" w:rsidP="00B96021">
            <w:pPr>
              <w:spacing w:before="60" w:after="60" w:line="240" w:lineRule="auto"/>
              <w:rPr>
                <w:rFonts w:ascii="Calibri" w:eastAsia="Arial Unicode MS" w:hAnsi="Calibri" w:cs="Calibri"/>
                <w:color w:val="auto"/>
                <w:lang w:val="en-AU"/>
              </w:rPr>
            </w:pPr>
            <w:r>
              <w:rPr>
                <w:rFonts w:ascii="Calibri" w:eastAsia="Arial Unicode MS" w:hAnsi="Calibri" w:cs="Calibri"/>
                <w:bCs/>
                <w:color w:val="auto"/>
                <w:lang w:val="en-AU"/>
              </w:rPr>
              <w:t>2,5</w:t>
            </w:r>
            <w:r w:rsidR="00EF31C2">
              <w:rPr>
                <w:rFonts w:ascii="Calibri" w:eastAsia="Arial Unicode MS" w:hAnsi="Calibri" w:cs="Calibri"/>
                <w:bCs/>
                <w:color w:val="auto"/>
                <w:lang w:val="en-AU"/>
              </w:rPr>
              <w:t xml:space="preserve"> </w:t>
            </w:r>
            <w:proofErr w:type="spellStart"/>
            <w:r w:rsidR="00EF31C2">
              <w:rPr>
                <w:rFonts w:ascii="Calibri" w:eastAsia="Arial Unicode MS" w:hAnsi="Calibri" w:cs="Calibri"/>
                <w:bCs/>
                <w:color w:val="auto"/>
                <w:lang w:val="en-AU"/>
              </w:rPr>
              <w:t>mois</w:t>
            </w:r>
            <w:proofErr w:type="spellEnd"/>
          </w:p>
          <w:p w14:paraId="48055178" w14:textId="5693C21B" w:rsidR="00EF31C2" w:rsidRPr="001E479E" w:rsidRDefault="00EF31C2" w:rsidP="00A02345">
            <w:pPr>
              <w:spacing w:before="60" w:after="60" w:line="240" w:lineRule="auto"/>
              <w:rPr>
                <w:rFonts w:ascii="Calibri" w:eastAsia="Arial Unicode MS" w:hAnsi="Calibri" w:cs="Calibri"/>
                <w:color w:val="auto"/>
                <w:lang w:val="en-AU"/>
              </w:rPr>
            </w:pPr>
            <w:r w:rsidRPr="001E479E">
              <w:rPr>
                <w:color w:val="auto"/>
                <w:szCs w:val="22"/>
              </w:rPr>
              <w:t xml:space="preserve"> </w:t>
            </w:r>
          </w:p>
        </w:tc>
        <w:tc>
          <w:tcPr>
            <w:tcW w:w="990" w:type="dxa"/>
            <w:tcBorders>
              <w:top w:val="single" w:sz="8" w:space="0" w:color="6D6D6D"/>
              <w:left w:val="single" w:sz="8" w:space="0" w:color="6D6D6D"/>
              <w:right w:val="single" w:sz="8" w:space="0" w:color="6D6D6D"/>
            </w:tcBorders>
            <w:shd w:val="clear" w:color="auto" w:fill="auto"/>
          </w:tcPr>
          <w:p w14:paraId="0F134D9A" w14:textId="77777777" w:rsidR="00EF31C2" w:rsidRPr="001E479E" w:rsidRDefault="00EF31C2" w:rsidP="00B96021">
            <w:pPr>
              <w:spacing w:before="60" w:after="60" w:line="240" w:lineRule="auto"/>
              <w:rPr>
                <w:rFonts w:ascii="Calibri" w:eastAsia="Arial Unicode MS" w:hAnsi="Calibri" w:cs="Calibri"/>
                <w:bCs/>
                <w:color w:val="auto"/>
                <w:lang w:val="en-AU"/>
              </w:rPr>
            </w:pPr>
          </w:p>
          <w:p w14:paraId="7294BAB9" w14:textId="7F89FD08" w:rsidR="00EF31C2" w:rsidRDefault="00EF31C2" w:rsidP="00B96021">
            <w:pPr>
              <w:spacing w:before="60" w:after="60" w:line="240" w:lineRule="auto"/>
              <w:rPr>
                <w:rFonts w:ascii="Calibri" w:eastAsia="Arial Unicode MS" w:hAnsi="Calibri" w:cs="Calibri"/>
                <w:bCs/>
                <w:color w:val="auto"/>
                <w:lang w:val="en-AU"/>
              </w:rPr>
            </w:pPr>
          </w:p>
          <w:p w14:paraId="6BBD23C0" w14:textId="521162BA" w:rsidR="002A1A82" w:rsidRDefault="002A1A82" w:rsidP="00B96021">
            <w:pPr>
              <w:spacing w:before="60" w:after="60" w:line="240" w:lineRule="auto"/>
              <w:rPr>
                <w:rFonts w:ascii="Calibri" w:eastAsia="Arial Unicode MS" w:hAnsi="Calibri" w:cs="Calibri"/>
                <w:bCs/>
                <w:color w:val="auto"/>
                <w:lang w:val="en-AU"/>
              </w:rPr>
            </w:pPr>
          </w:p>
          <w:p w14:paraId="00055BA8" w14:textId="6899E697" w:rsidR="002A1A82" w:rsidRDefault="002A1A82" w:rsidP="00B96021">
            <w:pPr>
              <w:spacing w:before="60" w:after="60" w:line="240" w:lineRule="auto"/>
              <w:rPr>
                <w:rFonts w:ascii="Calibri" w:eastAsia="Arial Unicode MS" w:hAnsi="Calibri" w:cs="Calibri"/>
                <w:bCs/>
                <w:color w:val="auto"/>
                <w:lang w:val="en-AU"/>
              </w:rPr>
            </w:pPr>
          </w:p>
          <w:p w14:paraId="73300F49" w14:textId="15C768D2" w:rsidR="002A1A82" w:rsidRDefault="002A1A82" w:rsidP="00B96021">
            <w:pPr>
              <w:spacing w:before="60" w:after="60" w:line="240" w:lineRule="auto"/>
              <w:rPr>
                <w:rFonts w:ascii="Calibri" w:eastAsia="Arial Unicode MS" w:hAnsi="Calibri" w:cs="Calibri"/>
                <w:bCs/>
                <w:color w:val="auto"/>
                <w:lang w:val="en-AU"/>
              </w:rPr>
            </w:pPr>
          </w:p>
          <w:p w14:paraId="1E0CF929" w14:textId="72BF6E90" w:rsidR="002A1A82" w:rsidRDefault="002A1A82" w:rsidP="00B96021">
            <w:pPr>
              <w:spacing w:before="60" w:after="60" w:line="240" w:lineRule="auto"/>
              <w:rPr>
                <w:rFonts w:ascii="Calibri" w:eastAsia="Arial Unicode MS" w:hAnsi="Calibri" w:cs="Calibri"/>
                <w:bCs/>
                <w:color w:val="auto"/>
                <w:lang w:val="en-AU"/>
              </w:rPr>
            </w:pPr>
          </w:p>
          <w:p w14:paraId="35016DE5" w14:textId="77777777" w:rsidR="002A1A82" w:rsidRPr="001E479E" w:rsidRDefault="002A1A82" w:rsidP="00B96021">
            <w:pPr>
              <w:spacing w:before="60" w:after="60" w:line="240" w:lineRule="auto"/>
              <w:rPr>
                <w:rFonts w:ascii="Calibri" w:eastAsia="Arial Unicode MS" w:hAnsi="Calibri" w:cs="Calibri"/>
                <w:bCs/>
                <w:color w:val="auto"/>
                <w:lang w:val="en-AU"/>
              </w:rPr>
            </w:pPr>
          </w:p>
          <w:p w14:paraId="4D7DBE9B" w14:textId="0547C161" w:rsidR="00EF31C2" w:rsidRPr="001E479E" w:rsidRDefault="0084545D" w:rsidP="00B96021">
            <w:pPr>
              <w:spacing w:before="60" w:after="60" w:line="240" w:lineRule="auto"/>
              <w:rPr>
                <w:rFonts w:ascii="Calibri" w:eastAsia="Arial Unicode MS" w:hAnsi="Calibri" w:cs="Calibri"/>
                <w:bCs/>
                <w:color w:val="auto"/>
                <w:lang w:val="en-AU"/>
              </w:rPr>
            </w:pPr>
            <w:r>
              <w:rPr>
                <w:rFonts w:ascii="Calibri" w:eastAsia="Arial Unicode MS" w:hAnsi="Calibri" w:cs="Calibri"/>
                <w:bCs/>
                <w:color w:val="auto"/>
                <w:lang w:val="en-AU"/>
              </w:rPr>
              <w:t>4</w:t>
            </w:r>
            <w:r w:rsidR="004168ED">
              <w:rPr>
                <w:rFonts w:ascii="Calibri" w:eastAsia="Arial Unicode MS" w:hAnsi="Calibri" w:cs="Calibri"/>
                <w:bCs/>
                <w:color w:val="auto"/>
                <w:lang w:val="en-AU"/>
              </w:rPr>
              <w:t>0</w:t>
            </w:r>
            <w:r w:rsidR="00EF31C2" w:rsidRPr="001E479E">
              <w:rPr>
                <w:rFonts w:ascii="Calibri" w:eastAsia="Arial Unicode MS" w:hAnsi="Calibri" w:cs="Calibri"/>
                <w:bCs/>
                <w:color w:val="auto"/>
                <w:lang w:val="en-AU"/>
              </w:rPr>
              <w:t>%</w:t>
            </w:r>
          </w:p>
        </w:tc>
      </w:tr>
      <w:tr w:rsidR="002A1A82" w:rsidRPr="0021796C" w14:paraId="1160D331" w14:textId="77777777" w:rsidTr="00BF1C3D">
        <w:trPr>
          <w:trHeight w:val="4050"/>
        </w:trPr>
        <w:tc>
          <w:tcPr>
            <w:tcW w:w="4238" w:type="dxa"/>
            <w:tcBorders>
              <w:top w:val="single" w:sz="8" w:space="0" w:color="6D6D6D"/>
              <w:left w:val="single" w:sz="8" w:space="0" w:color="6D6D6D"/>
              <w:right w:val="single" w:sz="8" w:space="0" w:color="6D6D6D"/>
            </w:tcBorders>
            <w:shd w:val="clear" w:color="auto" w:fill="auto"/>
            <w:noWrap/>
          </w:tcPr>
          <w:p w14:paraId="51591BF4" w14:textId="3BEC5EC8" w:rsidR="002A1A82" w:rsidRPr="001E479E" w:rsidRDefault="002A1A82" w:rsidP="003C692F">
            <w:pPr>
              <w:widowControl w:val="0"/>
              <w:suppressAutoHyphens/>
              <w:autoSpaceDN w:val="0"/>
              <w:spacing w:before="100" w:beforeAutospacing="1" w:after="100" w:afterAutospacing="1" w:line="240" w:lineRule="auto"/>
              <w:textAlignment w:val="baseline"/>
              <w:rPr>
                <w:rFonts w:ascii="Calibri" w:eastAsia="Arial Unicode MS" w:hAnsi="Calibri" w:cs="Calibri"/>
                <w:bCs/>
                <w:color w:val="auto"/>
                <w:lang w:val="fr-FR"/>
              </w:rPr>
            </w:pPr>
            <w:r>
              <w:rPr>
                <w:rFonts w:ascii="Calibri" w:eastAsia="Arial Unicode MS" w:hAnsi="Calibri" w:cs="Calibri"/>
                <w:bCs/>
                <w:color w:val="auto"/>
                <w:lang w:val="fr-FR"/>
              </w:rPr>
              <w:lastRenderedPageBreak/>
              <w:t>Appuyer le MENRS dans la mise en œuvre de la feuille de route GenU</w:t>
            </w:r>
            <w:r w:rsidR="00C64D42">
              <w:rPr>
                <w:rFonts w:ascii="Calibri" w:eastAsia="Arial Unicode MS" w:hAnsi="Calibri" w:cs="Calibri"/>
                <w:bCs/>
                <w:color w:val="auto"/>
                <w:lang w:val="fr-FR"/>
              </w:rPr>
              <w:t xml:space="preserve"> / GI</w:t>
            </w:r>
            <w:r w:rsidR="003C692F">
              <w:rPr>
                <w:rFonts w:ascii="Calibri" w:eastAsia="Arial Unicode MS" w:hAnsi="Calibri" w:cs="Calibri"/>
                <w:bCs/>
                <w:color w:val="auto"/>
                <w:lang w:val="fr-FR"/>
              </w:rPr>
              <w:t>GA</w:t>
            </w:r>
            <w:r>
              <w:rPr>
                <w:rFonts w:ascii="Calibri" w:eastAsia="Arial Unicode MS" w:hAnsi="Calibri" w:cs="Calibri"/>
                <w:bCs/>
                <w:color w:val="auto"/>
                <w:lang w:val="fr-FR"/>
              </w:rPr>
              <w:t xml:space="preserve"> et de la stratégie d’éducation préscolaire en tenant compte du changement climatique</w:t>
            </w:r>
          </w:p>
        </w:tc>
        <w:tc>
          <w:tcPr>
            <w:tcW w:w="3767" w:type="dxa"/>
            <w:tcBorders>
              <w:top w:val="single" w:sz="8" w:space="0" w:color="6D6D6D"/>
              <w:left w:val="single" w:sz="8" w:space="0" w:color="6D6D6D"/>
              <w:right w:val="single" w:sz="8" w:space="0" w:color="6D6D6D"/>
            </w:tcBorders>
            <w:shd w:val="clear" w:color="auto" w:fill="auto"/>
          </w:tcPr>
          <w:p w14:paraId="1AB7E053" w14:textId="0E9BC48B" w:rsidR="002A1A82" w:rsidRDefault="002A1A82" w:rsidP="00EF31C2">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bookmarkStart w:id="2" w:name="_Hlk97893107"/>
            <w:r>
              <w:rPr>
                <w:rFonts w:ascii="Calibri" w:eastAsia="Arial Unicode MS" w:hAnsi="Calibri" w:cs="Calibri"/>
                <w:bCs/>
                <w:color w:val="auto"/>
                <w:lang w:val="fr-FR"/>
              </w:rPr>
              <w:t>Feuille de route GenU</w:t>
            </w:r>
            <w:r w:rsidR="00E07BB4">
              <w:rPr>
                <w:rFonts w:ascii="Calibri" w:eastAsia="Arial Unicode MS" w:hAnsi="Calibri" w:cs="Calibri"/>
                <w:bCs/>
                <w:color w:val="auto"/>
                <w:lang w:val="fr-FR"/>
              </w:rPr>
              <w:t>/GIGA</w:t>
            </w:r>
            <w:r>
              <w:rPr>
                <w:rFonts w:ascii="Calibri" w:eastAsia="Arial Unicode MS" w:hAnsi="Calibri" w:cs="Calibri"/>
                <w:bCs/>
                <w:color w:val="auto"/>
                <w:lang w:val="fr-FR"/>
              </w:rPr>
              <w:t xml:space="preserve"> actualisée et déroulée</w:t>
            </w:r>
          </w:p>
          <w:p w14:paraId="67258898" w14:textId="4915B575" w:rsidR="002A1A82" w:rsidRDefault="002A1A82" w:rsidP="00EF31C2">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Le la</w:t>
            </w:r>
            <w:r w:rsidRPr="009F778A">
              <w:rPr>
                <w:rFonts w:ascii="Calibri" w:eastAsia="Arial Unicode MS" w:hAnsi="Calibri" w:cs="Calibri"/>
                <w:bCs/>
                <w:color w:val="auto"/>
                <w:lang w:val="fr-FR"/>
              </w:rPr>
              <w:t>ncement de GenU et la mise en œuvre du plan de travail</w:t>
            </w:r>
            <w:r>
              <w:rPr>
                <w:rFonts w:ascii="Calibri" w:eastAsia="Arial Unicode MS" w:hAnsi="Calibri" w:cs="Calibri"/>
                <w:bCs/>
                <w:color w:val="auto"/>
                <w:lang w:val="fr-FR"/>
              </w:rPr>
              <w:t xml:space="preserve"> y affèrent sont effectifs </w:t>
            </w:r>
            <w:r w:rsidRPr="009F778A">
              <w:rPr>
                <w:rFonts w:ascii="Calibri" w:eastAsia="Arial Unicode MS" w:hAnsi="Calibri" w:cs="Calibri"/>
                <w:bCs/>
                <w:color w:val="auto"/>
                <w:lang w:val="fr-FR"/>
              </w:rPr>
              <w:t> </w:t>
            </w:r>
          </w:p>
          <w:p w14:paraId="1B258581" w14:textId="2885280E" w:rsidR="002A1A82" w:rsidRDefault="002A1A82" w:rsidP="00EF31C2">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r>
              <w:rPr>
                <w:rFonts w:ascii="Calibri" w:eastAsia="Arial Unicode MS" w:hAnsi="Calibri" w:cs="Calibri"/>
                <w:bCs/>
                <w:color w:val="auto"/>
                <w:lang w:val="fr-FR"/>
              </w:rPr>
              <w:t xml:space="preserve">Au moins 2 réunions organisées autour de </w:t>
            </w:r>
            <w:r w:rsidR="00E07BB4">
              <w:rPr>
                <w:rFonts w:ascii="Calibri" w:eastAsia="Arial Unicode MS" w:hAnsi="Calibri" w:cs="Calibri"/>
                <w:bCs/>
                <w:color w:val="auto"/>
                <w:lang w:val="fr-FR"/>
              </w:rPr>
              <w:t>GenU et</w:t>
            </w:r>
            <w:r w:rsidR="003C692F">
              <w:rPr>
                <w:rFonts w:ascii="Calibri" w:eastAsia="Arial Unicode MS" w:hAnsi="Calibri" w:cs="Calibri"/>
                <w:bCs/>
                <w:color w:val="auto"/>
                <w:lang w:val="fr-FR"/>
              </w:rPr>
              <w:t xml:space="preserve"> GIGA </w:t>
            </w:r>
            <w:r>
              <w:rPr>
                <w:rFonts w:ascii="Calibri" w:eastAsia="Arial Unicode MS" w:hAnsi="Calibri" w:cs="Calibri"/>
                <w:bCs/>
                <w:color w:val="auto"/>
                <w:lang w:val="fr-FR"/>
              </w:rPr>
              <w:t>avec l’implication des autres secteurs</w:t>
            </w:r>
          </w:p>
          <w:bookmarkEnd w:id="2"/>
          <w:p w14:paraId="3DB5D995" w14:textId="6D3B786F" w:rsidR="002A1A82" w:rsidRDefault="002A1A82" w:rsidP="00EF31C2">
            <w:pPr>
              <w:widowControl w:val="0"/>
              <w:suppressAutoHyphens/>
              <w:autoSpaceDN w:val="0"/>
              <w:spacing w:before="100" w:beforeAutospacing="1" w:after="100" w:afterAutospacing="1" w:line="240" w:lineRule="auto"/>
              <w:jc w:val="both"/>
              <w:textAlignment w:val="baseline"/>
              <w:rPr>
                <w:rFonts w:ascii="Calibri" w:eastAsia="Arial Unicode MS" w:hAnsi="Calibri" w:cs="Calibri"/>
                <w:color w:val="auto"/>
                <w:lang w:val="fr-FR"/>
              </w:rPr>
            </w:pPr>
            <w:r>
              <w:rPr>
                <w:rFonts w:ascii="Calibri" w:eastAsia="Arial Unicode MS" w:hAnsi="Calibri" w:cs="Calibri"/>
                <w:color w:val="auto"/>
                <w:lang w:val="fr-FR"/>
              </w:rPr>
              <w:t xml:space="preserve">La dimension ECE reflétée dans le Plan d’action du ministère et ses indicateurs suivis avec en sus un plaidoyer pour la mobilisation de plus de ressources pour ce </w:t>
            </w:r>
            <w:r w:rsidR="00007D60">
              <w:rPr>
                <w:rFonts w:ascii="Calibri" w:eastAsia="Arial Unicode MS" w:hAnsi="Calibri" w:cs="Calibri"/>
                <w:color w:val="auto"/>
                <w:lang w:val="fr-FR"/>
              </w:rPr>
              <w:t>sous-secteur</w:t>
            </w:r>
            <w:r>
              <w:rPr>
                <w:rFonts w:ascii="Calibri" w:eastAsia="Arial Unicode MS" w:hAnsi="Calibri" w:cs="Calibri"/>
                <w:color w:val="auto"/>
                <w:lang w:val="fr-FR"/>
              </w:rPr>
              <w:t>.</w:t>
            </w:r>
          </w:p>
          <w:p w14:paraId="6292379B" w14:textId="74C0907B" w:rsidR="002A1A82" w:rsidRPr="001E479E" w:rsidRDefault="002A1A82" w:rsidP="00EF31C2">
            <w:pPr>
              <w:widowControl w:val="0"/>
              <w:suppressAutoHyphens/>
              <w:autoSpaceDN w:val="0"/>
              <w:spacing w:before="100" w:beforeAutospacing="1" w:after="100" w:afterAutospacing="1" w:line="240" w:lineRule="auto"/>
              <w:jc w:val="both"/>
              <w:textAlignment w:val="baseline"/>
              <w:rPr>
                <w:rFonts w:ascii="Calibri" w:eastAsia="Arial Unicode MS" w:hAnsi="Calibri" w:cs="Calibri"/>
                <w:bCs/>
                <w:color w:val="auto"/>
                <w:lang w:val="fr-FR"/>
              </w:rPr>
            </w:pPr>
          </w:p>
        </w:tc>
        <w:tc>
          <w:tcPr>
            <w:tcW w:w="1080" w:type="dxa"/>
            <w:tcBorders>
              <w:top w:val="single" w:sz="8" w:space="0" w:color="6D6D6D"/>
              <w:left w:val="single" w:sz="8" w:space="0" w:color="6D6D6D"/>
              <w:right w:val="single" w:sz="8" w:space="0" w:color="6D6D6D"/>
            </w:tcBorders>
            <w:shd w:val="clear" w:color="auto" w:fill="auto"/>
            <w:vAlign w:val="center"/>
          </w:tcPr>
          <w:p w14:paraId="7A758B12" w14:textId="2F242F2A" w:rsidR="002A1A82" w:rsidRPr="00A518F7" w:rsidRDefault="002A1A82" w:rsidP="00775BB7">
            <w:pPr>
              <w:spacing w:before="60" w:after="60" w:line="240" w:lineRule="auto"/>
              <w:rPr>
                <w:rFonts w:ascii="Calibri" w:eastAsia="Arial Unicode MS" w:hAnsi="Calibri" w:cs="Calibri"/>
                <w:color w:val="auto"/>
                <w:lang w:val="fr-FR"/>
              </w:rPr>
            </w:pPr>
          </w:p>
          <w:p w14:paraId="1E6C1897" w14:textId="520653A7" w:rsidR="002A1A82" w:rsidRPr="00775BB7" w:rsidRDefault="002A1A82" w:rsidP="00B96021">
            <w:pPr>
              <w:spacing w:before="60" w:after="60" w:line="240" w:lineRule="auto"/>
              <w:rPr>
                <w:rFonts w:ascii="Calibri" w:eastAsia="Arial Unicode MS" w:hAnsi="Calibri" w:cs="Calibri"/>
                <w:color w:val="auto"/>
                <w:lang w:val="fr-FR"/>
              </w:rPr>
            </w:pPr>
          </w:p>
        </w:tc>
        <w:tc>
          <w:tcPr>
            <w:tcW w:w="990" w:type="dxa"/>
            <w:tcBorders>
              <w:top w:val="single" w:sz="8" w:space="0" w:color="6D6D6D"/>
              <w:left w:val="single" w:sz="8" w:space="0" w:color="6D6D6D"/>
              <w:right w:val="single" w:sz="8" w:space="0" w:color="6D6D6D"/>
            </w:tcBorders>
            <w:shd w:val="clear" w:color="auto" w:fill="auto"/>
          </w:tcPr>
          <w:p w14:paraId="2D277145" w14:textId="77777777" w:rsidR="002A1A82" w:rsidRPr="00A518F7" w:rsidRDefault="002A1A82" w:rsidP="00B96021">
            <w:pPr>
              <w:spacing w:before="60" w:after="60" w:line="240" w:lineRule="auto"/>
              <w:rPr>
                <w:rFonts w:ascii="Calibri" w:eastAsia="Arial Unicode MS" w:hAnsi="Calibri" w:cs="Calibri"/>
                <w:bCs/>
                <w:color w:val="auto"/>
                <w:lang w:val="fr-FR"/>
              </w:rPr>
            </w:pPr>
          </w:p>
          <w:p w14:paraId="427A5D79" w14:textId="77777777" w:rsidR="002A1A82" w:rsidRPr="00A518F7" w:rsidRDefault="002A1A82" w:rsidP="00B96021">
            <w:pPr>
              <w:spacing w:before="60" w:after="60" w:line="240" w:lineRule="auto"/>
              <w:rPr>
                <w:rFonts w:ascii="Calibri" w:eastAsia="Arial Unicode MS" w:hAnsi="Calibri" w:cs="Calibri"/>
                <w:bCs/>
                <w:color w:val="auto"/>
                <w:lang w:val="fr-FR"/>
              </w:rPr>
            </w:pPr>
          </w:p>
          <w:p w14:paraId="7C5EC146" w14:textId="77777777" w:rsidR="002A1A82" w:rsidRPr="00A518F7" w:rsidRDefault="002A1A82" w:rsidP="00B96021">
            <w:pPr>
              <w:spacing w:before="60" w:after="60" w:line="240" w:lineRule="auto"/>
              <w:rPr>
                <w:rFonts w:ascii="Calibri" w:eastAsia="Arial Unicode MS" w:hAnsi="Calibri" w:cs="Calibri"/>
                <w:bCs/>
                <w:color w:val="auto"/>
                <w:lang w:val="fr-FR"/>
              </w:rPr>
            </w:pPr>
          </w:p>
          <w:p w14:paraId="6078B266" w14:textId="6FD45350" w:rsidR="002A1A82" w:rsidRPr="00775BB7" w:rsidRDefault="002A1A82" w:rsidP="00B96021">
            <w:pPr>
              <w:spacing w:before="60" w:after="60" w:line="240" w:lineRule="auto"/>
              <w:rPr>
                <w:rFonts w:ascii="Calibri" w:eastAsia="Arial Unicode MS" w:hAnsi="Calibri" w:cs="Calibri"/>
                <w:color w:val="auto"/>
                <w:lang w:val="fr-FR"/>
              </w:rPr>
            </w:pPr>
          </w:p>
        </w:tc>
      </w:tr>
    </w:tbl>
    <w:p w14:paraId="38316BEE" w14:textId="77777777" w:rsidR="00C34C2B" w:rsidRPr="001E479E" w:rsidRDefault="00C34C2B" w:rsidP="007A5F4F">
      <w:pPr>
        <w:rPr>
          <w:rFonts w:ascii="Calibri" w:hAnsi="Calibri" w:cs="Calibri"/>
          <w:b/>
          <w:bCs/>
          <w:color w:val="auto"/>
          <w:sz w:val="24"/>
          <w:szCs w:val="24"/>
          <w:u w:val="single"/>
          <w:lang w:val="fr-FR"/>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5413"/>
        <w:gridCol w:w="364"/>
      </w:tblGrid>
      <w:tr w:rsidR="007613B3" w:rsidRPr="0021796C" w14:paraId="048658EA" w14:textId="77777777" w:rsidTr="0021796C">
        <w:trPr>
          <w:gridAfter w:val="1"/>
          <w:wAfter w:w="364" w:type="dxa"/>
          <w:trHeight w:val="400"/>
        </w:trPr>
        <w:tc>
          <w:tcPr>
            <w:tcW w:w="4842" w:type="dxa"/>
            <w:tcBorders>
              <w:top w:val="single" w:sz="4" w:space="0" w:color="auto"/>
              <w:left w:val="single" w:sz="4" w:space="0" w:color="auto"/>
              <w:bottom w:val="single" w:sz="4" w:space="0" w:color="auto"/>
              <w:right w:val="single" w:sz="4" w:space="0" w:color="auto"/>
            </w:tcBorders>
            <w:shd w:val="clear" w:color="auto" w:fill="auto"/>
            <w:noWrap/>
            <w:hideMark/>
          </w:tcPr>
          <w:p w14:paraId="591B949E" w14:textId="7BF996B5" w:rsidR="00ED4704" w:rsidRPr="00326A37" w:rsidRDefault="007613B3" w:rsidP="007613B3">
            <w:pPr>
              <w:spacing w:before="60" w:line="240" w:lineRule="auto"/>
              <w:rPr>
                <w:rFonts w:ascii="Calibri" w:eastAsia="Arial Unicode MS" w:hAnsi="Calibri" w:cs="Calibri"/>
                <w:b/>
                <w:color w:val="auto"/>
                <w:lang w:val="en-AU"/>
              </w:rPr>
            </w:pPr>
            <w:r w:rsidRPr="00326A37">
              <w:rPr>
                <w:rFonts w:ascii="Calibri" w:eastAsia="Arial Unicode MS" w:hAnsi="Calibri" w:cs="Calibri"/>
                <w:b/>
                <w:color w:val="auto"/>
                <w:lang w:val="en-AU"/>
              </w:rPr>
              <w:lastRenderedPageBreak/>
              <w:t>Minimum Qualifications required:</w:t>
            </w:r>
          </w:p>
          <w:p w14:paraId="3117A3E0" w14:textId="72F6A79B" w:rsidR="00A1417B" w:rsidRPr="00326A37" w:rsidRDefault="00A1417B" w:rsidP="007613B3">
            <w:pPr>
              <w:spacing w:before="60" w:line="240" w:lineRule="auto"/>
              <w:rPr>
                <w:rFonts w:ascii="Calibri" w:eastAsia="Arial Unicode MS" w:hAnsi="Calibri" w:cs="Calibri"/>
                <w:b/>
                <w:color w:val="auto"/>
                <w:lang w:val="en-AU"/>
              </w:rPr>
            </w:pPr>
          </w:p>
          <w:p w14:paraId="6E75A2AD" w14:textId="77777777" w:rsidR="00A1417B" w:rsidRPr="00326A37" w:rsidRDefault="00A1417B" w:rsidP="00A1417B">
            <w:pPr>
              <w:spacing w:before="60" w:line="240" w:lineRule="auto"/>
              <w:rPr>
                <w:rFonts w:ascii="Calibri" w:eastAsia="Arial Unicode MS" w:hAnsi="Calibri" w:cs="Calibri"/>
                <w:color w:val="auto"/>
              </w:rPr>
            </w:pPr>
            <w:r w:rsidRPr="00326A37">
              <w:rPr>
                <w:rFonts w:ascii="Calibri" w:eastAsia="Arial Unicode MS" w:hAnsi="Calibri" w:cs="Calibri"/>
                <w:color w:val="auto"/>
                <w:lang w:val="en-AU"/>
              </w:rPr>
              <w:fldChar w:fldCharType="begin">
                <w:ffData>
                  <w:name w:val="Check6"/>
                  <w:enabled/>
                  <w:calcOnExit w:val="0"/>
                  <w:checkBox>
                    <w:sizeAuto/>
                    <w:default w:val="0"/>
                  </w:checkBox>
                </w:ffData>
              </w:fldChar>
            </w:r>
            <w:r w:rsidRPr="00326A37">
              <w:rPr>
                <w:rFonts w:ascii="Calibri" w:eastAsia="Arial Unicode MS" w:hAnsi="Calibri" w:cs="Calibri"/>
                <w:color w:val="auto"/>
              </w:rPr>
              <w:instrText xml:space="preserve"> FORMCHECKBOX </w:instrText>
            </w:r>
            <w:r w:rsidR="008F7F59">
              <w:rPr>
                <w:rFonts w:ascii="Calibri" w:eastAsia="Arial Unicode MS" w:hAnsi="Calibri" w:cs="Calibri"/>
                <w:color w:val="auto"/>
                <w:lang w:val="en-AU"/>
              </w:rPr>
            </w:r>
            <w:r w:rsidR="008F7F59">
              <w:rPr>
                <w:rFonts w:ascii="Calibri" w:eastAsia="Arial Unicode MS" w:hAnsi="Calibri" w:cs="Calibri"/>
                <w:color w:val="auto"/>
                <w:lang w:val="en-AU"/>
              </w:rPr>
              <w:fldChar w:fldCharType="separate"/>
            </w:r>
            <w:r w:rsidRPr="00326A37">
              <w:rPr>
                <w:rFonts w:ascii="Calibri" w:eastAsia="Arial Unicode MS" w:hAnsi="Calibri" w:cs="Calibri"/>
                <w:color w:val="auto"/>
                <w:lang w:val="en-AU"/>
              </w:rPr>
              <w:fldChar w:fldCharType="end"/>
            </w:r>
            <w:r w:rsidRPr="00326A37">
              <w:rPr>
                <w:rFonts w:ascii="Calibri" w:eastAsia="Arial Unicode MS" w:hAnsi="Calibri" w:cs="Calibri"/>
                <w:color w:val="auto"/>
              </w:rPr>
              <w:t xml:space="preserve"> Bachelors   </w:t>
            </w:r>
            <w:r w:rsidRPr="00326A37">
              <w:rPr>
                <w:rFonts w:ascii="Calibri" w:eastAsia="Arial Unicode MS" w:hAnsi="Calibri" w:cs="Calibri"/>
                <w:color w:val="auto"/>
                <w:lang w:val="en-AU"/>
              </w:rPr>
              <w:fldChar w:fldCharType="begin">
                <w:ffData>
                  <w:name w:val="Check7"/>
                  <w:enabled/>
                  <w:calcOnExit w:val="0"/>
                  <w:checkBox>
                    <w:sizeAuto/>
                    <w:default w:val="1"/>
                  </w:checkBox>
                </w:ffData>
              </w:fldChar>
            </w:r>
            <w:bookmarkStart w:id="3" w:name="Check7"/>
            <w:r w:rsidRPr="00326A37">
              <w:rPr>
                <w:rFonts w:ascii="Calibri" w:eastAsia="Arial Unicode MS" w:hAnsi="Calibri" w:cs="Calibri"/>
                <w:color w:val="auto"/>
              </w:rPr>
              <w:instrText xml:space="preserve"> FORMCHECKBOX </w:instrText>
            </w:r>
            <w:r w:rsidR="008F7F59">
              <w:rPr>
                <w:rFonts w:ascii="Calibri" w:eastAsia="Arial Unicode MS" w:hAnsi="Calibri" w:cs="Calibri"/>
                <w:color w:val="auto"/>
                <w:lang w:val="en-AU"/>
              </w:rPr>
            </w:r>
            <w:r w:rsidR="008F7F59">
              <w:rPr>
                <w:rFonts w:ascii="Calibri" w:eastAsia="Arial Unicode MS" w:hAnsi="Calibri" w:cs="Calibri"/>
                <w:color w:val="auto"/>
                <w:lang w:val="en-AU"/>
              </w:rPr>
              <w:fldChar w:fldCharType="separate"/>
            </w:r>
            <w:r w:rsidRPr="00326A37">
              <w:rPr>
                <w:rFonts w:ascii="Calibri" w:eastAsia="Arial Unicode MS" w:hAnsi="Calibri" w:cs="Calibri"/>
                <w:color w:val="auto"/>
                <w:lang w:val="en-AU"/>
              </w:rPr>
              <w:fldChar w:fldCharType="end"/>
            </w:r>
            <w:bookmarkEnd w:id="3"/>
            <w:r w:rsidRPr="00326A37">
              <w:rPr>
                <w:rFonts w:ascii="Calibri" w:eastAsia="Arial Unicode MS" w:hAnsi="Calibri" w:cs="Calibri"/>
                <w:color w:val="auto"/>
              </w:rPr>
              <w:t xml:space="preserve"> Masters   </w:t>
            </w:r>
            <w:r w:rsidRPr="00326A37">
              <w:rPr>
                <w:rFonts w:ascii="Calibri" w:eastAsia="Arial Unicode MS" w:hAnsi="Calibri" w:cs="Calibri"/>
                <w:color w:val="auto"/>
                <w:lang w:val="en-AU"/>
              </w:rPr>
              <w:fldChar w:fldCharType="begin">
                <w:ffData>
                  <w:name w:val="Check8"/>
                  <w:enabled/>
                  <w:calcOnExit w:val="0"/>
                  <w:checkBox>
                    <w:sizeAuto/>
                    <w:default w:val="0"/>
                  </w:checkBox>
                </w:ffData>
              </w:fldChar>
            </w:r>
            <w:r w:rsidRPr="00326A37">
              <w:rPr>
                <w:rFonts w:ascii="Calibri" w:eastAsia="Arial Unicode MS" w:hAnsi="Calibri" w:cs="Calibri"/>
                <w:color w:val="auto"/>
              </w:rPr>
              <w:instrText xml:space="preserve"> FORMCHECKBOX </w:instrText>
            </w:r>
            <w:r w:rsidR="008F7F59">
              <w:rPr>
                <w:rFonts w:ascii="Calibri" w:eastAsia="Arial Unicode MS" w:hAnsi="Calibri" w:cs="Calibri"/>
                <w:color w:val="auto"/>
                <w:lang w:val="en-AU"/>
              </w:rPr>
            </w:r>
            <w:r w:rsidR="008F7F59">
              <w:rPr>
                <w:rFonts w:ascii="Calibri" w:eastAsia="Arial Unicode MS" w:hAnsi="Calibri" w:cs="Calibri"/>
                <w:color w:val="auto"/>
                <w:lang w:val="en-AU"/>
              </w:rPr>
              <w:fldChar w:fldCharType="separate"/>
            </w:r>
            <w:r w:rsidRPr="00326A37">
              <w:rPr>
                <w:rFonts w:ascii="Calibri" w:eastAsia="Arial Unicode MS" w:hAnsi="Calibri" w:cs="Calibri"/>
                <w:color w:val="auto"/>
                <w:lang w:val="en-AU"/>
              </w:rPr>
              <w:fldChar w:fldCharType="end"/>
            </w:r>
            <w:r w:rsidRPr="00326A37">
              <w:rPr>
                <w:rFonts w:ascii="Calibri" w:eastAsia="Arial Unicode MS" w:hAnsi="Calibri" w:cs="Calibri"/>
                <w:color w:val="auto"/>
              </w:rPr>
              <w:t xml:space="preserve"> PhD   </w:t>
            </w:r>
            <w:r w:rsidRPr="00326A37">
              <w:rPr>
                <w:rFonts w:ascii="Calibri" w:eastAsia="Arial Unicode MS" w:hAnsi="Calibri" w:cs="Calibri"/>
                <w:color w:val="auto"/>
                <w:lang w:val="en-AU"/>
              </w:rPr>
              <w:fldChar w:fldCharType="begin">
                <w:ffData>
                  <w:name w:val="Check9"/>
                  <w:enabled/>
                  <w:calcOnExit w:val="0"/>
                  <w:checkBox>
                    <w:sizeAuto/>
                    <w:default w:val="0"/>
                  </w:checkBox>
                </w:ffData>
              </w:fldChar>
            </w:r>
            <w:r w:rsidRPr="00326A37">
              <w:rPr>
                <w:rFonts w:ascii="Calibri" w:eastAsia="Arial Unicode MS" w:hAnsi="Calibri" w:cs="Calibri"/>
                <w:color w:val="auto"/>
              </w:rPr>
              <w:instrText xml:space="preserve"> FORMCHECKBOX </w:instrText>
            </w:r>
            <w:r w:rsidR="008F7F59">
              <w:rPr>
                <w:rFonts w:ascii="Calibri" w:eastAsia="Arial Unicode MS" w:hAnsi="Calibri" w:cs="Calibri"/>
                <w:color w:val="auto"/>
                <w:lang w:val="en-AU"/>
              </w:rPr>
            </w:r>
            <w:r w:rsidR="008F7F59">
              <w:rPr>
                <w:rFonts w:ascii="Calibri" w:eastAsia="Arial Unicode MS" w:hAnsi="Calibri" w:cs="Calibri"/>
                <w:color w:val="auto"/>
                <w:lang w:val="en-AU"/>
              </w:rPr>
              <w:fldChar w:fldCharType="separate"/>
            </w:r>
            <w:r w:rsidRPr="00326A37">
              <w:rPr>
                <w:rFonts w:ascii="Calibri" w:eastAsia="Arial Unicode MS" w:hAnsi="Calibri" w:cs="Calibri"/>
                <w:color w:val="auto"/>
                <w:lang w:val="en-AU"/>
              </w:rPr>
              <w:fldChar w:fldCharType="end"/>
            </w:r>
            <w:r w:rsidRPr="00326A37">
              <w:rPr>
                <w:rFonts w:ascii="Calibri" w:eastAsia="Arial Unicode MS" w:hAnsi="Calibri" w:cs="Calibri"/>
                <w:color w:val="auto"/>
              </w:rPr>
              <w:t xml:space="preserve"> Other  </w:t>
            </w:r>
          </w:p>
          <w:p w14:paraId="7B88E056" w14:textId="77777777" w:rsidR="00A1417B" w:rsidRPr="00326A37" w:rsidRDefault="00A1417B" w:rsidP="007613B3">
            <w:pPr>
              <w:spacing w:before="60" w:line="240" w:lineRule="auto"/>
              <w:rPr>
                <w:rFonts w:ascii="Calibri" w:eastAsia="Arial Unicode MS" w:hAnsi="Calibri" w:cs="Calibri"/>
                <w:b/>
                <w:color w:val="auto"/>
                <w:lang w:val="en-AU"/>
              </w:rPr>
            </w:pPr>
          </w:p>
          <w:p w14:paraId="1F4B9764" w14:textId="0D3CABCF" w:rsidR="002A1A82" w:rsidRPr="00326A37" w:rsidRDefault="002A1A82" w:rsidP="002A1A82">
            <w:pPr>
              <w:jc w:val="both"/>
              <w:rPr>
                <w:rFonts w:ascii="Calibri" w:eastAsia="Arial Unicode MS" w:hAnsi="Calibri" w:cs="Calibri"/>
                <w:color w:val="auto"/>
                <w:lang w:val="fr-FR"/>
              </w:rPr>
            </w:pPr>
            <w:r w:rsidRPr="00326A37">
              <w:rPr>
                <w:rFonts w:ascii="Calibri" w:eastAsia="Arial Unicode MS" w:hAnsi="Calibri" w:cs="Calibri"/>
                <w:color w:val="auto"/>
                <w:lang w:val="fr-FR"/>
              </w:rPr>
              <w:t>Diplôme universitaire supérieur (Master au minimum) en éducation, sciences sociales, statistiques, et/ou développement international avec un accent sur l'éducation</w:t>
            </w:r>
          </w:p>
          <w:p w14:paraId="20A534FA" w14:textId="77777777" w:rsidR="00A1417B" w:rsidRPr="00326A37" w:rsidRDefault="00A1417B" w:rsidP="00A1417B">
            <w:pPr>
              <w:widowControl w:val="0"/>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p>
          <w:p w14:paraId="721A0C28" w14:textId="6B97D9B2" w:rsidR="00A1417B" w:rsidRPr="00326A37" w:rsidRDefault="00A1417B" w:rsidP="00A1417B">
            <w:pPr>
              <w:widowControl w:val="0"/>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14:paraId="7C405B3F" w14:textId="77777777" w:rsidR="007613B3" w:rsidRPr="00326A37" w:rsidRDefault="007613B3" w:rsidP="002A1A82">
            <w:pPr>
              <w:widowControl w:val="0"/>
              <w:suppressAutoHyphens/>
              <w:autoSpaceDN w:val="0"/>
              <w:spacing w:before="100" w:beforeAutospacing="1" w:after="100" w:afterAutospacing="1" w:line="259" w:lineRule="auto"/>
              <w:jc w:val="both"/>
              <w:textAlignment w:val="baseline"/>
              <w:rPr>
                <w:rFonts w:ascii="Calibri" w:eastAsia="Arial Unicode MS" w:hAnsi="Calibri" w:cs="Calibri"/>
                <w:b/>
                <w:color w:val="auto"/>
                <w:lang w:val="fr-FR"/>
              </w:rPr>
            </w:pPr>
            <w:r w:rsidRPr="00326A37">
              <w:rPr>
                <w:rFonts w:ascii="Calibri" w:eastAsia="Arial Unicode MS" w:hAnsi="Calibri" w:cs="Calibri"/>
                <w:b/>
                <w:color w:val="auto"/>
                <w:lang w:val="fr-FR"/>
              </w:rPr>
              <w:t xml:space="preserve">Knowledge/Expertise/Skills </w:t>
            </w:r>
            <w:proofErr w:type="gramStart"/>
            <w:r w:rsidRPr="00326A37">
              <w:rPr>
                <w:rFonts w:ascii="Calibri" w:eastAsia="Arial Unicode MS" w:hAnsi="Calibri" w:cs="Calibri"/>
                <w:b/>
                <w:color w:val="auto"/>
                <w:lang w:val="fr-FR"/>
              </w:rPr>
              <w:t>required:</w:t>
            </w:r>
            <w:proofErr w:type="gramEnd"/>
          </w:p>
          <w:p w14:paraId="346F1ECA" w14:textId="1DFF0530" w:rsidR="002A1A82" w:rsidRPr="00326A37" w:rsidRDefault="002A1A82"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 xml:space="preserve">Un minimum de </w:t>
            </w:r>
            <w:r w:rsidR="0084545D">
              <w:rPr>
                <w:rFonts w:ascii="Calibri" w:eastAsia="Arial Unicode MS" w:hAnsi="Calibri" w:cs="Calibri"/>
                <w:bCs/>
                <w:color w:val="auto"/>
                <w:lang w:val="fr-FR"/>
              </w:rPr>
              <w:t>8</w:t>
            </w:r>
            <w:r w:rsidRPr="00326A37">
              <w:rPr>
                <w:rFonts w:ascii="Calibri" w:eastAsia="Arial Unicode MS" w:hAnsi="Calibri" w:cs="Calibri"/>
                <w:bCs/>
                <w:color w:val="auto"/>
                <w:lang w:val="fr-FR"/>
              </w:rPr>
              <w:t xml:space="preserve"> ans d'expérience dans la recherche, l'analyse et/ou la fourniture de conseils techniques au gouvernement, et/ou aux organisations internationales de développement dans le domaine de la programmation de l'éducation et/ou de la planification budgétaire et du dialogue politique</w:t>
            </w:r>
          </w:p>
          <w:p w14:paraId="6718E67E" w14:textId="77777777" w:rsidR="002A1A82" w:rsidRPr="00326A37" w:rsidRDefault="002A1A82"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Expérience professionnelle de la politique fiscale et sociale dans les pays en développement, et expérience de l'appui aux institutions gouvernementales dans l'élaboration et le dialogue politique, et la mise en œuvre de programmes ;</w:t>
            </w:r>
          </w:p>
          <w:p w14:paraId="414F6197" w14:textId="7266307E" w:rsidR="002A1A82" w:rsidRPr="00326A37" w:rsidRDefault="002A1A82"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Connaissance actualisée des expériences, initiatives, politiques et études de recherche relatives à l'éducation, la planification et la budgétisation ;</w:t>
            </w:r>
          </w:p>
          <w:p w14:paraId="1D5FB453" w14:textId="409466B6" w:rsidR="002A1A82" w:rsidRPr="00326A37" w:rsidRDefault="002A1A82"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Excellentes compétences en matière de réseautage et de relations interpersonnelles requises ;</w:t>
            </w:r>
          </w:p>
          <w:p w14:paraId="7B959F27" w14:textId="4B228252" w:rsidR="002A1A82" w:rsidRPr="00326A37" w:rsidRDefault="002A1A82"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Excellentes compétences en matière de communication écrite et orale en français requises ; compétences dans une autre langue des Nations Unies comme l’anglais serait un atout ;</w:t>
            </w:r>
          </w:p>
          <w:p w14:paraId="3607948D" w14:textId="278FF860" w:rsidR="002A1A82" w:rsidRPr="00326A37" w:rsidRDefault="002A1A82"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Capacité à travailler de manière indépendante et à répondre aux commentaires en temps opportun et de manière professionnelle ;</w:t>
            </w:r>
          </w:p>
          <w:p w14:paraId="17357683" w14:textId="77777777" w:rsidR="00A93AB8" w:rsidRDefault="002A1A82"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Excellent sens de l'organisati</w:t>
            </w:r>
            <w:r w:rsidR="00A93AB8">
              <w:rPr>
                <w:rFonts w:ascii="Calibri" w:eastAsia="Arial Unicode MS" w:hAnsi="Calibri" w:cs="Calibri"/>
                <w:bCs/>
                <w:color w:val="auto"/>
                <w:lang w:val="fr-FR"/>
              </w:rPr>
              <w:t>on ;</w:t>
            </w:r>
          </w:p>
          <w:p w14:paraId="3D66259E" w14:textId="03B022D8" w:rsidR="00ED4704" w:rsidRPr="00326A37" w:rsidRDefault="00ED4704"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Avoir une bonne connaissance des Systèmes d’Information pour la Gestion de l’Education (SIGE</w:t>
            </w:r>
            <w:proofErr w:type="gramStart"/>
            <w:r w:rsidR="00374BC7" w:rsidRPr="00326A37">
              <w:rPr>
                <w:rFonts w:ascii="Calibri" w:eastAsia="Arial Unicode MS" w:hAnsi="Calibri" w:cs="Calibri"/>
                <w:bCs/>
                <w:color w:val="auto"/>
                <w:lang w:val="fr-FR"/>
              </w:rPr>
              <w:t>);</w:t>
            </w:r>
            <w:proofErr w:type="gramEnd"/>
          </w:p>
          <w:p w14:paraId="12BDEFEC" w14:textId="77777777" w:rsidR="00ED4704" w:rsidRPr="00326A37" w:rsidRDefault="00ED4704"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Disposer de bonnes notions de base sur les statistiques de l’éducation ;</w:t>
            </w:r>
          </w:p>
          <w:p w14:paraId="1BA9FC31" w14:textId="77777777" w:rsidR="00ED4704" w:rsidRPr="00326A37" w:rsidRDefault="00ED4704"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Avoir une bonne connaissance sur l’élaboration des annuaires statistiques et le calcul des indicateurs scolaires ;</w:t>
            </w:r>
          </w:p>
          <w:p w14:paraId="633C93E7" w14:textId="77777777" w:rsidR="00ED4704" w:rsidRPr="00326A37" w:rsidRDefault="00ED4704"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Avoir une bonne aptitude à travailler en équipe ;</w:t>
            </w:r>
          </w:p>
          <w:p w14:paraId="6C51430E" w14:textId="00D96108" w:rsidR="00763E66" w:rsidRPr="00326A37" w:rsidRDefault="00ED4704" w:rsidP="002A1A82">
            <w:pPr>
              <w:pStyle w:val="ListParagraph"/>
              <w:widowControl w:val="0"/>
              <w:numPr>
                <w:ilvl w:val="0"/>
                <w:numId w:val="25"/>
              </w:numPr>
              <w:suppressAutoHyphens/>
              <w:autoSpaceDN w:val="0"/>
              <w:spacing w:before="100" w:beforeAutospacing="1" w:after="100" w:afterAutospacing="1" w:line="259" w:lineRule="auto"/>
              <w:jc w:val="both"/>
              <w:textAlignment w:val="baseline"/>
              <w:rPr>
                <w:rFonts w:ascii="Calibri" w:eastAsia="Arial Unicode MS" w:hAnsi="Calibri" w:cs="Calibri"/>
                <w:bCs/>
                <w:color w:val="auto"/>
                <w:lang w:val="fr-FR"/>
              </w:rPr>
            </w:pPr>
            <w:r w:rsidRPr="00326A37">
              <w:rPr>
                <w:rFonts w:ascii="Calibri" w:eastAsia="Arial Unicode MS" w:hAnsi="Calibri" w:cs="Calibri"/>
                <w:bCs/>
                <w:color w:val="auto"/>
                <w:lang w:val="fr-FR"/>
              </w:rPr>
              <w:t>Avoir une parfaite maîtrise du français</w:t>
            </w:r>
            <w:r w:rsidR="002A1A82" w:rsidRPr="00326A37">
              <w:rPr>
                <w:rFonts w:ascii="Calibri" w:eastAsia="Arial Unicode MS" w:hAnsi="Calibri" w:cs="Calibri"/>
                <w:bCs/>
                <w:color w:val="auto"/>
                <w:lang w:val="fr-FR"/>
              </w:rPr>
              <w:t>.</w:t>
            </w:r>
          </w:p>
        </w:tc>
      </w:tr>
      <w:tr w:rsidR="007613B3" w:rsidRPr="007613B3" w14:paraId="7C881194" w14:textId="77777777" w:rsidTr="0021796C">
        <w:tc>
          <w:tcPr>
            <w:tcW w:w="10619" w:type="dxa"/>
            <w:gridSpan w:val="3"/>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21796C">
        <w:tc>
          <w:tcPr>
            <w:tcW w:w="10619" w:type="dxa"/>
            <w:gridSpan w:val="3"/>
            <w:tcBorders>
              <w:top w:val="nil"/>
              <w:left w:val="nil"/>
              <w:bottom w:val="nil"/>
              <w:right w:val="nil"/>
            </w:tcBorders>
            <w:shd w:val="clear" w:color="auto" w:fill="auto"/>
            <w:noWrap/>
          </w:tcPr>
          <w:p w14:paraId="0B175F64"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bl>
    <w:p w14:paraId="6A9C38E1" w14:textId="77777777" w:rsidR="007613B3" w:rsidRPr="007613B3" w:rsidRDefault="007613B3" w:rsidP="00C34C2B">
      <w:pPr>
        <w:spacing w:before="120" w:after="200"/>
        <w:rPr>
          <w:rFonts w:ascii="Calibri" w:eastAsia="Arial Unicode MS" w:hAnsi="Calibri" w:cs="Calibri"/>
        </w:rPr>
      </w:pPr>
    </w:p>
    <w:sectPr w:rsidR="007613B3" w:rsidRPr="007613B3"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6094C" w14:textId="77777777" w:rsidR="008F7F59" w:rsidRDefault="008F7F59" w:rsidP="000C3710">
      <w:r>
        <w:separator/>
      </w:r>
    </w:p>
  </w:endnote>
  <w:endnote w:type="continuationSeparator" w:id="0">
    <w:p w14:paraId="38684350" w14:textId="77777777" w:rsidR="008F7F59" w:rsidRDefault="008F7F59"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E062FC" w:rsidRPr="00A71AB3" w:rsidRDefault="00E062FC"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E062FC" w:rsidRPr="00B02636" w:rsidRDefault="00E062FC" w:rsidP="009247BD">
                          <w:pPr>
                            <w:pStyle w:val="AddressText"/>
                            <w:spacing w:line="240" w:lineRule="auto"/>
                            <w:rPr>
                              <w:color w:val="00B0F0"/>
                            </w:rPr>
                          </w:pPr>
                        </w:p>
                        <w:p w14:paraId="1124A3CE" w14:textId="77777777" w:rsidR="00E062FC" w:rsidRPr="00A0375D" w:rsidRDefault="00E062FC" w:rsidP="009247BD">
                          <w:pPr>
                            <w:pStyle w:val="AddressText"/>
                            <w:spacing w:line="240" w:lineRule="auto"/>
                            <w:rPr>
                              <w:color w:val="000000"/>
                            </w:rPr>
                          </w:pPr>
                        </w:p>
                        <w:p w14:paraId="45ACDF57" w14:textId="77777777" w:rsidR="00E062FC" w:rsidRPr="00A0375D" w:rsidRDefault="00E062FC" w:rsidP="009247BD">
                          <w:pPr>
                            <w:pStyle w:val="AddressText"/>
                            <w:spacing w:line="240" w:lineRule="auto"/>
                            <w:rPr>
                              <w:color w:val="000000"/>
                            </w:rPr>
                          </w:pPr>
                        </w:p>
                        <w:p w14:paraId="1400EDB7" w14:textId="77777777" w:rsidR="00E062FC" w:rsidRPr="00A0375D" w:rsidRDefault="00E062FC" w:rsidP="009247BD">
                          <w:pPr>
                            <w:pStyle w:val="AddressText"/>
                            <w:spacing w:line="240" w:lineRule="auto"/>
                            <w:rPr>
                              <w:color w:val="000000"/>
                            </w:rPr>
                          </w:pPr>
                        </w:p>
                        <w:p w14:paraId="02AC488C" w14:textId="77777777" w:rsidR="00E062FC" w:rsidRPr="00A0375D" w:rsidRDefault="00E062FC" w:rsidP="009247BD">
                          <w:pPr>
                            <w:pStyle w:val="AddressText"/>
                            <w:spacing w:line="240" w:lineRule="auto"/>
                            <w:rPr>
                              <w:color w:val="000000"/>
                            </w:rPr>
                          </w:pPr>
                        </w:p>
                        <w:p w14:paraId="2667C5C7" w14:textId="77777777" w:rsidR="00E062FC" w:rsidRPr="00A0375D" w:rsidRDefault="00E062FC"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E062FC" w:rsidRPr="00B02636" w:rsidRDefault="00E062FC" w:rsidP="009247BD">
                    <w:pPr>
                      <w:pStyle w:val="AddressText"/>
                      <w:spacing w:line="240" w:lineRule="auto"/>
                      <w:rPr>
                        <w:color w:val="00B0F0"/>
                      </w:rPr>
                    </w:pPr>
                  </w:p>
                  <w:p w14:paraId="1124A3CE" w14:textId="77777777" w:rsidR="00E062FC" w:rsidRPr="00A0375D" w:rsidRDefault="00E062FC" w:rsidP="009247BD">
                    <w:pPr>
                      <w:pStyle w:val="AddressText"/>
                      <w:spacing w:line="240" w:lineRule="auto"/>
                      <w:rPr>
                        <w:color w:val="000000"/>
                      </w:rPr>
                    </w:pPr>
                  </w:p>
                  <w:p w14:paraId="45ACDF57" w14:textId="77777777" w:rsidR="00E062FC" w:rsidRPr="00A0375D" w:rsidRDefault="00E062FC" w:rsidP="009247BD">
                    <w:pPr>
                      <w:pStyle w:val="AddressText"/>
                      <w:spacing w:line="240" w:lineRule="auto"/>
                      <w:rPr>
                        <w:color w:val="000000"/>
                      </w:rPr>
                    </w:pPr>
                  </w:p>
                  <w:p w14:paraId="1400EDB7" w14:textId="77777777" w:rsidR="00E062FC" w:rsidRPr="00A0375D" w:rsidRDefault="00E062FC" w:rsidP="009247BD">
                    <w:pPr>
                      <w:pStyle w:val="AddressText"/>
                      <w:spacing w:line="240" w:lineRule="auto"/>
                      <w:rPr>
                        <w:color w:val="000000"/>
                      </w:rPr>
                    </w:pPr>
                  </w:p>
                  <w:p w14:paraId="02AC488C" w14:textId="77777777" w:rsidR="00E062FC" w:rsidRPr="00A0375D" w:rsidRDefault="00E062FC" w:rsidP="009247BD">
                    <w:pPr>
                      <w:pStyle w:val="AddressText"/>
                      <w:spacing w:line="240" w:lineRule="auto"/>
                      <w:rPr>
                        <w:color w:val="000000"/>
                      </w:rPr>
                    </w:pPr>
                  </w:p>
                  <w:p w14:paraId="2667C5C7" w14:textId="77777777" w:rsidR="00E062FC" w:rsidRPr="00A0375D" w:rsidRDefault="00E062FC"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80832" w14:textId="77777777" w:rsidR="008F7F59" w:rsidRDefault="008F7F59" w:rsidP="000C3710">
      <w:r>
        <w:separator/>
      </w:r>
    </w:p>
  </w:footnote>
  <w:footnote w:type="continuationSeparator" w:id="0">
    <w:p w14:paraId="5477B46A" w14:textId="77777777" w:rsidR="008F7F59" w:rsidRDefault="008F7F5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E062FC" w:rsidRDefault="00E062FC"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0964B3"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E062FC" w:rsidRPr="0075490C" w:rsidRDefault="00E062FC"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708AE3"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E062FC" w:rsidRDefault="00E062FC">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E062FC" w:rsidRPr="001637C2" w:rsidRDefault="00E062FC"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E062FC" w:rsidRPr="00B02636" w:rsidRDefault="00E062F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E062FC" w:rsidRPr="00B02636" w:rsidRDefault="00E062FC" w:rsidP="00962F0B">
                          <w:pPr>
                            <w:pStyle w:val="AddressText"/>
                            <w:spacing w:line="240" w:lineRule="auto"/>
                            <w:jc w:val="both"/>
                            <w:rPr>
                              <w:color w:val="00B0F0"/>
                            </w:rPr>
                          </w:pPr>
                        </w:p>
                        <w:p w14:paraId="0C8D7EA7" w14:textId="77777777" w:rsidR="00E062FC" w:rsidRPr="00A0375D" w:rsidRDefault="00E062FC" w:rsidP="00962F0B">
                          <w:pPr>
                            <w:pStyle w:val="AddressText"/>
                            <w:spacing w:line="240" w:lineRule="auto"/>
                            <w:jc w:val="both"/>
                            <w:rPr>
                              <w:color w:val="000000"/>
                            </w:rPr>
                          </w:pPr>
                        </w:p>
                        <w:p w14:paraId="2B409760" w14:textId="77777777" w:rsidR="00E062FC" w:rsidRPr="00A0375D" w:rsidRDefault="00E062FC" w:rsidP="00962F0B">
                          <w:pPr>
                            <w:pStyle w:val="AddressText"/>
                            <w:spacing w:line="240" w:lineRule="auto"/>
                            <w:jc w:val="both"/>
                            <w:rPr>
                              <w:color w:val="000000"/>
                            </w:rPr>
                          </w:pPr>
                        </w:p>
                        <w:p w14:paraId="67FBF505" w14:textId="77777777" w:rsidR="00E062FC" w:rsidRPr="00A0375D" w:rsidRDefault="00E062FC" w:rsidP="00962F0B">
                          <w:pPr>
                            <w:pStyle w:val="AddressText"/>
                            <w:spacing w:line="240" w:lineRule="auto"/>
                            <w:jc w:val="both"/>
                            <w:rPr>
                              <w:color w:val="000000"/>
                            </w:rPr>
                          </w:pPr>
                        </w:p>
                        <w:p w14:paraId="47F3B508" w14:textId="77777777" w:rsidR="00E062FC" w:rsidRPr="00A0375D" w:rsidRDefault="00E062FC" w:rsidP="00962F0B">
                          <w:pPr>
                            <w:pStyle w:val="AddressText"/>
                            <w:spacing w:line="240" w:lineRule="auto"/>
                            <w:jc w:val="both"/>
                            <w:rPr>
                              <w:color w:val="000000"/>
                            </w:rPr>
                          </w:pPr>
                        </w:p>
                        <w:p w14:paraId="6B74C32E" w14:textId="77777777" w:rsidR="00E062FC" w:rsidRPr="00A0375D" w:rsidRDefault="00E062FC"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E062FC" w:rsidRPr="001637C2" w:rsidRDefault="00E062FC"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E062FC" w:rsidRPr="00B02636" w:rsidRDefault="00E062F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E062FC" w:rsidRPr="00B02636" w:rsidRDefault="00E062FC" w:rsidP="00962F0B">
                    <w:pPr>
                      <w:pStyle w:val="AddressText"/>
                      <w:spacing w:line="240" w:lineRule="auto"/>
                      <w:jc w:val="both"/>
                      <w:rPr>
                        <w:color w:val="00B0F0"/>
                      </w:rPr>
                    </w:pPr>
                  </w:p>
                  <w:p w14:paraId="0C8D7EA7" w14:textId="77777777" w:rsidR="00E062FC" w:rsidRPr="00A0375D" w:rsidRDefault="00E062FC" w:rsidP="00962F0B">
                    <w:pPr>
                      <w:pStyle w:val="AddressText"/>
                      <w:spacing w:line="240" w:lineRule="auto"/>
                      <w:jc w:val="both"/>
                      <w:rPr>
                        <w:color w:val="000000"/>
                      </w:rPr>
                    </w:pPr>
                  </w:p>
                  <w:p w14:paraId="2B409760" w14:textId="77777777" w:rsidR="00E062FC" w:rsidRPr="00A0375D" w:rsidRDefault="00E062FC" w:rsidP="00962F0B">
                    <w:pPr>
                      <w:pStyle w:val="AddressText"/>
                      <w:spacing w:line="240" w:lineRule="auto"/>
                      <w:jc w:val="both"/>
                      <w:rPr>
                        <w:color w:val="000000"/>
                      </w:rPr>
                    </w:pPr>
                  </w:p>
                  <w:p w14:paraId="67FBF505" w14:textId="77777777" w:rsidR="00E062FC" w:rsidRPr="00A0375D" w:rsidRDefault="00E062FC" w:rsidP="00962F0B">
                    <w:pPr>
                      <w:pStyle w:val="AddressText"/>
                      <w:spacing w:line="240" w:lineRule="auto"/>
                      <w:jc w:val="both"/>
                      <w:rPr>
                        <w:color w:val="000000"/>
                      </w:rPr>
                    </w:pPr>
                  </w:p>
                  <w:p w14:paraId="47F3B508" w14:textId="77777777" w:rsidR="00E062FC" w:rsidRPr="00A0375D" w:rsidRDefault="00E062FC" w:rsidP="00962F0B">
                    <w:pPr>
                      <w:pStyle w:val="AddressText"/>
                      <w:spacing w:line="240" w:lineRule="auto"/>
                      <w:jc w:val="both"/>
                      <w:rPr>
                        <w:color w:val="000000"/>
                      </w:rPr>
                    </w:pPr>
                  </w:p>
                  <w:p w14:paraId="6B74C32E" w14:textId="77777777" w:rsidR="00E062FC" w:rsidRPr="00A0375D" w:rsidRDefault="00E062FC"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866556"/>
    <w:multiLevelType w:val="hybridMultilevel"/>
    <w:tmpl w:val="1D4A0950"/>
    <w:lvl w:ilvl="0" w:tplc="3B8CDDE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9C3FDB"/>
    <w:multiLevelType w:val="hybridMultilevel"/>
    <w:tmpl w:val="2732EC0E"/>
    <w:lvl w:ilvl="0" w:tplc="68DC57A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8213A"/>
    <w:multiLevelType w:val="hybridMultilevel"/>
    <w:tmpl w:val="710AFE5C"/>
    <w:lvl w:ilvl="0" w:tplc="6838B2CA">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5722C"/>
    <w:multiLevelType w:val="multilevel"/>
    <w:tmpl w:val="C600933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761FF4"/>
    <w:multiLevelType w:val="hybridMultilevel"/>
    <w:tmpl w:val="F970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C4DE8"/>
    <w:multiLevelType w:val="hybridMultilevel"/>
    <w:tmpl w:val="E7D2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B291D"/>
    <w:multiLevelType w:val="multilevel"/>
    <w:tmpl w:val="37D6957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836010"/>
    <w:multiLevelType w:val="hybridMultilevel"/>
    <w:tmpl w:val="41D027B0"/>
    <w:lvl w:ilvl="0" w:tplc="04090019">
      <w:start w:val="1"/>
      <w:numFmt w:val="lowerLetter"/>
      <w:lvlText w:val="%1."/>
      <w:lvlJc w:val="left"/>
      <w:pPr>
        <w:ind w:left="720" w:hanging="360"/>
      </w:pPr>
      <w:rPr>
        <w:rFonts w:hint="default"/>
      </w:rPr>
    </w:lvl>
    <w:lvl w:ilvl="1" w:tplc="07FC934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03AE9"/>
    <w:multiLevelType w:val="hybridMultilevel"/>
    <w:tmpl w:val="5B7E8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6"/>
  </w:num>
  <w:num w:numId="4">
    <w:abstractNumId w:val="13"/>
  </w:num>
  <w:num w:numId="5">
    <w:abstractNumId w:val="12"/>
  </w:num>
  <w:num w:numId="6">
    <w:abstractNumId w:val="18"/>
  </w:num>
  <w:num w:numId="7">
    <w:abstractNumId w:val="24"/>
  </w:num>
  <w:num w:numId="8">
    <w:abstractNumId w:val="25"/>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2"/>
  </w:num>
  <w:num w:numId="11">
    <w:abstractNumId w:val="21"/>
  </w:num>
  <w:num w:numId="12">
    <w:abstractNumId w:val="27"/>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4"/>
  </w:num>
  <w:num w:numId="25">
    <w:abstractNumId w:val="30"/>
  </w:num>
  <w:num w:numId="26">
    <w:abstractNumId w:val="28"/>
  </w:num>
  <w:num w:numId="27">
    <w:abstractNumId w:val="29"/>
  </w:num>
  <w:num w:numId="28">
    <w:abstractNumId w:val="20"/>
  </w:num>
  <w:num w:numId="29">
    <w:abstractNumId w:val="15"/>
  </w:num>
  <w:num w:numId="30">
    <w:abstractNumId w:val="17"/>
  </w:num>
  <w:num w:numId="31">
    <w:abstractNumId w:val="31"/>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4F59"/>
    <w:rsid w:val="00005930"/>
    <w:rsid w:val="00007D60"/>
    <w:rsid w:val="00007E4A"/>
    <w:rsid w:val="00011685"/>
    <w:rsid w:val="00011ED0"/>
    <w:rsid w:val="00015A41"/>
    <w:rsid w:val="000241D1"/>
    <w:rsid w:val="00025F29"/>
    <w:rsid w:val="00030834"/>
    <w:rsid w:val="000310DE"/>
    <w:rsid w:val="000415E9"/>
    <w:rsid w:val="0004433C"/>
    <w:rsid w:val="00056A18"/>
    <w:rsid w:val="000576DC"/>
    <w:rsid w:val="00066CAF"/>
    <w:rsid w:val="00076437"/>
    <w:rsid w:val="00096574"/>
    <w:rsid w:val="000A1256"/>
    <w:rsid w:val="000A7045"/>
    <w:rsid w:val="000B5829"/>
    <w:rsid w:val="000C3710"/>
    <w:rsid w:val="000C3F11"/>
    <w:rsid w:val="000C5314"/>
    <w:rsid w:val="000C61F2"/>
    <w:rsid w:val="000D6CA1"/>
    <w:rsid w:val="000E1755"/>
    <w:rsid w:val="000E3253"/>
    <w:rsid w:val="000E414F"/>
    <w:rsid w:val="000E4D76"/>
    <w:rsid w:val="000F6440"/>
    <w:rsid w:val="00107B7A"/>
    <w:rsid w:val="00112DEE"/>
    <w:rsid w:val="0013541A"/>
    <w:rsid w:val="00145914"/>
    <w:rsid w:val="001555CD"/>
    <w:rsid w:val="0015757A"/>
    <w:rsid w:val="001637C2"/>
    <w:rsid w:val="00164C95"/>
    <w:rsid w:val="00165C9B"/>
    <w:rsid w:val="00175E9C"/>
    <w:rsid w:val="00176711"/>
    <w:rsid w:val="00182C1C"/>
    <w:rsid w:val="00183FA9"/>
    <w:rsid w:val="00186E13"/>
    <w:rsid w:val="00191341"/>
    <w:rsid w:val="001A4B63"/>
    <w:rsid w:val="001B190C"/>
    <w:rsid w:val="001B4278"/>
    <w:rsid w:val="001B5D66"/>
    <w:rsid w:val="001E112E"/>
    <w:rsid w:val="001E479E"/>
    <w:rsid w:val="001E4BA7"/>
    <w:rsid w:val="001E7405"/>
    <w:rsid w:val="001F2300"/>
    <w:rsid w:val="001F651F"/>
    <w:rsid w:val="002072D5"/>
    <w:rsid w:val="00213A86"/>
    <w:rsid w:val="00215E5E"/>
    <w:rsid w:val="0021796C"/>
    <w:rsid w:val="0022123C"/>
    <w:rsid w:val="00222F56"/>
    <w:rsid w:val="00223FBD"/>
    <w:rsid w:val="00234AD4"/>
    <w:rsid w:val="002460BE"/>
    <w:rsid w:val="00247353"/>
    <w:rsid w:val="00257BD7"/>
    <w:rsid w:val="002659AE"/>
    <w:rsid w:val="0026644B"/>
    <w:rsid w:val="00284E45"/>
    <w:rsid w:val="00285811"/>
    <w:rsid w:val="0029323C"/>
    <w:rsid w:val="00293255"/>
    <w:rsid w:val="002952E4"/>
    <w:rsid w:val="002A1A82"/>
    <w:rsid w:val="002B2A26"/>
    <w:rsid w:val="002B6832"/>
    <w:rsid w:val="002B7647"/>
    <w:rsid w:val="002B7E57"/>
    <w:rsid w:val="002C5AA6"/>
    <w:rsid w:val="002D0C54"/>
    <w:rsid w:val="002D16CD"/>
    <w:rsid w:val="002D38E9"/>
    <w:rsid w:val="002D4DEF"/>
    <w:rsid w:val="002D62E4"/>
    <w:rsid w:val="002D797B"/>
    <w:rsid w:val="002D7D3A"/>
    <w:rsid w:val="002E443D"/>
    <w:rsid w:val="002F2367"/>
    <w:rsid w:val="00303F85"/>
    <w:rsid w:val="00306E1E"/>
    <w:rsid w:val="003117C2"/>
    <w:rsid w:val="00316900"/>
    <w:rsid w:val="00320886"/>
    <w:rsid w:val="0032151B"/>
    <w:rsid w:val="00326A37"/>
    <w:rsid w:val="00330DDB"/>
    <w:rsid w:val="0034354C"/>
    <w:rsid w:val="00350865"/>
    <w:rsid w:val="00353547"/>
    <w:rsid w:val="00361834"/>
    <w:rsid w:val="003655B8"/>
    <w:rsid w:val="0037152D"/>
    <w:rsid w:val="00372E4B"/>
    <w:rsid w:val="00373453"/>
    <w:rsid w:val="0037425C"/>
    <w:rsid w:val="00374BC7"/>
    <w:rsid w:val="00377BF5"/>
    <w:rsid w:val="00377E69"/>
    <w:rsid w:val="0038200F"/>
    <w:rsid w:val="0039694E"/>
    <w:rsid w:val="00396BF0"/>
    <w:rsid w:val="003A00B6"/>
    <w:rsid w:val="003B3F83"/>
    <w:rsid w:val="003B52AA"/>
    <w:rsid w:val="003B7251"/>
    <w:rsid w:val="003C1BC1"/>
    <w:rsid w:val="003C4672"/>
    <w:rsid w:val="003C48FF"/>
    <w:rsid w:val="003C6001"/>
    <w:rsid w:val="003C692F"/>
    <w:rsid w:val="003D04D3"/>
    <w:rsid w:val="003D0F6C"/>
    <w:rsid w:val="003D2BCF"/>
    <w:rsid w:val="003D42F1"/>
    <w:rsid w:val="003E1B37"/>
    <w:rsid w:val="003E4220"/>
    <w:rsid w:val="003E7E75"/>
    <w:rsid w:val="00407258"/>
    <w:rsid w:val="00407853"/>
    <w:rsid w:val="00411F46"/>
    <w:rsid w:val="00415DEC"/>
    <w:rsid w:val="004160E9"/>
    <w:rsid w:val="00416141"/>
    <w:rsid w:val="004168ED"/>
    <w:rsid w:val="00422305"/>
    <w:rsid w:val="00432748"/>
    <w:rsid w:val="00435AB0"/>
    <w:rsid w:val="0043646D"/>
    <w:rsid w:val="004429D6"/>
    <w:rsid w:val="00444977"/>
    <w:rsid w:val="00445CFF"/>
    <w:rsid w:val="00457053"/>
    <w:rsid w:val="00472BBD"/>
    <w:rsid w:val="004809D8"/>
    <w:rsid w:val="00481D11"/>
    <w:rsid w:val="00485229"/>
    <w:rsid w:val="004A64C8"/>
    <w:rsid w:val="004A6CA6"/>
    <w:rsid w:val="004A73F6"/>
    <w:rsid w:val="004B276A"/>
    <w:rsid w:val="004B317B"/>
    <w:rsid w:val="004D08C1"/>
    <w:rsid w:val="004D0E07"/>
    <w:rsid w:val="004D2245"/>
    <w:rsid w:val="004D5D35"/>
    <w:rsid w:val="004E2D0B"/>
    <w:rsid w:val="004E67BE"/>
    <w:rsid w:val="004F1A27"/>
    <w:rsid w:val="005032F9"/>
    <w:rsid w:val="005075C6"/>
    <w:rsid w:val="00507CFC"/>
    <w:rsid w:val="00511A6E"/>
    <w:rsid w:val="00523923"/>
    <w:rsid w:val="005246DC"/>
    <w:rsid w:val="005248E0"/>
    <w:rsid w:val="005302AB"/>
    <w:rsid w:val="00530EE0"/>
    <w:rsid w:val="005356FF"/>
    <w:rsid w:val="00544027"/>
    <w:rsid w:val="00544A89"/>
    <w:rsid w:val="0054592E"/>
    <w:rsid w:val="0054669E"/>
    <w:rsid w:val="00562FE9"/>
    <w:rsid w:val="00584C43"/>
    <w:rsid w:val="00591246"/>
    <w:rsid w:val="0059671E"/>
    <w:rsid w:val="005A643C"/>
    <w:rsid w:val="005B3739"/>
    <w:rsid w:val="005D0BBF"/>
    <w:rsid w:val="005E4666"/>
    <w:rsid w:val="005E629A"/>
    <w:rsid w:val="005E6FE1"/>
    <w:rsid w:val="005F3AFC"/>
    <w:rsid w:val="006007DA"/>
    <w:rsid w:val="00626681"/>
    <w:rsid w:val="00631581"/>
    <w:rsid w:val="00632D59"/>
    <w:rsid w:val="00653E0C"/>
    <w:rsid w:val="006579B7"/>
    <w:rsid w:val="00661BE1"/>
    <w:rsid w:val="006642C4"/>
    <w:rsid w:val="006736E6"/>
    <w:rsid w:val="00673C25"/>
    <w:rsid w:val="00674FCB"/>
    <w:rsid w:val="00674FD1"/>
    <w:rsid w:val="00675319"/>
    <w:rsid w:val="0068083F"/>
    <w:rsid w:val="0068655C"/>
    <w:rsid w:val="006907A6"/>
    <w:rsid w:val="006921D1"/>
    <w:rsid w:val="006968C1"/>
    <w:rsid w:val="006A5CFB"/>
    <w:rsid w:val="006B4298"/>
    <w:rsid w:val="006B7F68"/>
    <w:rsid w:val="006C5703"/>
    <w:rsid w:val="006C688F"/>
    <w:rsid w:val="006C7D5A"/>
    <w:rsid w:val="006D1BD7"/>
    <w:rsid w:val="006D6C69"/>
    <w:rsid w:val="006E3839"/>
    <w:rsid w:val="006F3357"/>
    <w:rsid w:val="007001DA"/>
    <w:rsid w:val="007007F7"/>
    <w:rsid w:val="0070263C"/>
    <w:rsid w:val="00711C06"/>
    <w:rsid w:val="0071297F"/>
    <w:rsid w:val="00713677"/>
    <w:rsid w:val="00715A42"/>
    <w:rsid w:val="00716761"/>
    <w:rsid w:val="0072029C"/>
    <w:rsid w:val="00730704"/>
    <w:rsid w:val="00746FD9"/>
    <w:rsid w:val="00747960"/>
    <w:rsid w:val="0075490C"/>
    <w:rsid w:val="00756755"/>
    <w:rsid w:val="007613B3"/>
    <w:rsid w:val="00762170"/>
    <w:rsid w:val="00763E66"/>
    <w:rsid w:val="007716C8"/>
    <w:rsid w:val="00772B19"/>
    <w:rsid w:val="00774438"/>
    <w:rsid w:val="00775BB7"/>
    <w:rsid w:val="00781F2B"/>
    <w:rsid w:val="007826F8"/>
    <w:rsid w:val="007A5F4F"/>
    <w:rsid w:val="007B6BF8"/>
    <w:rsid w:val="007C7F78"/>
    <w:rsid w:val="007D010E"/>
    <w:rsid w:val="007D5968"/>
    <w:rsid w:val="007D7750"/>
    <w:rsid w:val="007E73F5"/>
    <w:rsid w:val="00801C3E"/>
    <w:rsid w:val="0080603F"/>
    <w:rsid w:val="00806AF3"/>
    <w:rsid w:val="00810FE3"/>
    <w:rsid w:val="00812FFA"/>
    <w:rsid w:val="00813D3A"/>
    <w:rsid w:val="00845125"/>
    <w:rsid w:val="0084545D"/>
    <w:rsid w:val="00855652"/>
    <w:rsid w:val="00861563"/>
    <w:rsid w:val="00873C12"/>
    <w:rsid w:val="00883D70"/>
    <w:rsid w:val="00884F21"/>
    <w:rsid w:val="008B0A0B"/>
    <w:rsid w:val="008B3BDE"/>
    <w:rsid w:val="008C23F7"/>
    <w:rsid w:val="008C5761"/>
    <w:rsid w:val="008D79DD"/>
    <w:rsid w:val="008E375E"/>
    <w:rsid w:val="008F7F59"/>
    <w:rsid w:val="0090065A"/>
    <w:rsid w:val="0090354E"/>
    <w:rsid w:val="00903E9D"/>
    <w:rsid w:val="00905953"/>
    <w:rsid w:val="00906E2A"/>
    <w:rsid w:val="0091382D"/>
    <w:rsid w:val="009203FF"/>
    <w:rsid w:val="00922852"/>
    <w:rsid w:val="009247BD"/>
    <w:rsid w:val="009457A1"/>
    <w:rsid w:val="009512AC"/>
    <w:rsid w:val="00951CC4"/>
    <w:rsid w:val="009527F4"/>
    <w:rsid w:val="0095309F"/>
    <w:rsid w:val="00960715"/>
    <w:rsid w:val="0096249B"/>
    <w:rsid w:val="00962F0B"/>
    <w:rsid w:val="009637FF"/>
    <w:rsid w:val="00963C52"/>
    <w:rsid w:val="009657AF"/>
    <w:rsid w:val="00970EBD"/>
    <w:rsid w:val="00975550"/>
    <w:rsid w:val="009A1C63"/>
    <w:rsid w:val="009B3C84"/>
    <w:rsid w:val="009B6BAC"/>
    <w:rsid w:val="009C3DF5"/>
    <w:rsid w:val="009C737D"/>
    <w:rsid w:val="009D5ED5"/>
    <w:rsid w:val="009E758D"/>
    <w:rsid w:val="009F778A"/>
    <w:rsid w:val="00A01ECF"/>
    <w:rsid w:val="00A0375D"/>
    <w:rsid w:val="00A11FA1"/>
    <w:rsid w:val="00A1417B"/>
    <w:rsid w:val="00A15D12"/>
    <w:rsid w:val="00A265BB"/>
    <w:rsid w:val="00A3477D"/>
    <w:rsid w:val="00A518F7"/>
    <w:rsid w:val="00A56EC7"/>
    <w:rsid w:val="00A71AB3"/>
    <w:rsid w:val="00A73543"/>
    <w:rsid w:val="00A7722C"/>
    <w:rsid w:val="00A80C16"/>
    <w:rsid w:val="00A8354D"/>
    <w:rsid w:val="00A93AB8"/>
    <w:rsid w:val="00A94248"/>
    <w:rsid w:val="00AB1FFC"/>
    <w:rsid w:val="00AB418F"/>
    <w:rsid w:val="00AC083A"/>
    <w:rsid w:val="00AC127D"/>
    <w:rsid w:val="00AC78AC"/>
    <w:rsid w:val="00AE09EB"/>
    <w:rsid w:val="00AE48C4"/>
    <w:rsid w:val="00AF077A"/>
    <w:rsid w:val="00AF3B0E"/>
    <w:rsid w:val="00B02636"/>
    <w:rsid w:val="00B05ABF"/>
    <w:rsid w:val="00B07FA7"/>
    <w:rsid w:val="00B14BE6"/>
    <w:rsid w:val="00B22FF0"/>
    <w:rsid w:val="00B25923"/>
    <w:rsid w:val="00B34AF2"/>
    <w:rsid w:val="00B35723"/>
    <w:rsid w:val="00B37107"/>
    <w:rsid w:val="00B37562"/>
    <w:rsid w:val="00B410CB"/>
    <w:rsid w:val="00B4127F"/>
    <w:rsid w:val="00B415E7"/>
    <w:rsid w:val="00B51D78"/>
    <w:rsid w:val="00B51DE4"/>
    <w:rsid w:val="00B53FEF"/>
    <w:rsid w:val="00B63A22"/>
    <w:rsid w:val="00B63E76"/>
    <w:rsid w:val="00B66698"/>
    <w:rsid w:val="00B677D8"/>
    <w:rsid w:val="00B814B7"/>
    <w:rsid w:val="00B84938"/>
    <w:rsid w:val="00B96021"/>
    <w:rsid w:val="00B96CAE"/>
    <w:rsid w:val="00BB1006"/>
    <w:rsid w:val="00BB4A6F"/>
    <w:rsid w:val="00BC0092"/>
    <w:rsid w:val="00BC06E9"/>
    <w:rsid w:val="00BC1676"/>
    <w:rsid w:val="00BC5470"/>
    <w:rsid w:val="00BD1B97"/>
    <w:rsid w:val="00BF605F"/>
    <w:rsid w:val="00C046B2"/>
    <w:rsid w:val="00C17FBC"/>
    <w:rsid w:val="00C25DC0"/>
    <w:rsid w:val="00C300D9"/>
    <w:rsid w:val="00C34C2B"/>
    <w:rsid w:val="00C401E7"/>
    <w:rsid w:val="00C448ED"/>
    <w:rsid w:val="00C62EFB"/>
    <w:rsid w:val="00C64D42"/>
    <w:rsid w:val="00C67879"/>
    <w:rsid w:val="00C756A2"/>
    <w:rsid w:val="00C77B32"/>
    <w:rsid w:val="00C865B3"/>
    <w:rsid w:val="00C92726"/>
    <w:rsid w:val="00C928D5"/>
    <w:rsid w:val="00C972F8"/>
    <w:rsid w:val="00CB3A47"/>
    <w:rsid w:val="00CB69ED"/>
    <w:rsid w:val="00CD3149"/>
    <w:rsid w:val="00CD3E5C"/>
    <w:rsid w:val="00CE46A7"/>
    <w:rsid w:val="00CE65CD"/>
    <w:rsid w:val="00CE769B"/>
    <w:rsid w:val="00D03797"/>
    <w:rsid w:val="00D042EF"/>
    <w:rsid w:val="00D05933"/>
    <w:rsid w:val="00D10937"/>
    <w:rsid w:val="00D212D8"/>
    <w:rsid w:val="00D24E21"/>
    <w:rsid w:val="00D26336"/>
    <w:rsid w:val="00D3303B"/>
    <w:rsid w:val="00D35998"/>
    <w:rsid w:val="00D460BE"/>
    <w:rsid w:val="00D512A5"/>
    <w:rsid w:val="00D5258E"/>
    <w:rsid w:val="00D541BC"/>
    <w:rsid w:val="00D61A9A"/>
    <w:rsid w:val="00D64897"/>
    <w:rsid w:val="00D67207"/>
    <w:rsid w:val="00D675C4"/>
    <w:rsid w:val="00D72B70"/>
    <w:rsid w:val="00D72E5E"/>
    <w:rsid w:val="00D74729"/>
    <w:rsid w:val="00D84097"/>
    <w:rsid w:val="00D859DF"/>
    <w:rsid w:val="00D86D91"/>
    <w:rsid w:val="00D8799A"/>
    <w:rsid w:val="00D92AE1"/>
    <w:rsid w:val="00DA2FF3"/>
    <w:rsid w:val="00DE034A"/>
    <w:rsid w:val="00DE40E3"/>
    <w:rsid w:val="00DF5326"/>
    <w:rsid w:val="00E00B53"/>
    <w:rsid w:val="00E05D94"/>
    <w:rsid w:val="00E062FC"/>
    <w:rsid w:val="00E07BB4"/>
    <w:rsid w:val="00E13740"/>
    <w:rsid w:val="00E2153C"/>
    <w:rsid w:val="00E24709"/>
    <w:rsid w:val="00E5163F"/>
    <w:rsid w:val="00E54A5D"/>
    <w:rsid w:val="00E55B2F"/>
    <w:rsid w:val="00E612AA"/>
    <w:rsid w:val="00E61D56"/>
    <w:rsid w:val="00E630F3"/>
    <w:rsid w:val="00E654DC"/>
    <w:rsid w:val="00E82A93"/>
    <w:rsid w:val="00E83654"/>
    <w:rsid w:val="00E867E1"/>
    <w:rsid w:val="00EA6D4D"/>
    <w:rsid w:val="00EB4B50"/>
    <w:rsid w:val="00EB76A6"/>
    <w:rsid w:val="00EC4F5B"/>
    <w:rsid w:val="00EC5E3A"/>
    <w:rsid w:val="00ED4704"/>
    <w:rsid w:val="00ED6DBB"/>
    <w:rsid w:val="00EE2FEF"/>
    <w:rsid w:val="00EE3A60"/>
    <w:rsid w:val="00EE7747"/>
    <w:rsid w:val="00EF31C2"/>
    <w:rsid w:val="00EF5A83"/>
    <w:rsid w:val="00F027D0"/>
    <w:rsid w:val="00F02F00"/>
    <w:rsid w:val="00F2296D"/>
    <w:rsid w:val="00F2300E"/>
    <w:rsid w:val="00F23EA7"/>
    <w:rsid w:val="00F24528"/>
    <w:rsid w:val="00F246C3"/>
    <w:rsid w:val="00F31886"/>
    <w:rsid w:val="00F349B0"/>
    <w:rsid w:val="00F35E74"/>
    <w:rsid w:val="00F509A4"/>
    <w:rsid w:val="00F61309"/>
    <w:rsid w:val="00F7484C"/>
    <w:rsid w:val="00F8130B"/>
    <w:rsid w:val="00F834BF"/>
    <w:rsid w:val="00F8439C"/>
    <w:rsid w:val="00F90618"/>
    <w:rsid w:val="00F97B64"/>
    <w:rsid w:val="00FA0491"/>
    <w:rsid w:val="00FA55CB"/>
    <w:rsid w:val="00FB6F21"/>
    <w:rsid w:val="00FC1ABD"/>
    <w:rsid w:val="00FE1530"/>
    <w:rsid w:val="00FE3848"/>
    <w:rsid w:val="00FE3903"/>
    <w:rsid w:val="00FE46C7"/>
    <w:rsid w:val="00FF5A1E"/>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Titre1,Retrait,lp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rsid w:val="00ED4704"/>
    <w:rPr>
      <w:rFonts w:ascii="Arial" w:eastAsia="MS PGothic" w:hAnsi="Arial"/>
      <w:color w:val="000000"/>
    </w:rPr>
  </w:style>
  <w:style w:type="character" w:styleId="CommentReference">
    <w:name w:val="annotation reference"/>
    <w:basedOn w:val="DefaultParagraphFont"/>
    <w:uiPriority w:val="99"/>
    <w:semiHidden/>
    <w:unhideWhenUsed/>
    <w:rsid w:val="007479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98305">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Carmen Munoz</DisplayName>
        <AccountId>18</AccountId>
        <AccountType/>
      </UserInfo>
      <UserInfo>
        <DisplayName>Junquanhamuze An</DisplayName>
        <AccountId>20</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2846B9-902D-440B-94DC-17586128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21</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Sandra Ndayikeze</cp:lastModifiedBy>
  <cp:revision>2</cp:revision>
  <cp:lastPrinted>2022-04-20T14:59:00Z</cp:lastPrinted>
  <dcterms:created xsi:type="dcterms:W3CDTF">2022-05-09T09:09:00Z</dcterms:created>
  <dcterms:modified xsi:type="dcterms:W3CDTF">2022-05-09T09:09:00Z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