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47AF0D39"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p w14:paraId="219B2125" w14:textId="57534F53" w:rsidR="00111026" w:rsidRDefault="00111026" w:rsidP="00B14BE6">
      <w:pPr>
        <w:jc w:val="center"/>
        <w:rPr>
          <w:rFonts w:ascii="Calibri" w:hAnsi="Calibri" w:cs="Calibri"/>
          <w:b/>
          <w:bCs/>
          <w:color w:val="00B0F0"/>
          <w:sz w:val="24"/>
          <w:szCs w:val="24"/>
          <w:u w:val="single"/>
        </w:rPr>
      </w:pPr>
    </w:p>
    <w:tbl>
      <w:tblPr>
        <w:tblStyle w:val="TableGrid"/>
        <w:tblW w:w="9895" w:type="dxa"/>
        <w:tblLook w:val="04A0" w:firstRow="1" w:lastRow="0" w:firstColumn="1" w:lastColumn="0" w:noHBand="0" w:noVBand="1"/>
      </w:tblPr>
      <w:tblGrid>
        <w:gridCol w:w="2814"/>
        <w:gridCol w:w="2018"/>
        <w:gridCol w:w="3021"/>
        <w:gridCol w:w="2042"/>
      </w:tblGrid>
      <w:tr w:rsidR="002639FA" w14:paraId="51C48F70" w14:textId="77777777" w:rsidTr="00A65E45">
        <w:tc>
          <w:tcPr>
            <w:tcW w:w="2875" w:type="dxa"/>
          </w:tcPr>
          <w:p w14:paraId="1C07A7A2" w14:textId="1FFEAD9C" w:rsidR="002639FA" w:rsidRPr="007613B3" w:rsidRDefault="002639FA" w:rsidP="002639F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CF6B09">
              <w:rPr>
                <w:rFonts w:ascii="Calibri" w:eastAsia="Arial Unicode MS" w:hAnsi="Calibri" w:cs="Calibri"/>
                <w:b/>
                <w:color w:val="auto"/>
                <w:lang w:val="en-AU"/>
              </w:rPr>
              <w:t xml:space="preserve"> of consultancy: </w:t>
            </w:r>
          </w:p>
          <w:p w14:paraId="7CBB2E8C" w14:textId="6391278A" w:rsidR="009E52C3" w:rsidRPr="009E52C3" w:rsidRDefault="00AF6C78" w:rsidP="009E52C3">
            <w:pPr>
              <w:jc w:val="both"/>
            </w:pPr>
            <w:r w:rsidRPr="00AF6C78">
              <w:t xml:space="preserve">Individual Consultancy </w:t>
            </w:r>
            <w:r>
              <w:t>for d</w:t>
            </w:r>
            <w:r w:rsidR="009E52C3" w:rsidRPr="009E52C3">
              <w:t xml:space="preserve">evelopment of a publication and corresponding media package </w:t>
            </w:r>
          </w:p>
          <w:p w14:paraId="33F59976" w14:textId="77777777" w:rsidR="009E52C3" w:rsidRPr="009E52C3" w:rsidRDefault="009E52C3" w:rsidP="009E52C3">
            <w:pPr>
              <w:jc w:val="both"/>
            </w:pPr>
            <w:r w:rsidRPr="009E52C3">
              <w:t>to mark the organizational history of UNICEF in Turkmenistan</w:t>
            </w:r>
          </w:p>
          <w:p w14:paraId="68811A3E" w14:textId="700D0D38" w:rsidR="002639FA" w:rsidRPr="002639FA" w:rsidRDefault="009E52C3" w:rsidP="009E52C3">
            <w:pPr>
              <w:jc w:val="both"/>
              <w:rPr>
                <w:lang w:val="ru-RU"/>
              </w:rPr>
            </w:pPr>
            <w:r w:rsidRPr="009E52C3">
              <w:t xml:space="preserve"> </w:t>
            </w:r>
            <w:r w:rsidRPr="009E52C3">
              <w:rPr>
                <w:lang w:val="ru-RU"/>
              </w:rPr>
              <w:t>for UNICEF’s 75th anniversary</w:t>
            </w:r>
          </w:p>
        </w:tc>
        <w:tc>
          <w:tcPr>
            <w:tcW w:w="1849" w:type="dxa"/>
          </w:tcPr>
          <w:p w14:paraId="5CACB800" w14:textId="77777777" w:rsidR="002639FA" w:rsidRDefault="002639FA" w:rsidP="002639FA">
            <w:pPr>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6AE64435" w14:textId="77777777" w:rsidR="009E52C3" w:rsidRDefault="009E52C3" w:rsidP="002639FA">
            <w:pPr>
              <w:rPr>
                <w:rFonts w:ascii="Calibri" w:eastAsia="Arial Unicode MS" w:hAnsi="Calibri" w:cs="Calibri"/>
                <w:b/>
                <w:lang w:val="en-AU"/>
              </w:rPr>
            </w:pPr>
          </w:p>
          <w:p w14:paraId="38E474FA" w14:textId="77777777" w:rsidR="009E52C3" w:rsidRPr="00383D1A" w:rsidRDefault="009E52C3" w:rsidP="002639FA">
            <w:r w:rsidRPr="00383D1A">
              <w:t>4360/A0/06/880/004</w:t>
            </w:r>
          </w:p>
          <w:p w14:paraId="3BD8AC8B" w14:textId="39210DA7" w:rsidR="00A50275" w:rsidRDefault="00A50275" w:rsidP="002639FA">
            <w:r w:rsidRPr="00383D1A">
              <w:t>Communications, Advocacy and Partnership (ZPS_PLAN)</w:t>
            </w:r>
          </w:p>
        </w:tc>
        <w:tc>
          <w:tcPr>
            <w:tcW w:w="3101" w:type="dxa"/>
          </w:tcPr>
          <w:p w14:paraId="26013276" w14:textId="28749C8D" w:rsidR="002639FA" w:rsidRPr="00E135F0" w:rsidRDefault="002639FA" w:rsidP="00E135F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w:t>
            </w:r>
            <w:r w:rsidR="00E135F0">
              <w:rPr>
                <w:rFonts w:ascii="Calibri" w:eastAsia="Arial Unicode MS" w:hAnsi="Calibri" w:cs="Calibri"/>
                <w:b/>
                <w:color w:val="auto"/>
                <w:lang w:val="en-AU"/>
              </w:rPr>
              <w:t>t</w:t>
            </w:r>
            <w:r w:rsidRPr="007613B3">
              <w:rPr>
                <w:rFonts w:ascii="Calibri" w:eastAsia="Arial Unicode MS" w:hAnsi="Calibri" w:cs="Calibri"/>
                <w:color w:val="auto"/>
                <w:lang w:val="en-AU"/>
              </w:rPr>
              <w:t xml:space="preserve"> </w:t>
            </w:r>
          </w:p>
          <w:p w14:paraId="29E12592" w14:textId="439E262E" w:rsidR="002F3B72" w:rsidRDefault="009E52C3" w:rsidP="002F3B72">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2F3B72" w:rsidRPr="007613B3">
              <w:rPr>
                <w:rFonts w:ascii="Calibri" w:eastAsia="Arial Unicode MS" w:hAnsi="Calibri" w:cs="Calibri"/>
                <w:color w:val="auto"/>
                <w:lang w:val="en-AU"/>
              </w:rPr>
              <w:t xml:space="preserve"> Consultant </w:t>
            </w:r>
          </w:p>
          <w:p w14:paraId="16F99902" w14:textId="77777777" w:rsidR="002639FA" w:rsidRDefault="002639FA" w:rsidP="002639FA">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0260192E" w14:textId="006FA7CA" w:rsidR="002639FA" w:rsidRDefault="002639FA" w:rsidP="002639FA">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2070" w:type="dxa"/>
          </w:tcPr>
          <w:p w14:paraId="56849D7D" w14:textId="77777777" w:rsidR="002639FA" w:rsidRPr="007613B3" w:rsidRDefault="002639FA" w:rsidP="002639F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BB2B488" w14:textId="45CDD625" w:rsidR="002639FA" w:rsidRDefault="009E52C3" w:rsidP="002639FA">
            <w:r>
              <w:t>Ashgabat, Turkmenistan</w:t>
            </w:r>
          </w:p>
        </w:tc>
      </w:tr>
    </w:tbl>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72"/>
        <w:gridCol w:w="1798"/>
        <w:gridCol w:w="1699"/>
      </w:tblGrid>
      <w:tr w:rsidR="00C47D08" w:rsidRPr="007613B3" w14:paraId="0AD85765" w14:textId="77777777" w:rsidTr="00A9198E">
        <w:tc>
          <w:tcPr>
            <w:tcW w:w="6390" w:type="dxa"/>
            <w:gridSpan w:val="3"/>
            <w:tcBorders>
              <w:bottom w:val="nil"/>
            </w:tcBorders>
            <w:shd w:val="clear" w:color="auto" w:fill="auto"/>
          </w:tcPr>
          <w:p w14:paraId="041AC5C0" w14:textId="77777777" w:rsidR="00C47D08" w:rsidRDefault="00C47D08" w:rsidP="00A9198E">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12211ADD" w14:textId="11FC7E33" w:rsidR="00C47D08" w:rsidRPr="007613B3" w:rsidRDefault="009E52C3" w:rsidP="00A9198E">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9"/>
                  <w:enabled/>
                  <w:calcOnExit w:val="0"/>
                  <w:checkBox>
                    <w:sizeAuto/>
                    <w:default w:val="1"/>
                  </w:checkBox>
                </w:ffData>
              </w:fldChar>
            </w:r>
            <w:bookmarkStart w:id="0" w:name="Check9"/>
            <w:r>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C47D08" w:rsidRPr="007613B3">
              <w:rPr>
                <w:rFonts w:ascii="Calibri" w:eastAsia="Arial Unicode MS" w:hAnsi="Calibri" w:cs="Calibri"/>
                <w:color w:val="auto"/>
                <w:lang w:val="en-AU"/>
              </w:rPr>
              <w:t xml:space="preserve"> National  </w:t>
            </w:r>
            <w:r w:rsidR="00C47D08"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47D08" w:rsidRPr="007613B3">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sidR="00C47D08" w:rsidRPr="007613B3">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International </w:t>
            </w:r>
            <w:r w:rsidR="00C47D08"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47D08" w:rsidRPr="007613B3">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sidR="00C47D08" w:rsidRPr="007613B3">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Both</w:t>
            </w:r>
          </w:p>
          <w:p w14:paraId="1B104809" w14:textId="77777777" w:rsidR="00C47D08" w:rsidRPr="007613B3" w:rsidRDefault="00C47D08" w:rsidP="00A9198E">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5AA83A24" w14:textId="74DF06E0" w:rsidR="00C47D08" w:rsidRPr="007613B3" w:rsidRDefault="00035F93" w:rsidP="00A9198E">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0"/>
                  </w:checkBox>
                </w:ffData>
              </w:fldChar>
            </w:r>
            <w:bookmarkStart w:id="1" w:name="Check10"/>
            <w:r>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
            <w:r w:rsidR="00C47D08" w:rsidRPr="007613B3">
              <w:rPr>
                <w:rFonts w:ascii="Calibri" w:eastAsia="Arial Unicode MS" w:hAnsi="Calibri" w:cs="Calibri"/>
                <w:color w:val="auto"/>
                <w:lang w:val="en-AU"/>
              </w:rPr>
              <w:t xml:space="preserve"> Competitive Selection (Roster)</w:t>
            </w:r>
          </w:p>
          <w:p w14:paraId="02CB4BC0" w14:textId="529B097B" w:rsidR="00C47D08" w:rsidRPr="007613B3" w:rsidRDefault="00035F93" w:rsidP="00A9198E">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4C25C1F7" w14:textId="77777777" w:rsidR="00C47D08" w:rsidRPr="007613B3" w:rsidRDefault="00C47D08" w:rsidP="00A9198E">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5F8F09EE" w14:textId="1111B361" w:rsidR="00C47D08" w:rsidRPr="007613B3" w:rsidRDefault="009E52C3" w:rsidP="00A9198E">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47D08" w:rsidRPr="007613B3">
              <w:rPr>
                <w:rFonts w:ascii="Calibri" w:eastAsia="Arial Unicode MS" w:hAnsi="Calibri" w:cs="Calibri"/>
                <w:color w:val="auto"/>
                <w:lang w:val="en-AU"/>
              </w:rPr>
              <w:t xml:space="preserve">   New SSA</w:t>
            </w:r>
            <w:r w:rsidR="00C47D08">
              <w:rPr>
                <w:rFonts w:ascii="Calibri" w:eastAsia="Arial Unicode MS" w:hAnsi="Calibri" w:cs="Calibri"/>
                <w:color w:val="auto"/>
                <w:lang w:val="en-AU"/>
              </w:rPr>
              <w:t xml:space="preserve"> – Individual Contract</w:t>
            </w:r>
          </w:p>
          <w:p w14:paraId="0D7CE135" w14:textId="77777777" w:rsidR="00C47D08" w:rsidRPr="007613B3" w:rsidRDefault="00C47D08" w:rsidP="00A9198E">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47D08" w:rsidRPr="007613B3" w14:paraId="147A3C73" w14:textId="77777777" w:rsidTr="00A9198E">
        <w:tc>
          <w:tcPr>
            <w:tcW w:w="9887" w:type="dxa"/>
            <w:gridSpan w:val="5"/>
            <w:tcBorders>
              <w:bottom w:val="nil"/>
            </w:tcBorders>
            <w:shd w:val="clear" w:color="auto" w:fill="auto"/>
          </w:tcPr>
          <w:p w14:paraId="1CC1736F" w14:textId="06748586" w:rsidR="002844A9" w:rsidRDefault="00C47D08" w:rsidP="00A9198E">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22BF0046" w14:textId="77777777" w:rsidR="00C47D08" w:rsidRPr="007613B3" w:rsidRDefault="00C47D08" w:rsidP="00A9198E">
            <w:pPr>
              <w:spacing w:before="120" w:after="60" w:line="240" w:lineRule="auto"/>
              <w:rPr>
                <w:rFonts w:ascii="Calibri" w:eastAsia="Arial Unicode MS" w:hAnsi="Calibri" w:cs="Calibri"/>
                <w:b/>
                <w:color w:val="auto"/>
                <w:lang w:val="en-AU"/>
              </w:rPr>
            </w:pPr>
          </w:p>
        </w:tc>
      </w:tr>
      <w:tr w:rsidR="00C47D08" w:rsidRPr="007613B3" w14:paraId="419F9B1F" w14:textId="77777777" w:rsidTr="00A9198E">
        <w:tc>
          <w:tcPr>
            <w:tcW w:w="4138" w:type="dxa"/>
            <w:tcBorders>
              <w:bottom w:val="nil"/>
            </w:tcBorders>
            <w:shd w:val="clear" w:color="auto" w:fill="auto"/>
            <w:noWrap/>
            <w:hideMark/>
          </w:tcPr>
          <w:p w14:paraId="24C645BF" w14:textId="77777777" w:rsidR="00035F93" w:rsidRDefault="00C47D08" w:rsidP="00942298">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E52C3">
              <w:rPr>
                <w:rFonts w:ascii="Calibri" w:eastAsia="Arial Unicode MS" w:hAnsi="Calibri" w:cs="Calibri"/>
                <w:b/>
                <w:color w:val="auto"/>
                <w:lang w:val="en-AU"/>
              </w:rPr>
              <w:t xml:space="preserve"> </w:t>
            </w:r>
          </w:p>
          <w:p w14:paraId="2B8BC7A2" w14:textId="656E7F6F" w:rsidR="00942298" w:rsidRDefault="00942298" w:rsidP="00942298">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Mahriban Seytliyeva, Communications Officer </w:t>
            </w:r>
          </w:p>
          <w:p w14:paraId="306DB20A" w14:textId="2C7656A3" w:rsidR="009E52C3" w:rsidRPr="007613B3" w:rsidRDefault="009E52C3" w:rsidP="00A9198E">
            <w:pPr>
              <w:spacing w:before="100" w:beforeAutospacing="1" w:after="100" w:afterAutospacing="1" w:line="240" w:lineRule="auto"/>
              <w:rPr>
                <w:rFonts w:ascii="Calibri" w:eastAsia="Arial Unicode MS" w:hAnsi="Calibri" w:cs="Calibri"/>
                <w:b/>
                <w:color w:val="auto"/>
                <w:lang w:val="en-AU"/>
              </w:rPr>
            </w:pPr>
          </w:p>
        </w:tc>
        <w:tc>
          <w:tcPr>
            <w:tcW w:w="1980" w:type="dxa"/>
            <w:tcBorders>
              <w:bottom w:val="nil"/>
            </w:tcBorders>
            <w:shd w:val="clear" w:color="auto" w:fill="auto"/>
            <w:noWrap/>
            <w:hideMark/>
          </w:tcPr>
          <w:p w14:paraId="7B53EE30" w14:textId="77777777" w:rsidR="00C47D08" w:rsidRPr="007613B3" w:rsidRDefault="00C47D08" w:rsidP="00A9198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5DE5AF5B" w14:textId="77777777" w:rsidR="00C47D08" w:rsidRPr="007613B3" w:rsidRDefault="00C47D08" w:rsidP="00A9198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478B4154" w14:textId="77777777" w:rsidR="00AF6C78" w:rsidRDefault="00C47D08" w:rsidP="00A9198E">
            <w:pPr>
              <w:spacing w:before="100" w:beforeAutospacing="1" w:after="100" w:afterAutospacing="1" w:line="240" w:lineRule="auto"/>
              <w:rPr>
                <w:rFonts w:ascii="Calibri" w:eastAsia="Arial Unicode MS" w:hAnsi="Calibri" w:cs="Calibri"/>
                <w:b/>
                <w:color w:val="auto"/>
                <w:lang w:val="en-AU"/>
              </w:rPr>
            </w:pPr>
            <w:r w:rsidRPr="00383D1A">
              <w:rPr>
                <w:rFonts w:ascii="Calibri" w:eastAsia="Arial Unicode MS" w:hAnsi="Calibri" w:cs="Calibri"/>
                <w:b/>
                <w:color w:val="auto"/>
                <w:lang w:val="en-AU"/>
              </w:rPr>
              <w:t>Number of Days (working)</w:t>
            </w:r>
          </w:p>
          <w:p w14:paraId="4F852314" w14:textId="51D2AC1A" w:rsidR="00AF6C78" w:rsidRPr="007613B3" w:rsidRDefault="00AF6C78" w:rsidP="00A9198E">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10 weeks</w:t>
            </w:r>
          </w:p>
        </w:tc>
      </w:tr>
      <w:tr w:rsidR="00C47D08" w:rsidRPr="007613B3" w14:paraId="2BFA9D40" w14:textId="77777777" w:rsidTr="00A9198E">
        <w:tc>
          <w:tcPr>
            <w:tcW w:w="4138" w:type="dxa"/>
            <w:tcBorders>
              <w:top w:val="nil"/>
            </w:tcBorders>
            <w:shd w:val="clear" w:color="auto" w:fill="auto"/>
            <w:noWrap/>
          </w:tcPr>
          <w:p w14:paraId="230EBA79" w14:textId="77777777" w:rsidR="00C47D08" w:rsidRPr="007613B3" w:rsidRDefault="00C47D08" w:rsidP="00A9198E">
            <w:pPr>
              <w:spacing w:before="60" w:after="60" w:line="240" w:lineRule="auto"/>
              <w:rPr>
                <w:rFonts w:ascii="Calibri" w:eastAsia="Arial Unicode MS" w:hAnsi="Calibri" w:cs="Calibri"/>
                <w:i/>
                <w:color w:val="auto"/>
                <w:lang w:val="en-AU"/>
              </w:rPr>
            </w:pPr>
          </w:p>
        </w:tc>
        <w:tc>
          <w:tcPr>
            <w:tcW w:w="1980" w:type="dxa"/>
            <w:tcBorders>
              <w:top w:val="nil"/>
            </w:tcBorders>
            <w:shd w:val="clear" w:color="auto" w:fill="auto"/>
            <w:noWrap/>
          </w:tcPr>
          <w:p w14:paraId="07146F01" w14:textId="257F4997" w:rsidR="00C47D08" w:rsidRPr="007613B3" w:rsidRDefault="0032018A" w:rsidP="00A9198E">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w:t>
            </w:r>
            <w:r w:rsidR="009E7C95">
              <w:rPr>
                <w:rFonts w:ascii="Calibri" w:eastAsia="Arial Unicode MS" w:hAnsi="Calibri" w:cs="Calibri"/>
                <w:i/>
                <w:color w:val="auto"/>
                <w:lang w:val="en-AU"/>
              </w:rPr>
              <w:t>5</w:t>
            </w:r>
            <w:r>
              <w:rPr>
                <w:rFonts w:ascii="Calibri" w:eastAsia="Arial Unicode MS" w:hAnsi="Calibri" w:cs="Calibri"/>
                <w:i/>
                <w:color w:val="auto"/>
                <w:lang w:val="en-AU"/>
              </w:rPr>
              <w:t xml:space="preserve"> July 2021</w:t>
            </w:r>
          </w:p>
        </w:tc>
        <w:tc>
          <w:tcPr>
            <w:tcW w:w="2070" w:type="dxa"/>
            <w:gridSpan w:val="2"/>
            <w:tcBorders>
              <w:top w:val="nil"/>
            </w:tcBorders>
            <w:shd w:val="clear" w:color="auto" w:fill="auto"/>
          </w:tcPr>
          <w:p w14:paraId="35F331EF" w14:textId="2B52E018" w:rsidR="00C47D08" w:rsidRPr="007613B3" w:rsidRDefault="0032018A" w:rsidP="00A9198E">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30 September </w:t>
            </w:r>
          </w:p>
        </w:tc>
        <w:tc>
          <w:tcPr>
            <w:tcW w:w="1699" w:type="dxa"/>
            <w:tcBorders>
              <w:top w:val="nil"/>
            </w:tcBorders>
            <w:shd w:val="clear" w:color="auto" w:fill="auto"/>
          </w:tcPr>
          <w:p w14:paraId="4DCF7CFC" w14:textId="77777777" w:rsidR="00C47D08" w:rsidRPr="007613B3" w:rsidRDefault="00C47D08" w:rsidP="00A9198E">
            <w:pPr>
              <w:spacing w:before="60" w:after="60" w:line="240" w:lineRule="auto"/>
              <w:rPr>
                <w:rFonts w:ascii="Calibri" w:eastAsia="Arial Unicode MS" w:hAnsi="Calibri" w:cs="Calibri"/>
                <w:i/>
                <w:color w:val="auto"/>
                <w:lang w:val="en-AU"/>
              </w:rPr>
            </w:pPr>
          </w:p>
        </w:tc>
      </w:tr>
    </w:tbl>
    <w:tbl>
      <w:tblPr>
        <w:tblStyle w:val="TableGrid"/>
        <w:tblW w:w="9895" w:type="dxa"/>
        <w:tblLook w:val="04A0" w:firstRow="1" w:lastRow="0" w:firstColumn="1" w:lastColumn="0" w:noHBand="0" w:noVBand="1"/>
      </w:tblPr>
      <w:tblGrid>
        <w:gridCol w:w="9895"/>
      </w:tblGrid>
      <w:tr w:rsidR="00AF38A0" w14:paraId="06FC554D" w14:textId="77777777" w:rsidTr="0014636E">
        <w:tc>
          <w:tcPr>
            <w:tcW w:w="9895" w:type="dxa"/>
            <w:tcBorders>
              <w:bottom w:val="single" w:sz="4" w:space="0" w:color="auto"/>
            </w:tcBorders>
          </w:tcPr>
          <w:p w14:paraId="43C30802" w14:textId="667DD841" w:rsidR="00AF38A0" w:rsidRDefault="00AF38A0" w:rsidP="0014636E">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6D8F9D88" w14:textId="77777777" w:rsidR="00035F93" w:rsidRPr="00035F93" w:rsidRDefault="00035F93" w:rsidP="00035F93">
            <w:pPr>
              <w:spacing w:before="240" w:after="240"/>
              <w:jc w:val="both"/>
              <w:rPr>
                <w:rFonts w:eastAsia="Times New Roman"/>
                <w:szCs w:val="24"/>
              </w:rPr>
            </w:pPr>
            <w:r w:rsidRPr="00035F93">
              <w:rPr>
                <w:rFonts w:eastAsia="Times New Roman"/>
                <w:szCs w:val="24"/>
              </w:rPr>
              <w:t>On 11 December 2021, UNICEF commemorates its 75th year helping to build a better world ‘for every child.’ The 75th Anniversary provides an occasion for each UNICEF Country Office to celebrate past achievements, examine present work, and strengthen the pursuit of a future where every child has a fair chance in life.  This is an opportunity to look back at organizational history and discuss lessons learned,  and review historical artifacts, such as posters, artwork,  and memorabilia that document the remarkable story of UNICEF in Turkmenistan.</w:t>
            </w:r>
          </w:p>
          <w:p w14:paraId="399B6344" w14:textId="77777777" w:rsidR="00035F93" w:rsidRPr="00035F93" w:rsidRDefault="00035F93" w:rsidP="00035F93">
            <w:pPr>
              <w:spacing w:before="240" w:after="240"/>
              <w:jc w:val="both"/>
              <w:rPr>
                <w:rFonts w:eastAsia="Times New Roman"/>
                <w:szCs w:val="24"/>
              </w:rPr>
            </w:pPr>
            <w:r w:rsidRPr="00035F93">
              <w:rPr>
                <w:rFonts w:eastAsia="Times New Roman"/>
                <w:szCs w:val="24"/>
              </w:rPr>
              <w:t xml:space="preserve">The contributions of current and former staff and partners will be instrumental in enriching the historical record and making the occasion a memorable experience. </w:t>
            </w:r>
          </w:p>
          <w:p w14:paraId="193C0118" w14:textId="77777777" w:rsidR="00035F93" w:rsidRPr="00035F93" w:rsidRDefault="00035F93" w:rsidP="00035F93">
            <w:pPr>
              <w:spacing w:before="240" w:after="240"/>
              <w:jc w:val="both"/>
              <w:rPr>
                <w:rFonts w:eastAsia="Times New Roman"/>
                <w:szCs w:val="24"/>
              </w:rPr>
            </w:pPr>
            <w:r w:rsidRPr="00035F93">
              <w:rPr>
                <w:rFonts w:eastAsia="Times New Roman"/>
                <w:szCs w:val="24"/>
              </w:rPr>
              <w:t>For this purpose, UNICEF Office in Turkmenistan intends to prepare a media package consisting of video, digital and print material of stories developed around the highlights and achievements of UNICEF’s work in Turkmenistan. These stories are captured via interviews with former and current UNICEF staff and government partners who were present at the time of the achievement and children who benefited from UNICEF programs as well as archival media research.</w:t>
            </w:r>
          </w:p>
          <w:p w14:paraId="04DE1CDE" w14:textId="2E02C3F2" w:rsidR="0032018A" w:rsidRPr="0032018A" w:rsidRDefault="00035F93" w:rsidP="00035F93">
            <w:pPr>
              <w:spacing w:before="60" w:after="60" w:line="240" w:lineRule="auto"/>
              <w:rPr>
                <w:rFonts w:ascii="Calibri" w:eastAsia="Arial Unicode MS" w:hAnsi="Calibri" w:cs="Calibri"/>
                <w:b/>
                <w:color w:val="auto"/>
              </w:rPr>
            </w:pPr>
            <w:r w:rsidRPr="00035F93">
              <w:rPr>
                <w:rFonts w:eastAsia="Times New Roman"/>
                <w:szCs w:val="24"/>
              </w:rPr>
              <w:t xml:space="preserve">The objective of this consultancy, working jointly with a team consisting of graphic designer, digital consultant, video editor and Turkmen language editor, is to prepare and develop content for the package of resources (video, digital, print) through writing feature stories and conducting interviews with former and </w:t>
            </w:r>
            <w:r w:rsidRPr="00035F93">
              <w:rPr>
                <w:rFonts w:eastAsia="Times New Roman"/>
                <w:szCs w:val="24"/>
              </w:rPr>
              <w:lastRenderedPageBreak/>
              <w:t>current UNICEF Turkmenistan staff, government partners and UNICEF beneficiaries on the highlights of organizational history of UNICEF in Turkmenistan since the inception of its activities</w:t>
            </w:r>
          </w:p>
          <w:p w14:paraId="59EE6A1E" w14:textId="77777777" w:rsidR="0032018A" w:rsidRDefault="0032018A" w:rsidP="0014636E">
            <w:pPr>
              <w:spacing w:before="60" w:after="60" w:line="240" w:lineRule="auto"/>
              <w:rPr>
                <w:rFonts w:ascii="Calibri" w:eastAsia="Arial Unicode MS" w:hAnsi="Calibri" w:cs="Calibri"/>
                <w:b/>
                <w:color w:val="auto"/>
                <w:lang w:val="en-AU"/>
              </w:rPr>
            </w:pPr>
          </w:p>
          <w:p w14:paraId="2C17001B" w14:textId="77777777" w:rsidR="00AF38A0" w:rsidRDefault="00AF38A0" w:rsidP="0014636E">
            <w:pPr>
              <w:spacing w:line="240" w:lineRule="auto"/>
              <w:rPr>
                <w:rFonts w:ascii="Calibri" w:eastAsia="Arial Unicode MS" w:hAnsi="Calibri" w:cs="Calibri"/>
                <w:color w:val="auto"/>
                <w:lang w:val="en-AU"/>
              </w:rPr>
            </w:pPr>
          </w:p>
          <w:p w14:paraId="09C934D4" w14:textId="77777777" w:rsidR="00AF38A0" w:rsidRPr="002F3B72" w:rsidRDefault="00AF38A0" w:rsidP="0014636E">
            <w:pPr>
              <w:spacing w:line="240" w:lineRule="auto"/>
              <w:rPr>
                <w:rFonts w:ascii="Calibri" w:eastAsia="Arial Unicode MS" w:hAnsi="Calibri" w:cs="Calibri"/>
                <w:color w:val="auto"/>
                <w:lang w:val="en-AU"/>
              </w:rPr>
            </w:pPr>
          </w:p>
        </w:tc>
      </w:tr>
      <w:tr w:rsidR="00AF38A0" w14:paraId="793E848B" w14:textId="77777777" w:rsidTr="0014636E">
        <w:tc>
          <w:tcPr>
            <w:tcW w:w="9895" w:type="dxa"/>
            <w:tcBorders>
              <w:top w:val="single" w:sz="4" w:space="0" w:color="auto"/>
              <w:left w:val="single" w:sz="4" w:space="0" w:color="auto"/>
              <w:bottom w:val="single" w:sz="4" w:space="0" w:color="auto"/>
              <w:right w:val="single" w:sz="4" w:space="0" w:color="auto"/>
            </w:tcBorders>
          </w:tcPr>
          <w:p w14:paraId="19612BDD" w14:textId="77777777" w:rsidR="00AF38A0" w:rsidRDefault="00AF38A0" w:rsidP="0014636E">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lastRenderedPageBreak/>
              <w:t>Scope of Work:</w:t>
            </w:r>
          </w:p>
          <w:p w14:paraId="3FDC7C4D" w14:textId="191EB1CC" w:rsidR="00AF38A0" w:rsidRDefault="00035F93" w:rsidP="0014636E">
            <w:pPr>
              <w:spacing w:line="240" w:lineRule="auto"/>
            </w:pPr>
            <w:r>
              <w:t xml:space="preserve">Under supervision of the Communication Officer and in collaboration with relative staff , the consultant will: </w:t>
            </w:r>
          </w:p>
          <w:p w14:paraId="7578811E" w14:textId="77777777" w:rsidR="00035F93" w:rsidRPr="00AF6C78" w:rsidRDefault="00035F93" w:rsidP="00035F93">
            <w:pPr>
              <w:pStyle w:val="ListParagraph"/>
              <w:numPr>
                <w:ilvl w:val="0"/>
                <w:numId w:val="25"/>
              </w:numPr>
              <w:shd w:val="clear" w:color="auto" w:fill="FFFFFF"/>
              <w:spacing w:line="240" w:lineRule="auto"/>
              <w:jc w:val="both"/>
              <w:rPr>
                <w:rFonts w:eastAsia="Times New Roman"/>
                <w:szCs w:val="24"/>
              </w:rPr>
            </w:pPr>
            <w:r w:rsidRPr="00AF6C78">
              <w:rPr>
                <w:rFonts w:eastAsia="Times New Roman"/>
                <w:szCs w:val="24"/>
              </w:rPr>
              <w:t>Review of the literature on history of UNICEF presence in Turkmenistan and its achievements;</w:t>
            </w:r>
          </w:p>
          <w:p w14:paraId="2AFE42ED" w14:textId="77777777" w:rsidR="00035F93" w:rsidRPr="00AF6C78" w:rsidRDefault="00035F93" w:rsidP="00035F93">
            <w:pPr>
              <w:pStyle w:val="ListParagraph"/>
              <w:numPr>
                <w:ilvl w:val="0"/>
                <w:numId w:val="25"/>
              </w:numPr>
              <w:shd w:val="clear" w:color="auto" w:fill="FFFFFF"/>
              <w:spacing w:line="240" w:lineRule="auto"/>
              <w:jc w:val="both"/>
              <w:rPr>
                <w:rFonts w:eastAsia="Times New Roman"/>
                <w:szCs w:val="24"/>
              </w:rPr>
            </w:pPr>
            <w:r w:rsidRPr="00AF6C78">
              <w:rPr>
                <w:rFonts w:eastAsia="Times New Roman"/>
                <w:szCs w:val="24"/>
              </w:rPr>
              <w:t xml:space="preserve">Identifying major milestones and highlights of UNICEF </w:t>
            </w:r>
            <w:proofErr w:type="spellStart"/>
            <w:r w:rsidRPr="00AF6C78">
              <w:rPr>
                <w:rFonts w:eastAsia="Times New Roman"/>
                <w:szCs w:val="24"/>
              </w:rPr>
              <w:t>programmes</w:t>
            </w:r>
            <w:proofErr w:type="spellEnd"/>
            <w:r w:rsidRPr="00AF6C78">
              <w:rPr>
                <w:rFonts w:eastAsia="Times New Roman"/>
                <w:szCs w:val="24"/>
              </w:rPr>
              <w:t xml:space="preserve"> in Turkmenistan;</w:t>
            </w:r>
          </w:p>
          <w:p w14:paraId="775A4EA4" w14:textId="77777777" w:rsidR="00035F93" w:rsidRPr="00AF6C78" w:rsidRDefault="00035F93" w:rsidP="00035F93">
            <w:pPr>
              <w:pStyle w:val="ListParagraph"/>
              <w:numPr>
                <w:ilvl w:val="0"/>
                <w:numId w:val="25"/>
              </w:numPr>
              <w:shd w:val="clear" w:color="auto" w:fill="FFFFFF"/>
              <w:spacing w:line="240" w:lineRule="auto"/>
              <w:jc w:val="both"/>
              <w:rPr>
                <w:rFonts w:eastAsia="Times New Roman"/>
                <w:szCs w:val="24"/>
              </w:rPr>
            </w:pPr>
            <w:r w:rsidRPr="00AF6C78">
              <w:rPr>
                <w:rFonts w:eastAsia="Times New Roman"/>
                <w:szCs w:val="24"/>
              </w:rPr>
              <w:t>Interviews with former UNICEF Turkmenistan staff, government partners and beneficiaries to collect their stories around major achievements ;</w:t>
            </w:r>
          </w:p>
          <w:p w14:paraId="5E87F3E5" w14:textId="77777777" w:rsidR="00035F93" w:rsidRPr="00AF6C78" w:rsidRDefault="00035F93" w:rsidP="00035F93">
            <w:pPr>
              <w:pStyle w:val="ListParagraph"/>
              <w:numPr>
                <w:ilvl w:val="0"/>
                <w:numId w:val="25"/>
              </w:numPr>
              <w:shd w:val="clear" w:color="auto" w:fill="FFFFFF"/>
              <w:spacing w:line="240" w:lineRule="auto"/>
              <w:jc w:val="both"/>
              <w:rPr>
                <w:rFonts w:eastAsia="Times New Roman"/>
                <w:szCs w:val="24"/>
              </w:rPr>
            </w:pPr>
            <w:r w:rsidRPr="00AF6C78">
              <w:rPr>
                <w:rFonts w:eastAsia="Times New Roman"/>
                <w:szCs w:val="24"/>
              </w:rPr>
              <w:t xml:space="preserve">Draft a well written document on the history of UNICEF work in Turkmenistan, including at least 10 case studies on specific highlights, human interest stories, or interviews </w:t>
            </w:r>
            <w:proofErr w:type="spellStart"/>
            <w:r w:rsidRPr="00AF6C78">
              <w:rPr>
                <w:rFonts w:eastAsia="Times New Roman"/>
                <w:szCs w:val="24"/>
              </w:rPr>
              <w:t>etc</w:t>
            </w:r>
            <w:proofErr w:type="spellEnd"/>
          </w:p>
          <w:p w14:paraId="20A47E05" w14:textId="77777777" w:rsidR="00035F93" w:rsidRPr="00AF6C78" w:rsidRDefault="00035F93" w:rsidP="00035F93">
            <w:pPr>
              <w:pStyle w:val="ListParagraph"/>
              <w:numPr>
                <w:ilvl w:val="0"/>
                <w:numId w:val="25"/>
              </w:numPr>
              <w:shd w:val="clear" w:color="auto" w:fill="FFFFFF"/>
              <w:spacing w:line="240" w:lineRule="auto"/>
              <w:jc w:val="both"/>
              <w:rPr>
                <w:rFonts w:eastAsia="Times New Roman"/>
                <w:szCs w:val="24"/>
              </w:rPr>
            </w:pPr>
            <w:r w:rsidRPr="00AF6C78">
              <w:rPr>
                <w:rFonts w:eastAsia="Times New Roman"/>
                <w:szCs w:val="24"/>
              </w:rPr>
              <w:t>Contribute to the development of scenarios for the media package consisting of video, digital and print material based on the conducted research in Turkmen, English and Russian;</w:t>
            </w:r>
          </w:p>
          <w:p w14:paraId="618359E2" w14:textId="77777777" w:rsidR="00035F93" w:rsidRPr="00AF6C78" w:rsidRDefault="00035F93" w:rsidP="00035F93">
            <w:pPr>
              <w:pStyle w:val="ListParagraph"/>
              <w:numPr>
                <w:ilvl w:val="0"/>
                <w:numId w:val="25"/>
              </w:numPr>
              <w:shd w:val="clear" w:color="auto" w:fill="FFFFFF"/>
              <w:spacing w:line="240" w:lineRule="auto"/>
              <w:jc w:val="both"/>
              <w:rPr>
                <w:rFonts w:eastAsia="Times New Roman"/>
                <w:szCs w:val="24"/>
              </w:rPr>
            </w:pPr>
            <w:r w:rsidRPr="00AF6C78">
              <w:rPr>
                <w:rFonts w:eastAsia="Times New Roman"/>
                <w:szCs w:val="24"/>
              </w:rPr>
              <w:t>Coordinate with current UNICEF programmatic priorities for the possible advocacy messages to be included in the media package;</w:t>
            </w:r>
          </w:p>
          <w:p w14:paraId="36BFDAED" w14:textId="77777777" w:rsidR="00AF38A0" w:rsidRDefault="00AF38A0" w:rsidP="0014636E">
            <w:pPr>
              <w:spacing w:line="240" w:lineRule="auto"/>
            </w:pPr>
          </w:p>
        </w:tc>
      </w:tr>
      <w:tr w:rsidR="003231A9" w14:paraId="265C7FC4" w14:textId="77777777" w:rsidTr="0014636E">
        <w:tc>
          <w:tcPr>
            <w:tcW w:w="9895" w:type="dxa"/>
            <w:tcBorders>
              <w:top w:val="single" w:sz="4" w:space="0" w:color="auto"/>
              <w:left w:val="single" w:sz="4" w:space="0" w:color="auto"/>
              <w:bottom w:val="single" w:sz="4" w:space="0" w:color="auto"/>
              <w:right w:val="single" w:sz="4" w:space="0" w:color="auto"/>
            </w:tcBorders>
          </w:tcPr>
          <w:p w14:paraId="1F592152" w14:textId="21A28893" w:rsidR="003231A9" w:rsidRPr="003231A9" w:rsidRDefault="003231A9" w:rsidP="003231A9">
            <w:pPr>
              <w:spacing w:before="60" w:after="60" w:line="240" w:lineRule="auto"/>
              <w:rPr>
                <w:rFonts w:ascii="Calibri" w:eastAsia="Arial Unicode MS" w:hAnsi="Calibri" w:cs="Calibri"/>
                <w:b/>
                <w:bCs/>
                <w:color w:val="auto"/>
                <w:lang w:val="en-AU"/>
              </w:rPr>
            </w:pPr>
            <w:r w:rsidRPr="003231A9">
              <w:rPr>
                <w:rFonts w:ascii="Calibri" w:eastAsia="Arial Unicode MS" w:hAnsi="Calibri" w:cs="Calibri"/>
                <w:b/>
                <w:bCs/>
                <w:color w:val="auto"/>
                <w:lang w:val="en-AU"/>
              </w:rPr>
              <w:t>Reporting requirements</w:t>
            </w:r>
          </w:p>
          <w:p w14:paraId="396017F0" w14:textId="77777777" w:rsidR="003231A9" w:rsidRPr="003231A9" w:rsidRDefault="003231A9" w:rsidP="003231A9">
            <w:pPr>
              <w:spacing w:before="60" w:after="60" w:line="240" w:lineRule="auto"/>
              <w:rPr>
                <w:rFonts w:eastAsia="Times New Roman"/>
                <w:szCs w:val="24"/>
              </w:rPr>
            </w:pPr>
            <w:r w:rsidRPr="003231A9">
              <w:rPr>
                <w:rFonts w:eastAsia="Times New Roman"/>
                <w:szCs w:val="24"/>
              </w:rPr>
              <w:t xml:space="preserve">A Consultant will provide all deliverables and the final report at the end of the assignment. </w:t>
            </w:r>
          </w:p>
          <w:p w14:paraId="12747668" w14:textId="77777777" w:rsidR="003231A9" w:rsidRDefault="003231A9" w:rsidP="003231A9">
            <w:pPr>
              <w:spacing w:before="60" w:after="60" w:line="240" w:lineRule="auto"/>
              <w:rPr>
                <w:rFonts w:ascii="Calibri" w:eastAsia="Arial Unicode MS" w:hAnsi="Calibri" w:cs="Calibri"/>
                <w:b/>
                <w:bCs/>
                <w:color w:val="auto"/>
                <w:lang w:val="en-AU"/>
              </w:rPr>
            </w:pPr>
          </w:p>
          <w:p w14:paraId="28774F86" w14:textId="04328846" w:rsidR="003231A9" w:rsidRPr="003231A9" w:rsidRDefault="003231A9" w:rsidP="003231A9">
            <w:pPr>
              <w:spacing w:before="60" w:after="60" w:line="240" w:lineRule="auto"/>
              <w:rPr>
                <w:rFonts w:ascii="Calibri" w:eastAsia="Arial Unicode MS" w:hAnsi="Calibri" w:cs="Calibri"/>
                <w:b/>
                <w:bCs/>
                <w:color w:val="auto"/>
                <w:lang w:val="en-AU"/>
              </w:rPr>
            </w:pPr>
            <w:r w:rsidRPr="003231A9">
              <w:rPr>
                <w:rFonts w:ascii="Calibri" w:eastAsia="Arial Unicode MS" w:hAnsi="Calibri" w:cs="Calibri"/>
                <w:b/>
                <w:bCs/>
                <w:color w:val="auto"/>
                <w:lang w:val="en-AU"/>
              </w:rPr>
              <w:t>Payment schedule</w:t>
            </w:r>
          </w:p>
          <w:p w14:paraId="2CFAA36E" w14:textId="1060A2C9" w:rsidR="003231A9" w:rsidRPr="00A50275" w:rsidRDefault="003231A9" w:rsidP="0014636E">
            <w:pPr>
              <w:spacing w:before="60" w:after="60" w:line="240" w:lineRule="auto"/>
              <w:rPr>
                <w:rFonts w:eastAsia="Times New Roman"/>
                <w:szCs w:val="24"/>
              </w:rPr>
            </w:pPr>
            <w:r w:rsidRPr="003231A9">
              <w:rPr>
                <w:rFonts w:eastAsia="Times New Roman"/>
                <w:szCs w:val="24"/>
              </w:rPr>
              <w:t xml:space="preserve">The payment instalments will be delivery based after the certification of delivery of each specified </w:t>
            </w:r>
            <w:r w:rsidR="00833363">
              <w:rPr>
                <w:rFonts w:eastAsia="Times New Roman"/>
                <w:szCs w:val="24"/>
              </w:rPr>
              <w:t>d</w:t>
            </w:r>
            <w:r w:rsidR="00833363" w:rsidRPr="00833363">
              <w:rPr>
                <w:rFonts w:eastAsia="Times New Roman"/>
                <w:szCs w:val="24"/>
              </w:rPr>
              <w:t>eliverables/</w:t>
            </w:r>
            <w:r w:rsidR="00833363">
              <w:rPr>
                <w:rFonts w:eastAsia="Times New Roman"/>
                <w:szCs w:val="24"/>
              </w:rPr>
              <w:t>o</w:t>
            </w:r>
            <w:r w:rsidR="00833363" w:rsidRPr="00833363">
              <w:rPr>
                <w:rFonts w:eastAsia="Times New Roman"/>
                <w:szCs w:val="24"/>
              </w:rPr>
              <w:t>utputs</w:t>
            </w:r>
            <w:r w:rsidRPr="003231A9">
              <w:rPr>
                <w:rFonts w:eastAsia="Times New Roman"/>
                <w:szCs w:val="24"/>
              </w:rPr>
              <w:t>.</w:t>
            </w:r>
          </w:p>
        </w:tc>
      </w:tr>
    </w:tbl>
    <w:p w14:paraId="3759EB7C" w14:textId="77777777" w:rsidR="00AF38A0" w:rsidRDefault="00AF38A0"/>
    <w:tbl>
      <w:tblPr>
        <w:tblStyle w:val="TableGrid"/>
        <w:tblW w:w="9895" w:type="dxa"/>
        <w:tblLook w:val="04A0" w:firstRow="1" w:lastRow="0" w:firstColumn="1" w:lastColumn="0" w:noHBand="0" w:noVBand="1"/>
      </w:tblPr>
      <w:tblGrid>
        <w:gridCol w:w="4045"/>
        <w:gridCol w:w="2700"/>
        <w:gridCol w:w="1440"/>
        <w:gridCol w:w="1710"/>
      </w:tblGrid>
      <w:tr w:rsidR="00655D29" w14:paraId="444A3D95" w14:textId="77777777" w:rsidTr="00A9198E">
        <w:tc>
          <w:tcPr>
            <w:tcW w:w="9895" w:type="dxa"/>
            <w:gridSpan w:val="4"/>
          </w:tcPr>
          <w:p w14:paraId="3C773798" w14:textId="77777777" w:rsidR="00655D29" w:rsidRDefault="00655D29" w:rsidP="00A9198E">
            <w:pPr>
              <w:spacing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p w14:paraId="449C8940" w14:textId="77777777" w:rsidR="00655D29" w:rsidRPr="003414FC" w:rsidRDefault="00655D29" w:rsidP="00A9198E">
            <w:pPr>
              <w:spacing w:line="240" w:lineRule="auto"/>
            </w:pPr>
          </w:p>
        </w:tc>
      </w:tr>
      <w:tr w:rsidR="00655D29" w14:paraId="6721E8D0" w14:textId="77777777" w:rsidTr="00A9198E">
        <w:tc>
          <w:tcPr>
            <w:tcW w:w="4045" w:type="dxa"/>
            <w:shd w:val="clear" w:color="auto" w:fill="D9D9D9" w:themeFill="background1" w:themeFillShade="D9"/>
          </w:tcPr>
          <w:p w14:paraId="6F295518" w14:textId="77777777" w:rsidR="00655D29" w:rsidRPr="00A65E45" w:rsidRDefault="00655D29" w:rsidP="00A9198E">
            <w:pPr>
              <w:spacing w:line="240" w:lineRule="auto"/>
              <w:rPr>
                <w:rFonts w:ascii="Calibri" w:eastAsia="Arial Unicode MS" w:hAnsi="Calibri" w:cs="Calibri"/>
                <w:b/>
                <w:bCs/>
                <w:color w:val="auto"/>
                <w:lang w:val="en-AU"/>
              </w:rPr>
            </w:pPr>
          </w:p>
          <w:p w14:paraId="1FB25D00" w14:textId="77777777" w:rsidR="00655D29" w:rsidRPr="00A65E45" w:rsidRDefault="00655D29" w:rsidP="00A9198E">
            <w:pPr>
              <w:spacing w:line="240" w:lineRule="auto"/>
              <w:rPr>
                <w:rFonts w:ascii="Calibri" w:eastAsia="Arial Unicode MS" w:hAnsi="Calibri" w:cs="Calibri"/>
                <w:b/>
                <w:bCs/>
                <w:color w:val="auto"/>
                <w:lang w:val="en-AU"/>
              </w:rPr>
            </w:pPr>
            <w:r w:rsidRPr="00A65E45">
              <w:rPr>
                <w:rFonts w:ascii="Calibri" w:eastAsia="Arial Unicode MS" w:hAnsi="Calibri" w:cs="Calibri"/>
                <w:b/>
                <w:bCs/>
                <w:color w:val="auto"/>
                <w:lang w:val="en-AU"/>
              </w:rPr>
              <w:t>Tasks/Milestone:</w:t>
            </w:r>
          </w:p>
          <w:p w14:paraId="18A69667" w14:textId="77777777" w:rsidR="00655D29" w:rsidRPr="00A65E45" w:rsidRDefault="00655D29" w:rsidP="00A9198E">
            <w:pPr>
              <w:spacing w:line="240" w:lineRule="auto"/>
              <w:rPr>
                <w:b/>
                <w:bCs/>
              </w:rPr>
            </w:pPr>
          </w:p>
        </w:tc>
        <w:tc>
          <w:tcPr>
            <w:tcW w:w="2700" w:type="dxa"/>
            <w:shd w:val="clear" w:color="auto" w:fill="D9D9D9" w:themeFill="background1" w:themeFillShade="D9"/>
          </w:tcPr>
          <w:p w14:paraId="49E4B93F" w14:textId="77777777" w:rsidR="00655D29" w:rsidRPr="00A65E45" w:rsidRDefault="00655D29" w:rsidP="00A9198E">
            <w:pPr>
              <w:spacing w:line="240" w:lineRule="auto"/>
              <w:rPr>
                <w:rFonts w:ascii="Calibri" w:eastAsia="Arial Unicode MS" w:hAnsi="Calibri" w:cs="Calibri"/>
                <w:b/>
                <w:bCs/>
                <w:color w:val="auto"/>
                <w:lang w:val="en-AU"/>
              </w:rPr>
            </w:pPr>
          </w:p>
          <w:p w14:paraId="66A378D5" w14:textId="77777777" w:rsidR="00655D29" w:rsidRPr="00A65E45" w:rsidRDefault="00655D29" w:rsidP="00A9198E">
            <w:pPr>
              <w:spacing w:line="240" w:lineRule="auto"/>
              <w:rPr>
                <w:b/>
                <w:bCs/>
              </w:rPr>
            </w:pPr>
            <w:r w:rsidRPr="00A65E45">
              <w:rPr>
                <w:rFonts w:ascii="Calibri" w:eastAsia="Arial Unicode MS" w:hAnsi="Calibri" w:cs="Calibri"/>
                <w:b/>
                <w:bCs/>
                <w:color w:val="auto"/>
                <w:lang w:val="en-AU"/>
              </w:rPr>
              <w:t>Deliverables/Outputs:</w:t>
            </w:r>
          </w:p>
        </w:tc>
        <w:tc>
          <w:tcPr>
            <w:tcW w:w="1440" w:type="dxa"/>
            <w:shd w:val="clear" w:color="auto" w:fill="D9D9D9" w:themeFill="background1" w:themeFillShade="D9"/>
          </w:tcPr>
          <w:p w14:paraId="285F6024" w14:textId="77777777" w:rsidR="00655D29" w:rsidRPr="00A65E45" w:rsidRDefault="00655D29" w:rsidP="00A9198E">
            <w:pPr>
              <w:spacing w:line="240" w:lineRule="auto"/>
              <w:jc w:val="center"/>
              <w:rPr>
                <w:rFonts w:ascii="Calibri" w:eastAsia="Arial Unicode MS" w:hAnsi="Calibri" w:cs="Calibri"/>
                <w:b/>
                <w:bCs/>
                <w:color w:val="auto"/>
                <w:lang w:val="en-AU"/>
              </w:rPr>
            </w:pPr>
          </w:p>
          <w:p w14:paraId="6DF819F8" w14:textId="77777777" w:rsidR="00655D29" w:rsidRPr="00A65E45" w:rsidRDefault="00655D29" w:rsidP="00A9198E">
            <w:pPr>
              <w:spacing w:line="240" w:lineRule="auto"/>
              <w:jc w:val="center"/>
              <w:rPr>
                <w:b/>
                <w:bCs/>
              </w:rPr>
            </w:pPr>
            <w:r w:rsidRPr="00A65E45">
              <w:rPr>
                <w:rFonts w:ascii="Calibri" w:eastAsia="Arial Unicode MS" w:hAnsi="Calibri" w:cs="Calibri"/>
                <w:b/>
                <w:bCs/>
                <w:color w:val="auto"/>
                <w:lang w:val="en-AU"/>
              </w:rPr>
              <w:t>Timeline:</w:t>
            </w:r>
          </w:p>
        </w:tc>
        <w:tc>
          <w:tcPr>
            <w:tcW w:w="1710" w:type="dxa"/>
            <w:shd w:val="clear" w:color="auto" w:fill="D9D9D9" w:themeFill="background1" w:themeFillShade="D9"/>
          </w:tcPr>
          <w:p w14:paraId="62093794" w14:textId="77777777" w:rsidR="00655D29" w:rsidRPr="00A65E45" w:rsidRDefault="00655D29" w:rsidP="00A9198E">
            <w:pPr>
              <w:spacing w:line="240" w:lineRule="auto"/>
              <w:jc w:val="center"/>
              <w:rPr>
                <w:rFonts w:ascii="Calibri" w:eastAsia="Arial Unicode MS" w:hAnsi="Calibri" w:cs="Calibri"/>
                <w:b/>
                <w:bCs/>
                <w:color w:val="auto"/>
                <w:lang w:val="en-AU"/>
              </w:rPr>
            </w:pPr>
          </w:p>
          <w:p w14:paraId="16A6059B" w14:textId="77777777" w:rsidR="00655D29" w:rsidRPr="00A65E45" w:rsidRDefault="00655D29" w:rsidP="00A9198E">
            <w:pPr>
              <w:spacing w:line="240" w:lineRule="auto"/>
              <w:jc w:val="center"/>
              <w:rPr>
                <w:rFonts w:ascii="Calibri" w:eastAsia="Arial Unicode MS" w:hAnsi="Calibri" w:cs="Calibri"/>
                <w:b/>
                <w:bCs/>
                <w:color w:val="auto"/>
                <w:lang w:val="en-AU"/>
              </w:rPr>
            </w:pPr>
            <w:r w:rsidRPr="00A65E45">
              <w:rPr>
                <w:rFonts w:ascii="Calibri" w:eastAsia="Arial Unicode MS" w:hAnsi="Calibri" w:cs="Calibri"/>
                <w:b/>
                <w:bCs/>
                <w:color w:val="auto"/>
                <w:lang w:val="en-AU"/>
              </w:rPr>
              <w:t>Estimate</w:t>
            </w:r>
          </w:p>
          <w:p w14:paraId="7A31C0CE" w14:textId="77777777" w:rsidR="00655D29" w:rsidRPr="00A65E45" w:rsidRDefault="00655D29" w:rsidP="00A9198E">
            <w:pPr>
              <w:spacing w:line="240" w:lineRule="auto"/>
              <w:jc w:val="center"/>
              <w:rPr>
                <w:rFonts w:ascii="Calibri" w:eastAsia="Arial Unicode MS" w:hAnsi="Calibri" w:cs="Calibri"/>
                <w:b/>
                <w:bCs/>
                <w:color w:val="auto"/>
                <w:lang w:val="en-AU"/>
              </w:rPr>
            </w:pPr>
            <w:r w:rsidRPr="00A65E45">
              <w:rPr>
                <w:rFonts w:ascii="Calibri" w:eastAsia="Arial Unicode MS" w:hAnsi="Calibri" w:cs="Calibri"/>
                <w:b/>
                <w:bCs/>
                <w:color w:val="auto"/>
                <w:lang w:val="en-AU"/>
              </w:rPr>
              <w:t>Budget:</w:t>
            </w:r>
          </w:p>
          <w:p w14:paraId="61BE9333" w14:textId="77777777" w:rsidR="00655D29" w:rsidRPr="00A65E45" w:rsidRDefault="00655D29" w:rsidP="00A9198E">
            <w:pPr>
              <w:spacing w:line="240" w:lineRule="auto"/>
              <w:jc w:val="center"/>
              <w:rPr>
                <w:b/>
                <w:bCs/>
              </w:rPr>
            </w:pPr>
          </w:p>
        </w:tc>
      </w:tr>
      <w:tr w:rsidR="00655D29" w14:paraId="02725ABA" w14:textId="77777777" w:rsidTr="00A9198E">
        <w:tc>
          <w:tcPr>
            <w:tcW w:w="4045" w:type="dxa"/>
          </w:tcPr>
          <w:p w14:paraId="1AED52E0" w14:textId="19E29462" w:rsidR="00655D29" w:rsidRPr="003414FC" w:rsidRDefault="00035F93" w:rsidP="00A9198E">
            <w:pPr>
              <w:spacing w:line="240" w:lineRule="auto"/>
            </w:pPr>
            <w:r w:rsidRPr="00035F93">
              <w:t xml:space="preserve">Finalized work plan for information gathering and production, including literature review, interviews and </w:t>
            </w:r>
            <w:proofErr w:type="spellStart"/>
            <w:r w:rsidRPr="00035F93">
              <w:t>programme</w:t>
            </w:r>
            <w:proofErr w:type="spellEnd"/>
            <w:r w:rsidRPr="00035F93">
              <w:t xml:space="preserve"> consultations on advocacy messages</w:t>
            </w:r>
          </w:p>
        </w:tc>
        <w:tc>
          <w:tcPr>
            <w:tcW w:w="2700" w:type="dxa"/>
          </w:tcPr>
          <w:p w14:paraId="1D9110A7" w14:textId="0C4B705E" w:rsidR="00655D29" w:rsidRPr="003414FC" w:rsidRDefault="00035F93" w:rsidP="00A9198E">
            <w:pPr>
              <w:spacing w:line="240" w:lineRule="auto"/>
            </w:pPr>
            <w:r w:rsidRPr="00035F93">
              <w:t>Work plan submitted and approved by UNICEF</w:t>
            </w:r>
          </w:p>
        </w:tc>
        <w:tc>
          <w:tcPr>
            <w:tcW w:w="1440" w:type="dxa"/>
          </w:tcPr>
          <w:p w14:paraId="61388FC3" w14:textId="1739582C" w:rsidR="00655D29" w:rsidRPr="003414FC" w:rsidRDefault="00035F93" w:rsidP="00A9198E">
            <w:pPr>
              <w:spacing w:line="240" w:lineRule="auto"/>
            </w:pPr>
            <w:r w:rsidRPr="00B945F4">
              <w:rPr>
                <w:rFonts w:asciiTheme="minorHAnsi" w:eastAsiaTheme="minorEastAsia" w:hAnsiTheme="minorHAnsi" w:cstheme="minorHAnsi"/>
                <w:sz w:val="22"/>
              </w:rPr>
              <w:t xml:space="preserve">By </w:t>
            </w:r>
            <w:r>
              <w:rPr>
                <w:rFonts w:asciiTheme="minorHAnsi" w:eastAsiaTheme="minorEastAsia" w:hAnsiTheme="minorHAnsi" w:cstheme="minorHAnsi"/>
                <w:sz w:val="22"/>
              </w:rPr>
              <w:t>2</w:t>
            </w:r>
            <w:r w:rsidR="009E7C95">
              <w:rPr>
                <w:rFonts w:asciiTheme="minorHAnsi" w:eastAsiaTheme="minorEastAsia" w:hAnsiTheme="minorHAnsi" w:cstheme="minorHAnsi"/>
                <w:sz w:val="22"/>
              </w:rPr>
              <w:t>2</w:t>
            </w:r>
            <w:r>
              <w:rPr>
                <w:rFonts w:asciiTheme="minorHAnsi" w:eastAsiaTheme="minorEastAsia" w:hAnsiTheme="minorHAnsi" w:cstheme="minorHAnsi"/>
                <w:sz w:val="22"/>
              </w:rPr>
              <w:t xml:space="preserve"> </w:t>
            </w:r>
            <w:r w:rsidRPr="00B945F4">
              <w:rPr>
                <w:rFonts w:asciiTheme="minorHAnsi" w:eastAsiaTheme="minorEastAsia" w:hAnsiTheme="minorHAnsi" w:cstheme="minorHAnsi"/>
                <w:sz w:val="22"/>
              </w:rPr>
              <w:t>Ju</w:t>
            </w:r>
            <w:r>
              <w:rPr>
                <w:rFonts w:asciiTheme="minorHAnsi" w:eastAsiaTheme="minorEastAsia" w:hAnsiTheme="minorHAnsi" w:cstheme="minorHAnsi"/>
                <w:sz w:val="22"/>
              </w:rPr>
              <w:t>ly</w:t>
            </w:r>
            <w:r w:rsidRPr="00B945F4">
              <w:rPr>
                <w:rFonts w:asciiTheme="minorHAnsi" w:eastAsiaTheme="minorEastAsia" w:hAnsiTheme="minorHAnsi" w:cstheme="minorHAnsi"/>
                <w:sz w:val="22"/>
              </w:rPr>
              <w:t xml:space="preserve"> 2021</w:t>
            </w:r>
          </w:p>
        </w:tc>
        <w:tc>
          <w:tcPr>
            <w:tcW w:w="1710" w:type="dxa"/>
          </w:tcPr>
          <w:p w14:paraId="51F0156A" w14:textId="08269547" w:rsidR="00655D29" w:rsidRPr="003414FC" w:rsidRDefault="00035F93" w:rsidP="00A9198E">
            <w:pPr>
              <w:spacing w:line="240" w:lineRule="auto"/>
            </w:pPr>
            <w:r>
              <w:t>20% of the budget</w:t>
            </w:r>
          </w:p>
        </w:tc>
      </w:tr>
      <w:tr w:rsidR="00655D29" w14:paraId="7006DCDE" w14:textId="77777777" w:rsidTr="00A9198E">
        <w:tc>
          <w:tcPr>
            <w:tcW w:w="4045" w:type="dxa"/>
          </w:tcPr>
          <w:p w14:paraId="780F5587" w14:textId="7F7DEEA2" w:rsidR="00655D29" w:rsidRPr="003414FC" w:rsidRDefault="00035F93" w:rsidP="00A9198E">
            <w:pPr>
              <w:spacing w:line="240" w:lineRule="auto"/>
            </w:pPr>
            <w:r w:rsidRPr="00035F93">
              <w:t xml:space="preserve">An outline document highlighting the milestones and achievements of UNICEF presence in Turkmenistan since its first days based on the literature, interviews and </w:t>
            </w:r>
            <w:proofErr w:type="spellStart"/>
            <w:r w:rsidRPr="00035F93">
              <w:t>programme</w:t>
            </w:r>
            <w:proofErr w:type="spellEnd"/>
            <w:r w:rsidRPr="00035F93">
              <w:t xml:space="preserve"> inputs on advocacy focus</w:t>
            </w:r>
          </w:p>
        </w:tc>
        <w:tc>
          <w:tcPr>
            <w:tcW w:w="2700" w:type="dxa"/>
          </w:tcPr>
          <w:p w14:paraId="7F511294" w14:textId="68175AE6" w:rsidR="00655D29" w:rsidRPr="003414FC" w:rsidRDefault="009E7C95" w:rsidP="00A9198E">
            <w:pPr>
              <w:spacing w:line="240" w:lineRule="auto"/>
            </w:pPr>
            <w:r w:rsidRPr="009E7C95">
              <w:t>The outline document approved by UNICEF</w:t>
            </w:r>
          </w:p>
        </w:tc>
        <w:tc>
          <w:tcPr>
            <w:tcW w:w="1440" w:type="dxa"/>
          </w:tcPr>
          <w:p w14:paraId="6442B651" w14:textId="58A64141" w:rsidR="00655D29" w:rsidRPr="003414FC" w:rsidRDefault="009E7C95" w:rsidP="00A9198E">
            <w:pPr>
              <w:spacing w:line="240" w:lineRule="auto"/>
            </w:pPr>
            <w:r w:rsidRPr="009E7C95">
              <w:t>By 31 July 2021</w:t>
            </w:r>
          </w:p>
        </w:tc>
        <w:tc>
          <w:tcPr>
            <w:tcW w:w="1710" w:type="dxa"/>
          </w:tcPr>
          <w:p w14:paraId="6E5939AF" w14:textId="06E4D83F" w:rsidR="00655D29" w:rsidRPr="003414FC" w:rsidRDefault="009E7C95" w:rsidP="00A9198E">
            <w:pPr>
              <w:spacing w:line="240" w:lineRule="auto"/>
            </w:pPr>
            <w:r>
              <w:t>20% of the budget</w:t>
            </w:r>
          </w:p>
        </w:tc>
      </w:tr>
      <w:tr w:rsidR="00655D29" w14:paraId="693CC09D" w14:textId="77777777" w:rsidTr="00A9198E">
        <w:tc>
          <w:tcPr>
            <w:tcW w:w="4045" w:type="dxa"/>
          </w:tcPr>
          <w:p w14:paraId="525418DF" w14:textId="7C7E9971" w:rsidR="00655D29" w:rsidRPr="003414FC" w:rsidRDefault="009E7C95" w:rsidP="00A9198E">
            <w:pPr>
              <w:spacing w:line="240" w:lineRule="auto"/>
            </w:pPr>
            <w:r w:rsidRPr="009E7C95">
              <w:t>Draft document on the history of UNICEF work in Turkmenistan well written, including at least 10 case studies</w:t>
            </w:r>
          </w:p>
        </w:tc>
        <w:tc>
          <w:tcPr>
            <w:tcW w:w="2700" w:type="dxa"/>
          </w:tcPr>
          <w:p w14:paraId="7F4B1653" w14:textId="53869B59" w:rsidR="00655D29" w:rsidRPr="003414FC" w:rsidRDefault="009E7C95" w:rsidP="00A9198E">
            <w:pPr>
              <w:spacing w:line="240" w:lineRule="auto"/>
            </w:pPr>
            <w:r w:rsidRPr="009E7C95">
              <w:t>Draft publication approved by UNICEF</w:t>
            </w:r>
          </w:p>
        </w:tc>
        <w:tc>
          <w:tcPr>
            <w:tcW w:w="1440" w:type="dxa"/>
          </w:tcPr>
          <w:p w14:paraId="7EA45CE5" w14:textId="2A517DF7" w:rsidR="00655D29" w:rsidRPr="003414FC" w:rsidRDefault="009E7C95" w:rsidP="00A9198E">
            <w:pPr>
              <w:spacing w:line="240" w:lineRule="auto"/>
            </w:pPr>
            <w:r w:rsidRPr="009E7C95">
              <w:t>By 30 August 2021</w:t>
            </w:r>
          </w:p>
        </w:tc>
        <w:tc>
          <w:tcPr>
            <w:tcW w:w="1710" w:type="dxa"/>
          </w:tcPr>
          <w:p w14:paraId="028CA904" w14:textId="14488A9C" w:rsidR="00655D29" w:rsidRPr="003414FC" w:rsidRDefault="009E7C95" w:rsidP="00A9198E">
            <w:pPr>
              <w:spacing w:line="240" w:lineRule="auto"/>
            </w:pPr>
            <w:r>
              <w:t>20% of the budget</w:t>
            </w:r>
          </w:p>
        </w:tc>
      </w:tr>
      <w:tr w:rsidR="00655D29" w14:paraId="1DCADE41" w14:textId="77777777" w:rsidTr="00A9198E">
        <w:tc>
          <w:tcPr>
            <w:tcW w:w="4045" w:type="dxa"/>
          </w:tcPr>
          <w:p w14:paraId="5AB62FC9" w14:textId="610521CA" w:rsidR="00655D29" w:rsidRPr="003414FC" w:rsidRDefault="009E7C95" w:rsidP="00A9198E">
            <w:pPr>
              <w:spacing w:line="240" w:lineRule="auto"/>
            </w:pPr>
            <w:r w:rsidRPr="009E7C95">
              <w:t>Finalized and edited scenarios for the media package based on the research and the approved draft document</w:t>
            </w:r>
          </w:p>
        </w:tc>
        <w:tc>
          <w:tcPr>
            <w:tcW w:w="2700" w:type="dxa"/>
          </w:tcPr>
          <w:p w14:paraId="1A542051" w14:textId="28901D6D" w:rsidR="00655D29" w:rsidRPr="003414FC" w:rsidRDefault="009E7C95" w:rsidP="00A9198E">
            <w:pPr>
              <w:spacing w:line="240" w:lineRule="auto"/>
            </w:pPr>
            <w:r w:rsidRPr="009E7C95">
              <w:t>Finalized scenarios and the media package</w:t>
            </w:r>
          </w:p>
        </w:tc>
        <w:tc>
          <w:tcPr>
            <w:tcW w:w="1440" w:type="dxa"/>
          </w:tcPr>
          <w:p w14:paraId="2868854A" w14:textId="5914A2EC" w:rsidR="00655D29" w:rsidRPr="003414FC" w:rsidRDefault="009E7C95" w:rsidP="00A9198E">
            <w:pPr>
              <w:spacing w:line="240" w:lineRule="auto"/>
            </w:pPr>
            <w:r w:rsidRPr="009E7C95">
              <w:t>By 30 August 2021</w:t>
            </w:r>
          </w:p>
        </w:tc>
        <w:tc>
          <w:tcPr>
            <w:tcW w:w="1710" w:type="dxa"/>
          </w:tcPr>
          <w:p w14:paraId="4CCE34C2" w14:textId="35BDFF2C" w:rsidR="00655D29" w:rsidRPr="003414FC" w:rsidRDefault="009E7C95" w:rsidP="00A9198E">
            <w:pPr>
              <w:spacing w:line="240" w:lineRule="auto"/>
            </w:pPr>
            <w:r>
              <w:t>30% of the budget</w:t>
            </w:r>
          </w:p>
        </w:tc>
      </w:tr>
      <w:tr w:rsidR="00655D29" w14:paraId="2574E898" w14:textId="77777777" w:rsidTr="00A9198E">
        <w:tc>
          <w:tcPr>
            <w:tcW w:w="4045" w:type="dxa"/>
          </w:tcPr>
          <w:p w14:paraId="0ABD2D0C" w14:textId="62CBBF74" w:rsidR="00655D29" w:rsidRPr="003414FC" w:rsidRDefault="009E7C95" w:rsidP="00A9198E">
            <w:pPr>
              <w:spacing w:line="240" w:lineRule="auto"/>
            </w:pPr>
            <w:r w:rsidRPr="009E7C95">
              <w:t>Inputs for the media package consisting of video, digital and print materials</w:t>
            </w:r>
          </w:p>
        </w:tc>
        <w:tc>
          <w:tcPr>
            <w:tcW w:w="2700" w:type="dxa"/>
          </w:tcPr>
          <w:p w14:paraId="1675D923" w14:textId="3DD0ADE2" w:rsidR="00655D29" w:rsidRPr="003414FC" w:rsidRDefault="009E7C95" w:rsidP="00A9198E">
            <w:pPr>
              <w:spacing w:line="240" w:lineRule="auto"/>
            </w:pPr>
            <w:r w:rsidRPr="009E7C95">
              <w:t>The final media package approved</w:t>
            </w:r>
          </w:p>
        </w:tc>
        <w:tc>
          <w:tcPr>
            <w:tcW w:w="1440" w:type="dxa"/>
          </w:tcPr>
          <w:p w14:paraId="4217DAE6" w14:textId="76783598" w:rsidR="00655D29" w:rsidRPr="003414FC" w:rsidRDefault="009E7C95" w:rsidP="00A9198E">
            <w:pPr>
              <w:spacing w:line="240" w:lineRule="auto"/>
            </w:pPr>
            <w:r w:rsidRPr="009E7C95">
              <w:t>By 30 September 2021</w:t>
            </w:r>
          </w:p>
        </w:tc>
        <w:tc>
          <w:tcPr>
            <w:tcW w:w="1710" w:type="dxa"/>
          </w:tcPr>
          <w:p w14:paraId="28357276" w14:textId="0C10F8BA" w:rsidR="00655D29" w:rsidRPr="003414FC" w:rsidRDefault="009E7C95" w:rsidP="00A9198E">
            <w:pPr>
              <w:spacing w:line="240" w:lineRule="auto"/>
            </w:pPr>
            <w:r>
              <w:t>30% of the budget</w:t>
            </w:r>
          </w:p>
        </w:tc>
      </w:tr>
      <w:tr w:rsidR="002844A9" w:rsidRPr="00A65E45" w14:paraId="5EE05461" w14:textId="77777777" w:rsidTr="008A013F">
        <w:trPr>
          <w:trHeight w:val="1107"/>
        </w:trPr>
        <w:tc>
          <w:tcPr>
            <w:tcW w:w="9895" w:type="dxa"/>
            <w:gridSpan w:val="4"/>
            <w:tcBorders>
              <w:top w:val="single" w:sz="4" w:space="0" w:color="auto"/>
              <w:left w:val="single" w:sz="4" w:space="0" w:color="auto"/>
              <w:bottom w:val="single" w:sz="4" w:space="0" w:color="auto"/>
              <w:right w:val="single" w:sz="4" w:space="0" w:color="auto"/>
            </w:tcBorders>
          </w:tcPr>
          <w:p w14:paraId="18A1ED5A" w14:textId="77777777" w:rsidR="002844A9" w:rsidRPr="003231A9" w:rsidRDefault="002844A9" w:rsidP="002844A9">
            <w:pPr>
              <w:spacing w:before="60" w:after="60" w:line="240" w:lineRule="auto"/>
              <w:rPr>
                <w:rFonts w:ascii="Calibri" w:eastAsia="Arial Unicode MS" w:hAnsi="Calibri" w:cs="Calibri"/>
                <w:b/>
                <w:bCs/>
                <w:color w:val="auto"/>
                <w:lang w:val="en-AU"/>
              </w:rPr>
            </w:pPr>
            <w:r w:rsidRPr="003231A9">
              <w:rPr>
                <w:rFonts w:ascii="Calibri" w:eastAsia="Arial Unicode MS" w:hAnsi="Calibri" w:cs="Calibri"/>
                <w:b/>
                <w:bCs/>
                <w:color w:val="auto"/>
                <w:lang w:val="en-AU"/>
              </w:rPr>
              <w:lastRenderedPageBreak/>
              <w:t>Work arrangements</w:t>
            </w:r>
          </w:p>
          <w:p w14:paraId="171B44E7" w14:textId="77777777" w:rsidR="002844A9" w:rsidRPr="003231A9" w:rsidRDefault="002844A9" w:rsidP="002844A9">
            <w:pPr>
              <w:pStyle w:val="titleTOR"/>
              <w:numPr>
                <w:ilvl w:val="0"/>
                <w:numId w:val="0"/>
              </w:numPr>
              <w:spacing w:before="120" w:after="0" w:line="276" w:lineRule="auto"/>
              <w:jc w:val="both"/>
              <w:rPr>
                <w:rFonts w:ascii="Arial" w:hAnsi="Arial"/>
                <w:b w:val="0"/>
                <w:color w:val="000000"/>
                <w:sz w:val="20"/>
                <w:lang w:val="en-US"/>
              </w:rPr>
            </w:pPr>
            <w:r w:rsidRPr="003231A9">
              <w:rPr>
                <w:rFonts w:ascii="Arial" w:hAnsi="Arial"/>
                <w:b w:val="0"/>
                <w:color w:val="000000"/>
                <w:sz w:val="20"/>
                <w:lang w:val="en-US"/>
              </w:rPr>
              <w:t xml:space="preserve">Day to day supervision and guidance as well as content to be adapted will be provided by UNICEF Turkmenistan Communication Officer. UNICEF will regularly communicate with the Consultant and provide guidance on branding, usability/readability of the publications as well as feedback from national partners, and all other necessary support to achieve objectives of the consultancy. </w:t>
            </w:r>
          </w:p>
          <w:p w14:paraId="05F3390D" w14:textId="77777777" w:rsidR="002844A9" w:rsidRPr="002844A9" w:rsidRDefault="002844A9" w:rsidP="00A9198E">
            <w:pPr>
              <w:spacing w:line="240" w:lineRule="auto"/>
              <w:rPr>
                <w:rFonts w:ascii="Calibri" w:eastAsia="Arial Unicode MS" w:hAnsi="Calibri" w:cs="Calibri"/>
                <w:b/>
                <w:color w:val="auto"/>
              </w:rPr>
            </w:pPr>
          </w:p>
        </w:tc>
      </w:tr>
      <w:tr w:rsidR="00A41458" w:rsidRPr="00A65E45" w14:paraId="20161D86" w14:textId="77777777" w:rsidTr="002844A9">
        <w:trPr>
          <w:trHeight w:val="1107"/>
        </w:trPr>
        <w:tc>
          <w:tcPr>
            <w:tcW w:w="4045" w:type="dxa"/>
            <w:tcBorders>
              <w:top w:val="single" w:sz="4" w:space="0" w:color="auto"/>
              <w:left w:val="single" w:sz="4" w:space="0" w:color="auto"/>
              <w:bottom w:val="single" w:sz="4" w:space="0" w:color="auto"/>
              <w:right w:val="single" w:sz="4" w:space="0" w:color="auto"/>
            </w:tcBorders>
          </w:tcPr>
          <w:p w14:paraId="2250B0C4" w14:textId="77777777" w:rsidR="00A41458" w:rsidRDefault="00A41458" w:rsidP="00A9198E">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p w14:paraId="0C9A20CE" w14:textId="77777777" w:rsidR="00A41458" w:rsidRPr="003414FC" w:rsidRDefault="00A41458" w:rsidP="00A9198E">
            <w:pPr>
              <w:spacing w:line="240" w:lineRule="auto"/>
            </w:pPr>
          </w:p>
          <w:p w14:paraId="0FE92AE6" w14:textId="28724E00" w:rsidR="00A41458" w:rsidRPr="007613B3" w:rsidRDefault="0032018A" w:rsidP="00A9198E">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2" w:name="Check6"/>
            <w:r>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A41458" w:rsidRPr="007613B3">
              <w:rPr>
                <w:rFonts w:ascii="Calibri" w:eastAsia="Arial Unicode MS" w:hAnsi="Calibri" w:cs="Calibri"/>
                <w:color w:val="auto"/>
                <w:lang w:val="en-AU"/>
              </w:rPr>
              <w:t xml:space="preserve"> Bachelors   </w:t>
            </w:r>
            <w:r w:rsidR="00A41458" w:rsidRPr="007613B3">
              <w:rPr>
                <w:rFonts w:ascii="Calibri" w:eastAsia="Arial Unicode MS" w:hAnsi="Calibri" w:cs="Calibri"/>
                <w:color w:val="auto"/>
                <w:lang w:val="en-AU"/>
              </w:rPr>
              <w:fldChar w:fldCharType="begin">
                <w:ffData>
                  <w:name w:val="Check7"/>
                  <w:enabled/>
                  <w:calcOnExit w:val="0"/>
                  <w:checkBox>
                    <w:sizeAuto/>
                    <w:default w:val="0"/>
                  </w:checkBox>
                </w:ffData>
              </w:fldChar>
            </w:r>
            <w:r w:rsidR="00A41458" w:rsidRPr="007613B3">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sidR="00A41458" w:rsidRPr="007613B3">
              <w:rPr>
                <w:rFonts w:ascii="Calibri" w:eastAsia="Arial Unicode MS" w:hAnsi="Calibri" w:cs="Calibri"/>
                <w:color w:val="auto"/>
                <w:lang w:val="en-AU"/>
              </w:rPr>
              <w:fldChar w:fldCharType="end"/>
            </w:r>
            <w:r w:rsidR="00A41458" w:rsidRPr="007613B3">
              <w:rPr>
                <w:rFonts w:ascii="Calibri" w:eastAsia="Arial Unicode MS" w:hAnsi="Calibri" w:cs="Calibri"/>
                <w:color w:val="auto"/>
                <w:lang w:val="en-AU"/>
              </w:rPr>
              <w:t xml:space="preserve"> Masters   </w:t>
            </w:r>
            <w:r w:rsidR="00A41458"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00A41458" w:rsidRPr="007613B3">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sidR="00A41458" w:rsidRPr="007613B3">
              <w:rPr>
                <w:rFonts w:ascii="Calibri" w:eastAsia="Arial Unicode MS" w:hAnsi="Calibri" w:cs="Calibri"/>
                <w:color w:val="auto"/>
                <w:lang w:val="en-AU"/>
              </w:rPr>
              <w:fldChar w:fldCharType="end"/>
            </w:r>
            <w:r w:rsidR="00A41458" w:rsidRPr="007613B3">
              <w:rPr>
                <w:rFonts w:ascii="Calibri" w:eastAsia="Arial Unicode MS" w:hAnsi="Calibri" w:cs="Calibri"/>
                <w:color w:val="auto"/>
                <w:lang w:val="en-AU"/>
              </w:rPr>
              <w:t xml:space="preserve"> PhD   </w:t>
            </w:r>
            <w:r w:rsidR="00A41458"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A41458" w:rsidRPr="007613B3">
              <w:rPr>
                <w:rFonts w:ascii="Calibri" w:eastAsia="Arial Unicode MS" w:hAnsi="Calibri" w:cs="Calibri"/>
                <w:color w:val="auto"/>
                <w:lang w:val="en-AU"/>
              </w:rPr>
              <w:instrText xml:space="preserve"> FORMCHECKBOX </w:instrText>
            </w:r>
            <w:r w:rsidR="000772DA">
              <w:rPr>
                <w:rFonts w:ascii="Calibri" w:eastAsia="Arial Unicode MS" w:hAnsi="Calibri" w:cs="Calibri"/>
                <w:color w:val="auto"/>
                <w:lang w:val="en-AU"/>
              </w:rPr>
            </w:r>
            <w:r w:rsidR="000772DA">
              <w:rPr>
                <w:rFonts w:ascii="Calibri" w:eastAsia="Arial Unicode MS" w:hAnsi="Calibri" w:cs="Calibri"/>
                <w:color w:val="auto"/>
                <w:lang w:val="en-AU"/>
              </w:rPr>
              <w:fldChar w:fldCharType="separate"/>
            </w:r>
            <w:r w:rsidR="00A41458" w:rsidRPr="007613B3">
              <w:rPr>
                <w:rFonts w:ascii="Calibri" w:eastAsia="Arial Unicode MS" w:hAnsi="Calibri" w:cs="Calibri"/>
                <w:color w:val="auto"/>
                <w:lang w:val="en-AU"/>
              </w:rPr>
              <w:fldChar w:fldCharType="end"/>
            </w:r>
            <w:r w:rsidR="00A41458" w:rsidRPr="007613B3">
              <w:rPr>
                <w:rFonts w:ascii="Calibri" w:eastAsia="Arial Unicode MS" w:hAnsi="Calibri" w:cs="Calibri"/>
                <w:color w:val="auto"/>
                <w:lang w:val="en-AU"/>
              </w:rPr>
              <w:t xml:space="preserve"> Other  </w:t>
            </w:r>
          </w:p>
          <w:p w14:paraId="7F1F6589" w14:textId="77777777" w:rsidR="00A41458" w:rsidRPr="007613B3" w:rsidRDefault="00A41458" w:rsidP="00A9198E">
            <w:pPr>
              <w:spacing w:before="60" w:line="240" w:lineRule="auto"/>
              <w:rPr>
                <w:rFonts w:ascii="Calibri" w:eastAsia="Arial Unicode MS" w:hAnsi="Calibri" w:cs="Calibri"/>
                <w:color w:val="auto"/>
                <w:lang w:val="en-AU"/>
              </w:rPr>
            </w:pPr>
          </w:p>
          <w:p w14:paraId="72E815E5" w14:textId="442725F3" w:rsidR="00A41458" w:rsidRDefault="00A41458" w:rsidP="00A9198E">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3CB576E2" w14:textId="77777777" w:rsidR="00F63B09" w:rsidRDefault="00F63B09" w:rsidP="00A9198E">
            <w:pPr>
              <w:spacing w:line="240" w:lineRule="auto"/>
              <w:rPr>
                <w:rFonts w:ascii="Calibri" w:eastAsia="Arial Unicode MS" w:hAnsi="Calibri" w:cs="Calibri"/>
                <w:color w:val="auto"/>
                <w:lang w:val="en-AU"/>
              </w:rPr>
            </w:pPr>
          </w:p>
          <w:p w14:paraId="72872A82" w14:textId="4C9CF6D0" w:rsidR="00F63B09" w:rsidRPr="003414FC" w:rsidRDefault="00F63B09" w:rsidP="00A9198E">
            <w:pPr>
              <w:spacing w:line="240" w:lineRule="auto"/>
            </w:pPr>
          </w:p>
        </w:tc>
        <w:tc>
          <w:tcPr>
            <w:tcW w:w="5850" w:type="dxa"/>
            <w:gridSpan w:val="3"/>
            <w:tcBorders>
              <w:top w:val="single" w:sz="4" w:space="0" w:color="auto"/>
              <w:left w:val="single" w:sz="4" w:space="0" w:color="auto"/>
              <w:bottom w:val="single" w:sz="4" w:space="0" w:color="auto"/>
              <w:right w:val="single" w:sz="4" w:space="0" w:color="auto"/>
            </w:tcBorders>
          </w:tcPr>
          <w:p w14:paraId="4676B33D" w14:textId="77777777" w:rsidR="00A41458" w:rsidRDefault="00A41458" w:rsidP="00A9198E">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p w14:paraId="52C7084C" w14:textId="77777777" w:rsidR="00A41458" w:rsidRDefault="00A41458" w:rsidP="00A9198E">
            <w:pPr>
              <w:spacing w:line="240" w:lineRule="auto"/>
              <w:rPr>
                <w:rFonts w:ascii="Calibri" w:eastAsia="Arial Unicode MS" w:hAnsi="Calibri" w:cs="Calibri"/>
                <w:b/>
                <w:color w:val="auto"/>
                <w:lang w:val="en-AU"/>
              </w:rPr>
            </w:pPr>
          </w:p>
          <w:p w14:paraId="1E71F8DB" w14:textId="77777777" w:rsidR="00AF6C78" w:rsidRPr="00AF6C78" w:rsidRDefault="00AF6C78" w:rsidP="00AF6C78">
            <w:pPr>
              <w:spacing w:line="240" w:lineRule="auto"/>
              <w:rPr>
                <w:rFonts w:eastAsia="Times New Roman"/>
                <w:szCs w:val="24"/>
              </w:rPr>
            </w:pPr>
            <w:r w:rsidRPr="00AF6C78">
              <w:rPr>
                <w:rFonts w:ascii="Calibri" w:eastAsia="Arial Unicode MS" w:hAnsi="Calibri" w:cs="Calibri"/>
                <w:b/>
                <w:color w:val="auto"/>
                <w:lang w:val="en-AU"/>
              </w:rPr>
              <w:t>-</w:t>
            </w:r>
            <w:r w:rsidRPr="00AF6C78">
              <w:rPr>
                <w:rFonts w:ascii="Calibri" w:eastAsia="Arial Unicode MS" w:hAnsi="Calibri" w:cs="Calibri"/>
                <w:b/>
                <w:color w:val="auto"/>
                <w:lang w:val="en-AU"/>
              </w:rPr>
              <w:tab/>
            </w:r>
            <w:r w:rsidRPr="00AF6C78">
              <w:rPr>
                <w:rFonts w:eastAsia="Times New Roman"/>
                <w:szCs w:val="24"/>
              </w:rPr>
              <w:t>University degree or equivalent academic degree in Linguistics/Communication or Journalism;</w:t>
            </w:r>
          </w:p>
          <w:p w14:paraId="1564A4AE" w14:textId="77777777" w:rsidR="00AF6C78" w:rsidRPr="00AF6C78" w:rsidRDefault="00AF6C78" w:rsidP="00AF6C78">
            <w:pPr>
              <w:spacing w:line="240" w:lineRule="auto"/>
              <w:rPr>
                <w:rFonts w:eastAsia="Times New Roman"/>
                <w:szCs w:val="24"/>
              </w:rPr>
            </w:pPr>
            <w:r w:rsidRPr="00AF6C78">
              <w:rPr>
                <w:rFonts w:eastAsia="Times New Roman"/>
                <w:szCs w:val="24"/>
              </w:rPr>
              <w:t>-</w:t>
            </w:r>
            <w:r w:rsidRPr="00AF6C78">
              <w:rPr>
                <w:rFonts w:eastAsia="Times New Roman"/>
                <w:szCs w:val="24"/>
              </w:rPr>
              <w:tab/>
              <w:t xml:space="preserve">Samples of published/production work in books, publications, magazines, video, TV, radio or digital sphere/social media; </w:t>
            </w:r>
          </w:p>
          <w:p w14:paraId="510E66C0" w14:textId="77777777" w:rsidR="00AF6C78" w:rsidRPr="00AF6C78" w:rsidRDefault="00AF6C78" w:rsidP="00AF6C78">
            <w:pPr>
              <w:spacing w:line="240" w:lineRule="auto"/>
              <w:rPr>
                <w:rFonts w:eastAsia="Times New Roman"/>
                <w:szCs w:val="24"/>
              </w:rPr>
            </w:pPr>
            <w:r w:rsidRPr="00AF6C78">
              <w:rPr>
                <w:rFonts w:eastAsia="Times New Roman"/>
                <w:szCs w:val="24"/>
              </w:rPr>
              <w:t>-</w:t>
            </w:r>
            <w:r w:rsidRPr="00AF6C78">
              <w:rPr>
                <w:rFonts w:eastAsia="Times New Roman"/>
                <w:szCs w:val="24"/>
              </w:rPr>
              <w:tab/>
              <w:t>Minimum 3 years’ experience in the field of reporting/writing/communication/journalism;</w:t>
            </w:r>
          </w:p>
          <w:p w14:paraId="3088AECA" w14:textId="687F30A5" w:rsidR="00AF6C78" w:rsidRPr="00AF6C78" w:rsidRDefault="00AF6C78" w:rsidP="00AF6C78">
            <w:pPr>
              <w:spacing w:line="240" w:lineRule="auto"/>
              <w:rPr>
                <w:rFonts w:eastAsia="Times New Roman"/>
                <w:szCs w:val="24"/>
              </w:rPr>
            </w:pPr>
            <w:r w:rsidRPr="00AF6C78">
              <w:rPr>
                <w:rFonts w:eastAsia="Times New Roman"/>
                <w:szCs w:val="24"/>
              </w:rPr>
              <w:t>-</w:t>
            </w:r>
            <w:r w:rsidRPr="00AF6C78">
              <w:rPr>
                <w:rFonts w:eastAsia="Times New Roman"/>
                <w:szCs w:val="24"/>
              </w:rPr>
              <w:tab/>
              <w:t xml:space="preserve">Excellent writing skills in </w:t>
            </w:r>
            <w:r>
              <w:rPr>
                <w:rFonts w:eastAsia="Times New Roman"/>
                <w:szCs w:val="24"/>
              </w:rPr>
              <w:t>English</w:t>
            </w:r>
            <w:r w:rsidRPr="00AF6C78">
              <w:rPr>
                <w:rFonts w:eastAsia="Times New Roman"/>
                <w:szCs w:val="24"/>
              </w:rPr>
              <w:t xml:space="preserve"> and Russian, </w:t>
            </w:r>
            <w:r>
              <w:rPr>
                <w:rFonts w:eastAsia="Times New Roman"/>
                <w:szCs w:val="24"/>
              </w:rPr>
              <w:t>Turkmen</w:t>
            </w:r>
            <w:r w:rsidRPr="00AF6C78">
              <w:rPr>
                <w:rFonts w:eastAsia="Times New Roman"/>
                <w:szCs w:val="24"/>
              </w:rPr>
              <w:t xml:space="preserve"> is an asset.</w:t>
            </w:r>
          </w:p>
          <w:p w14:paraId="06A64976" w14:textId="77777777" w:rsidR="00AF6C78" w:rsidRPr="00AF6C78" w:rsidRDefault="00AF6C78" w:rsidP="00AF6C78">
            <w:pPr>
              <w:spacing w:line="240" w:lineRule="auto"/>
              <w:rPr>
                <w:rFonts w:eastAsia="Times New Roman"/>
                <w:szCs w:val="24"/>
              </w:rPr>
            </w:pPr>
            <w:r w:rsidRPr="00AF6C78">
              <w:rPr>
                <w:rFonts w:eastAsia="Times New Roman"/>
                <w:szCs w:val="24"/>
              </w:rPr>
              <w:t>-</w:t>
            </w:r>
            <w:r w:rsidRPr="00AF6C78">
              <w:rPr>
                <w:rFonts w:eastAsia="Times New Roman"/>
                <w:szCs w:val="24"/>
              </w:rPr>
              <w:tab/>
              <w:t>Familiarity with UNICEF’s work in Turkmenistan;</w:t>
            </w:r>
          </w:p>
          <w:p w14:paraId="38961CFB" w14:textId="345CF1AF" w:rsidR="00A41458" w:rsidRPr="00AF6C78" w:rsidRDefault="00AF6C78" w:rsidP="00AF6C78">
            <w:pPr>
              <w:spacing w:line="240" w:lineRule="auto"/>
              <w:rPr>
                <w:rFonts w:eastAsia="Times New Roman"/>
                <w:szCs w:val="24"/>
              </w:rPr>
            </w:pPr>
            <w:r w:rsidRPr="00AF6C78">
              <w:rPr>
                <w:rFonts w:eastAsia="Times New Roman"/>
                <w:szCs w:val="24"/>
              </w:rPr>
              <w:t>-</w:t>
            </w:r>
            <w:r w:rsidRPr="00AF6C78">
              <w:rPr>
                <w:rFonts w:eastAsia="Times New Roman"/>
                <w:szCs w:val="24"/>
              </w:rPr>
              <w:tab/>
              <w:t>Solid communication skills and ability to coordinate the work of video editor, graphic designer, editor, digital consultant.</w:t>
            </w:r>
          </w:p>
          <w:p w14:paraId="71E2AD0F" w14:textId="77777777" w:rsidR="00A41458" w:rsidRPr="003414FC" w:rsidRDefault="00A41458" w:rsidP="00A9198E">
            <w:pPr>
              <w:spacing w:line="240" w:lineRule="auto"/>
            </w:pPr>
          </w:p>
        </w:tc>
      </w:tr>
      <w:tr w:rsidR="002844A9" w:rsidRPr="00A65E45" w14:paraId="5F445DCB" w14:textId="77777777" w:rsidTr="002844A9">
        <w:trPr>
          <w:trHeight w:val="1107"/>
        </w:trPr>
        <w:tc>
          <w:tcPr>
            <w:tcW w:w="4045" w:type="dxa"/>
            <w:tcBorders>
              <w:top w:val="single" w:sz="4" w:space="0" w:color="auto"/>
              <w:left w:val="single" w:sz="4" w:space="0" w:color="auto"/>
              <w:bottom w:val="single" w:sz="4" w:space="0" w:color="auto"/>
              <w:right w:val="single" w:sz="4" w:space="0" w:color="auto"/>
            </w:tcBorders>
          </w:tcPr>
          <w:p w14:paraId="339709AA" w14:textId="4003D0F7" w:rsidR="002844A9" w:rsidRPr="007613B3" w:rsidRDefault="002844A9" w:rsidP="00A9198E">
            <w:pPr>
              <w:spacing w:line="240" w:lineRule="auto"/>
              <w:rPr>
                <w:rFonts w:ascii="Calibri" w:eastAsia="Arial Unicode MS" w:hAnsi="Calibri" w:cs="Calibri"/>
                <w:b/>
                <w:color w:val="auto"/>
                <w:lang w:val="en-AU"/>
              </w:rPr>
            </w:pPr>
            <w:r w:rsidRPr="002844A9">
              <w:rPr>
                <w:rFonts w:ascii="Calibri" w:eastAsia="Arial Unicode MS" w:hAnsi="Calibri" w:cs="Calibri"/>
                <w:b/>
                <w:color w:val="auto"/>
                <w:lang w:val="en-AU"/>
              </w:rPr>
              <w:t>Technical Proposal</w:t>
            </w:r>
          </w:p>
        </w:tc>
        <w:tc>
          <w:tcPr>
            <w:tcW w:w="5850" w:type="dxa"/>
            <w:gridSpan w:val="3"/>
            <w:tcBorders>
              <w:top w:val="single" w:sz="4" w:space="0" w:color="auto"/>
              <w:left w:val="single" w:sz="4" w:space="0" w:color="auto"/>
              <w:bottom w:val="single" w:sz="4" w:space="0" w:color="auto"/>
              <w:right w:val="single" w:sz="4" w:space="0" w:color="auto"/>
            </w:tcBorders>
          </w:tcPr>
          <w:p w14:paraId="43A5E3FD" w14:textId="77777777" w:rsidR="002844A9" w:rsidRPr="002844A9" w:rsidRDefault="002844A9" w:rsidP="002844A9">
            <w:pPr>
              <w:spacing w:line="240" w:lineRule="auto"/>
              <w:rPr>
                <w:rFonts w:eastAsia="Times New Roman"/>
                <w:szCs w:val="24"/>
              </w:rPr>
            </w:pPr>
            <w:r w:rsidRPr="002844A9">
              <w:rPr>
                <w:rFonts w:eastAsia="Times New Roman"/>
                <w:szCs w:val="24"/>
              </w:rPr>
              <w:t>The technical proposal should include</w:t>
            </w:r>
          </w:p>
          <w:p w14:paraId="4E284324" w14:textId="77777777" w:rsidR="002844A9" w:rsidRPr="002844A9" w:rsidRDefault="002844A9" w:rsidP="002844A9">
            <w:pPr>
              <w:spacing w:line="240" w:lineRule="auto"/>
              <w:rPr>
                <w:rFonts w:eastAsia="Times New Roman"/>
                <w:szCs w:val="24"/>
              </w:rPr>
            </w:pPr>
            <w:r w:rsidRPr="002844A9">
              <w:rPr>
                <w:rFonts w:eastAsia="Times New Roman"/>
                <w:szCs w:val="24"/>
              </w:rPr>
              <w:t>-</w:t>
            </w:r>
            <w:r w:rsidRPr="002844A9">
              <w:rPr>
                <w:rFonts w:eastAsia="Times New Roman"/>
                <w:szCs w:val="24"/>
              </w:rPr>
              <w:tab/>
              <w:t>A cover letter, including</w:t>
            </w:r>
          </w:p>
          <w:p w14:paraId="79A49AEF" w14:textId="77777777" w:rsidR="002844A9" w:rsidRPr="002844A9" w:rsidRDefault="002844A9" w:rsidP="002844A9">
            <w:pPr>
              <w:spacing w:line="240" w:lineRule="auto"/>
              <w:rPr>
                <w:rFonts w:eastAsia="Times New Roman"/>
                <w:szCs w:val="24"/>
              </w:rPr>
            </w:pPr>
            <w:r w:rsidRPr="002844A9">
              <w:rPr>
                <w:rFonts w:eastAsia="Times New Roman"/>
                <w:szCs w:val="24"/>
              </w:rPr>
              <w:t>o</w:t>
            </w:r>
            <w:r w:rsidRPr="002844A9">
              <w:rPr>
                <w:rFonts w:eastAsia="Times New Roman"/>
                <w:szCs w:val="24"/>
              </w:rPr>
              <w:tab/>
              <w:t xml:space="preserve">Assessment of suitability vis-à-vis the requirements of this </w:t>
            </w:r>
            <w:proofErr w:type="spellStart"/>
            <w:r w:rsidRPr="002844A9">
              <w:rPr>
                <w:rFonts w:eastAsia="Times New Roman"/>
                <w:szCs w:val="24"/>
              </w:rPr>
              <w:t>ToR</w:t>
            </w:r>
            <w:proofErr w:type="spellEnd"/>
            <w:r w:rsidRPr="002844A9">
              <w:rPr>
                <w:rFonts w:eastAsia="Times New Roman"/>
                <w:szCs w:val="24"/>
              </w:rPr>
              <w:t>;</w:t>
            </w:r>
          </w:p>
          <w:p w14:paraId="3AD8C161" w14:textId="77777777" w:rsidR="002844A9" w:rsidRPr="002844A9" w:rsidRDefault="002844A9" w:rsidP="002844A9">
            <w:pPr>
              <w:spacing w:line="240" w:lineRule="auto"/>
              <w:rPr>
                <w:rFonts w:eastAsia="Times New Roman"/>
                <w:szCs w:val="24"/>
              </w:rPr>
            </w:pPr>
            <w:r w:rsidRPr="002844A9">
              <w:rPr>
                <w:rFonts w:eastAsia="Times New Roman"/>
                <w:szCs w:val="24"/>
              </w:rPr>
              <w:t>o</w:t>
            </w:r>
            <w:r w:rsidRPr="002844A9">
              <w:rPr>
                <w:rFonts w:eastAsia="Times New Roman"/>
                <w:szCs w:val="24"/>
              </w:rPr>
              <w:tab/>
              <w:t>A summary of experience in similar assignments;</w:t>
            </w:r>
          </w:p>
          <w:p w14:paraId="287F7823" w14:textId="77777777" w:rsidR="002844A9" w:rsidRPr="002844A9" w:rsidRDefault="002844A9" w:rsidP="002844A9">
            <w:pPr>
              <w:spacing w:line="240" w:lineRule="auto"/>
              <w:rPr>
                <w:rFonts w:eastAsia="Times New Roman"/>
                <w:szCs w:val="24"/>
              </w:rPr>
            </w:pPr>
            <w:r w:rsidRPr="002844A9">
              <w:rPr>
                <w:rFonts w:eastAsia="Times New Roman"/>
                <w:szCs w:val="24"/>
              </w:rPr>
              <w:t>o</w:t>
            </w:r>
            <w:r w:rsidRPr="002844A9">
              <w:rPr>
                <w:rFonts w:eastAsia="Times New Roman"/>
                <w:szCs w:val="24"/>
              </w:rPr>
              <w:tab/>
              <w:t>Links to/attachments of examples of similar work;</w:t>
            </w:r>
          </w:p>
          <w:p w14:paraId="3D309EA6" w14:textId="77777777" w:rsidR="002844A9" w:rsidRPr="002844A9" w:rsidRDefault="002844A9" w:rsidP="002844A9">
            <w:pPr>
              <w:spacing w:line="240" w:lineRule="auto"/>
              <w:rPr>
                <w:rFonts w:eastAsia="Times New Roman"/>
                <w:szCs w:val="24"/>
              </w:rPr>
            </w:pPr>
            <w:r w:rsidRPr="002844A9">
              <w:rPr>
                <w:rFonts w:eastAsia="Times New Roman"/>
                <w:szCs w:val="24"/>
              </w:rPr>
              <w:t>-</w:t>
            </w:r>
            <w:r w:rsidRPr="002844A9">
              <w:rPr>
                <w:rFonts w:eastAsia="Times New Roman"/>
                <w:szCs w:val="24"/>
              </w:rPr>
              <w:tab/>
              <w:t xml:space="preserve">CV of the candidate </w:t>
            </w:r>
          </w:p>
          <w:p w14:paraId="445A8245" w14:textId="0D43082C" w:rsidR="002844A9" w:rsidRPr="007613B3" w:rsidRDefault="002844A9" w:rsidP="002844A9">
            <w:pPr>
              <w:spacing w:line="240" w:lineRule="auto"/>
              <w:rPr>
                <w:rFonts w:ascii="Calibri" w:eastAsia="Arial Unicode MS" w:hAnsi="Calibri" w:cs="Calibri"/>
                <w:b/>
                <w:color w:val="auto"/>
                <w:lang w:val="en-AU"/>
              </w:rPr>
            </w:pPr>
            <w:r w:rsidRPr="002844A9">
              <w:rPr>
                <w:rFonts w:eastAsia="Times New Roman"/>
                <w:szCs w:val="24"/>
              </w:rPr>
              <w:t>-</w:t>
            </w:r>
            <w:r w:rsidRPr="002844A9">
              <w:rPr>
                <w:rFonts w:eastAsia="Times New Roman"/>
                <w:szCs w:val="24"/>
              </w:rPr>
              <w:tab/>
              <w:t>References</w:t>
            </w:r>
          </w:p>
        </w:tc>
      </w:tr>
      <w:tr w:rsidR="002844A9" w:rsidRPr="00A65E45" w14:paraId="5345140C" w14:textId="77777777" w:rsidTr="002844A9">
        <w:trPr>
          <w:trHeight w:val="1107"/>
        </w:trPr>
        <w:tc>
          <w:tcPr>
            <w:tcW w:w="4045" w:type="dxa"/>
            <w:tcBorders>
              <w:top w:val="single" w:sz="4" w:space="0" w:color="auto"/>
              <w:left w:val="single" w:sz="4" w:space="0" w:color="auto"/>
              <w:bottom w:val="single" w:sz="4" w:space="0" w:color="auto"/>
              <w:right w:val="single" w:sz="4" w:space="0" w:color="auto"/>
            </w:tcBorders>
          </w:tcPr>
          <w:p w14:paraId="2E6E4133" w14:textId="3D2C2B01" w:rsidR="002844A9" w:rsidRPr="002844A9" w:rsidRDefault="002844A9" w:rsidP="00A9198E">
            <w:pPr>
              <w:spacing w:line="240" w:lineRule="auto"/>
              <w:rPr>
                <w:rFonts w:ascii="Calibri" w:eastAsia="Arial Unicode MS" w:hAnsi="Calibri" w:cs="Calibri"/>
                <w:b/>
                <w:color w:val="auto"/>
                <w:lang w:val="en-AU"/>
              </w:rPr>
            </w:pPr>
            <w:r w:rsidRPr="002844A9">
              <w:rPr>
                <w:rFonts w:ascii="Calibri" w:eastAsia="Arial Unicode MS" w:hAnsi="Calibri" w:cs="Calibri"/>
                <w:b/>
                <w:color w:val="auto"/>
                <w:lang w:val="en-AU"/>
              </w:rPr>
              <w:t>Financial Proposal</w:t>
            </w:r>
          </w:p>
        </w:tc>
        <w:tc>
          <w:tcPr>
            <w:tcW w:w="5850" w:type="dxa"/>
            <w:gridSpan w:val="3"/>
            <w:tcBorders>
              <w:top w:val="single" w:sz="4" w:space="0" w:color="auto"/>
              <w:left w:val="single" w:sz="4" w:space="0" w:color="auto"/>
              <w:bottom w:val="single" w:sz="4" w:space="0" w:color="auto"/>
              <w:right w:val="single" w:sz="4" w:space="0" w:color="auto"/>
            </w:tcBorders>
          </w:tcPr>
          <w:p w14:paraId="56C80A6E" w14:textId="264DEBD6" w:rsidR="002844A9" w:rsidRPr="002844A9" w:rsidRDefault="002844A9" w:rsidP="002844A9">
            <w:pPr>
              <w:spacing w:line="240" w:lineRule="auto"/>
              <w:rPr>
                <w:rFonts w:eastAsia="Times New Roman"/>
                <w:szCs w:val="24"/>
              </w:rPr>
            </w:pPr>
            <w:r w:rsidRPr="002844A9">
              <w:rPr>
                <w:rFonts w:eastAsia="Times New Roman"/>
                <w:szCs w:val="24"/>
              </w:rPr>
              <w:t>Candidates are expected to submit a lump sum financial proposal in USD to complete the entire assignment based on the terms of reference.  The lump sum should cover deliverables indicated above for the period of 10 July-30 September 2021. A successful candidate will receive the fee under this TOR to his/her individual USD account in Turkmenistan</w:t>
            </w:r>
          </w:p>
        </w:tc>
      </w:tr>
      <w:tr w:rsidR="002844A9" w:rsidRPr="00A65E45" w14:paraId="05EE9A83" w14:textId="77777777" w:rsidTr="00A9198E">
        <w:trPr>
          <w:trHeight w:val="1107"/>
        </w:trPr>
        <w:tc>
          <w:tcPr>
            <w:tcW w:w="4045" w:type="dxa"/>
            <w:tcBorders>
              <w:top w:val="single" w:sz="4" w:space="0" w:color="auto"/>
              <w:left w:val="single" w:sz="4" w:space="0" w:color="auto"/>
              <w:right w:val="single" w:sz="4" w:space="0" w:color="auto"/>
            </w:tcBorders>
          </w:tcPr>
          <w:p w14:paraId="4DB98DC7" w14:textId="0AFA5CB1" w:rsidR="002844A9" w:rsidRPr="002844A9" w:rsidRDefault="002844A9" w:rsidP="00A9198E">
            <w:pPr>
              <w:spacing w:line="240" w:lineRule="auto"/>
              <w:rPr>
                <w:rFonts w:ascii="Calibri" w:eastAsia="Arial Unicode MS" w:hAnsi="Calibri" w:cs="Calibri"/>
                <w:b/>
                <w:color w:val="auto"/>
                <w:lang w:val="en-AU"/>
              </w:rPr>
            </w:pPr>
            <w:r w:rsidRPr="002844A9">
              <w:rPr>
                <w:rFonts w:ascii="Calibri" w:eastAsia="Arial Unicode MS" w:hAnsi="Calibri" w:cs="Calibri"/>
                <w:b/>
                <w:color w:val="auto"/>
                <w:lang w:val="en-AU"/>
              </w:rPr>
              <w:t>Criteria for the evaluation of proposals</w:t>
            </w:r>
          </w:p>
        </w:tc>
        <w:tc>
          <w:tcPr>
            <w:tcW w:w="5850" w:type="dxa"/>
            <w:gridSpan w:val="3"/>
            <w:tcBorders>
              <w:top w:val="single" w:sz="4" w:space="0" w:color="auto"/>
              <w:left w:val="single" w:sz="4" w:space="0" w:color="auto"/>
              <w:right w:val="single" w:sz="4" w:space="0" w:color="auto"/>
            </w:tcBorders>
          </w:tcPr>
          <w:p w14:paraId="6966F6F0" w14:textId="77777777" w:rsidR="002844A9" w:rsidRPr="002844A9" w:rsidRDefault="002844A9" w:rsidP="002844A9">
            <w:pPr>
              <w:spacing w:line="240" w:lineRule="auto"/>
              <w:rPr>
                <w:rFonts w:eastAsia="Times New Roman"/>
                <w:szCs w:val="24"/>
              </w:rPr>
            </w:pPr>
            <w:r w:rsidRPr="002844A9">
              <w:rPr>
                <w:rFonts w:eastAsia="Times New Roman"/>
                <w:szCs w:val="24"/>
              </w:rPr>
              <w:t>Each proposal will be assessed first on its technical merits and subsequently on its price. In making the final decision, UNICEF considers both technical and financial aspects to ensure best value for money.  The Evaluation Team first reviews the technical aspects of the offer based on the following:</w:t>
            </w:r>
          </w:p>
          <w:p w14:paraId="2E1C5684" w14:textId="77777777" w:rsidR="002844A9" w:rsidRPr="002844A9" w:rsidRDefault="002844A9" w:rsidP="002844A9">
            <w:pPr>
              <w:spacing w:line="240" w:lineRule="auto"/>
              <w:rPr>
                <w:rFonts w:eastAsia="Times New Roman"/>
                <w:szCs w:val="24"/>
              </w:rPr>
            </w:pPr>
            <w:r w:rsidRPr="002844A9">
              <w:rPr>
                <w:rFonts w:eastAsia="Times New Roman"/>
                <w:szCs w:val="24"/>
              </w:rPr>
              <w:t>-</w:t>
            </w:r>
            <w:r w:rsidRPr="002844A9">
              <w:rPr>
                <w:rFonts w:eastAsia="Times New Roman"/>
                <w:szCs w:val="24"/>
              </w:rPr>
              <w:tab/>
              <w:t>University degree or equivalent academic degree in Linguistics/Communication or Journalism-</w:t>
            </w:r>
            <w:r w:rsidRPr="002844A9">
              <w:rPr>
                <w:rFonts w:eastAsia="Times New Roman"/>
                <w:b/>
                <w:bCs/>
                <w:szCs w:val="24"/>
              </w:rPr>
              <w:t>5 points</w:t>
            </w:r>
          </w:p>
          <w:p w14:paraId="102FCD10" w14:textId="77777777" w:rsidR="002844A9" w:rsidRPr="002844A9" w:rsidRDefault="002844A9" w:rsidP="002844A9">
            <w:pPr>
              <w:spacing w:line="240" w:lineRule="auto"/>
              <w:rPr>
                <w:rFonts w:eastAsia="Times New Roman"/>
                <w:szCs w:val="24"/>
              </w:rPr>
            </w:pPr>
            <w:r w:rsidRPr="002844A9">
              <w:rPr>
                <w:rFonts w:eastAsia="Times New Roman"/>
                <w:szCs w:val="24"/>
              </w:rPr>
              <w:t>-</w:t>
            </w:r>
            <w:r w:rsidRPr="002844A9">
              <w:rPr>
                <w:rFonts w:eastAsia="Times New Roman"/>
                <w:szCs w:val="24"/>
              </w:rPr>
              <w:tab/>
              <w:t>Samples of published/production work in books, publications, magazines, video, TV, radio or digital sphere/social media-</w:t>
            </w:r>
            <w:r w:rsidRPr="002844A9">
              <w:rPr>
                <w:rFonts w:eastAsia="Times New Roman"/>
                <w:b/>
                <w:bCs/>
                <w:szCs w:val="24"/>
              </w:rPr>
              <w:t>15 points</w:t>
            </w:r>
          </w:p>
          <w:p w14:paraId="14DAA0C1" w14:textId="77777777" w:rsidR="002844A9" w:rsidRPr="002844A9" w:rsidRDefault="002844A9" w:rsidP="002844A9">
            <w:pPr>
              <w:spacing w:line="240" w:lineRule="auto"/>
              <w:rPr>
                <w:rFonts w:eastAsia="Times New Roman"/>
                <w:szCs w:val="24"/>
              </w:rPr>
            </w:pPr>
            <w:r w:rsidRPr="002844A9">
              <w:rPr>
                <w:rFonts w:eastAsia="Times New Roman"/>
                <w:szCs w:val="24"/>
              </w:rPr>
              <w:t>-</w:t>
            </w:r>
            <w:r w:rsidRPr="002844A9">
              <w:rPr>
                <w:rFonts w:eastAsia="Times New Roman"/>
                <w:szCs w:val="24"/>
              </w:rPr>
              <w:tab/>
              <w:t>Minimum 3 years’ experience in the field of reporting/writing/communication/journalism-</w:t>
            </w:r>
            <w:r w:rsidRPr="002844A9">
              <w:rPr>
                <w:rFonts w:eastAsia="Times New Roman"/>
                <w:b/>
                <w:bCs/>
                <w:szCs w:val="24"/>
              </w:rPr>
              <w:t>10 points</w:t>
            </w:r>
          </w:p>
          <w:p w14:paraId="2255B999" w14:textId="071E2705" w:rsidR="002844A9" w:rsidRPr="002844A9" w:rsidRDefault="002844A9" w:rsidP="002844A9">
            <w:pPr>
              <w:spacing w:line="240" w:lineRule="auto"/>
              <w:rPr>
                <w:rFonts w:eastAsia="Times New Roman"/>
                <w:szCs w:val="24"/>
              </w:rPr>
            </w:pPr>
            <w:r w:rsidRPr="002844A9">
              <w:rPr>
                <w:rFonts w:eastAsia="Times New Roman"/>
                <w:szCs w:val="24"/>
              </w:rPr>
              <w:t>-</w:t>
            </w:r>
            <w:r w:rsidRPr="002844A9">
              <w:rPr>
                <w:rFonts w:eastAsia="Times New Roman"/>
                <w:szCs w:val="24"/>
              </w:rPr>
              <w:tab/>
              <w:t xml:space="preserve">Excellent writing skills in </w:t>
            </w:r>
            <w:r>
              <w:rPr>
                <w:rFonts w:eastAsia="Times New Roman"/>
                <w:szCs w:val="24"/>
              </w:rPr>
              <w:t>English</w:t>
            </w:r>
            <w:r w:rsidRPr="002844A9">
              <w:rPr>
                <w:rFonts w:eastAsia="Times New Roman"/>
                <w:szCs w:val="24"/>
              </w:rPr>
              <w:t xml:space="preserve"> and Russian, </w:t>
            </w:r>
            <w:r>
              <w:rPr>
                <w:rFonts w:eastAsia="Times New Roman"/>
                <w:szCs w:val="24"/>
              </w:rPr>
              <w:t>Turkmen</w:t>
            </w:r>
            <w:r w:rsidRPr="002844A9">
              <w:rPr>
                <w:rFonts w:eastAsia="Times New Roman"/>
                <w:szCs w:val="24"/>
              </w:rPr>
              <w:t xml:space="preserve"> is an asset-</w:t>
            </w:r>
            <w:r w:rsidRPr="002844A9">
              <w:rPr>
                <w:rFonts w:eastAsia="Times New Roman"/>
                <w:b/>
                <w:bCs/>
                <w:szCs w:val="24"/>
              </w:rPr>
              <w:t>20 points</w:t>
            </w:r>
          </w:p>
          <w:p w14:paraId="4DBDDFDF" w14:textId="2ACB9FF1" w:rsidR="002844A9" w:rsidRPr="002844A9" w:rsidRDefault="002844A9" w:rsidP="002844A9">
            <w:pPr>
              <w:spacing w:line="240" w:lineRule="auto"/>
              <w:rPr>
                <w:rFonts w:eastAsia="Times New Roman"/>
                <w:b/>
                <w:bCs/>
                <w:szCs w:val="24"/>
              </w:rPr>
            </w:pPr>
            <w:r w:rsidRPr="002844A9">
              <w:rPr>
                <w:rFonts w:eastAsia="Times New Roman"/>
                <w:szCs w:val="24"/>
              </w:rPr>
              <w:t>-</w:t>
            </w:r>
            <w:r w:rsidRPr="002844A9">
              <w:rPr>
                <w:rFonts w:eastAsia="Times New Roman"/>
                <w:szCs w:val="24"/>
              </w:rPr>
              <w:tab/>
              <w:t>Familiarity with UNICEF’s work in Turkmenistan-</w:t>
            </w:r>
            <w:r>
              <w:rPr>
                <w:rFonts w:eastAsia="Times New Roman"/>
                <w:szCs w:val="24"/>
              </w:rPr>
              <w:t xml:space="preserve"> </w:t>
            </w:r>
            <w:r w:rsidRPr="002844A9">
              <w:rPr>
                <w:rFonts w:eastAsia="Times New Roman"/>
                <w:b/>
                <w:bCs/>
                <w:szCs w:val="24"/>
              </w:rPr>
              <w:t>5 points</w:t>
            </w:r>
          </w:p>
          <w:p w14:paraId="17D4E457" w14:textId="77777777" w:rsidR="002844A9" w:rsidRDefault="002844A9" w:rsidP="002844A9">
            <w:pPr>
              <w:spacing w:line="240" w:lineRule="auto"/>
              <w:rPr>
                <w:rFonts w:eastAsia="Times New Roman"/>
                <w:b/>
                <w:bCs/>
                <w:szCs w:val="24"/>
              </w:rPr>
            </w:pPr>
            <w:r w:rsidRPr="002844A9">
              <w:rPr>
                <w:rFonts w:eastAsia="Times New Roman"/>
                <w:szCs w:val="24"/>
              </w:rPr>
              <w:lastRenderedPageBreak/>
              <w:t>-</w:t>
            </w:r>
            <w:r w:rsidRPr="002844A9">
              <w:rPr>
                <w:rFonts w:eastAsia="Times New Roman"/>
                <w:szCs w:val="24"/>
              </w:rPr>
              <w:tab/>
              <w:t>Solid communication skills and ability to coordinate the work of graphic designer, editor, digital consultant-</w:t>
            </w:r>
            <w:r w:rsidRPr="002844A9">
              <w:rPr>
                <w:rFonts w:eastAsia="Times New Roman"/>
                <w:b/>
                <w:bCs/>
                <w:szCs w:val="24"/>
              </w:rPr>
              <w:t>5 points</w:t>
            </w:r>
          </w:p>
          <w:p w14:paraId="4512175E" w14:textId="77777777" w:rsidR="002844A9" w:rsidRDefault="002844A9" w:rsidP="002844A9">
            <w:pPr>
              <w:spacing w:line="240" w:lineRule="auto"/>
              <w:rPr>
                <w:rFonts w:eastAsia="Times New Roman"/>
                <w:b/>
                <w:bCs/>
                <w:szCs w:val="24"/>
              </w:rPr>
            </w:pPr>
          </w:p>
          <w:p w14:paraId="6217546D" w14:textId="77777777" w:rsidR="002844A9" w:rsidRPr="00535CD3" w:rsidRDefault="002844A9" w:rsidP="002844A9">
            <w:pPr>
              <w:jc w:val="both"/>
              <w:rPr>
                <w:rFonts w:eastAsia="Times New Roman" w:cstheme="minorHAnsi"/>
                <w:lang w:eastAsia="en-GB"/>
              </w:rPr>
            </w:pPr>
            <w:r>
              <w:rPr>
                <w:rFonts w:eastAsia="Times New Roman" w:cstheme="minorHAnsi"/>
                <w:lang w:eastAsia="en-GB"/>
              </w:rPr>
              <w:t xml:space="preserve">The minimum passing score for the technical evaluation is 40. The technical evaluation will be </w:t>
            </w:r>
            <w:r w:rsidRPr="00535CD3">
              <w:rPr>
                <w:rFonts w:eastAsia="Times New Roman" w:cstheme="minorHAnsi"/>
                <w:lang w:eastAsia="en-GB"/>
              </w:rPr>
              <w:t>followed by review of the financial offers of the technically compliant candidates. The proposal obtaining the highest overall score after adding the scores for the technical and financial proposals together, that offers the best value for money will be recommended for award of the contract.</w:t>
            </w:r>
          </w:p>
          <w:p w14:paraId="6280E56E" w14:textId="340ECD4A" w:rsidR="002844A9" w:rsidRPr="002844A9" w:rsidRDefault="002844A9" w:rsidP="002844A9">
            <w:pPr>
              <w:spacing w:line="240" w:lineRule="auto"/>
              <w:rPr>
                <w:rFonts w:eastAsia="Times New Roman"/>
                <w:szCs w:val="24"/>
              </w:rPr>
            </w:pPr>
            <w:r w:rsidRPr="00535CD3">
              <w:rPr>
                <w:rFonts w:eastAsia="Times New Roman" w:cstheme="minorHAnsi"/>
                <w:lang w:eastAsia="en-GB"/>
              </w:rPr>
              <w:t xml:space="preserve">A cumulative </w:t>
            </w:r>
            <w:r>
              <w:rPr>
                <w:rFonts w:eastAsia="Times New Roman" w:cstheme="minorHAnsi"/>
                <w:lang w:eastAsia="en-GB"/>
              </w:rPr>
              <w:t>a</w:t>
            </w:r>
            <w:r w:rsidRPr="00535CD3">
              <w:rPr>
                <w:rFonts w:eastAsia="Times New Roman" w:cstheme="minorHAnsi"/>
                <w:lang w:eastAsia="en-GB"/>
              </w:rPr>
              <w:t>nalysis will be used to evaluate and award proposals.  The evaluation criteria associated with this TOR is split between technical and financial as follows:</w:t>
            </w:r>
            <w:r>
              <w:rPr>
                <w:rFonts w:eastAsia="Times New Roman" w:cstheme="minorHAnsi"/>
                <w:lang w:eastAsia="en-GB"/>
              </w:rPr>
              <w:t xml:space="preserve"> 70</w:t>
            </w:r>
            <w:r w:rsidRPr="00535CD3">
              <w:rPr>
                <w:rFonts w:eastAsia="Times New Roman" w:cstheme="minorHAnsi"/>
                <w:lang w:eastAsia="en-GB"/>
              </w:rPr>
              <w:t>% Technical</w:t>
            </w:r>
            <w:r>
              <w:rPr>
                <w:rFonts w:eastAsia="Times New Roman" w:cstheme="minorHAnsi"/>
                <w:lang w:eastAsia="en-GB"/>
              </w:rPr>
              <w:t>, 30</w:t>
            </w:r>
            <w:r w:rsidRPr="00535CD3">
              <w:rPr>
                <w:rFonts w:eastAsia="Times New Roman" w:cstheme="minorHAnsi"/>
                <w:lang w:eastAsia="en-GB"/>
              </w:rPr>
              <w:t>% Financial</w:t>
            </w:r>
            <w:r>
              <w:rPr>
                <w:rFonts w:eastAsia="Times New Roman" w:cstheme="minorHAnsi"/>
                <w:lang w:eastAsia="en-GB"/>
              </w:rPr>
              <w:t>, 1</w:t>
            </w:r>
            <w:r w:rsidRPr="00535CD3">
              <w:rPr>
                <w:rFonts w:eastAsia="Times New Roman" w:cstheme="minorHAnsi"/>
                <w:lang w:eastAsia="en-GB"/>
              </w:rPr>
              <w:t>00 % Total</w:t>
            </w:r>
          </w:p>
        </w:tc>
      </w:tr>
    </w:tbl>
    <w:p w14:paraId="734E6A4B" w14:textId="19B3B052" w:rsidR="00A41458" w:rsidRDefault="00A41458"/>
    <w:p w14:paraId="5CD8BA4C" w14:textId="77777777" w:rsidR="002844A9" w:rsidRPr="003231A9" w:rsidRDefault="002844A9" w:rsidP="002844A9">
      <w:pPr>
        <w:pStyle w:val="Heading1"/>
        <w:rPr>
          <w:rFonts w:ascii="Calibri" w:eastAsia="Arial Unicode MS" w:hAnsi="Calibri" w:cs="Calibri"/>
          <w:bCs/>
          <w:kern w:val="0"/>
          <w:sz w:val="20"/>
          <w:szCs w:val="20"/>
          <w:lang w:val="en-AU"/>
        </w:rPr>
      </w:pPr>
      <w:r w:rsidRPr="003231A9">
        <w:rPr>
          <w:rFonts w:ascii="Calibri" w:eastAsia="Arial Unicode MS" w:hAnsi="Calibri" w:cs="Calibri"/>
          <w:bCs/>
          <w:kern w:val="0"/>
          <w:sz w:val="20"/>
          <w:szCs w:val="20"/>
          <w:lang w:val="en-AU"/>
        </w:rPr>
        <w:t>General Terms and Conditions</w:t>
      </w:r>
    </w:p>
    <w:p w14:paraId="016FDE70" w14:textId="77777777" w:rsidR="002844A9" w:rsidRDefault="002844A9" w:rsidP="002844A9">
      <w:pPr>
        <w:jc w:val="both"/>
        <w:rPr>
          <w:rFonts w:eastAsiaTheme="minorEastAsia" w:cstheme="minorHAnsi"/>
        </w:rPr>
      </w:pPr>
    </w:p>
    <w:p w14:paraId="3BB52696" w14:textId="77777777" w:rsidR="002844A9" w:rsidRPr="005C4A7A" w:rsidRDefault="002844A9" w:rsidP="002844A9">
      <w:pPr>
        <w:jc w:val="both"/>
        <w:rPr>
          <w:rFonts w:eastAsiaTheme="minorEastAsia" w:cstheme="minorHAnsi"/>
        </w:rPr>
      </w:pPr>
      <w:r w:rsidRPr="005C4A7A">
        <w:rPr>
          <w:rFonts w:eastAsiaTheme="minorEastAsia" w:cstheme="min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2F960F4D" w14:textId="77777777" w:rsidR="002844A9" w:rsidRDefault="002844A9" w:rsidP="002844A9">
      <w:pPr>
        <w:jc w:val="both"/>
        <w:rPr>
          <w:rFonts w:eastAsiaTheme="minorEastAsia" w:cstheme="minorHAnsi"/>
        </w:rPr>
      </w:pPr>
      <w:r w:rsidRPr="005C4A7A">
        <w:rPr>
          <w:rFonts w:eastAsiaTheme="minorEastAsia" w:cstheme="minorHAnsi"/>
        </w:rPr>
        <w:t>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books and websites.</w:t>
      </w:r>
    </w:p>
    <w:p w14:paraId="2AD5D4DD" w14:textId="77777777" w:rsidR="002844A9" w:rsidRPr="00DC21B3" w:rsidRDefault="002844A9" w:rsidP="002844A9">
      <w:pPr>
        <w:jc w:val="both"/>
        <w:rPr>
          <w:rFonts w:asciiTheme="majorHAnsi" w:eastAsia="Times New Roman" w:hAnsiTheme="majorHAnsi" w:cstheme="majorHAnsi"/>
          <w:sz w:val="24"/>
          <w:szCs w:val="24"/>
          <w:lang w:eastAsia="en-GB"/>
        </w:rPr>
      </w:pPr>
      <w:r w:rsidRPr="00170501">
        <w:rPr>
          <w:rFonts w:eastAsiaTheme="minorEastAsia" w:cstheme="minorHAnsi"/>
        </w:rPr>
        <w:t xml:space="preserve">In the event of unsatisfactory performance, UNICEF reserves the right to terminate the Agreement. In case of partially satisfactory performance, such as serious delays causing the negative impact on meeting the </w:t>
      </w:r>
      <w:proofErr w:type="spellStart"/>
      <w:r w:rsidRPr="00170501">
        <w:rPr>
          <w:rFonts w:eastAsiaTheme="minorEastAsia" w:cstheme="minorHAnsi"/>
        </w:rPr>
        <w:t>programme</w:t>
      </w:r>
      <w:proofErr w:type="spellEnd"/>
      <w:r w:rsidRPr="00170501">
        <w:rPr>
          <w:rFonts w:eastAsiaTheme="minorEastAsia" w:cstheme="minorHAnsi"/>
        </w:rPr>
        <w:t xml:space="preserve"> objectives, low quality or insufficient depth and/or scope of the assignment completion, UNICEF is entitled to decrease the payment by the range</w:t>
      </w:r>
      <w:r w:rsidRPr="00DC21B3">
        <w:rPr>
          <w:rFonts w:asciiTheme="majorHAnsi" w:eastAsia="Times New Roman" w:hAnsiTheme="majorHAnsi" w:cstheme="majorHAnsi"/>
          <w:sz w:val="24"/>
          <w:szCs w:val="24"/>
          <w:lang w:eastAsia="en-GB"/>
        </w:rPr>
        <w:t xml:space="preserve"> </w:t>
      </w:r>
      <w:r w:rsidRPr="00170501">
        <w:rPr>
          <w:rFonts w:eastAsiaTheme="minorEastAsia" w:cstheme="minorHAnsi"/>
        </w:rPr>
        <w:t>from 30% to 50% of the contract value as decided jointly by the Contract Supervisor and Operations Manager.</w:t>
      </w:r>
    </w:p>
    <w:p w14:paraId="0408789E" w14:textId="5407F919" w:rsidR="00AF6C78" w:rsidRDefault="00AF6C78"/>
    <w:p w14:paraId="50EC1AA8" w14:textId="0CC7926D" w:rsidR="00AF6C78" w:rsidRDefault="00AF6C78"/>
    <w:p w14:paraId="5F490895" w14:textId="77777777" w:rsidR="00AF6C78" w:rsidRDefault="00AF6C78"/>
    <w:p w14:paraId="2EF913AD" w14:textId="736D04F4" w:rsidR="00E2448D" w:rsidRPr="00E2448D" w:rsidRDefault="00E2448D">
      <w:pPr>
        <w:rPr>
          <w:b/>
          <w:bCs/>
          <w:color w:val="auto"/>
        </w:rPr>
      </w:pPr>
      <w:r w:rsidRPr="00E2448D">
        <w:rPr>
          <w:b/>
          <w:bCs/>
          <w:color w:val="auto"/>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97A7EA8" w14:textId="77777777" w:rsidR="00E2448D" w:rsidRDefault="00E2448D">
      <w:pPr>
        <w:rPr>
          <w:b/>
          <w:bCs/>
          <w:color w:val="FF0000"/>
        </w:rPr>
      </w:pPr>
    </w:p>
    <w:p w14:paraId="036A2CB7" w14:textId="1B420DA6" w:rsidR="00383D1A" w:rsidRDefault="00383D1A">
      <w:pPr>
        <w:rPr>
          <w:b/>
          <w:bCs/>
          <w:color w:val="FF0000"/>
        </w:rPr>
      </w:pPr>
    </w:p>
    <w:p w14:paraId="50125060" w14:textId="69A2601E" w:rsidR="00383D1A" w:rsidRDefault="00383D1A">
      <w:pPr>
        <w:rPr>
          <w:b/>
          <w:bCs/>
          <w:color w:val="FF0000"/>
        </w:rPr>
      </w:pPr>
    </w:p>
    <w:p w14:paraId="154E58A9" w14:textId="77777777" w:rsidR="00383D1A" w:rsidRDefault="00383D1A">
      <w:pPr>
        <w:rPr>
          <w:b/>
          <w:bCs/>
          <w:color w:val="FF0000"/>
        </w:rPr>
      </w:pPr>
    </w:p>
    <w:p w14:paraId="208BA363" w14:textId="77777777" w:rsidR="00A41458" w:rsidRDefault="00A41458"/>
    <w:p w14:paraId="6A9C38E1" w14:textId="77777777" w:rsidR="007613B3" w:rsidRPr="007613B3" w:rsidRDefault="007613B3" w:rsidP="00B6480A">
      <w:pPr>
        <w:rPr>
          <w:rFonts w:ascii="Calibri" w:eastAsia="Arial Unicode MS" w:hAnsi="Calibri" w:cs="Calibri"/>
        </w:rPr>
      </w:pPr>
    </w:p>
    <w:sectPr w:rsidR="007613B3" w:rsidRPr="007613B3"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324C2" w14:textId="77777777" w:rsidR="000772DA" w:rsidRDefault="000772DA" w:rsidP="000C3710">
      <w:r>
        <w:separator/>
      </w:r>
    </w:p>
  </w:endnote>
  <w:endnote w:type="continuationSeparator" w:id="0">
    <w:p w14:paraId="053A04CF" w14:textId="77777777" w:rsidR="000772DA" w:rsidRDefault="000772D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0E6DCA" w:rsidRPr="00A71AB3" w:rsidRDefault="000E6DCA"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0E6DCA" w:rsidRPr="00B02636" w:rsidRDefault="000E6DCA" w:rsidP="009247BD">
                          <w:pPr>
                            <w:pStyle w:val="AddressText"/>
                            <w:spacing w:line="240" w:lineRule="auto"/>
                            <w:rPr>
                              <w:color w:val="00B0F0"/>
                            </w:rPr>
                          </w:pPr>
                        </w:p>
                        <w:p w14:paraId="1124A3CE" w14:textId="77777777" w:rsidR="000E6DCA" w:rsidRPr="00A0375D" w:rsidRDefault="000E6DCA" w:rsidP="009247BD">
                          <w:pPr>
                            <w:pStyle w:val="AddressText"/>
                            <w:spacing w:line="240" w:lineRule="auto"/>
                            <w:rPr>
                              <w:color w:val="000000"/>
                            </w:rPr>
                          </w:pPr>
                        </w:p>
                        <w:p w14:paraId="45ACDF57" w14:textId="77777777" w:rsidR="000E6DCA" w:rsidRPr="00A0375D" w:rsidRDefault="000E6DCA" w:rsidP="009247BD">
                          <w:pPr>
                            <w:pStyle w:val="AddressText"/>
                            <w:spacing w:line="240" w:lineRule="auto"/>
                            <w:rPr>
                              <w:color w:val="000000"/>
                            </w:rPr>
                          </w:pPr>
                        </w:p>
                        <w:p w14:paraId="1400EDB7" w14:textId="77777777" w:rsidR="000E6DCA" w:rsidRPr="00A0375D" w:rsidRDefault="000E6DCA" w:rsidP="009247BD">
                          <w:pPr>
                            <w:pStyle w:val="AddressText"/>
                            <w:spacing w:line="240" w:lineRule="auto"/>
                            <w:rPr>
                              <w:color w:val="000000"/>
                            </w:rPr>
                          </w:pPr>
                        </w:p>
                        <w:p w14:paraId="02AC488C" w14:textId="77777777" w:rsidR="000E6DCA" w:rsidRPr="00A0375D" w:rsidRDefault="000E6DCA" w:rsidP="009247BD">
                          <w:pPr>
                            <w:pStyle w:val="AddressText"/>
                            <w:spacing w:line="240" w:lineRule="auto"/>
                            <w:rPr>
                              <w:color w:val="000000"/>
                            </w:rPr>
                          </w:pPr>
                        </w:p>
                        <w:p w14:paraId="2667C5C7" w14:textId="77777777" w:rsidR="000E6DCA" w:rsidRPr="00A0375D" w:rsidRDefault="000E6DCA"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0E6DCA" w:rsidRPr="00B02636" w:rsidRDefault="000E6DCA" w:rsidP="009247BD">
                    <w:pPr>
                      <w:pStyle w:val="AddressText"/>
                      <w:spacing w:line="240" w:lineRule="auto"/>
                      <w:rPr>
                        <w:color w:val="00B0F0"/>
                      </w:rPr>
                    </w:pPr>
                  </w:p>
                  <w:p w14:paraId="1124A3CE" w14:textId="77777777" w:rsidR="000E6DCA" w:rsidRPr="00A0375D" w:rsidRDefault="000E6DCA" w:rsidP="009247BD">
                    <w:pPr>
                      <w:pStyle w:val="AddressText"/>
                      <w:spacing w:line="240" w:lineRule="auto"/>
                      <w:rPr>
                        <w:color w:val="000000"/>
                      </w:rPr>
                    </w:pPr>
                  </w:p>
                  <w:p w14:paraId="45ACDF57" w14:textId="77777777" w:rsidR="000E6DCA" w:rsidRPr="00A0375D" w:rsidRDefault="000E6DCA" w:rsidP="009247BD">
                    <w:pPr>
                      <w:pStyle w:val="AddressText"/>
                      <w:spacing w:line="240" w:lineRule="auto"/>
                      <w:rPr>
                        <w:color w:val="000000"/>
                      </w:rPr>
                    </w:pPr>
                  </w:p>
                  <w:p w14:paraId="1400EDB7" w14:textId="77777777" w:rsidR="000E6DCA" w:rsidRPr="00A0375D" w:rsidRDefault="000E6DCA" w:rsidP="009247BD">
                    <w:pPr>
                      <w:pStyle w:val="AddressText"/>
                      <w:spacing w:line="240" w:lineRule="auto"/>
                      <w:rPr>
                        <w:color w:val="000000"/>
                      </w:rPr>
                    </w:pPr>
                  </w:p>
                  <w:p w14:paraId="02AC488C" w14:textId="77777777" w:rsidR="000E6DCA" w:rsidRPr="00A0375D" w:rsidRDefault="000E6DCA" w:rsidP="009247BD">
                    <w:pPr>
                      <w:pStyle w:val="AddressText"/>
                      <w:spacing w:line="240" w:lineRule="auto"/>
                      <w:rPr>
                        <w:color w:val="000000"/>
                      </w:rPr>
                    </w:pPr>
                  </w:p>
                  <w:p w14:paraId="2667C5C7" w14:textId="77777777" w:rsidR="000E6DCA" w:rsidRPr="00A0375D" w:rsidRDefault="000E6DCA"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2BC17" w14:textId="77777777" w:rsidR="000772DA" w:rsidRDefault="000772DA" w:rsidP="000C3710">
      <w:r>
        <w:separator/>
      </w:r>
    </w:p>
  </w:footnote>
  <w:footnote w:type="continuationSeparator" w:id="0">
    <w:p w14:paraId="61557324" w14:textId="77777777" w:rsidR="000772DA" w:rsidRDefault="000772D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0E6DCA" w:rsidRDefault="000E6DCA"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64D56D"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0E6DCA" w:rsidRPr="0075490C" w:rsidRDefault="000E6DCA"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9E7C0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0E6DCA" w:rsidRDefault="000E6DCA">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4F281A"/>
    <w:multiLevelType w:val="hybridMultilevel"/>
    <w:tmpl w:val="67244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2"/>
  </w:num>
  <w:num w:numId="3">
    <w:abstractNumId w:val="16"/>
  </w:num>
  <w:num w:numId="4">
    <w:abstractNumId w:val="13"/>
  </w:num>
  <w:num w:numId="5">
    <w:abstractNumId w:val="12"/>
  </w:num>
  <w:num w:numId="6">
    <w:abstractNumId w:val="17"/>
  </w:num>
  <w:num w:numId="7">
    <w:abstractNumId w:val="23"/>
  </w:num>
  <w:num w:numId="8">
    <w:abstractNumId w:val="2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0"/>
  </w:num>
  <w:num w:numId="11">
    <w:abstractNumId w:val="19"/>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0804"/>
    <w:rsid w:val="000241D1"/>
    <w:rsid w:val="00025F29"/>
    <w:rsid w:val="00030834"/>
    <w:rsid w:val="000310DE"/>
    <w:rsid w:val="00035F93"/>
    <w:rsid w:val="000415E9"/>
    <w:rsid w:val="0004433C"/>
    <w:rsid w:val="00056A18"/>
    <w:rsid w:val="000576DC"/>
    <w:rsid w:val="00066CAF"/>
    <w:rsid w:val="00076437"/>
    <w:rsid w:val="000772DA"/>
    <w:rsid w:val="00096574"/>
    <w:rsid w:val="000A7045"/>
    <w:rsid w:val="000B5829"/>
    <w:rsid w:val="000C3710"/>
    <w:rsid w:val="000C61F2"/>
    <w:rsid w:val="000D6CA1"/>
    <w:rsid w:val="000E1755"/>
    <w:rsid w:val="000E3253"/>
    <w:rsid w:val="000E414F"/>
    <w:rsid w:val="000E4D76"/>
    <w:rsid w:val="000E6DCA"/>
    <w:rsid w:val="000F6440"/>
    <w:rsid w:val="001048CA"/>
    <w:rsid w:val="00106759"/>
    <w:rsid w:val="00107B7A"/>
    <w:rsid w:val="00111026"/>
    <w:rsid w:val="00112DEE"/>
    <w:rsid w:val="001555CD"/>
    <w:rsid w:val="0015757A"/>
    <w:rsid w:val="001637C2"/>
    <w:rsid w:val="00164C95"/>
    <w:rsid w:val="00165C9B"/>
    <w:rsid w:val="00175E9C"/>
    <w:rsid w:val="00176711"/>
    <w:rsid w:val="00177FE4"/>
    <w:rsid w:val="00182C1C"/>
    <w:rsid w:val="00183FA9"/>
    <w:rsid w:val="00186E13"/>
    <w:rsid w:val="001A4B63"/>
    <w:rsid w:val="001B190C"/>
    <w:rsid w:val="001B2D90"/>
    <w:rsid w:val="001B5D66"/>
    <w:rsid w:val="001E112E"/>
    <w:rsid w:val="001E7405"/>
    <w:rsid w:val="001F651F"/>
    <w:rsid w:val="002072D5"/>
    <w:rsid w:val="00213A86"/>
    <w:rsid w:val="00215E5E"/>
    <w:rsid w:val="0022123C"/>
    <w:rsid w:val="00222F56"/>
    <w:rsid w:val="00234AD4"/>
    <w:rsid w:val="00245D56"/>
    <w:rsid w:val="002460BE"/>
    <w:rsid w:val="00247353"/>
    <w:rsid w:val="00257BD7"/>
    <w:rsid w:val="002639FA"/>
    <w:rsid w:val="002659AE"/>
    <w:rsid w:val="0026644B"/>
    <w:rsid w:val="002844A9"/>
    <w:rsid w:val="00285811"/>
    <w:rsid w:val="00293255"/>
    <w:rsid w:val="002952E4"/>
    <w:rsid w:val="002B2A26"/>
    <w:rsid w:val="002B6832"/>
    <w:rsid w:val="002B7647"/>
    <w:rsid w:val="002B7E57"/>
    <w:rsid w:val="002C5AA6"/>
    <w:rsid w:val="002D0C54"/>
    <w:rsid w:val="002D16CD"/>
    <w:rsid w:val="002D38E9"/>
    <w:rsid w:val="002D4DEF"/>
    <w:rsid w:val="002D5F7A"/>
    <w:rsid w:val="002D62E4"/>
    <w:rsid w:val="002D7D3A"/>
    <w:rsid w:val="002E443D"/>
    <w:rsid w:val="002F2367"/>
    <w:rsid w:val="002F3B72"/>
    <w:rsid w:val="002F55C5"/>
    <w:rsid w:val="00306E1E"/>
    <w:rsid w:val="003117C2"/>
    <w:rsid w:val="0032018A"/>
    <w:rsid w:val="00320886"/>
    <w:rsid w:val="0032151B"/>
    <w:rsid w:val="003231A9"/>
    <w:rsid w:val="003414FC"/>
    <w:rsid w:val="0034354C"/>
    <w:rsid w:val="00353547"/>
    <w:rsid w:val="00361834"/>
    <w:rsid w:val="003655B8"/>
    <w:rsid w:val="0037152D"/>
    <w:rsid w:val="00372E4B"/>
    <w:rsid w:val="00373453"/>
    <w:rsid w:val="0037425C"/>
    <w:rsid w:val="00377BF5"/>
    <w:rsid w:val="00377E69"/>
    <w:rsid w:val="0038200F"/>
    <w:rsid w:val="00383D1A"/>
    <w:rsid w:val="00396BF0"/>
    <w:rsid w:val="003A00B6"/>
    <w:rsid w:val="003B3F83"/>
    <w:rsid w:val="003B52AA"/>
    <w:rsid w:val="003B7251"/>
    <w:rsid w:val="003C1BC1"/>
    <w:rsid w:val="003C4672"/>
    <w:rsid w:val="003C48FF"/>
    <w:rsid w:val="003C7A67"/>
    <w:rsid w:val="003D04D3"/>
    <w:rsid w:val="003D0F6C"/>
    <w:rsid w:val="003D2BCF"/>
    <w:rsid w:val="003D42F1"/>
    <w:rsid w:val="003E4220"/>
    <w:rsid w:val="003E7E75"/>
    <w:rsid w:val="00407258"/>
    <w:rsid w:val="00407853"/>
    <w:rsid w:val="00411F46"/>
    <w:rsid w:val="004160E9"/>
    <w:rsid w:val="00416141"/>
    <w:rsid w:val="00422305"/>
    <w:rsid w:val="00435AB0"/>
    <w:rsid w:val="0043646D"/>
    <w:rsid w:val="004429D6"/>
    <w:rsid w:val="00445CFF"/>
    <w:rsid w:val="004671A9"/>
    <w:rsid w:val="00472BBD"/>
    <w:rsid w:val="004809D8"/>
    <w:rsid w:val="00481D11"/>
    <w:rsid w:val="004A64C8"/>
    <w:rsid w:val="004A6CA6"/>
    <w:rsid w:val="004B276A"/>
    <w:rsid w:val="004D08C1"/>
    <w:rsid w:val="004D2245"/>
    <w:rsid w:val="004D5D35"/>
    <w:rsid w:val="004E2D0B"/>
    <w:rsid w:val="004E67BE"/>
    <w:rsid w:val="004F1A27"/>
    <w:rsid w:val="005032F9"/>
    <w:rsid w:val="005075C6"/>
    <w:rsid w:val="00511A6E"/>
    <w:rsid w:val="00511DE1"/>
    <w:rsid w:val="00523923"/>
    <w:rsid w:val="005246DC"/>
    <w:rsid w:val="005356FF"/>
    <w:rsid w:val="0053629B"/>
    <w:rsid w:val="00544027"/>
    <w:rsid w:val="00544A89"/>
    <w:rsid w:val="0054592E"/>
    <w:rsid w:val="00546854"/>
    <w:rsid w:val="00552D41"/>
    <w:rsid w:val="00560631"/>
    <w:rsid w:val="00591246"/>
    <w:rsid w:val="0059671E"/>
    <w:rsid w:val="005A643C"/>
    <w:rsid w:val="005B3739"/>
    <w:rsid w:val="005D0BBF"/>
    <w:rsid w:val="005E629A"/>
    <w:rsid w:val="005E6FE1"/>
    <w:rsid w:val="005F3AFC"/>
    <w:rsid w:val="006007DA"/>
    <w:rsid w:val="00626681"/>
    <w:rsid w:val="00632D59"/>
    <w:rsid w:val="00653E0C"/>
    <w:rsid w:val="00655D29"/>
    <w:rsid w:val="006579B7"/>
    <w:rsid w:val="00661BE1"/>
    <w:rsid w:val="006642C4"/>
    <w:rsid w:val="00674FCB"/>
    <w:rsid w:val="0068655C"/>
    <w:rsid w:val="006907A6"/>
    <w:rsid w:val="006921D1"/>
    <w:rsid w:val="006968C1"/>
    <w:rsid w:val="006A5CFB"/>
    <w:rsid w:val="006B4298"/>
    <w:rsid w:val="006B7F68"/>
    <w:rsid w:val="006C5703"/>
    <w:rsid w:val="006C688F"/>
    <w:rsid w:val="006C7D5A"/>
    <w:rsid w:val="006D1BD7"/>
    <w:rsid w:val="006D6C69"/>
    <w:rsid w:val="006E3839"/>
    <w:rsid w:val="006F3357"/>
    <w:rsid w:val="006F3B0B"/>
    <w:rsid w:val="007001DA"/>
    <w:rsid w:val="0070263C"/>
    <w:rsid w:val="00711C06"/>
    <w:rsid w:val="0071297F"/>
    <w:rsid w:val="00746FD9"/>
    <w:rsid w:val="0075490C"/>
    <w:rsid w:val="00756755"/>
    <w:rsid w:val="007613B3"/>
    <w:rsid w:val="00774438"/>
    <w:rsid w:val="007826F8"/>
    <w:rsid w:val="00791DBA"/>
    <w:rsid w:val="007B6BF8"/>
    <w:rsid w:val="007C7F78"/>
    <w:rsid w:val="007D5968"/>
    <w:rsid w:val="007D7750"/>
    <w:rsid w:val="007E73F5"/>
    <w:rsid w:val="00801C3E"/>
    <w:rsid w:val="0080603F"/>
    <w:rsid w:val="00806AF3"/>
    <w:rsid w:val="00812FFA"/>
    <w:rsid w:val="00813D3A"/>
    <w:rsid w:val="008275D1"/>
    <w:rsid w:val="00833363"/>
    <w:rsid w:val="00845125"/>
    <w:rsid w:val="00861563"/>
    <w:rsid w:val="00873C12"/>
    <w:rsid w:val="00883D70"/>
    <w:rsid w:val="00884F21"/>
    <w:rsid w:val="008B0A0B"/>
    <w:rsid w:val="008B3BDE"/>
    <w:rsid w:val="008C5761"/>
    <w:rsid w:val="008D6E87"/>
    <w:rsid w:val="008D79DD"/>
    <w:rsid w:val="008E375E"/>
    <w:rsid w:val="008F32FC"/>
    <w:rsid w:val="0090065A"/>
    <w:rsid w:val="00903E9D"/>
    <w:rsid w:val="00905953"/>
    <w:rsid w:val="00906E2A"/>
    <w:rsid w:val="0091382D"/>
    <w:rsid w:val="009203FF"/>
    <w:rsid w:val="00922852"/>
    <w:rsid w:val="009247BD"/>
    <w:rsid w:val="00942298"/>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52C3"/>
    <w:rsid w:val="009E758D"/>
    <w:rsid w:val="009E7C95"/>
    <w:rsid w:val="00A0375D"/>
    <w:rsid w:val="00A11FA1"/>
    <w:rsid w:val="00A15D12"/>
    <w:rsid w:val="00A3477D"/>
    <w:rsid w:val="00A41458"/>
    <w:rsid w:val="00A50275"/>
    <w:rsid w:val="00A50E38"/>
    <w:rsid w:val="00A56EC7"/>
    <w:rsid w:val="00A65E45"/>
    <w:rsid w:val="00A71AB3"/>
    <w:rsid w:val="00A73543"/>
    <w:rsid w:val="00A7722C"/>
    <w:rsid w:val="00A80C16"/>
    <w:rsid w:val="00A8354D"/>
    <w:rsid w:val="00A94248"/>
    <w:rsid w:val="00AA2EC7"/>
    <w:rsid w:val="00AC083A"/>
    <w:rsid w:val="00AC78AC"/>
    <w:rsid w:val="00AE46ED"/>
    <w:rsid w:val="00AE48C4"/>
    <w:rsid w:val="00AF077A"/>
    <w:rsid w:val="00AF38A0"/>
    <w:rsid w:val="00AF3B0E"/>
    <w:rsid w:val="00AF6C78"/>
    <w:rsid w:val="00B02636"/>
    <w:rsid w:val="00B05ABF"/>
    <w:rsid w:val="00B14BE6"/>
    <w:rsid w:val="00B22FF0"/>
    <w:rsid w:val="00B25923"/>
    <w:rsid w:val="00B35723"/>
    <w:rsid w:val="00B37562"/>
    <w:rsid w:val="00B4127F"/>
    <w:rsid w:val="00B415E7"/>
    <w:rsid w:val="00B63E76"/>
    <w:rsid w:val="00B6480A"/>
    <w:rsid w:val="00B66698"/>
    <w:rsid w:val="00B677D8"/>
    <w:rsid w:val="00B814B7"/>
    <w:rsid w:val="00B84938"/>
    <w:rsid w:val="00B84AF8"/>
    <w:rsid w:val="00B96CAE"/>
    <w:rsid w:val="00BB1006"/>
    <w:rsid w:val="00BB4A6F"/>
    <w:rsid w:val="00BC0092"/>
    <w:rsid w:val="00BC06E9"/>
    <w:rsid w:val="00BF605F"/>
    <w:rsid w:val="00C046B2"/>
    <w:rsid w:val="00C06ED6"/>
    <w:rsid w:val="00C25DC0"/>
    <w:rsid w:val="00C34C2B"/>
    <w:rsid w:val="00C401E7"/>
    <w:rsid w:val="00C448ED"/>
    <w:rsid w:val="00C47D08"/>
    <w:rsid w:val="00C62EFB"/>
    <w:rsid w:val="00C67879"/>
    <w:rsid w:val="00C756A2"/>
    <w:rsid w:val="00C77B32"/>
    <w:rsid w:val="00C92726"/>
    <w:rsid w:val="00C972F8"/>
    <w:rsid w:val="00CB3A47"/>
    <w:rsid w:val="00CD3149"/>
    <w:rsid w:val="00CD3E5C"/>
    <w:rsid w:val="00CE46A7"/>
    <w:rsid w:val="00CE769B"/>
    <w:rsid w:val="00CF6B09"/>
    <w:rsid w:val="00D03797"/>
    <w:rsid w:val="00D042EF"/>
    <w:rsid w:val="00D05933"/>
    <w:rsid w:val="00D24E21"/>
    <w:rsid w:val="00D26336"/>
    <w:rsid w:val="00D3303B"/>
    <w:rsid w:val="00D35998"/>
    <w:rsid w:val="00D460BE"/>
    <w:rsid w:val="00D5258E"/>
    <w:rsid w:val="00D541BC"/>
    <w:rsid w:val="00D568B1"/>
    <w:rsid w:val="00D61A9A"/>
    <w:rsid w:val="00D64897"/>
    <w:rsid w:val="00D67207"/>
    <w:rsid w:val="00D675C4"/>
    <w:rsid w:val="00D72E5E"/>
    <w:rsid w:val="00D84097"/>
    <w:rsid w:val="00D86D91"/>
    <w:rsid w:val="00D92AE1"/>
    <w:rsid w:val="00DE40E3"/>
    <w:rsid w:val="00E00B53"/>
    <w:rsid w:val="00E135F0"/>
    <w:rsid w:val="00E13740"/>
    <w:rsid w:val="00E2153C"/>
    <w:rsid w:val="00E23FEC"/>
    <w:rsid w:val="00E2448D"/>
    <w:rsid w:val="00E24709"/>
    <w:rsid w:val="00E377F9"/>
    <w:rsid w:val="00E43557"/>
    <w:rsid w:val="00E5163F"/>
    <w:rsid w:val="00E54A5D"/>
    <w:rsid w:val="00E54CBF"/>
    <w:rsid w:val="00E55B2F"/>
    <w:rsid w:val="00E612AA"/>
    <w:rsid w:val="00E61D56"/>
    <w:rsid w:val="00E630F3"/>
    <w:rsid w:val="00E654DC"/>
    <w:rsid w:val="00E82A93"/>
    <w:rsid w:val="00EA6D4D"/>
    <w:rsid w:val="00EB76A6"/>
    <w:rsid w:val="00EC5E3A"/>
    <w:rsid w:val="00EE3A60"/>
    <w:rsid w:val="00EE7747"/>
    <w:rsid w:val="00EF5A83"/>
    <w:rsid w:val="00F027D0"/>
    <w:rsid w:val="00F2296D"/>
    <w:rsid w:val="00F2300E"/>
    <w:rsid w:val="00F24528"/>
    <w:rsid w:val="00F246C3"/>
    <w:rsid w:val="00F31886"/>
    <w:rsid w:val="00F349B0"/>
    <w:rsid w:val="00F35E74"/>
    <w:rsid w:val="00F509A4"/>
    <w:rsid w:val="00F63B09"/>
    <w:rsid w:val="00F7484C"/>
    <w:rsid w:val="00F834BF"/>
    <w:rsid w:val="00F8439C"/>
    <w:rsid w:val="00F90618"/>
    <w:rsid w:val="00F97B64"/>
    <w:rsid w:val="00FA0F6E"/>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A0"/>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rsid w:val="0032018A"/>
    <w:rPr>
      <w:rFonts w:ascii="Arial" w:eastAsia="MS PGothic" w:hAnsi="Arial"/>
      <w:color w:val="000000"/>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32018A"/>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32018A"/>
    <w:rPr>
      <w:rFonts w:asciiTheme="minorHAnsi" w:eastAsiaTheme="minorHAnsi" w:hAnsiTheme="minorHAnsi" w:cstheme="minorBidi"/>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
    <w:basedOn w:val="DefaultParagraphFont"/>
    <w:uiPriority w:val="99"/>
    <w:unhideWhenUsed/>
    <w:qFormat/>
    <w:rsid w:val="0032018A"/>
    <w:rPr>
      <w:vertAlign w:val="superscript"/>
    </w:rPr>
  </w:style>
  <w:style w:type="paragraph" w:customStyle="1" w:styleId="titleTOR">
    <w:name w:val="title TOR"/>
    <w:basedOn w:val="Normal"/>
    <w:qFormat/>
    <w:rsid w:val="003231A9"/>
    <w:pPr>
      <w:keepNext/>
      <w:numPr>
        <w:numId w:val="26"/>
      </w:numPr>
      <w:tabs>
        <w:tab w:val="num" w:pos="720"/>
      </w:tabs>
      <w:spacing w:before="240" w:after="120" w:line="240" w:lineRule="auto"/>
    </w:pPr>
    <w:rPr>
      <w:rFonts w:ascii="Times New Roman" w:eastAsia="Times New Roman" w:hAnsi="Times New Roman"/>
      <w:b/>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2a5f211c-9297-4abd-895d-d88780e1d4e3">
      <UserInfo>
        <DisplayName>Carmen Munoz</DisplayName>
        <AccountId>18</AccountId>
        <AccountType/>
      </UserInfo>
      <UserInfo>
        <DisplayName>Junquanhamuze An</DisplayName>
        <AccountId>20</AccountId>
        <AccountType/>
      </UserInfo>
    </SharedWithUsers>
    <TaxCatchAll xmlns="ca283e0b-db31-4043-a2ef-b80661bf084a"/>
    <SemaphoreItemMetadata xmlns="2a5f211c-9297-4abd-895d-d88780e1d4e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2a5f211c-9297-4abd-895d-d88780e1d4e3">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WrittenBy xmlns="ca283e0b-db31-4043-a2ef-b80661bf084a">
      <UserInfo>
        <DisplayName/>
        <AccountId xsi:nil="true"/>
        <AccountType/>
      </UserInfo>
    </Written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90C56F10B3DD240BEFD2DA56940074C" ma:contentTypeVersion="74" ma:contentTypeDescription="Create a new document." ma:contentTypeScope="" ma:versionID="3598020e24bbd4684c3a62b4d5b7771d">
  <xsd:schema xmlns:xsd="http://www.w3.org/2001/XMLSchema" xmlns:xs="http://www.w3.org/2001/XMLSchema" xmlns:p="http://schemas.microsoft.com/office/2006/metadata/properties" xmlns:ns1="http://schemas.microsoft.com/sharepoint/v3" xmlns:ns2="ca283e0b-db31-4043-a2ef-b80661bf084a" xmlns:ns3="http://schemas.microsoft.com/sharepoint.v3" xmlns:ns4="2a5f211c-9297-4abd-895d-d88780e1d4e3" xmlns:ns5="6c3ba519-49fc-48fa-9235-9dbc04ac9a82" xmlns:ns6="http://schemas.microsoft.com/sharepoint/v4" targetNamespace="http://schemas.microsoft.com/office/2006/metadata/properties" ma:root="true" ma:fieldsID="e3a35e1c8da222473daf2c25dee87af3" ns1:_="" ns2:_="" ns3:_="" ns4:_="" ns5:_="" ns6:_="">
    <xsd:import namespace="http://schemas.microsoft.com/sharepoint/v3"/>
    <xsd:import namespace="ca283e0b-db31-4043-a2ef-b80661bf084a"/>
    <xsd:import namespace="http://schemas.microsoft.com/sharepoint.v3"/>
    <xsd:import namespace="2a5f211c-9297-4abd-895d-d88780e1d4e3"/>
    <xsd:import namespace="6c3ba519-49fc-48fa-9235-9dbc04ac9a8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6:IconOverlay" minOccurs="0"/>
                <xsd:element ref="ns1:_vti_ItemDeclaredRecord" minOccurs="0"/>
                <xsd:element ref="ns4:TaxKeywordTaxHTField" minOccurs="0"/>
                <xsd:element ref="ns1:_vti_ItemHoldRecordStatus"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60;#Rep. of Turkmenistan-4360|b7cfa312-2606-4835-ac8f-21b82d52fe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24db360-6f10-4ebc-adff-e439a82cd650}" ma:internalName="TaxCatchAllLabel" ma:readOnly="true" ma:showField="CatchAllDataLabel"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24db360-6f10-4ebc-adff-e439a82cd650}" ma:internalName="TaxCatchAll" ma:showField="CatchAllData"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f211c-9297-4abd-895d-d88780e1d4e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ba519-49fc-48fa-9235-9dbc04ac9a8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6B919-2CB6-4EE4-9463-CC0CDAE7AE35}">
  <ds:schemaRefs>
    <ds:schemaRef ds:uri="Microsoft.SharePoint.Taxonomy.ContentTypeSync"/>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2a5f211c-9297-4abd-895d-d88780e1d4e3"/>
    <ds:schemaRef ds:uri="ca283e0b-db31-4043-a2ef-b80661bf084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customXml/itemProps4.xml><?xml version="1.0" encoding="utf-8"?>
<ds:datastoreItem xmlns:ds="http://schemas.openxmlformats.org/officeDocument/2006/customXml" ds:itemID="{9F81B6AC-15BF-4B87-8EEE-3F333601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5f211c-9297-4abd-895d-d88780e1d4e3"/>
    <ds:schemaRef ds:uri="6c3ba519-49fc-48fa-9235-9dbc04ac9a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E554EE-9DDD-46D5-968A-EECAFDEB4612}">
  <ds:schemaRefs>
    <ds:schemaRef ds:uri="http://schemas.microsoft.com/sharepoint/events"/>
  </ds:schemaRefs>
</ds:datastoreItem>
</file>

<file path=customXml/itemProps6.xml><?xml version="1.0" encoding="utf-8"?>
<ds:datastoreItem xmlns:ds="http://schemas.openxmlformats.org/officeDocument/2006/customXml" ds:itemID="{6B1A8F8E-3361-4295-A97E-4D5AD160C3F4}">
  <ds:schemaRefs>
    <ds:schemaRef ds:uri="http://schemas.microsoft.com/office/2006/metadata/customXsn"/>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386</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Jepbar Bashimov</cp:lastModifiedBy>
  <cp:revision>7</cp:revision>
  <cp:lastPrinted>2021-06-29T10:44:00Z</cp:lastPrinted>
  <dcterms:created xsi:type="dcterms:W3CDTF">2021-06-24T07:16:00Z</dcterms:created>
  <dcterms:modified xsi:type="dcterms:W3CDTF">2021-07-02T13:19:00Z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0x0101009BA85F8052A6DA4FA3E31FF9F74C697000590C56F10B3DD240BEFD2DA56940074C</vt:lpwstr>
  </property>
  <property fmtid="{D5CDD505-2E9C-101B-9397-08002B2CF9AE}" pid="3" name="TaxKeyword">
    <vt:lpwstr>4;#Consultant|97dbf340-afa5-45ee-bb2e-48a25e57c80a;#38;#Terms of reference|26e23d09-321c-47a9-b467-3d76284820e0</vt:lpwstr>
  </property>
  <property fmtid="{D5CDD505-2E9C-101B-9397-08002B2CF9AE}" pid="4" name="Topic">
    <vt:lpwstr>58;#CO Management, Operations Support|686598eb-81b5-428d-9414-e3dd5e7647ba</vt:lpwstr>
  </property>
  <property fmtid="{D5CDD505-2E9C-101B-9397-08002B2CF9AE}" pid="5" name="OfficeDivision">
    <vt:lpwstr>59;#Lebanon-2490|9edb7c65-e5d5-4e49-90eb-6706d834a52d</vt:lpwstr>
  </property>
  <property fmtid="{D5CDD505-2E9C-101B-9397-08002B2CF9AE}" pid="6" name="_dlc_DocIdItemGuid">
    <vt:lpwstr>0ea13555-65fa-40ad-8d9b-f5bb9db6d075</vt:lpwstr>
  </property>
  <property fmtid="{D5CDD505-2E9C-101B-9397-08002B2CF9AE}" pid="7" name="DocumentType">
    <vt:lpwstr>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