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D7DFE" w14:textId="47F26B17" w:rsidR="002945C8" w:rsidRPr="006C53CB" w:rsidRDefault="002945C8" w:rsidP="00714B3C">
      <w:pPr>
        <w:widowControl w:val="0"/>
        <w:spacing w:line="240" w:lineRule="auto"/>
        <w:contextualSpacing/>
        <w:rPr>
          <w:rFonts w:cs="Calibri"/>
          <w:b/>
          <w:snapToGrid w:val="0"/>
          <w:sz w:val="24"/>
          <w:szCs w:val="24"/>
          <w:lang w:val="en-GB"/>
        </w:rPr>
      </w:pPr>
      <w:r w:rsidRPr="006C53CB">
        <w:rPr>
          <w:rFonts w:cs="Calibri"/>
          <w:b/>
          <w:snapToGrid w:val="0"/>
          <w:sz w:val="24"/>
          <w:szCs w:val="24"/>
          <w:lang w:val="en-GB"/>
        </w:rPr>
        <w:t>TERMS OF REFERENCE</w:t>
      </w:r>
    </w:p>
    <w:p w14:paraId="028724A9" w14:textId="77777777" w:rsidR="002945C8" w:rsidRPr="006C53CB" w:rsidRDefault="002945C8" w:rsidP="00714B3C">
      <w:pPr>
        <w:pStyle w:val="BodyTextIndent"/>
        <w:ind w:left="0"/>
        <w:contextualSpacing/>
        <w:rPr>
          <w:rFonts w:ascii="Calibri" w:hAnsi="Calibri" w:cs="Calibri"/>
          <w:b/>
          <w:snapToGrid w:val="0"/>
          <w:sz w:val="22"/>
          <w:szCs w:val="22"/>
          <w:lang w:val="en-GB"/>
        </w:rPr>
      </w:pPr>
    </w:p>
    <w:p w14:paraId="7E8F2CCE" w14:textId="65B7081B" w:rsidR="1A92F4ED" w:rsidRPr="00E52128" w:rsidRDefault="00811A04" w:rsidP="00245F4D">
      <w:pPr>
        <w:pStyle w:val="BodyTextIndent"/>
        <w:ind w:left="0"/>
        <w:rPr>
          <w:rFonts w:ascii="Calibri" w:eastAsia="Times" w:hAnsi="Calibri"/>
          <w:lang w:val="en" w:eastAsia="en-GB"/>
        </w:rPr>
      </w:pPr>
      <w:r w:rsidRPr="006C74E6">
        <w:rPr>
          <w:b/>
          <w:bCs/>
          <w:snapToGrid w:val="0"/>
          <w:sz w:val="24"/>
          <w:szCs w:val="24"/>
          <w:lang w:val="en-GB"/>
        </w:rPr>
        <w:t xml:space="preserve">Purpose of the Assignment: </w:t>
      </w:r>
      <w:r w:rsidR="00974B54" w:rsidRPr="0000408B">
        <w:rPr>
          <w:rFonts w:ascii="Calibri" w:eastAsia="Times" w:hAnsi="Calibri"/>
          <w:b/>
          <w:bCs/>
          <w:lang w:val="en" w:eastAsia="en-GB"/>
        </w:rPr>
        <w:t xml:space="preserve">Strengthening </w:t>
      </w:r>
      <w:r w:rsidR="00F628E5">
        <w:rPr>
          <w:rFonts w:ascii="Calibri" w:eastAsia="Times" w:hAnsi="Calibri"/>
          <w:b/>
          <w:bCs/>
          <w:lang w:val="en" w:eastAsia="en-GB"/>
        </w:rPr>
        <w:t>S</w:t>
      </w:r>
      <w:r w:rsidR="00974B54" w:rsidRPr="0000408B">
        <w:rPr>
          <w:rFonts w:ascii="Calibri" w:eastAsia="Times" w:hAnsi="Calibri"/>
          <w:b/>
          <w:bCs/>
          <w:lang w:val="en" w:eastAsia="en-GB"/>
        </w:rPr>
        <w:t xml:space="preserve">upply </w:t>
      </w:r>
      <w:r w:rsidR="00F628E5">
        <w:rPr>
          <w:rFonts w:ascii="Calibri" w:eastAsia="Times" w:hAnsi="Calibri"/>
          <w:b/>
          <w:bCs/>
          <w:lang w:val="en" w:eastAsia="en-GB"/>
        </w:rPr>
        <w:t>C</w:t>
      </w:r>
      <w:r w:rsidR="00974B54" w:rsidRPr="0000408B">
        <w:rPr>
          <w:rFonts w:ascii="Calibri" w:eastAsia="Times" w:hAnsi="Calibri"/>
          <w:b/>
          <w:bCs/>
          <w:lang w:val="en" w:eastAsia="en-GB"/>
        </w:rPr>
        <w:t xml:space="preserve">hain TA, </w:t>
      </w:r>
      <w:r w:rsidR="00F628E5">
        <w:rPr>
          <w:rFonts w:ascii="Calibri" w:eastAsia="Times" w:hAnsi="Calibri"/>
          <w:b/>
          <w:bCs/>
          <w:lang w:val="en" w:eastAsia="en-GB"/>
        </w:rPr>
        <w:t>M</w:t>
      </w:r>
      <w:r w:rsidR="00974B54" w:rsidRPr="0000408B">
        <w:rPr>
          <w:rFonts w:ascii="Calibri" w:eastAsia="Times" w:hAnsi="Calibri"/>
          <w:b/>
          <w:bCs/>
          <w:lang w:val="en" w:eastAsia="en-GB"/>
        </w:rPr>
        <w:t xml:space="preserve">onitoring and </w:t>
      </w:r>
      <w:r w:rsidR="00F628E5">
        <w:rPr>
          <w:rFonts w:ascii="Calibri" w:eastAsia="Times" w:hAnsi="Calibri"/>
          <w:b/>
          <w:bCs/>
          <w:lang w:val="en" w:eastAsia="en-GB"/>
        </w:rPr>
        <w:t>G</w:t>
      </w:r>
      <w:r w:rsidR="00974B54" w:rsidRPr="0000408B">
        <w:rPr>
          <w:rFonts w:ascii="Calibri" w:eastAsia="Times" w:hAnsi="Calibri"/>
          <w:b/>
          <w:bCs/>
          <w:lang w:val="en" w:eastAsia="en-GB"/>
        </w:rPr>
        <w:t>overnance in Mozambique</w:t>
      </w:r>
    </w:p>
    <w:p w14:paraId="5E21F04E" w14:textId="7CA55ACC" w:rsidR="4B741531" w:rsidRPr="00245F4D" w:rsidRDefault="00811A04" w:rsidP="00245F4D">
      <w:pPr>
        <w:spacing w:line="240" w:lineRule="auto"/>
        <w:rPr>
          <w:b/>
          <w:bCs/>
          <w:sz w:val="24"/>
          <w:szCs w:val="24"/>
          <w:lang w:val="en-GB"/>
        </w:rPr>
      </w:pPr>
      <w:r w:rsidRPr="006C74E6">
        <w:rPr>
          <w:b/>
          <w:bCs/>
          <w:sz w:val="24"/>
          <w:szCs w:val="24"/>
          <w:lang w:val="en-GB"/>
        </w:rPr>
        <w:t>Section Submitting:</w:t>
      </w:r>
      <w:r w:rsidR="4B741531" w:rsidRPr="006C74E6">
        <w:rPr>
          <w:b/>
          <w:bCs/>
          <w:sz w:val="24"/>
          <w:szCs w:val="24"/>
          <w:lang w:val="en-GB"/>
        </w:rPr>
        <w:t xml:space="preserve"> </w:t>
      </w:r>
      <w:r w:rsidR="00974B54" w:rsidRPr="0000408B">
        <w:rPr>
          <w:b/>
          <w:bCs/>
          <w:color w:val="auto"/>
          <w:sz w:val="20"/>
          <w:u w:val="single"/>
          <w:lang w:val="en"/>
        </w:rPr>
        <w:t>Child Health and Nutrition</w:t>
      </w:r>
    </w:p>
    <w:p w14:paraId="3B2E812A" w14:textId="77777777" w:rsidR="00811A04" w:rsidRPr="00174F95" w:rsidRDefault="00811A04" w:rsidP="00811A04">
      <w:pPr>
        <w:spacing w:line="240" w:lineRule="auto"/>
        <w:rPr>
          <w:b/>
          <w:sz w:val="24"/>
          <w:szCs w:val="24"/>
          <w:lang w:val="en-GB"/>
        </w:rPr>
      </w:pPr>
    </w:p>
    <w:p w14:paraId="021DFA3C" w14:textId="77777777" w:rsidR="00811A04" w:rsidRPr="00F644EC" w:rsidRDefault="00811A04" w:rsidP="00811A04">
      <w:pPr>
        <w:spacing w:line="240" w:lineRule="auto"/>
        <w:jc w:val="both"/>
        <w:rPr>
          <w:szCs w:val="22"/>
          <w:lang w:val="en-GB"/>
        </w:rPr>
      </w:pPr>
    </w:p>
    <w:p w14:paraId="53157855" w14:textId="25616137" w:rsidR="00811A04" w:rsidRDefault="00811A04" w:rsidP="0010293E">
      <w:pPr>
        <w:jc w:val="both"/>
        <w:rPr>
          <w:b/>
          <w:szCs w:val="22"/>
          <w:lang w:val="en-GB"/>
        </w:rPr>
      </w:pPr>
      <w:r w:rsidRPr="00F644EC">
        <w:rPr>
          <w:b/>
          <w:szCs w:val="22"/>
          <w:u w:val="single"/>
          <w:lang w:val="en-GB"/>
        </w:rPr>
        <w:t>Purpose and Objective:</w:t>
      </w:r>
      <w:r w:rsidRPr="00F644EC">
        <w:rPr>
          <w:b/>
          <w:szCs w:val="22"/>
          <w:lang w:val="en-GB"/>
        </w:rPr>
        <w:t xml:space="preserve"> </w:t>
      </w:r>
    </w:p>
    <w:p w14:paraId="0AF0BE6C" w14:textId="77777777" w:rsidR="00153C2E" w:rsidRPr="00CF4FD8" w:rsidRDefault="00153C2E" w:rsidP="00153C2E">
      <w:pPr>
        <w:jc w:val="both"/>
        <w:rPr>
          <w:sz w:val="20"/>
        </w:rPr>
      </w:pPr>
      <w:r w:rsidRPr="00190356">
        <w:rPr>
          <w:sz w:val="20"/>
          <w:lang w:val="en"/>
        </w:rPr>
        <w:t xml:space="preserve">UNICEF Mozambique is in the process of identifying a </w:t>
      </w:r>
      <w:r w:rsidRPr="005303CB">
        <w:rPr>
          <w:color w:val="auto"/>
          <w:sz w:val="20"/>
          <w:lang w:val="en"/>
        </w:rPr>
        <w:t xml:space="preserve">consultant to support the National Logistic Working Group </w:t>
      </w:r>
      <w:r>
        <w:rPr>
          <w:color w:val="auto"/>
          <w:sz w:val="20"/>
          <w:lang w:val="en"/>
        </w:rPr>
        <w:t xml:space="preserve">(NLWG) </w:t>
      </w:r>
      <w:r w:rsidRPr="005303CB">
        <w:rPr>
          <w:color w:val="auto"/>
          <w:sz w:val="20"/>
          <w:lang w:val="en"/>
        </w:rPr>
        <w:t xml:space="preserve">in strengthening the monitoring and evaluation processes for immunization supply chain and funding strategies for in Mozambique. </w:t>
      </w:r>
      <w:r w:rsidRPr="006526DB">
        <w:rPr>
          <w:color w:val="auto"/>
          <w:sz w:val="20"/>
          <w:lang w:val="en"/>
        </w:rPr>
        <w:t>Effective Vaccine Management</w:t>
      </w:r>
      <w:r>
        <w:rPr>
          <w:color w:val="auto"/>
          <w:sz w:val="20"/>
          <w:lang w:val="en"/>
        </w:rPr>
        <w:t xml:space="preserve"> (</w:t>
      </w:r>
      <w:r w:rsidRPr="00CF4FD8">
        <w:rPr>
          <w:color w:val="auto"/>
          <w:sz w:val="20"/>
        </w:rPr>
        <w:t>EVM</w:t>
      </w:r>
      <w:r>
        <w:rPr>
          <w:color w:val="auto"/>
          <w:sz w:val="20"/>
        </w:rPr>
        <w:t>)</w:t>
      </w:r>
      <w:r w:rsidRPr="00CF4FD8">
        <w:rPr>
          <w:color w:val="auto"/>
          <w:sz w:val="20"/>
        </w:rPr>
        <w:t xml:space="preserve"> is an iterative process designed to support improvement planning for immunization supply chains in countries. With increasing need for the ISC governance in countries, WHO, UNICEF and partners are leading efforts </w:t>
      </w:r>
      <w:r w:rsidRPr="00CF4FD8">
        <w:rPr>
          <w:sz w:val="20"/>
        </w:rPr>
        <w:t xml:space="preserve">to build local capacity to own, lead and monitor the </w:t>
      </w:r>
      <w:r w:rsidRPr="006526DB">
        <w:rPr>
          <w:sz w:val="20"/>
        </w:rPr>
        <w:t>Immunization Supply Chain</w:t>
      </w:r>
      <w:r>
        <w:rPr>
          <w:sz w:val="20"/>
        </w:rPr>
        <w:t xml:space="preserve"> (</w:t>
      </w:r>
      <w:r w:rsidRPr="00CF4FD8">
        <w:rPr>
          <w:b/>
          <w:bCs/>
          <w:sz w:val="20"/>
        </w:rPr>
        <w:t>ISC</w:t>
      </w:r>
      <w:r>
        <w:rPr>
          <w:b/>
          <w:bCs/>
          <w:sz w:val="20"/>
        </w:rPr>
        <w:t>)</w:t>
      </w:r>
      <w:r w:rsidRPr="00CF4FD8">
        <w:rPr>
          <w:b/>
          <w:bCs/>
          <w:sz w:val="20"/>
        </w:rPr>
        <w:t xml:space="preserve"> </w:t>
      </w:r>
      <w:r w:rsidRPr="006526DB">
        <w:rPr>
          <w:sz w:val="20"/>
        </w:rPr>
        <w:t xml:space="preserve">process </w:t>
      </w:r>
      <w:r w:rsidRPr="00CF4FD8">
        <w:rPr>
          <w:sz w:val="20"/>
        </w:rPr>
        <w:t>with a country-driven long-term technical assistance (TA) delivery system. In line with this objective, countries and regions will work with local governance system e.g. NLWG, partners to implement the ISC justifying a data</w:t>
      </w:r>
      <w:r>
        <w:rPr>
          <w:sz w:val="20"/>
        </w:rPr>
        <w:t>-</w:t>
      </w:r>
      <w:r w:rsidRPr="00CF4FD8">
        <w:rPr>
          <w:sz w:val="20"/>
        </w:rPr>
        <w:t xml:space="preserve">driven monitoring and control system to ensure effective TA planning, delivery and M&amp;E of TA across the ISC functions – EVM, </w:t>
      </w:r>
      <w:r w:rsidRPr="00CF4FD8">
        <w:rPr>
          <w:rFonts w:eastAsia="Times New Roman"/>
          <w:sz w:val="20"/>
        </w:rPr>
        <w:t>Cold Chain equipment, Data for management, system re design and capacity development/professionalization</w:t>
      </w:r>
      <w:r w:rsidRPr="00CF4FD8">
        <w:rPr>
          <w:sz w:val="20"/>
        </w:rPr>
        <w:t xml:space="preserve"> including  database for the application of funding opportunities in the supply chain.  The engagement with </w:t>
      </w:r>
      <w:r w:rsidRPr="00CF4FD8">
        <w:rPr>
          <w:b/>
          <w:bCs/>
          <w:sz w:val="20"/>
        </w:rPr>
        <w:t>the local partners and institutions</w:t>
      </w:r>
      <w:r w:rsidRPr="00CF4FD8">
        <w:rPr>
          <w:sz w:val="20"/>
        </w:rPr>
        <w:t xml:space="preserve"> to build local capacity is critical for EVM governance and effective application of EVM training tools and resources available in several languages.  </w:t>
      </w:r>
    </w:p>
    <w:p w14:paraId="50C5E2F1" w14:textId="77777777" w:rsidR="00153C2E" w:rsidRPr="00CF4FD8" w:rsidRDefault="00153C2E" w:rsidP="00153C2E">
      <w:pPr>
        <w:jc w:val="both"/>
        <w:rPr>
          <w:sz w:val="20"/>
        </w:rPr>
      </w:pPr>
    </w:p>
    <w:p w14:paraId="52A009BF" w14:textId="77777777" w:rsidR="00153C2E" w:rsidRPr="00CF4FD8" w:rsidRDefault="00153C2E" w:rsidP="00153C2E">
      <w:pPr>
        <w:jc w:val="both"/>
        <w:rPr>
          <w:sz w:val="20"/>
        </w:rPr>
      </w:pPr>
      <w:r w:rsidRPr="00CF4FD8">
        <w:rPr>
          <w:sz w:val="20"/>
        </w:rPr>
        <w:t xml:space="preserve">This work will build on key strategies, plans and lessons learned at global, </w:t>
      </w:r>
      <w:proofErr w:type="gramStart"/>
      <w:r w:rsidRPr="00CF4FD8">
        <w:rPr>
          <w:sz w:val="20"/>
        </w:rPr>
        <w:t>regional</w:t>
      </w:r>
      <w:proofErr w:type="gramEnd"/>
      <w:r w:rsidRPr="00CF4FD8">
        <w:rPr>
          <w:sz w:val="20"/>
        </w:rPr>
        <w:t xml:space="preserve"> and country levels in alignment with Mozambique EPI c-MYP, GAVI strategy and ISC strategy.  The initial phase of this work led to the development of the option paper -  </w:t>
      </w:r>
      <w:hyperlink r:id="rId11" w:history="1">
        <w:r w:rsidRPr="00CF4FD8">
          <w:rPr>
            <w:rStyle w:val="Hyperlink"/>
            <w:b/>
            <w:bCs/>
            <w:sz w:val="20"/>
          </w:rPr>
          <w:t>Technical assistance delivery framework for health supply chain: a joint partner efforts to improve access to vaccines, medicines and health technologies</w:t>
        </w:r>
        <w:r>
          <w:rPr>
            <w:rStyle w:val="Hyperlink"/>
            <w:b/>
            <w:bCs/>
            <w:sz w:val="20"/>
          </w:rPr>
          <w:t xml:space="preserve"> </w:t>
        </w:r>
        <w:r w:rsidRPr="00CF4FD8">
          <w:rPr>
            <w:rStyle w:val="Hyperlink"/>
            <w:b/>
            <w:bCs/>
            <w:sz w:val="20"/>
          </w:rPr>
          <w:t xml:space="preserve"> </w:t>
        </w:r>
      </w:hyperlink>
      <w:r w:rsidRPr="00CF4FD8">
        <w:rPr>
          <w:sz w:val="20"/>
        </w:rPr>
        <w:t xml:space="preserve"> which defines the TA delivery framework,  possible models and six new TA approaches and also mapping potential funding opportunities available globally . The next phase is its implementation in regions and countries with ISC as an entry point working with local partners and institutions. This activity is critical to the deployment of the COVID-19 vaccines through the national vaccine deployment plan (NDVPs).</w:t>
      </w:r>
    </w:p>
    <w:p w14:paraId="60A2C831" w14:textId="77777777" w:rsidR="00153C2E" w:rsidRPr="00CF4FD8" w:rsidRDefault="00153C2E" w:rsidP="00153C2E">
      <w:pPr>
        <w:jc w:val="both"/>
        <w:rPr>
          <w:sz w:val="20"/>
        </w:rPr>
      </w:pPr>
    </w:p>
    <w:p w14:paraId="5FE6D78A" w14:textId="77777777" w:rsidR="00153C2E" w:rsidRPr="00CF4FD8" w:rsidRDefault="00153C2E" w:rsidP="00153C2E">
      <w:pPr>
        <w:jc w:val="both"/>
        <w:rPr>
          <w:sz w:val="20"/>
        </w:rPr>
      </w:pPr>
      <w:r w:rsidRPr="00CF4FD8">
        <w:rPr>
          <w:sz w:val="20"/>
        </w:rPr>
        <w:t xml:space="preserve">The consultancy will achieve the following </w:t>
      </w:r>
      <w:r w:rsidRPr="00BE68A3">
        <w:rPr>
          <w:b/>
          <w:bCs/>
          <w:szCs w:val="22"/>
        </w:rPr>
        <w:t xml:space="preserve">objectives </w:t>
      </w:r>
      <w:r w:rsidRPr="00CF4FD8">
        <w:rPr>
          <w:sz w:val="20"/>
        </w:rPr>
        <w:t>to support ISC governance within the ministries of health and immunization programme:</w:t>
      </w:r>
    </w:p>
    <w:p w14:paraId="35E7BDDF" w14:textId="77777777" w:rsidR="00153C2E" w:rsidRPr="00CF4FD8" w:rsidRDefault="00153C2E" w:rsidP="00153C2E">
      <w:pPr>
        <w:pStyle w:val="ListParagraph"/>
        <w:numPr>
          <w:ilvl w:val="0"/>
          <w:numId w:val="27"/>
        </w:numPr>
        <w:spacing w:line="240" w:lineRule="auto"/>
        <w:jc w:val="both"/>
        <w:rPr>
          <w:sz w:val="20"/>
          <w:szCs w:val="20"/>
          <w:lang w:val="en-US"/>
        </w:rPr>
      </w:pPr>
      <w:r w:rsidRPr="00CF4FD8">
        <w:rPr>
          <w:sz w:val="20"/>
          <w:szCs w:val="20"/>
          <w:lang w:val="en-US"/>
        </w:rPr>
        <w:t xml:space="preserve">Strengthen local capacity for ISC monitoring, </w:t>
      </w:r>
      <w:proofErr w:type="gramStart"/>
      <w:r w:rsidRPr="00CF4FD8">
        <w:rPr>
          <w:sz w:val="20"/>
          <w:szCs w:val="20"/>
          <w:lang w:val="en-US"/>
        </w:rPr>
        <w:t>governance</w:t>
      </w:r>
      <w:proofErr w:type="gramEnd"/>
      <w:r w:rsidRPr="00CF4FD8">
        <w:rPr>
          <w:sz w:val="20"/>
          <w:szCs w:val="20"/>
          <w:lang w:val="en-US"/>
        </w:rPr>
        <w:t xml:space="preserve"> and technical assistance across the key fundamentals through the NLWG to enhance continuous improvement </w:t>
      </w:r>
    </w:p>
    <w:p w14:paraId="166BEDB4" w14:textId="77777777" w:rsidR="00153C2E" w:rsidRPr="00CF4FD8" w:rsidRDefault="00153C2E" w:rsidP="00153C2E">
      <w:pPr>
        <w:pStyle w:val="ListParagraph"/>
        <w:numPr>
          <w:ilvl w:val="0"/>
          <w:numId w:val="27"/>
        </w:numPr>
        <w:spacing w:line="240" w:lineRule="auto"/>
        <w:jc w:val="both"/>
        <w:rPr>
          <w:sz w:val="20"/>
          <w:szCs w:val="20"/>
          <w:lang w:val="en-US"/>
        </w:rPr>
      </w:pPr>
      <w:r>
        <w:rPr>
          <w:sz w:val="20"/>
          <w:szCs w:val="20"/>
          <w:lang w:val="en-US"/>
        </w:rPr>
        <w:t>Increase</w:t>
      </w:r>
      <w:r w:rsidRPr="00CF4FD8">
        <w:rPr>
          <w:sz w:val="20"/>
          <w:szCs w:val="20"/>
          <w:lang w:val="en-US"/>
        </w:rPr>
        <w:t xml:space="preserve"> the drive for engagement of local partners in immunization and its associated supply chain</w:t>
      </w:r>
    </w:p>
    <w:p w14:paraId="458AD620" w14:textId="77777777" w:rsidR="00153C2E" w:rsidRDefault="00153C2E" w:rsidP="00153C2E">
      <w:pPr>
        <w:pStyle w:val="ListParagraph"/>
        <w:numPr>
          <w:ilvl w:val="0"/>
          <w:numId w:val="27"/>
        </w:numPr>
        <w:spacing w:line="240" w:lineRule="auto"/>
        <w:jc w:val="both"/>
        <w:rPr>
          <w:sz w:val="20"/>
          <w:szCs w:val="20"/>
          <w:lang w:val="en-US"/>
        </w:rPr>
      </w:pPr>
      <w:r w:rsidRPr="00CF4FD8">
        <w:rPr>
          <w:sz w:val="20"/>
          <w:szCs w:val="20"/>
          <w:lang w:val="en-US"/>
        </w:rPr>
        <w:t>Build country capacity to apply for potential funding opportunities to support ISC.</w:t>
      </w:r>
    </w:p>
    <w:p w14:paraId="7A456B41" w14:textId="77777777" w:rsidR="00153C2E" w:rsidRDefault="00153C2E" w:rsidP="00153C2E">
      <w:pPr>
        <w:contextualSpacing/>
        <w:jc w:val="both"/>
        <w:rPr>
          <w:sz w:val="20"/>
        </w:rPr>
      </w:pPr>
    </w:p>
    <w:p w14:paraId="6BAC1818" w14:textId="54262083" w:rsidR="00C73AA0" w:rsidRDefault="00153C2E" w:rsidP="00C73AA0">
      <w:pPr>
        <w:spacing w:line="240" w:lineRule="auto"/>
        <w:jc w:val="both"/>
        <w:rPr>
          <w:sz w:val="20"/>
        </w:rPr>
      </w:pPr>
      <w:r>
        <w:rPr>
          <w:sz w:val="20"/>
        </w:rPr>
        <w:t>This position will capacity build the lead of. Effective Vaccine Management Plan by the National Logistic Working Group and should be progressively phased out over the consultancy period.</w:t>
      </w:r>
    </w:p>
    <w:p w14:paraId="55BA22B2" w14:textId="77777777" w:rsidR="000B241E" w:rsidRDefault="000B241E" w:rsidP="00C73AA0">
      <w:pPr>
        <w:spacing w:line="240" w:lineRule="auto"/>
        <w:jc w:val="both"/>
        <w:rPr>
          <w:sz w:val="20"/>
        </w:rPr>
      </w:pPr>
    </w:p>
    <w:p w14:paraId="5AE9D013" w14:textId="77777777" w:rsidR="00144B4E" w:rsidRPr="0000408B" w:rsidRDefault="00811A04" w:rsidP="005074BB">
      <w:pPr>
        <w:pStyle w:val="ListParagraph"/>
        <w:numPr>
          <w:ilvl w:val="0"/>
          <w:numId w:val="31"/>
        </w:numPr>
        <w:spacing w:line="240" w:lineRule="auto"/>
        <w:jc w:val="both"/>
        <w:rPr>
          <w:sz w:val="20"/>
        </w:rPr>
      </w:pPr>
      <w:r w:rsidRPr="00144B4E">
        <w:rPr>
          <w:b/>
          <w:szCs w:val="22"/>
          <w:u w:val="single"/>
        </w:rPr>
        <w:t>Methodology and Technical Approach:</w:t>
      </w:r>
      <w:r w:rsidRPr="00144B4E">
        <w:rPr>
          <w:szCs w:val="22"/>
        </w:rPr>
        <w:t xml:space="preserve"> </w:t>
      </w:r>
    </w:p>
    <w:p w14:paraId="598D2393" w14:textId="6EAC168B" w:rsidR="00854649" w:rsidRPr="0000408B" w:rsidRDefault="00854649" w:rsidP="0000408B">
      <w:pPr>
        <w:pStyle w:val="ListParagraph"/>
        <w:spacing w:line="240" w:lineRule="auto"/>
        <w:ind w:left="360"/>
        <w:jc w:val="both"/>
        <w:rPr>
          <w:sz w:val="20"/>
        </w:rPr>
      </w:pPr>
      <w:r w:rsidRPr="00144B4E">
        <w:rPr>
          <w:sz w:val="20"/>
        </w:rPr>
        <w:t>The consultant will be home based with possible presential meeting and work session with institutional stakeholder and partners. Regular bi-weekly remote meeting will be organized to provide updates. The consultant will use his/her own office equipment. As most of the work will be done remotely, the consultant must have high internet connect</w:t>
      </w:r>
      <w:r w:rsidRPr="000A1D86">
        <w:rPr>
          <w:sz w:val="20"/>
        </w:rPr>
        <w:t>ivity and must be available/reachable online throughout the consultancy.</w:t>
      </w:r>
    </w:p>
    <w:p w14:paraId="0CD3D66A" w14:textId="77777777" w:rsidR="00854649" w:rsidRPr="00854649" w:rsidRDefault="00854649" w:rsidP="00E52128">
      <w:pPr>
        <w:pStyle w:val="ListParagraph"/>
        <w:ind w:left="360"/>
        <w:jc w:val="both"/>
        <w:rPr>
          <w:sz w:val="20"/>
        </w:rPr>
      </w:pPr>
      <w:r w:rsidRPr="00854649">
        <w:rPr>
          <w:sz w:val="20"/>
        </w:rPr>
        <w:t>The consultant will work under the supervision and guidance of Health manager and closely work with Immunization and Supply &amp; Logistics specialist, UNICEF Country Office Mozambique. UNICEF will be responsible for the management of contract, assess consultant’s work, and evaluate performance based on deliverables.  The consultant is expected to provide proof of insurance coverage prior to commencing the contract.</w:t>
      </w:r>
    </w:p>
    <w:p w14:paraId="35D550FD" w14:textId="77777777" w:rsidR="00854649" w:rsidRPr="00854649" w:rsidRDefault="00854649" w:rsidP="00E52128">
      <w:pPr>
        <w:pStyle w:val="ListParagraph"/>
        <w:ind w:left="360"/>
        <w:jc w:val="both"/>
        <w:rPr>
          <w:sz w:val="20"/>
        </w:rPr>
      </w:pPr>
    </w:p>
    <w:p w14:paraId="06990A39" w14:textId="218C3CC6" w:rsidR="00811A04" w:rsidRPr="00F644EC" w:rsidRDefault="00854649" w:rsidP="00854649">
      <w:pPr>
        <w:spacing w:line="240" w:lineRule="auto"/>
        <w:jc w:val="both"/>
        <w:rPr>
          <w:b/>
          <w:i/>
          <w:szCs w:val="22"/>
          <w:u w:val="single"/>
          <w:lang w:val="en-GB"/>
        </w:rPr>
      </w:pPr>
      <w:r>
        <w:rPr>
          <w:b/>
          <w:szCs w:val="22"/>
          <w:u w:val="single"/>
          <w:lang w:val="en-GB"/>
        </w:rPr>
        <w:t xml:space="preserve">2. </w:t>
      </w:r>
      <w:r w:rsidR="00811A04" w:rsidRPr="00F644EC">
        <w:rPr>
          <w:b/>
          <w:szCs w:val="22"/>
          <w:u w:val="single"/>
          <w:lang w:val="en-GB"/>
        </w:rPr>
        <w:t>Activities and Tasks:</w:t>
      </w:r>
      <w:r w:rsidR="00811A04" w:rsidRPr="00F644EC">
        <w:rPr>
          <w:szCs w:val="22"/>
          <w:lang w:val="en-GB"/>
        </w:rPr>
        <w:t xml:space="preserve"> </w:t>
      </w:r>
    </w:p>
    <w:p w14:paraId="24617BB0" w14:textId="47B68316" w:rsidR="00854649" w:rsidRPr="00E52128" w:rsidRDefault="00854649" w:rsidP="00E52128">
      <w:pPr>
        <w:pStyle w:val="ListParagraph"/>
        <w:spacing w:before="60" w:after="60" w:line="240" w:lineRule="auto"/>
        <w:ind w:left="360"/>
        <w:rPr>
          <w:sz w:val="20"/>
        </w:rPr>
      </w:pPr>
      <w:r>
        <w:rPr>
          <w:b/>
          <w:bCs/>
          <w:sz w:val="20"/>
        </w:rPr>
        <w:t xml:space="preserve">2.1 </w:t>
      </w:r>
      <w:r w:rsidRPr="00E52128">
        <w:rPr>
          <w:b/>
          <w:bCs/>
          <w:sz w:val="20"/>
        </w:rPr>
        <w:t>Activities: -</w:t>
      </w:r>
      <w:r w:rsidRPr="00E52128">
        <w:rPr>
          <w:sz w:val="20"/>
        </w:rPr>
        <w:t xml:space="preserve"> Improve the ISC monitoring system for technical assistance and activities through the NLWG, EPI and partners covering strengthen EVM, </w:t>
      </w:r>
      <w:r w:rsidRPr="00E52128">
        <w:rPr>
          <w:rFonts w:eastAsia="Times New Roman"/>
          <w:sz w:val="20"/>
        </w:rPr>
        <w:t xml:space="preserve">Cold Chain equipment, Data for management, system in terms of design and capacity development/professionalization leveraging current initiatives </w:t>
      </w:r>
    </w:p>
    <w:p w14:paraId="4AD2E46E" w14:textId="77777777" w:rsidR="00854649" w:rsidRPr="00E8774D" w:rsidRDefault="00854649" w:rsidP="00854649">
      <w:pPr>
        <w:spacing w:before="60" w:after="60" w:line="240" w:lineRule="auto"/>
        <w:ind w:left="432"/>
        <w:rPr>
          <w:rFonts w:eastAsia="Calibri"/>
          <w:color w:val="auto"/>
          <w:sz w:val="20"/>
        </w:rPr>
      </w:pPr>
      <w:r w:rsidRPr="00CF4FD8">
        <w:rPr>
          <w:rFonts w:eastAsia="Calibri"/>
          <w:b/>
          <w:bCs/>
          <w:color w:val="auto"/>
          <w:sz w:val="20"/>
        </w:rPr>
        <w:t>Tasks: -</w:t>
      </w:r>
      <w:r w:rsidRPr="00CF4FD8">
        <w:rPr>
          <w:rFonts w:eastAsia="Calibri"/>
          <w:color w:val="auto"/>
          <w:sz w:val="20"/>
        </w:rPr>
        <w:t xml:space="preserve"> 1) Improving the EVMIP and dashboard to enhance effective ISC TA monitoring within the NLWG and provide recommendations 2) Bi-weekly update of dashboard using feedback from technical working groups, country meetings and </w:t>
      </w:r>
      <w:r w:rsidRPr="00CF4FD8">
        <w:rPr>
          <w:rFonts w:eastAsia="Calibri"/>
          <w:color w:val="auto"/>
          <w:sz w:val="20"/>
        </w:rPr>
        <w:lastRenderedPageBreak/>
        <w:t xml:space="preserve">reports. </w:t>
      </w:r>
      <w:r w:rsidRPr="00E8774D">
        <w:rPr>
          <w:rFonts w:eastAsia="Calibri"/>
          <w:color w:val="auto"/>
          <w:sz w:val="20"/>
        </w:rPr>
        <w:t xml:space="preserve">3)Build </w:t>
      </w:r>
      <w:r>
        <w:rPr>
          <w:rFonts w:eastAsia="Calibri"/>
          <w:color w:val="auto"/>
          <w:sz w:val="20"/>
        </w:rPr>
        <w:t xml:space="preserve">capacity of the </w:t>
      </w:r>
      <w:proofErr w:type="spellStart"/>
      <w:r>
        <w:rPr>
          <w:rFonts w:eastAsia="Calibri"/>
          <w:color w:val="auto"/>
          <w:sz w:val="20"/>
        </w:rPr>
        <w:t>MoH</w:t>
      </w:r>
      <w:proofErr w:type="spellEnd"/>
      <w:r>
        <w:rPr>
          <w:rFonts w:eastAsia="Calibri"/>
          <w:color w:val="auto"/>
          <w:sz w:val="20"/>
        </w:rPr>
        <w:t xml:space="preserve"> EPI logistics Manager on </w:t>
      </w:r>
      <w:proofErr w:type="spellStart"/>
      <w:r>
        <w:rPr>
          <w:rFonts w:eastAsia="Calibri"/>
          <w:color w:val="auto"/>
          <w:sz w:val="20"/>
        </w:rPr>
        <w:t>iSC</w:t>
      </w:r>
      <w:proofErr w:type="spellEnd"/>
      <w:r>
        <w:rPr>
          <w:rFonts w:eastAsia="Calibri"/>
          <w:color w:val="auto"/>
          <w:sz w:val="20"/>
        </w:rPr>
        <w:t xml:space="preserve"> Monitoring System through use and updating of EMV tracker and dashboard</w:t>
      </w:r>
    </w:p>
    <w:p w14:paraId="17923378" w14:textId="77777777" w:rsidR="00854649" w:rsidRPr="00E8774D" w:rsidRDefault="00854649" w:rsidP="00854649">
      <w:pPr>
        <w:spacing w:before="60" w:after="60" w:line="240" w:lineRule="auto"/>
        <w:ind w:left="720"/>
        <w:rPr>
          <w:rFonts w:eastAsia="Calibri"/>
          <w:color w:val="auto"/>
          <w:sz w:val="20"/>
        </w:rPr>
      </w:pPr>
    </w:p>
    <w:p w14:paraId="5ECD3E76" w14:textId="4F58CF5D" w:rsidR="00854649" w:rsidRPr="00190356" w:rsidRDefault="00854649" w:rsidP="00E52128">
      <w:pPr>
        <w:spacing w:before="60" w:after="60" w:line="240" w:lineRule="auto"/>
        <w:ind w:left="432"/>
        <w:rPr>
          <w:rFonts w:eastAsiaTheme="majorEastAsia"/>
          <w:color w:val="auto"/>
          <w:sz w:val="20"/>
          <w:lang w:val="en-GB"/>
        </w:rPr>
      </w:pPr>
      <w:r>
        <w:rPr>
          <w:rFonts w:eastAsia="Calibri"/>
          <w:b/>
          <w:bCs/>
          <w:color w:val="auto"/>
          <w:sz w:val="20"/>
        </w:rPr>
        <w:t xml:space="preserve">2.2 </w:t>
      </w:r>
      <w:r w:rsidRPr="00CF4FD8">
        <w:rPr>
          <w:rFonts w:eastAsia="Calibri"/>
          <w:b/>
          <w:bCs/>
          <w:color w:val="auto"/>
          <w:sz w:val="20"/>
        </w:rPr>
        <w:t>Activities: -</w:t>
      </w:r>
      <w:r w:rsidRPr="00CF4FD8">
        <w:rPr>
          <w:rFonts w:eastAsia="Calibri"/>
          <w:color w:val="auto"/>
          <w:sz w:val="20"/>
        </w:rPr>
        <w:t xml:space="preserve"> Support actions to increase local partners in ISC improvement in Mozambique </w:t>
      </w:r>
      <w:r>
        <w:rPr>
          <w:rFonts w:eastAsia="Calibri"/>
          <w:color w:val="auto"/>
          <w:sz w:val="20"/>
        </w:rPr>
        <w:t>aligned to</w:t>
      </w:r>
      <w:r w:rsidRPr="00CF4FD8">
        <w:rPr>
          <w:rFonts w:eastAsia="Calibri"/>
          <w:color w:val="auto"/>
          <w:sz w:val="20"/>
        </w:rPr>
        <w:t xml:space="preserve"> TA needs, </w:t>
      </w:r>
      <w:r w:rsidRPr="00CF4FD8">
        <w:rPr>
          <w:rFonts w:eastAsiaTheme="majorEastAsia"/>
          <w:color w:val="auto"/>
          <w:sz w:val="20"/>
          <w:lang w:eastAsia="en-US"/>
        </w:rPr>
        <w:t>EPI work plan and COVID-19 deployment plan</w:t>
      </w:r>
    </w:p>
    <w:p w14:paraId="02E213BB" w14:textId="77777777" w:rsidR="00854649" w:rsidRPr="00CF4FD8" w:rsidRDefault="00854649" w:rsidP="00854649">
      <w:pPr>
        <w:spacing w:before="60" w:after="60" w:line="240" w:lineRule="auto"/>
        <w:ind w:left="432"/>
        <w:rPr>
          <w:rFonts w:eastAsia="Calibri"/>
          <w:color w:val="auto"/>
          <w:sz w:val="20"/>
        </w:rPr>
      </w:pPr>
      <w:r w:rsidRPr="00CF4FD8">
        <w:rPr>
          <w:rFonts w:eastAsia="Calibri"/>
          <w:b/>
          <w:bCs/>
          <w:color w:val="auto"/>
          <w:sz w:val="20"/>
        </w:rPr>
        <w:t>Tasks:</w:t>
      </w:r>
      <w:r w:rsidRPr="00CF4FD8">
        <w:rPr>
          <w:rFonts w:eastAsia="Calibri"/>
          <w:color w:val="auto"/>
          <w:sz w:val="20"/>
        </w:rPr>
        <w:t xml:space="preserve"> - 1) Map</w:t>
      </w:r>
      <w:r>
        <w:rPr>
          <w:rFonts w:eastAsia="Calibri"/>
          <w:color w:val="auto"/>
          <w:sz w:val="20"/>
        </w:rPr>
        <w:t xml:space="preserve"> all</w:t>
      </w:r>
      <w:r w:rsidRPr="00CF4FD8">
        <w:rPr>
          <w:rFonts w:eastAsia="Calibri"/>
          <w:color w:val="auto"/>
          <w:sz w:val="20"/>
        </w:rPr>
        <w:t xml:space="preserve"> available partners</w:t>
      </w:r>
      <w:r>
        <w:rPr>
          <w:rFonts w:eastAsia="Calibri"/>
          <w:color w:val="auto"/>
          <w:sz w:val="20"/>
        </w:rPr>
        <w:t>, current and potential roles (capacities),</w:t>
      </w:r>
      <w:r w:rsidRPr="00CF4FD8">
        <w:rPr>
          <w:rFonts w:eastAsia="Calibri"/>
          <w:color w:val="auto"/>
          <w:sz w:val="20"/>
        </w:rPr>
        <w:t xml:space="preserve"> including new </w:t>
      </w:r>
      <w:r>
        <w:rPr>
          <w:rFonts w:eastAsia="Calibri"/>
          <w:color w:val="auto"/>
          <w:sz w:val="20"/>
        </w:rPr>
        <w:t>ones;</w:t>
      </w:r>
      <w:r w:rsidRPr="00CF4FD8">
        <w:rPr>
          <w:rFonts w:eastAsia="Calibri"/>
          <w:color w:val="auto"/>
          <w:sz w:val="20"/>
        </w:rPr>
        <w:t xml:space="preserve"> 2) </w:t>
      </w:r>
      <w:r>
        <w:rPr>
          <w:rFonts w:eastAsia="Calibri"/>
          <w:color w:val="auto"/>
          <w:sz w:val="20"/>
        </w:rPr>
        <w:t>Recommend and finalized</w:t>
      </w:r>
      <w:r w:rsidRPr="00CF4FD8">
        <w:rPr>
          <w:rFonts w:eastAsia="Calibri"/>
          <w:color w:val="auto"/>
          <w:sz w:val="20"/>
        </w:rPr>
        <w:t xml:space="preserve"> </w:t>
      </w:r>
      <w:r>
        <w:rPr>
          <w:rFonts w:eastAsia="Calibri"/>
          <w:color w:val="auto"/>
          <w:sz w:val="20"/>
        </w:rPr>
        <w:t xml:space="preserve">the </w:t>
      </w:r>
      <w:r w:rsidRPr="00CF4FD8">
        <w:rPr>
          <w:rFonts w:eastAsia="Calibri"/>
          <w:color w:val="auto"/>
          <w:sz w:val="20"/>
        </w:rPr>
        <w:t xml:space="preserve">criteria to </w:t>
      </w:r>
      <w:r>
        <w:rPr>
          <w:rFonts w:eastAsia="Calibri"/>
          <w:color w:val="auto"/>
          <w:sz w:val="20"/>
        </w:rPr>
        <w:t>onboard</w:t>
      </w:r>
      <w:r w:rsidRPr="00CF4FD8">
        <w:rPr>
          <w:rFonts w:eastAsia="Calibri"/>
          <w:color w:val="auto"/>
          <w:sz w:val="20"/>
        </w:rPr>
        <w:t xml:space="preserve"> local partners to strengthen the capacity for ISC</w:t>
      </w:r>
      <w:r>
        <w:rPr>
          <w:rFonts w:eastAsia="Calibri"/>
          <w:color w:val="auto"/>
          <w:sz w:val="20"/>
        </w:rPr>
        <w:t xml:space="preserve"> 3) Recommend the areas in ISC for cost-benefit analysis exercises</w:t>
      </w:r>
    </w:p>
    <w:p w14:paraId="361B9EC3" w14:textId="77777777" w:rsidR="00854649" w:rsidRPr="00544ED4" w:rsidRDefault="00854649" w:rsidP="00854649">
      <w:pPr>
        <w:spacing w:before="60" w:after="60" w:line="240" w:lineRule="auto"/>
        <w:ind w:left="432"/>
        <w:rPr>
          <w:rFonts w:eastAsia="Calibri"/>
          <w:color w:val="auto"/>
          <w:sz w:val="20"/>
        </w:rPr>
      </w:pPr>
    </w:p>
    <w:p w14:paraId="5CA670AA" w14:textId="0F0BB62F" w:rsidR="00854649" w:rsidRPr="00CF4FD8" w:rsidRDefault="00854649" w:rsidP="00E52128">
      <w:pPr>
        <w:spacing w:before="60" w:after="60" w:line="240" w:lineRule="auto"/>
        <w:ind w:left="432"/>
        <w:rPr>
          <w:rFonts w:eastAsia="Calibri"/>
          <w:color w:val="auto"/>
          <w:sz w:val="20"/>
        </w:rPr>
      </w:pPr>
      <w:r>
        <w:rPr>
          <w:rFonts w:eastAsia="Calibri"/>
          <w:b/>
          <w:bCs/>
          <w:color w:val="auto"/>
          <w:sz w:val="20"/>
        </w:rPr>
        <w:t xml:space="preserve">2.3 </w:t>
      </w:r>
      <w:r w:rsidRPr="00CF4FD8">
        <w:rPr>
          <w:rFonts w:eastAsia="Calibri"/>
          <w:b/>
          <w:bCs/>
          <w:color w:val="auto"/>
          <w:sz w:val="20"/>
        </w:rPr>
        <w:t>Activities: -</w:t>
      </w:r>
      <w:r w:rsidRPr="00CF4FD8">
        <w:rPr>
          <w:rFonts w:eastAsia="Calibri"/>
          <w:color w:val="auto"/>
          <w:sz w:val="20"/>
        </w:rPr>
        <w:t xml:space="preserve"> </w:t>
      </w:r>
      <w:bookmarkStart w:id="0" w:name="_Hlk72868648"/>
      <w:r>
        <w:rPr>
          <w:sz w:val="20"/>
        </w:rPr>
        <w:t>B</w:t>
      </w:r>
      <w:r w:rsidRPr="00CF4FD8">
        <w:rPr>
          <w:sz w:val="20"/>
        </w:rPr>
        <w:t>uilding on existing systems</w:t>
      </w:r>
      <w:r>
        <w:rPr>
          <w:sz w:val="20"/>
        </w:rPr>
        <w:t xml:space="preserve"> and existing gap analysis, d</w:t>
      </w:r>
      <w:r w:rsidRPr="00CF4FD8">
        <w:rPr>
          <w:sz w:val="20"/>
        </w:rPr>
        <w:t xml:space="preserve">evelop a system </w:t>
      </w:r>
      <w:r>
        <w:rPr>
          <w:sz w:val="20"/>
        </w:rPr>
        <w:t xml:space="preserve">for NLWG </w:t>
      </w:r>
      <w:r w:rsidRPr="00CF4FD8">
        <w:rPr>
          <w:sz w:val="20"/>
        </w:rPr>
        <w:t xml:space="preserve">to map, implement and track </w:t>
      </w:r>
      <w:r>
        <w:rPr>
          <w:sz w:val="20"/>
        </w:rPr>
        <w:t xml:space="preserve">TA support and </w:t>
      </w:r>
      <w:r w:rsidRPr="00CF4FD8">
        <w:rPr>
          <w:sz w:val="20"/>
        </w:rPr>
        <w:t xml:space="preserve">TA funding opportunities for supply chain improvement </w:t>
      </w:r>
      <w:bookmarkEnd w:id="0"/>
    </w:p>
    <w:p w14:paraId="783D01B8" w14:textId="77777777" w:rsidR="00854649" w:rsidRPr="00E8774D" w:rsidRDefault="00854649" w:rsidP="00854649">
      <w:pPr>
        <w:spacing w:before="60" w:after="60" w:line="240" w:lineRule="auto"/>
        <w:ind w:left="432"/>
        <w:rPr>
          <w:rFonts w:eastAsia="Calibri"/>
          <w:color w:val="auto"/>
          <w:sz w:val="20"/>
        </w:rPr>
      </w:pPr>
      <w:r w:rsidRPr="00CF4FD8">
        <w:rPr>
          <w:rFonts w:eastAsia="Calibri"/>
          <w:b/>
          <w:bCs/>
          <w:color w:val="auto"/>
          <w:sz w:val="20"/>
        </w:rPr>
        <w:t>Tasks: -</w:t>
      </w:r>
      <w:r w:rsidRPr="00CF4FD8">
        <w:rPr>
          <w:rFonts w:eastAsia="Calibri"/>
          <w:color w:val="auto"/>
          <w:sz w:val="20"/>
        </w:rPr>
        <w:t xml:space="preserve"> 1) </w:t>
      </w:r>
      <w:bookmarkStart w:id="1" w:name="_Hlk72868721"/>
      <w:r w:rsidRPr="00CF4FD8">
        <w:rPr>
          <w:rFonts w:eastAsia="Calibri"/>
          <w:color w:val="auto"/>
          <w:sz w:val="20"/>
        </w:rPr>
        <w:t>Identify and map the funding opportunities for the country to leverage on for its activities including new ones</w:t>
      </w:r>
      <w:r>
        <w:rPr>
          <w:rFonts w:eastAsia="Calibri"/>
          <w:color w:val="auto"/>
          <w:sz w:val="20"/>
        </w:rPr>
        <w:t>;</w:t>
      </w:r>
      <w:r w:rsidRPr="00CF4FD8">
        <w:rPr>
          <w:rFonts w:eastAsia="Calibri"/>
          <w:color w:val="auto"/>
          <w:sz w:val="20"/>
        </w:rPr>
        <w:t xml:space="preserve"> </w:t>
      </w:r>
      <w:r w:rsidRPr="00E8774D">
        <w:rPr>
          <w:rFonts w:eastAsia="Calibri"/>
          <w:color w:val="auto"/>
          <w:sz w:val="20"/>
        </w:rPr>
        <w:t xml:space="preserve">2) Create a database for the application of funding opportunities </w:t>
      </w:r>
      <w:bookmarkEnd w:id="1"/>
    </w:p>
    <w:p w14:paraId="5777F97C" w14:textId="77777777" w:rsidR="00854649" w:rsidRPr="00E8774D" w:rsidRDefault="00854649" w:rsidP="00854649">
      <w:pPr>
        <w:spacing w:before="60" w:after="60" w:line="240" w:lineRule="auto"/>
        <w:ind w:left="432"/>
        <w:rPr>
          <w:rFonts w:eastAsia="Calibri"/>
          <w:color w:val="auto"/>
          <w:sz w:val="20"/>
        </w:rPr>
      </w:pPr>
    </w:p>
    <w:p w14:paraId="30AAFDD0" w14:textId="77777777" w:rsidR="00854649" w:rsidRPr="00CF4FD8" w:rsidRDefault="00854649" w:rsidP="00854649">
      <w:pPr>
        <w:spacing w:before="60" w:after="60" w:line="240" w:lineRule="auto"/>
        <w:rPr>
          <w:rFonts w:eastAsia="Calibri"/>
          <w:color w:val="auto"/>
          <w:sz w:val="20"/>
        </w:rPr>
      </w:pPr>
    </w:p>
    <w:p w14:paraId="2AD7E064" w14:textId="6EB0EA6F" w:rsidR="00854649" w:rsidRPr="00E52128" w:rsidRDefault="00854649" w:rsidP="00E52128">
      <w:pPr>
        <w:pStyle w:val="ListParagraph"/>
        <w:numPr>
          <w:ilvl w:val="1"/>
          <w:numId w:val="30"/>
        </w:numPr>
        <w:spacing w:before="60" w:after="60" w:line="240" w:lineRule="auto"/>
        <w:rPr>
          <w:sz w:val="20"/>
        </w:rPr>
      </w:pPr>
      <w:r w:rsidRPr="00E52128">
        <w:rPr>
          <w:b/>
          <w:bCs/>
          <w:sz w:val="20"/>
        </w:rPr>
        <w:t>Activities:</w:t>
      </w:r>
      <w:r w:rsidRPr="00E52128">
        <w:rPr>
          <w:sz w:val="20"/>
        </w:rPr>
        <w:t xml:space="preserve"> - Attend relevant NLWG and ISC meetings and provide updates </w:t>
      </w:r>
    </w:p>
    <w:p w14:paraId="36C82F46" w14:textId="77777777" w:rsidR="00854649" w:rsidRPr="00CF4FD8" w:rsidRDefault="00854649" w:rsidP="00854649">
      <w:pPr>
        <w:spacing w:before="60" w:after="60" w:line="240" w:lineRule="auto"/>
        <w:ind w:left="432"/>
        <w:rPr>
          <w:rFonts w:eastAsia="Calibri"/>
          <w:color w:val="auto"/>
          <w:sz w:val="20"/>
        </w:rPr>
      </w:pPr>
      <w:r w:rsidRPr="00CF4FD8">
        <w:rPr>
          <w:rFonts w:eastAsia="Calibri"/>
          <w:b/>
          <w:bCs/>
          <w:color w:val="auto"/>
          <w:sz w:val="20"/>
        </w:rPr>
        <w:t>Tasks: -</w:t>
      </w:r>
      <w:r w:rsidRPr="00CF4FD8">
        <w:rPr>
          <w:rFonts w:eastAsia="Calibri"/>
          <w:color w:val="auto"/>
          <w:sz w:val="20"/>
        </w:rPr>
        <w:t xml:space="preserve"> 1) Participate in the NLWG meetings and relevant in-country meetings 2) Work with the NLWG leadership to improve the governance system as required 3) flag any issue.</w:t>
      </w:r>
    </w:p>
    <w:p w14:paraId="38CA6D31" w14:textId="77777777" w:rsidR="00854649" w:rsidRPr="00CF4FD8" w:rsidRDefault="00854649" w:rsidP="00854649">
      <w:pPr>
        <w:spacing w:before="60" w:after="60" w:line="240" w:lineRule="auto"/>
        <w:ind w:left="432"/>
        <w:rPr>
          <w:rFonts w:eastAsia="Calibri"/>
          <w:color w:val="auto"/>
          <w:sz w:val="20"/>
        </w:rPr>
      </w:pPr>
    </w:p>
    <w:p w14:paraId="385F4A32" w14:textId="77777777" w:rsidR="00811A04" w:rsidRPr="00F644EC" w:rsidRDefault="00811A04" w:rsidP="000A1D86">
      <w:pPr>
        <w:spacing w:line="240" w:lineRule="auto"/>
        <w:jc w:val="both"/>
        <w:rPr>
          <w:szCs w:val="22"/>
          <w:lang w:val="en-GB"/>
        </w:rPr>
      </w:pPr>
    </w:p>
    <w:p w14:paraId="3AAE4026" w14:textId="24DC40A3" w:rsidR="00811A04" w:rsidRPr="00F644EC" w:rsidRDefault="00272F46" w:rsidP="00E52128">
      <w:pPr>
        <w:spacing w:line="240" w:lineRule="auto"/>
        <w:jc w:val="both"/>
        <w:rPr>
          <w:b/>
          <w:i/>
          <w:szCs w:val="22"/>
          <w:u w:val="single"/>
          <w:lang w:val="en-GB"/>
        </w:rPr>
      </w:pPr>
      <w:r>
        <w:rPr>
          <w:b/>
          <w:szCs w:val="22"/>
          <w:u w:val="single"/>
          <w:lang w:val="en-GB"/>
        </w:rPr>
        <w:t xml:space="preserve">3. </w:t>
      </w:r>
      <w:r w:rsidR="00811A04" w:rsidRPr="00F644EC">
        <w:rPr>
          <w:b/>
          <w:szCs w:val="22"/>
          <w:u w:val="single"/>
          <w:lang w:val="en-GB"/>
        </w:rPr>
        <w:t>Deliverables</w:t>
      </w:r>
      <w:r w:rsidR="00811A04" w:rsidRPr="00E41B67">
        <w:rPr>
          <w:b/>
          <w:szCs w:val="22"/>
          <w:u w:val="single"/>
        </w:rPr>
        <w:t xml:space="preserve"> and</w:t>
      </w:r>
      <w:r w:rsidR="00811A04">
        <w:rPr>
          <w:b/>
          <w:szCs w:val="22"/>
          <w:u w:val="single"/>
        </w:rPr>
        <w:t xml:space="preserve"> Payments</w:t>
      </w:r>
      <w:r w:rsidR="00811A04" w:rsidRPr="00F644EC">
        <w:rPr>
          <w:b/>
          <w:szCs w:val="22"/>
          <w:u w:val="single"/>
          <w:lang w:val="en-GB"/>
        </w:rPr>
        <w:t>:</w:t>
      </w:r>
      <w:r w:rsidR="00811A04" w:rsidRPr="00F644EC">
        <w:rPr>
          <w:szCs w:val="22"/>
        </w:rPr>
        <w:t xml:space="preserve">  </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4389"/>
        <w:gridCol w:w="1735"/>
        <w:gridCol w:w="1601"/>
        <w:gridCol w:w="1357"/>
        <w:gridCol w:w="1355"/>
      </w:tblGrid>
      <w:tr w:rsidR="00272F46" w:rsidRPr="00190356" w14:paraId="74C29C43" w14:textId="77777777" w:rsidTr="00473834">
        <w:trPr>
          <w:tblHeader/>
        </w:trPr>
        <w:tc>
          <w:tcPr>
            <w:tcW w:w="2103" w:type="pct"/>
            <w:shd w:val="clear" w:color="auto" w:fill="F2F2F2"/>
          </w:tcPr>
          <w:p w14:paraId="615AC545" w14:textId="77777777" w:rsidR="00272F46" w:rsidRPr="00190356" w:rsidRDefault="00272F46" w:rsidP="00473834">
            <w:pPr>
              <w:spacing w:before="60" w:after="60" w:line="240" w:lineRule="auto"/>
              <w:rPr>
                <w:b/>
                <w:sz w:val="20"/>
                <w:lang w:val="en-GB"/>
              </w:rPr>
            </w:pPr>
            <w:bookmarkStart w:id="2" w:name="_Hlk74294789"/>
            <w:r w:rsidRPr="00190356">
              <w:rPr>
                <w:b/>
                <w:sz w:val="20"/>
                <w:lang w:val="en-GB"/>
              </w:rPr>
              <w:t>Deliverables/ Milestones</w:t>
            </w:r>
          </w:p>
        </w:tc>
        <w:tc>
          <w:tcPr>
            <w:tcW w:w="831" w:type="pct"/>
            <w:shd w:val="clear" w:color="auto" w:fill="F2F2F2"/>
          </w:tcPr>
          <w:p w14:paraId="724EC367" w14:textId="77777777" w:rsidR="00272F46" w:rsidRPr="00190356" w:rsidRDefault="00272F46" w:rsidP="00473834">
            <w:pPr>
              <w:spacing w:before="60" w:after="60" w:line="240" w:lineRule="auto"/>
              <w:jc w:val="center"/>
              <w:rPr>
                <w:b/>
                <w:sz w:val="20"/>
                <w:lang w:val="en-GB"/>
              </w:rPr>
            </w:pPr>
            <w:r w:rsidRPr="00190356">
              <w:rPr>
                <w:b/>
                <w:sz w:val="20"/>
                <w:lang w:val="en-GB"/>
              </w:rPr>
              <w:t>Duration (Estimated # of days or months)</w:t>
            </w:r>
          </w:p>
        </w:tc>
        <w:tc>
          <w:tcPr>
            <w:tcW w:w="767" w:type="pct"/>
            <w:shd w:val="clear" w:color="auto" w:fill="F2F2F2"/>
          </w:tcPr>
          <w:p w14:paraId="52AB305E" w14:textId="77777777" w:rsidR="00272F46" w:rsidRPr="00190356" w:rsidRDefault="00272F46" w:rsidP="00473834">
            <w:pPr>
              <w:spacing w:before="60" w:after="60" w:line="240" w:lineRule="auto"/>
              <w:jc w:val="center"/>
              <w:rPr>
                <w:b/>
                <w:sz w:val="20"/>
                <w:lang w:val="en-GB"/>
              </w:rPr>
            </w:pPr>
            <w:r w:rsidRPr="00190356">
              <w:rPr>
                <w:b/>
                <w:sz w:val="20"/>
                <w:lang w:val="en-GB"/>
              </w:rPr>
              <w:t>Timeline/ Deadline</w:t>
            </w:r>
          </w:p>
        </w:tc>
        <w:tc>
          <w:tcPr>
            <w:tcW w:w="650" w:type="pct"/>
            <w:shd w:val="clear" w:color="auto" w:fill="F2F2F2"/>
          </w:tcPr>
          <w:p w14:paraId="0C6B59FF" w14:textId="77777777" w:rsidR="00272F46" w:rsidRPr="00190356" w:rsidRDefault="00272F46" w:rsidP="00473834">
            <w:pPr>
              <w:spacing w:before="60" w:after="60" w:line="240" w:lineRule="auto"/>
              <w:jc w:val="center"/>
              <w:rPr>
                <w:b/>
                <w:sz w:val="20"/>
                <w:lang w:val="en-GB"/>
              </w:rPr>
            </w:pPr>
            <w:r>
              <w:rPr>
                <w:b/>
                <w:sz w:val="20"/>
                <w:lang w:val="en-GB"/>
              </w:rPr>
              <w:t>Estimated Workload</w:t>
            </w:r>
          </w:p>
        </w:tc>
        <w:tc>
          <w:tcPr>
            <w:tcW w:w="650" w:type="pct"/>
            <w:shd w:val="clear" w:color="auto" w:fill="F2F2F2"/>
          </w:tcPr>
          <w:p w14:paraId="0D6848EE" w14:textId="77777777" w:rsidR="00272F46" w:rsidRPr="00190356" w:rsidRDefault="00272F46" w:rsidP="00473834">
            <w:pPr>
              <w:spacing w:before="60" w:after="60" w:line="240" w:lineRule="auto"/>
              <w:jc w:val="center"/>
              <w:rPr>
                <w:b/>
                <w:sz w:val="20"/>
                <w:lang w:val="en-GB"/>
              </w:rPr>
            </w:pPr>
            <w:r w:rsidRPr="00190356">
              <w:rPr>
                <w:b/>
                <w:sz w:val="20"/>
                <w:lang w:val="en-GB"/>
              </w:rPr>
              <w:t>Schedule of payment</w:t>
            </w:r>
          </w:p>
        </w:tc>
      </w:tr>
      <w:tr w:rsidR="00272F46" w:rsidRPr="00B34080" w14:paraId="0C8D5DEB" w14:textId="77777777" w:rsidTr="00473834">
        <w:tc>
          <w:tcPr>
            <w:tcW w:w="2103" w:type="pct"/>
            <w:shd w:val="clear" w:color="auto" w:fill="auto"/>
          </w:tcPr>
          <w:p w14:paraId="0DF3E0E3" w14:textId="77777777" w:rsidR="00272F46" w:rsidRPr="00E52128" w:rsidRDefault="00272F46" w:rsidP="00E52128">
            <w:pPr>
              <w:spacing w:line="240" w:lineRule="auto"/>
              <w:jc w:val="both"/>
              <w:rPr>
                <w:b/>
                <w:bCs/>
                <w:i/>
                <w:szCs w:val="22"/>
                <w:u w:val="single"/>
              </w:rPr>
            </w:pPr>
            <w:r w:rsidRPr="00E52128">
              <w:rPr>
                <w:b/>
                <w:bCs/>
                <w:i/>
                <w:szCs w:val="22"/>
                <w:u w:val="single"/>
              </w:rPr>
              <w:t>Deliverable 1:</w:t>
            </w:r>
          </w:p>
          <w:p w14:paraId="68F1B351" w14:textId="049C9048" w:rsidR="00272F46" w:rsidRPr="00BE68A3" w:rsidRDefault="00272F46" w:rsidP="00E52128">
            <w:pPr>
              <w:spacing w:line="240" w:lineRule="auto"/>
              <w:jc w:val="both"/>
              <w:rPr>
                <w:rFonts w:eastAsia="Calibri"/>
                <w:sz w:val="20"/>
              </w:rPr>
            </w:pPr>
            <w:r w:rsidRPr="00BE68A3">
              <w:rPr>
                <w:rFonts w:eastAsia="Calibri"/>
                <w:sz w:val="20"/>
              </w:rPr>
              <w:t>Monthly Progress report of the 3 first months that includes overall status of the consultancy, Key activities conducted with the NLWG and government and progress on recommendations to improve EVMIP &amp; dashboard,</w:t>
            </w:r>
          </w:p>
          <w:p w14:paraId="1B7929BB" w14:textId="77777777" w:rsidR="00272F46" w:rsidRPr="00BE68A3" w:rsidRDefault="00272F46" w:rsidP="00E52128">
            <w:pPr>
              <w:spacing w:line="240" w:lineRule="auto"/>
              <w:ind w:left="426"/>
              <w:jc w:val="both"/>
              <w:rPr>
                <w:rFonts w:eastAsia="Calibri"/>
                <w:sz w:val="20"/>
              </w:rPr>
            </w:pPr>
          </w:p>
          <w:p w14:paraId="1242B5B7" w14:textId="77777777" w:rsidR="00272F46" w:rsidRPr="00E52128" w:rsidRDefault="00272F46" w:rsidP="00E52128">
            <w:pPr>
              <w:spacing w:line="240" w:lineRule="auto"/>
              <w:ind w:left="426"/>
              <w:jc w:val="both"/>
              <w:rPr>
                <w:i/>
                <w:szCs w:val="22"/>
                <w:u w:val="single"/>
              </w:rPr>
            </w:pPr>
            <w:r w:rsidRPr="00BE68A3">
              <w:rPr>
                <w:rFonts w:eastAsia="Calibri"/>
                <w:sz w:val="20"/>
              </w:rPr>
              <w:t>Monthly progress report should be submitted electronically to the Immunization and Supply &amp; Logistics Specialists with copy to the section head</w:t>
            </w:r>
            <w:r w:rsidRPr="00E52128">
              <w:rPr>
                <w:i/>
                <w:szCs w:val="22"/>
                <w:u w:val="single"/>
              </w:rPr>
              <w:t xml:space="preserve">. </w:t>
            </w:r>
          </w:p>
          <w:p w14:paraId="2441EB99" w14:textId="77777777" w:rsidR="00272F46" w:rsidRPr="00E52128" w:rsidRDefault="00272F46" w:rsidP="00E52128">
            <w:pPr>
              <w:spacing w:line="240" w:lineRule="auto"/>
              <w:ind w:left="426"/>
              <w:jc w:val="both"/>
              <w:rPr>
                <w:i/>
                <w:szCs w:val="22"/>
                <w:u w:val="single"/>
              </w:rPr>
            </w:pPr>
          </w:p>
          <w:p w14:paraId="0FF81651" w14:textId="77777777" w:rsidR="00272F46" w:rsidRDefault="00272F46" w:rsidP="00473834">
            <w:pPr>
              <w:ind w:left="720"/>
              <w:rPr>
                <w:rFonts w:eastAsia="Calibri"/>
                <w:sz w:val="20"/>
              </w:rPr>
            </w:pPr>
            <w:r w:rsidRPr="00CF4FD8">
              <w:rPr>
                <w:rFonts w:eastAsia="Calibri"/>
                <w:sz w:val="20"/>
              </w:rPr>
              <w:t xml:space="preserve">The monthly report should be submitted after 7 day of the </w:t>
            </w:r>
            <w:r w:rsidRPr="00CF4FD8">
              <w:rPr>
                <w:sz w:val="20"/>
              </w:rPr>
              <w:t xml:space="preserve">preceding </w:t>
            </w:r>
            <w:r w:rsidRPr="00CF4FD8">
              <w:rPr>
                <w:rFonts w:eastAsia="Calibri"/>
                <w:sz w:val="20"/>
              </w:rPr>
              <w:t xml:space="preserve">month </w:t>
            </w:r>
          </w:p>
          <w:p w14:paraId="3B7CCAB6" w14:textId="77777777" w:rsidR="00272F46" w:rsidRDefault="00272F46" w:rsidP="00473834">
            <w:pPr>
              <w:rPr>
                <w:rFonts w:eastAsia="Calibri"/>
                <w:sz w:val="20"/>
              </w:rPr>
            </w:pPr>
          </w:p>
          <w:p w14:paraId="11CA913C" w14:textId="61B2EE6E" w:rsidR="00272F46" w:rsidRPr="00473834" w:rsidRDefault="00272F46" w:rsidP="00E52128">
            <w:pPr>
              <w:spacing w:line="240" w:lineRule="auto"/>
              <w:jc w:val="both"/>
              <w:rPr>
                <w:b/>
                <w:bCs/>
                <w:i/>
                <w:szCs w:val="22"/>
                <w:u w:val="single"/>
              </w:rPr>
            </w:pPr>
            <w:r w:rsidRPr="00473834">
              <w:rPr>
                <w:b/>
                <w:bCs/>
                <w:i/>
                <w:szCs w:val="22"/>
                <w:u w:val="single"/>
              </w:rPr>
              <w:t xml:space="preserve">Deliverable </w:t>
            </w:r>
            <w:r>
              <w:rPr>
                <w:b/>
                <w:bCs/>
                <w:i/>
                <w:szCs w:val="22"/>
                <w:u w:val="single"/>
              </w:rPr>
              <w:t>2</w:t>
            </w:r>
            <w:r w:rsidRPr="00473834">
              <w:rPr>
                <w:b/>
                <w:bCs/>
                <w:i/>
                <w:szCs w:val="22"/>
                <w:u w:val="single"/>
              </w:rPr>
              <w:t>:</w:t>
            </w:r>
          </w:p>
          <w:p w14:paraId="3D79852E" w14:textId="77777777" w:rsidR="00272F46" w:rsidRDefault="00272F46" w:rsidP="00473834">
            <w:pPr>
              <w:rPr>
                <w:rFonts w:eastAsia="Calibri"/>
                <w:sz w:val="20"/>
              </w:rPr>
            </w:pPr>
            <w:r w:rsidRPr="00CF4FD8">
              <w:rPr>
                <w:rFonts w:eastAsia="Calibri"/>
                <w:sz w:val="20"/>
              </w:rPr>
              <w:t>Map</w:t>
            </w:r>
            <w:r>
              <w:rPr>
                <w:rFonts w:eastAsia="Calibri"/>
                <w:sz w:val="20"/>
              </w:rPr>
              <w:t xml:space="preserve"> all available and potential </w:t>
            </w:r>
            <w:proofErr w:type="gramStart"/>
            <w:r>
              <w:rPr>
                <w:rFonts w:eastAsia="Calibri"/>
                <w:sz w:val="20"/>
              </w:rPr>
              <w:t xml:space="preserve">new </w:t>
            </w:r>
            <w:r w:rsidRPr="00CF4FD8">
              <w:rPr>
                <w:rFonts w:eastAsia="Calibri"/>
                <w:sz w:val="20"/>
              </w:rPr>
              <w:t xml:space="preserve"> partners</w:t>
            </w:r>
            <w:proofErr w:type="gramEnd"/>
            <w:r w:rsidRPr="00CF4FD8">
              <w:rPr>
                <w:rFonts w:eastAsia="Calibri"/>
                <w:sz w:val="20"/>
              </w:rPr>
              <w:t xml:space="preserve"> and provide recommendation to set </w:t>
            </w:r>
            <w:r>
              <w:rPr>
                <w:rFonts w:eastAsia="Calibri"/>
                <w:sz w:val="20"/>
              </w:rPr>
              <w:t xml:space="preserve">the </w:t>
            </w:r>
            <w:r w:rsidRPr="00CF4FD8">
              <w:rPr>
                <w:rFonts w:eastAsia="Calibri"/>
                <w:sz w:val="20"/>
              </w:rPr>
              <w:t>criteria to on boarding local partners to strengthen the capacity for ISC.</w:t>
            </w:r>
          </w:p>
          <w:p w14:paraId="79F7001D" w14:textId="77777777" w:rsidR="00272F46" w:rsidRDefault="00272F46" w:rsidP="00473834">
            <w:pPr>
              <w:rPr>
                <w:rFonts w:eastAsia="Calibri"/>
                <w:sz w:val="20"/>
              </w:rPr>
            </w:pPr>
          </w:p>
          <w:p w14:paraId="13CC408A" w14:textId="77777777" w:rsidR="00272F46" w:rsidRDefault="00272F46" w:rsidP="00473834">
            <w:pPr>
              <w:rPr>
                <w:rFonts w:eastAsia="Calibri"/>
                <w:sz w:val="20"/>
              </w:rPr>
            </w:pPr>
          </w:p>
          <w:p w14:paraId="36A982AD" w14:textId="318A6AF5" w:rsidR="00272F46" w:rsidRPr="00473834" w:rsidRDefault="00272F46" w:rsidP="00E52128">
            <w:pPr>
              <w:spacing w:line="240" w:lineRule="auto"/>
              <w:jc w:val="both"/>
              <w:rPr>
                <w:b/>
                <w:bCs/>
                <w:i/>
                <w:szCs w:val="22"/>
                <w:u w:val="single"/>
              </w:rPr>
            </w:pPr>
            <w:r w:rsidRPr="00473834">
              <w:rPr>
                <w:b/>
                <w:bCs/>
                <w:i/>
                <w:szCs w:val="22"/>
                <w:u w:val="single"/>
              </w:rPr>
              <w:t xml:space="preserve">Deliverable </w:t>
            </w:r>
            <w:r>
              <w:rPr>
                <w:b/>
                <w:bCs/>
                <w:i/>
                <w:szCs w:val="22"/>
                <w:u w:val="single"/>
              </w:rPr>
              <w:t>3</w:t>
            </w:r>
            <w:r w:rsidRPr="00473834">
              <w:rPr>
                <w:b/>
                <w:bCs/>
                <w:i/>
                <w:szCs w:val="22"/>
                <w:u w:val="single"/>
              </w:rPr>
              <w:t>:</w:t>
            </w:r>
          </w:p>
          <w:p w14:paraId="1DD4A61B" w14:textId="77777777" w:rsidR="00272F46" w:rsidRDefault="00272F46" w:rsidP="00473834">
            <w:pPr>
              <w:rPr>
                <w:rFonts w:eastAsia="Calibri"/>
                <w:sz w:val="20"/>
              </w:rPr>
            </w:pPr>
            <w:r w:rsidRPr="00CF4FD8">
              <w:rPr>
                <w:rFonts w:eastAsia="Calibri"/>
                <w:sz w:val="20"/>
              </w:rPr>
              <w:t xml:space="preserve">Design a system, </w:t>
            </w:r>
            <w:proofErr w:type="gramStart"/>
            <w:r w:rsidRPr="00CF4FD8">
              <w:rPr>
                <w:rFonts w:eastAsia="Calibri"/>
                <w:sz w:val="20"/>
              </w:rPr>
              <w:t>identify</w:t>
            </w:r>
            <w:proofErr w:type="gramEnd"/>
            <w:r w:rsidRPr="00CF4FD8">
              <w:rPr>
                <w:rFonts w:eastAsia="Calibri"/>
                <w:sz w:val="20"/>
              </w:rPr>
              <w:t xml:space="preserve"> and map the TA funding opportunities for the country to leverage on for its activities including new ones and create a database for the application of funding opportunities</w:t>
            </w:r>
          </w:p>
          <w:p w14:paraId="01F52797" w14:textId="77777777" w:rsidR="00272F46" w:rsidRDefault="00272F46" w:rsidP="00473834">
            <w:pPr>
              <w:rPr>
                <w:rFonts w:eastAsia="Calibri"/>
                <w:sz w:val="20"/>
              </w:rPr>
            </w:pPr>
          </w:p>
          <w:p w14:paraId="1013EA34" w14:textId="68A7C529" w:rsidR="00987DBA" w:rsidRPr="00473834" w:rsidRDefault="00987DBA" w:rsidP="00987DBA">
            <w:pPr>
              <w:spacing w:line="240" w:lineRule="auto"/>
              <w:jc w:val="both"/>
              <w:rPr>
                <w:b/>
                <w:bCs/>
                <w:i/>
                <w:szCs w:val="22"/>
                <w:u w:val="single"/>
              </w:rPr>
            </w:pPr>
            <w:r w:rsidRPr="00473834">
              <w:rPr>
                <w:b/>
                <w:bCs/>
                <w:i/>
                <w:szCs w:val="22"/>
                <w:u w:val="single"/>
              </w:rPr>
              <w:t xml:space="preserve">Deliverable </w:t>
            </w:r>
            <w:r>
              <w:rPr>
                <w:b/>
                <w:bCs/>
                <w:i/>
                <w:szCs w:val="22"/>
                <w:u w:val="single"/>
              </w:rPr>
              <w:t>4</w:t>
            </w:r>
            <w:r w:rsidRPr="00473834">
              <w:rPr>
                <w:b/>
                <w:bCs/>
                <w:i/>
                <w:szCs w:val="22"/>
                <w:u w:val="single"/>
              </w:rPr>
              <w:t>:</w:t>
            </w:r>
          </w:p>
          <w:p w14:paraId="34FC6DCD" w14:textId="2B094135" w:rsidR="00272F46" w:rsidRDefault="00987DBA" w:rsidP="00473834">
            <w:pPr>
              <w:rPr>
                <w:rFonts w:eastAsia="Calibri"/>
                <w:sz w:val="20"/>
              </w:rPr>
            </w:pPr>
            <w:r w:rsidRPr="00987DBA">
              <w:rPr>
                <w:rFonts w:eastAsia="Calibri"/>
                <w:sz w:val="20"/>
              </w:rPr>
              <w:t>Final report which shall incorporate recommendation to improve EVMIP &amp; dashboard, system design and mapping of TA funding opportunity, mapping available local partners to strengthen the capacity for ISC.</w:t>
            </w:r>
          </w:p>
          <w:p w14:paraId="1156491D" w14:textId="77777777" w:rsidR="00272F46" w:rsidRPr="00CF4FD8" w:rsidRDefault="00272F46" w:rsidP="00E52128">
            <w:pPr>
              <w:shd w:val="clear" w:color="auto" w:fill="FFFFFF"/>
              <w:rPr>
                <w:rFonts w:eastAsia="Calibri"/>
                <w:sz w:val="20"/>
              </w:rPr>
            </w:pPr>
          </w:p>
        </w:tc>
        <w:tc>
          <w:tcPr>
            <w:tcW w:w="831" w:type="pct"/>
            <w:shd w:val="clear" w:color="auto" w:fill="auto"/>
          </w:tcPr>
          <w:p w14:paraId="363F962F" w14:textId="77777777" w:rsidR="00272F46" w:rsidRDefault="00272F46" w:rsidP="00473834">
            <w:pPr>
              <w:spacing w:before="60" w:after="60" w:line="240" w:lineRule="auto"/>
              <w:rPr>
                <w:sz w:val="20"/>
                <w:lang w:val="en-GB"/>
              </w:rPr>
            </w:pPr>
            <w:r>
              <w:rPr>
                <w:sz w:val="20"/>
                <w:lang w:val="en-GB"/>
              </w:rPr>
              <w:lastRenderedPageBreak/>
              <w:t>4 days per month / 12 days total</w:t>
            </w:r>
          </w:p>
          <w:p w14:paraId="407148D7" w14:textId="77777777" w:rsidR="00272F46" w:rsidRDefault="00272F46" w:rsidP="00473834">
            <w:pPr>
              <w:spacing w:before="60" w:after="60" w:line="240" w:lineRule="auto"/>
              <w:rPr>
                <w:sz w:val="20"/>
                <w:lang w:val="en-GB"/>
              </w:rPr>
            </w:pPr>
          </w:p>
          <w:p w14:paraId="550429AF" w14:textId="77777777" w:rsidR="00272F46" w:rsidRDefault="00272F46" w:rsidP="00473834">
            <w:pPr>
              <w:spacing w:before="60" w:after="60" w:line="240" w:lineRule="auto"/>
              <w:rPr>
                <w:sz w:val="20"/>
                <w:lang w:val="en-GB"/>
              </w:rPr>
            </w:pPr>
          </w:p>
          <w:p w14:paraId="1BC006A7" w14:textId="77777777" w:rsidR="00272F46" w:rsidRDefault="00272F46" w:rsidP="00473834">
            <w:pPr>
              <w:spacing w:before="60" w:after="60" w:line="240" w:lineRule="auto"/>
              <w:rPr>
                <w:sz w:val="20"/>
                <w:lang w:val="en-GB"/>
              </w:rPr>
            </w:pPr>
          </w:p>
          <w:p w14:paraId="30CBF39C" w14:textId="77777777" w:rsidR="00272F46" w:rsidRDefault="00272F46" w:rsidP="00473834">
            <w:pPr>
              <w:spacing w:before="60" w:after="60" w:line="240" w:lineRule="auto"/>
              <w:rPr>
                <w:sz w:val="20"/>
                <w:lang w:val="en-GB"/>
              </w:rPr>
            </w:pPr>
            <w:r>
              <w:rPr>
                <w:sz w:val="20"/>
                <w:lang w:val="en-GB"/>
              </w:rPr>
              <w:t xml:space="preserve"> </w:t>
            </w:r>
          </w:p>
          <w:p w14:paraId="1B4D7154" w14:textId="77777777" w:rsidR="00272F46" w:rsidRDefault="00272F46" w:rsidP="00473834">
            <w:pPr>
              <w:spacing w:before="60" w:after="60" w:line="240" w:lineRule="auto"/>
              <w:rPr>
                <w:sz w:val="20"/>
                <w:lang w:val="en-GB"/>
              </w:rPr>
            </w:pPr>
          </w:p>
          <w:p w14:paraId="05016C33" w14:textId="77777777" w:rsidR="00272F46" w:rsidRDefault="00272F46" w:rsidP="00473834">
            <w:pPr>
              <w:spacing w:before="60" w:after="60" w:line="240" w:lineRule="auto"/>
              <w:rPr>
                <w:sz w:val="20"/>
                <w:lang w:val="en-GB"/>
              </w:rPr>
            </w:pPr>
          </w:p>
          <w:p w14:paraId="22A09B59" w14:textId="77777777" w:rsidR="00272F46" w:rsidRDefault="00272F46" w:rsidP="00473834">
            <w:pPr>
              <w:spacing w:before="60" w:after="60" w:line="240" w:lineRule="auto"/>
              <w:rPr>
                <w:sz w:val="20"/>
                <w:lang w:val="en-GB"/>
              </w:rPr>
            </w:pPr>
          </w:p>
          <w:p w14:paraId="06746F5D" w14:textId="77777777" w:rsidR="00272F46" w:rsidRDefault="00272F46" w:rsidP="00473834">
            <w:pPr>
              <w:spacing w:before="60" w:after="60" w:line="240" w:lineRule="auto"/>
              <w:rPr>
                <w:sz w:val="20"/>
                <w:lang w:val="en-GB"/>
              </w:rPr>
            </w:pPr>
          </w:p>
          <w:p w14:paraId="3BE107F2" w14:textId="77777777" w:rsidR="00272F46" w:rsidRDefault="00272F46" w:rsidP="00473834">
            <w:pPr>
              <w:spacing w:before="60" w:after="60" w:line="240" w:lineRule="auto"/>
              <w:rPr>
                <w:sz w:val="20"/>
                <w:lang w:val="en-GB"/>
              </w:rPr>
            </w:pPr>
          </w:p>
          <w:p w14:paraId="42FA9B7E" w14:textId="77777777" w:rsidR="00272F46" w:rsidRDefault="00272F46" w:rsidP="00473834">
            <w:pPr>
              <w:spacing w:before="60" w:after="60" w:line="240" w:lineRule="auto"/>
              <w:rPr>
                <w:sz w:val="20"/>
                <w:lang w:val="en-GB"/>
              </w:rPr>
            </w:pPr>
          </w:p>
          <w:p w14:paraId="232BFCAE" w14:textId="77777777" w:rsidR="00272F46" w:rsidRDefault="00272F46" w:rsidP="00473834">
            <w:pPr>
              <w:spacing w:before="60" w:after="60" w:line="240" w:lineRule="auto"/>
              <w:rPr>
                <w:sz w:val="20"/>
                <w:lang w:val="en-GB"/>
              </w:rPr>
            </w:pPr>
          </w:p>
          <w:p w14:paraId="698952C2" w14:textId="77777777" w:rsidR="00272F46" w:rsidRDefault="00272F46" w:rsidP="00473834">
            <w:pPr>
              <w:spacing w:before="60" w:after="60" w:line="240" w:lineRule="auto"/>
              <w:rPr>
                <w:sz w:val="20"/>
                <w:lang w:val="en-GB"/>
              </w:rPr>
            </w:pPr>
          </w:p>
          <w:p w14:paraId="5438DB7B" w14:textId="77777777" w:rsidR="00272F46" w:rsidRDefault="00272F46" w:rsidP="00473834">
            <w:pPr>
              <w:spacing w:before="60" w:after="60" w:line="240" w:lineRule="auto"/>
              <w:rPr>
                <w:sz w:val="20"/>
                <w:lang w:val="en-GB"/>
              </w:rPr>
            </w:pPr>
          </w:p>
          <w:p w14:paraId="2448D2F4" w14:textId="77777777" w:rsidR="00272F46" w:rsidRDefault="00272F46" w:rsidP="00473834">
            <w:pPr>
              <w:spacing w:before="60" w:after="60" w:line="240" w:lineRule="auto"/>
              <w:rPr>
                <w:sz w:val="20"/>
                <w:lang w:val="en-GB"/>
              </w:rPr>
            </w:pPr>
            <w:r>
              <w:rPr>
                <w:sz w:val="20"/>
                <w:lang w:val="en-GB"/>
              </w:rPr>
              <w:t>15 days</w:t>
            </w:r>
          </w:p>
          <w:p w14:paraId="18D1A93E" w14:textId="77777777" w:rsidR="00272F46" w:rsidRDefault="00272F46" w:rsidP="00473834">
            <w:pPr>
              <w:spacing w:before="60" w:after="60" w:line="240" w:lineRule="auto"/>
              <w:rPr>
                <w:sz w:val="20"/>
                <w:lang w:val="en-GB"/>
              </w:rPr>
            </w:pPr>
          </w:p>
          <w:p w14:paraId="3E5677C1" w14:textId="77777777" w:rsidR="00272F46" w:rsidRDefault="00272F46" w:rsidP="00473834">
            <w:pPr>
              <w:spacing w:before="60" w:after="60" w:line="240" w:lineRule="auto"/>
              <w:rPr>
                <w:sz w:val="20"/>
                <w:lang w:val="en-GB"/>
              </w:rPr>
            </w:pPr>
          </w:p>
          <w:p w14:paraId="163D04DA" w14:textId="77777777" w:rsidR="00272F46" w:rsidRDefault="00272F46" w:rsidP="00473834">
            <w:pPr>
              <w:spacing w:before="60" w:after="60" w:line="240" w:lineRule="auto"/>
              <w:rPr>
                <w:sz w:val="20"/>
                <w:lang w:val="en-GB"/>
              </w:rPr>
            </w:pPr>
          </w:p>
          <w:p w14:paraId="3DEFDB97" w14:textId="77777777" w:rsidR="00272F46" w:rsidRDefault="00272F46" w:rsidP="00473834">
            <w:pPr>
              <w:spacing w:before="60" w:after="60" w:line="240" w:lineRule="auto"/>
              <w:rPr>
                <w:sz w:val="20"/>
                <w:lang w:val="en-GB"/>
              </w:rPr>
            </w:pPr>
          </w:p>
          <w:p w14:paraId="35C7F2C4" w14:textId="77777777" w:rsidR="00272F46" w:rsidRDefault="00272F46" w:rsidP="00473834">
            <w:pPr>
              <w:spacing w:before="60" w:after="60" w:line="240" w:lineRule="auto"/>
              <w:rPr>
                <w:sz w:val="20"/>
                <w:lang w:val="en-GB"/>
              </w:rPr>
            </w:pPr>
          </w:p>
          <w:p w14:paraId="52B92AE9" w14:textId="77777777" w:rsidR="00272F46" w:rsidRDefault="00272F46" w:rsidP="00473834">
            <w:pPr>
              <w:spacing w:before="60" w:after="60" w:line="240" w:lineRule="auto"/>
              <w:rPr>
                <w:sz w:val="20"/>
                <w:lang w:val="en-GB"/>
              </w:rPr>
            </w:pPr>
            <w:r>
              <w:rPr>
                <w:sz w:val="20"/>
                <w:lang w:val="en-GB"/>
              </w:rPr>
              <w:t>21 days</w:t>
            </w:r>
          </w:p>
          <w:p w14:paraId="24B00117" w14:textId="77777777" w:rsidR="00272F46" w:rsidRDefault="00272F46" w:rsidP="00473834">
            <w:pPr>
              <w:spacing w:before="60" w:after="60" w:line="240" w:lineRule="auto"/>
              <w:rPr>
                <w:sz w:val="20"/>
                <w:lang w:val="en-GB"/>
              </w:rPr>
            </w:pPr>
          </w:p>
          <w:p w14:paraId="0F269E09" w14:textId="77777777" w:rsidR="00272F46" w:rsidRDefault="00272F46" w:rsidP="00473834">
            <w:pPr>
              <w:spacing w:before="60" w:after="60" w:line="240" w:lineRule="auto"/>
              <w:rPr>
                <w:sz w:val="20"/>
                <w:lang w:val="en-GB"/>
              </w:rPr>
            </w:pPr>
          </w:p>
          <w:p w14:paraId="5789681B" w14:textId="77777777" w:rsidR="00272F46" w:rsidRDefault="00272F46" w:rsidP="00473834">
            <w:pPr>
              <w:spacing w:before="60" w:after="60" w:line="240" w:lineRule="auto"/>
              <w:rPr>
                <w:sz w:val="20"/>
                <w:lang w:val="en-GB"/>
              </w:rPr>
            </w:pPr>
          </w:p>
          <w:p w14:paraId="4D6BAD6C" w14:textId="77777777" w:rsidR="00272F46" w:rsidRDefault="00272F46" w:rsidP="00473834">
            <w:pPr>
              <w:spacing w:before="60" w:after="60" w:line="240" w:lineRule="auto"/>
              <w:rPr>
                <w:sz w:val="20"/>
                <w:lang w:val="en-GB"/>
              </w:rPr>
            </w:pPr>
          </w:p>
          <w:p w14:paraId="36E8EB5E" w14:textId="77777777" w:rsidR="00272F46" w:rsidRDefault="00272F46" w:rsidP="00473834">
            <w:pPr>
              <w:spacing w:before="60" w:after="60" w:line="240" w:lineRule="auto"/>
              <w:rPr>
                <w:sz w:val="20"/>
                <w:lang w:val="en-GB"/>
              </w:rPr>
            </w:pPr>
          </w:p>
          <w:p w14:paraId="209A348A" w14:textId="77777777" w:rsidR="00272F46" w:rsidRDefault="00272F46" w:rsidP="00473834">
            <w:pPr>
              <w:spacing w:before="60" w:after="60" w:line="240" w:lineRule="auto"/>
              <w:rPr>
                <w:sz w:val="20"/>
                <w:lang w:val="en-GB"/>
              </w:rPr>
            </w:pPr>
            <w:r>
              <w:rPr>
                <w:sz w:val="20"/>
                <w:lang w:val="en-GB"/>
              </w:rPr>
              <w:t>12 days</w:t>
            </w:r>
          </w:p>
          <w:p w14:paraId="56DE5F3C" w14:textId="77777777" w:rsidR="00272F46" w:rsidRDefault="00272F46" w:rsidP="00473834">
            <w:pPr>
              <w:spacing w:before="60" w:after="60" w:line="240" w:lineRule="auto"/>
              <w:rPr>
                <w:sz w:val="20"/>
                <w:lang w:val="en-GB"/>
              </w:rPr>
            </w:pPr>
          </w:p>
          <w:p w14:paraId="2BF8571E" w14:textId="77777777" w:rsidR="00272F46" w:rsidRPr="00190356" w:rsidRDefault="00272F46" w:rsidP="00473834">
            <w:pPr>
              <w:spacing w:before="60" w:after="60" w:line="240" w:lineRule="auto"/>
              <w:rPr>
                <w:sz w:val="20"/>
                <w:lang w:val="en-GB"/>
              </w:rPr>
            </w:pPr>
          </w:p>
        </w:tc>
        <w:tc>
          <w:tcPr>
            <w:tcW w:w="767" w:type="pct"/>
            <w:shd w:val="clear" w:color="auto" w:fill="auto"/>
          </w:tcPr>
          <w:p w14:paraId="7132D6F6" w14:textId="77777777" w:rsidR="00272F46" w:rsidRDefault="00272F46" w:rsidP="00473834">
            <w:pPr>
              <w:spacing w:before="60" w:after="60" w:line="240" w:lineRule="auto"/>
              <w:rPr>
                <w:rFonts w:eastAsia="Calibri"/>
                <w:sz w:val="20"/>
              </w:rPr>
            </w:pPr>
            <w:r w:rsidRPr="00C51BE4">
              <w:rPr>
                <w:rFonts w:eastAsia="Calibri"/>
                <w:sz w:val="20"/>
              </w:rPr>
              <w:lastRenderedPageBreak/>
              <w:t>7 day</w:t>
            </w:r>
            <w:r>
              <w:rPr>
                <w:rFonts w:eastAsia="Calibri"/>
                <w:sz w:val="20"/>
              </w:rPr>
              <w:t>s after completion</w:t>
            </w:r>
            <w:r w:rsidRPr="00C51BE4">
              <w:rPr>
                <w:rFonts w:eastAsia="Calibri"/>
                <w:sz w:val="20"/>
              </w:rPr>
              <w:t xml:space="preserve"> of the month</w:t>
            </w:r>
          </w:p>
          <w:p w14:paraId="466D9CFE" w14:textId="77777777" w:rsidR="00272F46" w:rsidRDefault="00272F46" w:rsidP="00473834">
            <w:pPr>
              <w:spacing w:before="60" w:after="60" w:line="240" w:lineRule="auto"/>
              <w:rPr>
                <w:rFonts w:eastAsia="Calibri"/>
                <w:sz w:val="20"/>
              </w:rPr>
            </w:pPr>
          </w:p>
          <w:p w14:paraId="762C9F67" w14:textId="77777777" w:rsidR="00272F46" w:rsidRDefault="00272F46" w:rsidP="00473834">
            <w:pPr>
              <w:spacing w:before="60" w:after="60" w:line="240" w:lineRule="auto"/>
              <w:rPr>
                <w:rFonts w:eastAsia="Calibri"/>
                <w:sz w:val="20"/>
              </w:rPr>
            </w:pPr>
          </w:p>
          <w:p w14:paraId="28EC182C" w14:textId="77777777" w:rsidR="00272F46" w:rsidRDefault="00272F46" w:rsidP="00473834">
            <w:pPr>
              <w:spacing w:before="60" w:after="60" w:line="240" w:lineRule="auto"/>
              <w:rPr>
                <w:rFonts w:eastAsia="Calibri"/>
                <w:sz w:val="20"/>
              </w:rPr>
            </w:pPr>
          </w:p>
          <w:p w14:paraId="04681D3D" w14:textId="77777777" w:rsidR="00272F46" w:rsidRDefault="00272F46" w:rsidP="00473834">
            <w:pPr>
              <w:spacing w:before="60" w:after="60" w:line="240" w:lineRule="auto"/>
              <w:rPr>
                <w:rFonts w:eastAsia="Calibri"/>
                <w:sz w:val="20"/>
              </w:rPr>
            </w:pPr>
          </w:p>
          <w:p w14:paraId="29366B0D" w14:textId="77777777" w:rsidR="00272F46" w:rsidRDefault="00272F46" w:rsidP="00473834">
            <w:pPr>
              <w:spacing w:before="60" w:after="60" w:line="240" w:lineRule="auto"/>
              <w:rPr>
                <w:rFonts w:eastAsia="Calibri"/>
                <w:sz w:val="20"/>
              </w:rPr>
            </w:pPr>
          </w:p>
          <w:p w14:paraId="27B5ACEA" w14:textId="77777777" w:rsidR="00272F46" w:rsidRDefault="00272F46" w:rsidP="00473834">
            <w:pPr>
              <w:spacing w:before="60" w:after="60" w:line="240" w:lineRule="auto"/>
              <w:rPr>
                <w:rFonts w:eastAsia="Calibri"/>
                <w:sz w:val="20"/>
              </w:rPr>
            </w:pPr>
          </w:p>
          <w:p w14:paraId="7FB742A7" w14:textId="77777777" w:rsidR="00272F46" w:rsidRDefault="00272F46" w:rsidP="00473834">
            <w:pPr>
              <w:spacing w:before="60" w:after="60" w:line="240" w:lineRule="auto"/>
              <w:rPr>
                <w:rFonts w:eastAsia="Calibri"/>
                <w:sz w:val="20"/>
              </w:rPr>
            </w:pPr>
          </w:p>
          <w:p w14:paraId="348502F8" w14:textId="77777777" w:rsidR="00272F46" w:rsidRDefault="00272F46" w:rsidP="00473834">
            <w:pPr>
              <w:spacing w:before="60" w:after="60" w:line="240" w:lineRule="auto"/>
              <w:rPr>
                <w:rFonts w:eastAsia="Calibri"/>
                <w:sz w:val="20"/>
              </w:rPr>
            </w:pPr>
          </w:p>
          <w:p w14:paraId="6DCFB923" w14:textId="77777777" w:rsidR="00272F46" w:rsidRDefault="00272F46" w:rsidP="00473834">
            <w:pPr>
              <w:spacing w:before="60" w:after="60" w:line="240" w:lineRule="auto"/>
              <w:rPr>
                <w:rFonts w:eastAsia="Calibri"/>
                <w:sz w:val="20"/>
              </w:rPr>
            </w:pPr>
          </w:p>
          <w:p w14:paraId="54FE53C6" w14:textId="77777777" w:rsidR="00272F46" w:rsidRDefault="00272F46" w:rsidP="00473834">
            <w:pPr>
              <w:spacing w:before="60" w:after="60" w:line="240" w:lineRule="auto"/>
              <w:rPr>
                <w:rFonts w:eastAsia="Calibri"/>
                <w:sz w:val="20"/>
              </w:rPr>
            </w:pPr>
          </w:p>
          <w:p w14:paraId="3BE0A7AD" w14:textId="77777777" w:rsidR="00272F46" w:rsidRDefault="00272F46" w:rsidP="00473834">
            <w:pPr>
              <w:spacing w:before="60" w:after="60" w:line="240" w:lineRule="auto"/>
              <w:rPr>
                <w:rFonts w:eastAsia="Calibri"/>
                <w:sz w:val="20"/>
              </w:rPr>
            </w:pPr>
          </w:p>
          <w:p w14:paraId="7414D7DB" w14:textId="77777777" w:rsidR="00272F46" w:rsidRDefault="00272F46" w:rsidP="00473834">
            <w:pPr>
              <w:spacing w:before="60" w:after="60" w:line="240" w:lineRule="auto"/>
              <w:rPr>
                <w:rFonts w:eastAsia="Calibri"/>
                <w:sz w:val="20"/>
              </w:rPr>
            </w:pPr>
          </w:p>
          <w:p w14:paraId="37DB875D" w14:textId="77777777" w:rsidR="00272F46" w:rsidRDefault="00272F46" w:rsidP="00473834">
            <w:pPr>
              <w:spacing w:before="60" w:after="60" w:line="240" w:lineRule="auto"/>
              <w:rPr>
                <w:rFonts w:eastAsia="Calibri"/>
                <w:sz w:val="20"/>
              </w:rPr>
            </w:pPr>
          </w:p>
          <w:p w14:paraId="348D5C09" w14:textId="5EA9EC4F" w:rsidR="00272F46" w:rsidRDefault="00272F46" w:rsidP="00473834">
            <w:pPr>
              <w:spacing w:before="60" w:after="60" w:line="240" w:lineRule="auto"/>
              <w:rPr>
                <w:rFonts w:eastAsia="Calibri"/>
                <w:sz w:val="20"/>
              </w:rPr>
            </w:pPr>
            <w:r>
              <w:rPr>
                <w:rFonts w:eastAsia="Calibri"/>
                <w:sz w:val="20"/>
              </w:rPr>
              <w:t>End of the consultancy</w:t>
            </w:r>
          </w:p>
          <w:p w14:paraId="2E1083FC" w14:textId="77777777" w:rsidR="00272F46" w:rsidRDefault="00272F46" w:rsidP="00473834">
            <w:pPr>
              <w:spacing w:before="60" w:after="60" w:line="240" w:lineRule="auto"/>
              <w:rPr>
                <w:rFonts w:eastAsia="Calibri"/>
                <w:sz w:val="20"/>
              </w:rPr>
            </w:pPr>
          </w:p>
          <w:p w14:paraId="4AA435A9" w14:textId="77777777" w:rsidR="00272F46" w:rsidRDefault="00272F46" w:rsidP="00473834">
            <w:pPr>
              <w:spacing w:before="60" w:after="60" w:line="240" w:lineRule="auto"/>
              <w:rPr>
                <w:rFonts w:eastAsia="Calibri"/>
                <w:sz w:val="20"/>
              </w:rPr>
            </w:pPr>
          </w:p>
          <w:p w14:paraId="18AB6971" w14:textId="77777777" w:rsidR="00272F46" w:rsidRDefault="00272F46" w:rsidP="00473834">
            <w:pPr>
              <w:spacing w:before="60" w:after="60" w:line="240" w:lineRule="auto"/>
              <w:rPr>
                <w:rFonts w:eastAsia="Calibri"/>
                <w:sz w:val="20"/>
              </w:rPr>
            </w:pPr>
          </w:p>
          <w:p w14:paraId="02F8CDC0" w14:textId="77777777" w:rsidR="00272F46" w:rsidRDefault="00272F46" w:rsidP="00473834">
            <w:pPr>
              <w:spacing w:before="60" w:after="60" w:line="240" w:lineRule="auto"/>
              <w:rPr>
                <w:rFonts w:eastAsia="Calibri"/>
                <w:sz w:val="20"/>
              </w:rPr>
            </w:pPr>
          </w:p>
          <w:p w14:paraId="1DF9ECFC" w14:textId="77777777" w:rsidR="00272F46" w:rsidRDefault="00272F46" w:rsidP="00473834">
            <w:pPr>
              <w:spacing w:before="60" w:after="60" w:line="240" w:lineRule="auto"/>
              <w:rPr>
                <w:rFonts w:eastAsia="Calibri"/>
                <w:sz w:val="20"/>
              </w:rPr>
            </w:pPr>
            <w:r>
              <w:rPr>
                <w:rFonts w:eastAsia="Calibri"/>
                <w:sz w:val="20"/>
              </w:rPr>
              <w:t>End of the consultancy</w:t>
            </w:r>
          </w:p>
          <w:p w14:paraId="180535CD" w14:textId="77777777" w:rsidR="00272F46" w:rsidRDefault="00272F46" w:rsidP="00473834">
            <w:pPr>
              <w:spacing w:before="60" w:after="60" w:line="240" w:lineRule="auto"/>
              <w:rPr>
                <w:rFonts w:eastAsia="Calibri"/>
                <w:sz w:val="20"/>
              </w:rPr>
            </w:pPr>
          </w:p>
          <w:p w14:paraId="1AEDB112" w14:textId="77777777" w:rsidR="00272F46" w:rsidRDefault="00272F46" w:rsidP="00473834">
            <w:pPr>
              <w:spacing w:before="60" w:after="60" w:line="240" w:lineRule="auto"/>
              <w:rPr>
                <w:rFonts w:eastAsia="Calibri"/>
                <w:sz w:val="20"/>
              </w:rPr>
            </w:pPr>
          </w:p>
          <w:p w14:paraId="2BAED0D6" w14:textId="77777777" w:rsidR="00272F46" w:rsidRDefault="00272F46" w:rsidP="00473834">
            <w:pPr>
              <w:spacing w:before="60" w:after="60" w:line="240" w:lineRule="auto"/>
              <w:rPr>
                <w:rFonts w:eastAsia="Calibri"/>
                <w:sz w:val="20"/>
              </w:rPr>
            </w:pPr>
          </w:p>
          <w:p w14:paraId="6C8E7EA7" w14:textId="77777777" w:rsidR="00272F46" w:rsidRDefault="00272F46" w:rsidP="00473834">
            <w:pPr>
              <w:spacing w:before="60" w:after="60" w:line="240" w:lineRule="auto"/>
              <w:rPr>
                <w:rFonts w:eastAsia="Calibri"/>
                <w:sz w:val="20"/>
              </w:rPr>
            </w:pPr>
          </w:p>
          <w:p w14:paraId="319DAF80" w14:textId="77777777" w:rsidR="00272F46" w:rsidRDefault="00272F46" w:rsidP="00473834">
            <w:pPr>
              <w:spacing w:before="60" w:after="60" w:line="240" w:lineRule="auto"/>
              <w:rPr>
                <w:rFonts w:eastAsia="Calibri"/>
                <w:sz w:val="20"/>
              </w:rPr>
            </w:pPr>
            <w:r>
              <w:rPr>
                <w:rFonts w:eastAsia="Calibri"/>
                <w:sz w:val="20"/>
              </w:rPr>
              <w:t>End of the consultancy</w:t>
            </w:r>
          </w:p>
          <w:p w14:paraId="09628B75" w14:textId="77777777" w:rsidR="00272F46" w:rsidRDefault="00272F46" w:rsidP="00473834">
            <w:pPr>
              <w:spacing w:before="60" w:after="60" w:line="240" w:lineRule="auto"/>
              <w:rPr>
                <w:rFonts w:eastAsia="Calibri"/>
                <w:sz w:val="20"/>
              </w:rPr>
            </w:pPr>
          </w:p>
          <w:p w14:paraId="248CC5B2" w14:textId="77777777" w:rsidR="00272F46" w:rsidRDefault="00272F46" w:rsidP="00473834">
            <w:pPr>
              <w:spacing w:before="60" w:after="60" w:line="240" w:lineRule="auto"/>
              <w:rPr>
                <w:rFonts w:eastAsia="Calibri"/>
                <w:sz w:val="20"/>
              </w:rPr>
            </w:pPr>
          </w:p>
          <w:p w14:paraId="47890E5D" w14:textId="77777777" w:rsidR="00272F46" w:rsidRDefault="00272F46" w:rsidP="00473834">
            <w:pPr>
              <w:spacing w:before="60" w:after="60" w:line="240" w:lineRule="auto"/>
              <w:rPr>
                <w:rFonts w:eastAsia="Calibri"/>
                <w:sz w:val="20"/>
              </w:rPr>
            </w:pPr>
          </w:p>
          <w:p w14:paraId="6FF8D14F" w14:textId="77777777" w:rsidR="00272F46" w:rsidRDefault="00272F46" w:rsidP="00473834">
            <w:pPr>
              <w:spacing w:before="60" w:after="60" w:line="240" w:lineRule="auto"/>
              <w:rPr>
                <w:rFonts w:eastAsia="Calibri"/>
                <w:sz w:val="20"/>
              </w:rPr>
            </w:pPr>
          </w:p>
          <w:p w14:paraId="3782C780" w14:textId="77777777" w:rsidR="00272F46" w:rsidRDefault="00272F46" w:rsidP="00473834">
            <w:pPr>
              <w:spacing w:before="60" w:after="60" w:line="240" w:lineRule="auto"/>
              <w:rPr>
                <w:rFonts w:eastAsia="Calibri"/>
                <w:sz w:val="20"/>
              </w:rPr>
            </w:pPr>
          </w:p>
          <w:p w14:paraId="2F2C4075" w14:textId="77777777" w:rsidR="00272F46" w:rsidRDefault="00272F46" w:rsidP="00473834">
            <w:pPr>
              <w:spacing w:before="60" w:after="60" w:line="240" w:lineRule="auto"/>
              <w:rPr>
                <w:rFonts w:eastAsia="Calibri"/>
                <w:sz w:val="20"/>
              </w:rPr>
            </w:pPr>
          </w:p>
          <w:p w14:paraId="4FB1A2DE" w14:textId="77777777" w:rsidR="00272F46" w:rsidRPr="00190356" w:rsidRDefault="00272F46" w:rsidP="00473834">
            <w:pPr>
              <w:spacing w:before="60" w:after="60" w:line="240" w:lineRule="auto"/>
              <w:rPr>
                <w:sz w:val="20"/>
                <w:lang w:val="en-GB"/>
              </w:rPr>
            </w:pPr>
          </w:p>
        </w:tc>
        <w:tc>
          <w:tcPr>
            <w:tcW w:w="650" w:type="pct"/>
          </w:tcPr>
          <w:p w14:paraId="6CC1FABC" w14:textId="77777777" w:rsidR="00272F46" w:rsidRDefault="00272F46" w:rsidP="00473834">
            <w:pPr>
              <w:spacing w:before="60" w:after="60" w:line="240" w:lineRule="auto"/>
              <w:rPr>
                <w:sz w:val="20"/>
                <w:lang w:val="en-GB"/>
              </w:rPr>
            </w:pPr>
            <w:r>
              <w:rPr>
                <w:sz w:val="20"/>
                <w:lang w:val="en-GB"/>
              </w:rPr>
              <w:lastRenderedPageBreak/>
              <w:t>20% of the 4 months consultancy</w:t>
            </w:r>
          </w:p>
          <w:p w14:paraId="68BCE133" w14:textId="77777777" w:rsidR="00272F46" w:rsidRDefault="00272F46" w:rsidP="00473834">
            <w:pPr>
              <w:spacing w:before="60" w:after="60" w:line="240" w:lineRule="auto"/>
              <w:rPr>
                <w:sz w:val="20"/>
                <w:lang w:val="en-GB"/>
              </w:rPr>
            </w:pPr>
          </w:p>
          <w:p w14:paraId="311858BD" w14:textId="77777777" w:rsidR="00272F46" w:rsidRDefault="00272F46" w:rsidP="00473834">
            <w:pPr>
              <w:spacing w:before="60" w:after="60" w:line="240" w:lineRule="auto"/>
              <w:rPr>
                <w:sz w:val="20"/>
                <w:lang w:val="en-GB"/>
              </w:rPr>
            </w:pPr>
          </w:p>
          <w:p w14:paraId="0E112421" w14:textId="77777777" w:rsidR="00272F46" w:rsidRDefault="00272F46" w:rsidP="00473834">
            <w:pPr>
              <w:spacing w:before="60" w:after="60" w:line="240" w:lineRule="auto"/>
              <w:rPr>
                <w:sz w:val="20"/>
                <w:lang w:val="en-GB"/>
              </w:rPr>
            </w:pPr>
          </w:p>
          <w:p w14:paraId="42A3B4D2" w14:textId="77777777" w:rsidR="00272F46" w:rsidRDefault="00272F46" w:rsidP="00473834">
            <w:pPr>
              <w:spacing w:before="60" w:after="60" w:line="240" w:lineRule="auto"/>
              <w:rPr>
                <w:sz w:val="20"/>
                <w:lang w:val="en-GB"/>
              </w:rPr>
            </w:pPr>
          </w:p>
          <w:p w14:paraId="1D5CA3EC" w14:textId="77777777" w:rsidR="00272F46" w:rsidRDefault="00272F46" w:rsidP="00473834">
            <w:pPr>
              <w:spacing w:before="60" w:after="60" w:line="240" w:lineRule="auto"/>
              <w:rPr>
                <w:sz w:val="20"/>
                <w:lang w:val="en-GB"/>
              </w:rPr>
            </w:pPr>
          </w:p>
          <w:p w14:paraId="06096117" w14:textId="77777777" w:rsidR="00272F46" w:rsidRDefault="00272F46" w:rsidP="00473834">
            <w:pPr>
              <w:spacing w:before="60" w:after="60" w:line="240" w:lineRule="auto"/>
              <w:rPr>
                <w:sz w:val="20"/>
                <w:lang w:val="en-GB"/>
              </w:rPr>
            </w:pPr>
          </w:p>
          <w:p w14:paraId="30DE665B" w14:textId="77777777" w:rsidR="00272F46" w:rsidRDefault="00272F46" w:rsidP="00473834">
            <w:pPr>
              <w:spacing w:before="60" w:after="60" w:line="240" w:lineRule="auto"/>
              <w:rPr>
                <w:sz w:val="20"/>
                <w:lang w:val="en-GB"/>
              </w:rPr>
            </w:pPr>
          </w:p>
          <w:p w14:paraId="5F0970F9" w14:textId="77777777" w:rsidR="00272F46" w:rsidRDefault="00272F46" w:rsidP="00473834">
            <w:pPr>
              <w:spacing w:before="60" w:after="60" w:line="240" w:lineRule="auto"/>
              <w:rPr>
                <w:sz w:val="20"/>
                <w:lang w:val="en-GB"/>
              </w:rPr>
            </w:pPr>
          </w:p>
          <w:p w14:paraId="083FD7FA" w14:textId="77777777" w:rsidR="00272F46" w:rsidRDefault="00272F46" w:rsidP="00473834">
            <w:pPr>
              <w:spacing w:before="60" w:after="60" w:line="240" w:lineRule="auto"/>
              <w:rPr>
                <w:sz w:val="20"/>
                <w:lang w:val="en-GB"/>
              </w:rPr>
            </w:pPr>
          </w:p>
          <w:p w14:paraId="144D4B4B" w14:textId="77777777" w:rsidR="00272F46" w:rsidRDefault="00272F46" w:rsidP="00473834">
            <w:pPr>
              <w:spacing w:before="60" w:after="60" w:line="240" w:lineRule="auto"/>
              <w:rPr>
                <w:sz w:val="20"/>
                <w:lang w:val="en-GB"/>
              </w:rPr>
            </w:pPr>
          </w:p>
          <w:p w14:paraId="744E3BEF" w14:textId="77777777" w:rsidR="00272F46" w:rsidRDefault="00272F46" w:rsidP="00473834">
            <w:pPr>
              <w:spacing w:before="60" w:after="60" w:line="240" w:lineRule="auto"/>
              <w:rPr>
                <w:sz w:val="20"/>
                <w:lang w:val="en-GB"/>
              </w:rPr>
            </w:pPr>
          </w:p>
          <w:p w14:paraId="785E28CC" w14:textId="77777777" w:rsidR="00272F46" w:rsidRDefault="00272F46" w:rsidP="00473834">
            <w:pPr>
              <w:spacing w:before="60" w:after="60" w:line="240" w:lineRule="auto"/>
              <w:rPr>
                <w:sz w:val="20"/>
                <w:lang w:val="en-GB"/>
              </w:rPr>
            </w:pPr>
          </w:p>
          <w:p w14:paraId="4F500661" w14:textId="77777777" w:rsidR="00272F46" w:rsidRDefault="00272F46" w:rsidP="00473834">
            <w:pPr>
              <w:spacing w:before="60" w:after="60" w:line="240" w:lineRule="auto"/>
              <w:rPr>
                <w:sz w:val="20"/>
                <w:lang w:val="en-GB"/>
              </w:rPr>
            </w:pPr>
          </w:p>
          <w:p w14:paraId="4C11A336" w14:textId="77777777" w:rsidR="00272F46" w:rsidRDefault="00272F46" w:rsidP="00473834">
            <w:pPr>
              <w:spacing w:before="60" w:after="60" w:line="240" w:lineRule="auto"/>
              <w:rPr>
                <w:sz w:val="20"/>
                <w:lang w:val="en-GB"/>
              </w:rPr>
            </w:pPr>
            <w:r>
              <w:rPr>
                <w:sz w:val="20"/>
                <w:lang w:val="en-GB"/>
              </w:rPr>
              <w:t>25% of the 4 months consultancy</w:t>
            </w:r>
          </w:p>
          <w:p w14:paraId="5BAF1EA4" w14:textId="77777777" w:rsidR="00272F46" w:rsidRDefault="00272F46" w:rsidP="00473834">
            <w:pPr>
              <w:spacing w:before="60" w:after="60" w:line="240" w:lineRule="auto"/>
              <w:rPr>
                <w:sz w:val="20"/>
                <w:lang w:val="en-GB"/>
              </w:rPr>
            </w:pPr>
          </w:p>
          <w:p w14:paraId="6837531E" w14:textId="77777777" w:rsidR="00272F46" w:rsidRDefault="00272F46" w:rsidP="00473834">
            <w:pPr>
              <w:spacing w:before="60" w:after="60" w:line="240" w:lineRule="auto"/>
              <w:rPr>
                <w:sz w:val="20"/>
                <w:lang w:val="en-GB"/>
              </w:rPr>
            </w:pPr>
          </w:p>
          <w:p w14:paraId="2D7C8210" w14:textId="77777777" w:rsidR="00272F46" w:rsidRDefault="00272F46" w:rsidP="00473834">
            <w:pPr>
              <w:spacing w:before="60" w:after="60" w:line="240" w:lineRule="auto"/>
              <w:rPr>
                <w:sz w:val="20"/>
                <w:lang w:val="en-GB"/>
              </w:rPr>
            </w:pPr>
            <w:r>
              <w:rPr>
                <w:sz w:val="20"/>
                <w:lang w:val="en-GB"/>
              </w:rPr>
              <w:t>35% of the 4 months consultancy</w:t>
            </w:r>
          </w:p>
          <w:p w14:paraId="1C966353" w14:textId="77777777" w:rsidR="00272F46" w:rsidRDefault="00272F46" w:rsidP="00473834">
            <w:pPr>
              <w:spacing w:before="60" w:after="60" w:line="240" w:lineRule="auto"/>
              <w:rPr>
                <w:sz w:val="20"/>
                <w:lang w:val="en-GB"/>
              </w:rPr>
            </w:pPr>
          </w:p>
          <w:p w14:paraId="506D33E1" w14:textId="77777777" w:rsidR="00272F46" w:rsidRDefault="00272F46" w:rsidP="00473834">
            <w:pPr>
              <w:spacing w:before="60" w:after="60" w:line="240" w:lineRule="auto"/>
              <w:rPr>
                <w:sz w:val="20"/>
                <w:lang w:val="en-GB"/>
              </w:rPr>
            </w:pPr>
          </w:p>
          <w:p w14:paraId="086C1895" w14:textId="77777777" w:rsidR="00272F46" w:rsidRDefault="00272F46" w:rsidP="00473834">
            <w:pPr>
              <w:spacing w:before="60" w:after="60" w:line="240" w:lineRule="auto"/>
              <w:rPr>
                <w:sz w:val="20"/>
                <w:lang w:val="en-GB"/>
              </w:rPr>
            </w:pPr>
          </w:p>
          <w:p w14:paraId="35F7B770" w14:textId="77777777" w:rsidR="00272F46" w:rsidRDefault="00272F46" w:rsidP="00473834">
            <w:pPr>
              <w:spacing w:before="60" w:after="60" w:line="240" w:lineRule="auto"/>
              <w:rPr>
                <w:sz w:val="20"/>
                <w:lang w:val="en-GB"/>
              </w:rPr>
            </w:pPr>
          </w:p>
          <w:p w14:paraId="7B451D13" w14:textId="77777777" w:rsidR="00272F46" w:rsidRDefault="00272F46" w:rsidP="00473834">
            <w:pPr>
              <w:spacing w:before="60" w:after="60" w:line="240" w:lineRule="auto"/>
              <w:rPr>
                <w:sz w:val="20"/>
                <w:lang w:val="en-GB"/>
              </w:rPr>
            </w:pPr>
            <w:r>
              <w:rPr>
                <w:sz w:val="20"/>
                <w:lang w:val="en-GB"/>
              </w:rPr>
              <w:t>20% of the 4 months consultancy</w:t>
            </w:r>
          </w:p>
          <w:p w14:paraId="2579567E" w14:textId="77777777" w:rsidR="00272F46" w:rsidRDefault="00272F46" w:rsidP="00473834">
            <w:pPr>
              <w:spacing w:before="60" w:after="60" w:line="240" w:lineRule="auto"/>
              <w:rPr>
                <w:sz w:val="20"/>
                <w:lang w:val="en-GB"/>
              </w:rPr>
            </w:pPr>
          </w:p>
          <w:p w14:paraId="3AF7EB87" w14:textId="77777777" w:rsidR="00272F46" w:rsidRPr="00190356" w:rsidRDefault="00272F46" w:rsidP="00473834">
            <w:pPr>
              <w:spacing w:before="60" w:after="60" w:line="240" w:lineRule="auto"/>
              <w:rPr>
                <w:sz w:val="20"/>
                <w:lang w:val="en-GB"/>
              </w:rPr>
            </w:pPr>
          </w:p>
        </w:tc>
        <w:tc>
          <w:tcPr>
            <w:tcW w:w="650" w:type="pct"/>
          </w:tcPr>
          <w:p w14:paraId="54136605" w14:textId="77777777" w:rsidR="00272F46" w:rsidRDefault="00272F46" w:rsidP="00473834">
            <w:pPr>
              <w:spacing w:before="60" w:after="60" w:line="240" w:lineRule="auto"/>
              <w:rPr>
                <w:sz w:val="20"/>
                <w:lang w:val="en-GB"/>
              </w:rPr>
            </w:pPr>
            <w:r w:rsidRPr="00190356">
              <w:rPr>
                <w:sz w:val="20"/>
                <w:lang w:val="en-GB"/>
              </w:rPr>
              <w:lastRenderedPageBreak/>
              <w:t xml:space="preserve">Monthly after submission of progress report </w:t>
            </w:r>
            <w:r>
              <w:rPr>
                <w:sz w:val="20"/>
                <w:lang w:val="en-GB"/>
              </w:rPr>
              <w:t>M1 – M2 – M3</w:t>
            </w:r>
          </w:p>
          <w:p w14:paraId="073DAEB4" w14:textId="77777777" w:rsidR="00272F46" w:rsidRDefault="00272F46" w:rsidP="00473834">
            <w:pPr>
              <w:spacing w:before="60" w:after="60" w:line="240" w:lineRule="auto"/>
              <w:rPr>
                <w:sz w:val="20"/>
                <w:lang w:val="en-GB"/>
              </w:rPr>
            </w:pPr>
          </w:p>
          <w:p w14:paraId="6463DD8B" w14:textId="77777777" w:rsidR="00272F46" w:rsidRDefault="00272F46" w:rsidP="00473834">
            <w:pPr>
              <w:spacing w:before="60" w:after="60" w:line="240" w:lineRule="auto"/>
              <w:rPr>
                <w:sz w:val="20"/>
                <w:lang w:val="en-GB"/>
              </w:rPr>
            </w:pPr>
          </w:p>
          <w:p w14:paraId="66371980" w14:textId="77777777" w:rsidR="00272F46" w:rsidRDefault="00272F46" w:rsidP="00473834">
            <w:pPr>
              <w:spacing w:before="60" w:after="60" w:line="240" w:lineRule="auto"/>
              <w:rPr>
                <w:sz w:val="20"/>
                <w:lang w:val="en-GB"/>
              </w:rPr>
            </w:pPr>
          </w:p>
          <w:p w14:paraId="6ADA34F0" w14:textId="77777777" w:rsidR="00272F46" w:rsidRDefault="00272F46" w:rsidP="00473834">
            <w:pPr>
              <w:spacing w:before="60" w:after="60" w:line="240" w:lineRule="auto"/>
              <w:rPr>
                <w:sz w:val="20"/>
                <w:lang w:val="en-GB"/>
              </w:rPr>
            </w:pPr>
          </w:p>
          <w:p w14:paraId="502DDB8A" w14:textId="77777777" w:rsidR="00272F46" w:rsidRDefault="00272F46" w:rsidP="00473834">
            <w:pPr>
              <w:spacing w:before="60" w:after="60" w:line="240" w:lineRule="auto"/>
              <w:rPr>
                <w:sz w:val="20"/>
                <w:lang w:val="en-GB"/>
              </w:rPr>
            </w:pPr>
          </w:p>
          <w:p w14:paraId="0A4C1CD2" w14:textId="77777777" w:rsidR="00272F46" w:rsidRDefault="00272F46" w:rsidP="00473834">
            <w:pPr>
              <w:spacing w:before="60" w:after="60" w:line="240" w:lineRule="auto"/>
              <w:rPr>
                <w:sz w:val="20"/>
                <w:lang w:val="en-GB"/>
              </w:rPr>
            </w:pPr>
          </w:p>
          <w:p w14:paraId="24FA560B" w14:textId="77777777" w:rsidR="00272F46" w:rsidRDefault="00272F46" w:rsidP="00473834">
            <w:pPr>
              <w:spacing w:before="60" w:after="60" w:line="240" w:lineRule="auto"/>
              <w:rPr>
                <w:sz w:val="20"/>
                <w:lang w:val="en-GB"/>
              </w:rPr>
            </w:pPr>
          </w:p>
          <w:p w14:paraId="32C3AEDA" w14:textId="77777777" w:rsidR="00272F46" w:rsidRDefault="00272F46" w:rsidP="00473834">
            <w:pPr>
              <w:spacing w:before="60" w:after="60" w:line="240" w:lineRule="auto"/>
              <w:rPr>
                <w:sz w:val="20"/>
                <w:lang w:val="en-GB"/>
              </w:rPr>
            </w:pPr>
          </w:p>
          <w:p w14:paraId="1817A648" w14:textId="77777777" w:rsidR="00272F46" w:rsidRDefault="00272F46" w:rsidP="00473834">
            <w:pPr>
              <w:spacing w:before="60" w:after="60" w:line="240" w:lineRule="auto"/>
              <w:rPr>
                <w:sz w:val="20"/>
                <w:lang w:val="en-GB"/>
              </w:rPr>
            </w:pPr>
          </w:p>
          <w:p w14:paraId="13ACBC16" w14:textId="77777777" w:rsidR="00272F46" w:rsidRDefault="00272F46" w:rsidP="00473834">
            <w:pPr>
              <w:spacing w:before="60" w:after="60" w:line="240" w:lineRule="auto"/>
              <w:rPr>
                <w:sz w:val="20"/>
                <w:lang w:val="en-GB"/>
              </w:rPr>
            </w:pPr>
          </w:p>
          <w:p w14:paraId="0E537F56" w14:textId="77777777" w:rsidR="00272F46" w:rsidRDefault="00272F46" w:rsidP="00473834">
            <w:pPr>
              <w:spacing w:before="60" w:after="60" w:line="240" w:lineRule="auto"/>
              <w:rPr>
                <w:sz w:val="20"/>
                <w:lang w:val="en-GB"/>
              </w:rPr>
            </w:pPr>
          </w:p>
          <w:p w14:paraId="5E52DDC3" w14:textId="64B852F5" w:rsidR="00272F46" w:rsidRDefault="00272F46" w:rsidP="00473834">
            <w:pPr>
              <w:spacing w:before="60" w:after="60" w:line="240" w:lineRule="auto"/>
              <w:rPr>
                <w:sz w:val="20"/>
                <w:lang w:val="en-GB"/>
              </w:rPr>
            </w:pPr>
            <w:r>
              <w:rPr>
                <w:sz w:val="20"/>
                <w:lang w:val="en-GB"/>
              </w:rPr>
              <w:t>After delivery and approval of the deliverable</w:t>
            </w:r>
          </w:p>
          <w:p w14:paraId="2C12783A" w14:textId="77777777" w:rsidR="00272F46" w:rsidRDefault="00272F46" w:rsidP="00473834">
            <w:pPr>
              <w:spacing w:before="60" w:after="60" w:line="240" w:lineRule="auto"/>
              <w:rPr>
                <w:sz w:val="20"/>
                <w:lang w:val="en-GB"/>
              </w:rPr>
            </w:pPr>
          </w:p>
          <w:p w14:paraId="5B9B229C" w14:textId="77777777" w:rsidR="00272F46" w:rsidRDefault="00272F46" w:rsidP="00473834">
            <w:pPr>
              <w:spacing w:before="60" w:after="60" w:line="240" w:lineRule="auto"/>
              <w:rPr>
                <w:sz w:val="20"/>
                <w:lang w:val="en-GB"/>
              </w:rPr>
            </w:pPr>
          </w:p>
          <w:p w14:paraId="698B96D5" w14:textId="77777777" w:rsidR="00272F46" w:rsidRDefault="00272F46" w:rsidP="00473834">
            <w:pPr>
              <w:spacing w:before="60" w:after="60" w:line="240" w:lineRule="auto"/>
              <w:rPr>
                <w:sz w:val="20"/>
                <w:lang w:val="en-GB"/>
              </w:rPr>
            </w:pPr>
            <w:r>
              <w:rPr>
                <w:sz w:val="20"/>
                <w:lang w:val="en-GB"/>
              </w:rPr>
              <w:t xml:space="preserve">After delivery and approval </w:t>
            </w:r>
            <w:r>
              <w:rPr>
                <w:sz w:val="20"/>
                <w:lang w:val="en-GB"/>
              </w:rPr>
              <w:lastRenderedPageBreak/>
              <w:t>of the deliverable</w:t>
            </w:r>
          </w:p>
          <w:p w14:paraId="2B265341" w14:textId="77777777" w:rsidR="00272F46" w:rsidRDefault="00272F46" w:rsidP="00473834">
            <w:pPr>
              <w:spacing w:before="60" w:after="60" w:line="240" w:lineRule="auto"/>
              <w:rPr>
                <w:sz w:val="20"/>
                <w:lang w:val="en-GB"/>
              </w:rPr>
            </w:pPr>
          </w:p>
          <w:p w14:paraId="7854B156" w14:textId="77777777" w:rsidR="00272F46" w:rsidRDefault="00272F46" w:rsidP="00473834">
            <w:pPr>
              <w:spacing w:before="60" w:after="60" w:line="240" w:lineRule="auto"/>
              <w:rPr>
                <w:sz w:val="20"/>
                <w:lang w:val="en-GB"/>
              </w:rPr>
            </w:pPr>
          </w:p>
          <w:p w14:paraId="0D13A041" w14:textId="77777777" w:rsidR="00272F46" w:rsidRDefault="00272F46" w:rsidP="00473834">
            <w:pPr>
              <w:spacing w:before="60" w:after="60" w:line="240" w:lineRule="auto"/>
              <w:rPr>
                <w:sz w:val="20"/>
                <w:lang w:val="en-GB"/>
              </w:rPr>
            </w:pPr>
            <w:r>
              <w:rPr>
                <w:sz w:val="20"/>
                <w:lang w:val="en-GB"/>
              </w:rPr>
              <w:t>After delivery and approval of the deliverable</w:t>
            </w:r>
          </w:p>
          <w:p w14:paraId="44F7A7B8" w14:textId="77777777" w:rsidR="00272F46" w:rsidRDefault="00272F46" w:rsidP="00473834">
            <w:pPr>
              <w:spacing w:before="60" w:after="60" w:line="240" w:lineRule="auto"/>
              <w:rPr>
                <w:sz w:val="20"/>
                <w:lang w:val="en-GB"/>
              </w:rPr>
            </w:pPr>
          </w:p>
          <w:p w14:paraId="6BEA09F8" w14:textId="77777777" w:rsidR="00272F46" w:rsidRPr="00190356" w:rsidRDefault="00272F46" w:rsidP="00473834">
            <w:pPr>
              <w:spacing w:before="60" w:after="60" w:line="240" w:lineRule="auto"/>
              <w:rPr>
                <w:sz w:val="20"/>
                <w:lang w:val="en-GB"/>
              </w:rPr>
            </w:pPr>
          </w:p>
        </w:tc>
      </w:tr>
      <w:bookmarkEnd w:id="2"/>
    </w:tbl>
    <w:p w14:paraId="49DFBF6E" w14:textId="77777777" w:rsidR="00811A04" w:rsidRDefault="00811A04" w:rsidP="00811A04">
      <w:pPr>
        <w:spacing w:line="240" w:lineRule="auto"/>
        <w:ind w:left="426"/>
        <w:jc w:val="both"/>
        <w:rPr>
          <w:szCs w:val="22"/>
          <w:lang w:val="en-GB"/>
        </w:rPr>
      </w:pPr>
    </w:p>
    <w:p w14:paraId="506D0AD3" w14:textId="77777777" w:rsidR="00811A04" w:rsidRPr="00F644EC" w:rsidRDefault="00811A04" w:rsidP="00811A04">
      <w:pPr>
        <w:spacing w:line="240" w:lineRule="auto"/>
        <w:ind w:left="426"/>
        <w:jc w:val="both"/>
        <w:rPr>
          <w:szCs w:val="22"/>
          <w:lang w:val="en-GB"/>
        </w:rPr>
      </w:pPr>
    </w:p>
    <w:p w14:paraId="02452CB4" w14:textId="4F7B8764" w:rsidR="00811A04" w:rsidRPr="00E55F7D" w:rsidRDefault="00732BCA" w:rsidP="00E52128">
      <w:pPr>
        <w:spacing w:line="240" w:lineRule="auto"/>
        <w:jc w:val="both"/>
        <w:rPr>
          <w:szCs w:val="22"/>
          <w:lang w:val="en-GB"/>
        </w:rPr>
      </w:pPr>
      <w:r>
        <w:rPr>
          <w:b/>
          <w:szCs w:val="22"/>
          <w:u w:val="single"/>
          <w:lang w:val="en-GB"/>
        </w:rPr>
        <w:t xml:space="preserve">4. </w:t>
      </w:r>
      <w:r w:rsidR="00811A04" w:rsidRPr="00E55F7D">
        <w:rPr>
          <w:b/>
          <w:szCs w:val="22"/>
          <w:u w:val="single"/>
          <w:lang w:val="en-GB"/>
        </w:rPr>
        <w:t xml:space="preserve">Management and </w:t>
      </w:r>
      <w:r w:rsidR="00811A04" w:rsidRPr="00E41B67">
        <w:rPr>
          <w:b/>
          <w:szCs w:val="22"/>
          <w:u w:val="single"/>
        </w:rPr>
        <w:t>Supervision</w:t>
      </w:r>
      <w:r w:rsidR="00811A04" w:rsidRPr="00E55F7D">
        <w:rPr>
          <w:b/>
          <w:szCs w:val="22"/>
          <w:u w:val="single"/>
          <w:lang w:val="en-GB"/>
        </w:rPr>
        <w:t xml:space="preserve">: </w:t>
      </w:r>
    </w:p>
    <w:p w14:paraId="2D7ABDAE" w14:textId="3157B06A" w:rsidR="00732BCA" w:rsidRPr="00732BCA" w:rsidRDefault="00732BCA" w:rsidP="00732BCA">
      <w:pPr>
        <w:pStyle w:val="ListParagraph"/>
        <w:ind w:left="360"/>
        <w:jc w:val="both"/>
        <w:rPr>
          <w:sz w:val="20"/>
        </w:rPr>
      </w:pPr>
      <w:r w:rsidRPr="00732BCA">
        <w:rPr>
          <w:sz w:val="20"/>
        </w:rPr>
        <w:t>The consultant will report to Health manager in teamwork with Supply &amp; Logistics Specialists, and Immunization Specialist</w:t>
      </w:r>
      <w:r>
        <w:rPr>
          <w:sz w:val="20"/>
        </w:rPr>
        <w:t xml:space="preserve"> of UNICEF Mozambique country office. </w:t>
      </w:r>
      <w:r w:rsidRPr="00732BCA">
        <w:rPr>
          <w:sz w:val="20"/>
        </w:rPr>
        <w:t>Within the country, the consultant will work closely with the National Immunization Logistics Manager and its team. The consultant will also coordinate the UNICEF ISC global and regional teams.</w:t>
      </w:r>
    </w:p>
    <w:p w14:paraId="58CB814B" w14:textId="77777777" w:rsidR="00732BCA" w:rsidRPr="00732BCA" w:rsidRDefault="00732BCA" w:rsidP="00732BCA">
      <w:pPr>
        <w:pStyle w:val="ListParagraph"/>
        <w:ind w:left="360"/>
        <w:jc w:val="both"/>
        <w:rPr>
          <w:sz w:val="20"/>
        </w:rPr>
      </w:pPr>
    </w:p>
    <w:p w14:paraId="122C0639" w14:textId="77777777" w:rsidR="00732BCA" w:rsidRPr="00732BCA" w:rsidRDefault="00732BCA" w:rsidP="00732BCA">
      <w:pPr>
        <w:pStyle w:val="ListParagraph"/>
        <w:ind w:left="360"/>
        <w:jc w:val="both"/>
        <w:rPr>
          <w:sz w:val="20"/>
        </w:rPr>
      </w:pPr>
      <w:r w:rsidRPr="00732BCA">
        <w:rPr>
          <w:sz w:val="20"/>
        </w:rPr>
        <w:t xml:space="preserve">The consultant will work with NLWG partners as a major stakeholder in immunization and will interact with key resource persons in ISC. </w:t>
      </w:r>
    </w:p>
    <w:p w14:paraId="32D0A605" w14:textId="77777777" w:rsidR="00811A04" w:rsidRDefault="00811A04" w:rsidP="00811A04">
      <w:pPr>
        <w:spacing w:line="240" w:lineRule="auto"/>
        <w:ind w:left="426"/>
        <w:jc w:val="both"/>
        <w:rPr>
          <w:szCs w:val="22"/>
          <w:lang w:val="en-GB"/>
        </w:rPr>
      </w:pPr>
    </w:p>
    <w:p w14:paraId="097DE33E" w14:textId="77777777" w:rsidR="00811A04" w:rsidRPr="00F644EC" w:rsidRDefault="00811A04" w:rsidP="00811A04">
      <w:pPr>
        <w:spacing w:line="240" w:lineRule="auto"/>
        <w:ind w:left="426"/>
        <w:jc w:val="both"/>
        <w:rPr>
          <w:szCs w:val="22"/>
          <w:lang w:val="en-GB"/>
        </w:rPr>
      </w:pPr>
    </w:p>
    <w:p w14:paraId="3D836856" w14:textId="39019A43" w:rsidR="00811A04" w:rsidRPr="00F644EC" w:rsidRDefault="00732BCA" w:rsidP="00E52128">
      <w:pPr>
        <w:spacing w:line="240" w:lineRule="auto"/>
        <w:jc w:val="both"/>
        <w:rPr>
          <w:b/>
          <w:szCs w:val="22"/>
          <w:u w:val="single"/>
          <w:lang w:val="en-GB"/>
        </w:rPr>
      </w:pPr>
      <w:r>
        <w:rPr>
          <w:b/>
          <w:szCs w:val="22"/>
          <w:u w:val="single"/>
          <w:lang w:val="en-GB"/>
        </w:rPr>
        <w:t xml:space="preserve">5. </w:t>
      </w:r>
      <w:r w:rsidR="00811A04" w:rsidRPr="00F644EC">
        <w:rPr>
          <w:b/>
          <w:szCs w:val="22"/>
          <w:u w:val="single"/>
          <w:lang w:val="en-GB"/>
        </w:rPr>
        <w:t xml:space="preserve">Qualifications and Specialized </w:t>
      </w:r>
      <w:r w:rsidR="000B241E" w:rsidRPr="00F644EC">
        <w:rPr>
          <w:b/>
          <w:szCs w:val="22"/>
          <w:u w:val="single"/>
          <w:lang w:val="en-GB"/>
        </w:rPr>
        <w:t>Knowledge:</w:t>
      </w:r>
    </w:p>
    <w:p w14:paraId="75468886" w14:textId="77777777" w:rsidR="00811A04" w:rsidRDefault="00811A04" w:rsidP="00811A04">
      <w:pPr>
        <w:spacing w:line="240" w:lineRule="auto"/>
        <w:ind w:left="426"/>
        <w:jc w:val="both"/>
        <w:rPr>
          <w:szCs w:val="22"/>
          <w:lang w:val="en-GB"/>
        </w:rPr>
      </w:pPr>
    </w:p>
    <w:p w14:paraId="481FC676" w14:textId="77777777" w:rsidR="00E52128" w:rsidRPr="0000408B" w:rsidRDefault="00E52128" w:rsidP="00E52128">
      <w:pPr>
        <w:spacing w:line="240" w:lineRule="auto"/>
        <w:ind w:left="426"/>
        <w:jc w:val="both"/>
        <w:rPr>
          <w:b/>
          <w:bCs/>
          <w:szCs w:val="22"/>
        </w:rPr>
      </w:pPr>
      <w:r w:rsidRPr="0000408B">
        <w:rPr>
          <w:b/>
          <w:bCs/>
          <w:szCs w:val="22"/>
        </w:rPr>
        <w:t xml:space="preserve">Academic qualifications: </w:t>
      </w:r>
    </w:p>
    <w:p w14:paraId="060D72BD" w14:textId="77777777" w:rsidR="00E52128" w:rsidRDefault="00E52128" w:rsidP="00E52128">
      <w:pPr>
        <w:pStyle w:val="ListParagraph"/>
        <w:spacing w:line="240" w:lineRule="auto"/>
        <w:ind w:left="360"/>
        <w:contextualSpacing w:val="0"/>
        <w:jc w:val="both"/>
        <w:textAlignment w:val="baseline"/>
        <w:rPr>
          <w:color w:val="000000"/>
          <w:sz w:val="20"/>
          <w:szCs w:val="20"/>
          <w:lang w:val="en-US" w:eastAsia="en-GB"/>
        </w:rPr>
      </w:pPr>
      <w:r w:rsidRPr="00CF4FD8">
        <w:rPr>
          <w:color w:val="000000"/>
          <w:sz w:val="20"/>
          <w:szCs w:val="20"/>
          <w:lang w:val="en-US" w:eastAsia="en-GB"/>
        </w:rPr>
        <w:t>Advanced university degree in one or more of the following areas: Public Health, Supply Chain Management, Engineering, logistics management, Cold Chain management or related area. *</w:t>
      </w:r>
    </w:p>
    <w:p w14:paraId="4CF77648" w14:textId="77777777" w:rsidR="00E52128" w:rsidRPr="00CF4FD8" w:rsidRDefault="00E52128" w:rsidP="00E52128">
      <w:pPr>
        <w:pStyle w:val="ListParagraph"/>
        <w:spacing w:line="240" w:lineRule="auto"/>
        <w:ind w:left="360"/>
        <w:contextualSpacing w:val="0"/>
        <w:jc w:val="both"/>
        <w:textAlignment w:val="baseline"/>
        <w:rPr>
          <w:color w:val="000000"/>
          <w:sz w:val="20"/>
          <w:szCs w:val="20"/>
          <w:lang w:val="en-US" w:eastAsia="en-GB"/>
        </w:rPr>
      </w:pPr>
      <w:r w:rsidRPr="00CF4FD8">
        <w:rPr>
          <w:color w:val="000000"/>
          <w:sz w:val="20"/>
          <w:szCs w:val="20"/>
          <w:lang w:val="en-US" w:eastAsia="en-GB"/>
        </w:rPr>
        <w:t>First university degree combined with additional two years relevant professional work experience and understanding of relevant functions may be considered in lieu of advanced university degree.</w:t>
      </w:r>
    </w:p>
    <w:p w14:paraId="4C8175C8" w14:textId="77777777" w:rsidR="00E52128" w:rsidRDefault="00E52128" w:rsidP="00E52128">
      <w:pPr>
        <w:spacing w:line="240" w:lineRule="auto"/>
        <w:ind w:left="426"/>
        <w:jc w:val="both"/>
        <w:rPr>
          <w:szCs w:val="22"/>
        </w:rPr>
      </w:pPr>
    </w:p>
    <w:p w14:paraId="1D905A64" w14:textId="77777777" w:rsidR="00E52128" w:rsidRPr="0000408B" w:rsidRDefault="00E52128" w:rsidP="00E52128">
      <w:pPr>
        <w:spacing w:line="240" w:lineRule="auto"/>
        <w:ind w:left="426"/>
        <w:jc w:val="both"/>
        <w:rPr>
          <w:b/>
          <w:bCs/>
          <w:szCs w:val="22"/>
        </w:rPr>
      </w:pPr>
      <w:r w:rsidRPr="0000408B">
        <w:rPr>
          <w:b/>
          <w:bCs/>
          <w:szCs w:val="22"/>
        </w:rPr>
        <w:t xml:space="preserve">Work experience: </w:t>
      </w:r>
    </w:p>
    <w:p w14:paraId="45E874E9" w14:textId="77777777" w:rsidR="00E52128" w:rsidRDefault="00E52128" w:rsidP="00E52128">
      <w:pPr>
        <w:spacing w:line="240" w:lineRule="auto"/>
        <w:ind w:left="426"/>
        <w:jc w:val="both"/>
        <w:rPr>
          <w:szCs w:val="22"/>
        </w:rPr>
      </w:pPr>
      <w:r w:rsidRPr="00E76112">
        <w:rPr>
          <w:szCs w:val="22"/>
        </w:rPr>
        <w:t xml:space="preserve">A minimum of 5 years’ relevant experience at national and international levels in health systems strengthening, supply management, vaccines programming including cold chain and vaccine management. Work experience managing large-scale projects, working with governments, working in resource-limited settings, </w:t>
      </w:r>
      <w:proofErr w:type="gramStart"/>
      <w:r w:rsidRPr="00E76112">
        <w:rPr>
          <w:szCs w:val="22"/>
        </w:rPr>
        <w:t>monitoring</w:t>
      </w:r>
      <w:proofErr w:type="gramEnd"/>
      <w:r w:rsidRPr="00E76112">
        <w:rPr>
          <w:szCs w:val="22"/>
        </w:rPr>
        <w:t xml:space="preserve"> and evaluating supply chains, risk management will be an asset.</w:t>
      </w:r>
    </w:p>
    <w:p w14:paraId="01D9EC89" w14:textId="77777777" w:rsidR="00E52128" w:rsidRDefault="00E52128" w:rsidP="00E52128">
      <w:pPr>
        <w:spacing w:line="240" w:lineRule="auto"/>
        <w:ind w:left="426"/>
        <w:jc w:val="both"/>
        <w:rPr>
          <w:szCs w:val="22"/>
        </w:rPr>
      </w:pPr>
    </w:p>
    <w:p w14:paraId="2053E7BD" w14:textId="77777777" w:rsidR="00E52128" w:rsidRPr="0000408B" w:rsidRDefault="00E52128" w:rsidP="00E52128">
      <w:pPr>
        <w:spacing w:line="240" w:lineRule="auto"/>
        <w:ind w:left="426"/>
        <w:jc w:val="both"/>
        <w:rPr>
          <w:b/>
          <w:bCs/>
          <w:szCs w:val="22"/>
        </w:rPr>
      </w:pPr>
      <w:r w:rsidRPr="0000408B">
        <w:rPr>
          <w:b/>
          <w:bCs/>
          <w:szCs w:val="22"/>
        </w:rPr>
        <w:t>Specific knowledge, competencies, and skills required:</w:t>
      </w:r>
    </w:p>
    <w:p w14:paraId="4DEDF855" w14:textId="77777777" w:rsidR="00E52128" w:rsidRPr="000A1D86" w:rsidRDefault="00E52128" w:rsidP="00E52128">
      <w:pPr>
        <w:spacing w:line="240" w:lineRule="auto"/>
        <w:ind w:left="426"/>
        <w:jc w:val="both"/>
        <w:rPr>
          <w:szCs w:val="22"/>
        </w:rPr>
      </w:pPr>
      <w:r w:rsidRPr="000A1D86">
        <w:rPr>
          <w:szCs w:val="22"/>
        </w:rPr>
        <w:t>Understanding of the principles of vaccine management, knowledge and experience with data collection, data management analysis and reporting are essential. Product knowledge on cold chain equipment, new cold chain technologies, procurement processes and good distribution practices could be beneficial.</w:t>
      </w:r>
    </w:p>
    <w:p w14:paraId="3D5CA7FA" w14:textId="77777777" w:rsidR="00E52128" w:rsidRDefault="00E52128" w:rsidP="00E52128">
      <w:pPr>
        <w:spacing w:line="240" w:lineRule="auto"/>
        <w:ind w:left="426"/>
        <w:jc w:val="both"/>
        <w:rPr>
          <w:szCs w:val="22"/>
        </w:rPr>
      </w:pPr>
    </w:p>
    <w:p w14:paraId="26A4E628" w14:textId="77777777" w:rsidR="00E52128" w:rsidRPr="0000408B" w:rsidRDefault="00E52128" w:rsidP="00E52128">
      <w:pPr>
        <w:spacing w:line="240" w:lineRule="auto"/>
        <w:ind w:left="426"/>
        <w:jc w:val="both"/>
        <w:rPr>
          <w:b/>
          <w:bCs/>
          <w:szCs w:val="22"/>
        </w:rPr>
      </w:pPr>
      <w:r w:rsidRPr="0000408B">
        <w:rPr>
          <w:b/>
          <w:bCs/>
          <w:szCs w:val="22"/>
        </w:rPr>
        <w:t>Language skills:</w:t>
      </w:r>
    </w:p>
    <w:p w14:paraId="1F1E592F" w14:textId="77777777" w:rsidR="00E52128" w:rsidRPr="0000408B" w:rsidRDefault="00E52128" w:rsidP="00E52128">
      <w:pPr>
        <w:spacing w:line="240" w:lineRule="auto"/>
        <w:ind w:left="426"/>
        <w:jc w:val="both"/>
        <w:rPr>
          <w:szCs w:val="22"/>
        </w:rPr>
      </w:pPr>
      <w:r w:rsidRPr="0000408B">
        <w:rPr>
          <w:szCs w:val="22"/>
        </w:rPr>
        <w:t>Fluency in spoken and written English is a requirement. Working knowledge of Portuguese will be an asset</w:t>
      </w:r>
    </w:p>
    <w:p w14:paraId="6A5032F1" w14:textId="77777777" w:rsidR="00E52128" w:rsidRPr="00F644EC" w:rsidRDefault="00E52128" w:rsidP="00E52128">
      <w:pPr>
        <w:spacing w:line="240" w:lineRule="auto"/>
        <w:ind w:left="426"/>
        <w:jc w:val="both"/>
        <w:rPr>
          <w:szCs w:val="22"/>
          <w:lang w:val="en-GB"/>
        </w:rPr>
      </w:pPr>
    </w:p>
    <w:p w14:paraId="41954FC5" w14:textId="45B65841" w:rsidR="00E52128" w:rsidRPr="0000408B" w:rsidRDefault="00E52128" w:rsidP="0000408B">
      <w:pPr>
        <w:pStyle w:val="ListParagraph"/>
        <w:numPr>
          <w:ilvl w:val="0"/>
          <w:numId w:val="32"/>
        </w:numPr>
        <w:spacing w:line="240" w:lineRule="auto"/>
        <w:jc w:val="both"/>
        <w:rPr>
          <w:szCs w:val="22"/>
        </w:rPr>
      </w:pPr>
      <w:r w:rsidRPr="0000408B">
        <w:rPr>
          <w:b/>
          <w:szCs w:val="22"/>
          <w:u w:val="single"/>
        </w:rPr>
        <w:lastRenderedPageBreak/>
        <w:t>Conditions of Work</w:t>
      </w:r>
      <w:r w:rsidRPr="0000408B">
        <w:rPr>
          <w:b/>
          <w:szCs w:val="22"/>
        </w:rPr>
        <w:t xml:space="preserve">: </w:t>
      </w:r>
    </w:p>
    <w:tbl>
      <w:tblPr>
        <w:tblW w:w="9823" w:type="dxa"/>
        <w:tblInd w:w="37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3060"/>
        <w:gridCol w:w="1260"/>
        <w:gridCol w:w="1170"/>
        <w:gridCol w:w="4333"/>
      </w:tblGrid>
      <w:tr w:rsidR="00E52128" w:rsidRPr="00F644EC" w14:paraId="7EB5319F" w14:textId="77777777" w:rsidTr="00473834">
        <w:trPr>
          <w:trHeight w:val="20"/>
        </w:trPr>
        <w:tc>
          <w:tcPr>
            <w:tcW w:w="3060" w:type="dxa"/>
            <w:vMerge w:val="restart"/>
            <w:shd w:val="clear" w:color="auto" w:fill="E1E1FF"/>
            <w:vAlign w:val="center"/>
          </w:tcPr>
          <w:p w14:paraId="18220A51" w14:textId="77777777" w:rsidR="00E52128" w:rsidRPr="00092835" w:rsidRDefault="00E52128" w:rsidP="00473834">
            <w:pPr>
              <w:spacing w:line="240" w:lineRule="auto"/>
              <w:jc w:val="center"/>
              <w:rPr>
                <w:b/>
                <w:szCs w:val="22"/>
                <w:lang w:val="es-419"/>
              </w:rPr>
            </w:pPr>
            <w:proofErr w:type="spellStart"/>
            <w:r>
              <w:rPr>
                <w:b/>
                <w:szCs w:val="22"/>
                <w:lang w:val="es-419"/>
              </w:rPr>
              <w:t>Items</w:t>
            </w:r>
            <w:proofErr w:type="spellEnd"/>
          </w:p>
        </w:tc>
        <w:tc>
          <w:tcPr>
            <w:tcW w:w="2430" w:type="dxa"/>
            <w:gridSpan w:val="2"/>
            <w:shd w:val="clear" w:color="auto" w:fill="E1E1FF"/>
          </w:tcPr>
          <w:p w14:paraId="6CF27F6B" w14:textId="77777777" w:rsidR="00E52128" w:rsidRPr="00F644EC" w:rsidRDefault="00E52128" w:rsidP="00473834">
            <w:pPr>
              <w:spacing w:line="240" w:lineRule="auto"/>
              <w:jc w:val="center"/>
              <w:rPr>
                <w:b/>
                <w:szCs w:val="22"/>
              </w:rPr>
            </w:pPr>
            <w:r>
              <w:rPr>
                <w:b/>
                <w:szCs w:val="22"/>
                <w:lang w:val="es-419"/>
              </w:rPr>
              <w:t>P</w:t>
            </w:r>
            <w:proofErr w:type="spellStart"/>
            <w:r w:rsidRPr="00F644EC">
              <w:rPr>
                <w:b/>
                <w:szCs w:val="22"/>
              </w:rPr>
              <w:t>rovided</w:t>
            </w:r>
            <w:proofErr w:type="spellEnd"/>
            <w:r w:rsidRPr="00F644EC">
              <w:rPr>
                <w:b/>
                <w:szCs w:val="22"/>
              </w:rPr>
              <w:t xml:space="preserve"> by UNICEF</w:t>
            </w:r>
          </w:p>
        </w:tc>
        <w:tc>
          <w:tcPr>
            <w:tcW w:w="4333" w:type="dxa"/>
            <w:vMerge w:val="restart"/>
            <w:shd w:val="clear" w:color="auto" w:fill="E1E1FF"/>
            <w:vAlign w:val="center"/>
          </w:tcPr>
          <w:p w14:paraId="2E0F1C57" w14:textId="77777777" w:rsidR="00E52128" w:rsidRPr="00F644EC" w:rsidRDefault="00E52128" w:rsidP="00473834">
            <w:pPr>
              <w:spacing w:line="240" w:lineRule="auto"/>
              <w:jc w:val="center"/>
              <w:rPr>
                <w:b/>
                <w:szCs w:val="22"/>
              </w:rPr>
            </w:pPr>
          </w:p>
          <w:p w14:paraId="14BF01CF" w14:textId="77777777" w:rsidR="00E52128" w:rsidRPr="00F644EC" w:rsidRDefault="00E52128" w:rsidP="00473834">
            <w:pPr>
              <w:spacing w:line="240" w:lineRule="auto"/>
              <w:jc w:val="center"/>
              <w:rPr>
                <w:b/>
                <w:szCs w:val="22"/>
              </w:rPr>
            </w:pPr>
            <w:r w:rsidRPr="00F644EC">
              <w:rPr>
                <w:b/>
                <w:szCs w:val="22"/>
              </w:rPr>
              <w:t>Remarks</w:t>
            </w:r>
          </w:p>
        </w:tc>
      </w:tr>
      <w:tr w:rsidR="00E52128" w:rsidRPr="00F644EC" w14:paraId="4FCDDE78" w14:textId="77777777" w:rsidTr="00473834">
        <w:trPr>
          <w:trHeight w:val="20"/>
        </w:trPr>
        <w:tc>
          <w:tcPr>
            <w:tcW w:w="3060" w:type="dxa"/>
            <w:vMerge/>
            <w:shd w:val="clear" w:color="auto" w:fill="E1E1FF"/>
          </w:tcPr>
          <w:p w14:paraId="083D8F49" w14:textId="77777777" w:rsidR="00E52128" w:rsidRPr="00F644EC" w:rsidRDefault="00E52128" w:rsidP="00473834">
            <w:pPr>
              <w:spacing w:line="240" w:lineRule="auto"/>
              <w:jc w:val="both"/>
              <w:rPr>
                <w:szCs w:val="22"/>
              </w:rPr>
            </w:pPr>
          </w:p>
        </w:tc>
        <w:tc>
          <w:tcPr>
            <w:tcW w:w="1260" w:type="dxa"/>
            <w:shd w:val="clear" w:color="auto" w:fill="E1E1FF"/>
          </w:tcPr>
          <w:p w14:paraId="3CAE9400" w14:textId="77777777" w:rsidR="00E52128" w:rsidRPr="00F644EC" w:rsidRDefault="00E52128" w:rsidP="00473834">
            <w:pPr>
              <w:spacing w:line="240" w:lineRule="auto"/>
              <w:jc w:val="center"/>
              <w:rPr>
                <w:b/>
                <w:szCs w:val="22"/>
              </w:rPr>
            </w:pPr>
            <w:r w:rsidRPr="00F644EC">
              <w:rPr>
                <w:b/>
                <w:szCs w:val="22"/>
              </w:rPr>
              <w:t>Yes</w:t>
            </w:r>
          </w:p>
        </w:tc>
        <w:tc>
          <w:tcPr>
            <w:tcW w:w="1170" w:type="dxa"/>
            <w:shd w:val="clear" w:color="auto" w:fill="E1E1FF"/>
          </w:tcPr>
          <w:p w14:paraId="10708B7C" w14:textId="77777777" w:rsidR="00E52128" w:rsidRPr="00F644EC" w:rsidRDefault="00E52128" w:rsidP="00473834">
            <w:pPr>
              <w:spacing w:line="240" w:lineRule="auto"/>
              <w:jc w:val="center"/>
              <w:rPr>
                <w:b/>
                <w:szCs w:val="22"/>
              </w:rPr>
            </w:pPr>
            <w:r w:rsidRPr="00F644EC">
              <w:rPr>
                <w:b/>
                <w:szCs w:val="22"/>
              </w:rPr>
              <w:t>No</w:t>
            </w:r>
          </w:p>
        </w:tc>
        <w:tc>
          <w:tcPr>
            <w:tcW w:w="4333" w:type="dxa"/>
            <w:vMerge/>
            <w:shd w:val="clear" w:color="auto" w:fill="E1E1FF"/>
          </w:tcPr>
          <w:p w14:paraId="48A3D276" w14:textId="77777777" w:rsidR="00E52128" w:rsidRPr="00F644EC" w:rsidRDefault="00E52128" w:rsidP="00473834">
            <w:pPr>
              <w:spacing w:line="240" w:lineRule="auto"/>
              <w:jc w:val="center"/>
              <w:rPr>
                <w:b/>
                <w:szCs w:val="22"/>
              </w:rPr>
            </w:pPr>
          </w:p>
        </w:tc>
      </w:tr>
      <w:tr w:rsidR="00E52128" w:rsidRPr="00F644EC" w14:paraId="7861FAE1" w14:textId="77777777" w:rsidTr="00473834">
        <w:trPr>
          <w:trHeight w:val="20"/>
        </w:trPr>
        <w:tc>
          <w:tcPr>
            <w:tcW w:w="3060" w:type="dxa"/>
            <w:shd w:val="clear" w:color="auto" w:fill="auto"/>
            <w:vAlign w:val="center"/>
          </w:tcPr>
          <w:p w14:paraId="27DC8720" w14:textId="77777777" w:rsidR="00E52128" w:rsidRPr="00F644EC" w:rsidRDefault="00E52128" w:rsidP="00473834">
            <w:pPr>
              <w:spacing w:line="240" w:lineRule="auto"/>
              <w:rPr>
                <w:szCs w:val="22"/>
              </w:rPr>
            </w:pPr>
            <w:r w:rsidRPr="00F644EC">
              <w:rPr>
                <w:szCs w:val="22"/>
              </w:rPr>
              <w:t xml:space="preserve">Service incurred death, </w:t>
            </w:r>
            <w:proofErr w:type="gramStart"/>
            <w:r w:rsidRPr="00F644EC">
              <w:rPr>
                <w:szCs w:val="22"/>
              </w:rPr>
              <w:t>injury</w:t>
            </w:r>
            <w:proofErr w:type="gramEnd"/>
            <w:r w:rsidRPr="00F644EC">
              <w:rPr>
                <w:szCs w:val="22"/>
              </w:rPr>
              <w:t xml:space="preserve"> or illness</w:t>
            </w:r>
          </w:p>
        </w:tc>
        <w:tc>
          <w:tcPr>
            <w:tcW w:w="1260" w:type="dxa"/>
            <w:shd w:val="clear" w:color="auto" w:fill="auto"/>
            <w:vAlign w:val="center"/>
          </w:tcPr>
          <w:p w14:paraId="52388ED2" w14:textId="77777777" w:rsidR="00E52128" w:rsidRPr="00D00656" w:rsidRDefault="00E52128" w:rsidP="00473834">
            <w:pPr>
              <w:spacing w:line="240" w:lineRule="auto"/>
              <w:jc w:val="center"/>
              <w:rPr>
                <w:szCs w:val="22"/>
                <w:lang w:val="es-419"/>
              </w:rPr>
            </w:pPr>
          </w:p>
        </w:tc>
        <w:tc>
          <w:tcPr>
            <w:tcW w:w="1170" w:type="dxa"/>
            <w:shd w:val="clear" w:color="auto" w:fill="auto"/>
            <w:vAlign w:val="center"/>
          </w:tcPr>
          <w:p w14:paraId="5ECBF0F8" w14:textId="77777777" w:rsidR="00E52128" w:rsidRPr="00F644EC" w:rsidRDefault="00E52128" w:rsidP="00473834">
            <w:pPr>
              <w:spacing w:line="240" w:lineRule="auto"/>
              <w:jc w:val="center"/>
              <w:rPr>
                <w:szCs w:val="22"/>
              </w:rPr>
            </w:pPr>
            <w:r>
              <w:rPr>
                <w:szCs w:val="22"/>
              </w:rPr>
              <w:t>x</w:t>
            </w:r>
          </w:p>
        </w:tc>
        <w:tc>
          <w:tcPr>
            <w:tcW w:w="4333" w:type="dxa"/>
            <w:shd w:val="clear" w:color="auto" w:fill="auto"/>
            <w:vAlign w:val="center"/>
          </w:tcPr>
          <w:p w14:paraId="50E83C66" w14:textId="77777777" w:rsidR="00E52128" w:rsidRPr="00D00656" w:rsidRDefault="00E52128" w:rsidP="00473834">
            <w:pPr>
              <w:spacing w:line="240" w:lineRule="auto"/>
              <w:rPr>
                <w:szCs w:val="22"/>
              </w:rPr>
            </w:pPr>
            <w:r w:rsidRPr="00C96C70">
              <w:rPr>
                <w:rFonts w:eastAsia="Calibri"/>
                <w:color w:val="FF0000"/>
                <w:sz w:val="20"/>
              </w:rPr>
              <w:t xml:space="preserve"> The consultant will be home based</w:t>
            </w:r>
          </w:p>
        </w:tc>
      </w:tr>
      <w:tr w:rsidR="00E52128" w:rsidRPr="00F644EC" w14:paraId="069EBC73" w14:textId="77777777" w:rsidTr="00473834">
        <w:trPr>
          <w:trHeight w:val="20"/>
        </w:trPr>
        <w:tc>
          <w:tcPr>
            <w:tcW w:w="3060" w:type="dxa"/>
            <w:shd w:val="clear" w:color="auto" w:fill="auto"/>
            <w:vAlign w:val="center"/>
          </w:tcPr>
          <w:p w14:paraId="61E2842B" w14:textId="77777777" w:rsidR="00E52128" w:rsidRPr="00F644EC" w:rsidRDefault="00E52128" w:rsidP="00473834">
            <w:pPr>
              <w:spacing w:line="240" w:lineRule="auto"/>
              <w:rPr>
                <w:szCs w:val="22"/>
              </w:rPr>
            </w:pPr>
            <w:r w:rsidRPr="00F644EC">
              <w:rPr>
                <w:szCs w:val="22"/>
              </w:rPr>
              <w:t>Health Insurance</w:t>
            </w:r>
          </w:p>
        </w:tc>
        <w:tc>
          <w:tcPr>
            <w:tcW w:w="1260" w:type="dxa"/>
            <w:shd w:val="clear" w:color="auto" w:fill="auto"/>
            <w:vAlign w:val="center"/>
          </w:tcPr>
          <w:p w14:paraId="49F55E55" w14:textId="77777777" w:rsidR="00E52128" w:rsidRPr="00F644EC" w:rsidRDefault="00E52128" w:rsidP="00473834">
            <w:pPr>
              <w:spacing w:line="240" w:lineRule="auto"/>
              <w:jc w:val="center"/>
              <w:rPr>
                <w:szCs w:val="22"/>
              </w:rPr>
            </w:pPr>
          </w:p>
        </w:tc>
        <w:tc>
          <w:tcPr>
            <w:tcW w:w="1170" w:type="dxa"/>
            <w:shd w:val="clear" w:color="auto" w:fill="auto"/>
            <w:vAlign w:val="center"/>
          </w:tcPr>
          <w:p w14:paraId="6530AE41" w14:textId="77777777" w:rsidR="00E52128" w:rsidRPr="00D00656" w:rsidRDefault="00E52128" w:rsidP="00473834">
            <w:pPr>
              <w:spacing w:line="240" w:lineRule="auto"/>
              <w:jc w:val="center"/>
              <w:rPr>
                <w:szCs w:val="22"/>
                <w:lang w:val="es-419"/>
              </w:rPr>
            </w:pPr>
            <w:r>
              <w:rPr>
                <w:szCs w:val="22"/>
                <w:lang w:val="es-419"/>
              </w:rPr>
              <w:t>x</w:t>
            </w:r>
          </w:p>
        </w:tc>
        <w:tc>
          <w:tcPr>
            <w:tcW w:w="4333" w:type="dxa"/>
            <w:shd w:val="clear" w:color="auto" w:fill="auto"/>
            <w:vAlign w:val="center"/>
          </w:tcPr>
          <w:p w14:paraId="1799E97A" w14:textId="77777777" w:rsidR="00E52128" w:rsidRPr="00F644EC" w:rsidRDefault="00E52128" w:rsidP="00473834">
            <w:pPr>
              <w:spacing w:line="240" w:lineRule="auto"/>
              <w:rPr>
                <w:szCs w:val="22"/>
              </w:rPr>
            </w:pPr>
            <w:r w:rsidRPr="00FC6712">
              <w:rPr>
                <w:szCs w:val="22"/>
              </w:rPr>
              <w:t>The consultant is expected to provide proof of insurance coverage prior to commencing the contract</w:t>
            </w:r>
          </w:p>
        </w:tc>
      </w:tr>
      <w:tr w:rsidR="00E52128" w:rsidRPr="00F644EC" w14:paraId="6E5B1257" w14:textId="77777777" w:rsidTr="00473834">
        <w:trPr>
          <w:trHeight w:val="20"/>
        </w:trPr>
        <w:tc>
          <w:tcPr>
            <w:tcW w:w="3060" w:type="dxa"/>
            <w:shd w:val="clear" w:color="auto" w:fill="auto"/>
            <w:vAlign w:val="center"/>
          </w:tcPr>
          <w:p w14:paraId="12B03410" w14:textId="77777777" w:rsidR="00E52128" w:rsidRPr="00F644EC" w:rsidRDefault="00E52128" w:rsidP="00473834">
            <w:pPr>
              <w:spacing w:line="240" w:lineRule="auto"/>
              <w:rPr>
                <w:szCs w:val="22"/>
              </w:rPr>
            </w:pPr>
            <w:r w:rsidRPr="00F644EC">
              <w:rPr>
                <w:szCs w:val="22"/>
              </w:rPr>
              <w:t>Office Space</w:t>
            </w:r>
          </w:p>
        </w:tc>
        <w:tc>
          <w:tcPr>
            <w:tcW w:w="1260" w:type="dxa"/>
            <w:shd w:val="clear" w:color="auto" w:fill="auto"/>
            <w:vAlign w:val="center"/>
          </w:tcPr>
          <w:p w14:paraId="0CCA0AB4" w14:textId="77777777" w:rsidR="00E52128" w:rsidRPr="00F644EC" w:rsidRDefault="00E52128" w:rsidP="00473834">
            <w:pPr>
              <w:spacing w:line="240" w:lineRule="auto"/>
              <w:jc w:val="center"/>
              <w:rPr>
                <w:szCs w:val="22"/>
              </w:rPr>
            </w:pPr>
          </w:p>
        </w:tc>
        <w:tc>
          <w:tcPr>
            <w:tcW w:w="1170" w:type="dxa"/>
            <w:shd w:val="clear" w:color="auto" w:fill="auto"/>
            <w:vAlign w:val="center"/>
          </w:tcPr>
          <w:p w14:paraId="3E095A68" w14:textId="77777777" w:rsidR="00E52128" w:rsidRPr="00F644EC" w:rsidRDefault="00E52128" w:rsidP="00473834">
            <w:pPr>
              <w:spacing w:line="240" w:lineRule="auto"/>
              <w:jc w:val="center"/>
              <w:rPr>
                <w:szCs w:val="22"/>
              </w:rPr>
            </w:pPr>
            <w:r>
              <w:rPr>
                <w:szCs w:val="22"/>
              </w:rPr>
              <w:t>x</w:t>
            </w:r>
          </w:p>
        </w:tc>
        <w:tc>
          <w:tcPr>
            <w:tcW w:w="4333" w:type="dxa"/>
            <w:shd w:val="clear" w:color="auto" w:fill="auto"/>
            <w:vAlign w:val="center"/>
          </w:tcPr>
          <w:p w14:paraId="07DE1868" w14:textId="77777777" w:rsidR="00E52128" w:rsidRPr="00F644EC" w:rsidRDefault="00E52128" w:rsidP="00473834">
            <w:pPr>
              <w:spacing w:line="240" w:lineRule="auto"/>
              <w:rPr>
                <w:szCs w:val="22"/>
              </w:rPr>
            </w:pPr>
            <w:r w:rsidRPr="00FC6712">
              <w:rPr>
                <w:szCs w:val="22"/>
              </w:rPr>
              <w:t>The consultant will use his/her own office equipment.</w:t>
            </w:r>
          </w:p>
        </w:tc>
      </w:tr>
      <w:tr w:rsidR="00E52128" w:rsidRPr="00F644EC" w14:paraId="7B10CE2D" w14:textId="77777777" w:rsidTr="00473834">
        <w:trPr>
          <w:trHeight w:val="20"/>
        </w:trPr>
        <w:tc>
          <w:tcPr>
            <w:tcW w:w="3060" w:type="dxa"/>
            <w:shd w:val="clear" w:color="auto" w:fill="auto"/>
            <w:vAlign w:val="center"/>
          </w:tcPr>
          <w:p w14:paraId="36DB752A" w14:textId="77777777" w:rsidR="00E52128" w:rsidRPr="00E41B67" w:rsidRDefault="00E52128" w:rsidP="00473834">
            <w:pPr>
              <w:spacing w:line="240" w:lineRule="auto"/>
              <w:rPr>
                <w:szCs w:val="22"/>
                <w:lang w:val="es-419"/>
              </w:rPr>
            </w:pPr>
            <w:r w:rsidRPr="00F644EC">
              <w:rPr>
                <w:szCs w:val="22"/>
              </w:rPr>
              <w:t>Computer</w:t>
            </w:r>
            <w:r>
              <w:rPr>
                <w:szCs w:val="22"/>
                <w:lang w:val="es-419"/>
              </w:rPr>
              <w:t xml:space="preserve"> in office </w:t>
            </w:r>
            <w:proofErr w:type="spellStart"/>
            <w:r>
              <w:rPr>
                <w:szCs w:val="22"/>
                <w:lang w:val="es-419"/>
              </w:rPr>
              <w:t>premises</w:t>
            </w:r>
            <w:proofErr w:type="spellEnd"/>
          </w:p>
        </w:tc>
        <w:tc>
          <w:tcPr>
            <w:tcW w:w="1260" w:type="dxa"/>
            <w:shd w:val="clear" w:color="auto" w:fill="auto"/>
            <w:vAlign w:val="center"/>
          </w:tcPr>
          <w:p w14:paraId="1C2A92EB" w14:textId="77777777" w:rsidR="00E52128" w:rsidRPr="00F644EC" w:rsidRDefault="00E52128" w:rsidP="00473834">
            <w:pPr>
              <w:spacing w:line="240" w:lineRule="auto"/>
              <w:jc w:val="center"/>
              <w:rPr>
                <w:szCs w:val="22"/>
              </w:rPr>
            </w:pPr>
          </w:p>
        </w:tc>
        <w:tc>
          <w:tcPr>
            <w:tcW w:w="1170" w:type="dxa"/>
            <w:shd w:val="clear" w:color="auto" w:fill="auto"/>
            <w:vAlign w:val="center"/>
          </w:tcPr>
          <w:p w14:paraId="2852FFDD" w14:textId="77777777" w:rsidR="00E52128" w:rsidRPr="00F644EC" w:rsidRDefault="00E52128" w:rsidP="00473834">
            <w:pPr>
              <w:spacing w:line="240" w:lineRule="auto"/>
              <w:jc w:val="center"/>
              <w:rPr>
                <w:szCs w:val="22"/>
              </w:rPr>
            </w:pPr>
            <w:r>
              <w:rPr>
                <w:szCs w:val="22"/>
              </w:rPr>
              <w:t>x</w:t>
            </w:r>
          </w:p>
        </w:tc>
        <w:tc>
          <w:tcPr>
            <w:tcW w:w="4333" w:type="dxa"/>
            <w:shd w:val="clear" w:color="auto" w:fill="auto"/>
            <w:vAlign w:val="center"/>
          </w:tcPr>
          <w:p w14:paraId="132E877F" w14:textId="77777777" w:rsidR="00E52128" w:rsidRPr="00F644EC" w:rsidRDefault="00E52128" w:rsidP="00473834">
            <w:pPr>
              <w:spacing w:line="240" w:lineRule="auto"/>
              <w:rPr>
                <w:szCs w:val="22"/>
              </w:rPr>
            </w:pPr>
            <w:r w:rsidRPr="00FC6712">
              <w:rPr>
                <w:szCs w:val="22"/>
              </w:rPr>
              <w:t>The consultant will use his/her own office equipment.</w:t>
            </w:r>
          </w:p>
        </w:tc>
      </w:tr>
      <w:tr w:rsidR="00E52128" w:rsidRPr="00F644EC" w14:paraId="0D19D61C" w14:textId="77777777" w:rsidTr="00473834">
        <w:trPr>
          <w:trHeight w:val="20"/>
        </w:trPr>
        <w:tc>
          <w:tcPr>
            <w:tcW w:w="3060" w:type="dxa"/>
            <w:shd w:val="clear" w:color="auto" w:fill="auto"/>
            <w:vAlign w:val="center"/>
          </w:tcPr>
          <w:p w14:paraId="4EC299A5" w14:textId="77777777" w:rsidR="00E52128" w:rsidRPr="00E41B67" w:rsidRDefault="00E52128" w:rsidP="00473834">
            <w:pPr>
              <w:spacing w:line="240" w:lineRule="auto"/>
              <w:rPr>
                <w:szCs w:val="22"/>
              </w:rPr>
            </w:pPr>
            <w:r w:rsidRPr="00E41B67">
              <w:rPr>
                <w:szCs w:val="22"/>
              </w:rPr>
              <w:t>Access to printer in the office premises</w:t>
            </w:r>
          </w:p>
        </w:tc>
        <w:tc>
          <w:tcPr>
            <w:tcW w:w="1260" w:type="dxa"/>
            <w:shd w:val="clear" w:color="auto" w:fill="auto"/>
            <w:vAlign w:val="center"/>
          </w:tcPr>
          <w:p w14:paraId="1A8D2E2E" w14:textId="77777777" w:rsidR="00E52128" w:rsidRPr="00F644EC" w:rsidRDefault="00E52128" w:rsidP="00473834">
            <w:pPr>
              <w:spacing w:line="240" w:lineRule="auto"/>
              <w:jc w:val="center"/>
              <w:rPr>
                <w:szCs w:val="22"/>
              </w:rPr>
            </w:pPr>
          </w:p>
        </w:tc>
        <w:tc>
          <w:tcPr>
            <w:tcW w:w="1170" w:type="dxa"/>
            <w:shd w:val="clear" w:color="auto" w:fill="auto"/>
            <w:vAlign w:val="center"/>
          </w:tcPr>
          <w:p w14:paraId="35314905" w14:textId="77777777" w:rsidR="00E52128" w:rsidRPr="00F644EC" w:rsidRDefault="00E52128" w:rsidP="00473834">
            <w:pPr>
              <w:spacing w:line="240" w:lineRule="auto"/>
              <w:jc w:val="center"/>
              <w:rPr>
                <w:szCs w:val="22"/>
              </w:rPr>
            </w:pPr>
            <w:r>
              <w:rPr>
                <w:szCs w:val="22"/>
              </w:rPr>
              <w:t>x</w:t>
            </w:r>
          </w:p>
        </w:tc>
        <w:tc>
          <w:tcPr>
            <w:tcW w:w="4333" w:type="dxa"/>
            <w:shd w:val="clear" w:color="auto" w:fill="auto"/>
            <w:vAlign w:val="center"/>
          </w:tcPr>
          <w:p w14:paraId="3ECB0209" w14:textId="77777777" w:rsidR="00E52128" w:rsidRPr="00F644EC" w:rsidRDefault="00E52128" w:rsidP="00473834">
            <w:pPr>
              <w:spacing w:line="240" w:lineRule="auto"/>
              <w:rPr>
                <w:szCs w:val="22"/>
              </w:rPr>
            </w:pPr>
            <w:r w:rsidRPr="00FC6712">
              <w:rPr>
                <w:szCs w:val="22"/>
              </w:rPr>
              <w:t>The consultant will use his/her own office equipment.</w:t>
            </w:r>
          </w:p>
        </w:tc>
      </w:tr>
      <w:tr w:rsidR="00E52128" w:rsidRPr="00F644EC" w14:paraId="7AE5AB84" w14:textId="77777777" w:rsidTr="00473834">
        <w:trPr>
          <w:trHeight w:val="20"/>
        </w:trPr>
        <w:tc>
          <w:tcPr>
            <w:tcW w:w="3060" w:type="dxa"/>
            <w:shd w:val="clear" w:color="auto" w:fill="auto"/>
            <w:vAlign w:val="center"/>
          </w:tcPr>
          <w:p w14:paraId="3337A48C" w14:textId="77777777" w:rsidR="00E52128" w:rsidRDefault="00E52128" w:rsidP="00473834">
            <w:pPr>
              <w:spacing w:line="240" w:lineRule="auto"/>
              <w:rPr>
                <w:szCs w:val="22"/>
                <w:lang w:val="es-419"/>
              </w:rPr>
            </w:pPr>
            <w:proofErr w:type="spellStart"/>
            <w:r>
              <w:rPr>
                <w:szCs w:val="22"/>
                <w:lang w:val="es-419"/>
              </w:rPr>
              <w:t>Airtime</w:t>
            </w:r>
            <w:proofErr w:type="spellEnd"/>
          </w:p>
        </w:tc>
        <w:tc>
          <w:tcPr>
            <w:tcW w:w="1260" w:type="dxa"/>
            <w:shd w:val="clear" w:color="auto" w:fill="auto"/>
            <w:vAlign w:val="center"/>
          </w:tcPr>
          <w:p w14:paraId="78B0676C" w14:textId="77777777" w:rsidR="00E52128" w:rsidRPr="00F644EC" w:rsidRDefault="00E52128" w:rsidP="00473834">
            <w:pPr>
              <w:spacing w:line="240" w:lineRule="auto"/>
              <w:jc w:val="center"/>
              <w:rPr>
                <w:szCs w:val="22"/>
              </w:rPr>
            </w:pPr>
          </w:p>
        </w:tc>
        <w:tc>
          <w:tcPr>
            <w:tcW w:w="1170" w:type="dxa"/>
            <w:shd w:val="clear" w:color="auto" w:fill="auto"/>
            <w:vAlign w:val="center"/>
          </w:tcPr>
          <w:p w14:paraId="227C8EE6" w14:textId="77777777" w:rsidR="00E52128" w:rsidRPr="00F644EC" w:rsidRDefault="00E52128" w:rsidP="00473834">
            <w:pPr>
              <w:spacing w:line="240" w:lineRule="auto"/>
              <w:jc w:val="center"/>
              <w:rPr>
                <w:szCs w:val="22"/>
              </w:rPr>
            </w:pPr>
            <w:r>
              <w:rPr>
                <w:szCs w:val="22"/>
              </w:rPr>
              <w:t>x</w:t>
            </w:r>
          </w:p>
        </w:tc>
        <w:tc>
          <w:tcPr>
            <w:tcW w:w="4333" w:type="dxa"/>
            <w:shd w:val="clear" w:color="auto" w:fill="auto"/>
            <w:vAlign w:val="center"/>
          </w:tcPr>
          <w:p w14:paraId="1F82E05A" w14:textId="77777777" w:rsidR="00E52128" w:rsidRPr="00E41B67" w:rsidRDefault="00E52128" w:rsidP="00473834">
            <w:pPr>
              <w:spacing w:line="240" w:lineRule="auto"/>
              <w:rPr>
                <w:szCs w:val="22"/>
              </w:rPr>
            </w:pPr>
            <w:r>
              <w:rPr>
                <w:szCs w:val="22"/>
              </w:rPr>
              <w:t>T</w:t>
            </w:r>
            <w:r w:rsidRPr="00FC6712">
              <w:rPr>
                <w:szCs w:val="22"/>
              </w:rPr>
              <w:t>he consultant must have high internet connectivity and must be available/reachable online throughout the consultancy</w:t>
            </w:r>
          </w:p>
        </w:tc>
      </w:tr>
    </w:tbl>
    <w:p w14:paraId="57F1EA73" w14:textId="77777777" w:rsidR="00E52128" w:rsidRDefault="00E52128" w:rsidP="00E52128">
      <w:pPr>
        <w:spacing w:line="240" w:lineRule="auto"/>
        <w:ind w:left="360"/>
        <w:jc w:val="both"/>
        <w:rPr>
          <w:rFonts w:cs="Arial"/>
          <w:b/>
          <w:szCs w:val="22"/>
          <w:lang w:val="en-GB"/>
        </w:rPr>
      </w:pPr>
    </w:p>
    <w:p w14:paraId="76BC3596" w14:textId="77777777" w:rsidR="00E52128" w:rsidRPr="00F644EC" w:rsidRDefault="00E52128" w:rsidP="00E52128">
      <w:pPr>
        <w:spacing w:line="240" w:lineRule="auto"/>
        <w:ind w:left="360"/>
        <w:jc w:val="both"/>
        <w:rPr>
          <w:rFonts w:cs="Arial"/>
          <w:b/>
          <w:szCs w:val="22"/>
          <w:lang w:val="en-GB"/>
        </w:rPr>
      </w:pPr>
    </w:p>
    <w:p w14:paraId="2D60A657" w14:textId="4CA4EFFB" w:rsidR="00E52128" w:rsidRPr="00E41B67" w:rsidRDefault="0000408B" w:rsidP="0000408B">
      <w:pPr>
        <w:spacing w:line="240" w:lineRule="auto"/>
        <w:jc w:val="both"/>
        <w:rPr>
          <w:rFonts w:cs="Arial"/>
          <w:b/>
          <w:szCs w:val="22"/>
          <w:u w:val="single"/>
          <w:lang w:val="en-GB"/>
        </w:rPr>
      </w:pPr>
      <w:r>
        <w:rPr>
          <w:rFonts w:cs="Arial"/>
          <w:b/>
          <w:szCs w:val="22"/>
          <w:u w:val="single"/>
        </w:rPr>
        <w:t xml:space="preserve">7. </w:t>
      </w:r>
      <w:r w:rsidR="00E52128">
        <w:rPr>
          <w:rFonts w:cs="Arial"/>
          <w:b/>
          <w:szCs w:val="22"/>
          <w:u w:val="single"/>
        </w:rPr>
        <w:t>In-country Travel.</w:t>
      </w:r>
      <w:r w:rsidR="00E52128" w:rsidRPr="00A21A2E">
        <w:rPr>
          <w:rFonts w:cs="Arial"/>
          <w:b/>
          <w:szCs w:val="22"/>
        </w:rPr>
        <w:t xml:space="preserve"> </w:t>
      </w:r>
      <w:r w:rsidR="00E52128">
        <w:rPr>
          <w:i/>
          <w:color w:val="7F7F7F" w:themeColor="text1" w:themeTint="80"/>
          <w:szCs w:val="22"/>
        </w:rPr>
        <w:t>Requesting section to c</w:t>
      </w:r>
      <w:r w:rsidR="00E52128" w:rsidRPr="00A21A2E">
        <w:rPr>
          <w:i/>
          <w:color w:val="7F7F7F" w:themeColor="text1" w:themeTint="80"/>
          <w:szCs w:val="22"/>
        </w:rPr>
        <w:t xml:space="preserve">hoose one option. </w:t>
      </w:r>
      <w:r w:rsidR="00E52128" w:rsidRPr="00E41B67">
        <w:rPr>
          <w:i/>
          <w:color w:val="7F7F7F" w:themeColor="text1" w:themeTint="80"/>
          <w:szCs w:val="22"/>
        </w:rPr>
        <w:t>To be deleted when bidding for lumpsum cost.</w:t>
      </w:r>
    </w:p>
    <w:p w14:paraId="6FDA3257" w14:textId="77777777" w:rsidR="00E52128" w:rsidRPr="00E41B67" w:rsidRDefault="00E52128" w:rsidP="00E52128">
      <w:pPr>
        <w:spacing w:line="240" w:lineRule="auto"/>
        <w:jc w:val="both"/>
        <w:rPr>
          <w:rFonts w:cs="Arial"/>
          <w:b/>
          <w:szCs w:val="22"/>
          <w:lang w:val="en-GB"/>
        </w:rPr>
      </w:pPr>
    </w:p>
    <w:p w14:paraId="20CA3289" w14:textId="77777777" w:rsidR="00E52128" w:rsidRPr="0000408B" w:rsidRDefault="00E52128" w:rsidP="00E52128">
      <w:pPr>
        <w:spacing w:line="240" w:lineRule="auto"/>
        <w:ind w:left="426"/>
        <w:jc w:val="both"/>
        <w:rPr>
          <w:b/>
          <w:bCs/>
          <w:szCs w:val="22"/>
        </w:rPr>
      </w:pPr>
      <w:r w:rsidRPr="0000408B">
        <w:rPr>
          <w:b/>
          <w:bCs/>
          <w:szCs w:val="22"/>
        </w:rPr>
        <w:t>Not applicable as the consultancy service does not includes travel within Mozambique</w:t>
      </w:r>
    </w:p>
    <w:p w14:paraId="3C53219D" w14:textId="77777777" w:rsidR="0000408B" w:rsidRDefault="0000408B" w:rsidP="00E52128">
      <w:pPr>
        <w:spacing w:line="240" w:lineRule="auto"/>
        <w:ind w:left="426"/>
        <w:jc w:val="both"/>
        <w:rPr>
          <w:szCs w:val="22"/>
        </w:rPr>
      </w:pPr>
    </w:p>
    <w:p w14:paraId="08018039" w14:textId="6E974586" w:rsidR="00E52128" w:rsidRPr="00A21A2E" w:rsidRDefault="00E52128" w:rsidP="00E52128">
      <w:pPr>
        <w:spacing w:line="240" w:lineRule="auto"/>
        <w:ind w:left="426"/>
        <w:jc w:val="both"/>
        <w:rPr>
          <w:szCs w:val="22"/>
        </w:rPr>
      </w:pPr>
      <w:r>
        <w:rPr>
          <w:szCs w:val="22"/>
        </w:rPr>
        <w:t xml:space="preserve"> </w:t>
      </w:r>
      <w:r w:rsidRPr="00A21A2E">
        <w:rPr>
          <w:szCs w:val="22"/>
        </w:rPr>
        <w:t>Approved travel within Mozambique will be covered/reimbursed by UNICEF as follows:</w:t>
      </w:r>
    </w:p>
    <w:p w14:paraId="3CA0C500" w14:textId="77777777" w:rsidR="00E52128" w:rsidRPr="00A21A2E" w:rsidRDefault="00E52128" w:rsidP="00E52128">
      <w:pPr>
        <w:spacing w:line="240" w:lineRule="auto"/>
        <w:ind w:left="426"/>
        <w:jc w:val="both"/>
        <w:rPr>
          <w:szCs w:val="22"/>
        </w:rPr>
      </w:pPr>
    </w:p>
    <w:p w14:paraId="7EB276F9" w14:textId="77777777" w:rsidR="00E52128" w:rsidRPr="00A21A2E" w:rsidRDefault="00E52128" w:rsidP="00E52128">
      <w:pPr>
        <w:spacing w:line="240" w:lineRule="auto"/>
        <w:ind w:left="426"/>
        <w:jc w:val="both"/>
        <w:rPr>
          <w:szCs w:val="22"/>
        </w:rPr>
      </w:pPr>
      <w:r w:rsidRPr="00A21A2E">
        <w:rPr>
          <w:szCs w:val="22"/>
          <w:u w:val="single"/>
        </w:rPr>
        <w:t>Option a.</w:t>
      </w:r>
      <w:r w:rsidRPr="00A21A2E">
        <w:rPr>
          <w:szCs w:val="22"/>
        </w:rPr>
        <w:t xml:space="preserve"> Air tickets to be purchased by the consultant from approved airlines and reimbursed by UNICEF; per diem at 75% of the applicable UN Mozambique DSA rate (for the whole night spent outside the place of assignment), on a reimbursable basis; taxi/transport costs to and from the airport, on a reimbursable basis supported by the submission of original invoice/bill/receipt. All reimbursables to be included in their respective invoices.</w:t>
      </w:r>
    </w:p>
    <w:p w14:paraId="1F8B36D4" w14:textId="77777777" w:rsidR="00E52128" w:rsidRPr="00A21A2E" w:rsidRDefault="00E52128" w:rsidP="00E52128">
      <w:pPr>
        <w:spacing w:line="240" w:lineRule="auto"/>
        <w:ind w:left="426"/>
        <w:jc w:val="both"/>
        <w:rPr>
          <w:szCs w:val="22"/>
        </w:rPr>
      </w:pPr>
    </w:p>
    <w:p w14:paraId="3AC32CF8" w14:textId="77777777" w:rsidR="00E52128" w:rsidRPr="00A21A2E" w:rsidRDefault="00E52128" w:rsidP="00E52128">
      <w:pPr>
        <w:spacing w:line="240" w:lineRule="auto"/>
        <w:ind w:left="426"/>
        <w:jc w:val="both"/>
        <w:rPr>
          <w:szCs w:val="22"/>
        </w:rPr>
      </w:pPr>
      <w:r w:rsidRPr="00A21A2E">
        <w:rPr>
          <w:szCs w:val="22"/>
          <w:u w:val="single"/>
        </w:rPr>
        <w:t>Option b.</w:t>
      </w:r>
      <w:r w:rsidRPr="00A21A2E">
        <w:rPr>
          <w:szCs w:val="22"/>
        </w:rPr>
        <w:t xml:space="preserve"> Travel </w:t>
      </w:r>
      <w:proofErr w:type="spellStart"/>
      <w:r w:rsidRPr="00A21A2E">
        <w:rPr>
          <w:szCs w:val="22"/>
        </w:rPr>
        <w:t>organised</w:t>
      </w:r>
      <w:proofErr w:type="spellEnd"/>
      <w:r w:rsidRPr="00A21A2E">
        <w:rPr>
          <w:szCs w:val="22"/>
        </w:rPr>
        <w:t xml:space="preserve"> by UNICEF through a Travel </w:t>
      </w:r>
      <w:proofErr w:type="spellStart"/>
      <w:r w:rsidRPr="00A21A2E">
        <w:rPr>
          <w:szCs w:val="22"/>
        </w:rPr>
        <w:t>Authorisation</w:t>
      </w:r>
      <w:proofErr w:type="spellEnd"/>
      <w:r w:rsidRPr="00A21A2E">
        <w:rPr>
          <w:szCs w:val="22"/>
        </w:rPr>
        <w:t xml:space="preserve"> per the applicable policy, with</w:t>
      </w:r>
      <w:r>
        <w:rPr>
          <w:szCs w:val="22"/>
        </w:rPr>
        <w:t xml:space="preserve"> standard terminal expenses, and </w:t>
      </w:r>
      <w:r w:rsidRPr="00A21A2E">
        <w:rPr>
          <w:szCs w:val="22"/>
        </w:rPr>
        <w:t>per diem at 75% of the applicable UN Mozambique DSA rate.</w:t>
      </w:r>
    </w:p>
    <w:p w14:paraId="6CA10AA5" w14:textId="77777777" w:rsidR="00E52128" w:rsidRDefault="00E52128" w:rsidP="00E52128">
      <w:pPr>
        <w:spacing w:line="240" w:lineRule="auto"/>
        <w:ind w:left="426"/>
        <w:jc w:val="both"/>
        <w:rPr>
          <w:szCs w:val="22"/>
        </w:rPr>
      </w:pPr>
    </w:p>
    <w:p w14:paraId="79225300" w14:textId="77777777" w:rsidR="00E52128" w:rsidRDefault="00E52128" w:rsidP="00E52128">
      <w:pPr>
        <w:spacing w:line="240" w:lineRule="auto"/>
        <w:rPr>
          <w:rFonts w:ascii="Times New Roman" w:hAnsi="Times New Roman"/>
          <w:szCs w:val="22"/>
        </w:rPr>
      </w:pPr>
    </w:p>
    <w:p w14:paraId="34D718F8" w14:textId="3CFB7CCB" w:rsidR="00E52128" w:rsidRPr="0000408B" w:rsidRDefault="0000408B" w:rsidP="0000408B">
      <w:pPr>
        <w:pStyle w:val="ListParagraph"/>
        <w:spacing w:line="240" w:lineRule="auto"/>
        <w:ind w:left="0"/>
        <w:jc w:val="both"/>
        <w:rPr>
          <w:rFonts w:cs="Arial"/>
          <w:b/>
          <w:szCs w:val="22"/>
          <w:u w:val="single"/>
        </w:rPr>
      </w:pPr>
      <w:r>
        <w:rPr>
          <w:rFonts w:cs="Arial"/>
          <w:b/>
          <w:szCs w:val="22"/>
          <w:u w:val="single"/>
        </w:rPr>
        <w:t xml:space="preserve">8. </w:t>
      </w:r>
      <w:r w:rsidRPr="0000408B">
        <w:rPr>
          <w:rFonts w:cs="Arial"/>
          <w:b/>
          <w:szCs w:val="22"/>
          <w:u w:val="single"/>
        </w:rPr>
        <w:t xml:space="preserve"> </w:t>
      </w:r>
      <w:r w:rsidR="00E52128" w:rsidRPr="0000408B">
        <w:rPr>
          <w:rFonts w:cs="Arial"/>
          <w:b/>
          <w:szCs w:val="22"/>
          <w:u w:val="single"/>
        </w:rPr>
        <w:t>Evaluation Criteria</w:t>
      </w:r>
    </w:p>
    <w:p w14:paraId="3AE5A036" w14:textId="77777777" w:rsidR="00E52128" w:rsidRDefault="00E52128" w:rsidP="00E52128"/>
    <w:p w14:paraId="16400159" w14:textId="77777777" w:rsidR="00E52128" w:rsidRPr="002D042D" w:rsidRDefault="00E52128" w:rsidP="00E52128">
      <w:r>
        <w:t xml:space="preserve">The selection of the </w:t>
      </w:r>
      <w:r w:rsidRPr="002D042D">
        <w:t xml:space="preserve">consultant </w:t>
      </w:r>
      <w:r>
        <w:t>will be</w:t>
      </w:r>
      <w:r w:rsidRPr="002D042D">
        <w:t xml:space="preserve"> based on </w:t>
      </w:r>
      <w:r>
        <w:t xml:space="preserve">a </w:t>
      </w:r>
      <w:r w:rsidRPr="002D042D">
        <w:t xml:space="preserve">“best value for money” principle.  </w:t>
      </w:r>
      <w:r>
        <w:t>Interested candidates</w:t>
      </w:r>
      <w:r w:rsidRPr="00090FB2">
        <w:t xml:space="preserve"> </w:t>
      </w:r>
      <w:r w:rsidRPr="002D042D">
        <w:t>should</w:t>
      </w:r>
      <w:r>
        <w:t>, in addition to submitting their CV and cover letter,</w:t>
      </w:r>
      <w:r w:rsidRPr="002D042D">
        <w:t xml:space="preserve"> indicate their all-inclusive fees (including travel, subsistence costs, etc</w:t>
      </w:r>
      <w:r>
        <w:t>.)</w:t>
      </w:r>
      <w:r w:rsidRPr="002D042D">
        <w:t xml:space="preserve"> for the services to be provided.  The office shall select the individual who quoted the lowest fee from the list of individuals who are deemed </w:t>
      </w:r>
      <w:r>
        <w:t>technically s</w:t>
      </w:r>
      <w:r w:rsidRPr="002D042D">
        <w:t>uitable for achieving all tasks in time</w:t>
      </w:r>
      <w:r>
        <w:t xml:space="preserve">.  The technical evaluation criteria are </w:t>
      </w:r>
      <w:r w:rsidRPr="002D042D">
        <w:t xml:space="preserve">stipulated below. </w:t>
      </w:r>
    </w:p>
    <w:p w14:paraId="308082FB" w14:textId="77777777" w:rsidR="00E52128" w:rsidRPr="00E8442F" w:rsidRDefault="00E52128" w:rsidP="00E52128">
      <w:pPr>
        <w:rPr>
          <w:i/>
        </w:rPr>
      </w:pPr>
    </w:p>
    <w:p w14:paraId="4D2DB43E" w14:textId="77777777" w:rsidR="00E52128" w:rsidRPr="00CB4B80" w:rsidRDefault="00E52128" w:rsidP="00E52128">
      <w:pPr>
        <w:spacing w:line="240" w:lineRule="auto"/>
        <w:rPr>
          <w:szCs w:val="22"/>
        </w:rPr>
      </w:pPr>
    </w:p>
    <w:tbl>
      <w:tblPr>
        <w:tblW w:w="5000" w:type="pct"/>
        <w:jc w:val="center"/>
        <w:tblCellMar>
          <w:left w:w="0" w:type="dxa"/>
          <w:right w:w="0" w:type="dxa"/>
        </w:tblCellMar>
        <w:tblLook w:val="04A0" w:firstRow="1" w:lastRow="0" w:firstColumn="1" w:lastColumn="0" w:noHBand="0" w:noVBand="1"/>
      </w:tblPr>
      <w:tblGrid>
        <w:gridCol w:w="659"/>
        <w:gridCol w:w="8378"/>
        <w:gridCol w:w="1410"/>
      </w:tblGrid>
      <w:tr w:rsidR="00E52128" w:rsidRPr="00CB4B80" w14:paraId="559F6B76" w14:textId="77777777" w:rsidTr="00473834">
        <w:trPr>
          <w:jc w:val="center"/>
        </w:trPr>
        <w:tc>
          <w:tcPr>
            <w:tcW w:w="315" w:type="pct"/>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vAlign w:val="center"/>
            <w:hideMark/>
          </w:tcPr>
          <w:p w14:paraId="6D689F4A" w14:textId="77777777" w:rsidR="00E52128" w:rsidRPr="00CB4B80" w:rsidRDefault="00E52128" w:rsidP="00473834">
            <w:pPr>
              <w:spacing w:line="240" w:lineRule="auto"/>
              <w:rPr>
                <w:b/>
                <w:bCs/>
                <w:szCs w:val="22"/>
                <w:lang w:val="en-GB"/>
              </w:rPr>
            </w:pPr>
            <w:r w:rsidRPr="00CB4B80">
              <w:rPr>
                <w:b/>
                <w:bCs/>
                <w:szCs w:val="22"/>
                <w:lang w:val="en-GB"/>
              </w:rPr>
              <w:t>Item</w:t>
            </w:r>
          </w:p>
        </w:tc>
        <w:tc>
          <w:tcPr>
            <w:tcW w:w="4010" w:type="pct"/>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61B3C1E2" w14:textId="77777777" w:rsidR="00E52128" w:rsidRPr="00CB4B80" w:rsidRDefault="00E52128" w:rsidP="00473834">
            <w:pPr>
              <w:spacing w:line="240" w:lineRule="auto"/>
              <w:rPr>
                <w:b/>
                <w:bCs/>
                <w:szCs w:val="22"/>
                <w:lang w:val="en-GB"/>
              </w:rPr>
            </w:pPr>
            <w:r w:rsidRPr="00CB4B80">
              <w:rPr>
                <w:b/>
                <w:bCs/>
                <w:szCs w:val="22"/>
                <w:lang w:val="en-GB"/>
              </w:rPr>
              <w:t xml:space="preserve">Technical Criteria/Qualifications </w:t>
            </w:r>
          </w:p>
        </w:tc>
        <w:tc>
          <w:tcPr>
            <w:tcW w:w="675" w:type="pct"/>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4821D970" w14:textId="77777777" w:rsidR="00E52128" w:rsidRPr="00CB4B80" w:rsidRDefault="00E52128" w:rsidP="00473834">
            <w:pPr>
              <w:spacing w:line="240" w:lineRule="auto"/>
              <w:rPr>
                <w:b/>
                <w:bCs/>
                <w:szCs w:val="22"/>
                <w:lang w:val="en-GB"/>
              </w:rPr>
            </w:pPr>
            <w:r w:rsidRPr="00CB4B80">
              <w:rPr>
                <w:b/>
                <w:bCs/>
                <w:szCs w:val="22"/>
                <w:lang w:val="en-GB"/>
              </w:rPr>
              <w:t>Max.</w:t>
            </w:r>
            <w:r>
              <w:rPr>
                <w:b/>
                <w:bCs/>
                <w:szCs w:val="22"/>
                <w:lang w:val="es-419"/>
              </w:rPr>
              <w:t xml:space="preserve"> </w:t>
            </w:r>
            <w:r w:rsidRPr="00CB4B80">
              <w:rPr>
                <w:b/>
                <w:bCs/>
                <w:szCs w:val="22"/>
                <w:lang w:val="en-GB"/>
              </w:rPr>
              <w:t>Points</w:t>
            </w:r>
          </w:p>
        </w:tc>
      </w:tr>
      <w:tr w:rsidR="00E52128" w:rsidRPr="00CB4B80" w14:paraId="61D4C281" w14:textId="77777777" w:rsidTr="00473834">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5FEA7C89" w14:textId="77777777" w:rsidR="00E52128" w:rsidRPr="00CB4B80" w:rsidRDefault="00E52128" w:rsidP="00473834">
            <w:pPr>
              <w:spacing w:line="240" w:lineRule="auto"/>
              <w:jc w:val="right"/>
              <w:rPr>
                <w:b/>
                <w:bCs/>
                <w:szCs w:val="22"/>
                <w:lang w:val="en-GB"/>
              </w:rPr>
            </w:pPr>
            <w:r w:rsidRPr="00CB4B80">
              <w:rPr>
                <w:b/>
                <w:bCs/>
                <w:szCs w:val="22"/>
                <w:lang w:val="en-GB"/>
              </w:rPr>
              <w:t>1</w:t>
            </w: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41B87879" w14:textId="77777777" w:rsidR="00E52128" w:rsidRPr="00CB4B80" w:rsidRDefault="00E52128" w:rsidP="00473834">
            <w:pPr>
              <w:spacing w:line="240" w:lineRule="auto"/>
              <w:rPr>
                <w:b/>
                <w:bCs/>
                <w:szCs w:val="22"/>
                <w:lang w:val="en-GB"/>
              </w:rPr>
            </w:pPr>
            <w:r w:rsidRPr="00CB4B80">
              <w:rPr>
                <w:b/>
                <w:bCs/>
                <w:szCs w:val="22"/>
                <w:lang w:val="en-GB"/>
              </w:rPr>
              <w:t xml:space="preserve">Education </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5CF29897" w14:textId="3C28DB61" w:rsidR="00E52128" w:rsidRPr="00CB4B80" w:rsidRDefault="000A0DC1" w:rsidP="00473834">
            <w:pPr>
              <w:spacing w:line="240" w:lineRule="auto"/>
              <w:rPr>
                <w:b/>
                <w:bCs/>
                <w:szCs w:val="22"/>
                <w:lang w:val="en-GB"/>
              </w:rPr>
            </w:pPr>
            <w:r>
              <w:rPr>
                <w:b/>
                <w:bCs/>
                <w:szCs w:val="22"/>
                <w:lang w:val="en-GB"/>
              </w:rPr>
              <w:t>20</w:t>
            </w:r>
          </w:p>
        </w:tc>
      </w:tr>
      <w:tr w:rsidR="00E52128" w:rsidRPr="00CB4B80" w14:paraId="2B5D7C38" w14:textId="77777777" w:rsidTr="00473834">
        <w:trPr>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3A36AD0C" w14:textId="77777777" w:rsidR="00E52128" w:rsidRPr="00CB4B80" w:rsidRDefault="00E52128" w:rsidP="00473834">
            <w:pPr>
              <w:spacing w:line="240" w:lineRule="auto"/>
              <w:jc w:val="right"/>
              <w:rPr>
                <w:b/>
                <w:bCs/>
                <w:szCs w:val="22"/>
                <w:lang w:val="en-GB"/>
              </w:rPr>
            </w:pPr>
            <w:r w:rsidRPr="00CB4B80">
              <w:rPr>
                <w:b/>
                <w:bCs/>
                <w:szCs w:val="22"/>
                <w:lang w:val="en-GB"/>
              </w:rPr>
              <w:t>1.1</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5E998B8F" w14:textId="77777777" w:rsidR="00E52128" w:rsidRDefault="00E52128" w:rsidP="00473834">
            <w:pPr>
              <w:spacing w:line="240" w:lineRule="auto"/>
              <w:rPr>
                <w:rFonts w:eastAsia="Calibri"/>
                <w:sz w:val="20"/>
              </w:rPr>
            </w:pPr>
            <w:r w:rsidRPr="00CF4FD8">
              <w:rPr>
                <w:rFonts w:eastAsia="Calibri"/>
                <w:sz w:val="20"/>
              </w:rPr>
              <w:t>Advanced university degree in one or more of the following areas: Public Health, Supply Chain Management, Engineering, logistics management, Cold Chain management or related area</w:t>
            </w:r>
          </w:p>
          <w:p w14:paraId="438BE3DC" w14:textId="77777777" w:rsidR="00E52128" w:rsidRDefault="00E52128" w:rsidP="00473834">
            <w:pPr>
              <w:spacing w:line="240" w:lineRule="auto"/>
              <w:rPr>
                <w:rFonts w:eastAsia="Calibri"/>
                <w:sz w:val="20"/>
              </w:rPr>
            </w:pPr>
            <w:r w:rsidRPr="00CF4FD8">
              <w:rPr>
                <w:rFonts w:eastAsia="Calibri"/>
                <w:sz w:val="20"/>
              </w:rPr>
              <w:t>First university degree combined with additional two years relevant professional work experience and understanding of relevant functions may be considered in lieu of advanced university degree.</w:t>
            </w:r>
          </w:p>
          <w:p w14:paraId="68B152E0" w14:textId="77777777" w:rsidR="00E52128" w:rsidRPr="00CB4B80" w:rsidRDefault="00E52128" w:rsidP="00473834">
            <w:pPr>
              <w:spacing w:line="240" w:lineRule="auto"/>
              <w:rPr>
                <w:szCs w:val="22"/>
                <w:lang w:val="en-GB"/>
              </w:rPr>
            </w:pP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75C5410D" w14:textId="77777777" w:rsidR="00E52128" w:rsidRPr="00CB4B80" w:rsidRDefault="00E52128" w:rsidP="00473834">
            <w:pPr>
              <w:spacing w:line="240" w:lineRule="auto"/>
              <w:rPr>
                <w:szCs w:val="22"/>
                <w:lang w:val="en-GB"/>
              </w:rPr>
            </w:pPr>
            <w:r>
              <w:rPr>
                <w:szCs w:val="22"/>
                <w:lang w:val="en-GB"/>
              </w:rPr>
              <w:t>20</w:t>
            </w:r>
          </w:p>
        </w:tc>
      </w:tr>
      <w:tr w:rsidR="00E52128" w:rsidRPr="00CB4B80" w14:paraId="0981E825" w14:textId="77777777" w:rsidTr="00473834">
        <w:trPr>
          <w:trHeight w:val="476"/>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3C734AC8" w14:textId="77777777" w:rsidR="00E52128" w:rsidRPr="00CB4B80" w:rsidRDefault="00E52128" w:rsidP="00473834">
            <w:pPr>
              <w:spacing w:line="240" w:lineRule="auto"/>
              <w:jc w:val="right"/>
              <w:rPr>
                <w:b/>
                <w:bCs/>
                <w:szCs w:val="22"/>
                <w:lang w:val="en-GB"/>
              </w:rPr>
            </w:pPr>
            <w:r w:rsidRPr="00CB4B80">
              <w:rPr>
                <w:b/>
                <w:bCs/>
                <w:szCs w:val="22"/>
                <w:lang w:val="en-GB"/>
              </w:rPr>
              <w:lastRenderedPageBreak/>
              <w:t>2</w:t>
            </w: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2E08BDB6" w14:textId="77777777" w:rsidR="00E52128" w:rsidRPr="00CB4B80" w:rsidRDefault="00E52128" w:rsidP="00473834">
            <w:pPr>
              <w:spacing w:line="240" w:lineRule="auto"/>
              <w:rPr>
                <w:b/>
                <w:bCs/>
                <w:szCs w:val="22"/>
                <w:lang w:val="en-GB"/>
              </w:rPr>
            </w:pPr>
            <w:r w:rsidRPr="00CB4B80">
              <w:rPr>
                <w:b/>
                <w:bCs/>
                <w:szCs w:val="22"/>
                <w:lang w:val="en-GB"/>
              </w:rPr>
              <w:t xml:space="preserve">Work Experience </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2062CDE7" w14:textId="4152AE99" w:rsidR="00E52128" w:rsidRPr="00CB4B80" w:rsidRDefault="000A0DC1" w:rsidP="00473834">
            <w:pPr>
              <w:spacing w:line="240" w:lineRule="auto"/>
              <w:rPr>
                <w:b/>
                <w:bCs/>
                <w:szCs w:val="22"/>
                <w:lang w:val="en-GB"/>
              </w:rPr>
            </w:pPr>
            <w:r>
              <w:rPr>
                <w:b/>
                <w:bCs/>
                <w:szCs w:val="22"/>
                <w:lang w:val="en-GB"/>
              </w:rPr>
              <w:t>50</w:t>
            </w:r>
          </w:p>
        </w:tc>
      </w:tr>
      <w:tr w:rsidR="00E52128" w:rsidRPr="00CB4B80" w14:paraId="5A472BA5" w14:textId="77777777" w:rsidTr="00473834">
        <w:trPr>
          <w:trHeight w:val="629"/>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57B38305" w14:textId="77777777" w:rsidR="00E52128" w:rsidRPr="00CB4B80" w:rsidRDefault="00E52128" w:rsidP="00473834">
            <w:pPr>
              <w:spacing w:line="240" w:lineRule="auto"/>
              <w:jc w:val="right"/>
              <w:rPr>
                <w:b/>
                <w:bCs/>
                <w:szCs w:val="22"/>
                <w:lang w:val="en-GB"/>
              </w:rPr>
            </w:pPr>
            <w:r w:rsidRPr="00CB4B80">
              <w:rPr>
                <w:b/>
                <w:bCs/>
                <w:szCs w:val="22"/>
                <w:lang w:val="en-GB"/>
              </w:rPr>
              <w:t>2.1</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1CB63DC5" w14:textId="77777777" w:rsidR="00E52128" w:rsidRPr="00CB4B80" w:rsidRDefault="00E52128" w:rsidP="00473834">
            <w:pPr>
              <w:spacing w:line="240" w:lineRule="auto"/>
              <w:rPr>
                <w:szCs w:val="22"/>
                <w:lang w:val="en-GB"/>
              </w:rPr>
            </w:pPr>
            <w:r w:rsidRPr="008E2E49">
              <w:rPr>
                <w:szCs w:val="22"/>
                <w:lang w:val="en-GB"/>
              </w:rPr>
              <w:t xml:space="preserve">A minimum of 5 years’ relevant experience at national and international levels in health systems strengthening, supply management, </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166C7813" w14:textId="77777777" w:rsidR="00E52128" w:rsidRPr="00CB4B80" w:rsidRDefault="00E52128" w:rsidP="00473834">
            <w:pPr>
              <w:spacing w:line="240" w:lineRule="auto"/>
              <w:rPr>
                <w:szCs w:val="22"/>
                <w:lang w:val="en-GB"/>
              </w:rPr>
            </w:pPr>
            <w:r>
              <w:rPr>
                <w:szCs w:val="22"/>
                <w:lang w:val="en-GB"/>
              </w:rPr>
              <w:t>30</w:t>
            </w:r>
          </w:p>
        </w:tc>
      </w:tr>
      <w:tr w:rsidR="00E52128" w:rsidRPr="00CB4B80" w14:paraId="4BA3636C" w14:textId="77777777" w:rsidTr="00473834">
        <w:trPr>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7762425D" w14:textId="77777777" w:rsidR="00E52128" w:rsidRPr="00CB4B80" w:rsidRDefault="00E52128" w:rsidP="00473834">
            <w:pPr>
              <w:spacing w:line="240" w:lineRule="auto"/>
              <w:jc w:val="right"/>
              <w:rPr>
                <w:b/>
                <w:bCs/>
                <w:szCs w:val="22"/>
                <w:lang w:val="en-GB"/>
              </w:rPr>
            </w:pPr>
            <w:r w:rsidRPr="00CB4B80">
              <w:rPr>
                <w:b/>
                <w:bCs/>
                <w:szCs w:val="22"/>
                <w:lang w:val="en-GB"/>
              </w:rPr>
              <w:t>2.2</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0F98D96E" w14:textId="77777777" w:rsidR="00E52128" w:rsidRPr="00CB4B80" w:rsidRDefault="00E52128" w:rsidP="00473834">
            <w:pPr>
              <w:spacing w:line="240" w:lineRule="auto"/>
              <w:rPr>
                <w:szCs w:val="22"/>
                <w:lang w:val="en-GB"/>
              </w:rPr>
            </w:pPr>
            <w:r>
              <w:rPr>
                <w:szCs w:val="22"/>
                <w:lang w:val="en-GB"/>
              </w:rPr>
              <w:t>V</w:t>
            </w:r>
            <w:r w:rsidRPr="008E2E49">
              <w:rPr>
                <w:szCs w:val="22"/>
                <w:lang w:val="en-GB"/>
              </w:rPr>
              <w:t xml:space="preserve">accines programming including cold chain and vaccine management. </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75DA1D4F" w14:textId="77777777" w:rsidR="00E52128" w:rsidRPr="00CB4B80" w:rsidRDefault="00E52128" w:rsidP="00473834">
            <w:pPr>
              <w:spacing w:line="240" w:lineRule="auto"/>
              <w:rPr>
                <w:szCs w:val="22"/>
                <w:lang w:val="en-GB"/>
              </w:rPr>
            </w:pPr>
            <w:r>
              <w:rPr>
                <w:szCs w:val="22"/>
                <w:lang w:val="en-GB"/>
              </w:rPr>
              <w:t>10</w:t>
            </w:r>
          </w:p>
        </w:tc>
      </w:tr>
      <w:tr w:rsidR="00E52128" w:rsidRPr="00CB4B80" w14:paraId="72CBB609" w14:textId="77777777" w:rsidTr="00473834">
        <w:trPr>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562A0CA9" w14:textId="77777777" w:rsidR="00E52128" w:rsidRPr="00CB4B80" w:rsidRDefault="00E52128" w:rsidP="00473834">
            <w:pPr>
              <w:spacing w:line="240" w:lineRule="auto"/>
              <w:jc w:val="right"/>
              <w:rPr>
                <w:b/>
                <w:bCs/>
                <w:szCs w:val="22"/>
                <w:lang w:val="es-419"/>
              </w:rPr>
            </w:pPr>
            <w:r w:rsidRPr="00CB4B80">
              <w:rPr>
                <w:b/>
                <w:bCs/>
                <w:szCs w:val="22"/>
                <w:lang w:val="en-GB"/>
              </w:rPr>
              <w:t>2.</w:t>
            </w:r>
            <w:r>
              <w:rPr>
                <w:b/>
                <w:bCs/>
                <w:szCs w:val="22"/>
                <w:lang w:val="es-419"/>
              </w:rPr>
              <w:t>3</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263494D9" w14:textId="77777777" w:rsidR="00E52128" w:rsidRPr="00CB4B80" w:rsidRDefault="00E52128" w:rsidP="00473834">
            <w:pPr>
              <w:spacing w:line="240" w:lineRule="auto"/>
              <w:rPr>
                <w:szCs w:val="22"/>
                <w:lang w:val="en-GB"/>
              </w:rPr>
            </w:pPr>
            <w:r>
              <w:rPr>
                <w:szCs w:val="22"/>
                <w:lang w:val="en-GB"/>
              </w:rPr>
              <w:t>M</w:t>
            </w:r>
            <w:r w:rsidRPr="008E2E49">
              <w:rPr>
                <w:szCs w:val="22"/>
                <w:lang w:val="en-GB"/>
              </w:rPr>
              <w:t>anaging large-scale projects</w:t>
            </w:r>
            <w:r>
              <w:rPr>
                <w:szCs w:val="22"/>
                <w:lang w:val="en-GB"/>
              </w:rPr>
              <w:t xml:space="preserve"> and </w:t>
            </w:r>
            <w:r w:rsidRPr="008E2E49">
              <w:rPr>
                <w:szCs w:val="22"/>
                <w:lang w:val="en-GB"/>
              </w:rPr>
              <w:t>working in resource-limited settings</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4A3F206C" w14:textId="77777777" w:rsidR="00E52128" w:rsidRPr="00CB4B80" w:rsidRDefault="00E52128" w:rsidP="00473834">
            <w:pPr>
              <w:spacing w:line="240" w:lineRule="auto"/>
              <w:rPr>
                <w:szCs w:val="22"/>
                <w:lang w:val="en-GB"/>
              </w:rPr>
            </w:pPr>
            <w:r>
              <w:rPr>
                <w:szCs w:val="22"/>
                <w:lang w:val="en-GB"/>
              </w:rPr>
              <w:t>5</w:t>
            </w:r>
          </w:p>
        </w:tc>
      </w:tr>
      <w:tr w:rsidR="00E52128" w:rsidRPr="00CB4B80" w14:paraId="2677F0F0" w14:textId="77777777" w:rsidTr="00473834">
        <w:trPr>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0C135934" w14:textId="77777777" w:rsidR="00E52128" w:rsidRPr="00CB4B80" w:rsidRDefault="00E52128" w:rsidP="00473834">
            <w:pPr>
              <w:spacing w:line="240" w:lineRule="auto"/>
              <w:jc w:val="right"/>
              <w:rPr>
                <w:b/>
                <w:bCs/>
                <w:szCs w:val="22"/>
                <w:lang w:val="es-419"/>
              </w:rPr>
            </w:pPr>
            <w:r w:rsidRPr="00CB4B80">
              <w:rPr>
                <w:b/>
                <w:bCs/>
                <w:szCs w:val="22"/>
                <w:lang w:val="en-GB"/>
              </w:rPr>
              <w:t>2.</w:t>
            </w:r>
            <w:r>
              <w:rPr>
                <w:b/>
                <w:bCs/>
                <w:szCs w:val="22"/>
                <w:lang w:val="es-419"/>
              </w:rPr>
              <w:t>4</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5D51E2F3" w14:textId="77777777" w:rsidR="00E52128" w:rsidRPr="00CB4B80" w:rsidRDefault="00E52128" w:rsidP="00473834">
            <w:pPr>
              <w:spacing w:line="240" w:lineRule="auto"/>
              <w:rPr>
                <w:szCs w:val="22"/>
                <w:lang w:val="en-GB"/>
              </w:rPr>
            </w:pPr>
            <w:r>
              <w:rPr>
                <w:szCs w:val="22"/>
                <w:lang w:val="en-GB"/>
              </w:rPr>
              <w:t>M</w:t>
            </w:r>
            <w:r w:rsidRPr="008E2E49">
              <w:rPr>
                <w:szCs w:val="22"/>
                <w:lang w:val="en-GB"/>
              </w:rPr>
              <w:t xml:space="preserve">onitoring and evaluating supply chains, </w:t>
            </w:r>
            <w:r>
              <w:rPr>
                <w:szCs w:val="22"/>
                <w:lang w:val="en-GB"/>
              </w:rPr>
              <w:t xml:space="preserve">experience in </w:t>
            </w:r>
            <w:r w:rsidRPr="008E2E49">
              <w:rPr>
                <w:szCs w:val="22"/>
                <w:lang w:val="en-GB"/>
              </w:rPr>
              <w:t>risk management</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297C73EC" w14:textId="77777777" w:rsidR="00E52128" w:rsidRPr="00CB4B80" w:rsidRDefault="00E52128" w:rsidP="00473834">
            <w:pPr>
              <w:spacing w:line="240" w:lineRule="auto"/>
              <w:rPr>
                <w:szCs w:val="22"/>
                <w:lang w:val="en-GB"/>
              </w:rPr>
            </w:pPr>
            <w:r>
              <w:rPr>
                <w:szCs w:val="22"/>
                <w:lang w:val="en-GB"/>
              </w:rPr>
              <w:t>5</w:t>
            </w:r>
          </w:p>
        </w:tc>
      </w:tr>
      <w:tr w:rsidR="00E52128" w:rsidRPr="00CB4B80" w14:paraId="7D3F2C8D" w14:textId="77777777" w:rsidTr="00473834">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6262F69C" w14:textId="77777777" w:rsidR="00E52128" w:rsidRPr="00CB4B80" w:rsidRDefault="00E52128" w:rsidP="00473834">
            <w:pPr>
              <w:spacing w:line="240" w:lineRule="auto"/>
              <w:jc w:val="right"/>
              <w:rPr>
                <w:b/>
                <w:bCs/>
                <w:szCs w:val="22"/>
                <w:lang w:val="en-GB"/>
              </w:rPr>
            </w:pPr>
            <w:r w:rsidRPr="00CB4B80">
              <w:rPr>
                <w:b/>
                <w:bCs/>
                <w:szCs w:val="22"/>
                <w:lang w:val="en-GB"/>
              </w:rPr>
              <w:t>3</w:t>
            </w: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099BAD32" w14:textId="77777777" w:rsidR="00E52128" w:rsidRPr="00CB4B80" w:rsidRDefault="00E52128" w:rsidP="00473834">
            <w:pPr>
              <w:spacing w:line="240" w:lineRule="auto"/>
              <w:rPr>
                <w:b/>
                <w:bCs/>
                <w:szCs w:val="22"/>
                <w:lang w:val="en-GB"/>
              </w:rPr>
            </w:pPr>
            <w:r w:rsidRPr="00CB4B80">
              <w:rPr>
                <w:b/>
                <w:bCs/>
                <w:szCs w:val="22"/>
                <w:lang w:val="en-GB"/>
              </w:rPr>
              <w:t xml:space="preserve">Technical Skills and Knowledge </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34500792" w14:textId="1C010764" w:rsidR="00E52128" w:rsidRPr="00872F19" w:rsidRDefault="000A0DC1" w:rsidP="00473834">
            <w:pPr>
              <w:spacing w:line="240" w:lineRule="auto"/>
              <w:rPr>
                <w:b/>
                <w:bCs/>
                <w:szCs w:val="22"/>
                <w:lang w:val="en-GB"/>
              </w:rPr>
            </w:pPr>
            <w:r>
              <w:rPr>
                <w:b/>
                <w:bCs/>
                <w:szCs w:val="22"/>
                <w:lang w:val="en-GB"/>
              </w:rPr>
              <w:t>30</w:t>
            </w:r>
          </w:p>
        </w:tc>
      </w:tr>
      <w:tr w:rsidR="00E52128" w:rsidRPr="00CB4B80" w14:paraId="5A60678A" w14:textId="77777777" w:rsidTr="00473834">
        <w:trPr>
          <w:trHeight w:val="82"/>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7B9D061E" w14:textId="77777777" w:rsidR="00E52128" w:rsidRPr="00CB4B80" w:rsidRDefault="00E52128" w:rsidP="00473834">
            <w:pPr>
              <w:spacing w:line="240" w:lineRule="auto"/>
              <w:jc w:val="right"/>
              <w:rPr>
                <w:b/>
                <w:bCs/>
                <w:szCs w:val="22"/>
                <w:lang w:val="en-GB"/>
              </w:rPr>
            </w:pPr>
            <w:r w:rsidRPr="00CB4B80">
              <w:rPr>
                <w:b/>
                <w:bCs/>
                <w:szCs w:val="22"/>
                <w:lang w:val="en-GB"/>
              </w:rPr>
              <w:t>3.1</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5200B87D" w14:textId="77777777" w:rsidR="00E52128" w:rsidRPr="00CB4B80" w:rsidRDefault="00E52128" w:rsidP="00473834">
            <w:pPr>
              <w:spacing w:line="240" w:lineRule="auto"/>
              <w:rPr>
                <w:szCs w:val="22"/>
                <w:lang w:val="en-GB"/>
              </w:rPr>
            </w:pPr>
            <w:r w:rsidRPr="005B436E">
              <w:rPr>
                <w:szCs w:val="22"/>
                <w:lang w:val="en-GB"/>
              </w:rPr>
              <w:t>Understanding of the principles of vaccine management</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00B27C8A" w14:textId="77777777" w:rsidR="00E52128" w:rsidRPr="00CB4B80" w:rsidRDefault="00E52128" w:rsidP="00473834">
            <w:pPr>
              <w:spacing w:line="240" w:lineRule="auto"/>
              <w:rPr>
                <w:szCs w:val="22"/>
                <w:lang w:val="en-GB"/>
              </w:rPr>
            </w:pPr>
            <w:r>
              <w:rPr>
                <w:szCs w:val="22"/>
                <w:lang w:val="en-GB"/>
              </w:rPr>
              <w:t>10</w:t>
            </w:r>
          </w:p>
        </w:tc>
      </w:tr>
      <w:tr w:rsidR="00E52128" w:rsidRPr="00CB4B80" w14:paraId="25D8B371" w14:textId="77777777" w:rsidTr="00473834">
        <w:trPr>
          <w:trHeight w:val="287"/>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3F70F5D2" w14:textId="77777777" w:rsidR="00E52128" w:rsidRPr="00CB4B80" w:rsidRDefault="00E52128" w:rsidP="00473834">
            <w:pPr>
              <w:spacing w:line="240" w:lineRule="auto"/>
              <w:jc w:val="right"/>
              <w:rPr>
                <w:b/>
                <w:bCs/>
                <w:szCs w:val="22"/>
                <w:lang w:val="en-GB"/>
              </w:rPr>
            </w:pPr>
            <w:r w:rsidRPr="00CB4B80">
              <w:rPr>
                <w:b/>
                <w:bCs/>
                <w:szCs w:val="22"/>
                <w:lang w:val="en-GB"/>
              </w:rPr>
              <w:t>3.</w:t>
            </w:r>
            <w:r>
              <w:rPr>
                <w:b/>
                <w:bCs/>
                <w:szCs w:val="22"/>
                <w:lang w:val="en-GB"/>
              </w:rPr>
              <w:t>2</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6B9352AD" w14:textId="77777777" w:rsidR="00E52128" w:rsidRPr="00CB4B80" w:rsidRDefault="00E52128" w:rsidP="00473834">
            <w:pPr>
              <w:spacing w:line="240" w:lineRule="auto"/>
              <w:rPr>
                <w:szCs w:val="22"/>
                <w:lang w:val="en-GB"/>
              </w:rPr>
            </w:pPr>
            <w:r>
              <w:rPr>
                <w:szCs w:val="22"/>
                <w:lang w:val="en-GB"/>
              </w:rPr>
              <w:t>K</w:t>
            </w:r>
            <w:r w:rsidRPr="005B436E">
              <w:rPr>
                <w:szCs w:val="22"/>
                <w:lang w:val="en-GB"/>
              </w:rPr>
              <w:t xml:space="preserve">nowledge and experience with data collection, data management analysis and reporting </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0DD7AB71" w14:textId="77777777" w:rsidR="00E52128" w:rsidRPr="00CB4B80" w:rsidRDefault="00E52128" w:rsidP="00473834">
            <w:pPr>
              <w:spacing w:line="240" w:lineRule="auto"/>
              <w:rPr>
                <w:szCs w:val="22"/>
                <w:lang w:val="en-GB"/>
              </w:rPr>
            </w:pPr>
            <w:r>
              <w:rPr>
                <w:szCs w:val="22"/>
                <w:lang w:val="en-GB"/>
              </w:rPr>
              <w:t>5</w:t>
            </w:r>
          </w:p>
        </w:tc>
      </w:tr>
      <w:tr w:rsidR="00E52128" w:rsidRPr="00CB4B80" w14:paraId="7A69758A" w14:textId="77777777" w:rsidTr="00473834">
        <w:trPr>
          <w:trHeight w:val="287"/>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0568C208" w14:textId="77777777" w:rsidR="00E52128" w:rsidRPr="00CB4B80" w:rsidRDefault="00E52128" w:rsidP="00473834">
            <w:pPr>
              <w:spacing w:line="240" w:lineRule="auto"/>
              <w:jc w:val="right"/>
              <w:rPr>
                <w:b/>
                <w:bCs/>
                <w:szCs w:val="22"/>
                <w:lang w:val="en-GB"/>
              </w:rPr>
            </w:pPr>
            <w:r>
              <w:rPr>
                <w:b/>
                <w:bCs/>
                <w:szCs w:val="22"/>
                <w:lang w:val="en-GB"/>
              </w:rPr>
              <w:t>3.3</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1EE8676D" w14:textId="77777777" w:rsidR="00E52128" w:rsidRDefault="00E52128" w:rsidP="00473834">
            <w:pPr>
              <w:spacing w:line="240" w:lineRule="auto"/>
              <w:rPr>
                <w:szCs w:val="22"/>
                <w:lang w:val="en-GB"/>
              </w:rPr>
            </w:pPr>
            <w:r w:rsidRPr="005B436E">
              <w:rPr>
                <w:szCs w:val="22"/>
                <w:lang w:val="en-GB"/>
              </w:rPr>
              <w:t>Product knowledge on cold chain equipment, new cold chain technologies, procurement processes and good distribution practices could be beneficial.</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54D4951E" w14:textId="77777777" w:rsidR="00E52128" w:rsidRPr="00CB4B80" w:rsidRDefault="00E52128" w:rsidP="00473834">
            <w:pPr>
              <w:spacing w:line="240" w:lineRule="auto"/>
              <w:rPr>
                <w:szCs w:val="22"/>
                <w:lang w:val="en-GB"/>
              </w:rPr>
            </w:pPr>
            <w:r>
              <w:rPr>
                <w:szCs w:val="22"/>
                <w:lang w:val="en-GB"/>
              </w:rPr>
              <w:t>5</w:t>
            </w:r>
          </w:p>
        </w:tc>
      </w:tr>
      <w:tr w:rsidR="00E52128" w:rsidRPr="00CB4B80" w14:paraId="37E9741E" w14:textId="77777777" w:rsidTr="00473834">
        <w:trPr>
          <w:trHeight w:val="287"/>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3ACF2093" w14:textId="77777777" w:rsidR="00E52128" w:rsidRPr="00CB4B80" w:rsidRDefault="00E52128" w:rsidP="00473834">
            <w:pPr>
              <w:spacing w:line="240" w:lineRule="auto"/>
              <w:jc w:val="right"/>
              <w:rPr>
                <w:b/>
                <w:bCs/>
                <w:szCs w:val="22"/>
                <w:lang w:val="es-419"/>
              </w:rPr>
            </w:pPr>
            <w:r w:rsidRPr="00CB4B80">
              <w:rPr>
                <w:b/>
                <w:bCs/>
                <w:szCs w:val="22"/>
                <w:lang w:val="en-GB"/>
              </w:rPr>
              <w:t>3.</w:t>
            </w:r>
            <w:r>
              <w:rPr>
                <w:b/>
                <w:bCs/>
                <w:szCs w:val="22"/>
                <w:lang w:val="es-419"/>
              </w:rPr>
              <w:t>4</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3721818B" w14:textId="77777777" w:rsidR="00E52128" w:rsidRPr="00CB4B80" w:rsidRDefault="00E52128" w:rsidP="00473834">
            <w:pPr>
              <w:spacing w:line="240" w:lineRule="auto"/>
              <w:rPr>
                <w:szCs w:val="22"/>
                <w:lang w:val="en-GB"/>
              </w:rPr>
            </w:pPr>
            <w:r w:rsidRPr="005B436E">
              <w:rPr>
                <w:color w:val="auto"/>
                <w:szCs w:val="22"/>
              </w:rPr>
              <w:t xml:space="preserve">Fluency in spoken and written English </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1B7378AE" w14:textId="77777777" w:rsidR="00E52128" w:rsidRPr="00CB4B80" w:rsidRDefault="00E52128" w:rsidP="00473834">
            <w:pPr>
              <w:spacing w:line="240" w:lineRule="auto"/>
              <w:rPr>
                <w:szCs w:val="22"/>
                <w:lang w:val="en-GB"/>
              </w:rPr>
            </w:pPr>
            <w:r>
              <w:rPr>
                <w:szCs w:val="22"/>
                <w:lang w:val="en-GB"/>
              </w:rPr>
              <w:t>5</w:t>
            </w:r>
          </w:p>
        </w:tc>
      </w:tr>
      <w:tr w:rsidR="00E52128" w:rsidRPr="00CB4B80" w14:paraId="40A407EB" w14:textId="77777777" w:rsidTr="00473834">
        <w:trPr>
          <w:trHeight w:val="287"/>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121872A0" w14:textId="77777777" w:rsidR="00E52128" w:rsidRPr="00CB4B80" w:rsidRDefault="00E52128" w:rsidP="00473834">
            <w:pPr>
              <w:spacing w:line="240" w:lineRule="auto"/>
              <w:jc w:val="right"/>
              <w:rPr>
                <w:b/>
                <w:bCs/>
                <w:szCs w:val="22"/>
                <w:lang w:val="en-GB"/>
              </w:rPr>
            </w:pPr>
            <w:r>
              <w:rPr>
                <w:b/>
                <w:bCs/>
                <w:szCs w:val="22"/>
                <w:lang w:val="en-GB"/>
              </w:rPr>
              <w:t>3.5</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4EF221CA" w14:textId="77777777" w:rsidR="00E52128" w:rsidRPr="005B436E" w:rsidRDefault="00E52128" w:rsidP="00473834">
            <w:pPr>
              <w:spacing w:line="240" w:lineRule="auto"/>
              <w:rPr>
                <w:color w:val="auto"/>
                <w:szCs w:val="22"/>
              </w:rPr>
            </w:pPr>
            <w:r w:rsidRPr="005B436E">
              <w:rPr>
                <w:color w:val="auto"/>
                <w:szCs w:val="22"/>
              </w:rPr>
              <w:t>Working knowledge of Portuguese</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3A072F08" w14:textId="77777777" w:rsidR="00E52128" w:rsidRPr="00CB4B80" w:rsidRDefault="00E52128" w:rsidP="00473834">
            <w:pPr>
              <w:spacing w:line="240" w:lineRule="auto"/>
              <w:rPr>
                <w:szCs w:val="22"/>
                <w:lang w:val="en-GB"/>
              </w:rPr>
            </w:pPr>
            <w:r>
              <w:rPr>
                <w:szCs w:val="22"/>
                <w:lang w:val="en-GB"/>
              </w:rPr>
              <w:t>5</w:t>
            </w:r>
          </w:p>
        </w:tc>
      </w:tr>
      <w:tr w:rsidR="00E52128" w:rsidRPr="00CB4B80" w14:paraId="72AF6B29" w14:textId="77777777" w:rsidTr="00473834">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6FD09D2E" w14:textId="77777777" w:rsidR="00E52128" w:rsidRPr="00CB4B80" w:rsidRDefault="00E52128" w:rsidP="00473834">
            <w:pPr>
              <w:spacing w:line="240" w:lineRule="auto"/>
              <w:rPr>
                <w:b/>
                <w:bCs/>
                <w:szCs w:val="22"/>
                <w:lang w:val="en-GB"/>
              </w:rPr>
            </w:pP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312AF39C" w14:textId="77777777" w:rsidR="00E52128" w:rsidRPr="00CB4B80" w:rsidRDefault="00E52128" w:rsidP="00473834">
            <w:pPr>
              <w:spacing w:line="240" w:lineRule="auto"/>
              <w:rPr>
                <w:b/>
                <w:bCs/>
                <w:szCs w:val="22"/>
                <w:lang w:val="en-GB"/>
              </w:rPr>
            </w:pPr>
            <w:r w:rsidRPr="00CB4B80">
              <w:rPr>
                <w:noProof/>
                <w:szCs w:val="22"/>
                <w:lang w:eastAsia="en-US"/>
              </w:rPr>
              <w:drawing>
                <wp:inline distT="0" distB="0" distL="0" distR="0" wp14:anchorId="547843A4" wp14:editId="24C7DFC5">
                  <wp:extent cx="9525" cy="9525"/>
                  <wp:effectExtent l="0" t="0" r="0" b="0"/>
                  <wp:docPr id="2" name="Picture 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blank"/>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B4B80">
              <w:rPr>
                <w:b/>
                <w:bCs/>
                <w:szCs w:val="22"/>
                <w:lang w:val="en-GB"/>
              </w:rPr>
              <w:t>Total Technical Score</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57D071ED" w14:textId="6E8538B4" w:rsidR="00E52128" w:rsidRPr="008C4028" w:rsidRDefault="000A0DC1" w:rsidP="00473834">
            <w:pPr>
              <w:spacing w:line="240" w:lineRule="auto"/>
              <w:rPr>
                <w:b/>
                <w:szCs w:val="22"/>
              </w:rPr>
            </w:pPr>
            <w:r>
              <w:rPr>
                <w:b/>
                <w:szCs w:val="22"/>
              </w:rPr>
              <w:t>100</w:t>
            </w:r>
          </w:p>
        </w:tc>
      </w:tr>
      <w:tr w:rsidR="00E52128" w:rsidRPr="00CB4B80" w14:paraId="2DBA1CA2" w14:textId="77777777" w:rsidTr="00473834">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4EAEEA79" w14:textId="77777777" w:rsidR="00E52128" w:rsidRPr="00CB4B80" w:rsidRDefault="00E52128" w:rsidP="00473834">
            <w:pPr>
              <w:spacing w:line="240" w:lineRule="auto"/>
              <w:rPr>
                <w:b/>
                <w:bCs/>
                <w:szCs w:val="22"/>
                <w:lang w:val="en-GB"/>
              </w:rPr>
            </w:pP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2765F10F" w14:textId="77777777" w:rsidR="00E52128" w:rsidRPr="00CB4B80" w:rsidRDefault="00E52128" w:rsidP="00473834">
            <w:pPr>
              <w:spacing w:line="240" w:lineRule="auto"/>
              <w:rPr>
                <w:b/>
                <w:bCs/>
                <w:szCs w:val="22"/>
                <w:lang w:val="en-GB"/>
              </w:rPr>
            </w:pPr>
            <w:r w:rsidRPr="00CB4B80">
              <w:rPr>
                <w:b/>
                <w:bCs/>
                <w:szCs w:val="22"/>
                <w:lang w:val="en-GB"/>
              </w:rPr>
              <w:t xml:space="preserve">Minimum Technical </w:t>
            </w:r>
            <w:r>
              <w:rPr>
                <w:b/>
                <w:bCs/>
                <w:szCs w:val="22"/>
                <w:lang w:val="en-GB"/>
              </w:rPr>
              <w:t>for pass to financial assessment</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0CDDA2C5" w14:textId="07DD4622" w:rsidR="00E52128" w:rsidRPr="008C4028" w:rsidRDefault="000A0DC1" w:rsidP="00473834">
            <w:pPr>
              <w:spacing w:line="240" w:lineRule="auto"/>
              <w:rPr>
                <w:b/>
                <w:bCs/>
                <w:szCs w:val="22"/>
              </w:rPr>
            </w:pPr>
            <w:r>
              <w:rPr>
                <w:b/>
                <w:bCs/>
                <w:szCs w:val="22"/>
              </w:rPr>
              <w:t>8</w:t>
            </w:r>
            <w:r w:rsidR="00DB1B34">
              <w:rPr>
                <w:b/>
                <w:bCs/>
                <w:szCs w:val="22"/>
              </w:rPr>
              <w:t>5</w:t>
            </w:r>
          </w:p>
        </w:tc>
      </w:tr>
      <w:tr w:rsidR="00E52128" w:rsidRPr="00CB4B80" w14:paraId="75E94CC4" w14:textId="77777777" w:rsidTr="00473834">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57E94E1D" w14:textId="77777777" w:rsidR="00E52128" w:rsidRPr="00CB4B80" w:rsidRDefault="00E52128" w:rsidP="00473834">
            <w:pPr>
              <w:spacing w:line="240" w:lineRule="auto"/>
              <w:rPr>
                <w:b/>
                <w:bCs/>
                <w:szCs w:val="22"/>
                <w:lang w:val="en-GB"/>
              </w:rPr>
            </w:pPr>
          </w:p>
        </w:tc>
        <w:tc>
          <w:tcPr>
            <w:tcW w:w="4685" w:type="pct"/>
            <w:gridSpan w:val="2"/>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2C669184" w14:textId="77777777" w:rsidR="00E52128" w:rsidRPr="00CB4B80" w:rsidRDefault="00E52128" w:rsidP="00473834">
            <w:pPr>
              <w:spacing w:line="240" w:lineRule="auto"/>
              <w:rPr>
                <w:b/>
                <w:bCs/>
                <w:szCs w:val="22"/>
                <w:lang w:val="en-GB"/>
              </w:rPr>
            </w:pPr>
            <w:r w:rsidRPr="00E8442F">
              <w:rPr>
                <w:i/>
              </w:rPr>
              <w:t>Only those candidates meeting the minimum technical score will be eligible for further review.</w:t>
            </w:r>
          </w:p>
        </w:tc>
      </w:tr>
    </w:tbl>
    <w:p w14:paraId="1232F6EA" w14:textId="77777777" w:rsidR="00E52128" w:rsidRPr="00CB4B80" w:rsidRDefault="00E52128" w:rsidP="00E52128">
      <w:pPr>
        <w:spacing w:line="240" w:lineRule="auto"/>
        <w:rPr>
          <w:rFonts w:ascii="Times New Roman" w:hAnsi="Times New Roman"/>
          <w:szCs w:val="22"/>
        </w:rPr>
      </w:pPr>
    </w:p>
    <w:p w14:paraId="7EA0D9D7" w14:textId="77777777" w:rsidR="00811A04" w:rsidRPr="00CB4B80" w:rsidRDefault="00811A04" w:rsidP="00811A04">
      <w:pPr>
        <w:spacing w:line="240" w:lineRule="auto"/>
        <w:rPr>
          <w:rFonts w:ascii="Times New Roman" w:hAnsi="Times New Roman"/>
          <w:szCs w:val="22"/>
        </w:rPr>
      </w:pPr>
    </w:p>
    <w:p w14:paraId="7BD20D01" w14:textId="1A114742" w:rsidR="00811A04" w:rsidRPr="000E6726" w:rsidRDefault="004738F8" w:rsidP="004738F8">
      <w:pPr>
        <w:spacing w:line="240" w:lineRule="auto"/>
        <w:jc w:val="both"/>
        <w:rPr>
          <w:rFonts w:cs="Arial"/>
          <w:b/>
          <w:szCs w:val="22"/>
          <w:lang w:val="en-GB"/>
        </w:rPr>
      </w:pPr>
      <w:r>
        <w:rPr>
          <w:b/>
          <w:szCs w:val="22"/>
          <w:u w:val="single"/>
          <w:lang w:val="en-GB"/>
        </w:rPr>
        <w:t xml:space="preserve">9. </w:t>
      </w:r>
      <w:r w:rsidR="00811A04" w:rsidRPr="00F644EC">
        <w:rPr>
          <w:b/>
          <w:szCs w:val="22"/>
          <w:u w:val="single"/>
          <w:lang w:val="en-GB"/>
        </w:rPr>
        <w:t>Remarks:</w:t>
      </w:r>
      <w:r w:rsidR="00811A04" w:rsidRPr="00F644EC">
        <w:rPr>
          <w:b/>
          <w:szCs w:val="22"/>
          <w:lang w:val="en-GB"/>
        </w:rPr>
        <w:t xml:space="preserve"> </w:t>
      </w:r>
      <w:r w:rsidR="00811A04" w:rsidRPr="00FB1F55">
        <w:rPr>
          <w:i/>
          <w:color w:val="7F7F7F" w:themeColor="text1" w:themeTint="80"/>
          <w:szCs w:val="22"/>
          <w:lang w:val="en-GB"/>
        </w:rPr>
        <w:t>Provide any other comments as necessary</w:t>
      </w:r>
      <w:r w:rsidR="00811A04" w:rsidRPr="00F644EC">
        <w:rPr>
          <w:i/>
          <w:szCs w:val="22"/>
        </w:rPr>
        <w:t>.</w:t>
      </w:r>
    </w:p>
    <w:p w14:paraId="0DE03E0A" w14:textId="6EB8C1F3" w:rsidR="00F70E9D" w:rsidRDefault="00F70E9D" w:rsidP="00714B3C">
      <w:pPr>
        <w:spacing w:line="240" w:lineRule="auto"/>
        <w:contextualSpacing/>
        <w:rPr>
          <w:rFonts w:cs="Calibri"/>
        </w:rPr>
      </w:pPr>
    </w:p>
    <w:p w14:paraId="40F56995" w14:textId="21E05EF5" w:rsidR="00F70E9D" w:rsidRDefault="00F70E9D" w:rsidP="00714B3C">
      <w:pPr>
        <w:spacing w:line="240" w:lineRule="auto"/>
        <w:contextualSpacing/>
        <w:rPr>
          <w:rFonts w:cs="Calibri"/>
        </w:rPr>
      </w:pPr>
    </w:p>
    <w:p w14:paraId="37A7B113" w14:textId="3740F819" w:rsidR="00F70E9D" w:rsidRDefault="00F70E9D" w:rsidP="00714B3C">
      <w:pPr>
        <w:spacing w:line="240" w:lineRule="auto"/>
        <w:contextualSpacing/>
        <w:rPr>
          <w:rFonts w:cs="Calibri"/>
        </w:rPr>
      </w:pPr>
    </w:p>
    <w:p w14:paraId="527ABAE3" w14:textId="49606E35" w:rsidR="00F70E9D" w:rsidRDefault="00F70E9D" w:rsidP="00714B3C">
      <w:pPr>
        <w:spacing w:line="240" w:lineRule="auto"/>
        <w:contextualSpacing/>
        <w:rPr>
          <w:rFonts w:cs="Calibri"/>
        </w:rPr>
      </w:pPr>
    </w:p>
    <w:p w14:paraId="1370B5A2" w14:textId="65F4BB2D" w:rsidR="00F70E9D" w:rsidRDefault="00F70E9D" w:rsidP="00714B3C">
      <w:pPr>
        <w:spacing w:line="240" w:lineRule="auto"/>
        <w:contextualSpacing/>
        <w:rPr>
          <w:rFonts w:cs="Calibri"/>
        </w:rPr>
      </w:pPr>
    </w:p>
    <w:p w14:paraId="78BD9771" w14:textId="1C67D20C" w:rsidR="00F70E9D" w:rsidRDefault="00F70E9D" w:rsidP="00714B3C">
      <w:pPr>
        <w:spacing w:line="240" w:lineRule="auto"/>
        <w:contextualSpacing/>
        <w:rPr>
          <w:rFonts w:cs="Calibri"/>
        </w:rPr>
      </w:pPr>
    </w:p>
    <w:p w14:paraId="55F1E3E9" w14:textId="3BC13B69" w:rsidR="00F70E9D" w:rsidRDefault="00F70E9D" w:rsidP="00714B3C">
      <w:pPr>
        <w:spacing w:line="240" w:lineRule="auto"/>
        <w:contextualSpacing/>
        <w:rPr>
          <w:rFonts w:cs="Calibri"/>
        </w:rPr>
      </w:pPr>
    </w:p>
    <w:p w14:paraId="7F10F5D8" w14:textId="48B46358" w:rsidR="00F70E9D" w:rsidRDefault="00F70E9D" w:rsidP="00714B3C">
      <w:pPr>
        <w:spacing w:line="240" w:lineRule="auto"/>
        <w:contextualSpacing/>
        <w:rPr>
          <w:rFonts w:cs="Calibri"/>
        </w:rPr>
      </w:pPr>
    </w:p>
    <w:p w14:paraId="4B53F4D2" w14:textId="6EE3EB90" w:rsidR="00F70E9D" w:rsidRDefault="00F70E9D" w:rsidP="00714B3C">
      <w:pPr>
        <w:spacing w:line="240" w:lineRule="auto"/>
        <w:contextualSpacing/>
        <w:rPr>
          <w:rFonts w:cs="Calibri"/>
        </w:rPr>
      </w:pP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tblBorders>
        <w:tblLayout w:type="fixed"/>
        <w:tblLook w:val="0480" w:firstRow="0" w:lastRow="0" w:firstColumn="1" w:lastColumn="0" w:noHBand="0" w:noVBand="1"/>
      </w:tblPr>
      <w:tblGrid>
        <w:gridCol w:w="9887"/>
      </w:tblGrid>
      <w:tr w:rsidR="00F70E9D" w:rsidRPr="007613B3" w14:paraId="0A947581" w14:textId="77777777" w:rsidTr="00473834">
        <w:trPr>
          <w:trHeight w:val="60"/>
        </w:trPr>
        <w:tc>
          <w:tcPr>
            <w:tcW w:w="9887" w:type="dxa"/>
            <w:shd w:val="clear" w:color="auto" w:fill="auto"/>
            <w:noWrap/>
          </w:tcPr>
          <w:p w14:paraId="237795D7" w14:textId="77777777" w:rsidR="00F70E9D" w:rsidRDefault="00F70E9D" w:rsidP="00473834">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lastRenderedPageBreak/>
              <w:t>Child Safeguarding </w:t>
            </w:r>
            <w:r>
              <w:rPr>
                <w:rStyle w:val="eop"/>
                <w:rFonts w:ascii="Calibri" w:hAnsi="Calibri" w:cs="Calibri"/>
                <w:sz w:val="20"/>
                <w:szCs w:val="20"/>
              </w:rPr>
              <w:t> </w:t>
            </w:r>
          </w:p>
          <w:p w14:paraId="3DBC28AE" w14:textId="77777777" w:rsidR="00F70E9D" w:rsidRDefault="00F70E9D" w:rsidP="00473834">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Is this project/assignment considered as “</w:t>
            </w:r>
            <w:hyperlink r:id="rId14"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 perspective?  </w:t>
            </w:r>
          </w:p>
          <w:p w14:paraId="7671714D" w14:textId="77777777" w:rsidR="00F70E9D" w:rsidRDefault="00F70E9D" w:rsidP="00473834">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79148BDC" w14:textId="77777777" w:rsidR="00F70E9D" w:rsidRDefault="00F70E9D" w:rsidP="00473834">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F82922">
              <w:rPr>
                <w:rFonts w:ascii="Calibri" w:eastAsia="Arial Unicode MS" w:hAnsi="Calibri" w:cs="Calibri"/>
                <w:sz w:val="20"/>
                <w:szCs w:val="20"/>
                <w:lang w:val="en-AU"/>
              </w:rPr>
            </w:r>
            <w:r w:rsidR="00F82922">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Pr>
                <w:rFonts w:ascii="Calibri" w:eastAsia="Arial Unicode MS" w:hAnsi="Calibri" w:cs="Calibri"/>
                <w:sz w:val="20"/>
                <w:szCs w:val="20"/>
                <w:lang w:val="en-AU"/>
              </w:rPr>
              <w:fldChar w:fldCharType="begin">
                <w:ffData>
                  <w:name w:val="Check9"/>
                  <w:enabled/>
                  <w:calcOnExit w:val="0"/>
                  <w:checkBox>
                    <w:sizeAuto/>
                    <w:default w:val="1"/>
                  </w:checkBox>
                </w:ffData>
              </w:fldChar>
            </w:r>
            <w:r>
              <w:rPr>
                <w:rFonts w:ascii="Calibri" w:eastAsia="Arial Unicode MS" w:hAnsi="Calibri" w:cs="Calibri"/>
                <w:sz w:val="20"/>
                <w:szCs w:val="20"/>
                <w:lang w:val="en-AU"/>
              </w:rPr>
              <w:instrText xml:space="preserve"> </w:instrText>
            </w:r>
            <w:bookmarkStart w:id="3" w:name="Check9"/>
            <w:r>
              <w:rPr>
                <w:rFonts w:ascii="Calibri" w:eastAsia="Arial Unicode MS" w:hAnsi="Calibri" w:cs="Calibri"/>
                <w:sz w:val="20"/>
                <w:szCs w:val="20"/>
                <w:lang w:val="en-AU"/>
              </w:rPr>
              <w:instrText xml:space="preserve">FORMCHECKBOX </w:instrText>
            </w:r>
            <w:r w:rsidR="00F82922">
              <w:rPr>
                <w:rFonts w:ascii="Calibri" w:eastAsia="Arial Unicode MS" w:hAnsi="Calibri" w:cs="Calibri"/>
                <w:sz w:val="20"/>
                <w:szCs w:val="20"/>
                <w:lang w:val="en-AU"/>
              </w:rPr>
            </w:r>
            <w:r w:rsidR="00F82922">
              <w:rPr>
                <w:rFonts w:ascii="Calibri" w:eastAsia="Arial Unicode MS" w:hAnsi="Calibri" w:cs="Calibri"/>
                <w:sz w:val="20"/>
                <w:szCs w:val="20"/>
                <w:lang w:val="en-AU"/>
              </w:rPr>
              <w:fldChar w:fldCharType="separate"/>
            </w:r>
            <w:r>
              <w:rPr>
                <w:rFonts w:ascii="Calibri" w:eastAsia="Arial Unicode MS" w:hAnsi="Calibri" w:cs="Calibri"/>
                <w:sz w:val="20"/>
                <w:szCs w:val="20"/>
                <w:lang w:val="en-AU"/>
              </w:rPr>
              <w:fldChar w:fldCharType="end"/>
            </w:r>
            <w:bookmarkEnd w:id="3"/>
            <w:r>
              <w:rPr>
                <w:rStyle w:val="normaltextrun"/>
                <w:rFonts w:ascii="Calibri" w:hAnsi="Calibri" w:cs="Calibri"/>
                <w:sz w:val="20"/>
                <w:szCs w:val="20"/>
                <w:lang w:val="en-AU"/>
              </w:rPr>
              <w:t>   NO </w:t>
            </w:r>
            <w:r>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24465E8D" w14:textId="77777777" w:rsidR="00F70E9D" w:rsidRDefault="00F70E9D" w:rsidP="00473834">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3AA602CB" w14:textId="77777777" w:rsidR="00F70E9D" w:rsidRDefault="00F70E9D" w:rsidP="00473834">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p w14:paraId="0DC5E8BC" w14:textId="77777777" w:rsidR="00F70E9D" w:rsidRDefault="00F70E9D" w:rsidP="00473834">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F82922">
              <w:rPr>
                <w:rFonts w:ascii="Calibri" w:eastAsia="Arial Unicode MS" w:hAnsi="Calibri" w:cs="Calibri"/>
                <w:sz w:val="20"/>
                <w:szCs w:val="20"/>
                <w:lang w:val="en-AU"/>
              </w:rPr>
            </w:r>
            <w:r w:rsidR="00F82922">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Pr>
                <w:rFonts w:ascii="Calibri" w:eastAsia="Arial Unicode MS" w:hAnsi="Calibri" w:cs="Calibri"/>
                <w:sz w:val="20"/>
                <w:szCs w:val="20"/>
                <w:lang w:val="en-AU"/>
              </w:rPr>
              <w:fldChar w:fldCharType="begin">
                <w:ffData>
                  <w:name w:val=""/>
                  <w:enabled/>
                  <w:calcOnExit w:val="0"/>
                  <w:checkBox>
                    <w:sizeAuto/>
                    <w:default w:val="1"/>
                  </w:checkBox>
                </w:ffData>
              </w:fldChar>
            </w:r>
            <w:r>
              <w:rPr>
                <w:rFonts w:ascii="Calibri" w:eastAsia="Arial Unicode MS" w:hAnsi="Calibri" w:cs="Calibri"/>
                <w:sz w:val="20"/>
                <w:szCs w:val="20"/>
                <w:lang w:val="en-AU"/>
              </w:rPr>
              <w:instrText xml:space="preserve"> FORMCHECKBOX </w:instrText>
            </w:r>
            <w:r w:rsidR="00F82922">
              <w:rPr>
                <w:rFonts w:ascii="Calibri" w:eastAsia="Arial Unicode MS" w:hAnsi="Calibri" w:cs="Calibri"/>
                <w:sz w:val="20"/>
                <w:szCs w:val="20"/>
                <w:lang w:val="en-AU"/>
              </w:rPr>
            </w:r>
            <w:r w:rsidR="00F82922">
              <w:rPr>
                <w:rFonts w:ascii="Calibri" w:eastAsia="Arial Unicode MS" w:hAnsi="Calibri" w:cs="Calibri"/>
                <w:sz w:val="20"/>
                <w:szCs w:val="20"/>
                <w:lang w:val="en-AU"/>
              </w:rPr>
              <w:fldChar w:fldCharType="separate"/>
            </w:r>
            <w:r>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7C7E369B" w14:textId="77777777" w:rsidR="00F70E9D" w:rsidRDefault="00F70E9D" w:rsidP="00473834">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1101CF00" w14:textId="77777777" w:rsidR="00F70E9D" w:rsidRDefault="00F70E9D" w:rsidP="00473834">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F70E9D" w14:paraId="117A0469" w14:textId="77777777" w:rsidTr="00473834">
              <w:tc>
                <w:tcPr>
                  <w:tcW w:w="9661" w:type="dxa"/>
                </w:tcPr>
                <w:p w14:paraId="0D6EDBB1" w14:textId="77777777" w:rsidR="00F70E9D" w:rsidRDefault="00F70E9D" w:rsidP="00F82922">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p w14:paraId="70EEBA9D" w14:textId="77777777" w:rsidR="00F70E9D" w:rsidRDefault="00F70E9D" w:rsidP="00F82922">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tc>
            </w:tr>
          </w:tbl>
          <w:p w14:paraId="1107EEDD" w14:textId="77777777" w:rsidR="00F70E9D" w:rsidRDefault="00F70E9D" w:rsidP="00473834">
            <w:pPr>
              <w:pStyle w:val="paragraph"/>
              <w:spacing w:before="0" w:beforeAutospacing="0" w:after="0" w:afterAutospacing="0"/>
              <w:textAlignment w:val="baseline"/>
              <w:rPr>
                <w:rFonts w:ascii="Segoe UI" w:hAnsi="Segoe UI" w:cs="Segoe UI"/>
                <w:color w:val="000000"/>
                <w:sz w:val="18"/>
                <w:szCs w:val="18"/>
              </w:rPr>
            </w:pPr>
          </w:p>
          <w:p w14:paraId="78634908" w14:textId="77777777" w:rsidR="00F70E9D" w:rsidRDefault="00F70E9D" w:rsidP="00473834">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p w14:paraId="13F5B351" w14:textId="77777777" w:rsidR="00F70E9D" w:rsidRDefault="00F70E9D" w:rsidP="00473834">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F82922">
              <w:rPr>
                <w:rFonts w:ascii="Calibri" w:eastAsia="Arial Unicode MS" w:hAnsi="Calibri" w:cs="Calibri"/>
                <w:sz w:val="20"/>
                <w:szCs w:val="20"/>
                <w:lang w:val="en-AU"/>
              </w:rPr>
            </w:r>
            <w:r w:rsidR="00F82922">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Pr>
                <w:rFonts w:ascii="Calibri" w:eastAsia="Arial Unicode MS" w:hAnsi="Calibri" w:cs="Calibri"/>
                <w:sz w:val="20"/>
                <w:szCs w:val="20"/>
                <w:lang w:val="en-AU"/>
              </w:rPr>
              <w:fldChar w:fldCharType="begin">
                <w:ffData>
                  <w:name w:val=""/>
                  <w:enabled/>
                  <w:calcOnExit w:val="0"/>
                  <w:checkBox>
                    <w:sizeAuto/>
                    <w:default w:val="1"/>
                  </w:checkBox>
                </w:ffData>
              </w:fldChar>
            </w:r>
            <w:r>
              <w:rPr>
                <w:rFonts w:ascii="Calibri" w:eastAsia="Arial Unicode MS" w:hAnsi="Calibri" w:cs="Calibri"/>
                <w:sz w:val="20"/>
                <w:szCs w:val="20"/>
                <w:lang w:val="en-AU"/>
              </w:rPr>
              <w:instrText xml:space="preserve"> FORMCHECKBOX </w:instrText>
            </w:r>
            <w:r w:rsidR="00F82922">
              <w:rPr>
                <w:rFonts w:ascii="Calibri" w:eastAsia="Arial Unicode MS" w:hAnsi="Calibri" w:cs="Calibri"/>
                <w:sz w:val="20"/>
                <w:szCs w:val="20"/>
                <w:lang w:val="en-AU"/>
              </w:rPr>
            </w:r>
            <w:r w:rsidR="00F82922">
              <w:rPr>
                <w:rFonts w:ascii="Calibri" w:eastAsia="Arial Unicode MS" w:hAnsi="Calibri" w:cs="Calibri"/>
                <w:sz w:val="20"/>
                <w:szCs w:val="20"/>
                <w:lang w:val="en-AU"/>
              </w:rPr>
              <w:fldChar w:fldCharType="separate"/>
            </w:r>
            <w:r>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53ECE432" w14:textId="77777777" w:rsidR="00F70E9D" w:rsidRDefault="00F70E9D" w:rsidP="00473834">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p w14:paraId="41FB2DBA" w14:textId="77777777" w:rsidR="00F70E9D" w:rsidRDefault="00F70E9D" w:rsidP="00473834">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F70E9D" w14:paraId="77241448" w14:textId="77777777" w:rsidTr="00473834">
              <w:tc>
                <w:tcPr>
                  <w:tcW w:w="9661" w:type="dxa"/>
                </w:tcPr>
                <w:p w14:paraId="5C16110F" w14:textId="77777777" w:rsidR="00F70E9D" w:rsidRDefault="00F70E9D" w:rsidP="00F82922">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p w14:paraId="55995A25" w14:textId="77777777" w:rsidR="00F70E9D" w:rsidRDefault="00F70E9D" w:rsidP="00F82922">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tc>
            </w:tr>
          </w:tbl>
          <w:p w14:paraId="3E2AFC00" w14:textId="77777777" w:rsidR="00F70E9D" w:rsidRDefault="00F70E9D" w:rsidP="00473834">
            <w:pPr>
              <w:pStyle w:val="paragraph"/>
              <w:spacing w:before="0" w:beforeAutospacing="0" w:after="0" w:afterAutospacing="0"/>
              <w:textAlignment w:val="baseline"/>
              <w:rPr>
                <w:rStyle w:val="eop"/>
                <w:rFonts w:ascii="Calibri" w:hAnsi="Calibri" w:cs="Calibri"/>
                <w:sz w:val="20"/>
                <w:szCs w:val="20"/>
              </w:rPr>
            </w:pPr>
          </w:p>
          <w:p w14:paraId="121270EE" w14:textId="77777777" w:rsidR="00F70E9D" w:rsidRDefault="00F70E9D" w:rsidP="00473834">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5"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6"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688327A3" w14:textId="77777777" w:rsidR="00F70E9D" w:rsidRPr="00B14BE6" w:rsidRDefault="00F70E9D" w:rsidP="00473834">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tbl>
    <w:p w14:paraId="38D0D3E5" w14:textId="3E5DD747" w:rsidR="00F70E9D" w:rsidRDefault="00F70E9D" w:rsidP="00714B3C">
      <w:pPr>
        <w:spacing w:line="240" w:lineRule="auto"/>
        <w:contextualSpacing/>
        <w:rPr>
          <w:rFonts w:cs="Calibri"/>
        </w:rPr>
      </w:pPr>
    </w:p>
    <w:p w14:paraId="31188587" w14:textId="14C75181" w:rsidR="00F70E9D" w:rsidRDefault="00F70E9D" w:rsidP="00714B3C">
      <w:pPr>
        <w:spacing w:line="240" w:lineRule="auto"/>
        <w:contextualSpacing/>
        <w:rPr>
          <w:rFonts w:cs="Calibri"/>
        </w:rPr>
      </w:pPr>
    </w:p>
    <w:p w14:paraId="3D8E83F3" w14:textId="1F68E310" w:rsidR="00F70E9D" w:rsidRDefault="00F70E9D" w:rsidP="00714B3C">
      <w:pPr>
        <w:spacing w:line="240" w:lineRule="auto"/>
        <w:contextualSpacing/>
        <w:rPr>
          <w:rFonts w:cs="Calibri"/>
        </w:rPr>
      </w:pPr>
    </w:p>
    <w:p w14:paraId="15DB91DD" w14:textId="77777777" w:rsidR="00F70E9D" w:rsidRPr="00714B3C" w:rsidRDefault="00F70E9D" w:rsidP="00714B3C">
      <w:pPr>
        <w:spacing w:line="240" w:lineRule="auto"/>
        <w:contextualSpacing/>
        <w:rPr>
          <w:rFonts w:cs="Calibri"/>
        </w:rPr>
      </w:pPr>
    </w:p>
    <w:sectPr w:rsidR="00F70E9D" w:rsidRPr="00714B3C" w:rsidSect="006C74E6">
      <w:headerReference w:type="default" r:id="rId17"/>
      <w:footerReference w:type="default" r:id="rId18"/>
      <w:pgSz w:w="11907" w:h="16840" w:code="9"/>
      <w:pgMar w:top="1728" w:right="720" w:bottom="1152"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72BC4" w14:textId="77777777" w:rsidR="00054D53" w:rsidRDefault="00054D53">
      <w:r>
        <w:separator/>
      </w:r>
    </w:p>
  </w:endnote>
  <w:endnote w:type="continuationSeparator" w:id="0">
    <w:p w14:paraId="50770069" w14:textId="77777777" w:rsidR="00054D53" w:rsidRDefault="0005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31596" w14:textId="6155ADCC" w:rsidR="00A37BC2" w:rsidRPr="00174F95" w:rsidRDefault="00A37BC2" w:rsidP="00174F95">
    <w:pPr>
      <w:pStyle w:val="Footer"/>
      <w:spacing w:line="240" w:lineRule="auto"/>
      <w:jc w:val="right"/>
      <w:rPr>
        <w:sz w:val="16"/>
      </w:rPr>
    </w:pPr>
    <w:r>
      <w:rPr>
        <w:sz w:val="16"/>
      </w:rPr>
      <w:t xml:space="preserve">Rev. Nov2017 - </w:t>
    </w:r>
    <w:r w:rsidRPr="00174F95">
      <w:rPr>
        <w:sz w:val="16"/>
      </w:rPr>
      <w:t xml:space="preserve">Page </w:t>
    </w:r>
    <w:r w:rsidRPr="00174F95">
      <w:rPr>
        <w:bCs/>
        <w:sz w:val="16"/>
      </w:rPr>
      <w:fldChar w:fldCharType="begin"/>
    </w:r>
    <w:r w:rsidRPr="00174F95">
      <w:rPr>
        <w:bCs/>
        <w:sz w:val="16"/>
      </w:rPr>
      <w:instrText xml:space="preserve"> PAGE  \* Arabic  \* MERGEFORMAT </w:instrText>
    </w:r>
    <w:r w:rsidRPr="00174F95">
      <w:rPr>
        <w:bCs/>
        <w:sz w:val="16"/>
      </w:rPr>
      <w:fldChar w:fldCharType="separate"/>
    </w:r>
    <w:r w:rsidR="00811A04">
      <w:rPr>
        <w:bCs/>
        <w:noProof/>
        <w:sz w:val="16"/>
      </w:rPr>
      <w:t>2</w:t>
    </w:r>
    <w:r w:rsidRPr="00174F95">
      <w:rPr>
        <w:bCs/>
        <w:sz w:val="16"/>
      </w:rPr>
      <w:fldChar w:fldCharType="end"/>
    </w:r>
    <w:r w:rsidRPr="00174F95">
      <w:rPr>
        <w:sz w:val="16"/>
      </w:rPr>
      <w:t xml:space="preserve"> of </w:t>
    </w:r>
    <w:r w:rsidRPr="00174F95">
      <w:rPr>
        <w:bCs/>
        <w:sz w:val="16"/>
      </w:rPr>
      <w:fldChar w:fldCharType="begin"/>
    </w:r>
    <w:r w:rsidRPr="00174F95">
      <w:rPr>
        <w:bCs/>
        <w:sz w:val="16"/>
      </w:rPr>
      <w:instrText xml:space="preserve"> NUMPAGES  \* Arabic  \* MERGEFORMAT </w:instrText>
    </w:r>
    <w:r w:rsidRPr="00174F95">
      <w:rPr>
        <w:bCs/>
        <w:sz w:val="16"/>
      </w:rPr>
      <w:fldChar w:fldCharType="separate"/>
    </w:r>
    <w:r w:rsidR="00811A04">
      <w:rPr>
        <w:bCs/>
        <w:noProof/>
        <w:sz w:val="16"/>
      </w:rPr>
      <w:t>3</w:t>
    </w:r>
    <w:r w:rsidRPr="00174F95">
      <w:rPr>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8C321" w14:textId="77777777" w:rsidR="00054D53" w:rsidRDefault="00054D53">
      <w:r>
        <w:separator/>
      </w:r>
    </w:p>
  </w:footnote>
  <w:footnote w:type="continuationSeparator" w:id="0">
    <w:p w14:paraId="1D4A2F66" w14:textId="77777777" w:rsidR="00054D53" w:rsidRDefault="00054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1E095" w14:textId="7FD71378" w:rsidR="00A37BC2" w:rsidRDefault="00A37BC2" w:rsidP="00872272">
    <w:pPr>
      <w:pStyle w:val="Heading3"/>
      <w:spacing w:before="0" w:after="0"/>
    </w:pPr>
    <w:r>
      <w:rPr>
        <w:noProof/>
        <w:lang w:eastAsia="en-US"/>
      </w:rPr>
      <w:drawing>
        <wp:anchor distT="0" distB="0" distL="114300" distR="114300" simplePos="0" relativeHeight="251660288" behindDoc="0" locked="0" layoutInCell="1" allowOverlap="1" wp14:anchorId="427DB568" wp14:editId="61591E3E">
          <wp:simplePos x="0" y="0"/>
          <wp:positionH relativeFrom="column">
            <wp:posOffset>-96520</wp:posOffset>
          </wp:positionH>
          <wp:positionV relativeFrom="paragraph">
            <wp:posOffset>-165205</wp:posOffset>
          </wp:positionV>
          <wp:extent cx="2898140" cy="455930"/>
          <wp:effectExtent l="0" t="0" r="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p>
  <w:p w14:paraId="430BD084" w14:textId="77777777" w:rsidR="00A37BC2" w:rsidRPr="00872272" w:rsidRDefault="00A37BC2" w:rsidP="00872272">
    <w:pPr>
      <w:pStyle w:val="Heading3"/>
      <w:spacing w:before="0" w:after="0"/>
      <w:jc w:val="right"/>
      <w:rPr>
        <w:rFonts w:ascii="Calibri" w:hAnsi="Calibri" w:cs="Arial"/>
        <w:i/>
        <w:color w:val="000000"/>
        <w:sz w:val="12"/>
        <w:lang w:val="es-419"/>
      </w:rPr>
    </w:pPr>
  </w:p>
  <w:p w14:paraId="5122E37B" w14:textId="70F7CA0C" w:rsidR="00A37BC2" w:rsidRPr="0056512D" w:rsidRDefault="00A37BC2" w:rsidP="00872272">
    <w:pPr>
      <w:pStyle w:val="Heading3"/>
      <w:spacing w:before="0" w:after="0"/>
      <w:jc w:val="right"/>
    </w:pPr>
    <w:r w:rsidRPr="00B168FE">
      <w:rPr>
        <w:rFonts w:ascii="Calibri" w:hAnsi="Calibri" w:cstheme="minorHAnsi"/>
        <w:b w:val="0"/>
        <w:color w:val="404040" w:themeColor="text1" w:themeTint="BF"/>
        <w:sz w:val="20"/>
        <w:szCs w:val="20"/>
      </w:rPr>
      <w:t xml:space="preserve">UNICEF </w:t>
    </w:r>
    <w:r w:rsidRPr="00B168FE">
      <w:rPr>
        <w:rFonts w:ascii="Calibri" w:hAnsi="Calibri" w:cstheme="minorHAnsi"/>
        <w:b w:val="0"/>
        <w:caps w:val="0"/>
        <w:color w:val="404040" w:themeColor="text1" w:themeTint="BF"/>
        <w:sz w:val="20"/>
        <w:szCs w:val="20"/>
      </w:rPr>
      <w:t>Mozambique</w:t>
    </w:r>
    <w:r w:rsidRPr="00B168FE">
      <w:rPr>
        <w:b w:val="0"/>
        <w:noProof/>
        <w:color w:val="404040" w:themeColor="text1" w:themeTint="BF"/>
        <w:sz w:val="20"/>
        <w:lang w:eastAsia="en-US"/>
      </w:rPr>
      <mc:AlternateContent>
        <mc:Choice Requires="wps">
          <w:drawing>
            <wp:anchor distT="4294967295" distB="4294967295" distL="114300" distR="114300" simplePos="0" relativeHeight="251659264" behindDoc="0" locked="0" layoutInCell="1" allowOverlap="1" wp14:anchorId="3CCE03D9" wp14:editId="10B53585">
              <wp:simplePos x="0" y="0"/>
              <wp:positionH relativeFrom="margin">
                <wp:posOffset>-4762</wp:posOffset>
              </wp:positionH>
              <wp:positionV relativeFrom="page">
                <wp:posOffset>752474</wp:posOffset>
              </wp:positionV>
              <wp:extent cx="6657975" cy="4763"/>
              <wp:effectExtent l="0" t="0" r="28575" b="336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57975" cy="4763"/>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w:pict>
            <v:line id="Straight Connector 3"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35pt,59.25pt" to="523.9pt,59.65pt" w14:anchorId="4F2BB9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">
              <v:stroke joinstyle="miter"/>
              <o:lock v:ext="edit" shapetype="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800F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68010E"/>
    <w:multiLevelType w:val="hybridMultilevel"/>
    <w:tmpl w:val="251063D2"/>
    <w:lvl w:ilvl="0" w:tplc="92CC49A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B1296"/>
    <w:multiLevelType w:val="hybridMultilevel"/>
    <w:tmpl w:val="BF2ED48A"/>
    <w:lvl w:ilvl="0" w:tplc="D9983FE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1E764E"/>
    <w:multiLevelType w:val="multilevel"/>
    <w:tmpl w:val="E3DE6634"/>
    <w:lvl w:ilvl="0">
      <w:start w:val="2"/>
      <w:numFmt w:val="decimal"/>
      <w:lvlText w:val="%1"/>
      <w:lvlJc w:val="left"/>
      <w:pPr>
        <w:ind w:left="360" w:hanging="360"/>
      </w:pPr>
      <w:rPr>
        <w:rFonts w:hint="default"/>
        <w:b/>
      </w:rPr>
    </w:lvl>
    <w:lvl w:ilvl="1">
      <w:start w:val="4"/>
      <w:numFmt w:val="decimal"/>
      <w:lvlText w:val="%1.%2"/>
      <w:lvlJc w:val="left"/>
      <w:pPr>
        <w:ind w:left="792" w:hanging="360"/>
      </w:pPr>
      <w:rPr>
        <w:rFonts w:hint="default"/>
        <w:b/>
      </w:rPr>
    </w:lvl>
    <w:lvl w:ilvl="2">
      <w:start w:val="1"/>
      <w:numFmt w:val="decimal"/>
      <w:lvlText w:val="%1.%2.%3"/>
      <w:lvlJc w:val="left"/>
      <w:pPr>
        <w:ind w:left="1584" w:hanging="720"/>
      </w:pPr>
      <w:rPr>
        <w:rFonts w:hint="default"/>
        <w:b/>
      </w:rPr>
    </w:lvl>
    <w:lvl w:ilvl="3">
      <w:start w:val="1"/>
      <w:numFmt w:val="decimal"/>
      <w:lvlText w:val="%1.%2.%3.%4"/>
      <w:lvlJc w:val="left"/>
      <w:pPr>
        <w:ind w:left="2016" w:hanging="720"/>
      </w:pPr>
      <w:rPr>
        <w:rFonts w:hint="default"/>
        <w:b/>
      </w:rPr>
    </w:lvl>
    <w:lvl w:ilvl="4">
      <w:start w:val="1"/>
      <w:numFmt w:val="decimal"/>
      <w:lvlText w:val="%1.%2.%3.%4.%5"/>
      <w:lvlJc w:val="left"/>
      <w:pPr>
        <w:ind w:left="2448" w:hanging="720"/>
      </w:pPr>
      <w:rPr>
        <w:rFonts w:hint="default"/>
        <w:b/>
      </w:rPr>
    </w:lvl>
    <w:lvl w:ilvl="5">
      <w:start w:val="1"/>
      <w:numFmt w:val="decimal"/>
      <w:lvlText w:val="%1.%2.%3.%4.%5.%6"/>
      <w:lvlJc w:val="left"/>
      <w:pPr>
        <w:ind w:left="3240" w:hanging="1080"/>
      </w:pPr>
      <w:rPr>
        <w:rFonts w:hint="default"/>
        <w:b/>
      </w:rPr>
    </w:lvl>
    <w:lvl w:ilvl="6">
      <w:start w:val="1"/>
      <w:numFmt w:val="decimal"/>
      <w:lvlText w:val="%1.%2.%3.%4.%5.%6.%7"/>
      <w:lvlJc w:val="left"/>
      <w:pPr>
        <w:ind w:left="3672" w:hanging="1080"/>
      </w:pPr>
      <w:rPr>
        <w:rFonts w:hint="default"/>
        <w:b/>
      </w:rPr>
    </w:lvl>
    <w:lvl w:ilvl="7">
      <w:start w:val="1"/>
      <w:numFmt w:val="decimal"/>
      <w:lvlText w:val="%1.%2.%3.%4.%5.%6.%7.%8"/>
      <w:lvlJc w:val="left"/>
      <w:pPr>
        <w:ind w:left="4464" w:hanging="1440"/>
      </w:pPr>
      <w:rPr>
        <w:rFonts w:hint="default"/>
        <w:b/>
      </w:rPr>
    </w:lvl>
    <w:lvl w:ilvl="8">
      <w:start w:val="1"/>
      <w:numFmt w:val="decimal"/>
      <w:lvlText w:val="%1.%2.%3.%4.%5.%6.%7.%8.%9"/>
      <w:lvlJc w:val="left"/>
      <w:pPr>
        <w:ind w:left="4896" w:hanging="1440"/>
      </w:pPr>
      <w:rPr>
        <w:rFonts w:hint="default"/>
        <w:b/>
      </w:rPr>
    </w:lvl>
  </w:abstractNum>
  <w:abstractNum w:abstractNumId="4" w15:restartNumberingAfterBreak="0">
    <w:nsid w:val="162548E2"/>
    <w:multiLevelType w:val="multilevel"/>
    <w:tmpl w:val="86B2E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B184F"/>
    <w:multiLevelType w:val="hybridMultilevel"/>
    <w:tmpl w:val="824298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B7359"/>
    <w:multiLevelType w:val="hybridMultilevel"/>
    <w:tmpl w:val="C13CCA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E5269"/>
    <w:multiLevelType w:val="hybridMultilevel"/>
    <w:tmpl w:val="88EA08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FF4854"/>
    <w:multiLevelType w:val="hybridMultilevel"/>
    <w:tmpl w:val="F064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A4BD3"/>
    <w:multiLevelType w:val="hybridMultilevel"/>
    <w:tmpl w:val="63C63E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1351E3"/>
    <w:multiLevelType w:val="hybridMultilevel"/>
    <w:tmpl w:val="63DAFD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D05EE"/>
    <w:multiLevelType w:val="hybridMultilevel"/>
    <w:tmpl w:val="4BCA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0375B"/>
    <w:multiLevelType w:val="multilevel"/>
    <w:tmpl w:val="BA583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B13964"/>
    <w:multiLevelType w:val="hybridMultilevel"/>
    <w:tmpl w:val="ED70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FC7820"/>
    <w:multiLevelType w:val="multilevel"/>
    <w:tmpl w:val="64CA25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BB547D"/>
    <w:multiLevelType w:val="hybridMultilevel"/>
    <w:tmpl w:val="EB5A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E5663"/>
    <w:multiLevelType w:val="hybridMultilevel"/>
    <w:tmpl w:val="A04A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751D7"/>
    <w:multiLevelType w:val="hybridMultilevel"/>
    <w:tmpl w:val="C21067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9769B"/>
    <w:multiLevelType w:val="hybridMultilevel"/>
    <w:tmpl w:val="D0A27528"/>
    <w:lvl w:ilvl="0" w:tplc="1062DBBC">
      <w:start w:val="1"/>
      <w:numFmt w:val="decimal"/>
      <w:lvlText w:val="%1."/>
      <w:lvlJc w:val="left"/>
      <w:pPr>
        <w:ind w:left="360" w:hanging="360"/>
      </w:pPr>
      <w:rPr>
        <w:rFonts w:hint="default"/>
        <w:b/>
        <w:bCs/>
        <w:i w:val="0"/>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395D9C"/>
    <w:multiLevelType w:val="hybridMultilevel"/>
    <w:tmpl w:val="E0D268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1504CA"/>
    <w:multiLevelType w:val="hybridMultilevel"/>
    <w:tmpl w:val="EF1227B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E5F90"/>
    <w:multiLevelType w:val="hybridMultilevel"/>
    <w:tmpl w:val="25987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90501"/>
    <w:multiLevelType w:val="hybridMultilevel"/>
    <w:tmpl w:val="7CBE0484"/>
    <w:lvl w:ilvl="0" w:tplc="A83A4AA8">
      <w:numFmt w:val="bullet"/>
      <w:lvlText w:val="-"/>
      <w:lvlJc w:val="left"/>
      <w:pPr>
        <w:ind w:left="786" w:hanging="360"/>
      </w:pPr>
      <w:rPr>
        <w:rFonts w:ascii="Calibri" w:eastAsia="Times" w:hAnsi="Calibri"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15:restartNumberingAfterBreak="0">
    <w:nsid w:val="666C1354"/>
    <w:multiLevelType w:val="hybridMultilevel"/>
    <w:tmpl w:val="6C789C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042D2C"/>
    <w:multiLevelType w:val="multilevel"/>
    <w:tmpl w:val="0409001F"/>
    <w:lvl w:ilvl="0">
      <w:start w:val="1"/>
      <w:numFmt w:val="decimal"/>
      <w:lvlText w:val="%1."/>
      <w:lvlJc w:val="left"/>
      <w:pPr>
        <w:ind w:left="360" w:hanging="360"/>
      </w:pPr>
      <w:rPr>
        <w:rFonts w:hint="default"/>
        <w:b w:val="0"/>
        <w:i/>
      </w:rPr>
    </w:lvl>
    <w:lvl w:ilvl="1">
      <w:start w:val="1"/>
      <w:numFmt w:val="decimal"/>
      <w:lvlText w:val="%1.%2."/>
      <w:lvlJc w:val="left"/>
      <w:pPr>
        <w:ind w:left="10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7B3633"/>
    <w:multiLevelType w:val="multilevel"/>
    <w:tmpl w:val="DC009118"/>
    <w:lvl w:ilvl="0">
      <w:start w:val="2"/>
      <w:numFmt w:val="decimal"/>
      <w:lvlText w:val="%1"/>
      <w:lvlJc w:val="left"/>
      <w:pPr>
        <w:ind w:left="360" w:hanging="360"/>
      </w:pPr>
      <w:rPr>
        <w:rFonts w:hint="default"/>
        <w:b/>
      </w:rPr>
    </w:lvl>
    <w:lvl w:ilvl="1">
      <w:start w:val="1"/>
      <w:numFmt w:val="decimal"/>
      <w:lvlText w:val="%1.%2"/>
      <w:lvlJc w:val="left"/>
      <w:pPr>
        <w:ind w:left="792" w:hanging="360"/>
      </w:pPr>
      <w:rPr>
        <w:rFonts w:hint="default"/>
        <w:b/>
      </w:rPr>
    </w:lvl>
    <w:lvl w:ilvl="2">
      <w:start w:val="1"/>
      <w:numFmt w:val="decimal"/>
      <w:lvlText w:val="%1.%2.%3"/>
      <w:lvlJc w:val="left"/>
      <w:pPr>
        <w:ind w:left="1584" w:hanging="720"/>
      </w:pPr>
      <w:rPr>
        <w:rFonts w:hint="default"/>
        <w:b/>
      </w:rPr>
    </w:lvl>
    <w:lvl w:ilvl="3">
      <w:start w:val="1"/>
      <w:numFmt w:val="decimal"/>
      <w:lvlText w:val="%1.%2.%3.%4"/>
      <w:lvlJc w:val="left"/>
      <w:pPr>
        <w:ind w:left="2016" w:hanging="720"/>
      </w:pPr>
      <w:rPr>
        <w:rFonts w:hint="default"/>
        <w:b/>
      </w:rPr>
    </w:lvl>
    <w:lvl w:ilvl="4">
      <w:start w:val="1"/>
      <w:numFmt w:val="decimal"/>
      <w:lvlText w:val="%1.%2.%3.%4.%5"/>
      <w:lvlJc w:val="left"/>
      <w:pPr>
        <w:ind w:left="2448" w:hanging="720"/>
      </w:pPr>
      <w:rPr>
        <w:rFonts w:hint="default"/>
        <w:b/>
      </w:rPr>
    </w:lvl>
    <w:lvl w:ilvl="5">
      <w:start w:val="1"/>
      <w:numFmt w:val="decimal"/>
      <w:lvlText w:val="%1.%2.%3.%4.%5.%6"/>
      <w:lvlJc w:val="left"/>
      <w:pPr>
        <w:ind w:left="3240" w:hanging="1080"/>
      </w:pPr>
      <w:rPr>
        <w:rFonts w:hint="default"/>
        <w:b/>
      </w:rPr>
    </w:lvl>
    <w:lvl w:ilvl="6">
      <w:start w:val="1"/>
      <w:numFmt w:val="decimal"/>
      <w:lvlText w:val="%1.%2.%3.%4.%5.%6.%7"/>
      <w:lvlJc w:val="left"/>
      <w:pPr>
        <w:ind w:left="3672" w:hanging="1080"/>
      </w:pPr>
      <w:rPr>
        <w:rFonts w:hint="default"/>
        <w:b/>
      </w:rPr>
    </w:lvl>
    <w:lvl w:ilvl="7">
      <w:start w:val="1"/>
      <w:numFmt w:val="decimal"/>
      <w:lvlText w:val="%1.%2.%3.%4.%5.%6.%7.%8"/>
      <w:lvlJc w:val="left"/>
      <w:pPr>
        <w:ind w:left="4464" w:hanging="1440"/>
      </w:pPr>
      <w:rPr>
        <w:rFonts w:hint="default"/>
        <w:b/>
      </w:rPr>
    </w:lvl>
    <w:lvl w:ilvl="8">
      <w:start w:val="1"/>
      <w:numFmt w:val="decimal"/>
      <w:lvlText w:val="%1.%2.%3.%4.%5.%6.%7.%8.%9"/>
      <w:lvlJc w:val="left"/>
      <w:pPr>
        <w:ind w:left="4896" w:hanging="1440"/>
      </w:pPr>
      <w:rPr>
        <w:rFonts w:hint="default"/>
        <w:b/>
      </w:rPr>
    </w:lvl>
  </w:abstractNum>
  <w:abstractNum w:abstractNumId="26" w15:restartNumberingAfterBreak="0">
    <w:nsid w:val="6E946AFC"/>
    <w:multiLevelType w:val="hybridMultilevel"/>
    <w:tmpl w:val="4D6CA1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2091C"/>
    <w:multiLevelType w:val="hybridMultilevel"/>
    <w:tmpl w:val="4694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D375D8"/>
    <w:multiLevelType w:val="hybridMultilevel"/>
    <w:tmpl w:val="5622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717038"/>
    <w:multiLevelType w:val="hybridMultilevel"/>
    <w:tmpl w:val="63C633E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440A46"/>
    <w:multiLevelType w:val="hybridMultilevel"/>
    <w:tmpl w:val="93D60B7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635138"/>
    <w:multiLevelType w:val="hybridMultilevel"/>
    <w:tmpl w:val="0EE4C732"/>
    <w:lvl w:ilvl="0" w:tplc="2F2C245A">
      <w:start w:val="6"/>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9"/>
  </w:num>
  <w:num w:numId="3">
    <w:abstractNumId w:val="20"/>
  </w:num>
  <w:num w:numId="4">
    <w:abstractNumId w:val="23"/>
  </w:num>
  <w:num w:numId="5">
    <w:abstractNumId w:val="16"/>
  </w:num>
  <w:num w:numId="6">
    <w:abstractNumId w:val="26"/>
  </w:num>
  <w:num w:numId="7">
    <w:abstractNumId w:val="5"/>
  </w:num>
  <w:num w:numId="8">
    <w:abstractNumId w:val="4"/>
  </w:num>
  <w:num w:numId="9">
    <w:abstractNumId w:val="14"/>
  </w:num>
  <w:num w:numId="10">
    <w:abstractNumId w:val="12"/>
  </w:num>
  <w:num w:numId="11">
    <w:abstractNumId w:val="13"/>
  </w:num>
  <w:num w:numId="12">
    <w:abstractNumId w:val="7"/>
  </w:num>
  <w:num w:numId="13">
    <w:abstractNumId w:val="28"/>
  </w:num>
  <w:num w:numId="14">
    <w:abstractNumId w:val="22"/>
  </w:num>
  <w:num w:numId="15">
    <w:abstractNumId w:val="8"/>
  </w:num>
  <w:num w:numId="16">
    <w:abstractNumId w:val="11"/>
  </w:num>
  <w:num w:numId="17">
    <w:abstractNumId w:val="30"/>
  </w:num>
  <w:num w:numId="18">
    <w:abstractNumId w:val="15"/>
  </w:num>
  <w:num w:numId="19">
    <w:abstractNumId w:val="9"/>
  </w:num>
  <w:num w:numId="20">
    <w:abstractNumId w:val="27"/>
  </w:num>
  <w:num w:numId="21">
    <w:abstractNumId w:val="21"/>
  </w:num>
  <w:num w:numId="22">
    <w:abstractNumId w:val="17"/>
  </w:num>
  <w:num w:numId="23">
    <w:abstractNumId w:val="10"/>
  </w:num>
  <w:num w:numId="24">
    <w:abstractNumId w:val="19"/>
  </w:num>
  <w:num w:numId="25">
    <w:abstractNumId w:val="6"/>
  </w:num>
  <w:num w:numId="26">
    <w:abstractNumId w:val="1"/>
  </w:num>
  <w:num w:numId="27">
    <w:abstractNumId w:val="2"/>
  </w:num>
  <w:num w:numId="28">
    <w:abstractNumId w:val="24"/>
  </w:num>
  <w:num w:numId="29">
    <w:abstractNumId w:val="25"/>
  </w:num>
  <w:num w:numId="30">
    <w:abstractNumId w:val="3"/>
  </w:num>
  <w:num w:numId="31">
    <w:abstractNumId w:val="18"/>
  </w:num>
  <w:num w:numId="32">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0053F"/>
    <w:rsid w:val="0000408B"/>
    <w:rsid w:val="00011FED"/>
    <w:rsid w:val="00012B87"/>
    <w:rsid w:val="000239BE"/>
    <w:rsid w:val="00025DD6"/>
    <w:rsid w:val="00026974"/>
    <w:rsid w:val="00026E20"/>
    <w:rsid w:val="000348C3"/>
    <w:rsid w:val="000366EF"/>
    <w:rsid w:val="000441DC"/>
    <w:rsid w:val="00046123"/>
    <w:rsid w:val="000473CD"/>
    <w:rsid w:val="000501FE"/>
    <w:rsid w:val="00050271"/>
    <w:rsid w:val="00054D53"/>
    <w:rsid w:val="00056362"/>
    <w:rsid w:val="000610AB"/>
    <w:rsid w:val="00066B68"/>
    <w:rsid w:val="00066C55"/>
    <w:rsid w:val="0007169C"/>
    <w:rsid w:val="000716F6"/>
    <w:rsid w:val="00072ADE"/>
    <w:rsid w:val="000732C4"/>
    <w:rsid w:val="00075FDF"/>
    <w:rsid w:val="00081440"/>
    <w:rsid w:val="00085863"/>
    <w:rsid w:val="00090013"/>
    <w:rsid w:val="000911BE"/>
    <w:rsid w:val="000923F4"/>
    <w:rsid w:val="00092835"/>
    <w:rsid w:val="00095097"/>
    <w:rsid w:val="000A0DC1"/>
    <w:rsid w:val="000A1D86"/>
    <w:rsid w:val="000A3305"/>
    <w:rsid w:val="000A47A6"/>
    <w:rsid w:val="000B241E"/>
    <w:rsid w:val="000B32B5"/>
    <w:rsid w:val="000D310C"/>
    <w:rsid w:val="000D7F72"/>
    <w:rsid w:val="000E0DD9"/>
    <w:rsid w:val="000E6726"/>
    <w:rsid w:val="000F3E68"/>
    <w:rsid w:val="00101D94"/>
    <w:rsid w:val="0010293E"/>
    <w:rsid w:val="001109ED"/>
    <w:rsid w:val="0011513E"/>
    <w:rsid w:val="001247D7"/>
    <w:rsid w:val="0013195E"/>
    <w:rsid w:val="00134938"/>
    <w:rsid w:val="001403C9"/>
    <w:rsid w:val="00144B4E"/>
    <w:rsid w:val="00151AE8"/>
    <w:rsid w:val="0015244E"/>
    <w:rsid w:val="001533D0"/>
    <w:rsid w:val="00153C2E"/>
    <w:rsid w:val="00155AD1"/>
    <w:rsid w:val="00157B81"/>
    <w:rsid w:val="00162219"/>
    <w:rsid w:val="001656E9"/>
    <w:rsid w:val="00174F95"/>
    <w:rsid w:val="001769C7"/>
    <w:rsid w:val="001810C6"/>
    <w:rsid w:val="001818CC"/>
    <w:rsid w:val="001856FA"/>
    <w:rsid w:val="001A108C"/>
    <w:rsid w:val="001A2FB6"/>
    <w:rsid w:val="001A6936"/>
    <w:rsid w:val="001B048E"/>
    <w:rsid w:val="001B13E1"/>
    <w:rsid w:val="001B4923"/>
    <w:rsid w:val="001C13CB"/>
    <w:rsid w:val="001C238D"/>
    <w:rsid w:val="001D2795"/>
    <w:rsid w:val="001D4EC5"/>
    <w:rsid w:val="001D6623"/>
    <w:rsid w:val="001E0224"/>
    <w:rsid w:val="001E242B"/>
    <w:rsid w:val="001E325E"/>
    <w:rsid w:val="001E47BF"/>
    <w:rsid w:val="00200D66"/>
    <w:rsid w:val="0020342D"/>
    <w:rsid w:val="00205692"/>
    <w:rsid w:val="00214C02"/>
    <w:rsid w:val="00221200"/>
    <w:rsid w:val="00224B01"/>
    <w:rsid w:val="00233E42"/>
    <w:rsid w:val="00235D48"/>
    <w:rsid w:val="002433E2"/>
    <w:rsid w:val="00245F4D"/>
    <w:rsid w:val="002546C7"/>
    <w:rsid w:val="0026323F"/>
    <w:rsid w:val="002638A2"/>
    <w:rsid w:val="00272F46"/>
    <w:rsid w:val="00275981"/>
    <w:rsid w:val="002906DF"/>
    <w:rsid w:val="002945C8"/>
    <w:rsid w:val="002A77B6"/>
    <w:rsid w:val="002B2D1E"/>
    <w:rsid w:val="002C7B2C"/>
    <w:rsid w:val="002D3F9B"/>
    <w:rsid w:val="002E5C7F"/>
    <w:rsid w:val="002F4995"/>
    <w:rsid w:val="003003C3"/>
    <w:rsid w:val="00304232"/>
    <w:rsid w:val="00306592"/>
    <w:rsid w:val="00313EDB"/>
    <w:rsid w:val="00334C9C"/>
    <w:rsid w:val="00342A01"/>
    <w:rsid w:val="00346409"/>
    <w:rsid w:val="00347429"/>
    <w:rsid w:val="003513EE"/>
    <w:rsid w:val="00352D64"/>
    <w:rsid w:val="003544EB"/>
    <w:rsid w:val="003555AF"/>
    <w:rsid w:val="003635A0"/>
    <w:rsid w:val="00363E6C"/>
    <w:rsid w:val="00367072"/>
    <w:rsid w:val="00370627"/>
    <w:rsid w:val="003830AD"/>
    <w:rsid w:val="00384A3B"/>
    <w:rsid w:val="00385A2A"/>
    <w:rsid w:val="00392EF3"/>
    <w:rsid w:val="003A05A1"/>
    <w:rsid w:val="003A1866"/>
    <w:rsid w:val="003A6163"/>
    <w:rsid w:val="003A6E97"/>
    <w:rsid w:val="003B2FBF"/>
    <w:rsid w:val="003B3DEF"/>
    <w:rsid w:val="003C4833"/>
    <w:rsid w:val="003C5910"/>
    <w:rsid w:val="003C677C"/>
    <w:rsid w:val="003D3E1F"/>
    <w:rsid w:val="003D5C99"/>
    <w:rsid w:val="003E42E6"/>
    <w:rsid w:val="003E4FD2"/>
    <w:rsid w:val="003F1A93"/>
    <w:rsid w:val="003F5A73"/>
    <w:rsid w:val="00400302"/>
    <w:rsid w:val="004075C5"/>
    <w:rsid w:val="00412380"/>
    <w:rsid w:val="00420871"/>
    <w:rsid w:val="004213B6"/>
    <w:rsid w:val="00421642"/>
    <w:rsid w:val="00422B9D"/>
    <w:rsid w:val="004276FD"/>
    <w:rsid w:val="004307D6"/>
    <w:rsid w:val="00433197"/>
    <w:rsid w:val="00433EBC"/>
    <w:rsid w:val="00435E75"/>
    <w:rsid w:val="00437C5D"/>
    <w:rsid w:val="00442049"/>
    <w:rsid w:val="00447162"/>
    <w:rsid w:val="00447FEF"/>
    <w:rsid w:val="00452C68"/>
    <w:rsid w:val="00453C2C"/>
    <w:rsid w:val="00454401"/>
    <w:rsid w:val="00455472"/>
    <w:rsid w:val="0046022F"/>
    <w:rsid w:val="00460F2E"/>
    <w:rsid w:val="00465A8B"/>
    <w:rsid w:val="004663BE"/>
    <w:rsid w:val="00466CC7"/>
    <w:rsid w:val="004722A9"/>
    <w:rsid w:val="00472CC6"/>
    <w:rsid w:val="004738F8"/>
    <w:rsid w:val="00477810"/>
    <w:rsid w:val="00484656"/>
    <w:rsid w:val="004908ED"/>
    <w:rsid w:val="00492CE0"/>
    <w:rsid w:val="004A3447"/>
    <w:rsid w:val="004A60ED"/>
    <w:rsid w:val="004B6527"/>
    <w:rsid w:val="004B774F"/>
    <w:rsid w:val="004C43AF"/>
    <w:rsid w:val="004C6069"/>
    <w:rsid w:val="004D2990"/>
    <w:rsid w:val="004D743B"/>
    <w:rsid w:val="004E0241"/>
    <w:rsid w:val="004E1094"/>
    <w:rsid w:val="004E35AB"/>
    <w:rsid w:val="004E68AD"/>
    <w:rsid w:val="004E6FAD"/>
    <w:rsid w:val="004E7F5D"/>
    <w:rsid w:val="004F3E47"/>
    <w:rsid w:val="004F743E"/>
    <w:rsid w:val="00504B2B"/>
    <w:rsid w:val="00507C01"/>
    <w:rsid w:val="005106F1"/>
    <w:rsid w:val="00511B0B"/>
    <w:rsid w:val="0052177E"/>
    <w:rsid w:val="00522681"/>
    <w:rsid w:val="005227D3"/>
    <w:rsid w:val="00525FCE"/>
    <w:rsid w:val="00530AA0"/>
    <w:rsid w:val="00531D95"/>
    <w:rsid w:val="005354CB"/>
    <w:rsid w:val="0053640F"/>
    <w:rsid w:val="00541A0F"/>
    <w:rsid w:val="00545205"/>
    <w:rsid w:val="00553070"/>
    <w:rsid w:val="00555987"/>
    <w:rsid w:val="00557AAD"/>
    <w:rsid w:val="005641AB"/>
    <w:rsid w:val="0056512D"/>
    <w:rsid w:val="005671E0"/>
    <w:rsid w:val="00577751"/>
    <w:rsid w:val="005902C2"/>
    <w:rsid w:val="00591B13"/>
    <w:rsid w:val="005B6F78"/>
    <w:rsid w:val="005B7DAE"/>
    <w:rsid w:val="005C258F"/>
    <w:rsid w:val="005C2926"/>
    <w:rsid w:val="005C72EF"/>
    <w:rsid w:val="005D0644"/>
    <w:rsid w:val="005E15B1"/>
    <w:rsid w:val="00605F50"/>
    <w:rsid w:val="006208C2"/>
    <w:rsid w:val="00622610"/>
    <w:rsid w:val="00623FA5"/>
    <w:rsid w:val="00624C3B"/>
    <w:rsid w:val="00632A7F"/>
    <w:rsid w:val="00641F63"/>
    <w:rsid w:val="00642FF4"/>
    <w:rsid w:val="00643075"/>
    <w:rsid w:val="0064763B"/>
    <w:rsid w:val="00667CF4"/>
    <w:rsid w:val="00670A84"/>
    <w:rsid w:val="00675BBC"/>
    <w:rsid w:val="006858BC"/>
    <w:rsid w:val="0068599A"/>
    <w:rsid w:val="00685D30"/>
    <w:rsid w:val="006867DF"/>
    <w:rsid w:val="006910EC"/>
    <w:rsid w:val="00693CF3"/>
    <w:rsid w:val="00693FD2"/>
    <w:rsid w:val="00694285"/>
    <w:rsid w:val="006A5741"/>
    <w:rsid w:val="006B0201"/>
    <w:rsid w:val="006B0E4B"/>
    <w:rsid w:val="006B1DCA"/>
    <w:rsid w:val="006B4077"/>
    <w:rsid w:val="006B66FB"/>
    <w:rsid w:val="006C4167"/>
    <w:rsid w:val="006C53CB"/>
    <w:rsid w:val="006C74E6"/>
    <w:rsid w:val="006D2C9B"/>
    <w:rsid w:val="006D5E79"/>
    <w:rsid w:val="006E3646"/>
    <w:rsid w:val="006E50A4"/>
    <w:rsid w:val="006F3FEA"/>
    <w:rsid w:val="006F69E5"/>
    <w:rsid w:val="007014AE"/>
    <w:rsid w:val="00704E0D"/>
    <w:rsid w:val="0070791D"/>
    <w:rsid w:val="0071050C"/>
    <w:rsid w:val="00713E95"/>
    <w:rsid w:val="00714B3C"/>
    <w:rsid w:val="0072083D"/>
    <w:rsid w:val="00722D50"/>
    <w:rsid w:val="007255B5"/>
    <w:rsid w:val="00732BCA"/>
    <w:rsid w:val="0074193E"/>
    <w:rsid w:val="007513D4"/>
    <w:rsid w:val="00752EEA"/>
    <w:rsid w:val="0075757C"/>
    <w:rsid w:val="00764575"/>
    <w:rsid w:val="00764C30"/>
    <w:rsid w:val="00770F6D"/>
    <w:rsid w:val="00771570"/>
    <w:rsid w:val="00785CA9"/>
    <w:rsid w:val="00785FA5"/>
    <w:rsid w:val="0079018C"/>
    <w:rsid w:val="007928F9"/>
    <w:rsid w:val="00793D18"/>
    <w:rsid w:val="007B0368"/>
    <w:rsid w:val="007B376D"/>
    <w:rsid w:val="007C2F15"/>
    <w:rsid w:val="007C330B"/>
    <w:rsid w:val="007D2E91"/>
    <w:rsid w:val="007D480B"/>
    <w:rsid w:val="007D4C5A"/>
    <w:rsid w:val="007D7005"/>
    <w:rsid w:val="007E4518"/>
    <w:rsid w:val="008018DC"/>
    <w:rsid w:val="00803232"/>
    <w:rsid w:val="00804DE1"/>
    <w:rsid w:val="00804FF4"/>
    <w:rsid w:val="00811A04"/>
    <w:rsid w:val="00816C33"/>
    <w:rsid w:val="00817BF9"/>
    <w:rsid w:val="008220DE"/>
    <w:rsid w:val="00826B98"/>
    <w:rsid w:val="008325EC"/>
    <w:rsid w:val="00832F95"/>
    <w:rsid w:val="00836371"/>
    <w:rsid w:val="00840ED6"/>
    <w:rsid w:val="00841E46"/>
    <w:rsid w:val="00847B3B"/>
    <w:rsid w:val="00854649"/>
    <w:rsid w:val="008547E6"/>
    <w:rsid w:val="00856094"/>
    <w:rsid w:val="00857663"/>
    <w:rsid w:val="00870727"/>
    <w:rsid w:val="00872272"/>
    <w:rsid w:val="00872F19"/>
    <w:rsid w:val="0087376A"/>
    <w:rsid w:val="008757D7"/>
    <w:rsid w:val="00875C22"/>
    <w:rsid w:val="00876746"/>
    <w:rsid w:val="0088049F"/>
    <w:rsid w:val="00892961"/>
    <w:rsid w:val="008935F6"/>
    <w:rsid w:val="00896003"/>
    <w:rsid w:val="00896227"/>
    <w:rsid w:val="008A7AD2"/>
    <w:rsid w:val="008B49B0"/>
    <w:rsid w:val="008B5BF5"/>
    <w:rsid w:val="008B68F3"/>
    <w:rsid w:val="008B73B6"/>
    <w:rsid w:val="008C649A"/>
    <w:rsid w:val="008C7A4C"/>
    <w:rsid w:val="008D0DF4"/>
    <w:rsid w:val="008D602B"/>
    <w:rsid w:val="008E24E7"/>
    <w:rsid w:val="008E575A"/>
    <w:rsid w:val="008F1B33"/>
    <w:rsid w:val="008F57D8"/>
    <w:rsid w:val="008F6E58"/>
    <w:rsid w:val="008F7A07"/>
    <w:rsid w:val="009015AB"/>
    <w:rsid w:val="0090458A"/>
    <w:rsid w:val="00910D21"/>
    <w:rsid w:val="009114A7"/>
    <w:rsid w:val="00912CD0"/>
    <w:rsid w:val="009169A9"/>
    <w:rsid w:val="00920370"/>
    <w:rsid w:val="00921110"/>
    <w:rsid w:val="00924450"/>
    <w:rsid w:val="00935B02"/>
    <w:rsid w:val="00941D1C"/>
    <w:rsid w:val="0094369D"/>
    <w:rsid w:val="00943ABE"/>
    <w:rsid w:val="009468AD"/>
    <w:rsid w:val="00947DCB"/>
    <w:rsid w:val="00953F77"/>
    <w:rsid w:val="0096295A"/>
    <w:rsid w:val="00972202"/>
    <w:rsid w:val="0097331B"/>
    <w:rsid w:val="009745A1"/>
    <w:rsid w:val="00974B54"/>
    <w:rsid w:val="00974CAB"/>
    <w:rsid w:val="00975BD8"/>
    <w:rsid w:val="009805AC"/>
    <w:rsid w:val="00980AB3"/>
    <w:rsid w:val="00987DBA"/>
    <w:rsid w:val="00990E57"/>
    <w:rsid w:val="0099385E"/>
    <w:rsid w:val="009A1C42"/>
    <w:rsid w:val="009A30F5"/>
    <w:rsid w:val="009A3E32"/>
    <w:rsid w:val="009A4330"/>
    <w:rsid w:val="009A55A1"/>
    <w:rsid w:val="009B1359"/>
    <w:rsid w:val="009B29CC"/>
    <w:rsid w:val="009B3EE7"/>
    <w:rsid w:val="009B5962"/>
    <w:rsid w:val="009B780B"/>
    <w:rsid w:val="009D1474"/>
    <w:rsid w:val="009D45AD"/>
    <w:rsid w:val="009D6145"/>
    <w:rsid w:val="009F568D"/>
    <w:rsid w:val="009F7A71"/>
    <w:rsid w:val="00A139DF"/>
    <w:rsid w:val="00A140D6"/>
    <w:rsid w:val="00A153A2"/>
    <w:rsid w:val="00A17759"/>
    <w:rsid w:val="00A20DD4"/>
    <w:rsid w:val="00A21234"/>
    <w:rsid w:val="00A249C7"/>
    <w:rsid w:val="00A37BC2"/>
    <w:rsid w:val="00A46674"/>
    <w:rsid w:val="00A62100"/>
    <w:rsid w:val="00A622C7"/>
    <w:rsid w:val="00A72A32"/>
    <w:rsid w:val="00A73317"/>
    <w:rsid w:val="00A84D42"/>
    <w:rsid w:val="00A8572C"/>
    <w:rsid w:val="00A87976"/>
    <w:rsid w:val="00A879F6"/>
    <w:rsid w:val="00A94EBC"/>
    <w:rsid w:val="00AA1FDD"/>
    <w:rsid w:val="00AA4381"/>
    <w:rsid w:val="00AB4631"/>
    <w:rsid w:val="00AC78EB"/>
    <w:rsid w:val="00AD136A"/>
    <w:rsid w:val="00AD4479"/>
    <w:rsid w:val="00AE1356"/>
    <w:rsid w:val="00AE3EAB"/>
    <w:rsid w:val="00AF1146"/>
    <w:rsid w:val="00AF3C75"/>
    <w:rsid w:val="00AF78E4"/>
    <w:rsid w:val="00B00F64"/>
    <w:rsid w:val="00B04545"/>
    <w:rsid w:val="00B045BA"/>
    <w:rsid w:val="00B0605F"/>
    <w:rsid w:val="00B0680E"/>
    <w:rsid w:val="00B12B32"/>
    <w:rsid w:val="00B168FE"/>
    <w:rsid w:val="00B21B73"/>
    <w:rsid w:val="00B21DAF"/>
    <w:rsid w:val="00B22D8B"/>
    <w:rsid w:val="00B22EA5"/>
    <w:rsid w:val="00B35429"/>
    <w:rsid w:val="00B63A19"/>
    <w:rsid w:val="00B63DC1"/>
    <w:rsid w:val="00B70669"/>
    <w:rsid w:val="00B72AB4"/>
    <w:rsid w:val="00B72CA6"/>
    <w:rsid w:val="00B73B8D"/>
    <w:rsid w:val="00B93AE3"/>
    <w:rsid w:val="00BA2E2F"/>
    <w:rsid w:val="00BB0272"/>
    <w:rsid w:val="00BB75CB"/>
    <w:rsid w:val="00BC0A7C"/>
    <w:rsid w:val="00BC1865"/>
    <w:rsid w:val="00BC6331"/>
    <w:rsid w:val="00BD4DFA"/>
    <w:rsid w:val="00BE00B9"/>
    <w:rsid w:val="00BE3541"/>
    <w:rsid w:val="00BE3EAF"/>
    <w:rsid w:val="00BE46A1"/>
    <w:rsid w:val="00BE56A2"/>
    <w:rsid w:val="00BE5EB5"/>
    <w:rsid w:val="00BE68A3"/>
    <w:rsid w:val="00C0029E"/>
    <w:rsid w:val="00C00D4B"/>
    <w:rsid w:val="00C03914"/>
    <w:rsid w:val="00C1625F"/>
    <w:rsid w:val="00C16648"/>
    <w:rsid w:val="00C23197"/>
    <w:rsid w:val="00C23F37"/>
    <w:rsid w:val="00C322B3"/>
    <w:rsid w:val="00C33909"/>
    <w:rsid w:val="00C33CB8"/>
    <w:rsid w:val="00C3488F"/>
    <w:rsid w:val="00C35545"/>
    <w:rsid w:val="00C577AC"/>
    <w:rsid w:val="00C60959"/>
    <w:rsid w:val="00C70DE4"/>
    <w:rsid w:val="00C73AA0"/>
    <w:rsid w:val="00C75A88"/>
    <w:rsid w:val="00C8363C"/>
    <w:rsid w:val="00C86D10"/>
    <w:rsid w:val="00C87DBC"/>
    <w:rsid w:val="00C90E06"/>
    <w:rsid w:val="00C979C6"/>
    <w:rsid w:val="00CA5187"/>
    <w:rsid w:val="00CA6E69"/>
    <w:rsid w:val="00CA751C"/>
    <w:rsid w:val="00CB2D79"/>
    <w:rsid w:val="00CC0745"/>
    <w:rsid w:val="00CC4E6D"/>
    <w:rsid w:val="00CD09E3"/>
    <w:rsid w:val="00CD0BE9"/>
    <w:rsid w:val="00CD28CD"/>
    <w:rsid w:val="00CF42A9"/>
    <w:rsid w:val="00CF7365"/>
    <w:rsid w:val="00D00656"/>
    <w:rsid w:val="00D01E87"/>
    <w:rsid w:val="00D0453E"/>
    <w:rsid w:val="00D172DF"/>
    <w:rsid w:val="00D178FF"/>
    <w:rsid w:val="00D23BF0"/>
    <w:rsid w:val="00D25F7E"/>
    <w:rsid w:val="00D26511"/>
    <w:rsid w:val="00D26A7A"/>
    <w:rsid w:val="00D27D4A"/>
    <w:rsid w:val="00D335C3"/>
    <w:rsid w:val="00D44D5C"/>
    <w:rsid w:val="00D54373"/>
    <w:rsid w:val="00D5688E"/>
    <w:rsid w:val="00D56C5A"/>
    <w:rsid w:val="00D605AC"/>
    <w:rsid w:val="00D60C09"/>
    <w:rsid w:val="00D63999"/>
    <w:rsid w:val="00D67634"/>
    <w:rsid w:val="00D86181"/>
    <w:rsid w:val="00D92572"/>
    <w:rsid w:val="00D9377D"/>
    <w:rsid w:val="00D94DCF"/>
    <w:rsid w:val="00DA5B5E"/>
    <w:rsid w:val="00DB1AC9"/>
    <w:rsid w:val="00DB1B34"/>
    <w:rsid w:val="00DB4C84"/>
    <w:rsid w:val="00DB4F0F"/>
    <w:rsid w:val="00DC71C2"/>
    <w:rsid w:val="00DD05A1"/>
    <w:rsid w:val="00DD1422"/>
    <w:rsid w:val="00DD3858"/>
    <w:rsid w:val="00DD60F8"/>
    <w:rsid w:val="00DF2467"/>
    <w:rsid w:val="00DF3525"/>
    <w:rsid w:val="00DF45E8"/>
    <w:rsid w:val="00DF7B5F"/>
    <w:rsid w:val="00E00F83"/>
    <w:rsid w:val="00E0226B"/>
    <w:rsid w:val="00E035AB"/>
    <w:rsid w:val="00E07DFB"/>
    <w:rsid w:val="00E1457C"/>
    <w:rsid w:val="00E172FC"/>
    <w:rsid w:val="00E2334F"/>
    <w:rsid w:val="00E30B8C"/>
    <w:rsid w:val="00E32CEB"/>
    <w:rsid w:val="00E40450"/>
    <w:rsid w:val="00E41B67"/>
    <w:rsid w:val="00E46840"/>
    <w:rsid w:val="00E46CDE"/>
    <w:rsid w:val="00E52128"/>
    <w:rsid w:val="00E55F7D"/>
    <w:rsid w:val="00E60CB1"/>
    <w:rsid w:val="00E611E1"/>
    <w:rsid w:val="00E657DC"/>
    <w:rsid w:val="00E66A8F"/>
    <w:rsid w:val="00E71979"/>
    <w:rsid w:val="00E74D06"/>
    <w:rsid w:val="00E755EF"/>
    <w:rsid w:val="00E77083"/>
    <w:rsid w:val="00E810FD"/>
    <w:rsid w:val="00E82D99"/>
    <w:rsid w:val="00EA19F6"/>
    <w:rsid w:val="00EA1D83"/>
    <w:rsid w:val="00EA2741"/>
    <w:rsid w:val="00EA3976"/>
    <w:rsid w:val="00EA3EE3"/>
    <w:rsid w:val="00EA56A4"/>
    <w:rsid w:val="00EB12A6"/>
    <w:rsid w:val="00EB3785"/>
    <w:rsid w:val="00EB438D"/>
    <w:rsid w:val="00EB4DE7"/>
    <w:rsid w:val="00EB532C"/>
    <w:rsid w:val="00EC1A55"/>
    <w:rsid w:val="00EC37E3"/>
    <w:rsid w:val="00ED1682"/>
    <w:rsid w:val="00ED7FD1"/>
    <w:rsid w:val="00EE1E5A"/>
    <w:rsid w:val="00EE27A7"/>
    <w:rsid w:val="00EF0807"/>
    <w:rsid w:val="00EF1884"/>
    <w:rsid w:val="00EF5C62"/>
    <w:rsid w:val="00F04D9A"/>
    <w:rsid w:val="00F05263"/>
    <w:rsid w:val="00F07DBE"/>
    <w:rsid w:val="00F1099E"/>
    <w:rsid w:val="00F1125F"/>
    <w:rsid w:val="00F15597"/>
    <w:rsid w:val="00F23600"/>
    <w:rsid w:val="00F252D0"/>
    <w:rsid w:val="00F26049"/>
    <w:rsid w:val="00F35D91"/>
    <w:rsid w:val="00F36711"/>
    <w:rsid w:val="00F3725A"/>
    <w:rsid w:val="00F4079A"/>
    <w:rsid w:val="00F41A9C"/>
    <w:rsid w:val="00F46DF1"/>
    <w:rsid w:val="00F56B7E"/>
    <w:rsid w:val="00F61E8D"/>
    <w:rsid w:val="00F628E5"/>
    <w:rsid w:val="00F644EC"/>
    <w:rsid w:val="00F66BBA"/>
    <w:rsid w:val="00F70E9D"/>
    <w:rsid w:val="00F72B1D"/>
    <w:rsid w:val="00F72B73"/>
    <w:rsid w:val="00F76761"/>
    <w:rsid w:val="00F76F6C"/>
    <w:rsid w:val="00F82922"/>
    <w:rsid w:val="00F831D3"/>
    <w:rsid w:val="00F842CA"/>
    <w:rsid w:val="00F8451D"/>
    <w:rsid w:val="00F84756"/>
    <w:rsid w:val="00F8603E"/>
    <w:rsid w:val="00F87670"/>
    <w:rsid w:val="00F906EE"/>
    <w:rsid w:val="00F972D0"/>
    <w:rsid w:val="00FB1F55"/>
    <w:rsid w:val="00FB4AB1"/>
    <w:rsid w:val="00FB584F"/>
    <w:rsid w:val="00FC3869"/>
    <w:rsid w:val="00FC3CD0"/>
    <w:rsid w:val="00FD4F8B"/>
    <w:rsid w:val="00FF12F7"/>
    <w:rsid w:val="00FF4FCC"/>
    <w:rsid w:val="00FF501B"/>
    <w:rsid w:val="00FF5472"/>
    <w:rsid w:val="1A92F4ED"/>
    <w:rsid w:val="4B741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99fe,aqua"/>
    </o:shapedefaults>
    <o:shapelayout v:ext="edit">
      <o:idmap v:ext="edit" data="1"/>
    </o:shapelayout>
  </w:shapeDefaults>
  <w:decimalSymbol w:val="."/>
  <w:listSeparator w:val=","/>
  <w14:docId w14:val="545FBF3E"/>
  <w15:docId w15:val="{B34E1016-966F-4AEE-906C-4A6BCD47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72FC"/>
    <w:pPr>
      <w:spacing w:line="260" w:lineRule="exact"/>
    </w:pPr>
    <w:rPr>
      <w:rFonts w:ascii="Calibri" w:hAnsi="Calibri"/>
      <w:color w:val="000000"/>
      <w:sz w:val="22"/>
      <w:lang w:eastAsia="en-GB"/>
    </w:rPr>
  </w:style>
  <w:style w:type="paragraph" w:styleId="Heading1">
    <w:name w:val="heading 1"/>
    <w:basedOn w:val="Heading2"/>
    <w:next w:val="Normal"/>
    <w:qFormat/>
    <w:rsid w:val="00E172FC"/>
    <w:pPr>
      <w:spacing w:before="240" w:after="120"/>
      <w:outlineLvl w:val="0"/>
    </w:pPr>
    <w:rPr>
      <w:rFonts w:asciiTheme="minorHAnsi" w:hAnsiTheme="minorHAnsi"/>
      <w:sz w:val="24"/>
    </w:r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4B774F"/>
    <w:pPr>
      <w:spacing w:line="276" w:lineRule="auto"/>
      <w:ind w:left="720"/>
      <w:contextualSpacing/>
    </w:pPr>
    <w:rPr>
      <w:rFonts w:eastAsia="Calibri"/>
      <w:color w:val="auto"/>
      <w:sz w:val="24"/>
      <w:szCs w:val="24"/>
      <w:lang w:val="en-GB" w:eastAsia="en-US"/>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lang w:val="en-GB" w:eastAsia="en-GB"/>
    </w:rPr>
  </w:style>
  <w:style w:type="paragraph" w:styleId="BalloonText">
    <w:name w:val="Balloon Text"/>
    <w:basedOn w:val="Normal"/>
    <w:link w:val="BalloonTextChar"/>
    <w:rsid w:val="006430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3075"/>
    <w:rPr>
      <w:rFonts w:ascii="Tahoma" w:hAnsi="Tahoma" w:cs="Tahoma"/>
      <w:color w:val="000000"/>
      <w:sz w:val="16"/>
      <w:szCs w:val="16"/>
      <w:lang w:eastAsia="en-GB"/>
    </w:rPr>
  </w:style>
  <w:style w:type="character" w:styleId="CommentReference">
    <w:name w:val="annotation reference"/>
    <w:basedOn w:val="DefaultParagraphFont"/>
    <w:uiPriority w:val="99"/>
    <w:rsid w:val="00643075"/>
    <w:rPr>
      <w:sz w:val="16"/>
      <w:szCs w:val="16"/>
    </w:rPr>
  </w:style>
  <w:style w:type="paragraph" w:styleId="CommentText">
    <w:name w:val="annotation text"/>
    <w:basedOn w:val="Normal"/>
    <w:link w:val="CommentTextChar"/>
    <w:rsid w:val="00643075"/>
    <w:pPr>
      <w:spacing w:line="240" w:lineRule="auto"/>
    </w:pPr>
    <w:rPr>
      <w:sz w:val="20"/>
    </w:rPr>
  </w:style>
  <w:style w:type="character" w:customStyle="1" w:styleId="CommentTextChar">
    <w:name w:val="Comment Text Char"/>
    <w:basedOn w:val="DefaultParagraphFont"/>
    <w:link w:val="CommentText"/>
    <w:rsid w:val="00643075"/>
    <w:rPr>
      <w:rFonts w:ascii="Times New Roman" w:hAnsi="Times New Roman"/>
      <w:color w:val="000000"/>
      <w:lang w:eastAsia="en-GB"/>
    </w:rPr>
  </w:style>
  <w:style w:type="paragraph" w:styleId="CommentSubject">
    <w:name w:val="annotation subject"/>
    <w:basedOn w:val="CommentText"/>
    <w:next w:val="CommentText"/>
    <w:link w:val="CommentSubjectChar"/>
    <w:rsid w:val="00643075"/>
    <w:rPr>
      <w:b/>
      <w:bCs/>
    </w:rPr>
  </w:style>
  <w:style w:type="character" w:customStyle="1" w:styleId="CommentSubjectChar">
    <w:name w:val="Comment Subject Char"/>
    <w:basedOn w:val="CommentTextChar"/>
    <w:link w:val="CommentSubject"/>
    <w:rsid w:val="00643075"/>
    <w:rPr>
      <w:rFonts w:ascii="Times New Roman" w:hAnsi="Times New Roman"/>
      <w:b/>
      <w:bCs/>
      <w:color w:val="000000"/>
      <w:lang w:eastAsia="en-GB"/>
    </w:rPr>
  </w:style>
  <w:style w:type="table" w:styleId="TableGrid">
    <w:name w:val="Table Grid"/>
    <w:basedOn w:val="TableNormal"/>
    <w:rsid w:val="00385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47D7"/>
    <w:rPr>
      <w:rFonts w:ascii="Times New Roman" w:hAnsi="Times New Roman"/>
      <w:color w:val="000000"/>
      <w:sz w:val="22"/>
      <w:lang w:eastAsia="en-GB"/>
    </w:rPr>
  </w:style>
  <w:style w:type="paragraph" w:styleId="Title">
    <w:name w:val="Title"/>
    <w:basedOn w:val="Normal"/>
    <w:next w:val="Normal"/>
    <w:link w:val="TitleChar"/>
    <w:qFormat/>
    <w:rsid w:val="008B5BF5"/>
    <w:pPr>
      <w:framePr w:wrap="notBeside" w:vAnchor="text" w:hAnchor="text" w:y="1"/>
      <w:spacing w:after="300" w:line="240" w:lineRule="auto"/>
      <w:contextualSpacing/>
      <w:jc w:val="center"/>
    </w:pPr>
    <w:rPr>
      <w:rFonts w:asciiTheme="minorHAnsi" w:eastAsiaTheme="majorEastAsia" w:hAnsiTheme="minorHAnsi" w:cstheme="majorBidi"/>
      <w:b/>
      <w:color w:val="0099FF"/>
      <w:spacing w:val="5"/>
      <w:kern w:val="28"/>
      <w:sz w:val="32"/>
      <w:szCs w:val="52"/>
    </w:rPr>
  </w:style>
  <w:style w:type="character" w:customStyle="1" w:styleId="TitleChar">
    <w:name w:val="Title Char"/>
    <w:basedOn w:val="DefaultParagraphFont"/>
    <w:link w:val="Title"/>
    <w:rsid w:val="008B5BF5"/>
    <w:rPr>
      <w:rFonts w:asciiTheme="minorHAnsi" w:eastAsiaTheme="majorEastAsia" w:hAnsiTheme="minorHAnsi" w:cstheme="majorBidi"/>
      <w:b/>
      <w:color w:val="0099FF"/>
      <w:spacing w:val="5"/>
      <w:kern w:val="28"/>
      <w:sz w:val="32"/>
      <w:szCs w:val="52"/>
      <w:lang w:eastAsia="en-GB"/>
    </w:rPr>
  </w:style>
  <w:style w:type="paragraph" w:styleId="ListBullet">
    <w:name w:val="List Bullet"/>
    <w:basedOn w:val="Normal"/>
    <w:rsid w:val="00E172FC"/>
    <w:pPr>
      <w:numPr>
        <w:numId w:val="1"/>
      </w:numPr>
      <w:contextualSpacing/>
    </w:pPr>
  </w:style>
  <w:style w:type="paragraph" w:styleId="Subtitle">
    <w:name w:val="Subtitle"/>
    <w:basedOn w:val="Normal"/>
    <w:link w:val="SubtitleChar"/>
    <w:qFormat/>
    <w:rsid w:val="003D5C99"/>
    <w:pPr>
      <w:spacing w:line="240" w:lineRule="auto"/>
      <w:jc w:val="center"/>
    </w:pPr>
    <w:rPr>
      <w:rFonts w:ascii="Arial" w:eastAsia="Times New Roman" w:hAnsi="Arial"/>
      <w:b/>
      <w:color w:val="auto"/>
      <w:sz w:val="32"/>
      <w:lang w:eastAsia="en-US"/>
    </w:rPr>
  </w:style>
  <w:style w:type="character" w:customStyle="1" w:styleId="SubtitleChar">
    <w:name w:val="Subtitle Char"/>
    <w:basedOn w:val="DefaultParagraphFont"/>
    <w:link w:val="Subtitle"/>
    <w:rsid w:val="003D5C99"/>
    <w:rPr>
      <w:rFonts w:ascii="Arial" w:eastAsia="Times New Roman" w:hAnsi="Arial"/>
      <w:b/>
      <w:sz w:val="32"/>
    </w:rPr>
  </w:style>
  <w:style w:type="paragraph" w:styleId="FootnoteText">
    <w:name w:val="footnote text"/>
    <w:basedOn w:val="Normal"/>
    <w:link w:val="FootnoteTextChar"/>
    <w:semiHidden/>
    <w:rsid w:val="003D5C99"/>
    <w:pPr>
      <w:spacing w:line="240" w:lineRule="auto"/>
    </w:pPr>
    <w:rPr>
      <w:rFonts w:ascii="Arial" w:eastAsia="Times New Roman" w:hAnsi="Arial"/>
      <w:color w:val="auto"/>
      <w:sz w:val="20"/>
      <w:lang w:eastAsia="en-US"/>
    </w:rPr>
  </w:style>
  <w:style w:type="character" w:customStyle="1" w:styleId="FootnoteTextChar">
    <w:name w:val="Footnote Text Char"/>
    <w:basedOn w:val="DefaultParagraphFont"/>
    <w:link w:val="FootnoteText"/>
    <w:semiHidden/>
    <w:rsid w:val="003D5C99"/>
    <w:rPr>
      <w:rFonts w:ascii="Arial" w:eastAsia="Times New Roman" w:hAnsi="Arial"/>
    </w:rPr>
  </w:style>
  <w:style w:type="paragraph" w:styleId="BodyTextIndent">
    <w:name w:val="Body Text Indent"/>
    <w:basedOn w:val="Normal"/>
    <w:link w:val="BodyTextIndentChar"/>
    <w:rsid w:val="003D5C99"/>
    <w:pPr>
      <w:tabs>
        <w:tab w:val="left" w:pos="-1440"/>
      </w:tabs>
      <w:spacing w:line="240" w:lineRule="auto"/>
      <w:ind w:left="720"/>
    </w:pPr>
    <w:rPr>
      <w:rFonts w:ascii="Arial" w:eastAsia="Times New Roman" w:hAnsi="Arial"/>
      <w:color w:val="auto"/>
      <w:sz w:val="20"/>
      <w:lang w:eastAsia="en-US"/>
    </w:rPr>
  </w:style>
  <w:style w:type="character" w:customStyle="1" w:styleId="BodyTextIndentChar">
    <w:name w:val="Body Text Indent Char"/>
    <w:basedOn w:val="DefaultParagraphFont"/>
    <w:link w:val="BodyTextIndent"/>
    <w:rsid w:val="003D5C99"/>
    <w:rPr>
      <w:rFonts w:ascii="Arial" w:eastAsia="Times New Roman" w:hAnsi="Arial"/>
    </w:rPr>
  </w:style>
  <w:style w:type="paragraph" w:styleId="BodyText2">
    <w:name w:val="Body Text 2"/>
    <w:basedOn w:val="Normal"/>
    <w:link w:val="BodyText2Char"/>
    <w:unhideWhenUsed/>
    <w:rsid w:val="002D3F9B"/>
    <w:pPr>
      <w:spacing w:after="120" w:line="480" w:lineRule="auto"/>
    </w:pPr>
  </w:style>
  <w:style w:type="character" w:customStyle="1" w:styleId="BodyText2Char">
    <w:name w:val="Body Text 2 Char"/>
    <w:basedOn w:val="DefaultParagraphFont"/>
    <w:link w:val="BodyText2"/>
    <w:rsid w:val="002D3F9B"/>
    <w:rPr>
      <w:rFonts w:ascii="Calibri" w:hAnsi="Calibri"/>
      <w:color w:val="000000"/>
      <w:sz w:val="22"/>
      <w:lang w:eastAsia="en-GB"/>
    </w:rPr>
  </w:style>
  <w:style w:type="paragraph" w:styleId="BodyText">
    <w:name w:val="Body Text"/>
    <w:basedOn w:val="Normal"/>
    <w:link w:val="BodyTextChar"/>
    <w:unhideWhenUsed/>
    <w:rsid w:val="002D3F9B"/>
    <w:pPr>
      <w:spacing w:after="120"/>
    </w:pPr>
  </w:style>
  <w:style w:type="character" w:customStyle="1" w:styleId="BodyTextChar">
    <w:name w:val="Body Text Char"/>
    <w:basedOn w:val="DefaultParagraphFont"/>
    <w:link w:val="BodyText"/>
    <w:rsid w:val="002D3F9B"/>
    <w:rPr>
      <w:rFonts w:ascii="Calibri" w:hAnsi="Calibri"/>
      <w:color w:val="000000"/>
      <w:sz w:val="22"/>
      <w:lang w:eastAsia="en-GB"/>
    </w:rPr>
  </w:style>
  <w:style w:type="paragraph" w:customStyle="1" w:styleId="Bookman11">
    <w:name w:val="Bookman11"/>
    <w:basedOn w:val="Normal"/>
    <w:rsid w:val="002D3F9B"/>
    <w:pPr>
      <w:widowControl w:val="0"/>
      <w:tabs>
        <w:tab w:val="left" w:pos="360"/>
        <w:tab w:val="left" w:pos="720"/>
        <w:tab w:val="left" w:pos="1080"/>
        <w:tab w:val="left" w:pos="1440"/>
      </w:tabs>
      <w:suppressAutoHyphens/>
      <w:spacing w:line="240" w:lineRule="auto"/>
    </w:pPr>
    <w:rPr>
      <w:rFonts w:ascii="Times New Roman" w:eastAsia="Times New Roman" w:hAnsi="Times New Roman"/>
      <w:color w:val="auto"/>
      <w:lang w:eastAsia="en-US"/>
    </w:rPr>
  </w:style>
  <w:style w:type="paragraph" w:customStyle="1" w:styleId="H3">
    <w:name w:val="H3"/>
    <w:basedOn w:val="Normal"/>
    <w:next w:val="Normal"/>
    <w:rsid w:val="002D3F9B"/>
    <w:pPr>
      <w:keepNext/>
      <w:spacing w:before="100" w:after="100" w:line="240" w:lineRule="auto"/>
      <w:outlineLvl w:val="3"/>
    </w:pPr>
    <w:rPr>
      <w:rFonts w:ascii="Times New Roman" w:eastAsia="Times New Roman" w:hAnsi="Times New Roman"/>
      <w:b/>
      <w:snapToGrid w:val="0"/>
      <w:color w:val="auto"/>
      <w:sz w:val="28"/>
      <w:lang w:eastAsia="en-US"/>
    </w:rPr>
  </w:style>
  <w:style w:type="character" w:styleId="FootnoteReference">
    <w:name w:val="footnote reference"/>
    <w:aliases w:val=" BVI fnr,BVI fnr,ftref,Char Char"/>
    <w:basedOn w:val="DefaultParagraphFont"/>
    <w:semiHidden/>
    <w:unhideWhenUsed/>
    <w:rsid w:val="00F41A9C"/>
    <w:rPr>
      <w:vertAlign w:val="superscript"/>
    </w:rPr>
  </w:style>
  <w:style w:type="paragraph" w:customStyle="1" w:styleId="Normal1">
    <w:name w:val="Normal1"/>
    <w:rsid w:val="00D26A7A"/>
    <w:pPr>
      <w:spacing w:line="276" w:lineRule="auto"/>
    </w:pPr>
    <w:rPr>
      <w:rFonts w:ascii="Arial" w:eastAsia="Arial" w:hAnsi="Arial" w:cs="Arial"/>
      <w:color w:val="000000"/>
      <w:sz w:val="22"/>
      <w:szCs w:val="22"/>
    </w:rPr>
  </w:style>
  <w:style w:type="paragraph" w:customStyle="1" w:styleId="Default">
    <w:name w:val="Default"/>
    <w:rsid w:val="00C33CB8"/>
    <w:pPr>
      <w:autoSpaceDE w:val="0"/>
      <w:autoSpaceDN w:val="0"/>
      <w:adjustRightInd w:val="0"/>
    </w:pPr>
    <w:rPr>
      <w:rFonts w:ascii="Calibri" w:eastAsiaTheme="minorHAnsi" w:hAnsi="Calibri" w:cs="Calibri"/>
      <w:color w:val="000000"/>
      <w:sz w:val="24"/>
      <w:szCs w:val="24"/>
    </w:rPr>
  </w:style>
  <w:style w:type="table" w:styleId="GridTable1Light">
    <w:name w:val="Grid Table 1 Light"/>
    <w:basedOn w:val="TableNormal"/>
    <w:uiPriority w:val="46"/>
    <w:rsid w:val="00C33CB8"/>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7B0368"/>
    <w:pPr>
      <w:spacing w:line="240" w:lineRule="auto"/>
    </w:pPr>
    <w:rPr>
      <w:rFonts w:ascii="Times New Roman" w:eastAsia="Times New Roman" w:hAnsi="Times New Roman"/>
      <w:color w:val="auto"/>
      <w:sz w:val="24"/>
      <w:szCs w:val="24"/>
      <w:lang w:eastAsia="en-US"/>
    </w:rPr>
  </w:style>
  <w:style w:type="character" w:styleId="Strong">
    <w:name w:val="Strong"/>
    <w:basedOn w:val="DefaultParagraphFont"/>
    <w:uiPriority w:val="22"/>
    <w:qFormat/>
    <w:rsid w:val="007B0368"/>
    <w:rPr>
      <w:b/>
      <w:bC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locked/>
    <w:rsid w:val="00F84756"/>
    <w:rPr>
      <w:rFonts w:ascii="Calibri" w:eastAsia="Calibri" w:hAnsi="Calibri"/>
      <w:sz w:val="24"/>
      <w:szCs w:val="24"/>
      <w:lang w:val="en-GB"/>
    </w:rPr>
  </w:style>
  <w:style w:type="character" w:customStyle="1" w:styleId="longtext">
    <w:name w:val="long_text"/>
    <w:rsid w:val="00713E95"/>
  </w:style>
  <w:style w:type="paragraph" w:styleId="Revision">
    <w:name w:val="Revision"/>
    <w:hidden/>
    <w:uiPriority w:val="99"/>
    <w:semiHidden/>
    <w:rsid w:val="0068599A"/>
    <w:rPr>
      <w:rFonts w:ascii="Calibri" w:hAnsi="Calibri"/>
      <w:color w:val="000000"/>
      <w:sz w:val="22"/>
      <w:lang w:eastAsia="en-GB"/>
    </w:rPr>
  </w:style>
  <w:style w:type="paragraph" w:customStyle="1" w:styleId="paragraph">
    <w:name w:val="paragraph"/>
    <w:basedOn w:val="Normal"/>
    <w:rsid w:val="001403C9"/>
    <w:pPr>
      <w:spacing w:before="100" w:beforeAutospacing="1" w:after="100" w:afterAutospacing="1" w:line="240" w:lineRule="auto"/>
    </w:pPr>
    <w:rPr>
      <w:rFonts w:ascii="Times New Roman" w:eastAsia="Times New Roman" w:hAnsi="Times New Roman"/>
      <w:color w:val="auto"/>
      <w:sz w:val="24"/>
      <w:szCs w:val="24"/>
      <w:lang w:eastAsia="en-US"/>
    </w:rPr>
  </w:style>
  <w:style w:type="character" w:customStyle="1" w:styleId="normaltextrun">
    <w:name w:val="normaltextrun"/>
    <w:basedOn w:val="DefaultParagraphFont"/>
    <w:rsid w:val="001403C9"/>
  </w:style>
  <w:style w:type="character" w:customStyle="1" w:styleId="eop">
    <w:name w:val="eop"/>
    <w:basedOn w:val="DefaultParagraphFont"/>
    <w:rsid w:val="001403C9"/>
  </w:style>
  <w:style w:type="character" w:styleId="Hyperlink">
    <w:name w:val="Hyperlink"/>
    <w:uiPriority w:val="99"/>
    <w:rsid w:val="00153C2E"/>
    <w:rPr>
      <w:color w:val="0000FF"/>
      <w:u w:val="single"/>
    </w:rPr>
  </w:style>
  <w:style w:type="character" w:customStyle="1" w:styleId="HeaderChar">
    <w:name w:val="Header Char"/>
    <w:basedOn w:val="DefaultParagraphFont"/>
    <w:link w:val="Header"/>
    <w:rsid w:val="00272F46"/>
    <w:rPr>
      <w:rFonts w:ascii="Calibri" w:hAnsi="Calibri"/>
      <w:color w:val="000000"/>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7545">
      <w:bodyDiv w:val="1"/>
      <w:marLeft w:val="0"/>
      <w:marRight w:val="0"/>
      <w:marTop w:val="0"/>
      <w:marBottom w:val="0"/>
      <w:divBdr>
        <w:top w:val="none" w:sz="0" w:space="0" w:color="auto"/>
        <w:left w:val="none" w:sz="0" w:space="0" w:color="auto"/>
        <w:bottom w:val="none" w:sz="0" w:space="0" w:color="auto"/>
        <w:right w:val="none" w:sz="0" w:space="0" w:color="auto"/>
      </w:divBdr>
    </w:div>
    <w:div w:id="135266928">
      <w:bodyDiv w:val="1"/>
      <w:marLeft w:val="0"/>
      <w:marRight w:val="0"/>
      <w:marTop w:val="0"/>
      <w:marBottom w:val="0"/>
      <w:divBdr>
        <w:top w:val="none" w:sz="0" w:space="0" w:color="auto"/>
        <w:left w:val="none" w:sz="0" w:space="0" w:color="auto"/>
        <w:bottom w:val="none" w:sz="0" w:space="0" w:color="auto"/>
        <w:right w:val="none" w:sz="0" w:space="0" w:color="auto"/>
      </w:divBdr>
    </w:div>
    <w:div w:id="247465228">
      <w:bodyDiv w:val="1"/>
      <w:marLeft w:val="0"/>
      <w:marRight w:val="0"/>
      <w:marTop w:val="0"/>
      <w:marBottom w:val="0"/>
      <w:divBdr>
        <w:top w:val="none" w:sz="0" w:space="0" w:color="auto"/>
        <w:left w:val="none" w:sz="0" w:space="0" w:color="auto"/>
        <w:bottom w:val="none" w:sz="0" w:space="0" w:color="auto"/>
        <w:right w:val="none" w:sz="0" w:space="0" w:color="auto"/>
      </w:divBdr>
    </w:div>
    <w:div w:id="814029916">
      <w:bodyDiv w:val="1"/>
      <w:marLeft w:val="0"/>
      <w:marRight w:val="0"/>
      <w:marTop w:val="0"/>
      <w:marBottom w:val="0"/>
      <w:divBdr>
        <w:top w:val="none" w:sz="0" w:space="0" w:color="auto"/>
        <w:left w:val="none" w:sz="0" w:space="0" w:color="auto"/>
        <w:bottom w:val="none" w:sz="0" w:space="0" w:color="auto"/>
        <w:right w:val="none" w:sz="0" w:space="0" w:color="auto"/>
      </w:divBdr>
    </w:div>
    <w:div w:id="986907381">
      <w:bodyDiv w:val="1"/>
      <w:marLeft w:val="0"/>
      <w:marRight w:val="0"/>
      <w:marTop w:val="0"/>
      <w:marBottom w:val="0"/>
      <w:divBdr>
        <w:top w:val="none" w:sz="0" w:space="0" w:color="auto"/>
        <w:left w:val="none" w:sz="0" w:space="0" w:color="auto"/>
        <w:bottom w:val="none" w:sz="0" w:space="0" w:color="auto"/>
        <w:right w:val="none" w:sz="0" w:space="0" w:color="auto"/>
      </w:divBdr>
    </w:div>
    <w:div w:id="988171110">
      <w:bodyDiv w:val="1"/>
      <w:marLeft w:val="0"/>
      <w:marRight w:val="0"/>
      <w:marTop w:val="0"/>
      <w:marBottom w:val="0"/>
      <w:divBdr>
        <w:top w:val="none" w:sz="0" w:space="0" w:color="auto"/>
        <w:left w:val="none" w:sz="0" w:space="0" w:color="auto"/>
        <w:bottom w:val="none" w:sz="0" w:space="0" w:color="auto"/>
        <w:right w:val="none" w:sz="0" w:space="0" w:color="auto"/>
      </w:divBdr>
    </w:div>
    <w:div w:id="998775594">
      <w:bodyDiv w:val="1"/>
      <w:marLeft w:val="0"/>
      <w:marRight w:val="0"/>
      <w:marTop w:val="0"/>
      <w:marBottom w:val="0"/>
      <w:divBdr>
        <w:top w:val="none" w:sz="0" w:space="0" w:color="auto"/>
        <w:left w:val="none" w:sz="0" w:space="0" w:color="auto"/>
        <w:bottom w:val="none" w:sz="0" w:space="0" w:color="auto"/>
        <w:right w:val="none" w:sz="0" w:space="0" w:color="auto"/>
      </w:divBdr>
    </w:div>
    <w:div w:id="1160847396">
      <w:bodyDiv w:val="1"/>
      <w:marLeft w:val="0"/>
      <w:marRight w:val="0"/>
      <w:marTop w:val="0"/>
      <w:marBottom w:val="0"/>
      <w:divBdr>
        <w:top w:val="none" w:sz="0" w:space="0" w:color="auto"/>
        <w:left w:val="none" w:sz="0" w:space="0" w:color="auto"/>
        <w:bottom w:val="none" w:sz="0" w:space="0" w:color="auto"/>
        <w:right w:val="none" w:sz="0" w:space="0" w:color="auto"/>
      </w:divBdr>
      <w:divsChild>
        <w:div w:id="1874341883">
          <w:marLeft w:val="0"/>
          <w:marRight w:val="0"/>
          <w:marTop w:val="0"/>
          <w:marBottom w:val="0"/>
          <w:divBdr>
            <w:top w:val="none" w:sz="0" w:space="0" w:color="auto"/>
            <w:left w:val="none" w:sz="0" w:space="0" w:color="auto"/>
            <w:bottom w:val="none" w:sz="0" w:space="0" w:color="auto"/>
            <w:right w:val="none" w:sz="0" w:space="0" w:color="auto"/>
          </w:divBdr>
          <w:divsChild>
            <w:div w:id="583539159">
              <w:marLeft w:val="0"/>
              <w:marRight w:val="0"/>
              <w:marTop w:val="0"/>
              <w:marBottom w:val="0"/>
              <w:divBdr>
                <w:top w:val="none" w:sz="0" w:space="0" w:color="auto"/>
                <w:left w:val="none" w:sz="0" w:space="0" w:color="auto"/>
                <w:bottom w:val="none" w:sz="0" w:space="0" w:color="auto"/>
                <w:right w:val="none" w:sz="0" w:space="0" w:color="auto"/>
              </w:divBdr>
              <w:divsChild>
                <w:div w:id="1242762572">
                  <w:marLeft w:val="0"/>
                  <w:marRight w:val="0"/>
                  <w:marTop w:val="0"/>
                  <w:marBottom w:val="0"/>
                  <w:divBdr>
                    <w:top w:val="none" w:sz="0" w:space="0" w:color="auto"/>
                    <w:left w:val="none" w:sz="0" w:space="0" w:color="auto"/>
                    <w:bottom w:val="none" w:sz="0" w:space="0" w:color="auto"/>
                    <w:right w:val="none" w:sz="0" w:space="0" w:color="auto"/>
                  </w:divBdr>
                  <w:divsChild>
                    <w:div w:id="1727294193">
                      <w:marLeft w:val="0"/>
                      <w:marRight w:val="0"/>
                      <w:marTop w:val="0"/>
                      <w:marBottom w:val="0"/>
                      <w:divBdr>
                        <w:top w:val="none" w:sz="0" w:space="0" w:color="auto"/>
                        <w:left w:val="none" w:sz="0" w:space="0" w:color="auto"/>
                        <w:bottom w:val="none" w:sz="0" w:space="0" w:color="auto"/>
                        <w:right w:val="none" w:sz="0" w:space="0" w:color="auto"/>
                      </w:divBdr>
                      <w:divsChild>
                        <w:div w:id="1358847239">
                          <w:marLeft w:val="0"/>
                          <w:marRight w:val="0"/>
                          <w:marTop w:val="0"/>
                          <w:marBottom w:val="0"/>
                          <w:divBdr>
                            <w:top w:val="none" w:sz="0" w:space="0" w:color="auto"/>
                            <w:left w:val="none" w:sz="0" w:space="0" w:color="auto"/>
                            <w:bottom w:val="none" w:sz="0" w:space="0" w:color="auto"/>
                            <w:right w:val="none" w:sz="0" w:space="0" w:color="auto"/>
                          </w:divBdr>
                          <w:divsChild>
                            <w:div w:id="1636718350">
                              <w:marLeft w:val="0"/>
                              <w:marRight w:val="0"/>
                              <w:marTop w:val="0"/>
                              <w:marBottom w:val="0"/>
                              <w:divBdr>
                                <w:top w:val="none" w:sz="0" w:space="0" w:color="auto"/>
                                <w:left w:val="none" w:sz="0" w:space="0" w:color="auto"/>
                                <w:bottom w:val="none" w:sz="0" w:space="0" w:color="auto"/>
                                <w:right w:val="none" w:sz="0" w:space="0" w:color="auto"/>
                              </w:divBdr>
                              <w:divsChild>
                                <w:div w:id="1273823431">
                                  <w:marLeft w:val="0"/>
                                  <w:marRight w:val="0"/>
                                  <w:marTop w:val="0"/>
                                  <w:marBottom w:val="0"/>
                                  <w:divBdr>
                                    <w:top w:val="none" w:sz="0" w:space="0" w:color="auto"/>
                                    <w:left w:val="none" w:sz="0" w:space="0" w:color="auto"/>
                                    <w:bottom w:val="none" w:sz="0" w:space="0" w:color="auto"/>
                                    <w:right w:val="none" w:sz="0" w:space="0" w:color="auto"/>
                                  </w:divBdr>
                                  <w:divsChild>
                                    <w:div w:id="2112583720">
                                      <w:marLeft w:val="0"/>
                                      <w:marRight w:val="0"/>
                                      <w:marTop w:val="0"/>
                                      <w:marBottom w:val="0"/>
                                      <w:divBdr>
                                        <w:top w:val="none" w:sz="0" w:space="0" w:color="auto"/>
                                        <w:left w:val="none" w:sz="0" w:space="0" w:color="auto"/>
                                        <w:bottom w:val="none" w:sz="0" w:space="0" w:color="auto"/>
                                        <w:right w:val="none" w:sz="0" w:space="0" w:color="auto"/>
                                      </w:divBdr>
                                      <w:divsChild>
                                        <w:div w:id="615520911">
                                          <w:marLeft w:val="0"/>
                                          <w:marRight w:val="0"/>
                                          <w:marTop w:val="0"/>
                                          <w:marBottom w:val="0"/>
                                          <w:divBdr>
                                            <w:top w:val="none" w:sz="0" w:space="0" w:color="auto"/>
                                            <w:left w:val="none" w:sz="0" w:space="0" w:color="auto"/>
                                            <w:bottom w:val="none" w:sz="0" w:space="0" w:color="auto"/>
                                            <w:right w:val="none" w:sz="0" w:space="0" w:color="auto"/>
                                          </w:divBdr>
                                          <w:divsChild>
                                            <w:div w:id="109281236">
                                              <w:marLeft w:val="0"/>
                                              <w:marRight w:val="0"/>
                                              <w:marTop w:val="0"/>
                                              <w:marBottom w:val="0"/>
                                              <w:divBdr>
                                                <w:top w:val="none" w:sz="0" w:space="0" w:color="auto"/>
                                                <w:left w:val="none" w:sz="0" w:space="0" w:color="auto"/>
                                                <w:bottom w:val="none" w:sz="0" w:space="0" w:color="auto"/>
                                                <w:right w:val="none" w:sz="0" w:space="0" w:color="auto"/>
                                              </w:divBdr>
                                              <w:divsChild>
                                                <w:div w:id="1117606351">
                                                  <w:marLeft w:val="0"/>
                                                  <w:marRight w:val="0"/>
                                                  <w:marTop w:val="0"/>
                                                  <w:marBottom w:val="0"/>
                                                  <w:divBdr>
                                                    <w:top w:val="none" w:sz="0" w:space="0" w:color="auto"/>
                                                    <w:left w:val="none" w:sz="0" w:space="0" w:color="auto"/>
                                                    <w:bottom w:val="none" w:sz="0" w:space="0" w:color="auto"/>
                                                    <w:right w:val="none" w:sz="0" w:space="0" w:color="auto"/>
                                                  </w:divBdr>
                                                  <w:divsChild>
                                                    <w:div w:id="827789311">
                                                      <w:marLeft w:val="0"/>
                                                      <w:marRight w:val="0"/>
                                                      <w:marTop w:val="0"/>
                                                      <w:marBottom w:val="0"/>
                                                      <w:divBdr>
                                                        <w:top w:val="none" w:sz="0" w:space="0" w:color="auto"/>
                                                        <w:left w:val="none" w:sz="0" w:space="0" w:color="auto"/>
                                                        <w:bottom w:val="none" w:sz="0" w:space="0" w:color="auto"/>
                                                        <w:right w:val="none" w:sz="0" w:space="0" w:color="auto"/>
                                                      </w:divBdr>
                                                      <w:divsChild>
                                                        <w:div w:id="16810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2CFF8.F8FB181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cef.org/supply/reports/technical-assistance-delivery-framework-health-supply-chain-strengthening" TargetMode="External"/><Relationship Id="rId5" Type="http://schemas.openxmlformats.org/officeDocument/2006/relationships/numbering" Target="numbering.xml"/><Relationship Id="rId15" Type="http://schemas.openxmlformats.org/officeDocument/2006/relationships/hyperlink" Target="https://unicef.sharepoint.com/sites/DHR-ChildSafeguarding/SitePages/Amendments-to-the-Recruitment-Guidance.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D11D52915F084091985925B12D4A3A" ma:contentTypeVersion="13" ma:contentTypeDescription="Create a new document." ma:contentTypeScope="" ma:versionID="c878af39034114da6a31b66b2c2da079">
  <xsd:schema xmlns:xsd="http://www.w3.org/2001/XMLSchema" xmlns:xs="http://www.w3.org/2001/XMLSchema" xmlns:p="http://schemas.microsoft.com/office/2006/metadata/properties" xmlns:ns3="2630d5c5-0f89-4b19-a62d-ea3a01ffc531" xmlns:ns4="43ca5454-ceaf-43d1-b3fa-e9bb90af45b4" targetNamespace="http://schemas.microsoft.com/office/2006/metadata/properties" ma:root="true" ma:fieldsID="0c39f20e0fd42bde8aef696f00c7a6c7" ns3:_="" ns4:_="">
    <xsd:import namespace="2630d5c5-0f89-4b19-a62d-ea3a01ffc531"/>
    <xsd:import namespace="43ca5454-ceaf-43d1-b3fa-e9bb90af45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5c5-0f89-4b19-a62d-ea3a01ffc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5454-ceaf-43d1-b3fa-e9bb90af45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6D53E-64CA-4F0B-900E-7A6EEBB10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0d5c5-0f89-4b19-a62d-ea3a01ffc531"/>
    <ds:schemaRef ds:uri="43ca5454-ceaf-43d1-b3fa-e9bb90af4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87D29C-8FF5-4558-900E-FD1D93188E1E}">
  <ds:schemaRefs>
    <ds:schemaRef ds:uri="http://schemas.microsoft.com/sharepoint/v3/contenttype/forms"/>
  </ds:schemaRefs>
</ds:datastoreItem>
</file>

<file path=customXml/itemProps3.xml><?xml version="1.0" encoding="utf-8"?>
<ds:datastoreItem xmlns:ds="http://schemas.openxmlformats.org/officeDocument/2006/customXml" ds:itemID="{CF4B36F8-DFFB-49D6-9900-B21D0D3A97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8A978C-8C99-467E-8132-69BBBE12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1987</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Media Release English</vt:lpstr>
    </vt:vector>
  </TitlesOfParts>
  <Company>UNICEF</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English</dc:title>
  <dc:creator>File Server</dc:creator>
  <cp:lastModifiedBy>Paulo Chicheche</cp:lastModifiedBy>
  <cp:revision>2</cp:revision>
  <cp:lastPrinted>2020-02-18T08:13:00Z</cp:lastPrinted>
  <dcterms:created xsi:type="dcterms:W3CDTF">2021-06-16T08:02:00Z</dcterms:created>
  <dcterms:modified xsi:type="dcterms:W3CDTF">2021-06-16T08:02:00Z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0x0101003FD11D52915F084091985925B12D4A3A</vt:lpwstr>
  </property>
</Properties>
</file>