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00982C" w14:textId="4BAF2AAB" w:rsidR="00EC779E" w:rsidRPr="00235DA6" w:rsidRDefault="00C93FBD" w:rsidP="00A06879">
      <w:pPr>
        <w:pStyle w:val="BodyText2"/>
        <w:spacing w:after="0" w:line="240" w:lineRule="auto"/>
        <w:jc w:val="center"/>
        <w:rPr>
          <w:b/>
          <w:sz w:val="28"/>
          <w:szCs w:val="28"/>
        </w:rPr>
      </w:pPr>
      <w:r w:rsidRPr="00235DA6">
        <w:rPr>
          <w:b/>
          <w:sz w:val="28"/>
          <w:szCs w:val="28"/>
        </w:rPr>
        <w:t xml:space="preserve">UNICEF China </w:t>
      </w:r>
    </w:p>
    <w:p w14:paraId="27DAB105" w14:textId="13D73061" w:rsidR="00A06879" w:rsidRPr="00235DA6" w:rsidRDefault="00235DA6" w:rsidP="02134C34">
      <w:pPr>
        <w:pStyle w:val="BodyText2"/>
        <w:spacing w:after="0" w:line="240" w:lineRule="auto"/>
        <w:jc w:val="center"/>
        <w:rPr>
          <w:b/>
          <w:bCs/>
          <w:sz w:val="28"/>
          <w:szCs w:val="28"/>
        </w:rPr>
      </w:pPr>
      <w:r w:rsidRPr="00235DA6">
        <w:rPr>
          <w:b/>
          <w:bCs/>
          <w:sz w:val="28"/>
          <w:szCs w:val="28"/>
        </w:rPr>
        <w:t>Terms of Reference</w:t>
      </w:r>
    </w:p>
    <w:p w14:paraId="59FB8AC6" w14:textId="0EDE6A03" w:rsidR="2324A95D" w:rsidRPr="00235DA6" w:rsidRDefault="2324A95D" w:rsidP="02134C34">
      <w:pPr>
        <w:pStyle w:val="BodyText2"/>
        <w:spacing w:after="0" w:line="240" w:lineRule="auto"/>
        <w:jc w:val="center"/>
        <w:rPr>
          <w:b/>
          <w:bCs/>
          <w:sz w:val="28"/>
          <w:szCs w:val="28"/>
        </w:rPr>
      </w:pPr>
      <w:r w:rsidRPr="00235DA6">
        <w:rPr>
          <w:b/>
          <w:bCs/>
          <w:sz w:val="28"/>
          <w:szCs w:val="28"/>
        </w:rPr>
        <w:t xml:space="preserve">For Consultant </w:t>
      </w:r>
      <w:r w:rsidR="00907D46" w:rsidRPr="00235DA6">
        <w:rPr>
          <w:b/>
          <w:bCs/>
          <w:sz w:val="28"/>
          <w:szCs w:val="28"/>
        </w:rPr>
        <w:t>Recruitment</w:t>
      </w:r>
    </w:p>
    <w:p w14:paraId="3DBC3FEB" w14:textId="77777777" w:rsidR="00950779" w:rsidRPr="00C54BD2" w:rsidRDefault="00950779" w:rsidP="00950779">
      <w:pPr>
        <w:rPr>
          <w:b/>
          <w:szCs w:val="22"/>
        </w:rPr>
      </w:pPr>
    </w:p>
    <w:p w14:paraId="79ECE213" w14:textId="1401BE44" w:rsidR="00950779" w:rsidRPr="00C54BD2" w:rsidRDefault="006106A4" w:rsidP="00950779">
      <w:pPr>
        <w:rPr>
          <w:i/>
          <w:szCs w:val="22"/>
        </w:rPr>
      </w:pPr>
      <w:r>
        <w:rPr>
          <w:b/>
          <w:szCs w:val="22"/>
        </w:rPr>
        <w:t xml:space="preserve">Job </w:t>
      </w:r>
      <w:r w:rsidR="00A75BA2" w:rsidRPr="00C54BD2">
        <w:rPr>
          <w:b/>
          <w:szCs w:val="22"/>
        </w:rPr>
        <w:t>Title of Consultancy</w:t>
      </w:r>
      <w:r w:rsidR="00950779" w:rsidRPr="00C54BD2">
        <w:rPr>
          <w:b/>
          <w:szCs w:val="22"/>
        </w:rPr>
        <w:t>:</w:t>
      </w:r>
      <w:r w:rsidR="00D53000" w:rsidRPr="00C54BD2">
        <w:rPr>
          <w:i/>
          <w:szCs w:val="22"/>
        </w:rPr>
        <w:t xml:space="preserve"> </w:t>
      </w:r>
      <w:r w:rsidR="00173100" w:rsidRPr="00BB2BCC">
        <w:rPr>
          <w:iCs/>
          <w:szCs w:val="22"/>
        </w:rPr>
        <w:t>Adolescent mental health service package review</w:t>
      </w:r>
    </w:p>
    <w:p w14:paraId="6C01757B" w14:textId="77777777" w:rsidR="00A75BA2" w:rsidRPr="00C54BD2" w:rsidRDefault="00A75BA2" w:rsidP="00950779">
      <w:pPr>
        <w:rPr>
          <w:i/>
          <w:szCs w:val="22"/>
        </w:rPr>
      </w:pPr>
    </w:p>
    <w:p w14:paraId="20E29CAF" w14:textId="26DF0CB7" w:rsidR="00A75BA2" w:rsidRPr="00C54BD2" w:rsidRDefault="00A75BA2" w:rsidP="00950779">
      <w:pPr>
        <w:rPr>
          <w:b/>
          <w:szCs w:val="22"/>
        </w:rPr>
      </w:pPr>
      <w:r w:rsidRPr="00C54BD2">
        <w:rPr>
          <w:b/>
          <w:szCs w:val="22"/>
        </w:rPr>
        <w:t>Requesting Section:</w:t>
      </w:r>
      <w:r w:rsidR="00907D46" w:rsidRPr="00C54BD2">
        <w:rPr>
          <w:b/>
          <w:szCs w:val="22"/>
        </w:rPr>
        <w:t xml:space="preserve">  </w:t>
      </w:r>
      <w:r w:rsidR="005B56FB" w:rsidRPr="00F138EE">
        <w:rPr>
          <w:rFonts w:cs="Arial"/>
          <w:szCs w:val="22"/>
        </w:rPr>
        <w:t>Health, Nutrition and WASH Section</w:t>
      </w:r>
    </w:p>
    <w:p w14:paraId="08F65F97" w14:textId="0BBC30C3" w:rsidR="00950779" w:rsidRPr="00C54BD2" w:rsidRDefault="00950779" w:rsidP="00950779">
      <w:pPr>
        <w:rPr>
          <w:szCs w:val="22"/>
        </w:rPr>
      </w:pPr>
      <w:r w:rsidRPr="00C54BD2">
        <w:rPr>
          <w:szCs w:val="22"/>
        </w:rPr>
        <w:t xml:space="preserve"> </w:t>
      </w:r>
    </w:p>
    <w:p w14:paraId="50643861" w14:textId="5DCE19DF" w:rsidR="00A75BA2" w:rsidRPr="00C54BD2" w:rsidRDefault="00A75BA2" w:rsidP="00950779">
      <w:pPr>
        <w:pBdr>
          <w:bottom w:val="single" w:sz="12" w:space="1" w:color="auto"/>
        </w:pBdr>
        <w:rPr>
          <w:b/>
          <w:bCs/>
          <w:szCs w:val="22"/>
        </w:rPr>
      </w:pPr>
      <w:r w:rsidRPr="00C54BD2">
        <w:rPr>
          <w:b/>
          <w:bCs/>
          <w:szCs w:val="22"/>
        </w:rPr>
        <w:t xml:space="preserve">Supervisor: </w:t>
      </w:r>
      <w:r w:rsidR="00907D46" w:rsidRPr="00C54BD2">
        <w:rPr>
          <w:b/>
          <w:bCs/>
          <w:szCs w:val="22"/>
        </w:rPr>
        <w:t xml:space="preserve">  </w:t>
      </w:r>
      <w:r w:rsidR="000F5E39" w:rsidRPr="00F138EE">
        <w:rPr>
          <w:rFonts w:cs="Arial"/>
          <w:szCs w:val="22"/>
        </w:rPr>
        <w:t>MCH Specialist</w:t>
      </w:r>
    </w:p>
    <w:p w14:paraId="44BC843E" w14:textId="0F2A161E" w:rsidR="00984EEE" w:rsidRPr="00C54BD2" w:rsidRDefault="00984EEE" w:rsidP="00950779">
      <w:pPr>
        <w:pBdr>
          <w:bottom w:val="single" w:sz="12" w:space="1" w:color="auto"/>
        </w:pBdr>
        <w:rPr>
          <w:b/>
          <w:bCs/>
          <w:szCs w:val="22"/>
        </w:rPr>
      </w:pPr>
    </w:p>
    <w:p w14:paraId="7CA29C71" w14:textId="24282115" w:rsidR="00915FD0" w:rsidRDefault="00915FD0" w:rsidP="00950779">
      <w:pPr>
        <w:rPr>
          <w:b/>
          <w:bCs/>
          <w:szCs w:val="22"/>
        </w:rPr>
      </w:pPr>
    </w:p>
    <w:p w14:paraId="6D7A5BD5" w14:textId="77777777" w:rsidR="006106A4" w:rsidRPr="006106A4" w:rsidRDefault="006106A4" w:rsidP="006106A4">
      <w:pPr>
        <w:rPr>
          <w:b/>
          <w:szCs w:val="22"/>
          <w:u w:val="single"/>
        </w:rPr>
      </w:pPr>
      <w:r w:rsidRPr="006106A4">
        <w:rPr>
          <w:b/>
          <w:szCs w:val="22"/>
          <w:u w:val="single"/>
        </w:rPr>
        <w:t>Background of Consultancy Request:</w:t>
      </w:r>
    </w:p>
    <w:p w14:paraId="0A21F976" w14:textId="77777777" w:rsidR="006106A4" w:rsidRPr="00C54BD2" w:rsidRDefault="006106A4" w:rsidP="006106A4">
      <w:pPr>
        <w:rPr>
          <w:b/>
          <w:bCs/>
          <w:szCs w:val="22"/>
        </w:rPr>
      </w:pPr>
    </w:p>
    <w:p w14:paraId="4976A1E8" w14:textId="77777777" w:rsidR="00546127" w:rsidRPr="00F138EE" w:rsidRDefault="00546127" w:rsidP="00546127">
      <w:pPr>
        <w:spacing w:line="276" w:lineRule="auto"/>
        <w:jc w:val="both"/>
        <w:rPr>
          <w:rFonts w:cstheme="minorHAnsi"/>
          <w:szCs w:val="22"/>
          <w:lang w:val="en-GB"/>
        </w:rPr>
      </w:pPr>
      <w:r w:rsidRPr="00F138EE">
        <w:rPr>
          <w:rFonts w:cstheme="minorHAnsi"/>
          <w:szCs w:val="22"/>
        </w:rPr>
        <w:t>China’s National Health Commission (NHC) and the United Nations Children’s Fund (UNICEF) have been jointly implementing the Adolescent Health and Development Demonstration Project in 14 counties (districts) of 11 provinces (autonomous regions and municipalities) from 2016 to 2020.</w:t>
      </w:r>
      <w:r w:rsidRPr="00F138EE">
        <w:rPr>
          <w:rFonts w:cstheme="minorHAnsi"/>
          <w:szCs w:val="22"/>
          <w:lang w:val="en-GB"/>
        </w:rPr>
        <w:t xml:space="preserve"> The project focuses on the main health issues faced by adolescents, including mental health and offers evidence-based interventions that being implemented in schools, health facilities and other community </w:t>
      </w:r>
      <w:proofErr w:type="spellStart"/>
      <w:r w:rsidRPr="00F138EE">
        <w:rPr>
          <w:rFonts w:cstheme="minorHAnsi"/>
          <w:szCs w:val="22"/>
          <w:lang w:val="en-GB"/>
        </w:rPr>
        <w:t>centers</w:t>
      </w:r>
      <w:proofErr w:type="spellEnd"/>
      <w:r w:rsidRPr="00F138EE">
        <w:rPr>
          <w:rFonts w:cstheme="minorHAnsi"/>
          <w:szCs w:val="22"/>
          <w:lang w:val="en-GB"/>
        </w:rPr>
        <w:t xml:space="preserve"> across the pilot sites. </w:t>
      </w:r>
    </w:p>
    <w:p w14:paraId="672E1D24" w14:textId="77777777" w:rsidR="00546127" w:rsidRPr="00F138EE" w:rsidRDefault="00546127" w:rsidP="00546127">
      <w:pPr>
        <w:spacing w:line="276" w:lineRule="auto"/>
        <w:jc w:val="both"/>
        <w:rPr>
          <w:rFonts w:cstheme="minorHAnsi"/>
          <w:szCs w:val="22"/>
          <w:lang w:val="en-GB"/>
        </w:rPr>
      </w:pPr>
    </w:p>
    <w:p w14:paraId="6F20E270" w14:textId="33E028D0" w:rsidR="00546127" w:rsidRPr="00F138EE" w:rsidRDefault="00546127" w:rsidP="00546127">
      <w:pPr>
        <w:spacing w:line="276" w:lineRule="auto"/>
        <w:rPr>
          <w:rFonts w:cstheme="minorHAnsi"/>
          <w:szCs w:val="22"/>
          <w:lang w:val="en-GB"/>
        </w:rPr>
      </w:pPr>
      <w:r w:rsidRPr="00F138EE">
        <w:rPr>
          <w:rFonts w:cstheme="minorHAnsi"/>
          <w:szCs w:val="22"/>
          <w:lang w:val="en-GB"/>
        </w:rPr>
        <w:t>To implement the program and expand care, a service package was developed with input from key technical agencies and national experts. Specific actions that were meant to address the most common and important adolescent mental health needs were introduced as part of the overall services in project areas</w:t>
      </w:r>
      <w:bookmarkStart w:id="0" w:name="_GoBack"/>
      <w:bookmarkEnd w:id="0"/>
      <w:r w:rsidRPr="00F138EE">
        <w:rPr>
          <w:rFonts w:cstheme="minorHAnsi"/>
          <w:szCs w:val="22"/>
          <w:lang w:val="en-GB"/>
        </w:rPr>
        <w:t xml:space="preserve">. This service package aimed to provide both universal and targeted mental health support for adolescents, and used strategies like group sessions, mental health courses and adolescent camp activities in schools. The package also called for additional capacity for early screening, counselling and referrals for adolescents who might need additional care and treatment. School based programs are strengthened, with counselling rooms </w:t>
      </w:r>
      <w:r w:rsidRPr="00F138EE">
        <w:rPr>
          <w:rFonts w:asciiTheme="majorHAnsi" w:hAnsiTheme="majorHAnsi" w:cstheme="minorHAnsi"/>
          <w:szCs w:val="22"/>
          <w:lang w:val="en-GB" w:eastAsia="zh-CN"/>
        </w:rPr>
        <w:t>at</w:t>
      </w:r>
      <w:r w:rsidRPr="00F138EE">
        <w:rPr>
          <w:rFonts w:cstheme="minorHAnsi"/>
          <w:szCs w:val="22"/>
          <w:lang w:val="en-GB"/>
        </w:rPr>
        <w:t xml:space="preserve"> health </w:t>
      </w:r>
      <w:proofErr w:type="spellStart"/>
      <w:r w:rsidRPr="00F138EE">
        <w:rPr>
          <w:rFonts w:cstheme="minorHAnsi"/>
          <w:szCs w:val="22"/>
          <w:lang w:val="en-GB"/>
        </w:rPr>
        <w:t>centers</w:t>
      </w:r>
      <w:proofErr w:type="spellEnd"/>
      <w:r w:rsidRPr="00F138EE">
        <w:rPr>
          <w:rFonts w:cstheme="minorHAnsi"/>
          <w:szCs w:val="22"/>
          <w:lang w:val="en-GB"/>
        </w:rPr>
        <w:t xml:space="preserve"> and schools as well as online counselling and referral service via telephone and new media with a dedicated public health service hotline.</w:t>
      </w:r>
    </w:p>
    <w:p w14:paraId="5B9BE643" w14:textId="77777777" w:rsidR="00546127" w:rsidRPr="00F138EE" w:rsidRDefault="00546127" w:rsidP="00546127">
      <w:pPr>
        <w:spacing w:line="276" w:lineRule="auto"/>
        <w:jc w:val="both"/>
        <w:rPr>
          <w:rFonts w:cstheme="minorHAnsi"/>
          <w:bCs/>
          <w:szCs w:val="22"/>
          <w:bdr w:val="none" w:sz="0" w:space="0" w:color="auto" w:frame="1"/>
          <w:lang w:eastAsia="zh-CN"/>
        </w:rPr>
      </w:pPr>
    </w:p>
    <w:p w14:paraId="546BD9BD" w14:textId="06DD70AF" w:rsidR="006106A4" w:rsidRPr="00C54BD2" w:rsidRDefault="00546127" w:rsidP="00546127">
      <w:pPr>
        <w:rPr>
          <w:b/>
          <w:bCs/>
          <w:szCs w:val="22"/>
        </w:rPr>
      </w:pPr>
      <w:r w:rsidRPr="00F138EE">
        <w:rPr>
          <w:rFonts w:cstheme="minorHAnsi"/>
          <w:bCs/>
          <w:szCs w:val="22"/>
          <w:bdr w:val="none" w:sz="0" w:space="0" w:color="auto" w:frame="1"/>
          <w:lang w:eastAsia="zh-CN"/>
        </w:rPr>
        <w:t xml:space="preserve">Since introducing and implementing the service package in pilot areas, we have learnt that the acceptance of the different components has been varied. Service content and delivery channel of some components are appropriate to meet the needs of target population, yet there is room for further improvements. In 2021, under next country </w:t>
      </w:r>
      <w:proofErr w:type="spellStart"/>
      <w:r w:rsidRPr="00F138EE">
        <w:rPr>
          <w:rFonts w:cstheme="minorHAnsi"/>
          <w:bCs/>
          <w:szCs w:val="22"/>
          <w:bdr w:val="none" w:sz="0" w:space="0" w:color="auto" w:frame="1"/>
          <w:lang w:eastAsia="zh-CN"/>
        </w:rPr>
        <w:t>programme</w:t>
      </w:r>
      <w:proofErr w:type="spellEnd"/>
      <w:r w:rsidRPr="00F138EE">
        <w:rPr>
          <w:rFonts w:cstheme="minorHAnsi"/>
          <w:bCs/>
          <w:szCs w:val="22"/>
          <w:bdr w:val="none" w:sz="0" w:space="0" w:color="auto" w:frame="1"/>
          <w:lang w:eastAsia="zh-CN"/>
        </w:rPr>
        <w:t xml:space="preserve">, the integration of the mental health services into routine health care services </w:t>
      </w:r>
      <w:r>
        <w:rPr>
          <w:rFonts w:cstheme="minorHAnsi"/>
          <w:bCs/>
          <w:szCs w:val="22"/>
          <w:bdr w:val="none" w:sz="0" w:space="0" w:color="auto" w:frame="1"/>
          <w:lang w:eastAsia="zh-CN"/>
        </w:rPr>
        <w:t xml:space="preserve">across sectors </w:t>
      </w:r>
      <w:r w:rsidRPr="00F138EE">
        <w:rPr>
          <w:rFonts w:cstheme="minorHAnsi"/>
          <w:bCs/>
          <w:szCs w:val="22"/>
          <w:bdr w:val="none" w:sz="0" w:space="0" w:color="auto" w:frame="1"/>
          <w:lang w:eastAsia="zh-CN"/>
        </w:rPr>
        <w:t xml:space="preserve">will be a major advocacy and policy goal. To support the </w:t>
      </w:r>
      <w:r w:rsidRPr="00F138EE">
        <w:rPr>
          <w:rFonts w:cstheme="minorHAnsi"/>
          <w:bCs/>
          <w:szCs w:val="22"/>
          <w:bdr w:val="none" w:sz="0" w:space="0" w:color="auto" w:frame="1"/>
          <w:lang w:eastAsia="ja-JP"/>
        </w:rPr>
        <w:t xml:space="preserve">scaling up of the service package, it is necessary to review it and assess if the service content and delivery channel are in alignment with international best practices, the discrepancies clearly articulated. This comparison will help to provide international evidence for the service package and identify the possible </w:t>
      </w:r>
      <w:r w:rsidRPr="00F138EE">
        <w:rPr>
          <w:rFonts w:cstheme="minorHAnsi" w:hint="eastAsia"/>
          <w:bCs/>
          <w:szCs w:val="22"/>
          <w:bdr w:val="none" w:sz="0" w:space="0" w:color="auto" w:frame="1"/>
          <w:lang w:eastAsia="zh-CN"/>
        </w:rPr>
        <w:t>per</w:t>
      </w:r>
      <w:r w:rsidRPr="00F138EE">
        <w:rPr>
          <w:rFonts w:cstheme="minorHAnsi"/>
          <w:bCs/>
          <w:szCs w:val="22"/>
          <w:bdr w:val="none" w:sz="0" w:space="0" w:color="auto" w:frame="1"/>
          <w:lang w:eastAsia="zh-CN"/>
        </w:rPr>
        <w:t>spectives to improve it.</w:t>
      </w:r>
    </w:p>
    <w:p w14:paraId="3289D788" w14:textId="6D1E3905" w:rsidR="006106A4" w:rsidRDefault="006106A4" w:rsidP="00950779">
      <w:pPr>
        <w:rPr>
          <w:b/>
          <w:bCs/>
          <w:szCs w:val="22"/>
        </w:rPr>
      </w:pPr>
    </w:p>
    <w:p w14:paraId="064EA96F" w14:textId="77777777" w:rsidR="006106A4" w:rsidRPr="006106A4" w:rsidRDefault="006106A4" w:rsidP="006106A4">
      <w:pPr>
        <w:rPr>
          <w:b/>
          <w:szCs w:val="22"/>
          <w:u w:val="single"/>
        </w:rPr>
      </w:pPr>
      <w:r w:rsidRPr="006106A4">
        <w:rPr>
          <w:b/>
          <w:szCs w:val="22"/>
          <w:u w:val="single"/>
        </w:rPr>
        <w:t>Purpose of Activity/Assignment:</w:t>
      </w:r>
    </w:p>
    <w:p w14:paraId="12C6B003" w14:textId="77777777" w:rsidR="006106A4" w:rsidRPr="00C54BD2" w:rsidRDefault="006106A4" w:rsidP="006106A4">
      <w:pPr>
        <w:rPr>
          <w:b/>
          <w:bCs/>
          <w:szCs w:val="22"/>
        </w:rPr>
      </w:pPr>
    </w:p>
    <w:p w14:paraId="4A8B2A7D" w14:textId="77777777" w:rsidR="00F803B7" w:rsidRPr="00F138EE" w:rsidRDefault="00F803B7" w:rsidP="00F803B7">
      <w:pPr>
        <w:spacing w:line="276" w:lineRule="auto"/>
        <w:jc w:val="both"/>
        <w:rPr>
          <w:rFonts w:cstheme="minorHAnsi"/>
          <w:szCs w:val="22"/>
        </w:rPr>
      </w:pPr>
      <w:r w:rsidRPr="00F138EE">
        <w:rPr>
          <w:rFonts w:cstheme="minorHAnsi"/>
          <w:szCs w:val="22"/>
        </w:rPr>
        <w:t>The objective of the consultancy is to review the current content and delivery of the adolescent mental health package against global guidance, to provide expertise and technical support to review the adolescent mental health service package and to identify gaps</w:t>
      </w:r>
      <w:r>
        <w:rPr>
          <w:rFonts w:cstheme="minorHAnsi"/>
          <w:szCs w:val="22"/>
        </w:rPr>
        <w:t xml:space="preserve"> and challenges in accessing mental health services</w:t>
      </w:r>
      <w:r w:rsidRPr="00F138EE">
        <w:rPr>
          <w:rFonts w:cstheme="minorHAnsi"/>
          <w:szCs w:val="22"/>
        </w:rPr>
        <w:t>, as well as differences in evidence, content and approach</w:t>
      </w:r>
      <w:r>
        <w:rPr>
          <w:rFonts w:cstheme="minorHAnsi"/>
          <w:szCs w:val="22"/>
        </w:rPr>
        <w:t xml:space="preserve"> in the implementation across pilot areas</w:t>
      </w:r>
      <w:r w:rsidRPr="00F138EE">
        <w:rPr>
          <w:rFonts w:cstheme="minorHAnsi"/>
          <w:szCs w:val="22"/>
        </w:rPr>
        <w:t>. To that end, the consultancy will document the following:</w:t>
      </w:r>
    </w:p>
    <w:p w14:paraId="57E9DEAA" w14:textId="77777777" w:rsidR="00F803B7" w:rsidRPr="00F138EE" w:rsidRDefault="00F803B7" w:rsidP="00F803B7">
      <w:pPr>
        <w:pStyle w:val="ListParagraph"/>
        <w:numPr>
          <w:ilvl w:val="0"/>
          <w:numId w:val="29"/>
        </w:numPr>
        <w:spacing w:line="276" w:lineRule="auto"/>
        <w:jc w:val="both"/>
        <w:rPr>
          <w:rFonts w:cstheme="minorHAnsi"/>
          <w:sz w:val="22"/>
          <w:szCs w:val="22"/>
        </w:rPr>
      </w:pPr>
      <w:r w:rsidRPr="00F138EE">
        <w:rPr>
          <w:rFonts w:cstheme="minorHAnsi"/>
          <w:sz w:val="22"/>
          <w:szCs w:val="22"/>
        </w:rPr>
        <w:lastRenderedPageBreak/>
        <w:t>The extent to which the service package is in alignment with global best practices</w:t>
      </w:r>
    </w:p>
    <w:p w14:paraId="4210171E" w14:textId="77777777" w:rsidR="00F803B7" w:rsidRPr="00F138EE" w:rsidRDefault="00F803B7" w:rsidP="00F803B7">
      <w:pPr>
        <w:pStyle w:val="ListParagraph"/>
        <w:numPr>
          <w:ilvl w:val="0"/>
          <w:numId w:val="29"/>
        </w:numPr>
        <w:spacing w:line="276" w:lineRule="auto"/>
        <w:jc w:val="both"/>
        <w:rPr>
          <w:rFonts w:cstheme="minorHAnsi"/>
          <w:sz w:val="22"/>
          <w:szCs w:val="22"/>
        </w:rPr>
      </w:pPr>
      <w:r w:rsidRPr="00F138EE">
        <w:rPr>
          <w:rFonts w:cstheme="minorHAnsi"/>
          <w:sz w:val="22"/>
          <w:szCs w:val="22"/>
        </w:rPr>
        <w:t xml:space="preserve">Does the service package balance </w:t>
      </w:r>
      <w:proofErr w:type="gramStart"/>
      <w:r w:rsidRPr="00F138EE">
        <w:rPr>
          <w:rFonts w:cstheme="minorHAnsi"/>
          <w:sz w:val="22"/>
          <w:szCs w:val="22"/>
        </w:rPr>
        <w:t>targeted</w:t>
      </w:r>
      <w:proofErr w:type="gramEnd"/>
      <w:r w:rsidRPr="00F138EE">
        <w:rPr>
          <w:rFonts w:cstheme="minorHAnsi"/>
          <w:sz w:val="22"/>
          <w:szCs w:val="22"/>
        </w:rPr>
        <w:t xml:space="preserve"> and universal service</w:t>
      </w:r>
      <w:r>
        <w:rPr>
          <w:rStyle w:val="FootnoteReference"/>
          <w:rFonts w:cstheme="minorHAnsi"/>
          <w:sz w:val="22"/>
          <w:szCs w:val="22"/>
        </w:rPr>
        <w:footnoteReference w:id="1"/>
      </w:r>
      <w:r w:rsidRPr="00F138EE">
        <w:rPr>
          <w:rFonts w:cstheme="minorHAnsi"/>
          <w:sz w:val="22"/>
          <w:szCs w:val="22"/>
        </w:rPr>
        <w:t xml:space="preserve"> provision?</w:t>
      </w:r>
    </w:p>
    <w:p w14:paraId="6B5B2EC4" w14:textId="7E53C14C" w:rsidR="006106A4" w:rsidRPr="00EE2E7F" w:rsidRDefault="00F803B7" w:rsidP="00EE2E7F">
      <w:pPr>
        <w:pStyle w:val="ListParagraph"/>
        <w:numPr>
          <w:ilvl w:val="0"/>
          <w:numId w:val="29"/>
        </w:numPr>
        <w:spacing w:line="276" w:lineRule="auto"/>
        <w:jc w:val="both"/>
        <w:rPr>
          <w:rFonts w:cstheme="minorHAnsi"/>
          <w:sz w:val="22"/>
          <w:szCs w:val="22"/>
        </w:rPr>
      </w:pPr>
      <w:r w:rsidRPr="00F138EE">
        <w:rPr>
          <w:rFonts w:cstheme="minorHAnsi"/>
          <w:sz w:val="22"/>
          <w:szCs w:val="22"/>
        </w:rPr>
        <w:t>Is the service content and/or delivery channel appropriate for adolescents in different settings</w:t>
      </w:r>
      <w:r>
        <w:rPr>
          <w:rFonts w:cstheme="minorHAnsi"/>
          <w:sz w:val="22"/>
          <w:szCs w:val="22"/>
        </w:rPr>
        <w:t xml:space="preserve"> (including </w:t>
      </w:r>
      <w:r w:rsidRPr="00EE2E7F">
        <w:rPr>
          <w:rFonts w:cstheme="minorHAnsi"/>
          <w:sz w:val="22"/>
          <w:szCs w:val="22"/>
        </w:rPr>
        <w:t>education and health settings, and online media, etc.)</w:t>
      </w:r>
      <w:r w:rsidRPr="00F138EE">
        <w:rPr>
          <w:rFonts w:cstheme="minorHAnsi"/>
          <w:sz w:val="22"/>
          <w:szCs w:val="22"/>
        </w:rPr>
        <w:t>?</w:t>
      </w:r>
    </w:p>
    <w:p w14:paraId="3B7E72FF" w14:textId="7D0E75FA" w:rsidR="006106A4" w:rsidRDefault="006106A4" w:rsidP="00950779">
      <w:pPr>
        <w:rPr>
          <w:b/>
          <w:bCs/>
          <w:szCs w:val="22"/>
        </w:rPr>
      </w:pPr>
    </w:p>
    <w:p w14:paraId="2ABD4D64" w14:textId="77777777" w:rsidR="006106A4" w:rsidRPr="006106A4" w:rsidRDefault="006106A4" w:rsidP="006106A4">
      <w:pPr>
        <w:rPr>
          <w:b/>
          <w:bCs/>
          <w:szCs w:val="22"/>
          <w:u w:val="single"/>
        </w:rPr>
      </w:pPr>
      <w:r w:rsidRPr="006106A4">
        <w:rPr>
          <w:b/>
          <w:bCs/>
          <w:szCs w:val="22"/>
          <w:u w:val="single"/>
        </w:rPr>
        <w:t>Major Tasks, Deliverables &amp; Timeframe:</w:t>
      </w:r>
    </w:p>
    <w:p w14:paraId="3B4EAF19" w14:textId="77777777" w:rsidR="006106A4" w:rsidRPr="00C54BD2" w:rsidRDefault="006106A4" w:rsidP="006106A4">
      <w:pPr>
        <w:rPr>
          <w:b/>
          <w:bCs/>
          <w:szCs w:val="22"/>
        </w:rPr>
      </w:pPr>
    </w:p>
    <w:p w14:paraId="5A324A72" w14:textId="77777777" w:rsidR="000959D5" w:rsidRPr="00F138EE" w:rsidRDefault="000959D5" w:rsidP="000959D5">
      <w:pPr>
        <w:spacing w:line="276" w:lineRule="auto"/>
        <w:jc w:val="both"/>
        <w:rPr>
          <w:rFonts w:cstheme="minorHAnsi"/>
          <w:szCs w:val="22"/>
        </w:rPr>
      </w:pPr>
      <w:r w:rsidRPr="00F138EE">
        <w:rPr>
          <w:rFonts w:cstheme="minorHAnsi"/>
          <w:szCs w:val="22"/>
        </w:rPr>
        <w:t>As all the service package related manual, toolkits are in Chinese, this consultancy will primarily  review the English version of outlines for the service package, and interact with the technical agencies responsible for the different components of the service package to learn about the rationale, service content and service delivery, as well as the utilization of the service package. The specific tasks, deliverables and timeframe see table below.</w:t>
      </w:r>
    </w:p>
    <w:tbl>
      <w:tblPr>
        <w:tblStyle w:val="TableGrid"/>
        <w:tblW w:w="9175" w:type="dxa"/>
        <w:tblLook w:val="04A0" w:firstRow="1" w:lastRow="0" w:firstColumn="1" w:lastColumn="0" w:noHBand="0" w:noVBand="1"/>
      </w:tblPr>
      <w:tblGrid>
        <w:gridCol w:w="3325"/>
        <w:gridCol w:w="2520"/>
        <w:gridCol w:w="3330"/>
      </w:tblGrid>
      <w:tr w:rsidR="000959D5" w:rsidRPr="00F138EE" w14:paraId="01067FF5" w14:textId="77777777" w:rsidTr="00C35946">
        <w:trPr>
          <w:cantSplit/>
        </w:trPr>
        <w:tc>
          <w:tcPr>
            <w:tcW w:w="3325" w:type="dxa"/>
            <w:vAlign w:val="center"/>
          </w:tcPr>
          <w:p w14:paraId="565ED380" w14:textId="77777777" w:rsidR="000959D5" w:rsidRPr="00F138EE" w:rsidRDefault="000959D5" w:rsidP="00C35946">
            <w:pPr>
              <w:jc w:val="center"/>
              <w:rPr>
                <w:rFonts w:cstheme="minorHAnsi"/>
                <w:b/>
                <w:bCs/>
                <w:szCs w:val="22"/>
                <w:bdr w:val="none" w:sz="0" w:space="0" w:color="auto" w:frame="1"/>
                <w:lang w:eastAsia="ja-JP"/>
              </w:rPr>
            </w:pPr>
            <w:r w:rsidRPr="00F138EE">
              <w:rPr>
                <w:rFonts w:cstheme="minorHAnsi"/>
                <w:b/>
                <w:bCs/>
                <w:szCs w:val="22"/>
                <w:bdr w:val="none" w:sz="0" w:space="0" w:color="auto" w:frame="1"/>
                <w:lang w:eastAsia="ja-JP"/>
              </w:rPr>
              <w:t>Tasks</w:t>
            </w:r>
          </w:p>
        </w:tc>
        <w:tc>
          <w:tcPr>
            <w:tcW w:w="2520" w:type="dxa"/>
            <w:vAlign w:val="center"/>
          </w:tcPr>
          <w:p w14:paraId="0EE4B869" w14:textId="77777777" w:rsidR="000959D5" w:rsidRPr="00F138EE" w:rsidRDefault="000959D5" w:rsidP="00C35946">
            <w:pPr>
              <w:jc w:val="center"/>
              <w:rPr>
                <w:rFonts w:cstheme="minorHAnsi"/>
                <w:b/>
                <w:bCs/>
                <w:szCs w:val="22"/>
                <w:bdr w:val="none" w:sz="0" w:space="0" w:color="auto" w:frame="1"/>
                <w:lang w:eastAsia="ja-JP"/>
              </w:rPr>
            </w:pPr>
            <w:r w:rsidRPr="00F138EE">
              <w:rPr>
                <w:rFonts w:cstheme="minorHAnsi"/>
                <w:b/>
                <w:bCs/>
                <w:szCs w:val="22"/>
                <w:bdr w:val="none" w:sz="0" w:space="0" w:color="auto" w:frame="1"/>
                <w:lang w:eastAsia="ja-JP"/>
              </w:rPr>
              <w:t>Deliverables</w:t>
            </w:r>
          </w:p>
        </w:tc>
        <w:tc>
          <w:tcPr>
            <w:tcW w:w="3330" w:type="dxa"/>
            <w:vAlign w:val="center"/>
          </w:tcPr>
          <w:p w14:paraId="77833EA0" w14:textId="77777777" w:rsidR="000959D5" w:rsidRPr="00F138EE" w:rsidRDefault="000959D5" w:rsidP="00C35946">
            <w:pPr>
              <w:jc w:val="center"/>
              <w:rPr>
                <w:rFonts w:cstheme="minorHAnsi"/>
                <w:b/>
                <w:bCs/>
                <w:szCs w:val="22"/>
                <w:bdr w:val="none" w:sz="0" w:space="0" w:color="auto" w:frame="1"/>
                <w:lang w:eastAsia="ja-JP"/>
              </w:rPr>
            </w:pPr>
            <w:r w:rsidRPr="00F138EE">
              <w:rPr>
                <w:rFonts w:cstheme="minorHAnsi"/>
                <w:b/>
                <w:bCs/>
                <w:szCs w:val="22"/>
                <w:bdr w:val="none" w:sz="0" w:space="0" w:color="auto" w:frame="1"/>
                <w:lang w:eastAsia="ja-JP"/>
              </w:rPr>
              <w:t>Timeline</w:t>
            </w:r>
          </w:p>
        </w:tc>
      </w:tr>
      <w:tr w:rsidR="000959D5" w:rsidRPr="00F138EE" w14:paraId="0FF3F6EC" w14:textId="77777777" w:rsidTr="00C35946">
        <w:trPr>
          <w:cantSplit/>
        </w:trPr>
        <w:tc>
          <w:tcPr>
            <w:tcW w:w="3325" w:type="dxa"/>
            <w:vAlign w:val="center"/>
          </w:tcPr>
          <w:p w14:paraId="716788FB" w14:textId="77777777" w:rsidR="000959D5" w:rsidRPr="00F138EE" w:rsidRDefault="000959D5" w:rsidP="000959D5">
            <w:pPr>
              <w:pStyle w:val="ListParagraph"/>
              <w:numPr>
                <w:ilvl w:val="0"/>
                <w:numId w:val="30"/>
              </w:numPr>
              <w:spacing w:before="120"/>
              <w:ind w:left="341"/>
              <w:rPr>
                <w:rFonts w:ascii="Calibri" w:hAnsi="Calibri" w:cs="Arial"/>
                <w:b/>
                <w:bCs/>
                <w:color w:val="000000" w:themeColor="text1"/>
                <w:kern w:val="24"/>
              </w:rPr>
            </w:pPr>
            <w:r w:rsidRPr="00F138EE">
              <w:rPr>
                <w:rFonts w:eastAsia="宋体" w:cstheme="minorHAnsi"/>
                <w:bCs/>
                <w:sz w:val="22"/>
                <w:szCs w:val="22"/>
                <w:bdr w:val="none" w:sz="0" w:space="0" w:color="auto" w:frame="1"/>
                <w:lang w:eastAsia="ja-JP"/>
              </w:rPr>
              <w:t>Plan the consultancy (including the methodology, timeline, etc.)</w:t>
            </w:r>
          </w:p>
        </w:tc>
        <w:tc>
          <w:tcPr>
            <w:tcW w:w="2520" w:type="dxa"/>
            <w:vAlign w:val="center"/>
          </w:tcPr>
          <w:p w14:paraId="2BFF011E" w14:textId="77777777" w:rsidR="000959D5" w:rsidRPr="00F138EE" w:rsidRDefault="000959D5" w:rsidP="00C35946">
            <w:pPr>
              <w:rPr>
                <w:rFonts w:cstheme="minorHAnsi"/>
                <w:bCs/>
                <w:szCs w:val="22"/>
                <w:bdr w:val="none" w:sz="0" w:space="0" w:color="auto" w:frame="1"/>
                <w:lang w:eastAsia="ja-JP"/>
              </w:rPr>
            </w:pPr>
            <w:r w:rsidRPr="00F138EE">
              <w:rPr>
                <w:rFonts w:cstheme="minorHAnsi"/>
                <w:bCs/>
                <w:szCs w:val="22"/>
                <w:bdr w:val="none" w:sz="0" w:space="0" w:color="auto" w:frame="1"/>
                <w:lang w:eastAsia="ja-JP"/>
              </w:rPr>
              <w:t>Inception report</w:t>
            </w:r>
          </w:p>
        </w:tc>
        <w:tc>
          <w:tcPr>
            <w:tcW w:w="3330" w:type="dxa"/>
            <w:vAlign w:val="center"/>
          </w:tcPr>
          <w:p w14:paraId="70DAAB8B" w14:textId="5994C40A" w:rsidR="000959D5" w:rsidRPr="00F138EE" w:rsidRDefault="000959D5" w:rsidP="000959D5">
            <w:pPr>
              <w:pStyle w:val="ListParagraph"/>
              <w:numPr>
                <w:ilvl w:val="0"/>
                <w:numId w:val="32"/>
              </w:numPr>
              <w:spacing w:before="120"/>
              <w:ind w:left="166" w:hanging="185"/>
              <w:rPr>
                <w:rFonts w:eastAsia="宋体" w:cstheme="minorHAnsi"/>
                <w:bCs/>
                <w:sz w:val="22"/>
                <w:szCs w:val="22"/>
                <w:bdr w:val="none" w:sz="0" w:space="0" w:color="auto" w:frame="1"/>
                <w:lang w:eastAsia="ja-JP"/>
              </w:rPr>
            </w:pPr>
            <w:r w:rsidRPr="00F138EE">
              <w:rPr>
                <w:rFonts w:eastAsia="宋体" w:cstheme="minorHAnsi"/>
                <w:bCs/>
                <w:sz w:val="22"/>
                <w:szCs w:val="22"/>
                <w:bdr w:val="none" w:sz="0" w:space="0" w:color="auto" w:frame="1"/>
                <w:lang w:eastAsia="ja-JP"/>
              </w:rPr>
              <w:t xml:space="preserve">By </w:t>
            </w:r>
            <w:r w:rsidR="0089727A">
              <w:rPr>
                <w:rFonts w:eastAsia="宋体" w:cstheme="minorHAnsi"/>
                <w:bCs/>
                <w:sz w:val="22"/>
                <w:szCs w:val="22"/>
                <w:bdr w:val="none" w:sz="0" w:space="0" w:color="auto" w:frame="1"/>
                <w:lang w:eastAsia="ja-JP"/>
              </w:rPr>
              <w:t>5</w:t>
            </w:r>
            <w:r w:rsidRPr="00F138EE">
              <w:rPr>
                <w:rFonts w:eastAsia="宋体" w:cstheme="minorHAnsi"/>
                <w:bCs/>
                <w:sz w:val="22"/>
                <w:szCs w:val="22"/>
                <w:bdr w:val="none" w:sz="0" w:space="0" w:color="auto" w:frame="1"/>
                <w:lang w:eastAsia="ja-JP"/>
              </w:rPr>
              <w:t xml:space="preserve"> </w:t>
            </w:r>
            <w:r w:rsidR="0089727A">
              <w:rPr>
                <w:rFonts w:eastAsia="宋体" w:cstheme="minorHAnsi"/>
                <w:bCs/>
                <w:sz w:val="22"/>
                <w:szCs w:val="22"/>
                <w:bdr w:val="none" w:sz="0" w:space="0" w:color="auto" w:frame="1"/>
                <w:lang w:eastAsia="ja-JP"/>
              </w:rPr>
              <w:t>Octo</w:t>
            </w:r>
            <w:r>
              <w:rPr>
                <w:rFonts w:eastAsia="宋体" w:cstheme="minorHAnsi"/>
                <w:bCs/>
                <w:sz w:val="22"/>
                <w:szCs w:val="22"/>
                <w:bdr w:val="none" w:sz="0" w:space="0" w:color="auto" w:frame="1"/>
                <w:lang w:eastAsia="ja-JP"/>
              </w:rPr>
              <w:t>ber</w:t>
            </w:r>
            <w:r w:rsidRPr="00F138EE">
              <w:rPr>
                <w:rFonts w:eastAsia="宋体" w:cstheme="minorHAnsi"/>
                <w:bCs/>
                <w:sz w:val="22"/>
                <w:szCs w:val="22"/>
                <w:bdr w:val="none" w:sz="0" w:space="0" w:color="auto" w:frame="1"/>
                <w:lang w:eastAsia="ja-JP"/>
              </w:rPr>
              <w:t xml:space="preserve"> (3 days of work)</w:t>
            </w:r>
          </w:p>
        </w:tc>
      </w:tr>
      <w:tr w:rsidR="000959D5" w:rsidRPr="00F138EE" w14:paraId="1644F170" w14:textId="77777777" w:rsidTr="00C35946">
        <w:trPr>
          <w:cantSplit/>
        </w:trPr>
        <w:tc>
          <w:tcPr>
            <w:tcW w:w="3325" w:type="dxa"/>
            <w:vAlign w:val="center"/>
          </w:tcPr>
          <w:p w14:paraId="1D54864A" w14:textId="77777777" w:rsidR="000959D5" w:rsidRPr="00F138EE" w:rsidRDefault="000959D5" w:rsidP="000959D5">
            <w:pPr>
              <w:pStyle w:val="ListParagraph"/>
              <w:numPr>
                <w:ilvl w:val="0"/>
                <w:numId w:val="30"/>
              </w:numPr>
              <w:spacing w:before="120"/>
              <w:ind w:left="341"/>
              <w:rPr>
                <w:rFonts w:ascii="Calibri" w:hAnsi="Calibri" w:cs="Arial"/>
                <w:b/>
                <w:bCs/>
                <w:color w:val="000000" w:themeColor="text1"/>
                <w:kern w:val="24"/>
              </w:rPr>
            </w:pPr>
            <w:r w:rsidRPr="00F138EE">
              <w:rPr>
                <w:rFonts w:eastAsia="宋体" w:cstheme="minorHAnsi"/>
                <w:bCs/>
                <w:sz w:val="22"/>
                <w:szCs w:val="22"/>
                <w:bdr w:val="none" w:sz="0" w:space="0" w:color="auto" w:frame="1"/>
                <w:lang w:eastAsia="ja-JP"/>
              </w:rPr>
              <w:t xml:space="preserve">Review outline of the adolescent mental health service package (including Positive Psychology Manual, Group Session Manual, mindfulness-based stress reduction and attention exercises for adolescents, adolescent counseling module for 12320 hotline workers, and early warning and screening tools for adolescent mental health issues), interact with domestic development team of the package, compare with international recommendations on adolescent mental health, identify the discrepancies, and provide comments </w:t>
            </w:r>
          </w:p>
        </w:tc>
        <w:tc>
          <w:tcPr>
            <w:tcW w:w="2520" w:type="dxa"/>
            <w:vAlign w:val="center"/>
          </w:tcPr>
          <w:p w14:paraId="4EB09475" w14:textId="77777777" w:rsidR="000959D5" w:rsidRPr="00F138EE" w:rsidRDefault="000959D5" w:rsidP="000959D5">
            <w:pPr>
              <w:pStyle w:val="ListParagraph"/>
              <w:numPr>
                <w:ilvl w:val="0"/>
                <w:numId w:val="31"/>
              </w:numPr>
              <w:spacing w:before="120"/>
              <w:ind w:left="166" w:hanging="180"/>
              <w:rPr>
                <w:rFonts w:eastAsia="宋体" w:cstheme="minorHAnsi"/>
                <w:bCs/>
                <w:sz w:val="22"/>
                <w:szCs w:val="22"/>
                <w:bdr w:val="none" w:sz="0" w:space="0" w:color="auto" w:frame="1"/>
                <w:lang w:eastAsia="ja-JP"/>
              </w:rPr>
            </w:pPr>
            <w:r w:rsidRPr="00F138EE">
              <w:rPr>
                <w:rFonts w:eastAsia="宋体" w:cstheme="minorHAnsi"/>
                <w:bCs/>
                <w:sz w:val="22"/>
                <w:szCs w:val="22"/>
                <w:bdr w:val="none" w:sz="0" w:space="0" w:color="auto" w:frame="1"/>
                <w:lang w:eastAsia="ja-JP"/>
              </w:rPr>
              <w:t>The reviewed outline with comments and editions</w:t>
            </w:r>
          </w:p>
          <w:p w14:paraId="673C2298" w14:textId="77777777" w:rsidR="000959D5" w:rsidRPr="00F138EE" w:rsidRDefault="000959D5" w:rsidP="000959D5">
            <w:pPr>
              <w:pStyle w:val="ListParagraph"/>
              <w:numPr>
                <w:ilvl w:val="0"/>
                <w:numId w:val="31"/>
              </w:numPr>
              <w:spacing w:before="120"/>
              <w:ind w:left="166" w:hanging="180"/>
              <w:rPr>
                <w:rFonts w:eastAsia="宋体" w:cstheme="minorHAnsi"/>
                <w:bCs/>
                <w:sz w:val="22"/>
                <w:szCs w:val="22"/>
                <w:bdr w:val="none" w:sz="0" w:space="0" w:color="auto" w:frame="1"/>
                <w:lang w:eastAsia="ja-JP"/>
              </w:rPr>
            </w:pPr>
            <w:r w:rsidRPr="00F138EE">
              <w:rPr>
                <w:rFonts w:eastAsia="宋体" w:cstheme="minorHAnsi"/>
                <w:bCs/>
                <w:sz w:val="22"/>
                <w:szCs w:val="22"/>
                <w:bdr w:val="none" w:sz="0" w:space="0" w:color="auto" w:frame="1"/>
                <w:lang w:eastAsia="ja-JP"/>
              </w:rPr>
              <w:t>Develop a matrix (the extent of the different components of the service package are alignment with global practices, the appropriateness of the service content and delivery channel)</w:t>
            </w:r>
          </w:p>
        </w:tc>
        <w:tc>
          <w:tcPr>
            <w:tcW w:w="3330" w:type="dxa"/>
            <w:vAlign w:val="center"/>
          </w:tcPr>
          <w:p w14:paraId="0908161C" w14:textId="0FAEB946" w:rsidR="000959D5" w:rsidRPr="00F138EE" w:rsidRDefault="000959D5" w:rsidP="000959D5">
            <w:pPr>
              <w:pStyle w:val="ListParagraph"/>
              <w:numPr>
                <w:ilvl w:val="0"/>
                <w:numId w:val="32"/>
              </w:numPr>
              <w:spacing w:before="120"/>
              <w:ind w:left="166" w:hanging="185"/>
              <w:rPr>
                <w:rFonts w:eastAsia="宋体" w:cstheme="minorHAnsi"/>
                <w:bCs/>
                <w:sz w:val="22"/>
                <w:szCs w:val="22"/>
                <w:bdr w:val="none" w:sz="0" w:space="0" w:color="auto" w:frame="1"/>
                <w:lang w:eastAsia="ja-JP"/>
              </w:rPr>
            </w:pPr>
            <w:r w:rsidRPr="00F138EE">
              <w:rPr>
                <w:rFonts w:eastAsia="宋体" w:cstheme="minorHAnsi"/>
                <w:bCs/>
                <w:sz w:val="22"/>
                <w:szCs w:val="22"/>
                <w:bdr w:val="none" w:sz="0" w:space="0" w:color="auto" w:frame="1"/>
                <w:lang w:eastAsia="ja-JP"/>
              </w:rPr>
              <w:t xml:space="preserve">By </w:t>
            </w:r>
            <w:r w:rsidR="0089727A">
              <w:rPr>
                <w:rFonts w:eastAsia="宋体" w:cstheme="minorHAnsi"/>
                <w:bCs/>
                <w:sz w:val="22"/>
                <w:szCs w:val="22"/>
                <w:bdr w:val="none" w:sz="0" w:space="0" w:color="auto" w:frame="1"/>
                <w:lang w:eastAsia="ja-JP"/>
              </w:rPr>
              <w:t>25</w:t>
            </w:r>
            <w:r w:rsidRPr="00F138EE">
              <w:rPr>
                <w:rFonts w:eastAsia="宋体" w:cstheme="minorHAnsi"/>
                <w:bCs/>
                <w:sz w:val="22"/>
                <w:szCs w:val="22"/>
                <w:bdr w:val="none" w:sz="0" w:space="0" w:color="auto" w:frame="1"/>
                <w:lang w:eastAsia="ja-JP"/>
              </w:rPr>
              <w:t xml:space="preserve"> </w:t>
            </w:r>
            <w:r w:rsidR="0055580E">
              <w:rPr>
                <w:rFonts w:eastAsia="宋体" w:cstheme="minorHAnsi"/>
                <w:bCs/>
                <w:sz w:val="22"/>
                <w:szCs w:val="22"/>
                <w:bdr w:val="none" w:sz="0" w:space="0" w:color="auto" w:frame="1"/>
                <w:lang w:eastAsia="ja-JP"/>
              </w:rPr>
              <w:t>October</w:t>
            </w:r>
            <w:r w:rsidRPr="00F138EE">
              <w:rPr>
                <w:rFonts w:eastAsia="宋体" w:cstheme="minorHAnsi"/>
                <w:bCs/>
                <w:sz w:val="22"/>
                <w:szCs w:val="22"/>
                <w:bdr w:val="none" w:sz="0" w:space="0" w:color="auto" w:frame="1"/>
                <w:lang w:eastAsia="ja-JP"/>
              </w:rPr>
              <w:t xml:space="preserve"> 2020 (15 days of work)</w:t>
            </w:r>
          </w:p>
        </w:tc>
      </w:tr>
      <w:tr w:rsidR="00260FF0" w:rsidRPr="00F138EE" w14:paraId="599A3B7C" w14:textId="77777777" w:rsidTr="00260FF0">
        <w:trPr>
          <w:trHeight w:val="881"/>
        </w:trPr>
        <w:tc>
          <w:tcPr>
            <w:tcW w:w="3325" w:type="dxa"/>
            <w:vMerge w:val="restart"/>
          </w:tcPr>
          <w:p w14:paraId="2ACB0FF6" w14:textId="77777777" w:rsidR="00260FF0" w:rsidRPr="00F138EE" w:rsidRDefault="00260FF0" w:rsidP="00260FF0">
            <w:pPr>
              <w:pStyle w:val="ListParagraph"/>
              <w:numPr>
                <w:ilvl w:val="0"/>
                <w:numId w:val="30"/>
              </w:numPr>
              <w:spacing w:before="120"/>
              <w:ind w:left="341"/>
              <w:rPr>
                <w:rFonts w:eastAsia="宋体" w:cstheme="minorHAnsi"/>
                <w:bCs/>
                <w:sz w:val="22"/>
                <w:szCs w:val="22"/>
                <w:bdr w:val="none" w:sz="0" w:space="0" w:color="auto" w:frame="1"/>
                <w:lang w:eastAsia="ja-JP"/>
              </w:rPr>
            </w:pPr>
            <w:r w:rsidRPr="00F138EE">
              <w:rPr>
                <w:rFonts w:eastAsia="宋体" w:cstheme="minorHAnsi"/>
                <w:bCs/>
                <w:sz w:val="22"/>
                <w:szCs w:val="22"/>
                <w:bdr w:val="none" w:sz="0" w:space="0" w:color="auto" w:frame="1"/>
                <w:lang w:eastAsia="ja-JP"/>
              </w:rPr>
              <w:t>Draft and finalize a report on this review (including overview on service content, service delivery, etc., key results of review and suggestions)</w:t>
            </w:r>
          </w:p>
        </w:tc>
        <w:tc>
          <w:tcPr>
            <w:tcW w:w="2520" w:type="dxa"/>
          </w:tcPr>
          <w:p w14:paraId="4B300950" w14:textId="77777777" w:rsidR="00260FF0" w:rsidRPr="00F138EE" w:rsidRDefault="00260FF0" w:rsidP="00260FF0">
            <w:pPr>
              <w:pStyle w:val="ListParagraph"/>
              <w:numPr>
                <w:ilvl w:val="0"/>
                <w:numId w:val="31"/>
              </w:numPr>
              <w:spacing w:before="120"/>
              <w:ind w:left="166" w:hanging="180"/>
              <w:rPr>
                <w:rFonts w:eastAsia="宋体" w:cstheme="minorHAnsi"/>
                <w:bCs/>
                <w:sz w:val="22"/>
                <w:szCs w:val="22"/>
                <w:bdr w:val="none" w:sz="0" w:space="0" w:color="auto" w:frame="1"/>
                <w:lang w:eastAsia="ja-JP"/>
              </w:rPr>
            </w:pPr>
            <w:r w:rsidRPr="00F138EE">
              <w:rPr>
                <w:rFonts w:eastAsia="宋体" w:cstheme="minorHAnsi"/>
                <w:bCs/>
                <w:sz w:val="22"/>
                <w:szCs w:val="22"/>
                <w:bdr w:val="none" w:sz="0" w:space="0" w:color="auto" w:frame="1"/>
                <w:lang w:eastAsia="ja-JP"/>
              </w:rPr>
              <w:t>Draft a report</w:t>
            </w:r>
          </w:p>
        </w:tc>
        <w:tc>
          <w:tcPr>
            <w:tcW w:w="3330" w:type="dxa"/>
          </w:tcPr>
          <w:p w14:paraId="0CE21DB4" w14:textId="70FDB3E4" w:rsidR="00260FF0" w:rsidRPr="00F138EE" w:rsidRDefault="00260FF0" w:rsidP="00260FF0">
            <w:pPr>
              <w:pStyle w:val="ListParagraph"/>
              <w:numPr>
                <w:ilvl w:val="0"/>
                <w:numId w:val="32"/>
              </w:numPr>
              <w:spacing w:before="120"/>
              <w:ind w:left="166" w:hanging="185"/>
              <w:rPr>
                <w:rFonts w:eastAsia="宋体" w:cstheme="minorHAnsi"/>
                <w:bCs/>
                <w:sz w:val="22"/>
                <w:szCs w:val="22"/>
                <w:bdr w:val="none" w:sz="0" w:space="0" w:color="auto" w:frame="1"/>
                <w:lang w:eastAsia="ja-JP"/>
              </w:rPr>
            </w:pPr>
            <w:r w:rsidRPr="00F138EE">
              <w:rPr>
                <w:rFonts w:eastAsia="宋体" w:cstheme="minorHAnsi"/>
                <w:bCs/>
                <w:sz w:val="22"/>
                <w:szCs w:val="22"/>
                <w:bdr w:val="none" w:sz="0" w:space="0" w:color="auto" w:frame="1"/>
                <w:lang w:eastAsia="ja-JP"/>
              </w:rPr>
              <w:t xml:space="preserve">By </w:t>
            </w:r>
            <w:r w:rsidR="0089727A">
              <w:rPr>
                <w:rFonts w:eastAsia="宋体" w:cstheme="minorHAnsi"/>
                <w:bCs/>
                <w:sz w:val="22"/>
                <w:szCs w:val="22"/>
                <w:bdr w:val="none" w:sz="0" w:space="0" w:color="auto" w:frame="1"/>
                <w:lang w:eastAsia="ja-JP"/>
              </w:rPr>
              <w:t>5</w:t>
            </w:r>
            <w:r w:rsidRPr="00F138EE">
              <w:rPr>
                <w:rFonts w:eastAsia="宋体" w:cstheme="minorHAnsi"/>
                <w:bCs/>
                <w:sz w:val="22"/>
                <w:szCs w:val="22"/>
                <w:bdr w:val="none" w:sz="0" w:space="0" w:color="auto" w:frame="1"/>
                <w:lang w:eastAsia="ja-JP"/>
              </w:rPr>
              <w:t xml:space="preserve"> </w:t>
            </w:r>
            <w:r w:rsidR="0089727A">
              <w:rPr>
                <w:rFonts w:eastAsia="宋体" w:cstheme="minorHAnsi"/>
                <w:bCs/>
                <w:sz w:val="22"/>
                <w:szCs w:val="22"/>
                <w:bdr w:val="none" w:sz="0" w:space="0" w:color="auto" w:frame="1"/>
                <w:lang w:eastAsia="zh-CN"/>
              </w:rPr>
              <w:t>Novem</w:t>
            </w:r>
            <w:r w:rsidRPr="00F138EE">
              <w:rPr>
                <w:rFonts w:eastAsia="宋体" w:cstheme="minorHAnsi"/>
                <w:bCs/>
                <w:sz w:val="22"/>
                <w:szCs w:val="22"/>
                <w:bdr w:val="none" w:sz="0" w:space="0" w:color="auto" w:frame="1"/>
                <w:lang w:eastAsia="zh-CN"/>
              </w:rPr>
              <w:t>ber</w:t>
            </w:r>
            <w:r w:rsidRPr="00F138EE">
              <w:rPr>
                <w:rFonts w:eastAsia="宋体" w:cstheme="minorHAnsi"/>
                <w:bCs/>
                <w:sz w:val="22"/>
                <w:szCs w:val="22"/>
                <w:bdr w:val="none" w:sz="0" w:space="0" w:color="auto" w:frame="1"/>
                <w:lang w:eastAsia="ja-JP"/>
              </w:rPr>
              <w:t xml:space="preserve"> 2020 (5 days of work)</w:t>
            </w:r>
          </w:p>
        </w:tc>
      </w:tr>
      <w:tr w:rsidR="00260FF0" w:rsidRPr="00F138EE" w14:paraId="3EC5B39D" w14:textId="77777777" w:rsidTr="00260FF0">
        <w:tc>
          <w:tcPr>
            <w:tcW w:w="3325" w:type="dxa"/>
            <w:vMerge/>
          </w:tcPr>
          <w:p w14:paraId="0CE8EDA0" w14:textId="77777777" w:rsidR="00260FF0" w:rsidRPr="00F138EE" w:rsidRDefault="00260FF0" w:rsidP="00260FF0">
            <w:pPr>
              <w:pStyle w:val="ListParagraph"/>
              <w:numPr>
                <w:ilvl w:val="0"/>
                <w:numId w:val="30"/>
              </w:numPr>
              <w:spacing w:before="120"/>
              <w:ind w:left="341"/>
              <w:rPr>
                <w:rFonts w:eastAsia="宋体" w:cstheme="minorHAnsi"/>
                <w:bCs/>
                <w:sz w:val="22"/>
                <w:szCs w:val="22"/>
                <w:bdr w:val="none" w:sz="0" w:space="0" w:color="auto" w:frame="1"/>
                <w:lang w:eastAsia="ja-JP"/>
              </w:rPr>
            </w:pPr>
          </w:p>
        </w:tc>
        <w:tc>
          <w:tcPr>
            <w:tcW w:w="2520" w:type="dxa"/>
          </w:tcPr>
          <w:p w14:paraId="5EF0C3FA" w14:textId="77777777" w:rsidR="00260FF0" w:rsidRPr="00F138EE" w:rsidRDefault="00260FF0" w:rsidP="00260FF0">
            <w:pPr>
              <w:pStyle w:val="ListParagraph"/>
              <w:numPr>
                <w:ilvl w:val="0"/>
                <w:numId w:val="31"/>
              </w:numPr>
              <w:spacing w:before="120"/>
              <w:ind w:left="166" w:hanging="180"/>
              <w:rPr>
                <w:rFonts w:eastAsia="宋体" w:cstheme="minorHAnsi"/>
                <w:bCs/>
                <w:sz w:val="22"/>
                <w:szCs w:val="22"/>
                <w:bdr w:val="none" w:sz="0" w:space="0" w:color="auto" w:frame="1"/>
                <w:lang w:eastAsia="ja-JP"/>
              </w:rPr>
            </w:pPr>
            <w:r w:rsidRPr="00F138EE">
              <w:rPr>
                <w:rFonts w:eastAsia="宋体" w:cstheme="minorHAnsi"/>
                <w:bCs/>
                <w:sz w:val="22"/>
                <w:szCs w:val="22"/>
                <w:bdr w:val="none" w:sz="0" w:space="0" w:color="auto" w:frame="1"/>
                <w:lang w:eastAsia="zh-CN"/>
              </w:rPr>
              <w:t>F</w:t>
            </w:r>
            <w:r w:rsidRPr="00F138EE">
              <w:rPr>
                <w:rFonts w:eastAsia="宋体" w:cstheme="minorHAnsi" w:hint="eastAsia"/>
                <w:bCs/>
                <w:sz w:val="22"/>
                <w:szCs w:val="22"/>
                <w:bdr w:val="none" w:sz="0" w:space="0" w:color="auto" w:frame="1"/>
                <w:lang w:eastAsia="zh-CN"/>
              </w:rPr>
              <w:t>ina</w:t>
            </w:r>
            <w:r w:rsidRPr="00F138EE">
              <w:rPr>
                <w:rFonts w:eastAsia="宋体" w:cstheme="minorHAnsi"/>
                <w:bCs/>
                <w:sz w:val="22"/>
                <w:szCs w:val="22"/>
                <w:bdr w:val="none" w:sz="0" w:space="0" w:color="auto" w:frame="1"/>
                <w:lang w:eastAsia="ja-JP"/>
              </w:rPr>
              <w:t>lize the report</w:t>
            </w:r>
          </w:p>
        </w:tc>
        <w:tc>
          <w:tcPr>
            <w:tcW w:w="3330" w:type="dxa"/>
          </w:tcPr>
          <w:p w14:paraId="559B3824" w14:textId="6A97F8AD" w:rsidR="00260FF0" w:rsidRPr="00F138EE" w:rsidRDefault="00260FF0" w:rsidP="00260FF0">
            <w:pPr>
              <w:pStyle w:val="ListParagraph"/>
              <w:numPr>
                <w:ilvl w:val="0"/>
                <w:numId w:val="32"/>
              </w:numPr>
              <w:spacing w:before="120"/>
              <w:ind w:left="166" w:hanging="185"/>
              <w:rPr>
                <w:rFonts w:eastAsia="宋体" w:cstheme="minorHAnsi"/>
                <w:bCs/>
                <w:sz w:val="22"/>
                <w:szCs w:val="22"/>
                <w:bdr w:val="none" w:sz="0" w:space="0" w:color="auto" w:frame="1"/>
                <w:lang w:eastAsia="ja-JP"/>
              </w:rPr>
            </w:pPr>
            <w:r w:rsidRPr="00F138EE">
              <w:rPr>
                <w:rFonts w:eastAsia="宋体" w:cstheme="minorHAnsi"/>
                <w:bCs/>
                <w:sz w:val="22"/>
                <w:szCs w:val="22"/>
                <w:bdr w:val="none" w:sz="0" w:space="0" w:color="auto" w:frame="1"/>
                <w:lang w:eastAsia="ja-JP"/>
              </w:rPr>
              <w:t xml:space="preserve">By </w:t>
            </w:r>
            <w:r w:rsidR="0025102A">
              <w:rPr>
                <w:rFonts w:eastAsia="宋体" w:cstheme="minorHAnsi"/>
                <w:bCs/>
                <w:sz w:val="22"/>
                <w:szCs w:val="22"/>
                <w:bdr w:val="none" w:sz="0" w:space="0" w:color="auto" w:frame="1"/>
                <w:lang w:eastAsia="ja-JP"/>
              </w:rPr>
              <w:t>15</w:t>
            </w:r>
            <w:r w:rsidRPr="00F138EE">
              <w:rPr>
                <w:rFonts w:eastAsia="宋体" w:cstheme="minorHAnsi"/>
                <w:bCs/>
                <w:sz w:val="22"/>
                <w:szCs w:val="22"/>
                <w:bdr w:val="none" w:sz="0" w:space="0" w:color="auto" w:frame="1"/>
                <w:lang w:eastAsia="ja-JP"/>
              </w:rPr>
              <w:t xml:space="preserve"> </w:t>
            </w:r>
            <w:r w:rsidR="0025102A">
              <w:rPr>
                <w:rFonts w:eastAsia="宋体" w:cstheme="minorHAnsi"/>
                <w:bCs/>
                <w:sz w:val="22"/>
                <w:szCs w:val="22"/>
                <w:bdr w:val="none" w:sz="0" w:space="0" w:color="auto" w:frame="1"/>
                <w:lang w:eastAsia="ja-JP"/>
              </w:rPr>
              <w:t>Novemb</w:t>
            </w:r>
            <w:r w:rsidRPr="00F138EE">
              <w:rPr>
                <w:rFonts w:eastAsia="宋体" w:cstheme="minorHAnsi"/>
                <w:bCs/>
                <w:sz w:val="22"/>
                <w:szCs w:val="22"/>
                <w:bdr w:val="none" w:sz="0" w:space="0" w:color="auto" w:frame="1"/>
                <w:lang w:eastAsia="ja-JP"/>
              </w:rPr>
              <w:t>er 2020 (2 days of work)</w:t>
            </w:r>
          </w:p>
        </w:tc>
      </w:tr>
    </w:tbl>
    <w:p w14:paraId="54A02DA5" w14:textId="120B651A" w:rsidR="006106A4" w:rsidRDefault="006106A4" w:rsidP="006106A4">
      <w:pPr>
        <w:rPr>
          <w:szCs w:val="22"/>
          <w:shd w:val="clear" w:color="auto" w:fill="FFD966"/>
        </w:rPr>
      </w:pPr>
    </w:p>
    <w:p w14:paraId="1B164C9F" w14:textId="77777777" w:rsidR="006106A4" w:rsidRPr="00C54BD2" w:rsidRDefault="006106A4" w:rsidP="006106A4">
      <w:pPr>
        <w:rPr>
          <w:b/>
          <w:bCs/>
          <w:szCs w:val="22"/>
        </w:rPr>
      </w:pPr>
    </w:p>
    <w:p w14:paraId="08D53F72" w14:textId="77777777" w:rsidR="006106A4" w:rsidRPr="006106A4" w:rsidRDefault="006106A4" w:rsidP="006106A4">
      <w:pPr>
        <w:rPr>
          <w:b/>
          <w:color w:val="auto"/>
          <w:szCs w:val="22"/>
          <w:u w:val="single"/>
        </w:rPr>
      </w:pPr>
      <w:r w:rsidRPr="006106A4">
        <w:rPr>
          <w:b/>
          <w:color w:val="auto"/>
          <w:szCs w:val="22"/>
          <w:u w:val="single"/>
        </w:rPr>
        <w:t>Methodology &amp; Expected Output:</w:t>
      </w:r>
    </w:p>
    <w:p w14:paraId="77EF9C4D" w14:textId="77777777" w:rsidR="006106A4" w:rsidRPr="00C54BD2" w:rsidRDefault="006106A4" w:rsidP="006106A4">
      <w:pPr>
        <w:rPr>
          <w:b/>
          <w:bCs/>
          <w:szCs w:val="22"/>
        </w:rPr>
      </w:pPr>
    </w:p>
    <w:p w14:paraId="3E4C3666" w14:textId="756312E9" w:rsidR="006106A4" w:rsidRDefault="00D82600" w:rsidP="006106A4">
      <w:pPr>
        <w:rPr>
          <w:szCs w:val="22"/>
          <w:shd w:val="clear" w:color="auto" w:fill="FFD966"/>
        </w:rPr>
      </w:pPr>
      <w:r w:rsidRPr="00F138EE">
        <w:rPr>
          <w:rFonts w:cs="Arial"/>
          <w:szCs w:val="22"/>
        </w:rPr>
        <w:t xml:space="preserve">The Consultancy is not office based, but from time to time is required to send regular updates, meeting, emails and telephone calls. </w:t>
      </w:r>
      <w:r w:rsidRPr="00F138EE">
        <w:rPr>
          <w:rFonts w:cstheme="minorHAnsi"/>
          <w:bCs/>
          <w:szCs w:val="22"/>
          <w:bdr w:val="none" w:sz="0" w:space="0" w:color="auto" w:frame="1"/>
          <w:lang w:eastAsia="ja-JP"/>
        </w:rPr>
        <w:t>No specific travel required.</w:t>
      </w:r>
    </w:p>
    <w:p w14:paraId="54F3CAF3" w14:textId="7D0294D0" w:rsidR="006106A4" w:rsidRDefault="006106A4" w:rsidP="006106A4">
      <w:pPr>
        <w:rPr>
          <w:szCs w:val="22"/>
          <w:shd w:val="clear" w:color="auto" w:fill="FFD966"/>
        </w:rPr>
      </w:pPr>
    </w:p>
    <w:p w14:paraId="415BA7D1" w14:textId="61A96BC4" w:rsidR="006106A4" w:rsidRDefault="006106A4" w:rsidP="006106A4">
      <w:pPr>
        <w:rPr>
          <w:szCs w:val="22"/>
          <w:shd w:val="clear" w:color="auto" w:fill="FFD966"/>
        </w:rPr>
      </w:pPr>
      <w:r w:rsidRPr="006106A4">
        <w:rPr>
          <w:b/>
          <w:bCs/>
          <w:szCs w:val="22"/>
          <w:u w:val="single"/>
        </w:rPr>
        <w:t>Start Date</w:t>
      </w:r>
      <w:r w:rsidRPr="006106A4">
        <w:rPr>
          <w:b/>
          <w:bCs/>
          <w:szCs w:val="22"/>
        </w:rPr>
        <w:t xml:space="preserve">:        </w:t>
      </w:r>
      <w:r w:rsidR="00BB2BCC">
        <w:rPr>
          <w:rFonts w:cs="Arial"/>
          <w:szCs w:val="22"/>
        </w:rPr>
        <w:t>25</w:t>
      </w:r>
      <w:r w:rsidR="00383692" w:rsidRPr="00F138EE">
        <w:rPr>
          <w:rFonts w:cs="Arial"/>
          <w:szCs w:val="22"/>
        </w:rPr>
        <w:t xml:space="preserve"> </w:t>
      </w:r>
      <w:r w:rsidR="00C72551">
        <w:rPr>
          <w:rFonts w:cs="Arial" w:hint="eastAsia"/>
          <w:szCs w:val="22"/>
          <w:lang w:eastAsia="zh-CN"/>
        </w:rPr>
        <w:t>Sep</w:t>
      </w:r>
      <w:r w:rsidR="00C72551">
        <w:rPr>
          <w:rFonts w:cs="Arial"/>
          <w:szCs w:val="22"/>
        </w:rPr>
        <w:t>tember</w:t>
      </w:r>
      <w:r w:rsidR="00383692">
        <w:rPr>
          <w:rFonts w:cs="Arial"/>
          <w:szCs w:val="22"/>
        </w:rPr>
        <w:t xml:space="preserve"> 2020</w:t>
      </w:r>
    </w:p>
    <w:p w14:paraId="1ECCE28B" w14:textId="77777777" w:rsidR="006106A4" w:rsidRPr="006106A4" w:rsidRDefault="006106A4" w:rsidP="006106A4">
      <w:pPr>
        <w:rPr>
          <w:b/>
          <w:bCs/>
          <w:szCs w:val="22"/>
        </w:rPr>
      </w:pPr>
    </w:p>
    <w:p w14:paraId="7441D0FE" w14:textId="398C45C2" w:rsidR="006106A4" w:rsidRDefault="006106A4" w:rsidP="006106A4">
      <w:pPr>
        <w:rPr>
          <w:szCs w:val="22"/>
          <w:shd w:val="clear" w:color="auto" w:fill="FFD966"/>
        </w:rPr>
      </w:pPr>
      <w:r w:rsidRPr="006106A4">
        <w:rPr>
          <w:b/>
          <w:bCs/>
          <w:szCs w:val="22"/>
          <w:u w:val="single"/>
        </w:rPr>
        <w:t>End Date</w:t>
      </w:r>
      <w:r w:rsidRPr="006106A4">
        <w:rPr>
          <w:b/>
          <w:bCs/>
          <w:szCs w:val="22"/>
        </w:rPr>
        <w:t xml:space="preserve">:       </w:t>
      </w:r>
      <w:r w:rsidR="0089727A">
        <w:rPr>
          <w:rFonts w:cs="Arial"/>
          <w:szCs w:val="22"/>
        </w:rPr>
        <w:t>15</w:t>
      </w:r>
      <w:r w:rsidR="00203417" w:rsidRPr="00F138EE">
        <w:rPr>
          <w:rFonts w:cs="Arial"/>
          <w:szCs w:val="22"/>
        </w:rPr>
        <w:t xml:space="preserve"> </w:t>
      </w:r>
      <w:r w:rsidR="0025102A">
        <w:rPr>
          <w:rFonts w:cs="Arial"/>
          <w:szCs w:val="22"/>
        </w:rPr>
        <w:t>Novem</w:t>
      </w:r>
      <w:r w:rsidR="00203417" w:rsidRPr="00F138EE">
        <w:rPr>
          <w:rFonts w:cs="Arial"/>
          <w:szCs w:val="22"/>
        </w:rPr>
        <w:t>ber 2020</w:t>
      </w:r>
    </w:p>
    <w:p w14:paraId="351BA8F1" w14:textId="77777777" w:rsidR="006106A4" w:rsidRPr="006106A4" w:rsidRDefault="006106A4" w:rsidP="006106A4">
      <w:pPr>
        <w:rPr>
          <w:b/>
          <w:bCs/>
          <w:szCs w:val="22"/>
        </w:rPr>
      </w:pPr>
    </w:p>
    <w:p w14:paraId="1BFB98D6" w14:textId="79995E04" w:rsidR="006106A4" w:rsidRDefault="006106A4" w:rsidP="006106A4">
      <w:pPr>
        <w:rPr>
          <w:szCs w:val="22"/>
          <w:shd w:val="clear" w:color="auto" w:fill="FFD966"/>
        </w:rPr>
      </w:pPr>
      <w:r w:rsidRPr="006106A4">
        <w:rPr>
          <w:b/>
          <w:bCs/>
          <w:szCs w:val="22"/>
          <w:u w:val="single"/>
        </w:rPr>
        <w:t>Total Working Days</w:t>
      </w:r>
      <w:r w:rsidRPr="006106A4">
        <w:rPr>
          <w:b/>
          <w:bCs/>
          <w:szCs w:val="22"/>
        </w:rPr>
        <w:t xml:space="preserve">:      </w:t>
      </w:r>
      <w:r w:rsidR="00362880" w:rsidRPr="00F138EE">
        <w:rPr>
          <w:rFonts w:cs="Arial"/>
          <w:szCs w:val="22"/>
        </w:rPr>
        <w:t>25 days of work during this period</w:t>
      </w:r>
    </w:p>
    <w:p w14:paraId="012CF31B" w14:textId="77777777" w:rsidR="006106A4" w:rsidRPr="006106A4" w:rsidRDefault="006106A4" w:rsidP="006106A4">
      <w:pPr>
        <w:rPr>
          <w:b/>
          <w:bCs/>
          <w:szCs w:val="22"/>
        </w:rPr>
      </w:pPr>
    </w:p>
    <w:p w14:paraId="7D27BEB1" w14:textId="77777777" w:rsidR="006106A4" w:rsidRPr="006106A4" w:rsidRDefault="006106A4" w:rsidP="006106A4">
      <w:pPr>
        <w:rPr>
          <w:b/>
          <w:szCs w:val="22"/>
          <w:u w:val="single"/>
        </w:rPr>
      </w:pPr>
      <w:r w:rsidRPr="006106A4">
        <w:rPr>
          <w:b/>
          <w:szCs w:val="22"/>
          <w:u w:val="single"/>
        </w:rPr>
        <w:t>Consultancy Requirements:</w:t>
      </w:r>
    </w:p>
    <w:p w14:paraId="78CB8D8D" w14:textId="77777777" w:rsidR="006106A4" w:rsidRPr="00C54BD2" w:rsidRDefault="006106A4" w:rsidP="006106A4">
      <w:pPr>
        <w:pStyle w:val="NormalWeb"/>
        <w:numPr>
          <w:ilvl w:val="0"/>
          <w:numId w:val="28"/>
        </w:numPr>
        <w:rPr>
          <w:rFonts w:eastAsia="宋体"/>
          <w:b/>
          <w:color w:val="000000"/>
          <w:sz w:val="22"/>
          <w:szCs w:val="22"/>
          <w:lang w:eastAsia="en-GB"/>
        </w:rPr>
      </w:pPr>
      <w:r w:rsidRPr="00C54BD2">
        <w:rPr>
          <w:rFonts w:eastAsia="宋体"/>
          <w:b/>
          <w:color w:val="000000"/>
          <w:sz w:val="22"/>
          <w:szCs w:val="22"/>
          <w:lang w:eastAsia="en-GB"/>
        </w:rPr>
        <w:t xml:space="preserve">Minimum Academic Qualifications required and disciplines: </w:t>
      </w:r>
    </w:p>
    <w:p w14:paraId="340240CD" w14:textId="2DE6B7F0" w:rsidR="006106A4" w:rsidRDefault="005D40C7" w:rsidP="00655AC2">
      <w:pPr>
        <w:pStyle w:val="ListParagraph"/>
        <w:numPr>
          <w:ilvl w:val="0"/>
          <w:numId w:val="32"/>
        </w:numPr>
        <w:rPr>
          <w:rFonts w:hAnsi="Calibri" w:cs="Calibri"/>
          <w:lang w:val="en-GB"/>
        </w:rPr>
      </w:pPr>
      <w:r w:rsidRPr="00F138EE">
        <w:rPr>
          <w:rFonts w:hAnsi="Calibri" w:cs="Calibri"/>
          <w:lang w:val="en-GB"/>
        </w:rPr>
        <w:t>Master</w:t>
      </w:r>
      <w:r w:rsidRPr="00F138EE">
        <w:rPr>
          <w:rFonts w:hAnsi="Calibri" w:cs="Calibri"/>
          <w:lang w:val="en-GB"/>
        </w:rPr>
        <w:t>’</w:t>
      </w:r>
      <w:r w:rsidRPr="00F138EE">
        <w:rPr>
          <w:rFonts w:hAnsi="Calibri" w:cs="Calibri"/>
          <w:lang w:val="en-GB"/>
        </w:rPr>
        <w:t>s degree in relevant field, with at least 10 years of professional experience in adolescent mental health, research or programmes</w:t>
      </w:r>
      <w:r w:rsidR="00655AC2">
        <w:rPr>
          <w:rFonts w:hAnsi="Calibri" w:cs="Calibri"/>
          <w:lang w:val="en-GB"/>
        </w:rPr>
        <w:t>.</w:t>
      </w:r>
    </w:p>
    <w:p w14:paraId="072B4716" w14:textId="77777777" w:rsidR="00655AC2" w:rsidRPr="00655AC2" w:rsidRDefault="00655AC2" w:rsidP="00655AC2">
      <w:pPr>
        <w:pStyle w:val="ListParagraph"/>
        <w:rPr>
          <w:rFonts w:hAnsi="Calibri" w:cs="Calibri"/>
          <w:lang w:val="en-GB"/>
        </w:rPr>
      </w:pPr>
    </w:p>
    <w:p w14:paraId="557CC593" w14:textId="77777777" w:rsidR="006106A4" w:rsidRPr="00C54BD2" w:rsidRDefault="006106A4" w:rsidP="006106A4">
      <w:pPr>
        <w:pStyle w:val="ListParagraph"/>
        <w:numPr>
          <w:ilvl w:val="0"/>
          <w:numId w:val="28"/>
        </w:numPr>
        <w:spacing w:before="60"/>
        <w:rPr>
          <w:rFonts w:eastAsia="宋体"/>
          <w:b/>
          <w:sz w:val="22"/>
          <w:szCs w:val="22"/>
        </w:rPr>
      </w:pPr>
      <w:r w:rsidRPr="00C54BD2">
        <w:rPr>
          <w:rFonts w:eastAsia="宋体"/>
          <w:b/>
          <w:sz w:val="22"/>
          <w:szCs w:val="22"/>
        </w:rPr>
        <w:t>Knowledge/Experience/Expertise/Skills required:</w:t>
      </w:r>
    </w:p>
    <w:p w14:paraId="2EB46EB9" w14:textId="77777777" w:rsidR="006106A4" w:rsidRPr="00C54BD2" w:rsidRDefault="006106A4" w:rsidP="006106A4">
      <w:pPr>
        <w:spacing w:before="60"/>
        <w:rPr>
          <w:b/>
          <w:szCs w:val="22"/>
        </w:rPr>
      </w:pPr>
    </w:p>
    <w:p w14:paraId="01D66CB4" w14:textId="6E242FF5" w:rsidR="00655AC2" w:rsidRPr="00F138EE" w:rsidRDefault="00655AC2" w:rsidP="00655AC2">
      <w:pPr>
        <w:pStyle w:val="ListParagraph"/>
        <w:numPr>
          <w:ilvl w:val="0"/>
          <w:numId w:val="32"/>
        </w:numPr>
        <w:rPr>
          <w:rFonts w:hAnsi="Calibri" w:cs="Calibri"/>
          <w:lang w:val="en-GB"/>
        </w:rPr>
      </w:pPr>
      <w:r w:rsidRPr="00F138EE">
        <w:rPr>
          <w:rFonts w:hAnsi="Calibri" w:cs="Calibri"/>
          <w:lang w:val="en-GB"/>
        </w:rPr>
        <w:t>Strong technical expertise, management and review experience in adolescent mental health related program, materials development, research and studies;</w:t>
      </w:r>
    </w:p>
    <w:p w14:paraId="1A14E20D" w14:textId="77777777" w:rsidR="00655AC2" w:rsidRPr="00F138EE" w:rsidRDefault="00655AC2" w:rsidP="00655AC2">
      <w:pPr>
        <w:pStyle w:val="ListParagraph"/>
        <w:numPr>
          <w:ilvl w:val="0"/>
          <w:numId w:val="32"/>
        </w:numPr>
        <w:rPr>
          <w:rFonts w:hAnsi="Calibri" w:cs="Calibri"/>
          <w:lang w:val="en-GB"/>
        </w:rPr>
      </w:pPr>
      <w:r w:rsidRPr="00F138EE">
        <w:rPr>
          <w:rFonts w:hAnsi="Calibri" w:cs="Calibri"/>
          <w:lang w:val="en-GB"/>
        </w:rPr>
        <w:t xml:space="preserve">Demonstrable technical knowledge and experiences on public health, including training, research or programmes; </w:t>
      </w:r>
    </w:p>
    <w:p w14:paraId="2E30CA18" w14:textId="77777777" w:rsidR="00655AC2" w:rsidRPr="00F138EE" w:rsidRDefault="00655AC2" w:rsidP="00655AC2">
      <w:pPr>
        <w:pStyle w:val="ListParagraph"/>
        <w:numPr>
          <w:ilvl w:val="0"/>
          <w:numId w:val="32"/>
        </w:numPr>
        <w:rPr>
          <w:rFonts w:hAnsi="Calibri" w:cs="Calibri"/>
          <w:lang w:val="en-GB"/>
        </w:rPr>
      </w:pPr>
      <w:r w:rsidRPr="00F138EE">
        <w:rPr>
          <w:rFonts w:hAnsi="Calibri" w:cs="Calibri"/>
          <w:lang w:val="en-GB"/>
        </w:rPr>
        <w:t xml:space="preserve">Familiarity with the UN, </w:t>
      </w:r>
      <w:proofErr w:type="gramStart"/>
      <w:r w:rsidRPr="00F138EE">
        <w:rPr>
          <w:rFonts w:hAnsi="Calibri" w:cs="Calibri"/>
          <w:lang w:val="en-GB"/>
        </w:rPr>
        <w:t>in particular the</w:t>
      </w:r>
      <w:proofErr w:type="gramEnd"/>
      <w:r w:rsidRPr="00F138EE">
        <w:rPr>
          <w:rFonts w:hAnsi="Calibri" w:cs="Calibri"/>
          <w:lang w:val="en-GB"/>
        </w:rPr>
        <w:t xml:space="preserve"> Human Rights Conventions and a rights-based approach to policy, country programming process and management systems;</w:t>
      </w:r>
    </w:p>
    <w:p w14:paraId="20C5BC22" w14:textId="2AAADD41" w:rsidR="00655AC2" w:rsidRDefault="00655AC2" w:rsidP="00655AC2">
      <w:pPr>
        <w:pStyle w:val="ListParagraph"/>
        <w:numPr>
          <w:ilvl w:val="0"/>
          <w:numId w:val="32"/>
        </w:numPr>
        <w:rPr>
          <w:rFonts w:hAnsi="Calibri" w:cs="Calibri"/>
          <w:lang w:val="en-GB"/>
        </w:rPr>
      </w:pPr>
      <w:r w:rsidRPr="00F138EE">
        <w:rPr>
          <w:rFonts w:hAnsi="Calibri" w:cs="Calibri"/>
          <w:lang w:val="en-GB"/>
        </w:rPr>
        <w:t>Excellent communication skills, including strong English speaking and writing skills.</w:t>
      </w:r>
    </w:p>
    <w:p w14:paraId="2FD38632" w14:textId="5CCF2DC8" w:rsidR="00915FD0" w:rsidRPr="00655AC2" w:rsidRDefault="00655AC2" w:rsidP="00655AC2">
      <w:pPr>
        <w:pStyle w:val="ListParagraph"/>
        <w:numPr>
          <w:ilvl w:val="0"/>
          <w:numId w:val="32"/>
        </w:numPr>
        <w:rPr>
          <w:rFonts w:hAnsi="Calibri" w:cs="Calibri"/>
          <w:lang w:val="en-GB"/>
        </w:rPr>
      </w:pPr>
      <w:r w:rsidRPr="00F138EE">
        <w:rPr>
          <w:rFonts w:hAnsi="Calibri" w:cs="Calibri"/>
          <w:lang w:val="en-GB"/>
        </w:rPr>
        <w:t>Ability to work effectively in a multicultural environment. Familiarity with the China context and ability to work in Mandarin and English an asset.</w:t>
      </w:r>
    </w:p>
    <w:p w14:paraId="5AD4FB0C" w14:textId="77777777" w:rsidR="006106A4" w:rsidRPr="00C54BD2" w:rsidRDefault="006106A4" w:rsidP="00950779">
      <w:pPr>
        <w:rPr>
          <w:b/>
          <w:bCs/>
          <w:szCs w:val="22"/>
        </w:rPr>
      </w:pPr>
    </w:p>
    <w:p w14:paraId="233BF74F" w14:textId="77777777" w:rsidR="00915FD0" w:rsidRPr="00C54BD2" w:rsidRDefault="00915FD0" w:rsidP="00525D52">
      <w:pPr>
        <w:pBdr>
          <w:bottom w:val="single" w:sz="12" w:space="0" w:color="auto"/>
        </w:pBdr>
        <w:rPr>
          <w:b/>
          <w:bCs/>
          <w:szCs w:val="22"/>
        </w:rPr>
      </w:pPr>
    </w:p>
    <w:p w14:paraId="16DE64C7" w14:textId="0FF967E3" w:rsidR="00C54BD2" w:rsidRDefault="00C54BD2" w:rsidP="00C54BD2">
      <w:pPr>
        <w:spacing w:line="240" w:lineRule="auto"/>
        <w:rPr>
          <w:bCs/>
          <w:szCs w:val="22"/>
        </w:rPr>
      </w:pPr>
    </w:p>
    <w:p w14:paraId="6E132A6E" w14:textId="704FBC4A" w:rsidR="00C54BD2" w:rsidRDefault="00C54BD2" w:rsidP="00C54BD2">
      <w:pPr>
        <w:spacing w:line="240" w:lineRule="auto"/>
        <w:rPr>
          <w:bCs/>
          <w:szCs w:val="22"/>
        </w:rPr>
      </w:pPr>
    </w:p>
    <w:p w14:paraId="475A686A" w14:textId="10A8BCD0" w:rsidR="00F92B44" w:rsidRPr="00C54BD2" w:rsidRDefault="00F92B44" w:rsidP="00C03F69">
      <w:pPr>
        <w:spacing w:line="240" w:lineRule="auto"/>
        <w:rPr>
          <w:szCs w:val="22"/>
        </w:rPr>
      </w:pPr>
    </w:p>
    <w:sectPr w:rsidR="00F92B44" w:rsidRPr="00C54BD2" w:rsidSect="00C54BD2">
      <w:headerReference w:type="default" r:id="rId12"/>
      <w:pgSz w:w="11901" w:h="16840"/>
      <w:pgMar w:top="1872" w:right="1440" w:bottom="153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419F84" w14:textId="77777777" w:rsidR="00796615" w:rsidRDefault="00796615">
      <w:r>
        <w:separator/>
      </w:r>
    </w:p>
  </w:endnote>
  <w:endnote w:type="continuationSeparator" w:id="0">
    <w:p w14:paraId="75FF2D05" w14:textId="77777777" w:rsidR="00796615" w:rsidRDefault="00796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oolBoran">
    <w:charset w:val="00"/>
    <w:family w:val="swiss"/>
    <w:pitch w:val="variable"/>
    <w:sig w:usb0="80000003" w:usb1="00000000" w:usb2="00010000" w:usb3="00000000" w:csb0="00000001" w:csb1="00000000"/>
  </w:font>
  <w:font w:name="DaunPenh">
    <w:charset w:val="00"/>
    <w:family w:val="auto"/>
    <w:pitch w:val="variable"/>
    <w:sig w:usb0="80000003" w:usb1="00000000" w:usb2="0001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50A129" w14:textId="77777777" w:rsidR="00796615" w:rsidRDefault="00796615">
      <w:r>
        <w:separator/>
      </w:r>
    </w:p>
  </w:footnote>
  <w:footnote w:type="continuationSeparator" w:id="0">
    <w:p w14:paraId="1B557A5A" w14:textId="77777777" w:rsidR="00796615" w:rsidRDefault="00796615">
      <w:r>
        <w:continuationSeparator/>
      </w:r>
    </w:p>
  </w:footnote>
  <w:footnote w:id="1">
    <w:p w14:paraId="6E2B73EC" w14:textId="77777777" w:rsidR="00F803B7" w:rsidRPr="00312F91" w:rsidRDefault="00F803B7" w:rsidP="00F803B7">
      <w:pPr>
        <w:pStyle w:val="FootnoteText"/>
        <w:rPr>
          <w:rFonts w:eastAsia="宋体"/>
          <w:lang w:eastAsia="zh-CN"/>
        </w:rPr>
      </w:pPr>
      <w:r>
        <w:rPr>
          <w:rStyle w:val="FootnoteReference"/>
        </w:rPr>
        <w:footnoteRef/>
      </w:r>
      <w:r>
        <w:t xml:space="preserve"> </w:t>
      </w:r>
      <w:r>
        <w:rPr>
          <w:rFonts w:cstheme="minorHAnsi"/>
          <w:sz w:val="22"/>
          <w:szCs w:val="22"/>
        </w:rPr>
        <w:t>U</w:t>
      </w:r>
      <w:r w:rsidRPr="00F663BE">
        <w:rPr>
          <w:rFonts w:cstheme="minorHAnsi"/>
          <w:sz w:val="22"/>
          <w:szCs w:val="22"/>
        </w:rPr>
        <w:t xml:space="preserve">niversal </w:t>
      </w:r>
      <w:r>
        <w:rPr>
          <w:rFonts w:cstheme="minorHAnsi"/>
          <w:sz w:val="22"/>
          <w:szCs w:val="22"/>
        </w:rPr>
        <w:t>service</w:t>
      </w:r>
      <w:r w:rsidRPr="00F663BE">
        <w:rPr>
          <w:rFonts w:cstheme="minorHAnsi"/>
          <w:sz w:val="22"/>
          <w:szCs w:val="22"/>
        </w:rPr>
        <w:t>s focus on competence enhancement provided to all adolescent, including those with or without mental health or behavioural problems or other disabilities and illnesses; targeted</w:t>
      </w:r>
      <w:r>
        <w:rPr>
          <w:rFonts w:cstheme="minorHAnsi"/>
          <w:sz w:val="22"/>
          <w:szCs w:val="22"/>
        </w:rPr>
        <w:t xml:space="preserve"> service</w:t>
      </w:r>
      <w:r w:rsidRPr="00F663BE">
        <w:rPr>
          <w:rFonts w:cstheme="minorHAnsi"/>
          <w:sz w:val="22"/>
          <w:szCs w:val="22"/>
        </w:rPr>
        <w:t xml:space="preserve">s designed to support </w:t>
      </w:r>
      <w:r>
        <w:rPr>
          <w:rFonts w:cstheme="minorHAnsi"/>
          <w:sz w:val="22"/>
          <w:szCs w:val="22"/>
        </w:rPr>
        <w:t>adolescent</w:t>
      </w:r>
      <w:r w:rsidRPr="00F663BE">
        <w:rPr>
          <w:rFonts w:cstheme="minorHAnsi"/>
          <w:sz w:val="22"/>
          <w:szCs w:val="22"/>
        </w:rPr>
        <w:t xml:space="preserve"> who have learning, emotional, or life experiences that place them at risk of engaging in problematic behaviour or developing mental health challenges.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84791" w14:textId="77777777" w:rsidR="00D37651" w:rsidRDefault="00E35E6D">
    <w:r>
      <w:rPr>
        <w:noProof/>
        <w:lang w:eastAsia="en-US"/>
      </w:rPr>
      <mc:AlternateContent>
        <mc:Choice Requires="wps">
          <w:drawing>
            <wp:anchor distT="0" distB="0" distL="114300" distR="114300" simplePos="0" relativeHeight="251660288" behindDoc="0" locked="1" layoutInCell="1" allowOverlap="1" wp14:anchorId="18C36F62" wp14:editId="1C94C55D">
              <wp:simplePos x="0" y="0"/>
              <wp:positionH relativeFrom="page">
                <wp:posOffset>-64135</wp:posOffset>
              </wp:positionH>
              <wp:positionV relativeFrom="page">
                <wp:posOffset>0</wp:posOffset>
              </wp:positionV>
              <wp:extent cx="7886700" cy="1028700"/>
              <wp:effectExtent l="2540" t="0" r="0" b="0"/>
              <wp:wrapSquare wrapText="bothSides"/>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6700" cy="1028700"/>
                      </a:xfrm>
                      <a:prstGeom prst="rect">
                        <a:avLst/>
                      </a:prstGeom>
                      <a:solidFill>
                        <a:srgbClr val="0099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D1155D" w14:textId="77777777" w:rsidR="00E35E6D" w:rsidRDefault="00E35E6D" w:rsidP="00E35E6D">
                          <w:pPr>
                            <w:jc w:val="center"/>
                          </w:pPr>
                        </w:p>
                        <w:p w14:paraId="042D45C3" w14:textId="77777777" w:rsidR="00E35E6D" w:rsidRDefault="00E35E6D" w:rsidP="00E35E6D">
                          <w:pPr>
                            <w:jc w:val="center"/>
                            <w:rPr>
                              <w:noProof/>
                              <w:lang w:eastAsia="zh-CN"/>
                            </w:rPr>
                          </w:pPr>
                        </w:p>
                        <w:p w14:paraId="57DA0D6D" w14:textId="77777777" w:rsidR="00E35E6D" w:rsidRDefault="00E35E6D" w:rsidP="00E35E6D">
                          <w:pPr>
                            <w:jc w:val="center"/>
                            <w:rPr>
                              <w:noProof/>
                              <w:lang w:eastAsia="zh-CN"/>
                            </w:rPr>
                          </w:pPr>
                        </w:p>
                        <w:p w14:paraId="6341E24A" w14:textId="77777777" w:rsidR="00E35E6D" w:rsidRDefault="00E35E6D" w:rsidP="00E35E6D">
                          <w:pPr>
                            <w:jc w:val="center"/>
                          </w:pPr>
                          <w:r>
                            <w:rPr>
                              <w:noProof/>
                              <w:lang w:eastAsia="en-US"/>
                            </w:rPr>
                            <w:drawing>
                              <wp:inline distT="0" distB="0" distL="0" distR="0" wp14:anchorId="415148FC" wp14:editId="6669BFD7">
                                <wp:extent cx="6686550" cy="3810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6550" cy="3810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C36F62" id="Rectangle 21" o:spid="_x0000_s1026" style="position:absolute;margin-left:-5.05pt;margin-top:0;width:621pt;height:8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" fillcolor="#09f" stroked="f">
              <v:textbox>
                <w:txbxContent>
                  <w:p w14:paraId="24D1155D" w14:textId="77777777" w:rsidR="00E35E6D" w:rsidRDefault="00E35E6D" w:rsidP="00E35E6D">
                    <w:pPr>
                      <w:jc w:val="center"/>
                    </w:pPr>
                  </w:p>
                  <w:p w14:paraId="042D45C3" w14:textId="77777777" w:rsidR="00E35E6D" w:rsidRDefault="00E35E6D" w:rsidP="00E35E6D">
                    <w:pPr>
                      <w:jc w:val="center"/>
                      <w:rPr>
                        <w:noProof/>
                        <w:lang w:eastAsia="zh-CN"/>
                      </w:rPr>
                    </w:pPr>
                  </w:p>
                  <w:p w14:paraId="57DA0D6D" w14:textId="77777777" w:rsidR="00E35E6D" w:rsidRDefault="00E35E6D" w:rsidP="00E35E6D">
                    <w:pPr>
                      <w:jc w:val="center"/>
                      <w:rPr>
                        <w:noProof/>
                        <w:lang w:eastAsia="zh-CN"/>
                      </w:rPr>
                    </w:pPr>
                  </w:p>
                  <w:p w14:paraId="6341E24A" w14:textId="77777777" w:rsidR="00E35E6D" w:rsidRDefault="00E35E6D" w:rsidP="00E35E6D">
                    <w:pPr>
                      <w:jc w:val="center"/>
                    </w:pPr>
                    <w:r>
                      <w:rPr>
                        <w:noProof/>
                        <w:lang w:eastAsia="en-US"/>
                      </w:rPr>
                      <w:drawing>
                        <wp:inline distT="0" distB="0" distL="0" distR="0" wp14:anchorId="415148FC" wp14:editId="6669BFD7">
                          <wp:extent cx="6686550" cy="3810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86550" cy="381000"/>
                                  </a:xfrm>
                                  <a:prstGeom prst="rect">
                                    <a:avLst/>
                                  </a:prstGeom>
                                  <a:noFill/>
                                  <a:ln>
                                    <a:noFill/>
                                  </a:ln>
                                </pic:spPr>
                              </pic:pic>
                            </a:graphicData>
                          </a:graphic>
                        </wp:inline>
                      </w:drawing>
                    </w:r>
                  </w:p>
                </w:txbxContent>
              </v:textbox>
              <w10:wrap type="square" anchorx="page" anchory="page"/>
              <w10:anchorlock/>
            </v:rect>
          </w:pict>
        </mc:Fallback>
      </mc:AlternateContent>
    </w:r>
    <w:r w:rsidR="00E10E5E">
      <w:rPr>
        <w:noProof/>
        <w:lang w:eastAsia="en-US"/>
      </w:rPr>
      <mc:AlternateContent>
        <mc:Choice Requires="wps">
          <w:drawing>
            <wp:anchor distT="0" distB="0" distL="114300" distR="114300" simplePos="0" relativeHeight="251659264" behindDoc="0" locked="1" layoutInCell="1" allowOverlap="1" wp14:anchorId="1264548F" wp14:editId="2E0CA846">
              <wp:simplePos x="0" y="0"/>
              <wp:positionH relativeFrom="column">
                <wp:posOffset>-97155</wp:posOffset>
              </wp:positionH>
              <wp:positionV relativeFrom="page">
                <wp:posOffset>1440180</wp:posOffset>
              </wp:positionV>
              <wp:extent cx="2743200" cy="4572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0D1C7" w14:textId="77777777" w:rsidR="00D37651" w:rsidRPr="00D23061" w:rsidRDefault="00D37651" w:rsidP="00D23061">
                          <w:pPr>
                            <w:pStyle w:val="Heading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64548F" id="_x0000_t202" coordsize="21600,21600" o:spt="202" path="m,l,21600r21600,l21600,xe">
              <v:stroke joinstyle="miter"/>
              <v:path gradientshapeok="t" o:connecttype="rect"/>
            </v:shapetype>
            <v:shape id="Text Box 4" o:spid="_x0000_s1027" type="#_x0000_t202" style="position:absolute;margin-left:-7.65pt;margin-top:113.4pt;width:3in;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" filled="f" stroked="f">
              <v:textbox>
                <w:txbxContent>
                  <w:p w14:paraId="3630D1C7" w14:textId="77777777" w:rsidR="00D37651" w:rsidRPr="00D23061" w:rsidRDefault="00D37651" w:rsidP="00D23061">
                    <w:pPr>
                      <w:pStyle w:val="Heading3"/>
                    </w:pPr>
                  </w:p>
                </w:txbxContent>
              </v:textbox>
              <w10:wrap anchory="page"/>
              <w10:anchorlock/>
            </v:shape>
          </w:pict>
        </mc:Fallback>
      </mc:AlternateContent>
    </w:r>
    <w:r w:rsidR="00E10E5E">
      <w:rPr>
        <w:noProof/>
        <w:lang w:eastAsia="en-US"/>
      </w:rPr>
      <mc:AlternateContent>
        <mc:Choice Requires="wps">
          <w:drawing>
            <wp:anchor distT="0" distB="0" distL="114300" distR="114300" simplePos="0" relativeHeight="251657216" behindDoc="0" locked="1" layoutInCell="1" allowOverlap="1" wp14:anchorId="36A0535B" wp14:editId="3FAAA04D">
              <wp:simplePos x="0" y="0"/>
              <wp:positionH relativeFrom="column">
                <wp:posOffset>-50165</wp:posOffset>
              </wp:positionH>
              <wp:positionV relativeFrom="page">
                <wp:posOffset>446405</wp:posOffset>
              </wp:positionV>
              <wp:extent cx="6598920" cy="45339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8920" cy="453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2605BF" w14:textId="77777777" w:rsidR="00D37651" w:rsidRDefault="00E10E5E">
                          <w:pPr>
                            <w:spacing w:line="240" w:lineRule="auto"/>
                          </w:pPr>
                          <w:r>
                            <w:rPr>
                              <w:noProof/>
                              <w:lang w:eastAsia="en-US"/>
                            </w:rPr>
                            <w:drawing>
                              <wp:inline distT="0" distB="0" distL="0" distR="0" wp14:anchorId="01F18236" wp14:editId="291D02B2">
                                <wp:extent cx="6507480" cy="373380"/>
                                <wp:effectExtent l="0" t="0" r="7620" b="7620"/>
                                <wp:docPr id="22" name="Picture 1" descr="a4logo_tagline_eng_w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logo_tagline_eng_wh"/>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507480" cy="373380"/>
                                        </a:xfrm>
                                        <a:prstGeom prst="rect">
                                          <a:avLst/>
                                        </a:prstGeom>
                                        <a:noFill/>
                                        <a:ln>
                                          <a:noFill/>
                                        </a:ln>
                                      </pic:spPr>
                                    </pic:pic>
                                  </a:graphicData>
                                </a:graphic>
                              </wp:inline>
                            </w:drawing>
                          </w:r>
                        </w:p>
                      </w:txbxContent>
                    </wps:txbx>
                    <wps:bodyPr rot="0" vert="horz" wrap="square" lIns="45720" tIns="349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A0535B" id="Text Box 2" o:spid="_x0000_s1028" type="#_x0000_t202" style="position:absolute;margin-left:-3.95pt;margin-top:35.15pt;width:519.6pt;height:35.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" filled="f" stroked="f">
              <v:textbox inset="3.6pt,.97mm,0">
                <w:txbxContent>
                  <w:p w14:paraId="542605BF" w14:textId="77777777" w:rsidR="00D37651" w:rsidRDefault="00E10E5E">
                    <w:pPr>
                      <w:spacing w:line="240" w:lineRule="auto"/>
                    </w:pPr>
                    <w:r>
                      <w:rPr>
                        <w:noProof/>
                        <w:lang w:eastAsia="en-US"/>
                      </w:rPr>
                      <w:drawing>
                        <wp:inline distT="0" distB="0" distL="0" distR="0" wp14:anchorId="01F18236" wp14:editId="291D02B2">
                          <wp:extent cx="6507480" cy="373380"/>
                          <wp:effectExtent l="0" t="0" r="7620" b="7620"/>
                          <wp:docPr id="22" name="Picture 1" descr="a4logo_tagline_eng_w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logo_tagline_eng_wh"/>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507480" cy="373380"/>
                                  </a:xfrm>
                                  <a:prstGeom prst="rect">
                                    <a:avLst/>
                                  </a:prstGeom>
                                  <a:noFill/>
                                  <a:ln>
                                    <a:noFill/>
                                  </a:ln>
                                </pic:spPr>
                              </pic:pic>
                            </a:graphicData>
                          </a:graphic>
                        </wp:inline>
                      </w:drawing>
                    </w:r>
                  </w:p>
                </w:txbxContent>
              </v:textbox>
              <w10:wrap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5"/>
    <w:lvl w:ilvl="0">
      <w:start w:val="1"/>
      <w:numFmt w:val="decimal"/>
      <w:lvlText w:val="%1."/>
      <w:lvlJc w:val="left"/>
      <w:pPr>
        <w:tabs>
          <w:tab w:val="num" w:pos="720"/>
        </w:tabs>
        <w:ind w:left="720" w:hanging="360"/>
      </w:pPr>
    </w:lvl>
  </w:abstractNum>
  <w:abstractNum w:abstractNumId="1" w15:restartNumberingAfterBreak="0">
    <w:nsid w:val="02E65E9B"/>
    <w:multiLevelType w:val="singleLevel"/>
    <w:tmpl w:val="0409000F"/>
    <w:lvl w:ilvl="0">
      <w:start w:val="7"/>
      <w:numFmt w:val="decimal"/>
      <w:lvlText w:val="%1."/>
      <w:lvlJc w:val="left"/>
      <w:pPr>
        <w:tabs>
          <w:tab w:val="num" w:pos="360"/>
        </w:tabs>
        <w:ind w:left="360" w:hanging="360"/>
      </w:pPr>
      <w:rPr>
        <w:rFonts w:hint="default"/>
      </w:rPr>
    </w:lvl>
  </w:abstractNum>
  <w:abstractNum w:abstractNumId="2" w15:restartNumberingAfterBreak="0">
    <w:nsid w:val="0AC71AB9"/>
    <w:multiLevelType w:val="singleLevel"/>
    <w:tmpl w:val="DCD0B9D8"/>
    <w:lvl w:ilvl="0">
      <w:start w:val="1"/>
      <w:numFmt w:val="decimal"/>
      <w:lvlText w:val="%1."/>
      <w:lvlJc w:val="left"/>
      <w:pPr>
        <w:tabs>
          <w:tab w:val="num" w:pos="504"/>
        </w:tabs>
        <w:ind w:left="504" w:hanging="504"/>
      </w:pPr>
      <w:rPr>
        <w:b/>
        <w:i w:val="0"/>
      </w:rPr>
    </w:lvl>
  </w:abstractNum>
  <w:abstractNum w:abstractNumId="3" w15:restartNumberingAfterBreak="0">
    <w:nsid w:val="0C083D29"/>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D122EFB"/>
    <w:multiLevelType w:val="hybridMultilevel"/>
    <w:tmpl w:val="220A2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4A210A"/>
    <w:multiLevelType w:val="hybridMultilevel"/>
    <w:tmpl w:val="EEA0F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A928D9"/>
    <w:multiLevelType w:val="hybridMultilevel"/>
    <w:tmpl w:val="6C128B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D530318"/>
    <w:multiLevelType w:val="hybridMultilevel"/>
    <w:tmpl w:val="9B8824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04643F"/>
    <w:multiLevelType w:val="hybridMultilevel"/>
    <w:tmpl w:val="2CB0E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C21421"/>
    <w:multiLevelType w:val="hybridMultilevel"/>
    <w:tmpl w:val="BCF6B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1B69AA"/>
    <w:multiLevelType w:val="hybridMultilevel"/>
    <w:tmpl w:val="87625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843474"/>
    <w:multiLevelType w:val="hybridMultilevel"/>
    <w:tmpl w:val="32C06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A50817"/>
    <w:multiLevelType w:val="singleLevel"/>
    <w:tmpl w:val="08090001"/>
    <w:lvl w:ilvl="0">
      <w:start w:val="1"/>
      <w:numFmt w:val="bullet"/>
      <w:lvlText w:val=""/>
      <w:lvlJc w:val="left"/>
      <w:pPr>
        <w:tabs>
          <w:tab w:val="num" w:pos="810"/>
        </w:tabs>
        <w:ind w:left="810" w:hanging="360"/>
      </w:pPr>
      <w:rPr>
        <w:rFonts w:ascii="Symbol" w:hAnsi="Symbol" w:hint="default"/>
      </w:rPr>
    </w:lvl>
  </w:abstractNum>
  <w:abstractNum w:abstractNumId="13" w15:restartNumberingAfterBreak="0">
    <w:nsid w:val="433D4E46"/>
    <w:multiLevelType w:val="hybridMultilevel"/>
    <w:tmpl w:val="1E342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C52D49"/>
    <w:multiLevelType w:val="singleLevel"/>
    <w:tmpl w:val="C0D09AD0"/>
    <w:lvl w:ilvl="0">
      <w:start w:val="1"/>
      <w:numFmt w:val="decimal"/>
      <w:lvlText w:val="%1."/>
      <w:lvlJc w:val="left"/>
      <w:pPr>
        <w:tabs>
          <w:tab w:val="num" w:pos="360"/>
        </w:tabs>
        <w:ind w:left="360" w:hanging="360"/>
      </w:pPr>
      <w:rPr>
        <w:b/>
        <w:i w:val="0"/>
      </w:rPr>
    </w:lvl>
  </w:abstractNum>
  <w:abstractNum w:abstractNumId="15" w15:restartNumberingAfterBreak="0">
    <w:nsid w:val="4FF358EF"/>
    <w:multiLevelType w:val="hybridMultilevel"/>
    <w:tmpl w:val="05BE90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AC1D79"/>
    <w:multiLevelType w:val="hybridMultilevel"/>
    <w:tmpl w:val="CFAA6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5F60F0"/>
    <w:multiLevelType w:val="hybridMultilevel"/>
    <w:tmpl w:val="49F2559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1696EA7"/>
    <w:multiLevelType w:val="hybridMultilevel"/>
    <w:tmpl w:val="DA349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464928"/>
    <w:multiLevelType w:val="hybridMultilevel"/>
    <w:tmpl w:val="315CE85E"/>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DB1BDF"/>
    <w:multiLevelType w:val="singleLevel"/>
    <w:tmpl w:val="CB729098"/>
    <w:lvl w:ilvl="0">
      <w:start w:val="7"/>
      <w:numFmt w:val="decimal"/>
      <w:lvlText w:val="%1."/>
      <w:lvlJc w:val="left"/>
      <w:pPr>
        <w:tabs>
          <w:tab w:val="num" w:pos="504"/>
        </w:tabs>
        <w:ind w:left="504" w:hanging="504"/>
      </w:pPr>
      <w:rPr>
        <w:b/>
        <w:i w:val="0"/>
      </w:rPr>
    </w:lvl>
  </w:abstractNum>
  <w:abstractNum w:abstractNumId="21" w15:restartNumberingAfterBreak="0">
    <w:nsid w:val="5B5B753B"/>
    <w:multiLevelType w:val="hybridMultilevel"/>
    <w:tmpl w:val="F0742CD6"/>
    <w:lvl w:ilvl="0" w:tplc="3E8AA3C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984C59"/>
    <w:multiLevelType w:val="hybridMultilevel"/>
    <w:tmpl w:val="A03C9012"/>
    <w:lvl w:ilvl="0" w:tplc="7108DEF2">
      <w:numFmt w:val="bullet"/>
      <w:lvlText w:val=""/>
      <w:lvlJc w:val="left"/>
      <w:pPr>
        <w:ind w:left="720" w:hanging="360"/>
      </w:pPr>
      <w:rPr>
        <w:rFonts w:ascii="Symbol" w:eastAsia="Times New Roman"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D66210"/>
    <w:multiLevelType w:val="hybridMultilevel"/>
    <w:tmpl w:val="7D1628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1834DB"/>
    <w:multiLevelType w:val="hybridMultilevel"/>
    <w:tmpl w:val="09788A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E4E7423"/>
    <w:multiLevelType w:val="hybridMultilevel"/>
    <w:tmpl w:val="195E8A2C"/>
    <w:lvl w:ilvl="0" w:tplc="43C8B952">
      <w:start w:val="5"/>
      <w:numFmt w:val="bullet"/>
      <w:lvlText w:val="-"/>
      <w:lvlJc w:val="left"/>
      <w:pPr>
        <w:ind w:left="720" w:hanging="360"/>
      </w:pPr>
      <w:rPr>
        <w:rFonts w:ascii="Arial" w:eastAsia="Time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D74940"/>
    <w:multiLevelType w:val="hybridMultilevel"/>
    <w:tmpl w:val="CC94C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586F6C"/>
    <w:multiLevelType w:val="hybridMultilevel"/>
    <w:tmpl w:val="90245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C37B42"/>
    <w:multiLevelType w:val="hybridMultilevel"/>
    <w:tmpl w:val="CD18A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7D5B6F"/>
    <w:multiLevelType w:val="hybridMultilevel"/>
    <w:tmpl w:val="09FA3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5469FA"/>
    <w:multiLevelType w:val="hybridMultilevel"/>
    <w:tmpl w:val="BEF425DE"/>
    <w:lvl w:ilvl="0" w:tplc="EFFE7116">
      <w:start w:val="1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4"/>
  </w:num>
  <w:num w:numId="2">
    <w:abstractNumId w:val="22"/>
  </w:num>
  <w:num w:numId="3">
    <w:abstractNumId w:val="9"/>
  </w:num>
  <w:num w:numId="4">
    <w:abstractNumId w:val="2"/>
  </w:num>
  <w:num w:numId="5">
    <w:abstractNumId w:val="3"/>
  </w:num>
  <w:num w:numId="6">
    <w:abstractNumId w:val="20"/>
  </w:num>
  <w:num w:numId="7">
    <w:abstractNumId w:val="4"/>
  </w:num>
  <w:num w:numId="8">
    <w:abstractNumId w:val="8"/>
  </w:num>
  <w:num w:numId="9">
    <w:abstractNumId w:val="7"/>
  </w:num>
  <w:num w:numId="10">
    <w:abstractNumId w:val="27"/>
  </w:num>
  <w:num w:numId="11">
    <w:abstractNumId w:val="26"/>
  </w:num>
  <w:num w:numId="12">
    <w:abstractNumId w:val="23"/>
  </w:num>
  <w:num w:numId="13">
    <w:abstractNumId w:val="13"/>
  </w:num>
  <w:num w:numId="14">
    <w:abstractNumId w:val="14"/>
  </w:num>
  <w:num w:numId="15">
    <w:abstractNumId w:val="12"/>
  </w:num>
  <w:num w:numId="16">
    <w:abstractNumId w:val="5"/>
  </w:num>
  <w:num w:numId="17">
    <w:abstractNumId w:val="14"/>
    <w:lvlOverride w:ilvl="0">
      <w:startOverride w:val="1"/>
    </w:lvlOverride>
  </w:num>
  <w:num w:numId="18">
    <w:abstractNumId w:val="11"/>
  </w:num>
  <w:num w:numId="19">
    <w:abstractNumId w:val="1"/>
  </w:num>
  <w:num w:numId="20">
    <w:abstractNumId w:val="0"/>
  </w:num>
  <w:num w:numId="21">
    <w:abstractNumId w:val="6"/>
  </w:num>
  <w:num w:numId="22">
    <w:abstractNumId w:val="19"/>
  </w:num>
  <w:num w:numId="23">
    <w:abstractNumId w:val="25"/>
  </w:num>
  <w:num w:numId="24">
    <w:abstractNumId w:val="15"/>
  </w:num>
  <w:num w:numId="25">
    <w:abstractNumId w:val="17"/>
  </w:num>
  <w:num w:numId="26">
    <w:abstractNumId w:val="28"/>
  </w:num>
  <w:num w:numId="27">
    <w:abstractNumId w:val="30"/>
  </w:num>
  <w:num w:numId="28">
    <w:abstractNumId w:val="21"/>
  </w:num>
  <w:num w:numId="29">
    <w:abstractNumId w:val="16"/>
  </w:num>
  <w:num w:numId="30">
    <w:abstractNumId w:val="29"/>
  </w:num>
  <w:num w:numId="31">
    <w:abstractNumId w:val="18"/>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4097">
      <o:colormru v:ext="edit" colors="#0099fe,aqua"/>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tDAyNLU0N7awMDKxMLVQ0lEKTi0uzszPAykwrAUAndxntywAAAA="/>
  </w:docVars>
  <w:rsids>
    <w:rsidRoot w:val="002012B4"/>
    <w:rsid w:val="00004F30"/>
    <w:rsid w:val="00011E2C"/>
    <w:rsid w:val="00016759"/>
    <w:rsid w:val="00023CC0"/>
    <w:rsid w:val="00025EF2"/>
    <w:rsid w:val="00033F45"/>
    <w:rsid w:val="00044478"/>
    <w:rsid w:val="000460A4"/>
    <w:rsid w:val="00057E84"/>
    <w:rsid w:val="00077C00"/>
    <w:rsid w:val="00082283"/>
    <w:rsid w:val="00084562"/>
    <w:rsid w:val="000848A7"/>
    <w:rsid w:val="00085255"/>
    <w:rsid w:val="000911E6"/>
    <w:rsid w:val="00092C04"/>
    <w:rsid w:val="00093BB5"/>
    <w:rsid w:val="00094A45"/>
    <w:rsid w:val="000959D5"/>
    <w:rsid w:val="000A0D7B"/>
    <w:rsid w:val="000A5516"/>
    <w:rsid w:val="000B58E9"/>
    <w:rsid w:val="000C5E05"/>
    <w:rsid w:val="000D4583"/>
    <w:rsid w:val="000E3F8C"/>
    <w:rsid w:val="000E7269"/>
    <w:rsid w:val="000F2C95"/>
    <w:rsid w:val="000F5E39"/>
    <w:rsid w:val="00100D2F"/>
    <w:rsid w:val="00102B7F"/>
    <w:rsid w:val="00110270"/>
    <w:rsid w:val="00115607"/>
    <w:rsid w:val="00120858"/>
    <w:rsid w:val="00121A73"/>
    <w:rsid w:val="0013780F"/>
    <w:rsid w:val="001434B2"/>
    <w:rsid w:val="0015453B"/>
    <w:rsid w:val="001615B3"/>
    <w:rsid w:val="00173100"/>
    <w:rsid w:val="001751F8"/>
    <w:rsid w:val="00195F36"/>
    <w:rsid w:val="001A2A4F"/>
    <w:rsid w:val="001A2A88"/>
    <w:rsid w:val="001A2E31"/>
    <w:rsid w:val="001A6635"/>
    <w:rsid w:val="001A74AB"/>
    <w:rsid w:val="001C23A9"/>
    <w:rsid w:val="001C4370"/>
    <w:rsid w:val="001C4776"/>
    <w:rsid w:val="001D16FC"/>
    <w:rsid w:val="001D3782"/>
    <w:rsid w:val="001D701E"/>
    <w:rsid w:val="002012B4"/>
    <w:rsid w:val="00202FA0"/>
    <w:rsid w:val="00203417"/>
    <w:rsid w:val="0020539A"/>
    <w:rsid w:val="002061CC"/>
    <w:rsid w:val="00207649"/>
    <w:rsid w:val="002133C1"/>
    <w:rsid w:val="00213F67"/>
    <w:rsid w:val="00227161"/>
    <w:rsid w:val="00235DA6"/>
    <w:rsid w:val="00243AA2"/>
    <w:rsid w:val="00244527"/>
    <w:rsid w:val="00246E0C"/>
    <w:rsid w:val="00250611"/>
    <w:rsid w:val="0025102A"/>
    <w:rsid w:val="00260FF0"/>
    <w:rsid w:val="002705D8"/>
    <w:rsid w:val="0028275C"/>
    <w:rsid w:val="00284E1B"/>
    <w:rsid w:val="00292CB4"/>
    <w:rsid w:val="002B639C"/>
    <w:rsid w:val="002B6B27"/>
    <w:rsid w:val="002C0C90"/>
    <w:rsid w:val="002D020A"/>
    <w:rsid w:val="002D117A"/>
    <w:rsid w:val="002D72F0"/>
    <w:rsid w:val="002F3336"/>
    <w:rsid w:val="00300401"/>
    <w:rsid w:val="0031237D"/>
    <w:rsid w:val="00316839"/>
    <w:rsid w:val="00316D95"/>
    <w:rsid w:val="003259A2"/>
    <w:rsid w:val="00326F78"/>
    <w:rsid w:val="00327910"/>
    <w:rsid w:val="00333535"/>
    <w:rsid w:val="0034015F"/>
    <w:rsid w:val="0034631F"/>
    <w:rsid w:val="003526EC"/>
    <w:rsid w:val="0035324A"/>
    <w:rsid w:val="00353927"/>
    <w:rsid w:val="00356B23"/>
    <w:rsid w:val="00360A35"/>
    <w:rsid w:val="00362880"/>
    <w:rsid w:val="00363A98"/>
    <w:rsid w:val="00367AA7"/>
    <w:rsid w:val="0038027D"/>
    <w:rsid w:val="00383692"/>
    <w:rsid w:val="003965FC"/>
    <w:rsid w:val="003A16D3"/>
    <w:rsid w:val="003A45D8"/>
    <w:rsid w:val="003A6866"/>
    <w:rsid w:val="003B640D"/>
    <w:rsid w:val="003C2E47"/>
    <w:rsid w:val="003C43C3"/>
    <w:rsid w:val="003C77F7"/>
    <w:rsid w:val="003C7A1F"/>
    <w:rsid w:val="003C7A5E"/>
    <w:rsid w:val="003D144F"/>
    <w:rsid w:val="003D7DBF"/>
    <w:rsid w:val="003F4C00"/>
    <w:rsid w:val="00400560"/>
    <w:rsid w:val="0040175B"/>
    <w:rsid w:val="00403374"/>
    <w:rsid w:val="0041043C"/>
    <w:rsid w:val="00413070"/>
    <w:rsid w:val="00426635"/>
    <w:rsid w:val="004276E1"/>
    <w:rsid w:val="004377B5"/>
    <w:rsid w:val="00456854"/>
    <w:rsid w:val="0046076F"/>
    <w:rsid w:val="004669B7"/>
    <w:rsid w:val="00480114"/>
    <w:rsid w:val="00480D86"/>
    <w:rsid w:val="0049191B"/>
    <w:rsid w:val="00497801"/>
    <w:rsid w:val="004A6B74"/>
    <w:rsid w:val="004B457A"/>
    <w:rsid w:val="004C2AA6"/>
    <w:rsid w:val="004C2F2B"/>
    <w:rsid w:val="004C57E6"/>
    <w:rsid w:val="004C7DB7"/>
    <w:rsid w:val="004D04F9"/>
    <w:rsid w:val="004D1098"/>
    <w:rsid w:val="004D4493"/>
    <w:rsid w:val="004E3D3A"/>
    <w:rsid w:val="004E4FE5"/>
    <w:rsid w:val="004F5A32"/>
    <w:rsid w:val="00511893"/>
    <w:rsid w:val="00522568"/>
    <w:rsid w:val="00522735"/>
    <w:rsid w:val="00525D52"/>
    <w:rsid w:val="00546127"/>
    <w:rsid w:val="005543F6"/>
    <w:rsid w:val="0055580E"/>
    <w:rsid w:val="00562B3C"/>
    <w:rsid w:val="00564A83"/>
    <w:rsid w:val="00566AFA"/>
    <w:rsid w:val="005773BE"/>
    <w:rsid w:val="005810AD"/>
    <w:rsid w:val="005831E9"/>
    <w:rsid w:val="00583D19"/>
    <w:rsid w:val="00586527"/>
    <w:rsid w:val="005A39E0"/>
    <w:rsid w:val="005A4231"/>
    <w:rsid w:val="005B56FB"/>
    <w:rsid w:val="005C4562"/>
    <w:rsid w:val="005C67AC"/>
    <w:rsid w:val="005D40C7"/>
    <w:rsid w:val="005D5E86"/>
    <w:rsid w:val="005E58CB"/>
    <w:rsid w:val="0060311B"/>
    <w:rsid w:val="00607263"/>
    <w:rsid w:val="006106A4"/>
    <w:rsid w:val="00615839"/>
    <w:rsid w:val="006164DB"/>
    <w:rsid w:val="0063233E"/>
    <w:rsid w:val="006415D0"/>
    <w:rsid w:val="00653AB3"/>
    <w:rsid w:val="00655AC2"/>
    <w:rsid w:val="00663C83"/>
    <w:rsid w:val="006676BE"/>
    <w:rsid w:val="006862CE"/>
    <w:rsid w:val="00690C7F"/>
    <w:rsid w:val="00696892"/>
    <w:rsid w:val="006A0829"/>
    <w:rsid w:val="006A2E13"/>
    <w:rsid w:val="006A4D56"/>
    <w:rsid w:val="006B7986"/>
    <w:rsid w:val="006C3864"/>
    <w:rsid w:val="006D2B56"/>
    <w:rsid w:val="006D47A7"/>
    <w:rsid w:val="006D77C7"/>
    <w:rsid w:val="006F25C4"/>
    <w:rsid w:val="00703018"/>
    <w:rsid w:val="007104FD"/>
    <w:rsid w:val="00711FB2"/>
    <w:rsid w:val="00720559"/>
    <w:rsid w:val="0074091C"/>
    <w:rsid w:val="00745DC2"/>
    <w:rsid w:val="0075323D"/>
    <w:rsid w:val="0075566E"/>
    <w:rsid w:val="00777A88"/>
    <w:rsid w:val="007827FB"/>
    <w:rsid w:val="00782BF4"/>
    <w:rsid w:val="00796615"/>
    <w:rsid w:val="007A1545"/>
    <w:rsid w:val="007A42B5"/>
    <w:rsid w:val="007B0D62"/>
    <w:rsid w:val="007B1474"/>
    <w:rsid w:val="007B6F53"/>
    <w:rsid w:val="007D0B18"/>
    <w:rsid w:val="007D1693"/>
    <w:rsid w:val="007D1F49"/>
    <w:rsid w:val="007E3970"/>
    <w:rsid w:val="007E3F97"/>
    <w:rsid w:val="007F524D"/>
    <w:rsid w:val="00801D5F"/>
    <w:rsid w:val="008122F3"/>
    <w:rsid w:val="00814127"/>
    <w:rsid w:val="00814ED5"/>
    <w:rsid w:val="008208B2"/>
    <w:rsid w:val="00823207"/>
    <w:rsid w:val="00824A11"/>
    <w:rsid w:val="00825F5C"/>
    <w:rsid w:val="00835B55"/>
    <w:rsid w:val="00841DD2"/>
    <w:rsid w:val="0084306A"/>
    <w:rsid w:val="00850B40"/>
    <w:rsid w:val="008510AA"/>
    <w:rsid w:val="00861DC9"/>
    <w:rsid w:val="00861F66"/>
    <w:rsid w:val="00863224"/>
    <w:rsid w:val="008632F4"/>
    <w:rsid w:val="00871160"/>
    <w:rsid w:val="00877A2A"/>
    <w:rsid w:val="00882896"/>
    <w:rsid w:val="0088642F"/>
    <w:rsid w:val="00897192"/>
    <w:rsid w:val="0089727A"/>
    <w:rsid w:val="008B1C39"/>
    <w:rsid w:val="008B3364"/>
    <w:rsid w:val="008B3A55"/>
    <w:rsid w:val="008C34A8"/>
    <w:rsid w:val="008D6068"/>
    <w:rsid w:val="008E39DB"/>
    <w:rsid w:val="008E7369"/>
    <w:rsid w:val="008F4849"/>
    <w:rsid w:val="00907688"/>
    <w:rsid w:val="00907D46"/>
    <w:rsid w:val="00910C48"/>
    <w:rsid w:val="009143F3"/>
    <w:rsid w:val="00915E24"/>
    <w:rsid w:val="00915FD0"/>
    <w:rsid w:val="009172CB"/>
    <w:rsid w:val="009212F9"/>
    <w:rsid w:val="009214A5"/>
    <w:rsid w:val="00925072"/>
    <w:rsid w:val="009335A0"/>
    <w:rsid w:val="00934176"/>
    <w:rsid w:val="009404F5"/>
    <w:rsid w:val="00941FB8"/>
    <w:rsid w:val="009433BF"/>
    <w:rsid w:val="0095050F"/>
    <w:rsid w:val="0095066E"/>
    <w:rsid w:val="00950779"/>
    <w:rsid w:val="00955E0B"/>
    <w:rsid w:val="009576F7"/>
    <w:rsid w:val="0098335A"/>
    <w:rsid w:val="00984EEE"/>
    <w:rsid w:val="00993AE8"/>
    <w:rsid w:val="00994EB0"/>
    <w:rsid w:val="009A2E75"/>
    <w:rsid w:val="009B657C"/>
    <w:rsid w:val="009C763C"/>
    <w:rsid w:val="009D0A11"/>
    <w:rsid w:val="009D400E"/>
    <w:rsid w:val="009D4C0D"/>
    <w:rsid w:val="009E136F"/>
    <w:rsid w:val="009F1281"/>
    <w:rsid w:val="00A00EA2"/>
    <w:rsid w:val="00A03F97"/>
    <w:rsid w:val="00A06879"/>
    <w:rsid w:val="00A11ED8"/>
    <w:rsid w:val="00A12452"/>
    <w:rsid w:val="00A1710E"/>
    <w:rsid w:val="00A172BD"/>
    <w:rsid w:val="00A24063"/>
    <w:rsid w:val="00A252F7"/>
    <w:rsid w:val="00A26B03"/>
    <w:rsid w:val="00A27D91"/>
    <w:rsid w:val="00A356F2"/>
    <w:rsid w:val="00A61597"/>
    <w:rsid w:val="00A638E7"/>
    <w:rsid w:val="00A639AC"/>
    <w:rsid w:val="00A6456B"/>
    <w:rsid w:val="00A72540"/>
    <w:rsid w:val="00A73931"/>
    <w:rsid w:val="00A75BA2"/>
    <w:rsid w:val="00A83508"/>
    <w:rsid w:val="00A9452C"/>
    <w:rsid w:val="00A94742"/>
    <w:rsid w:val="00A97776"/>
    <w:rsid w:val="00A97E72"/>
    <w:rsid w:val="00AB078F"/>
    <w:rsid w:val="00AB4B89"/>
    <w:rsid w:val="00AC4693"/>
    <w:rsid w:val="00AD25F6"/>
    <w:rsid w:val="00AD5E3F"/>
    <w:rsid w:val="00AF6D87"/>
    <w:rsid w:val="00B11101"/>
    <w:rsid w:val="00B3095E"/>
    <w:rsid w:val="00B36004"/>
    <w:rsid w:val="00B36808"/>
    <w:rsid w:val="00B41AB0"/>
    <w:rsid w:val="00B4259C"/>
    <w:rsid w:val="00B4705B"/>
    <w:rsid w:val="00B47D17"/>
    <w:rsid w:val="00B50805"/>
    <w:rsid w:val="00B66230"/>
    <w:rsid w:val="00B67D66"/>
    <w:rsid w:val="00B8500E"/>
    <w:rsid w:val="00BA001E"/>
    <w:rsid w:val="00BA65B4"/>
    <w:rsid w:val="00BA6A41"/>
    <w:rsid w:val="00BB2BCC"/>
    <w:rsid w:val="00BC313C"/>
    <w:rsid w:val="00BC3C9C"/>
    <w:rsid w:val="00BC68E7"/>
    <w:rsid w:val="00BD707C"/>
    <w:rsid w:val="00BE7B10"/>
    <w:rsid w:val="00C002F4"/>
    <w:rsid w:val="00C03F69"/>
    <w:rsid w:val="00C11525"/>
    <w:rsid w:val="00C14843"/>
    <w:rsid w:val="00C17C5F"/>
    <w:rsid w:val="00C17D15"/>
    <w:rsid w:val="00C255E7"/>
    <w:rsid w:val="00C268E6"/>
    <w:rsid w:val="00C2721A"/>
    <w:rsid w:val="00C30396"/>
    <w:rsid w:val="00C357B0"/>
    <w:rsid w:val="00C372DE"/>
    <w:rsid w:val="00C37BC3"/>
    <w:rsid w:val="00C418E6"/>
    <w:rsid w:val="00C43B5C"/>
    <w:rsid w:val="00C51C67"/>
    <w:rsid w:val="00C54BD2"/>
    <w:rsid w:val="00C565EC"/>
    <w:rsid w:val="00C72551"/>
    <w:rsid w:val="00C75175"/>
    <w:rsid w:val="00C862A1"/>
    <w:rsid w:val="00C86EE5"/>
    <w:rsid w:val="00C93FBD"/>
    <w:rsid w:val="00C978BC"/>
    <w:rsid w:val="00CA1D9E"/>
    <w:rsid w:val="00CA202E"/>
    <w:rsid w:val="00CA7306"/>
    <w:rsid w:val="00CB0DE8"/>
    <w:rsid w:val="00CB7344"/>
    <w:rsid w:val="00CC583F"/>
    <w:rsid w:val="00CD43EF"/>
    <w:rsid w:val="00CE5B08"/>
    <w:rsid w:val="00CF43A6"/>
    <w:rsid w:val="00CF47FA"/>
    <w:rsid w:val="00D119E1"/>
    <w:rsid w:val="00D14E05"/>
    <w:rsid w:val="00D23061"/>
    <w:rsid w:val="00D235F2"/>
    <w:rsid w:val="00D3306E"/>
    <w:rsid w:val="00D34339"/>
    <w:rsid w:val="00D36B79"/>
    <w:rsid w:val="00D37651"/>
    <w:rsid w:val="00D441AA"/>
    <w:rsid w:val="00D5021D"/>
    <w:rsid w:val="00D53000"/>
    <w:rsid w:val="00D6250C"/>
    <w:rsid w:val="00D67C3D"/>
    <w:rsid w:val="00D77B33"/>
    <w:rsid w:val="00D82600"/>
    <w:rsid w:val="00D83AFB"/>
    <w:rsid w:val="00D85D32"/>
    <w:rsid w:val="00D86A15"/>
    <w:rsid w:val="00D92882"/>
    <w:rsid w:val="00D936A9"/>
    <w:rsid w:val="00DA229A"/>
    <w:rsid w:val="00DA5B13"/>
    <w:rsid w:val="00DC56CF"/>
    <w:rsid w:val="00DC606E"/>
    <w:rsid w:val="00DD57B0"/>
    <w:rsid w:val="00DD7154"/>
    <w:rsid w:val="00DF3D09"/>
    <w:rsid w:val="00E00FBF"/>
    <w:rsid w:val="00E031C0"/>
    <w:rsid w:val="00E03500"/>
    <w:rsid w:val="00E103A9"/>
    <w:rsid w:val="00E10E5E"/>
    <w:rsid w:val="00E15EA4"/>
    <w:rsid w:val="00E250B3"/>
    <w:rsid w:val="00E258D1"/>
    <w:rsid w:val="00E31E86"/>
    <w:rsid w:val="00E35E6D"/>
    <w:rsid w:val="00E3670C"/>
    <w:rsid w:val="00E43576"/>
    <w:rsid w:val="00E4463D"/>
    <w:rsid w:val="00E575CC"/>
    <w:rsid w:val="00E6249D"/>
    <w:rsid w:val="00E630EA"/>
    <w:rsid w:val="00E668D5"/>
    <w:rsid w:val="00E73D1B"/>
    <w:rsid w:val="00E76A1F"/>
    <w:rsid w:val="00E82047"/>
    <w:rsid w:val="00E863B5"/>
    <w:rsid w:val="00EA6138"/>
    <w:rsid w:val="00EA7DD1"/>
    <w:rsid w:val="00EC779E"/>
    <w:rsid w:val="00EE2E7F"/>
    <w:rsid w:val="00EE4559"/>
    <w:rsid w:val="00EF2E55"/>
    <w:rsid w:val="00EF4656"/>
    <w:rsid w:val="00F0246F"/>
    <w:rsid w:val="00F0751F"/>
    <w:rsid w:val="00F134C4"/>
    <w:rsid w:val="00F14D82"/>
    <w:rsid w:val="00F15100"/>
    <w:rsid w:val="00F2044C"/>
    <w:rsid w:val="00F24775"/>
    <w:rsid w:val="00F416B8"/>
    <w:rsid w:val="00F45429"/>
    <w:rsid w:val="00F51CB2"/>
    <w:rsid w:val="00F803B7"/>
    <w:rsid w:val="00F813E8"/>
    <w:rsid w:val="00F90399"/>
    <w:rsid w:val="00F92B44"/>
    <w:rsid w:val="00FB4351"/>
    <w:rsid w:val="00FD12AF"/>
    <w:rsid w:val="00FD1A04"/>
    <w:rsid w:val="00FD3BE0"/>
    <w:rsid w:val="00FD6F32"/>
    <w:rsid w:val="00FD7851"/>
    <w:rsid w:val="00FD7F4E"/>
    <w:rsid w:val="00FE44BE"/>
    <w:rsid w:val="00FE587D"/>
    <w:rsid w:val="02134C34"/>
    <w:rsid w:val="0A38CA6B"/>
    <w:rsid w:val="1050A58D"/>
    <w:rsid w:val="10E21215"/>
    <w:rsid w:val="1170C271"/>
    <w:rsid w:val="167253D4"/>
    <w:rsid w:val="20C0B856"/>
    <w:rsid w:val="2324A95D"/>
    <w:rsid w:val="2F3373D4"/>
    <w:rsid w:val="70FC7D3F"/>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0099fe,aqua"/>
    </o:shapedefaults>
    <o:shapelayout v:ext="edit">
      <o:idmap v:ext="edit" data="1"/>
    </o:shapelayout>
  </w:shapeDefaults>
  <w:decimalSymbol w:val="."/>
  <w:listSeparator w:val=","/>
  <w14:docId w14:val="067B1F39"/>
  <w15:chartTrackingRefBased/>
  <w15:docId w15:val="{7CB4748B-1179-4084-A422-4A611B4EA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宋体" w:hAnsi="Times" w:cs="Times New Roman"/>
        <w:lang w:val="en-US" w:eastAsia="en-US" w:bidi="km-KH"/>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Body Text" w:uiPriority="99"/>
    <w:lsdException w:name="Subtitle" w:qFormat="1"/>
    <w:lsdException w:name="Strong" w:qFormat="1"/>
    <w:lsdException w:name="Emphasis" w:qFormat="1"/>
    <w:lsdException w:name="Normal (Web)" w:uiPriority="99"/>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line="260" w:lineRule="exact"/>
    </w:pPr>
    <w:rPr>
      <w:rFonts w:ascii="Times New Roman" w:hAnsi="Times New Roman"/>
      <w:color w:val="000000"/>
      <w:sz w:val="22"/>
      <w:lang w:eastAsia="en-GB" w:bidi="ar-SA"/>
    </w:rPr>
  </w:style>
  <w:style w:type="paragraph" w:styleId="Heading1">
    <w:name w:val="heading 1"/>
    <w:basedOn w:val="Heading2"/>
    <w:next w:val="Normal"/>
    <w:qFormat/>
    <w:rsid w:val="00D23061"/>
    <w:pPr>
      <w:outlineLvl w:val="0"/>
    </w:pPr>
    <w:rPr>
      <w:color w:val="000000"/>
    </w:rPr>
  </w:style>
  <w:style w:type="paragraph" w:styleId="Heading2">
    <w:name w:val="heading 2"/>
    <w:basedOn w:val="Normal"/>
    <w:next w:val="Normal"/>
    <w:qFormat/>
    <w:rsid w:val="00D23061"/>
    <w:pPr>
      <w:keepNext/>
      <w:tabs>
        <w:tab w:val="left" w:pos="990"/>
      </w:tabs>
      <w:spacing w:line="240" w:lineRule="auto"/>
      <w:ind w:left="907" w:hanging="907"/>
      <w:outlineLvl w:val="1"/>
    </w:pPr>
    <w:rPr>
      <w:rFonts w:ascii="Arial" w:hAnsi="Arial"/>
      <w:b/>
      <w:caps/>
      <w:color w:val="0099FF"/>
      <w:spacing w:val="-2"/>
      <w:sz w:val="36"/>
      <w:szCs w:val="36"/>
    </w:rPr>
  </w:style>
  <w:style w:type="paragraph" w:styleId="Heading3">
    <w:name w:val="heading 3"/>
    <w:basedOn w:val="Heading2"/>
    <w:next w:val="Normal"/>
    <w:qFormat/>
    <w:rsid w:val="00D23061"/>
    <w:pPr>
      <w:outlineLvl w:val="2"/>
    </w:pPr>
  </w:style>
  <w:style w:type="paragraph" w:styleId="Heading4">
    <w:name w:val="heading 4"/>
    <w:basedOn w:val="Normal"/>
    <w:next w:val="Normal"/>
    <w:link w:val="Heading4Char"/>
    <w:semiHidden/>
    <w:unhideWhenUsed/>
    <w:qFormat/>
    <w:rsid w:val="00F92B44"/>
    <w:pPr>
      <w:keepNext/>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unhideWhenUsed/>
    <w:qFormat/>
    <w:rsid w:val="00F92B44"/>
    <w:pPr>
      <w:spacing w:before="240" w:after="60"/>
      <w:outlineLvl w:val="4"/>
    </w:pPr>
    <w:rPr>
      <w:rFonts w:ascii="Calibri" w:eastAsia="Times New Roman"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23061"/>
    <w:pPr>
      <w:tabs>
        <w:tab w:val="center" w:pos="4320"/>
        <w:tab w:val="right" w:pos="8640"/>
      </w:tabs>
    </w:pPr>
  </w:style>
  <w:style w:type="paragraph" w:styleId="Footer">
    <w:name w:val="footer"/>
    <w:basedOn w:val="Normal"/>
    <w:rsid w:val="00D23061"/>
    <w:pPr>
      <w:tabs>
        <w:tab w:val="center" w:pos="4320"/>
        <w:tab w:val="right" w:pos="8640"/>
      </w:tabs>
    </w:pPr>
  </w:style>
  <w:style w:type="character" w:styleId="Hyperlink">
    <w:name w:val="Hyperlink"/>
    <w:rsid w:val="00DD7154"/>
    <w:rPr>
      <w:color w:val="0000FF"/>
      <w:u w:val="single"/>
    </w:rPr>
  </w:style>
  <w:style w:type="character" w:styleId="Strong">
    <w:name w:val="Strong"/>
    <w:qFormat/>
    <w:rsid w:val="000A0D7B"/>
    <w:rPr>
      <w:b/>
      <w:bCs/>
    </w:rPr>
  </w:style>
  <w:style w:type="paragraph" w:styleId="NoSpacing">
    <w:name w:val="No Spacing"/>
    <w:uiPriority w:val="1"/>
    <w:qFormat/>
    <w:rsid w:val="000A0D7B"/>
    <w:rPr>
      <w:rFonts w:ascii="Times New Roman" w:eastAsia="Calibri" w:hAnsi="Times New Roman"/>
      <w:sz w:val="24"/>
      <w:szCs w:val="24"/>
      <w:lang w:val="en-GB" w:bidi="ar-SA"/>
    </w:rPr>
  </w:style>
  <w:style w:type="paragraph" w:customStyle="1" w:styleId="AddressText">
    <w:name w:val="Address Text"/>
    <w:rsid w:val="00D23061"/>
    <w:pPr>
      <w:tabs>
        <w:tab w:val="left" w:pos="2699"/>
        <w:tab w:val="left" w:pos="3975"/>
      </w:tabs>
      <w:spacing w:line="200" w:lineRule="exact"/>
    </w:pPr>
    <w:rPr>
      <w:rFonts w:ascii="Arial" w:hAnsi="Arial"/>
      <w:noProof/>
      <w:color w:val="0099FF"/>
      <w:sz w:val="16"/>
      <w:szCs w:val="16"/>
      <w:lang w:val="en-GB" w:eastAsia="en-GB" w:bidi="ar-SA"/>
    </w:rPr>
  </w:style>
  <w:style w:type="table" w:styleId="TableGrid">
    <w:name w:val="Table Grid"/>
    <w:basedOn w:val="TableNormal"/>
    <w:uiPriority w:val="59"/>
    <w:rsid w:val="00F2477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uiPriority w:val="99"/>
    <w:rsid w:val="004276E1"/>
    <w:pPr>
      <w:widowControl w:val="0"/>
      <w:spacing w:line="240" w:lineRule="auto"/>
    </w:pPr>
    <w:rPr>
      <w:rFonts w:eastAsia="Times New Roman"/>
      <w:b/>
      <w:color w:val="auto"/>
      <w:sz w:val="24"/>
      <w:lang w:eastAsia="en-US"/>
    </w:rPr>
  </w:style>
  <w:style w:type="character" w:customStyle="1" w:styleId="BodyTextChar">
    <w:name w:val="Body Text Char"/>
    <w:link w:val="BodyText"/>
    <w:uiPriority w:val="99"/>
    <w:rsid w:val="004276E1"/>
    <w:rPr>
      <w:rFonts w:ascii="Times New Roman" w:eastAsia="Times New Roman" w:hAnsi="Times New Roman"/>
      <w:b/>
      <w:sz w:val="24"/>
    </w:rPr>
  </w:style>
  <w:style w:type="paragraph" w:styleId="BalloonText">
    <w:name w:val="Balloon Text"/>
    <w:basedOn w:val="Normal"/>
    <w:link w:val="BalloonTextChar"/>
    <w:uiPriority w:val="99"/>
    <w:rsid w:val="00E258D1"/>
    <w:pPr>
      <w:spacing w:line="240" w:lineRule="auto"/>
    </w:pPr>
    <w:rPr>
      <w:rFonts w:ascii="Tahoma" w:hAnsi="Tahoma" w:cs="Tahoma"/>
      <w:sz w:val="16"/>
      <w:szCs w:val="16"/>
    </w:rPr>
  </w:style>
  <w:style w:type="character" w:customStyle="1" w:styleId="BalloonTextChar">
    <w:name w:val="Balloon Text Char"/>
    <w:link w:val="BalloonText"/>
    <w:uiPriority w:val="99"/>
    <w:rsid w:val="00E258D1"/>
    <w:rPr>
      <w:rFonts w:ascii="Tahoma" w:hAnsi="Tahoma" w:cs="Tahoma"/>
      <w:color w:val="000000"/>
      <w:sz w:val="16"/>
      <w:szCs w:val="16"/>
      <w:lang w:eastAsia="en-GB"/>
    </w:rPr>
  </w:style>
  <w:style w:type="paragraph" w:styleId="BodyText2">
    <w:name w:val="Body Text 2"/>
    <w:basedOn w:val="Normal"/>
    <w:link w:val="BodyText2Char"/>
    <w:rsid w:val="0063233E"/>
    <w:pPr>
      <w:spacing w:after="120" w:line="480" w:lineRule="auto"/>
    </w:pPr>
  </w:style>
  <w:style w:type="character" w:customStyle="1" w:styleId="BodyText2Char">
    <w:name w:val="Body Text 2 Char"/>
    <w:link w:val="BodyText2"/>
    <w:rsid w:val="0063233E"/>
    <w:rPr>
      <w:rFonts w:ascii="Times New Roman" w:hAnsi="Times New Roman"/>
      <w:color w:val="000000"/>
      <w:sz w:val="22"/>
      <w:lang w:eastAsia="en-GB"/>
    </w:rPr>
  </w:style>
  <w:style w:type="paragraph" w:styleId="BodyTextIndent">
    <w:name w:val="Body Text Indent"/>
    <w:basedOn w:val="Normal"/>
    <w:link w:val="BodyTextIndentChar"/>
    <w:rsid w:val="0063233E"/>
    <w:pPr>
      <w:spacing w:after="120"/>
      <w:ind w:left="360"/>
    </w:pPr>
  </w:style>
  <w:style w:type="character" w:customStyle="1" w:styleId="BodyTextIndentChar">
    <w:name w:val="Body Text Indent Char"/>
    <w:link w:val="BodyTextIndent"/>
    <w:rsid w:val="0063233E"/>
    <w:rPr>
      <w:rFonts w:ascii="Times New Roman" w:hAnsi="Times New Roman"/>
      <w:color w:val="000000"/>
      <w:sz w:val="22"/>
      <w:lang w:eastAsia="en-GB"/>
    </w:rPr>
  </w:style>
  <w:style w:type="paragraph" w:styleId="BodyTextIndent2">
    <w:name w:val="Body Text Indent 2"/>
    <w:basedOn w:val="Normal"/>
    <w:link w:val="BodyTextIndent2Char"/>
    <w:rsid w:val="0063233E"/>
    <w:pPr>
      <w:spacing w:after="120" w:line="480" w:lineRule="auto"/>
      <w:ind w:left="360"/>
    </w:pPr>
  </w:style>
  <w:style w:type="character" w:customStyle="1" w:styleId="BodyTextIndent2Char">
    <w:name w:val="Body Text Indent 2 Char"/>
    <w:link w:val="BodyTextIndent2"/>
    <w:rsid w:val="0063233E"/>
    <w:rPr>
      <w:rFonts w:ascii="Times New Roman" w:hAnsi="Times New Roman"/>
      <w:color w:val="000000"/>
      <w:sz w:val="22"/>
      <w:lang w:eastAsia="en-GB"/>
    </w:rPr>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
    <w:basedOn w:val="Normal"/>
    <w:link w:val="ListParagraphChar"/>
    <w:uiPriority w:val="34"/>
    <w:qFormat/>
    <w:rsid w:val="0028275C"/>
    <w:pPr>
      <w:spacing w:line="240" w:lineRule="auto"/>
      <w:ind w:left="720"/>
      <w:contextualSpacing/>
    </w:pPr>
    <w:rPr>
      <w:rFonts w:eastAsia="Times New Roman"/>
      <w:color w:val="auto"/>
      <w:sz w:val="20"/>
      <w:lang w:eastAsia="en-US"/>
    </w:rPr>
  </w:style>
  <w:style w:type="character" w:customStyle="1" w:styleId="Heading4Char">
    <w:name w:val="Heading 4 Char"/>
    <w:link w:val="Heading4"/>
    <w:semiHidden/>
    <w:rsid w:val="00F92B44"/>
    <w:rPr>
      <w:rFonts w:ascii="Calibri" w:eastAsia="Times New Roman" w:hAnsi="Calibri" w:cs="Times New Roman"/>
      <w:b/>
      <w:bCs/>
      <w:color w:val="000000"/>
      <w:sz w:val="28"/>
      <w:szCs w:val="28"/>
      <w:lang w:eastAsia="en-GB"/>
    </w:rPr>
  </w:style>
  <w:style w:type="character" w:customStyle="1" w:styleId="Heading5Char">
    <w:name w:val="Heading 5 Char"/>
    <w:link w:val="Heading5"/>
    <w:rsid w:val="00F92B44"/>
    <w:rPr>
      <w:rFonts w:ascii="Calibri" w:eastAsia="Times New Roman" w:hAnsi="Calibri" w:cs="Times New Roman"/>
      <w:b/>
      <w:bCs/>
      <w:i/>
      <w:iCs/>
      <w:color w:val="000000"/>
      <w:sz w:val="26"/>
      <w:szCs w:val="26"/>
      <w:lang w:eastAsia="en-GB"/>
    </w:rPr>
  </w:style>
  <w:style w:type="paragraph" w:styleId="BodyText3">
    <w:name w:val="Body Text 3"/>
    <w:basedOn w:val="Normal"/>
    <w:link w:val="BodyText3Char"/>
    <w:rsid w:val="00F92B44"/>
    <w:pPr>
      <w:spacing w:after="120"/>
    </w:pPr>
    <w:rPr>
      <w:sz w:val="16"/>
      <w:szCs w:val="16"/>
    </w:rPr>
  </w:style>
  <w:style w:type="character" w:customStyle="1" w:styleId="BodyText3Char">
    <w:name w:val="Body Text 3 Char"/>
    <w:link w:val="BodyText3"/>
    <w:rsid w:val="00F92B44"/>
    <w:rPr>
      <w:rFonts w:ascii="Times New Roman" w:hAnsi="Times New Roman"/>
      <w:color w:val="000000"/>
      <w:sz w:val="16"/>
      <w:szCs w:val="16"/>
      <w:lang w:eastAsia="en-GB"/>
    </w:rPr>
  </w:style>
  <w:style w:type="character" w:customStyle="1" w:styleId="FootnoteCharacters">
    <w:name w:val="Footnote Characters"/>
    <w:rsid w:val="00B11101"/>
    <w:rPr>
      <w:vertAlign w:val="superscript"/>
    </w:rPr>
  </w:style>
  <w:style w:type="paragraph" w:styleId="FootnoteText">
    <w:name w:val="footnote text"/>
    <w:basedOn w:val="Normal"/>
    <w:link w:val="FootnoteTextChar"/>
    <w:uiPriority w:val="99"/>
    <w:rsid w:val="00B11101"/>
    <w:pPr>
      <w:suppressAutoHyphens/>
      <w:spacing w:line="240" w:lineRule="auto"/>
    </w:pPr>
    <w:rPr>
      <w:rFonts w:eastAsia="Times New Roman"/>
      <w:color w:val="auto"/>
      <w:sz w:val="20"/>
      <w:lang w:val="en-GB" w:eastAsia="ar-SA"/>
    </w:rPr>
  </w:style>
  <w:style w:type="character" w:customStyle="1" w:styleId="FootnoteTextChar">
    <w:name w:val="Footnote Text Char"/>
    <w:link w:val="FootnoteText"/>
    <w:uiPriority w:val="99"/>
    <w:rsid w:val="00B11101"/>
    <w:rPr>
      <w:rFonts w:ascii="Times New Roman" w:eastAsia="Times New Roman" w:hAnsi="Times New Roman"/>
      <w:lang w:val="en-GB" w:eastAsia="ar-SA"/>
    </w:rPr>
  </w:style>
  <w:style w:type="character" w:styleId="CommentReference">
    <w:name w:val="annotation reference"/>
    <w:rsid w:val="00BD707C"/>
    <w:rPr>
      <w:sz w:val="16"/>
      <w:szCs w:val="16"/>
    </w:rPr>
  </w:style>
  <w:style w:type="paragraph" w:styleId="CommentText">
    <w:name w:val="annotation text"/>
    <w:basedOn w:val="Normal"/>
    <w:link w:val="CommentTextChar"/>
    <w:rsid w:val="005543F6"/>
    <w:pPr>
      <w:spacing w:line="240" w:lineRule="auto"/>
    </w:pPr>
    <w:rPr>
      <w:sz w:val="20"/>
    </w:rPr>
  </w:style>
  <w:style w:type="character" w:customStyle="1" w:styleId="CommentTextChar">
    <w:name w:val="Comment Text Char"/>
    <w:basedOn w:val="DefaultParagraphFont"/>
    <w:link w:val="CommentText"/>
    <w:rsid w:val="005543F6"/>
    <w:rPr>
      <w:rFonts w:ascii="Times New Roman" w:hAnsi="Times New Roman"/>
      <w:color w:val="000000"/>
      <w:lang w:eastAsia="en-GB" w:bidi="ar-SA"/>
    </w:rPr>
  </w:style>
  <w:style w:type="paragraph" w:styleId="CommentSubject">
    <w:name w:val="annotation subject"/>
    <w:basedOn w:val="CommentText"/>
    <w:next w:val="CommentText"/>
    <w:link w:val="CommentSubjectChar"/>
    <w:rsid w:val="005543F6"/>
    <w:rPr>
      <w:b/>
      <w:bCs/>
    </w:rPr>
  </w:style>
  <w:style w:type="character" w:customStyle="1" w:styleId="CommentSubjectChar">
    <w:name w:val="Comment Subject Char"/>
    <w:basedOn w:val="CommentTextChar"/>
    <w:link w:val="CommentSubject"/>
    <w:rsid w:val="005543F6"/>
    <w:rPr>
      <w:rFonts w:ascii="Times New Roman" w:hAnsi="Times New Roman"/>
      <w:b/>
      <w:bCs/>
      <w:color w:val="000000"/>
      <w:lang w:eastAsia="en-GB" w:bidi="ar-SA"/>
    </w:rPr>
  </w:style>
  <w:style w:type="paragraph" w:styleId="NormalWeb">
    <w:name w:val="Normal (Web)"/>
    <w:basedOn w:val="Normal"/>
    <w:uiPriority w:val="99"/>
    <w:unhideWhenUsed/>
    <w:rsid w:val="00915FD0"/>
    <w:pPr>
      <w:spacing w:before="100" w:beforeAutospacing="1" w:after="100" w:afterAutospacing="1" w:line="240" w:lineRule="auto"/>
    </w:pPr>
    <w:rPr>
      <w:rFonts w:eastAsia="Times New Roman"/>
      <w:color w:val="auto"/>
      <w:sz w:val="24"/>
      <w:szCs w:val="24"/>
      <w:lang w:eastAsia="zh-CN"/>
    </w:rPr>
  </w:style>
  <w:style w:type="character" w:styleId="FootnoteReference">
    <w:name w:val="footnote reference"/>
    <w:basedOn w:val="DefaultParagraphFont"/>
    <w:uiPriority w:val="99"/>
    <w:unhideWhenUsed/>
    <w:rsid w:val="00F803B7"/>
    <w:rPr>
      <w:vertAlign w:val="superscript"/>
    </w:r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
    <w:link w:val="ListParagraph"/>
    <w:uiPriority w:val="34"/>
    <w:qFormat/>
    <w:rsid w:val="00F803B7"/>
    <w:rPr>
      <w:rFonts w:ascii="Times New Roman" w:eastAsia="Times New Roman" w:hAnsi="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214518">
      <w:bodyDiv w:val="1"/>
      <w:marLeft w:val="0"/>
      <w:marRight w:val="0"/>
      <w:marTop w:val="0"/>
      <w:marBottom w:val="0"/>
      <w:divBdr>
        <w:top w:val="none" w:sz="0" w:space="0" w:color="auto"/>
        <w:left w:val="none" w:sz="0" w:space="0" w:color="auto"/>
        <w:bottom w:val="none" w:sz="0" w:space="0" w:color="auto"/>
        <w:right w:val="none" w:sz="0" w:space="0" w:color="auto"/>
      </w:divBdr>
    </w:div>
    <w:div w:id="312371769">
      <w:bodyDiv w:val="1"/>
      <w:marLeft w:val="0"/>
      <w:marRight w:val="0"/>
      <w:marTop w:val="0"/>
      <w:marBottom w:val="0"/>
      <w:divBdr>
        <w:top w:val="none" w:sz="0" w:space="0" w:color="auto"/>
        <w:left w:val="none" w:sz="0" w:space="0" w:color="auto"/>
        <w:bottom w:val="none" w:sz="0" w:space="0" w:color="auto"/>
        <w:right w:val="none" w:sz="0" w:space="0" w:color="auto"/>
      </w:divBdr>
    </w:div>
    <w:div w:id="433013321">
      <w:bodyDiv w:val="1"/>
      <w:marLeft w:val="0"/>
      <w:marRight w:val="0"/>
      <w:marTop w:val="0"/>
      <w:marBottom w:val="0"/>
      <w:divBdr>
        <w:top w:val="none" w:sz="0" w:space="0" w:color="auto"/>
        <w:left w:val="none" w:sz="0" w:space="0" w:color="auto"/>
        <w:bottom w:val="none" w:sz="0" w:space="0" w:color="auto"/>
        <w:right w:val="none" w:sz="0" w:space="0" w:color="auto"/>
      </w:divBdr>
    </w:div>
    <w:div w:id="1288124388">
      <w:bodyDiv w:val="1"/>
      <w:marLeft w:val="0"/>
      <w:marRight w:val="0"/>
      <w:marTop w:val="0"/>
      <w:marBottom w:val="0"/>
      <w:divBdr>
        <w:top w:val="none" w:sz="0" w:space="0" w:color="auto"/>
        <w:left w:val="none" w:sz="0" w:space="0" w:color="auto"/>
        <w:bottom w:val="none" w:sz="0" w:space="0" w:color="auto"/>
        <w:right w:val="none" w:sz="0" w:space="0" w:color="auto"/>
      </w:divBdr>
    </w:div>
    <w:div w:id="171522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 Id="rId4"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03aba595-bc08-4bc6-a067-44fa0d6fce4c">
      <UserInfo>
        <DisplayName>Chongjun Bi</DisplayName>
        <AccountId>117</AccountId>
        <AccountType/>
      </UserInfo>
      <UserInfo>
        <DisplayName>Ruohang Xi</DisplayName>
        <AccountId>321</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3301A834218C74388996B13D8D79FAA" ma:contentTypeVersion="12" ma:contentTypeDescription="Create a new document." ma:contentTypeScope="" ma:versionID="977f9bcbd39a68b68720caa92afc8928">
  <xsd:schema xmlns:xsd="http://www.w3.org/2001/XMLSchema" xmlns:xs="http://www.w3.org/2001/XMLSchema" xmlns:p="http://schemas.microsoft.com/office/2006/metadata/properties" xmlns:ns2="03aba595-bc08-4bc6-a067-44fa0d6fce4c" xmlns:ns3="7a00a5ed-5e75-4054-8cf9-43d2dd4fccbd" targetNamespace="http://schemas.microsoft.com/office/2006/metadata/properties" ma:root="true" ma:fieldsID="4b15547fb9b62efcdc3c04c76f4b774a" ns2:_="" ns3:_="">
    <xsd:import namespace="03aba595-bc08-4bc6-a067-44fa0d6fce4c"/>
    <xsd:import namespace="7a00a5ed-5e75-4054-8cf9-43d2dd4fccb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aba595-bc08-4bc6-a067-44fa0d6fce4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00a5ed-5e75-4054-8cf9-43d2dd4fccb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C9EFA-9684-4F98-9267-F3B6CB882F24}">
  <ds:schemaRefs>
    <ds:schemaRef ds:uri="http://schemas.microsoft.com/sharepoint/v3/contenttype/forms"/>
  </ds:schemaRefs>
</ds:datastoreItem>
</file>

<file path=customXml/itemProps2.xml><?xml version="1.0" encoding="utf-8"?>
<ds:datastoreItem xmlns:ds="http://schemas.openxmlformats.org/officeDocument/2006/customXml" ds:itemID="{992175D9-0D57-48DC-95B4-12025DD2477E}">
  <ds:schemaRefs>
    <ds:schemaRef ds:uri="http://purl.org/dc/terms/"/>
    <ds:schemaRef ds:uri="03aba595-bc08-4bc6-a067-44fa0d6fce4c"/>
    <ds:schemaRef ds:uri="http://schemas.microsoft.com/office/2006/documentManagement/types"/>
    <ds:schemaRef ds:uri="http://purl.org/dc/elements/1.1/"/>
    <ds:schemaRef ds:uri="http://purl.org/dc/dcmitype/"/>
    <ds:schemaRef ds:uri="http://schemas.microsoft.com/office/2006/metadata/properties"/>
    <ds:schemaRef ds:uri="http://schemas.microsoft.com/office/infopath/2007/PartnerControls"/>
    <ds:schemaRef ds:uri="http://schemas.openxmlformats.org/package/2006/metadata/core-properties"/>
    <ds:schemaRef ds:uri="7a00a5ed-5e75-4054-8cf9-43d2dd4fccbd"/>
    <ds:schemaRef ds:uri="http://www.w3.org/XML/1998/namespace"/>
  </ds:schemaRefs>
</ds:datastoreItem>
</file>

<file path=customXml/itemProps3.xml><?xml version="1.0" encoding="utf-8"?>
<ds:datastoreItem xmlns:ds="http://schemas.openxmlformats.org/officeDocument/2006/customXml" ds:itemID="{256627E8-7858-4D3A-8906-DE8164AFB5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aba595-bc08-4bc6-a067-44fa0d6fce4c"/>
    <ds:schemaRef ds:uri="7a00a5ed-5e75-4054-8cf9-43d2dd4fcc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52A56E-B19C-4BA8-9037-54D17F8580DE}">
  <ds:schemaRefs>
    <ds:schemaRef ds:uri="http://schemas.microsoft.com/sharepoint/events"/>
  </ds:schemaRefs>
</ds:datastoreItem>
</file>

<file path=customXml/itemProps5.xml><?xml version="1.0" encoding="utf-8"?>
<ds:datastoreItem xmlns:ds="http://schemas.openxmlformats.org/officeDocument/2006/customXml" ds:itemID="{33629B9A-2AEE-4F98-82AE-AE05EBB92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938</Words>
  <Characters>5350</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A4 MEDIA RELEASE English</vt:lpstr>
    </vt:vector>
  </TitlesOfParts>
  <Company>UNICEF</Company>
  <LinksUpToDate>false</LinksUpToDate>
  <CharactersWithSpaces>6276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MEDIA RELEASE English</dc:title>
  <dc:subject/>
  <dc:creator>Henri Heikura</dc:creator>
  <cp:keywords/>
  <cp:lastModifiedBy>Ning Li</cp:lastModifiedBy>
  <cp:revision>2</cp:revision>
  <cp:lastPrinted>2013-08-16T07:30:00Z</cp:lastPrinted>
  <dcterms:created xsi:type="dcterms:W3CDTF">2020-08-25T08:34:00Z</dcterms:created>
  <dcterms:modified xsi:type="dcterms:W3CDTF">2020-08-25T08:34:00Z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0x010100D3301A834218C74388996B13D8D79FAA</vt:lpwstr>
  </property>
  <property fmtid="{D5CDD505-2E9C-101B-9397-08002B2CF9AE}" pid="3" name="OfficeDivision">
    <vt:lpwstr>2;#China-0860|d64cf8d6-385d-4d3c-8984-810f46c20fb5</vt:lpwstr>
  </property>
  <property fmtid="{D5CDD505-2E9C-101B-9397-08002B2CF9AE}" pid="4" name="TaxKeyword">
    <vt:lpwstr/>
  </property>
  <property fmtid="{D5CDD505-2E9C-101B-9397-08002B2CF9AE}" pid="5" name="Topic">
    <vt:lpwstr/>
  </property>
  <property fmtid="{D5CDD505-2E9C-101B-9397-08002B2CF9AE}" pid="6" name="DocumentType">
    <vt:lpwstr/>
  </property>
  <property fmtid="{D5CDD505-2E9C-101B-9397-08002B2CF9AE}" pid="7" name="GeographicScope">
    <vt:lpwstr/>
  </property>
</Properties>
</file>