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D833" w14:textId="61DA8314" w:rsidR="00192BE0" w:rsidRDefault="002E6C8A" w:rsidP="00CF4A6B">
      <w:pPr>
        <w:tabs>
          <w:tab w:val="center" w:pos="4680"/>
          <w:tab w:val="right" w:pos="9360"/>
        </w:tabs>
        <w:spacing w:line="240" w:lineRule="auto"/>
        <w:jc w:val="center"/>
        <w:rPr>
          <w:rFonts w:asciiTheme="minorHAnsi" w:hAnsiTheme="minorHAnsi" w:cstheme="minorHAnsi"/>
        </w:rPr>
      </w:pPr>
      <w:r>
        <w:rPr>
          <w:noProof/>
        </w:rPr>
        <w:drawing>
          <wp:anchor distT="0" distB="0" distL="114300" distR="114300" simplePos="0" relativeHeight="251659264" behindDoc="0" locked="0" layoutInCell="1" allowOverlap="1" wp14:anchorId="25EF484D" wp14:editId="194DD02C">
            <wp:simplePos x="0" y="0"/>
            <wp:positionH relativeFrom="margin">
              <wp:posOffset>1645131</wp:posOffset>
            </wp:positionH>
            <wp:positionV relativeFrom="paragraph">
              <wp:posOffset>112039</wp:posOffset>
            </wp:positionV>
            <wp:extent cx="2898648"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648" cy="457200"/>
                    </a:xfrm>
                    <a:prstGeom prst="rect">
                      <a:avLst/>
                    </a:prstGeom>
                  </pic:spPr>
                </pic:pic>
              </a:graphicData>
            </a:graphic>
            <wp14:sizeRelH relativeFrom="margin">
              <wp14:pctWidth>0</wp14:pctWidth>
            </wp14:sizeRelH>
            <wp14:sizeRelV relativeFrom="margin">
              <wp14:pctHeight>0</wp14:pctHeight>
            </wp14:sizeRelV>
          </wp:anchor>
        </w:drawing>
      </w:r>
    </w:p>
    <w:p w14:paraId="2C0B405F" w14:textId="7512808C" w:rsidR="00CF4A6B" w:rsidRPr="008E6EEC" w:rsidRDefault="00CF4A6B" w:rsidP="00CF4A6B">
      <w:pPr>
        <w:tabs>
          <w:tab w:val="center" w:pos="4680"/>
          <w:tab w:val="right" w:pos="9360"/>
        </w:tabs>
        <w:spacing w:line="240" w:lineRule="auto"/>
        <w:jc w:val="center"/>
        <w:rPr>
          <w:rFonts w:asciiTheme="minorHAnsi" w:eastAsia="Times New Roman" w:hAnsiTheme="minorHAnsi" w:cstheme="minorHAnsi"/>
          <w:b/>
          <w:color w:val="0099FF"/>
        </w:rPr>
      </w:pPr>
      <w:r w:rsidRPr="008E6EEC">
        <w:rPr>
          <w:rFonts w:asciiTheme="minorHAnsi" w:hAnsiTheme="minorHAnsi" w:cstheme="minorHAnsi"/>
        </w:rPr>
        <w:t xml:space="preserve">     </w:t>
      </w:r>
    </w:p>
    <w:p w14:paraId="46B139BA" w14:textId="77777777" w:rsidR="00E741F9" w:rsidRDefault="00E741F9" w:rsidP="00CF4A6B">
      <w:pPr>
        <w:spacing w:line="240" w:lineRule="auto"/>
        <w:jc w:val="center"/>
        <w:rPr>
          <w:rFonts w:asciiTheme="minorHAnsi" w:hAnsiTheme="minorHAnsi" w:cstheme="minorHAnsi"/>
          <w:b/>
        </w:rPr>
      </w:pPr>
    </w:p>
    <w:p w14:paraId="18007DC6" w14:textId="77777777" w:rsidR="00E741F9" w:rsidRDefault="00E741F9" w:rsidP="00CF4A6B">
      <w:pPr>
        <w:spacing w:line="240" w:lineRule="auto"/>
        <w:jc w:val="center"/>
        <w:rPr>
          <w:rFonts w:asciiTheme="minorHAnsi" w:hAnsiTheme="minorHAnsi" w:cstheme="minorHAnsi"/>
          <w:b/>
        </w:rPr>
      </w:pPr>
    </w:p>
    <w:p w14:paraId="65E5C94D" w14:textId="77777777" w:rsidR="00E741F9" w:rsidRDefault="00E741F9" w:rsidP="00CF4A6B">
      <w:pPr>
        <w:spacing w:line="240" w:lineRule="auto"/>
        <w:jc w:val="center"/>
        <w:rPr>
          <w:rFonts w:asciiTheme="minorHAnsi" w:hAnsiTheme="minorHAnsi" w:cstheme="minorHAnsi"/>
          <w:b/>
        </w:rPr>
      </w:pPr>
    </w:p>
    <w:p w14:paraId="3B688DE7" w14:textId="77777777" w:rsidR="00CF4A6B" w:rsidRPr="008E6EEC" w:rsidRDefault="002065DD" w:rsidP="00CF4A6B">
      <w:pPr>
        <w:spacing w:line="240" w:lineRule="auto"/>
        <w:jc w:val="center"/>
        <w:rPr>
          <w:rFonts w:asciiTheme="minorHAnsi" w:hAnsiTheme="minorHAnsi" w:cstheme="minorHAnsi"/>
          <w:b/>
        </w:rPr>
      </w:pPr>
      <w:r w:rsidRPr="008E6EEC">
        <w:rPr>
          <w:rFonts w:asciiTheme="minorHAnsi" w:hAnsiTheme="minorHAnsi" w:cstheme="minorHAnsi"/>
          <w:b/>
        </w:rPr>
        <w:t>TERMS OF REFERENCE FOR INDIVIDUAL CONSULTANTS AND CONTRACTORS</w:t>
      </w:r>
    </w:p>
    <w:p w14:paraId="3518A538" w14:textId="77777777" w:rsidR="00CF4A6B" w:rsidRPr="008E6EEC" w:rsidRDefault="00CF4A6B" w:rsidP="00CF4A6B">
      <w:pPr>
        <w:spacing w:line="240" w:lineRule="auto"/>
        <w:jc w:val="center"/>
        <w:rPr>
          <w:rFonts w:asciiTheme="minorHAnsi" w:hAnsiTheme="minorHAnsi" w:cstheme="minorHAnsi"/>
          <w:b/>
        </w:rPr>
      </w:pPr>
    </w:p>
    <w:p w14:paraId="0D872811" w14:textId="77777777" w:rsidR="002065DD" w:rsidRPr="008E6EEC" w:rsidRDefault="002065DD" w:rsidP="00BF579E">
      <w:pPr>
        <w:spacing w:after="120"/>
        <w:jc w:val="both"/>
        <w:rPr>
          <w:rFonts w:asciiTheme="minorHAnsi" w:hAnsiTheme="minorHAnsi" w:cstheme="minorHAnsi"/>
          <w:b/>
        </w:rPr>
      </w:pPr>
    </w:p>
    <w:p w14:paraId="1518DC09" w14:textId="53047DC5" w:rsidR="00CF4A6B" w:rsidRPr="00BF579E" w:rsidRDefault="00CF4A6B" w:rsidP="00BF579E">
      <w:pPr>
        <w:spacing w:after="120"/>
        <w:jc w:val="both"/>
        <w:rPr>
          <w:rFonts w:asciiTheme="minorHAnsi" w:hAnsiTheme="minorHAnsi" w:cstheme="minorHAnsi"/>
          <w:b/>
          <w:bCs/>
        </w:rPr>
      </w:pPr>
      <w:r w:rsidRPr="008E6EEC">
        <w:rPr>
          <w:rFonts w:asciiTheme="minorHAnsi" w:hAnsiTheme="minorHAnsi" w:cstheme="minorHAnsi"/>
          <w:b/>
        </w:rPr>
        <w:t xml:space="preserve">Title: </w:t>
      </w:r>
      <w:r w:rsidR="00FB1C45" w:rsidRPr="00BF579E">
        <w:rPr>
          <w:rFonts w:ascii="Calibri" w:hAnsi="Calibri" w:cs="Calibri"/>
          <w:b/>
          <w:bCs/>
        </w:rPr>
        <w:t>“</w:t>
      </w:r>
      <w:r w:rsidR="003847DC">
        <w:rPr>
          <w:rFonts w:ascii="Calibri" w:hAnsi="Calibri" w:cs="Calibri"/>
          <w:b/>
          <w:bCs/>
        </w:rPr>
        <w:t xml:space="preserve">International </w:t>
      </w:r>
      <w:r w:rsidR="00FB1C45" w:rsidRPr="00BF579E">
        <w:rPr>
          <w:rFonts w:ascii="Calibri" w:hAnsi="Calibri" w:cs="Calibri"/>
          <w:b/>
          <w:bCs/>
        </w:rPr>
        <w:t xml:space="preserve">Consultancy to provide </w:t>
      </w:r>
      <w:r w:rsidR="00BF579E">
        <w:rPr>
          <w:rFonts w:ascii="Calibri" w:hAnsi="Calibri" w:cs="Calibri"/>
          <w:b/>
          <w:bCs/>
        </w:rPr>
        <w:t>t</w:t>
      </w:r>
      <w:r w:rsidR="00FB1C45" w:rsidRPr="00BF579E">
        <w:rPr>
          <w:rFonts w:ascii="Calibri" w:hAnsi="Calibri" w:cs="Calibri"/>
          <w:b/>
          <w:bCs/>
        </w:rPr>
        <w:t xml:space="preserve">echnical </w:t>
      </w:r>
      <w:r w:rsidR="00BF579E">
        <w:rPr>
          <w:rFonts w:ascii="Calibri" w:hAnsi="Calibri" w:cs="Calibri"/>
          <w:b/>
          <w:bCs/>
        </w:rPr>
        <w:t>a</w:t>
      </w:r>
      <w:r w:rsidR="00FB1C45" w:rsidRPr="00BF579E">
        <w:rPr>
          <w:rFonts w:ascii="Calibri" w:hAnsi="Calibri" w:cs="Calibri"/>
          <w:b/>
          <w:bCs/>
        </w:rPr>
        <w:t xml:space="preserve">ssistance to </w:t>
      </w:r>
      <w:r w:rsidR="00BF579E" w:rsidRPr="00BF579E">
        <w:rPr>
          <w:rFonts w:ascii="Calibri" w:hAnsi="Calibri" w:cs="Calibri"/>
          <w:b/>
          <w:bCs/>
          <w:color w:val="auto"/>
        </w:rPr>
        <w:t>State Unitary Enterprise –</w:t>
      </w:r>
      <w:r w:rsidR="00BF579E" w:rsidRPr="00BF579E">
        <w:rPr>
          <w:b/>
          <w:bCs/>
          <w:color w:val="auto"/>
        </w:rPr>
        <w:t xml:space="preserve"> </w:t>
      </w:r>
      <w:proofErr w:type="spellStart"/>
      <w:r w:rsidR="00BF579E" w:rsidRPr="00BF579E">
        <w:rPr>
          <w:rFonts w:asciiTheme="minorHAnsi" w:hAnsiTheme="minorHAnsi" w:cstheme="minorHAnsi"/>
          <w:b/>
          <w:bCs/>
          <w:color w:val="auto"/>
        </w:rPr>
        <w:t>Khojagii</w:t>
      </w:r>
      <w:proofErr w:type="spellEnd"/>
      <w:r w:rsidR="00BF579E" w:rsidRPr="00BF579E">
        <w:rPr>
          <w:rFonts w:asciiTheme="minorHAnsi" w:hAnsiTheme="minorHAnsi" w:cstheme="minorHAnsi"/>
          <w:b/>
          <w:bCs/>
          <w:color w:val="auto"/>
        </w:rPr>
        <w:t xml:space="preserve"> </w:t>
      </w:r>
      <w:proofErr w:type="spellStart"/>
      <w:r w:rsidR="00BF579E" w:rsidRPr="00BF579E">
        <w:rPr>
          <w:rFonts w:asciiTheme="minorHAnsi" w:hAnsiTheme="minorHAnsi" w:cstheme="minorHAnsi"/>
          <w:b/>
          <w:bCs/>
          <w:color w:val="auto"/>
        </w:rPr>
        <w:t>Manziliyu</w:t>
      </w:r>
      <w:proofErr w:type="spellEnd"/>
      <w:r w:rsidR="00BF579E" w:rsidRPr="00BF579E">
        <w:rPr>
          <w:rFonts w:asciiTheme="minorHAnsi" w:hAnsiTheme="minorHAnsi" w:cstheme="minorHAnsi"/>
          <w:b/>
          <w:bCs/>
          <w:color w:val="auto"/>
        </w:rPr>
        <w:t xml:space="preserve"> </w:t>
      </w:r>
      <w:proofErr w:type="spellStart"/>
      <w:r w:rsidR="00BF579E" w:rsidRPr="00BF579E">
        <w:rPr>
          <w:rFonts w:asciiTheme="minorHAnsi" w:hAnsiTheme="minorHAnsi" w:cstheme="minorHAnsi"/>
          <w:b/>
          <w:bCs/>
          <w:color w:val="auto"/>
        </w:rPr>
        <w:t>Kommunali</w:t>
      </w:r>
      <w:proofErr w:type="spellEnd"/>
      <w:r w:rsidR="00BF579E" w:rsidRPr="00BF579E">
        <w:rPr>
          <w:rFonts w:asciiTheme="minorHAnsi" w:hAnsiTheme="minorHAnsi" w:cstheme="minorHAnsi"/>
          <w:b/>
          <w:bCs/>
          <w:color w:val="auto"/>
        </w:rPr>
        <w:t xml:space="preserve"> (SUE-KMK) </w:t>
      </w:r>
      <w:r w:rsidR="006D4886" w:rsidRPr="00BF579E">
        <w:rPr>
          <w:rFonts w:ascii="Calibri" w:hAnsi="Calibri" w:cs="Calibri"/>
          <w:b/>
          <w:bCs/>
        </w:rPr>
        <w:t>on</w:t>
      </w:r>
      <w:r w:rsidR="00BF579E" w:rsidRPr="00BF579E">
        <w:rPr>
          <w:rFonts w:ascii="Calibri" w:hAnsi="Calibri" w:cs="Calibri"/>
          <w:b/>
          <w:bCs/>
        </w:rPr>
        <w:t xml:space="preserve"> </w:t>
      </w:r>
      <w:r w:rsidR="00B36998">
        <w:rPr>
          <w:rFonts w:ascii="Calibri" w:hAnsi="Calibri" w:cs="Calibri"/>
          <w:b/>
          <w:bCs/>
        </w:rPr>
        <w:t>development of tariff setting strategy for water supply and sanitation services</w:t>
      </w:r>
      <w:r w:rsidR="004D3E83">
        <w:rPr>
          <w:rFonts w:ascii="Calibri" w:hAnsi="Calibri" w:cs="Calibri"/>
          <w:b/>
          <w:bCs/>
        </w:rPr>
        <w:t>.</w:t>
      </w:r>
    </w:p>
    <w:p w14:paraId="75BE0029" w14:textId="77777777" w:rsidR="00066D04" w:rsidRPr="008E6EEC" w:rsidRDefault="00066D04" w:rsidP="00CF4A6B">
      <w:pPr>
        <w:spacing w:line="240" w:lineRule="auto"/>
        <w:jc w:val="both"/>
        <w:rPr>
          <w:rFonts w:asciiTheme="minorHAnsi" w:hAnsiTheme="minorHAnsi" w:cstheme="minorHAnsi"/>
          <w:b/>
          <w:color w:val="000000" w:themeColor="text1"/>
        </w:rPr>
      </w:pPr>
    </w:p>
    <w:p w14:paraId="15191C42" w14:textId="77777777" w:rsidR="00F014F9" w:rsidRPr="008E6EEC" w:rsidRDefault="00F014F9" w:rsidP="00884A3E">
      <w:pPr>
        <w:spacing w:line="240" w:lineRule="auto"/>
        <w:jc w:val="both"/>
        <w:rPr>
          <w:rFonts w:asciiTheme="minorHAnsi" w:hAnsiTheme="minorHAnsi" w:cstheme="minorHAnsi"/>
          <w:b/>
          <w:color w:val="000000" w:themeColor="text1"/>
          <w:lang w:val="en-AU"/>
        </w:rPr>
      </w:pPr>
    </w:p>
    <w:p w14:paraId="7F5DD116" w14:textId="77777777" w:rsidR="00884A3E" w:rsidRPr="008E6EEC" w:rsidRDefault="00884A3E" w:rsidP="00884A3E">
      <w:pPr>
        <w:spacing w:line="240" w:lineRule="auto"/>
        <w:jc w:val="both"/>
        <w:rPr>
          <w:rFonts w:asciiTheme="minorHAnsi" w:hAnsiTheme="minorHAnsi" w:cstheme="minorHAnsi"/>
          <w:b/>
          <w:color w:val="000000" w:themeColor="text1"/>
          <w:lang w:val="en-AU"/>
        </w:rPr>
      </w:pPr>
      <w:r w:rsidRPr="00884A3E">
        <w:rPr>
          <w:rFonts w:asciiTheme="minorHAnsi" w:hAnsiTheme="minorHAnsi" w:cstheme="minorHAnsi"/>
          <w:b/>
          <w:color w:val="000000" w:themeColor="text1"/>
          <w:lang w:val="en-AU"/>
        </w:rPr>
        <w:t>Type of engagement</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Included in Annual</w:t>
      </w:r>
      <w:r w:rsidR="00D34C45" w:rsidRPr="008E6EEC">
        <w:rPr>
          <w:rFonts w:asciiTheme="minorHAnsi" w:hAnsiTheme="minorHAnsi" w:cstheme="minorHAnsi"/>
          <w:b/>
          <w:color w:val="000000" w:themeColor="text1"/>
          <w:lang w:val="en-AU"/>
        </w:rPr>
        <w:t xml:space="preserve"> </w:t>
      </w:r>
      <w:r w:rsidR="00FF321E" w:rsidRPr="008E6EEC">
        <w:rPr>
          <w:rFonts w:asciiTheme="minorHAnsi" w:hAnsiTheme="minorHAnsi" w:cstheme="minorHAnsi"/>
          <w:b/>
          <w:color w:val="000000" w:themeColor="text1"/>
          <w:lang w:val="en-AU"/>
        </w:rPr>
        <w:t>Workplan:</w:t>
      </w:r>
    </w:p>
    <w:p w14:paraId="4D2B3346"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0D5AEF0E" w14:textId="77777777" w:rsidR="00884A3E" w:rsidRPr="008E6EEC" w:rsidRDefault="00242577" w:rsidP="00884A3E">
      <w:pPr>
        <w:spacing w:line="240" w:lineRule="auto"/>
        <w:jc w:val="both"/>
        <w:rPr>
          <w:rFonts w:asciiTheme="minorHAnsi" w:hAnsiTheme="minorHAnsi" w:cstheme="minorHAnsi"/>
          <w:b/>
          <w:color w:val="000000" w:themeColor="text1"/>
          <w:lang w:val="en-AU"/>
        </w:rPr>
      </w:pPr>
      <w:r>
        <w:rPr>
          <w:rFonts w:asciiTheme="minorHAnsi" w:hAnsiTheme="minorHAnsi" w:cstheme="minorHAnsi"/>
          <w:b/>
          <w:color w:val="000000" w:themeColor="text1"/>
          <w:lang w:val="en-AU"/>
        </w:rPr>
        <w:fldChar w:fldCharType="begin">
          <w:ffData>
            <w:name w:val="Check11"/>
            <w:enabled/>
            <w:calcOnExit w:val="0"/>
            <w:checkBox>
              <w:sizeAuto/>
              <w:default w:val="1"/>
            </w:checkBox>
          </w:ffData>
        </w:fldChar>
      </w:r>
      <w:bookmarkStart w:id="0" w:name="Check11"/>
      <w:r>
        <w:rPr>
          <w:rFonts w:asciiTheme="minorHAnsi" w:hAnsiTheme="minorHAnsi" w:cstheme="minorHAnsi"/>
          <w:b/>
          <w:color w:val="000000" w:themeColor="text1"/>
          <w:lang w:val="en-AU"/>
        </w:rPr>
        <w:instrText xml:space="preserve"> FORMCHECKBOX </w:instrText>
      </w:r>
      <w:r w:rsidR="002C070A">
        <w:rPr>
          <w:rFonts w:asciiTheme="minorHAnsi" w:hAnsiTheme="minorHAnsi" w:cstheme="minorHAnsi"/>
          <w:b/>
          <w:color w:val="000000" w:themeColor="text1"/>
          <w:lang w:val="en-AU"/>
        </w:rPr>
      </w:r>
      <w:r w:rsidR="002C070A">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bookmarkEnd w:id="0"/>
      <w:r w:rsidR="00884A3E" w:rsidRPr="00884A3E">
        <w:rPr>
          <w:rFonts w:asciiTheme="minorHAnsi" w:hAnsiTheme="minorHAnsi" w:cstheme="minorHAnsi"/>
          <w:b/>
          <w:color w:val="000000" w:themeColor="text1"/>
          <w:lang w:val="en-AU"/>
        </w:rPr>
        <w:t xml:space="preserve"> </w:t>
      </w:r>
      <w:proofErr w:type="gramStart"/>
      <w:r w:rsidR="00884A3E" w:rsidRPr="00884A3E">
        <w:rPr>
          <w:rFonts w:asciiTheme="minorHAnsi" w:hAnsiTheme="minorHAnsi" w:cstheme="minorHAnsi"/>
          <w:b/>
          <w:color w:val="000000" w:themeColor="text1"/>
          <w:lang w:val="en-AU"/>
        </w:rPr>
        <w:t xml:space="preserve">Consultant  </w:t>
      </w:r>
      <w:r w:rsidR="00FF321E" w:rsidRPr="008E6EEC">
        <w:rPr>
          <w:rFonts w:asciiTheme="minorHAnsi" w:hAnsiTheme="minorHAnsi" w:cstheme="minorHAnsi"/>
          <w:b/>
          <w:color w:val="000000" w:themeColor="text1"/>
          <w:lang w:val="en-AU"/>
        </w:rPr>
        <w:tab/>
      </w:r>
      <w:proofErr w:type="gramEnd"/>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12784E">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12784E">
        <w:rPr>
          <w:rFonts w:asciiTheme="minorHAnsi" w:hAnsiTheme="minorHAnsi" w:cstheme="minorHAnsi"/>
          <w:b/>
          <w:color w:val="000000" w:themeColor="text1"/>
          <w:lang w:val="en-AU"/>
        </w:rPr>
        <w:instrText xml:space="preserve"> FORMCHECKBOX </w:instrText>
      </w:r>
      <w:r w:rsidR="002C070A">
        <w:rPr>
          <w:rFonts w:asciiTheme="minorHAnsi" w:hAnsiTheme="minorHAnsi" w:cstheme="minorHAnsi"/>
          <w:b/>
          <w:color w:val="000000" w:themeColor="text1"/>
          <w:lang w:val="en-AU"/>
        </w:rPr>
      </w:r>
      <w:r w:rsidR="002C070A">
        <w:rPr>
          <w:rFonts w:asciiTheme="minorHAnsi" w:hAnsiTheme="minorHAnsi" w:cstheme="minorHAnsi"/>
          <w:b/>
          <w:color w:val="000000" w:themeColor="text1"/>
          <w:lang w:val="en-AU"/>
        </w:rPr>
        <w:fldChar w:fldCharType="separate"/>
      </w:r>
      <w:r w:rsidR="0012784E">
        <w:rPr>
          <w:rFonts w:asciiTheme="minorHAnsi" w:hAnsiTheme="minorHAnsi" w:cstheme="minorHAnsi"/>
          <w:b/>
          <w:color w:val="000000" w:themeColor="text1"/>
          <w:lang w:val="en-AU"/>
        </w:rPr>
        <w:fldChar w:fldCharType="end"/>
      </w:r>
      <w:r w:rsidR="00FF321E" w:rsidRPr="008E6EEC">
        <w:rPr>
          <w:rFonts w:asciiTheme="minorHAnsi" w:hAnsiTheme="minorHAnsi" w:cstheme="minorHAnsi"/>
          <w:b/>
          <w:color w:val="000000" w:themeColor="text1"/>
          <w:lang w:val="en-AU"/>
        </w:rPr>
        <w:t xml:space="preserve"> Yes</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p>
    <w:p w14:paraId="7491B1C4"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145DA990" w14:textId="77777777" w:rsidR="00884A3E" w:rsidRPr="00242577" w:rsidRDefault="00884A3E" w:rsidP="00884A3E">
      <w:pPr>
        <w:spacing w:line="240" w:lineRule="auto"/>
        <w:jc w:val="both"/>
        <w:rPr>
          <w:rFonts w:asciiTheme="minorHAnsi" w:hAnsiTheme="minorHAnsi" w:cstheme="minorHAnsi"/>
          <w:b/>
          <w:color w:val="000000" w:themeColor="text1"/>
          <w:lang w:val="en-US"/>
        </w:rPr>
      </w:pPr>
      <w:r w:rsidRPr="008E6EEC">
        <w:rPr>
          <w:rFonts w:asciiTheme="minorHAnsi" w:hAnsiTheme="minorHAnsi" w:cstheme="minorHAnsi"/>
          <w:b/>
          <w:color w:val="000000" w:themeColor="text1"/>
          <w:lang w:val="en-AU"/>
        </w:rPr>
        <w:fldChar w:fldCharType="begin">
          <w:ffData>
            <w:name w:val="Check12"/>
            <w:enabled/>
            <w:calcOnExit w:val="0"/>
            <w:checkBox>
              <w:sizeAuto/>
              <w:default w:val="0"/>
            </w:checkBox>
          </w:ffData>
        </w:fldChar>
      </w:r>
      <w:bookmarkStart w:id="1" w:name="Check12"/>
      <w:r w:rsidRPr="008E6EEC">
        <w:rPr>
          <w:rFonts w:asciiTheme="minorHAnsi" w:hAnsiTheme="minorHAnsi" w:cstheme="minorHAnsi"/>
          <w:b/>
          <w:color w:val="000000" w:themeColor="text1"/>
          <w:lang w:val="en-AU"/>
        </w:rPr>
        <w:instrText xml:space="preserve"> FORMCHECKBOX </w:instrText>
      </w:r>
      <w:r w:rsidR="002C070A">
        <w:rPr>
          <w:rFonts w:asciiTheme="minorHAnsi" w:hAnsiTheme="minorHAnsi" w:cstheme="minorHAnsi"/>
          <w:b/>
          <w:color w:val="000000" w:themeColor="text1"/>
          <w:lang w:val="en-AU"/>
        </w:rPr>
      </w:r>
      <w:r w:rsidR="002C070A">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bookmarkEnd w:id="1"/>
      <w:r w:rsidRPr="008E6EEC">
        <w:rPr>
          <w:rFonts w:asciiTheme="minorHAnsi" w:hAnsiTheme="minorHAnsi" w:cstheme="minorHAnsi"/>
          <w:b/>
          <w:color w:val="000000" w:themeColor="text1"/>
          <w:lang w:val="en-AU"/>
        </w:rPr>
        <w:t xml:space="preserve"> Individual Contractor</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12784E">
        <w:rPr>
          <w:rFonts w:asciiTheme="minorHAnsi" w:hAnsiTheme="minorHAnsi" w:cstheme="minorHAnsi"/>
          <w:b/>
          <w:color w:val="000000" w:themeColor="text1"/>
          <w:lang w:val="en-AU"/>
        </w:rPr>
        <w:fldChar w:fldCharType="begin">
          <w:ffData>
            <w:name w:val="Check9"/>
            <w:enabled/>
            <w:calcOnExit w:val="0"/>
            <w:checkBox>
              <w:sizeAuto/>
              <w:default w:val="0"/>
            </w:checkBox>
          </w:ffData>
        </w:fldChar>
      </w:r>
      <w:bookmarkStart w:id="2" w:name="Check9"/>
      <w:r w:rsidR="0012784E">
        <w:rPr>
          <w:rFonts w:asciiTheme="minorHAnsi" w:hAnsiTheme="minorHAnsi" w:cstheme="minorHAnsi"/>
          <w:b/>
          <w:color w:val="000000" w:themeColor="text1"/>
          <w:lang w:val="en-AU"/>
        </w:rPr>
        <w:instrText xml:space="preserve"> FORMCHECKBOX </w:instrText>
      </w:r>
      <w:r w:rsidR="002C070A">
        <w:rPr>
          <w:rFonts w:asciiTheme="minorHAnsi" w:hAnsiTheme="minorHAnsi" w:cstheme="minorHAnsi"/>
          <w:b/>
          <w:color w:val="000000" w:themeColor="text1"/>
          <w:lang w:val="en-AU"/>
        </w:rPr>
      </w:r>
      <w:r w:rsidR="002C070A">
        <w:rPr>
          <w:rFonts w:asciiTheme="minorHAnsi" w:hAnsiTheme="minorHAnsi" w:cstheme="minorHAnsi"/>
          <w:b/>
          <w:color w:val="000000" w:themeColor="text1"/>
          <w:lang w:val="en-AU"/>
        </w:rPr>
        <w:fldChar w:fldCharType="separate"/>
      </w:r>
      <w:r w:rsidR="0012784E">
        <w:rPr>
          <w:rFonts w:asciiTheme="minorHAnsi" w:hAnsiTheme="minorHAnsi" w:cstheme="minorHAnsi"/>
          <w:b/>
          <w:color w:val="000000" w:themeColor="text1"/>
          <w:lang w:val="en-AU"/>
        </w:rPr>
        <w:fldChar w:fldCharType="end"/>
      </w:r>
      <w:bookmarkEnd w:id="2"/>
      <w:r w:rsidR="00FF321E" w:rsidRPr="008E6EEC">
        <w:rPr>
          <w:rFonts w:asciiTheme="minorHAnsi" w:hAnsiTheme="minorHAnsi" w:cstheme="minorHAnsi"/>
          <w:b/>
          <w:color w:val="000000" w:themeColor="text1"/>
          <w:lang w:val="en-AU"/>
        </w:rPr>
        <w:t xml:space="preserve"> No, please </w:t>
      </w:r>
      <w:proofErr w:type="gramStart"/>
      <w:r w:rsidR="00FF321E" w:rsidRPr="008E6EEC">
        <w:rPr>
          <w:rFonts w:asciiTheme="minorHAnsi" w:hAnsiTheme="minorHAnsi" w:cstheme="minorHAnsi"/>
          <w:b/>
          <w:color w:val="000000" w:themeColor="text1"/>
          <w:lang w:val="en-AU"/>
        </w:rPr>
        <w:t>justify:</w:t>
      </w:r>
      <w:proofErr w:type="gramEnd"/>
      <w:r w:rsidR="00242577" w:rsidRPr="00242577">
        <w:rPr>
          <w:rFonts w:asciiTheme="minorHAnsi" w:hAnsiTheme="minorHAnsi" w:cstheme="minorHAnsi"/>
          <w:b/>
          <w:color w:val="000000" w:themeColor="text1"/>
          <w:lang w:val="en-US"/>
        </w:rPr>
        <w:t xml:space="preserve"> </w:t>
      </w:r>
      <w:r w:rsidR="00242577">
        <w:rPr>
          <w:rFonts w:asciiTheme="minorHAnsi" w:hAnsiTheme="minorHAnsi" w:cstheme="minorHAnsi"/>
          <w:b/>
          <w:color w:val="000000" w:themeColor="text1"/>
          <w:lang w:val="en-US"/>
        </w:rPr>
        <w:t>will be included</w:t>
      </w:r>
    </w:p>
    <w:p w14:paraId="683EA871" w14:textId="77777777" w:rsidR="00884A3E" w:rsidRPr="008E6EEC" w:rsidRDefault="00884A3E" w:rsidP="00CF4A6B">
      <w:pPr>
        <w:spacing w:line="240" w:lineRule="auto"/>
        <w:jc w:val="both"/>
        <w:rPr>
          <w:rFonts w:asciiTheme="minorHAnsi" w:hAnsiTheme="minorHAnsi" w:cstheme="minorHAnsi"/>
          <w:b/>
          <w:color w:val="000000" w:themeColor="text1"/>
        </w:rPr>
      </w:pPr>
    </w:p>
    <w:p w14:paraId="46D0DA8E" w14:textId="77777777" w:rsidR="00D640BC" w:rsidRPr="008E6EEC" w:rsidRDefault="00D640BC" w:rsidP="00CF4A6B">
      <w:pPr>
        <w:spacing w:line="240" w:lineRule="auto"/>
        <w:jc w:val="both"/>
        <w:rPr>
          <w:rFonts w:asciiTheme="minorHAnsi" w:hAnsiTheme="minorHAnsi" w:cstheme="minorHAnsi"/>
          <w:b/>
          <w:color w:val="000000" w:themeColor="text1"/>
        </w:rPr>
      </w:pPr>
    </w:p>
    <w:p w14:paraId="555D5BD1" w14:textId="18FD4E8E" w:rsidR="00D640BC" w:rsidRPr="008E6EEC" w:rsidRDefault="00D640BC" w:rsidP="00D640BC">
      <w:pPr>
        <w:spacing w:line="240" w:lineRule="auto"/>
        <w:jc w:val="both"/>
        <w:rPr>
          <w:rFonts w:asciiTheme="minorHAnsi" w:hAnsiTheme="minorHAnsi" w:cstheme="minorHAnsi"/>
          <w:b/>
          <w:color w:val="000000" w:themeColor="text1"/>
          <w:lang w:val="en-AU"/>
        </w:rPr>
      </w:pPr>
      <w:r w:rsidRPr="008E6EEC">
        <w:rPr>
          <w:rFonts w:asciiTheme="minorHAnsi" w:hAnsiTheme="minorHAnsi" w:cstheme="minorHAnsi"/>
          <w:b/>
          <w:color w:val="000000" w:themeColor="text1"/>
        </w:rPr>
        <w:t xml:space="preserve">Consultant sourcing: </w:t>
      </w:r>
      <w:r w:rsidR="00D60D62">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00D60D62">
        <w:rPr>
          <w:rFonts w:asciiTheme="minorHAnsi" w:hAnsiTheme="minorHAnsi" w:cstheme="minorHAnsi"/>
          <w:b/>
          <w:color w:val="000000" w:themeColor="text1"/>
          <w:lang w:val="en-AU"/>
        </w:rPr>
        <w:instrText xml:space="preserve"> FORMCHECKBOX </w:instrText>
      </w:r>
      <w:r w:rsidR="002C070A">
        <w:rPr>
          <w:rFonts w:asciiTheme="minorHAnsi" w:hAnsiTheme="minorHAnsi" w:cstheme="minorHAnsi"/>
          <w:b/>
          <w:color w:val="000000" w:themeColor="text1"/>
          <w:lang w:val="en-AU"/>
        </w:rPr>
      </w:r>
      <w:r w:rsidR="002C070A">
        <w:rPr>
          <w:rFonts w:asciiTheme="minorHAnsi" w:hAnsiTheme="minorHAnsi" w:cstheme="minorHAnsi"/>
          <w:b/>
          <w:color w:val="000000" w:themeColor="text1"/>
          <w:lang w:val="en-AU"/>
        </w:rPr>
        <w:fldChar w:fldCharType="separate"/>
      </w:r>
      <w:r w:rsidR="00D60D62">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National  </w:t>
      </w:r>
      <w:r w:rsidR="00D60D62">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D60D62">
        <w:rPr>
          <w:rFonts w:asciiTheme="minorHAnsi" w:hAnsiTheme="minorHAnsi" w:cstheme="minorHAnsi"/>
          <w:b/>
          <w:color w:val="000000" w:themeColor="text1"/>
          <w:lang w:val="en-AU"/>
        </w:rPr>
        <w:instrText xml:space="preserve"> FORMCHECKBOX </w:instrText>
      </w:r>
      <w:r w:rsidR="002C070A">
        <w:rPr>
          <w:rFonts w:asciiTheme="minorHAnsi" w:hAnsiTheme="minorHAnsi" w:cstheme="minorHAnsi"/>
          <w:b/>
          <w:color w:val="000000" w:themeColor="text1"/>
          <w:lang w:val="en-AU"/>
        </w:rPr>
      </w:r>
      <w:r w:rsidR="002C070A">
        <w:rPr>
          <w:rFonts w:asciiTheme="minorHAnsi" w:hAnsiTheme="minorHAnsi" w:cstheme="minorHAnsi"/>
          <w:b/>
          <w:color w:val="000000" w:themeColor="text1"/>
          <w:lang w:val="en-AU"/>
        </w:rPr>
        <w:fldChar w:fldCharType="separate"/>
      </w:r>
      <w:r w:rsidR="00D60D62">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International </w:t>
      </w:r>
      <w:r w:rsidR="00BF579E">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00BF579E">
        <w:rPr>
          <w:rFonts w:asciiTheme="minorHAnsi" w:hAnsiTheme="minorHAnsi" w:cstheme="minorHAnsi"/>
          <w:b/>
          <w:color w:val="000000" w:themeColor="text1"/>
          <w:lang w:val="en-AU"/>
        </w:rPr>
        <w:instrText xml:space="preserve"> FORMCHECKBOX </w:instrText>
      </w:r>
      <w:r w:rsidR="002C070A">
        <w:rPr>
          <w:rFonts w:asciiTheme="minorHAnsi" w:hAnsiTheme="minorHAnsi" w:cstheme="minorHAnsi"/>
          <w:b/>
          <w:color w:val="000000" w:themeColor="text1"/>
          <w:lang w:val="en-AU"/>
        </w:rPr>
      </w:r>
      <w:r w:rsidR="002C070A">
        <w:rPr>
          <w:rFonts w:asciiTheme="minorHAnsi" w:hAnsiTheme="minorHAnsi" w:cstheme="minorHAnsi"/>
          <w:b/>
          <w:color w:val="000000" w:themeColor="text1"/>
          <w:lang w:val="en-AU"/>
        </w:rPr>
        <w:fldChar w:fldCharType="separate"/>
      </w:r>
      <w:r w:rsidR="00BF579E">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Both</w:t>
      </w:r>
    </w:p>
    <w:p w14:paraId="79983FC8" w14:textId="77777777" w:rsidR="00D640BC" w:rsidRPr="008E6EEC" w:rsidRDefault="00D640BC" w:rsidP="00CF4A6B">
      <w:pPr>
        <w:spacing w:line="240" w:lineRule="auto"/>
        <w:jc w:val="both"/>
        <w:rPr>
          <w:rFonts w:asciiTheme="minorHAnsi" w:hAnsiTheme="minorHAnsi" w:cstheme="minorHAnsi"/>
          <w:b/>
          <w:color w:val="000000" w:themeColor="text1"/>
        </w:rPr>
      </w:pPr>
    </w:p>
    <w:p w14:paraId="60D3DA35" w14:textId="77777777" w:rsidR="00F014F9" w:rsidRPr="008E6EEC" w:rsidRDefault="00F014F9" w:rsidP="00CF4A6B">
      <w:pPr>
        <w:spacing w:line="240" w:lineRule="auto"/>
        <w:jc w:val="both"/>
        <w:rPr>
          <w:rFonts w:asciiTheme="minorHAnsi" w:hAnsiTheme="minorHAnsi" w:cstheme="minorHAnsi"/>
          <w:b/>
          <w:color w:val="000000" w:themeColor="text1"/>
        </w:rPr>
      </w:pPr>
    </w:p>
    <w:p w14:paraId="3A671B84" w14:textId="77777777" w:rsidR="00CF4A6B" w:rsidRPr="008E6EEC" w:rsidRDefault="00F014F9" w:rsidP="00CF4A6B">
      <w:pPr>
        <w:spacing w:line="240" w:lineRule="auto"/>
        <w:jc w:val="both"/>
        <w:rPr>
          <w:rFonts w:asciiTheme="minorHAnsi" w:hAnsiTheme="minorHAnsi" w:cstheme="minorHAnsi"/>
          <w:b/>
          <w:color w:val="000000" w:themeColor="text1"/>
        </w:rPr>
      </w:pPr>
      <w:r w:rsidRPr="008E6EEC">
        <w:rPr>
          <w:rFonts w:asciiTheme="minorHAnsi" w:hAnsiTheme="minorHAnsi" w:cstheme="minorHAnsi"/>
          <w:b/>
          <w:color w:val="000000" w:themeColor="text1"/>
        </w:rPr>
        <w:t>DUTY STATION</w:t>
      </w:r>
      <w:r w:rsidR="00CF4A6B" w:rsidRPr="008E6EEC">
        <w:rPr>
          <w:rFonts w:asciiTheme="minorHAnsi" w:hAnsiTheme="minorHAnsi" w:cstheme="minorHAnsi"/>
          <w:b/>
          <w:color w:val="000000" w:themeColor="text1"/>
        </w:rPr>
        <w:t>/DURATION:</w:t>
      </w:r>
    </w:p>
    <w:p w14:paraId="20975EE3" w14:textId="77777777" w:rsidR="00FE2BB5" w:rsidRPr="008E6EEC" w:rsidRDefault="00FE2BB5" w:rsidP="00CF4A6B">
      <w:pPr>
        <w:spacing w:line="240" w:lineRule="auto"/>
        <w:jc w:val="both"/>
        <w:rPr>
          <w:rFonts w:asciiTheme="minorHAnsi" w:hAnsiTheme="minorHAnsi" w:cstheme="minorHAnsi"/>
          <w:b/>
          <w:color w:val="4472C4" w:themeColor="accent1"/>
        </w:rPr>
      </w:pPr>
    </w:p>
    <w:p w14:paraId="6A1FEC53" w14:textId="39B9367F" w:rsidR="00B80FE3" w:rsidRPr="008E6EEC" w:rsidRDefault="005C097A" w:rsidP="00B80FE3">
      <w:pPr>
        <w:pStyle w:val="DefaultText"/>
        <w:jc w:val="both"/>
        <w:rPr>
          <w:rFonts w:asciiTheme="minorHAnsi" w:hAnsiTheme="minorHAnsi" w:cstheme="minorHAnsi"/>
          <w:sz w:val="22"/>
          <w:szCs w:val="22"/>
          <w:lang w:val="en-US"/>
        </w:rPr>
      </w:pPr>
      <w:r w:rsidRPr="008E6EEC">
        <w:rPr>
          <w:rFonts w:asciiTheme="minorHAnsi" w:hAnsiTheme="minorHAnsi" w:cstheme="minorHAnsi"/>
          <w:i/>
          <w:sz w:val="22"/>
          <w:szCs w:val="22"/>
          <w:u w:val="single"/>
        </w:rPr>
        <w:t>Estimated d</w:t>
      </w:r>
      <w:r w:rsidR="00CF4A6B" w:rsidRPr="008E6EEC">
        <w:rPr>
          <w:rFonts w:asciiTheme="minorHAnsi" w:hAnsiTheme="minorHAnsi" w:cstheme="minorHAnsi"/>
          <w:i/>
          <w:sz w:val="22"/>
          <w:szCs w:val="22"/>
          <w:u w:val="single"/>
        </w:rPr>
        <w:t>uration</w:t>
      </w:r>
      <w:r w:rsidR="00CF4A6B" w:rsidRPr="008E6EEC">
        <w:rPr>
          <w:rFonts w:asciiTheme="minorHAnsi" w:hAnsiTheme="minorHAnsi" w:cstheme="minorHAnsi"/>
          <w:i/>
          <w:sz w:val="22"/>
          <w:szCs w:val="22"/>
        </w:rPr>
        <w:t xml:space="preserve">:  </w:t>
      </w:r>
      <w:r w:rsidR="00BF579E">
        <w:rPr>
          <w:rFonts w:asciiTheme="minorHAnsi" w:hAnsiTheme="minorHAnsi" w:cstheme="minorHAnsi"/>
          <w:i/>
          <w:sz w:val="22"/>
          <w:szCs w:val="22"/>
        </w:rPr>
        <w:t>2</w:t>
      </w:r>
      <w:r w:rsidR="00D60D62">
        <w:rPr>
          <w:rFonts w:asciiTheme="minorHAnsi" w:hAnsiTheme="minorHAnsi" w:cstheme="minorHAnsi"/>
          <w:i/>
          <w:sz w:val="22"/>
          <w:szCs w:val="22"/>
        </w:rPr>
        <w:t>7</w:t>
      </w:r>
      <w:r w:rsidR="00BE136F">
        <w:rPr>
          <w:rFonts w:asciiTheme="minorHAnsi" w:hAnsiTheme="minorHAnsi" w:cstheme="minorHAnsi"/>
          <w:i/>
          <w:sz w:val="22"/>
          <w:szCs w:val="22"/>
        </w:rPr>
        <w:t xml:space="preserve"> </w:t>
      </w:r>
      <w:r w:rsidR="00242577" w:rsidRPr="00242577">
        <w:rPr>
          <w:rFonts w:asciiTheme="minorHAnsi" w:hAnsiTheme="minorHAnsi" w:cstheme="minorHAnsi"/>
          <w:i/>
          <w:sz w:val="22"/>
          <w:szCs w:val="22"/>
        </w:rPr>
        <w:t xml:space="preserve">working days within </w:t>
      </w:r>
      <w:r w:rsidR="00D60D62">
        <w:rPr>
          <w:rFonts w:asciiTheme="minorHAnsi" w:hAnsiTheme="minorHAnsi" w:cstheme="minorHAnsi"/>
          <w:i/>
          <w:sz w:val="22"/>
          <w:szCs w:val="22"/>
        </w:rPr>
        <w:t>5</w:t>
      </w:r>
      <w:r w:rsidR="00242577" w:rsidRPr="00242577">
        <w:rPr>
          <w:rFonts w:asciiTheme="minorHAnsi" w:hAnsiTheme="minorHAnsi" w:cstheme="minorHAnsi"/>
          <w:i/>
          <w:sz w:val="22"/>
          <w:szCs w:val="22"/>
        </w:rPr>
        <w:t xml:space="preserve"> months</w:t>
      </w:r>
      <w:r w:rsidR="00242577">
        <w:rPr>
          <w:rFonts w:asciiTheme="minorHAnsi" w:hAnsiTheme="minorHAnsi" w:cstheme="minorHAnsi"/>
          <w:i/>
          <w:sz w:val="22"/>
          <w:szCs w:val="22"/>
        </w:rPr>
        <w:t xml:space="preserve"> (</w:t>
      </w:r>
      <w:r w:rsidR="002A4054">
        <w:rPr>
          <w:rFonts w:asciiTheme="minorHAnsi" w:hAnsiTheme="minorHAnsi" w:cstheme="minorHAnsi"/>
          <w:i/>
          <w:sz w:val="22"/>
          <w:szCs w:val="22"/>
        </w:rPr>
        <w:t xml:space="preserve">September 2021 </w:t>
      </w:r>
      <w:r w:rsidR="00242577">
        <w:rPr>
          <w:rFonts w:asciiTheme="minorHAnsi" w:hAnsiTheme="minorHAnsi" w:cstheme="minorHAnsi"/>
          <w:i/>
          <w:sz w:val="22"/>
          <w:szCs w:val="22"/>
        </w:rPr>
        <w:t xml:space="preserve">– </w:t>
      </w:r>
      <w:r w:rsidR="002A4054">
        <w:rPr>
          <w:rFonts w:asciiTheme="minorHAnsi" w:hAnsiTheme="minorHAnsi" w:cstheme="minorHAnsi"/>
          <w:i/>
          <w:sz w:val="22"/>
          <w:szCs w:val="22"/>
        </w:rPr>
        <w:t>January</w:t>
      </w:r>
      <w:r w:rsidR="00242577">
        <w:rPr>
          <w:rFonts w:asciiTheme="minorHAnsi" w:hAnsiTheme="minorHAnsi" w:cstheme="minorHAnsi"/>
          <w:i/>
          <w:sz w:val="22"/>
          <w:szCs w:val="22"/>
        </w:rPr>
        <w:t xml:space="preserve"> 20</w:t>
      </w:r>
      <w:r w:rsidR="002A4054">
        <w:rPr>
          <w:rFonts w:asciiTheme="minorHAnsi" w:hAnsiTheme="minorHAnsi" w:cstheme="minorHAnsi"/>
          <w:i/>
          <w:sz w:val="22"/>
          <w:szCs w:val="22"/>
        </w:rPr>
        <w:t>22</w:t>
      </w:r>
      <w:r w:rsidR="00242577">
        <w:rPr>
          <w:rFonts w:asciiTheme="minorHAnsi" w:hAnsiTheme="minorHAnsi" w:cstheme="minorHAnsi"/>
          <w:i/>
          <w:sz w:val="22"/>
          <w:szCs w:val="22"/>
        </w:rPr>
        <w:t>)</w:t>
      </w:r>
    </w:p>
    <w:p w14:paraId="65BA1F64" w14:textId="77777777" w:rsidR="00CF4A6B" w:rsidRPr="008E6EEC" w:rsidRDefault="00CF4A6B" w:rsidP="00CF4A6B">
      <w:pPr>
        <w:spacing w:line="240" w:lineRule="auto"/>
        <w:jc w:val="both"/>
        <w:rPr>
          <w:rFonts w:asciiTheme="minorHAnsi" w:hAnsiTheme="minorHAnsi" w:cstheme="minorHAnsi"/>
          <w:i/>
          <w:u w:val="single"/>
          <w:lang w:val="tg-Cyrl-TJ"/>
        </w:rPr>
      </w:pPr>
    </w:p>
    <w:p w14:paraId="3053271B" w14:textId="77777777" w:rsidR="00CF4A6B" w:rsidRPr="008E6EEC" w:rsidRDefault="00356864" w:rsidP="00CF4A6B">
      <w:pPr>
        <w:spacing w:line="240" w:lineRule="auto"/>
        <w:jc w:val="both"/>
        <w:rPr>
          <w:rFonts w:asciiTheme="minorHAnsi" w:hAnsiTheme="minorHAnsi" w:cstheme="minorHAnsi"/>
          <w:i/>
        </w:rPr>
      </w:pPr>
      <w:r w:rsidRPr="008E6EEC">
        <w:rPr>
          <w:rFonts w:asciiTheme="minorHAnsi" w:hAnsiTheme="minorHAnsi" w:cstheme="minorHAnsi"/>
          <w:i/>
          <w:u w:val="single"/>
        </w:rPr>
        <w:t>Duty station</w:t>
      </w:r>
      <w:r w:rsidR="00CF4A6B" w:rsidRPr="008E6EEC">
        <w:rPr>
          <w:rFonts w:asciiTheme="minorHAnsi" w:hAnsiTheme="minorHAnsi" w:cstheme="minorHAnsi"/>
          <w:i/>
        </w:rPr>
        <w:t xml:space="preserve">: </w:t>
      </w:r>
      <w:r w:rsidR="00242577">
        <w:rPr>
          <w:rFonts w:asciiTheme="minorHAnsi" w:hAnsiTheme="minorHAnsi" w:cstheme="minorHAnsi"/>
          <w:i/>
        </w:rPr>
        <w:t>Dushanbe, Tajikistan</w:t>
      </w:r>
    </w:p>
    <w:p w14:paraId="0110003E" w14:textId="77777777" w:rsidR="00356864" w:rsidRPr="008E6EEC" w:rsidRDefault="00356864" w:rsidP="00CF4A6B">
      <w:pPr>
        <w:spacing w:line="240" w:lineRule="auto"/>
        <w:jc w:val="both"/>
        <w:rPr>
          <w:rFonts w:asciiTheme="minorHAnsi" w:hAnsiTheme="minorHAnsi" w:cstheme="minorHAnsi"/>
          <w:i/>
        </w:rPr>
      </w:pPr>
    </w:p>
    <w:p w14:paraId="5DE5FE4C" w14:textId="1E20D66B" w:rsidR="00CF4A6B" w:rsidRPr="008E6EEC" w:rsidRDefault="00CF4A6B" w:rsidP="00CF4A6B">
      <w:pPr>
        <w:spacing w:line="240" w:lineRule="auto"/>
        <w:jc w:val="both"/>
        <w:rPr>
          <w:rFonts w:asciiTheme="minorHAnsi" w:hAnsiTheme="minorHAnsi" w:cstheme="minorHAnsi"/>
          <w:i/>
        </w:rPr>
      </w:pPr>
      <w:r w:rsidRPr="008E6EEC">
        <w:rPr>
          <w:rFonts w:asciiTheme="minorHAnsi" w:hAnsiTheme="minorHAnsi" w:cstheme="minorHAnsi"/>
          <w:i/>
        </w:rPr>
        <w:t xml:space="preserve">On-site working days:  </w:t>
      </w:r>
      <w:r w:rsidR="00BF579E">
        <w:rPr>
          <w:rFonts w:asciiTheme="minorHAnsi" w:hAnsiTheme="minorHAnsi" w:cstheme="minorHAnsi"/>
          <w:i/>
        </w:rPr>
        <w:t>2</w:t>
      </w:r>
      <w:r w:rsidR="00D60D62">
        <w:rPr>
          <w:rFonts w:asciiTheme="minorHAnsi" w:hAnsiTheme="minorHAnsi" w:cstheme="minorHAnsi"/>
          <w:i/>
        </w:rPr>
        <w:t>7</w:t>
      </w:r>
      <w:r w:rsidR="00242577">
        <w:rPr>
          <w:rFonts w:asciiTheme="minorHAnsi" w:hAnsiTheme="minorHAnsi" w:cstheme="minorHAnsi"/>
          <w:i/>
        </w:rPr>
        <w:t xml:space="preserve"> w/ds</w:t>
      </w:r>
    </w:p>
    <w:p w14:paraId="5B599728" w14:textId="77777777" w:rsidR="00CF4A6B" w:rsidRPr="008E6EEC" w:rsidRDefault="00CF4A6B" w:rsidP="00CF4A6B">
      <w:pPr>
        <w:spacing w:line="240" w:lineRule="auto"/>
        <w:jc w:val="both"/>
        <w:rPr>
          <w:rFonts w:asciiTheme="minorHAnsi" w:hAnsiTheme="minorHAnsi" w:cstheme="minorHAnsi"/>
          <w:i/>
        </w:rPr>
      </w:pPr>
    </w:p>
    <w:p w14:paraId="1708ADE7" w14:textId="77777777" w:rsidR="00CF4A6B" w:rsidRPr="008E6EEC" w:rsidRDefault="00CF4A6B" w:rsidP="00CF4A6B">
      <w:pPr>
        <w:spacing w:line="240" w:lineRule="auto"/>
        <w:jc w:val="both"/>
        <w:rPr>
          <w:rFonts w:asciiTheme="minorHAnsi" w:hAnsiTheme="minorHAnsi" w:cstheme="minorHAnsi"/>
          <w:i/>
        </w:rPr>
      </w:pPr>
      <w:r w:rsidRPr="008E6EEC">
        <w:rPr>
          <w:rFonts w:asciiTheme="minorHAnsi" w:hAnsiTheme="minorHAnsi" w:cstheme="minorHAnsi"/>
          <w:i/>
        </w:rPr>
        <w:t xml:space="preserve">Off-site working days: </w:t>
      </w:r>
      <w:r w:rsidR="00242577">
        <w:rPr>
          <w:rFonts w:asciiTheme="minorHAnsi" w:hAnsiTheme="minorHAnsi" w:cstheme="minorHAnsi"/>
          <w:i/>
        </w:rPr>
        <w:t>n/a</w:t>
      </w:r>
    </w:p>
    <w:p w14:paraId="43043EA0" w14:textId="77777777" w:rsidR="00CF4A6B" w:rsidRPr="008E6EEC" w:rsidRDefault="00CF4A6B" w:rsidP="00CF4A6B">
      <w:pPr>
        <w:spacing w:line="240" w:lineRule="auto"/>
        <w:jc w:val="both"/>
        <w:rPr>
          <w:rFonts w:asciiTheme="minorHAnsi" w:hAnsiTheme="minorHAnsi" w:cstheme="minorHAnsi"/>
          <w:i/>
        </w:rPr>
      </w:pPr>
    </w:p>
    <w:p w14:paraId="14E35373" w14:textId="77777777" w:rsidR="00CF4A6B" w:rsidRPr="008E6EEC" w:rsidRDefault="009A1305" w:rsidP="00CF4A6B">
      <w:pPr>
        <w:spacing w:line="240" w:lineRule="auto"/>
        <w:jc w:val="both"/>
        <w:rPr>
          <w:rFonts w:asciiTheme="minorHAnsi" w:hAnsiTheme="minorHAnsi" w:cstheme="minorHAnsi"/>
          <w:u w:val="single"/>
        </w:rPr>
      </w:pPr>
      <w:r w:rsidRPr="008E6EEC">
        <w:rPr>
          <w:rFonts w:asciiTheme="minorHAnsi" w:hAnsiTheme="minorHAnsi" w:cstheme="minorHAnsi"/>
          <w:i/>
          <w:u w:val="single"/>
        </w:rPr>
        <w:t>Supervisor</w:t>
      </w:r>
      <w:r w:rsidR="00CF4A6B" w:rsidRPr="008E6EEC">
        <w:rPr>
          <w:rFonts w:asciiTheme="minorHAnsi" w:hAnsiTheme="minorHAnsi" w:cstheme="minorHAnsi"/>
          <w:i/>
          <w:u w:val="single"/>
        </w:rPr>
        <w:t>:</w:t>
      </w:r>
      <w:r w:rsidR="00242577">
        <w:rPr>
          <w:rFonts w:asciiTheme="minorHAnsi" w:hAnsiTheme="minorHAnsi" w:cstheme="minorHAnsi"/>
          <w:i/>
          <w:u w:val="single"/>
        </w:rPr>
        <w:t xml:space="preserve"> </w:t>
      </w:r>
      <w:r w:rsidR="00242577" w:rsidRPr="00242577">
        <w:rPr>
          <w:rFonts w:asciiTheme="minorHAnsi" w:hAnsiTheme="minorHAnsi" w:cstheme="minorHAnsi"/>
          <w:i/>
        </w:rPr>
        <w:t>WASH Specialist (IP), UNICEF Tajikistan</w:t>
      </w:r>
    </w:p>
    <w:p w14:paraId="700515A7" w14:textId="77777777" w:rsidR="00CF4A6B" w:rsidRPr="008E6EEC" w:rsidRDefault="00CF4A6B" w:rsidP="00CF4A6B">
      <w:pPr>
        <w:spacing w:line="240" w:lineRule="auto"/>
        <w:jc w:val="both"/>
        <w:rPr>
          <w:rFonts w:asciiTheme="minorHAnsi" w:hAnsiTheme="minorHAnsi" w:cstheme="minorHAnsi"/>
        </w:rPr>
      </w:pPr>
    </w:p>
    <w:p w14:paraId="0E1C8E53" w14:textId="77777777" w:rsidR="00CF4A6B" w:rsidRPr="008E6EEC" w:rsidRDefault="00CF4A6B" w:rsidP="00CF4A6B">
      <w:pPr>
        <w:jc w:val="both"/>
        <w:rPr>
          <w:rFonts w:asciiTheme="minorHAnsi" w:hAnsiTheme="minorHAnsi" w:cstheme="minorHAnsi"/>
          <w:i/>
        </w:rPr>
      </w:pPr>
      <w:r w:rsidRPr="008E6EEC">
        <w:rPr>
          <w:rFonts w:asciiTheme="minorHAnsi" w:hAnsiTheme="minorHAnsi" w:cstheme="minorHAnsi"/>
          <w:i/>
          <w:u w:val="single"/>
        </w:rPr>
        <w:t>Reporting to</w:t>
      </w:r>
      <w:r w:rsidRPr="008E6EEC">
        <w:rPr>
          <w:rFonts w:asciiTheme="minorHAnsi" w:hAnsiTheme="minorHAnsi" w:cstheme="minorHAnsi"/>
          <w:i/>
        </w:rPr>
        <w:t xml:space="preserve">: </w:t>
      </w:r>
      <w:r w:rsidR="00242577" w:rsidRPr="00242577">
        <w:rPr>
          <w:rFonts w:asciiTheme="minorHAnsi" w:hAnsiTheme="minorHAnsi" w:cstheme="minorHAnsi"/>
          <w:i/>
        </w:rPr>
        <w:t>WASH Specialist (IP), UNICEF Tajikistan</w:t>
      </w:r>
    </w:p>
    <w:p w14:paraId="788CB3EE" w14:textId="77777777" w:rsidR="00CF4A6B" w:rsidRPr="008E6EEC" w:rsidRDefault="00CF4A6B" w:rsidP="00CF4A6B">
      <w:pPr>
        <w:spacing w:line="240" w:lineRule="auto"/>
        <w:jc w:val="both"/>
        <w:rPr>
          <w:rFonts w:asciiTheme="minorHAnsi" w:hAnsiTheme="minorHAnsi" w:cstheme="minorHAnsi"/>
          <w:i/>
        </w:rPr>
      </w:pPr>
    </w:p>
    <w:p w14:paraId="48DFB0FD" w14:textId="77777777" w:rsidR="00CF4A6B" w:rsidRPr="008E6EEC" w:rsidRDefault="00CF4A6B" w:rsidP="00CF4A6B">
      <w:pPr>
        <w:spacing w:line="240" w:lineRule="auto"/>
        <w:jc w:val="both"/>
        <w:rPr>
          <w:rFonts w:asciiTheme="minorHAnsi" w:hAnsiTheme="minorHAnsi" w:cstheme="minorHAnsi"/>
          <w:b/>
          <w:color w:val="4472C4" w:themeColor="accent1"/>
        </w:rPr>
      </w:pPr>
      <w:r w:rsidRPr="008E6EEC">
        <w:rPr>
          <w:rFonts w:asciiTheme="minorHAnsi" w:hAnsiTheme="minorHAnsi" w:cstheme="minorHAnsi"/>
          <w:b/>
          <w:color w:val="4472C4" w:themeColor="accent1"/>
        </w:rPr>
        <w:t>BACKGROUND:</w:t>
      </w:r>
    </w:p>
    <w:p w14:paraId="4895B9BE" w14:textId="77777777" w:rsidR="007010DF" w:rsidRPr="008E6EEC" w:rsidRDefault="007010DF" w:rsidP="007010DF">
      <w:pPr>
        <w:pStyle w:val="ListParagraph"/>
        <w:spacing w:line="240" w:lineRule="auto"/>
        <w:ind w:left="0"/>
        <w:contextualSpacing w:val="0"/>
        <w:jc w:val="both"/>
        <w:outlineLvl w:val="0"/>
        <w:rPr>
          <w:rFonts w:asciiTheme="minorHAnsi" w:hAnsiTheme="minorHAnsi" w:cstheme="minorHAnsi"/>
          <w:b/>
          <w:color w:val="4472C4" w:themeColor="accent1"/>
        </w:rPr>
      </w:pPr>
    </w:p>
    <w:p w14:paraId="33039414" w14:textId="77777777" w:rsidR="008B75C4" w:rsidRPr="008B75C4" w:rsidRDefault="008B75C4" w:rsidP="008B75C4">
      <w:pPr>
        <w:jc w:val="both"/>
        <w:rPr>
          <w:rFonts w:ascii="Calibri" w:hAnsi="Calibri" w:cs="Calibri"/>
        </w:rPr>
      </w:pPr>
      <w:r w:rsidRPr="008B75C4">
        <w:rPr>
          <w:rFonts w:ascii="Calibri" w:hAnsi="Calibri" w:cs="Calibri"/>
        </w:rPr>
        <w:t>Key WASH indicators for Tajikistan remains less than optimal. Tajikistan is a member of the High-Level Panel on Water launched by the World Bank and the United Nations and has announced its commitment to the Sustainable Development Goal (SDG-6) to “Ensure availability and sustainable management of water and sanitation for all”. Tajikistan also committed to achievement of the SDGs and recognized the access to WASH in schools and health facilities as important favourable conditions for sustainable development in its National Development Strategy 2030, National Water Sector Strategy (2020 – 2030) and Water and Sanitation Plans and National Programme for Children that are in the process of development and endorsement.</w:t>
      </w:r>
    </w:p>
    <w:p w14:paraId="2B5485E1" w14:textId="77777777" w:rsidR="008B75C4" w:rsidRPr="008B75C4" w:rsidRDefault="008B75C4" w:rsidP="008B75C4">
      <w:pPr>
        <w:jc w:val="both"/>
        <w:rPr>
          <w:rFonts w:ascii="Calibri" w:hAnsi="Calibri" w:cs="Calibri"/>
        </w:rPr>
      </w:pPr>
    </w:p>
    <w:p w14:paraId="64A0CE92" w14:textId="77777777" w:rsidR="008B75C4" w:rsidRDefault="008B75C4" w:rsidP="008B75C4">
      <w:pPr>
        <w:autoSpaceDE w:val="0"/>
        <w:autoSpaceDN w:val="0"/>
        <w:adjustRightInd w:val="0"/>
        <w:contextualSpacing/>
        <w:jc w:val="both"/>
        <w:rPr>
          <w:rFonts w:ascii="Calibri" w:hAnsi="Calibri" w:cs="Calibri"/>
        </w:rPr>
      </w:pPr>
      <w:r w:rsidRPr="008B75C4">
        <w:rPr>
          <w:rFonts w:ascii="Calibri" w:hAnsi="Calibri" w:cs="Calibri"/>
        </w:rPr>
        <w:lastRenderedPageBreak/>
        <w:t xml:space="preserve">To contribute to the progressive realization of the Rights of the Child and Sustainable Development Goal 6 (SDG 6), UNICEF Tajikistan introduced a WASH in Institutions component as part of the Country Program of cooperation with the government of Tajikistan. The introduction of this element is in response to the request from government to support the design and implementation of the national WASH programme and a believe that improvement of WASH infrastructure in social institutions, coupled with hygiene promotion intervention, will contribute to reducing infant deaths, preventing communicable diseases among children. </w:t>
      </w:r>
    </w:p>
    <w:p w14:paraId="08219BF9" w14:textId="77777777" w:rsidR="0012784E" w:rsidRDefault="0012784E" w:rsidP="008B75C4">
      <w:pPr>
        <w:autoSpaceDE w:val="0"/>
        <w:autoSpaceDN w:val="0"/>
        <w:adjustRightInd w:val="0"/>
        <w:contextualSpacing/>
        <w:jc w:val="both"/>
        <w:rPr>
          <w:rFonts w:ascii="Calibri" w:hAnsi="Calibri" w:cs="Calibri"/>
        </w:rPr>
      </w:pPr>
    </w:p>
    <w:p w14:paraId="0C694646" w14:textId="77777777" w:rsidR="0012784E" w:rsidRPr="0012784E" w:rsidRDefault="0012784E" w:rsidP="0012784E">
      <w:pPr>
        <w:jc w:val="both"/>
        <w:rPr>
          <w:rFonts w:asciiTheme="minorHAnsi" w:hAnsiTheme="minorHAnsi" w:cstheme="minorHAnsi"/>
        </w:rPr>
      </w:pPr>
      <w:r w:rsidRPr="0012784E">
        <w:rPr>
          <w:rFonts w:asciiTheme="minorHAnsi" w:hAnsiTheme="minorHAnsi" w:cstheme="minorHAnsi"/>
        </w:rPr>
        <w:t xml:space="preserve">According to WHO-UNICEF Joint Monitoring Programme (JMP) 2017 report, only 47.9% of people nationally in Tajikistan have access to safely managed drinking water services (improved source located at premises, available when needed, and free from microbiological and priority chemical contamination). Similarly, at national level, access to drinking water has improved from 51.2 (2001) to 81 percent (2017). For urban setting figures vary between 87 (safely managed water) to 96.2 percent (improved/basic water), with periodical upward and downward trends. Same sources report figures varying between 36 (safely managed water) and 75.6 percent (improved/basic water) for rural settlements. </w:t>
      </w:r>
    </w:p>
    <w:p w14:paraId="3DB9A25A" w14:textId="77777777" w:rsidR="0012784E" w:rsidRPr="008B75C4" w:rsidRDefault="0012784E" w:rsidP="008B75C4">
      <w:pPr>
        <w:autoSpaceDE w:val="0"/>
        <w:autoSpaceDN w:val="0"/>
        <w:adjustRightInd w:val="0"/>
        <w:contextualSpacing/>
        <w:jc w:val="both"/>
        <w:rPr>
          <w:rFonts w:ascii="Calibri" w:hAnsi="Calibri" w:cs="Calibri"/>
        </w:rPr>
      </w:pPr>
    </w:p>
    <w:p w14:paraId="44F69968" w14:textId="380E6377" w:rsidR="00455A90" w:rsidRDefault="00455A90" w:rsidP="00455A90">
      <w:pPr>
        <w:autoSpaceDE w:val="0"/>
        <w:autoSpaceDN w:val="0"/>
        <w:adjustRightInd w:val="0"/>
        <w:jc w:val="both"/>
        <w:rPr>
          <w:rFonts w:asciiTheme="minorHAnsi" w:eastAsiaTheme="minorHAnsi" w:hAnsiTheme="minorHAnsi" w:cstheme="minorHAnsi"/>
          <w:color w:val="auto"/>
          <w:lang w:val="en-US"/>
        </w:rPr>
      </w:pPr>
      <w:r w:rsidRPr="00455A90">
        <w:rPr>
          <w:rFonts w:asciiTheme="minorHAnsi" w:hAnsiTheme="minorHAnsi" w:cstheme="minorHAnsi"/>
        </w:rPr>
        <w:t xml:space="preserve">SUE-KMK is a national water and sanitation service provider with 13% service coverage nationally. The remaining fall under municipal services that are supported by </w:t>
      </w:r>
      <w:proofErr w:type="spellStart"/>
      <w:r w:rsidRPr="00455A90">
        <w:rPr>
          <w:rFonts w:asciiTheme="minorHAnsi" w:hAnsiTheme="minorHAnsi" w:cstheme="minorHAnsi"/>
        </w:rPr>
        <w:t>Vodokanals</w:t>
      </w:r>
      <w:proofErr w:type="spellEnd"/>
      <w:r w:rsidRPr="00455A90">
        <w:rPr>
          <w:rFonts w:asciiTheme="minorHAnsi" w:hAnsiTheme="minorHAnsi" w:cstheme="minorHAnsi"/>
        </w:rPr>
        <w:t xml:space="preserve">. </w:t>
      </w:r>
      <w:r w:rsidRPr="00455A90">
        <w:rPr>
          <w:rFonts w:asciiTheme="minorHAnsi" w:eastAsiaTheme="minorHAnsi" w:hAnsiTheme="minorHAnsi" w:cstheme="minorHAnsi"/>
          <w:color w:val="auto"/>
          <w:lang w:val="en-US"/>
        </w:rPr>
        <w:t>Currently, SUE KMK provides</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services in 62 cities, district centers, and urban type settlements, but only 52 of these areas</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have centralized water supply system and 29 have partial coverage by sewerage systems. Only</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5 percent of sewerage systems in rural areas are functional. Reliance on discharge into a</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sewerage system without effective treatment is a serious health consideration if pathogens</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can recirculate into the </w:t>
      </w:r>
      <w:proofErr w:type="gramStart"/>
      <w:r w:rsidRPr="00455A90">
        <w:rPr>
          <w:rFonts w:asciiTheme="minorHAnsi" w:eastAsiaTheme="minorHAnsi" w:hAnsiTheme="minorHAnsi" w:cstheme="minorHAnsi"/>
          <w:color w:val="auto"/>
          <w:lang w:val="en-US"/>
        </w:rPr>
        <w:t>environment, and</w:t>
      </w:r>
      <w:proofErr w:type="gramEnd"/>
      <w:r w:rsidRPr="00455A90">
        <w:rPr>
          <w:rFonts w:asciiTheme="minorHAnsi" w:eastAsiaTheme="minorHAnsi" w:hAnsiTheme="minorHAnsi" w:cstheme="minorHAnsi"/>
          <w:color w:val="auto"/>
          <w:lang w:val="en-US"/>
        </w:rPr>
        <w:t xml:space="preserve"> is under increased focus under the Sustainable</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Development Goals (SDGs). </w:t>
      </w:r>
    </w:p>
    <w:p w14:paraId="08BCB6FB" w14:textId="77777777" w:rsidR="00455A90" w:rsidRDefault="00455A90" w:rsidP="00455A90">
      <w:pPr>
        <w:autoSpaceDE w:val="0"/>
        <w:autoSpaceDN w:val="0"/>
        <w:adjustRightInd w:val="0"/>
        <w:jc w:val="both"/>
        <w:rPr>
          <w:rFonts w:asciiTheme="minorHAnsi" w:eastAsiaTheme="minorHAnsi" w:hAnsiTheme="minorHAnsi" w:cstheme="minorHAnsi"/>
          <w:color w:val="auto"/>
          <w:lang w:val="en-US"/>
        </w:rPr>
      </w:pPr>
    </w:p>
    <w:p w14:paraId="09D3EAD6" w14:textId="77777777" w:rsidR="00455A90" w:rsidRDefault="00455A90" w:rsidP="00455A90">
      <w:pPr>
        <w:autoSpaceDE w:val="0"/>
        <w:autoSpaceDN w:val="0"/>
        <w:adjustRightInd w:val="0"/>
        <w:jc w:val="both"/>
        <w:rPr>
          <w:rFonts w:asciiTheme="minorHAnsi" w:eastAsiaTheme="minorHAnsi" w:hAnsiTheme="minorHAnsi" w:cstheme="minorHAnsi"/>
          <w:color w:val="auto"/>
          <w:lang w:val="en-US"/>
        </w:rPr>
      </w:pPr>
      <w:r w:rsidRPr="00455A90">
        <w:rPr>
          <w:rFonts w:asciiTheme="minorHAnsi" w:eastAsiaTheme="minorHAnsi" w:hAnsiTheme="minorHAnsi" w:cstheme="minorHAnsi"/>
          <w:color w:val="auto"/>
          <w:lang w:val="en-US"/>
        </w:rPr>
        <w:t>The State Unitary Enterprise SUE KMK is the main actor with the</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widest span of assets, but it coordinates with at least seven other ministries and agencies.</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Each of these agencies, in turn, has regional and district level structures. Dedicated coordination</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and cooperation structures exist only at the national level, while local structures typically work</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independently from one another. In the current operational model, SUE KMK is the owner, regulator, and operator of all drinking</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water services in Tajikistan. It is assigned as the authorized state body responsible for drinking</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water supply and municipal services, state control and supervision of drinking water supply,</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and water quality monitoring</w:t>
      </w:r>
      <w:r>
        <w:rPr>
          <w:rFonts w:asciiTheme="minorHAnsi" w:eastAsiaTheme="minorHAnsi" w:hAnsiTheme="minorHAnsi" w:cstheme="minorHAnsi"/>
          <w:color w:val="auto"/>
          <w:lang w:val="en-US"/>
        </w:rPr>
        <w:t>.</w:t>
      </w:r>
      <w:r w:rsidRPr="00455A90">
        <w:rPr>
          <w:rFonts w:asciiTheme="minorHAnsi" w:eastAsiaTheme="minorHAnsi" w:hAnsiTheme="minorHAnsi" w:cstheme="minorHAnsi"/>
          <w:color w:val="auto"/>
          <w:lang w:val="en-US"/>
        </w:rPr>
        <w:t xml:space="preserve"> Its functions are mainly economic, but also include some</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elements of public administration. </w:t>
      </w:r>
    </w:p>
    <w:p w14:paraId="63CF1D94" w14:textId="77777777" w:rsidR="00455A90" w:rsidRDefault="00455A90" w:rsidP="00455A90">
      <w:pPr>
        <w:autoSpaceDE w:val="0"/>
        <w:autoSpaceDN w:val="0"/>
        <w:adjustRightInd w:val="0"/>
        <w:jc w:val="both"/>
        <w:rPr>
          <w:rFonts w:asciiTheme="minorHAnsi" w:eastAsiaTheme="minorHAnsi" w:hAnsiTheme="minorHAnsi" w:cstheme="minorHAnsi"/>
          <w:color w:val="auto"/>
          <w:lang w:val="en-US"/>
        </w:rPr>
      </w:pPr>
    </w:p>
    <w:p w14:paraId="4D4C7AD2" w14:textId="50A7660E" w:rsidR="00455A90" w:rsidRPr="00455A90" w:rsidRDefault="00455A90" w:rsidP="00455A90">
      <w:pPr>
        <w:autoSpaceDE w:val="0"/>
        <w:autoSpaceDN w:val="0"/>
        <w:adjustRightInd w:val="0"/>
        <w:jc w:val="both"/>
        <w:rPr>
          <w:rFonts w:asciiTheme="minorHAnsi" w:eastAsiaTheme="minorHAnsi" w:hAnsiTheme="minorHAnsi" w:cstheme="minorHAnsi"/>
          <w:color w:val="auto"/>
          <w:lang w:val="en-US"/>
        </w:rPr>
      </w:pPr>
      <w:r w:rsidRPr="00455A90">
        <w:rPr>
          <w:rFonts w:asciiTheme="minorHAnsi" w:eastAsiaTheme="minorHAnsi" w:hAnsiTheme="minorHAnsi" w:cstheme="minorHAnsi"/>
          <w:color w:val="auto"/>
          <w:lang w:val="en-US"/>
        </w:rPr>
        <w:t>The internal organigram of the KMK shows that its head</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office at the central level carries out management functions. At the same time, subsidiary</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organizations of the KMK, usually referred to as </w:t>
      </w:r>
      <w:proofErr w:type="spellStart"/>
      <w:r w:rsidRPr="00455A90">
        <w:rPr>
          <w:rFonts w:asciiTheme="minorHAnsi" w:eastAsiaTheme="minorHAnsi" w:hAnsiTheme="minorHAnsi" w:cstheme="minorHAnsi"/>
          <w:color w:val="auto"/>
          <w:lang w:val="en-US"/>
        </w:rPr>
        <w:t>Vodokanals</w:t>
      </w:r>
      <w:proofErr w:type="spellEnd"/>
      <w:r w:rsidRPr="00455A90">
        <w:rPr>
          <w:rFonts w:asciiTheme="minorHAnsi" w:eastAsiaTheme="minorHAnsi" w:hAnsiTheme="minorHAnsi" w:cstheme="minorHAnsi"/>
          <w:color w:val="auto"/>
          <w:lang w:val="en-US"/>
        </w:rPr>
        <w:t xml:space="preserve"> at the municipal level and branches</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of </w:t>
      </w:r>
      <w:proofErr w:type="spellStart"/>
      <w:r w:rsidRPr="00455A90">
        <w:rPr>
          <w:rFonts w:asciiTheme="minorHAnsi" w:eastAsiaTheme="minorHAnsi" w:hAnsiTheme="minorHAnsi" w:cstheme="minorHAnsi"/>
          <w:color w:val="auto"/>
          <w:lang w:val="en-US"/>
        </w:rPr>
        <w:t>TojikObiDehot</w:t>
      </w:r>
      <w:proofErr w:type="spellEnd"/>
      <w:r w:rsidRPr="00455A90">
        <w:rPr>
          <w:rFonts w:asciiTheme="minorHAnsi" w:eastAsiaTheme="minorHAnsi" w:hAnsiTheme="minorHAnsi" w:cstheme="minorHAnsi"/>
          <w:color w:val="auto"/>
          <w:lang w:val="en-US"/>
        </w:rPr>
        <w:t xml:space="preserve"> in the rural areas, act as service providers. In addition to holding almost exclusive operational and service provision responsibilities, the</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SUE KMK has been given the authority to design and implement state policies in public and</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municipal services. The management functions of the SUE KMK </w:t>
      </w:r>
      <w:proofErr w:type="gramStart"/>
      <w:r w:rsidRPr="00455A90">
        <w:rPr>
          <w:rFonts w:asciiTheme="minorHAnsi" w:eastAsiaTheme="minorHAnsi" w:hAnsiTheme="minorHAnsi" w:cstheme="minorHAnsi"/>
          <w:color w:val="auto"/>
          <w:lang w:val="en-US"/>
        </w:rPr>
        <w:t>has</w:t>
      </w:r>
      <w:proofErr w:type="gramEnd"/>
      <w:r w:rsidRPr="00455A90">
        <w:rPr>
          <w:rFonts w:asciiTheme="minorHAnsi" w:eastAsiaTheme="minorHAnsi" w:hAnsiTheme="minorHAnsi" w:cstheme="minorHAnsi"/>
          <w:color w:val="auto"/>
          <w:lang w:val="en-US"/>
        </w:rPr>
        <w:t xml:space="preserve"> recently expanded with</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the transfer to KMK of the Main Department of </w:t>
      </w:r>
      <w:proofErr w:type="spellStart"/>
      <w:r w:rsidRPr="00455A90">
        <w:rPr>
          <w:rFonts w:asciiTheme="minorHAnsi" w:eastAsiaTheme="minorHAnsi" w:hAnsiTheme="minorHAnsi" w:cstheme="minorHAnsi"/>
          <w:color w:val="auto"/>
          <w:lang w:val="en-US"/>
        </w:rPr>
        <w:t>TojikObiDehot</w:t>
      </w:r>
      <w:proofErr w:type="spellEnd"/>
      <w:r w:rsidRPr="00455A90">
        <w:rPr>
          <w:rFonts w:asciiTheme="minorHAnsi" w:eastAsiaTheme="minorHAnsi" w:hAnsiTheme="minorHAnsi" w:cstheme="minorHAnsi"/>
          <w:color w:val="auto"/>
          <w:lang w:val="en-US"/>
        </w:rPr>
        <w:t>, formerly responsible for rural</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water supply to population and pastures. With this transfer, SUE KMK has become a single</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institution responsible for management of both urban and rural water supply at the national</w:t>
      </w:r>
    </w:p>
    <w:p w14:paraId="06C77921" w14:textId="732852E8" w:rsidR="008B75C4" w:rsidRDefault="00455A90" w:rsidP="00455A90">
      <w:pPr>
        <w:jc w:val="both"/>
        <w:rPr>
          <w:rFonts w:asciiTheme="minorHAnsi" w:eastAsiaTheme="minorHAnsi" w:hAnsiTheme="minorHAnsi" w:cstheme="minorHAnsi"/>
          <w:color w:val="auto"/>
          <w:lang w:val="en-US"/>
        </w:rPr>
      </w:pPr>
      <w:r w:rsidRPr="00455A90">
        <w:rPr>
          <w:rFonts w:asciiTheme="minorHAnsi" w:eastAsiaTheme="minorHAnsi" w:hAnsiTheme="minorHAnsi" w:cstheme="minorHAnsi"/>
          <w:color w:val="auto"/>
          <w:lang w:val="en-US"/>
        </w:rPr>
        <w:t>level, among many other public services.</w:t>
      </w:r>
    </w:p>
    <w:p w14:paraId="6D01923A" w14:textId="7053B653" w:rsidR="00B36998" w:rsidRDefault="00B36998" w:rsidP="00455A90">
      <w:pPr>
        <w:jc w:val="both"/>
        <w:rPr>
          <w:rFonts w:asciiTheme="minorHAnsi" w:eastAsiaTheme="minorHAnsi" w:hAnsiTheme="minorHAnsi" w:cstheme="minorHAnsi"/>
          <w:color w:val="auto"/>
          <w:lang w:val="en-US"/>
        </w:rPr>
      </w:pPr>
    </w:p>
    <w:p w14:paraId="296D3059" w14:textId="77777777" w:rsidR="00B36998" w:rsidRPr="00B36998" w:rsidRDefault="00B36998" w:rsidP="00B36998">
      <w:pPr>
        <w:jc w:val="both"/>
        <w:rPr>
          <w:rFonts w:asciiTheme="minorHAnsi" w:hAnsiTheme="minorHAnsi" w:cs="Times New Roman"/>
          <w:lang w:val="en-US"/>
        </w:rPr>
      </w:pPr>
    </w:p>
    <w:p w14:paraId="5CE49096" w14:textId="4D6A0C26" w:rsidR="00B36998" w:rsidRPr="00B36998" w:rsidRDefault="00B36998" w:rsidP="00B36998">
      <w:pPr>
        <w:jc w:val="both"/>
        <w:rPr>
          <w:rFonts w:asciiTheme="minorHAnsi" w:hAnsiTheme="minorHAnsi"/>
          <w:lang w:val="en-US"/>
        </w:rPr>
      </w:pPr>
      <w:r w:rsidRPr="00B36998">
        <w:rPr>
          <w:rFonts w:asciiTheme="minorHAnsi" w:hAnsiTheme="minorHAnsi"/>
          <w:lang w:val="en-US"/>
        </w:rPr>
        <w:lastRenderedPageBreak/>
        <w:t>Available data indicates that for systems run by SUE KMK tariffs are set between TJS1.02/USD0.10</w:t>
      </w:r>
      <w:r w:rsidRPr="00B36998">
        <w:rPr>
          <w:rStyle w:val="FootnoteReference"/>
          <w:rFonts w:asciiTheme="minorHAnsi" w:hAnsiTheme="minorHAnsi"/>
          <w:lang w:val="en-US"/>
        </w:rPr>
        <w:footnoteReference w:id="1"/>
      </w:r>
      <w:r w:rsidRPr="00B36998">
        <w:rPr>
          <w:rFonts w:asciiTheme="minorHAnsi" w:hAnsiTheme="minorHAnsi"/>
          <w:lang w:val="en-US"/>
        </w:rPr>
        <w:t xml:space="preserve"> to TJS 1.32/USD0.13 per cubic meter. Tariffs for systems run by the Municipalities independently from SUE KMK are also within the same range</w:t>
      </w:r>
      <w:r>
        <w:rPr>
          <w:rFonts w:asciiTheme="minorHAnsi" w:hAnsiTheme="minorHAnsi"/>
          <w:lang w:val="en-US"/>
        </w:rPr>
        <w:t xml:space="preserve">. </w:t>
      </w:r>
      <w:r w:rsidRPr="00B36998">
        <w:rPr>
          <w:rFonts w:asciiTheme="minorHAnsi" w:hAnsiTheme="minorHAnsi"/>
          <w:lang w:val="en-US"/>
        </w:rPr>
        <w:t>On average, the tariff for all KMK systems are estimated at TJS1.09/USD0.11 per cubic meter. However, according to KMK these tariffs are significantly lower than full-cost recovery level, which is estimated at 4.0TJS/USD0.39 per cubic meter on average</w:t>
      </w:r>
      <w:r w:rsidRPr="00B36998">
        <w:rPr>
          <w:rStyle w:val="FootnoteReference"/>
          <w:rFonts w:asciiTheme="minorHAnsi" w:hAnsiTheme="minorHAnsi"/>
          <w:lang w:val="en-US"/>
        </w:rPr>
        <w:footnoteReference w:id="2"/>
      </w:r>
      <w:r w:rsidRPr="00B36998">
        <w:rPr>
          <w:rFonts w:asciiTheme="minorHAnsi" w:hAnsiTheme="minorHAnsi"/>
          <w:lang w:val="en-US"/>
        </w:rPr>
        <w:t>. Correspondingly, present tariffs for state-run water supply services both in urban and rural settings are within a range of 25% to 3</w:t>
      </w:r>
      <w:r>
        <w:rPr>
          <w:rFonts w:asciiTheme="minorHAnsi" w:hAnsiTheme="minorHAnsi"/>
          <w:lang w:val="en-US"/>
        </w:rPr>
        <w:t>3</w:t>
      </w:r>
      <w:r w:rsidRPr="00B36998">
        <w:rPr>
          <w:rFonts w:asciiTheme="minorHAnsi" w:hAnsiTheme="minorHAnsi"/>
          <w:lang w:val="en-US"/>
        </w:rPr>
        <w:t xml:space="preserve">% of full cost recovery. </w:t>
      </w:r>
    </w:p>
    <w:p w14:paraId="478BBB8F" w14:textId="77777777" w:rsidR="00B36998" w:rsidRPr="00B36998" w:rsidRDefault="00B36998" w:rsidP="00B36998">
      <w:pPr>
        <w:jc w:val="both"/>
        <w:rPr>
          <w:rFonts w:asciiTheme="minorHAnsi" w:hAnsiTheme="minorHAnsi"/>
          <w:lang w:val="en-US"/>
        </w:rPr>
      </w:pPr>
    </w:p>
    <w:p w14:paraId="55873FBA" w14:textId="7A22FC1C" w:rsidR="00B36998" w:rsidRPr="00B36998" w:rsidRDefault="00B36998" w:rsidP="00B36998">
      <w:pPr>
        <w:jc w:val="both"/>
        <w:rPr>
          <w:rFonts w:asciiTheme="minorHAnsi" w:hAnsiTheme="minorHAnsi"/>
          <w:lang w:val="en-US"/>
        </w:rPr>
      </w:pPr>
      <w:r w:rsidRPr="00B36998">
        <w:rPr>
          <w:rFonts w:asciiTheme="minorHAnsi" w:hAnsiTheme="minorHAnsi"/>
          <w:lang w:val="en-US"/>
        </w:rPr>
        <w:t xml:space="preserve">In addition, as of 2017, SUE KMK has reported on the indebtedness of its customers (private households and state institutions) at around 5.3mln USD, of which 3.3mln USD are debts from private households for housing and communal services (water, sewerage, waste, </w:t>
      </w:r>
      <w:proofErr w:type="spellStart"/>
      <w:r w:rsidRPr="00B36998">
        <w:rPr>
          <w:rFonts w:asciiTheme="minorHAnsi" w:hAnsiTheme="minorHAnsi"/>
          <w:lang w:val="en-US"/>
        </w:rPr>
        <w:t>etc</w:t>
      </w:r>
      <w:proofErr w:type="spellEnd"/>
      <w:r w:rsidRPr="00B36998">
        <w:rPr>
          <w:rFonts w:asciiTheme="minorHAnsi" w:hAnsiTheme="minorHAnsi"/>
          <w:lang w:val="en-US"/>
        </w:rPr>
        <w:t>). About</w:t>
      </w:r>
      <w:r w:rsidRPr="00B36998">
        <w:rPr>
          <w:rFonts w:asciiTheme="minorHAnsi" w:hAnsiTheme="minorHAnsi"/>
          <w:b/>
          <w:lang w:val="en-US"/>
        </w:rPr>
        <w:t xml:space="preserve"> </w:t>
      </w:r>
      <w:r w:rsidRPr="00B36998">
        <w:rPr>
          <w:rFonts w:asciiTheme="minorHAnsi" w:hAnsiTheme="minorHAnsi"/>
          <w:lang w:val="en-US"/>
        </w:rPr>
        <w:t>4.1mln USD debts to SUE KMK are the result of unpaid fees for water supply</w:t>
      </w:r>
      <w:r w:rsidRPr="00B36998">
        <w:rPr>
          <w:rStyle w:val="FootnoteReference"/>
          <w:rFonts w:asciiTheme="minorHAnsi" w:hAnsiTheme="minorHAnsi"/>
          <w:lang w:val="en-US"/>
        </w:rPr>
        <w:footnoteReference w:id="3"/>
      </w:r>
      <w:r w:rsidRPr="00B36998">
        <w:rPr>
          <w:rFonts w:asciiTheme="minorHAnsi" w:hAnsiTheme="minorHAnsi"/>
          <w:lang w:val="en-US"/>
        </w:rPr>
        <w:t>. A series of attempts by SUE KMK to approve full-cost recovery tariffs at the level of TJS4.0 /USD0.39/m</w:t>
      </w:r>
      <w:r w:rsidRPr="00B36998">
        <w:rPr>
          <w:rFonts w:asciiTheme="minorHAnsi" w:hAnsiTheme="minorHAnsi"/>
          <w:vertAlign w:val="superscript"/>
          <w:lang w:val="en-US"/>
        </w:rPr>
        <w:t>3</w:t>
      </w:r>
      <w:r w:rsidRPr="00B36998">
        <w:rPr>
          <w:rFonts w:asciiTheme="minorHAnsi" w:hAnsiTheme="minorHAnsi"/>
          <w:lang w:val="en-US"/>
        </w:rPr>
        <w:t xml:space="preserve"> has </w:t>
      </w:r>
      <w:r w:rsidR="004D3E83">
        <w:rPr>
          <w:rFonts w:asciiTheme="minorHAnsi" w:hAnsiTheme="minorHAnsi"/>
          <w:lang w:val="en-US"/>
        </w:rPr>
        <w:t xml:space="preserve">not been </w:t>
      </w:r>
      <w:r w:rsidR="004D3E83" w:rsidRPr="004D3E83">
        <w:rPr>
          <w:rFonts w:asciiTheme="minorHAnsi" w:hAnsiTheme="minorHAnsi" w:cstheme="minorHAnsi"/>
          <w:lang w:val="en-US"/>
        </w:rPr>
        <w:t xml:space="preserve">approved </w:t>
      </w:r>
      <w:r w:rsidRPr="004D3E83">
        <w:rPr>
          <w:rFonts w:asciiTheme="minorHAnsi" w:hAnsiTheme="minorHAnsi" w:cstheme="minorHAnsi"/>
          <w:lang w:val="en-US"/>
        </w:rPr>
        <w:t>by the responsible regulating agencies</w:t>
      </w:r>
      <w:r w:rsidR="004D3E83" w:rsidRPr="004D3E83">
        <w:rPr>
          <w:rFonts w:asciiTheme="minorHAnsi" w:hAnsiTheme="minorHAnsi" w:cstheme="minorHAnsi"/>
          <w:lang w:val="en-US"/>
        </w:rPr>
        <w:t xml:space="preserve"> </w:t>
      </w:r>
      <w:r w:rsidR="004D3E83" w:rsidRPr="00222F4D">
        <w:rPr>
          <w:rFonts w:asciiTheme="minorHAnsi" w:hAnsiTheme="minorHAnsi" w:cstheme="minorHAnsi"/>
          <w:lang w:val="en-US"/>
        </w:rPr>
        <w:t xml:space="preserve"> (Antimonopoly Agency that approved the tariffs) </w:t>
      </w:r>
      <w:r w:rsidRPr="004D3E83">
        <w:rPr>
          <w:rFonts w:asciiTheme="minorHAnsi" w:hAnsiTheme="minorHAnsi" w:cstheme="minorHAnsi"/>
          <w:lang w:val="en-US"/>
        </w:rPr>
        <w:t>, but instead</w:t>
      </w:r>
      <w:r w:rsidRPr="00B36998">
        <w:rPr>
          <w:rFonts w:asciiTheme="minorHAnsi" w:hAnsiTheme="minorHAnsi"/>
          <w:lang w:val="en-US"/>
        </w:rPr>
        <w:t xml:space="preserve"> have advocated for gradual tariff improvements over time. It is currently hard to assess whether such gradual improvements will eventually reach full-cost recovery in the nearest future.</w:t>
      </w:r>
    </w:p>
    <w:p w14:paraId="5FCAC461" w14:textId="77777777" w:rsidR="00B36998" w:rsidRPr="00B36998" w:rsidRDefault="00B36998" w:rsidP="00B36998">
      <w:pPr>
        <w:jc w:val="both"/>
        <w:rPr>
          <w:rFonts w:asciiTheme="minorHAnsi" w:hAnsiTheme="minorHAnsi"/>
          <w:lang w:val="en-US"/>
        </w:rPr>
      </w:pPr>
    </w:p>
    <w:p w14:paraId="00DC98F4" w14:textId="56A84105" w:rsidR="00B36998" w:rsidRPr="00B36998" w:rsidRDefault="00B36998" w:rsidP="00B36998">
      <w:pPr>
        <w:jc w:val="both"/>
        <w:rPr>
          <w:rFonts w:asciiTheme="minorHAnsi" w:hAnsiTheme="minorHAnsi"/>
          <w:lang w:val="en-US"/>
        </w:rPr>
      </w:pPr>
      <w:r>
        <w:rPr>
          <w:rFonts w:asciiTheme="minorHAnsi" w:hAnsiTheme="minorHAnsi"/>
          <w:lang w:val="en-US"/>
        </w:rPr>
        <w:t>A</w:t>
      </w:r>
      <w:r w:rsidRPr="00B36998">
        <w:rPr>
          <w:rFonts w:asciiTheme="minorHAnsi" w:hAnsiTheme="minorHAnsi"/>
          <w:lang w:val="en-US"/>
        </w:rPr>
        <w:t xml:space="preserve">vailable reports indicate, payments from water users in form of investments and water fees are subject to </w:t>
      </w:r>
      <w:proofErr w:type="gramStart"/>
      <w:r w:rsidRPr="00B36998">
        <w:rPr>
          <w:rFonts w:asciiTheme="minorHAnsi" w:hAnsiTheme="minorHAnsi"/>
          <w:lang w:val="en-US"/>
        </w:rPr>
        <w:t>a number of</w:t>
      </w:r>
      <w:proofErr w:type="gramEnd"/>
      <w:r w:rsidRPr="00B36998">
        <w:rPr>
          <w:rFonts w:asciiTheme="minorHAnsi" w:hAnsiTheme="minorHAnsi"/>
          <w:lang w:val="en-US"/>
        </w:rPr>
        <w:t xml:space="preserve"> conditions, such as - improved service provision, provider’s accountability, operational transparency, billing mechanisms, and etc. Consumer satisfaction is key towards improved collection rates</w:t>
      </w:r>
      <w:r w:rsidRPr="00B36998">
        <w:rPr>
          <w:rStyle w:val="FootnoteReference"/>
          <w:rFonts w:asciiTheme="minorHAnsi" w:hAnsiTheme="minorHAnsi"/>
          <w:lang w:val="en-US"/>
        </w:rPr>
        <w:footnoteReference w:id="4"/>
      </w:r>
      <w:r w:rsidRPr="00B36998">
        <w:rPr>
          <w:rFonts w:asciiTheme="minorHAnsi" w:hAnsiTheme="minorHAnsi"/>
          <w:lang w:val="en-US"/>
        </w:rPr>
        <w:t>. Alongside consumer views, the service providing entities demand that tariffs must increase to full-cost recovery or at least improve towards the level that cover at least O&amp;M costs (approximately 60-70% of full cost recovery)</w:t>
      </w:r>
      <w:r w:rsidRPr="00B36998">
        <w:rPr>
          <w:rStyle w:val="FootnoteReference"/>
          <w:rFonts w:asciiTheme="minorHAnsi" w:hAnsiTheme="minorHAnsi"/>
          <w:lang w:val="en-US"/>
        </w:rPr>
        <w:footnoteReference w:id="5"/>
      </w:r>
      <w:r w:rsidRPr="00B36998">
        <w:rPr>
          <w:rFonts w:asciiTheme="minorHAnsi" w:hAnsiTheme="minorHAnsi"/>
          <w:lang w:val="en-US"/>
        </w:rPr>
        <w:t xml:space="preserve">. </w:t>
      </w:r>
    </w:p>
    <w:p w14:paraId="29E488B5" w14:textId="77777777" w:rsidR="00B36998" w:rsidRPr="00B36998" w:rsidRDefault="00B36998" w:rsidP="00B36998">
      <w:pPr>
        <w:jc w:val="both"/>
        <w:rPr>
          <w:rFonts w:asciiTheme="minorHAnsi" w:hAnsiTheme="minorHAnsi"/>
          <w:lang w:val="en-US"/>
        </w:rPr>
      </w:pPr>
    </w:p>
    <w:p w14:paraId="3F5D46D8" w14:textId="37DF5F35" w:rsidR="00B36998" w:rsidRPr="00B36998" w:rsidRDefault="00B36998" w:rsidP="00B36998">
      <w:pPr>
        <w:jc w:val="both"/>
        <w:rPr>
          <w:rFonts w:asciiTheme="minorHAnsi" w:hAnsiTheme="minorHAnsi"/>
          <w:lang w:val="en-US"/>
        </w:rPr>
      </w:pPr>
      <w:r w:rsidRPr="00B36998">
        <w:rPr>
          <w:rFonts w:asciiTheme="minorHAnsi" w:hAnsiTheme="minorHAnsi"/>
          <w:lang w:val="en-US"/>
        </w:rPr>
        <w:t xml:space="preserve">According to </w:t>
      </w:r>
      <w:proofErr w:type="spellStart"/>
      <w:r w:rsidRPr="00B36998">
        <w:rPr>
          <w:rFonts w:asciiTheme="minorHAnsi" w:hAnsiTheme="minorHAnsi"/>
          <w:lang w:val="en-US"/>
        </w:rPr>
        <w:t>TajWSS</w:t>
      </w:r>
      <w:proofErr w:type="spellEnd"/>
      <w:r w:rsidRPr="00B36998">
        <w:rPr>
          <w:rStyle w:val="FootnoteReference"/>
          <w:rFonts w:asciiTheme="minorHAnsi" w:hAnsiTheme="minorHAnsi"/>
          <w:lang w:val="en-US"/>
        </w:rPr>
        <w:footnoteReference w:id="6"/>
      </w:r>
      <w:r w:rsidRPr="00B36998">
        <w:rPr>
          <w:rFonts w:asciiTheme="minorHAnsi" w:hAnsiTheme="minorHAnsi"/>
          <w:lang w:val="en-US"/>
        </w:rPr>
        <w:t xml:space="preserve"> Project experience, achieving full-cost recovery tariff does not immediately lead to sustainability. Affordability and willingness to pay higher tariffs must be accompanied with addressing mutual objections present within the duty-bearer and rights-holder network. Reportedly, collection rates have largely been below recovery level even for rightly functioning systems</w:t>
      </w:r>
      <w:r w:rsidRPr="00B36998">
        <w:rPr>
          <w:rStyle w:val="FootnoteReference"/>
          <w:rFonts w:asciiTheme="minorHAnsi" w:hAnsiTheme="minorHAnsi"/>
          <w:lang w:val="en-US"/>
        </w:rPr>
        <w:footnoteReference w:id="7"/>
      </w:r>
      <w:r w:rsidRPr="00B36998">
        <w:rPr>
          <w:rFonts w:asciiTheme="minorHAnsi" w:hAnsiTheme="minorHAnsi"/>
          <w:lang w:val="en-US"/>
        </w:rPr>
        <w:t xml:space="preserve">. </w:t>
      </w:r>
    </w:p>
    <w:p w14:paraId="7873AF8F" w14:textId="0F54428F" w:rsidR="00B36998" w:rsidRDefault="00B36998" w:rsidP="00B36998">
      <w:pPr>
        <w:jc w:val="both"/>
        <w:rPr>
          <w:rFonts w:asciiTheme="minorHAnsi" w:hAnsiTheme="minorHAnsi"/>
          <w:lang w:val="en-US"/>
        </w:rPr>
      </w:pPr>
    </w:p>
    <w:p w14:paraId="2E8A144F" w14:textId="385803F6" w:rsidR="00B36998" w:rsidRPr="00B36998" w:rsidRDefault="00B36998" w:rsidP="00B36998">
      <w:pPr>
        <w:jc w:val="both"/>
        <w:rPr>
          <w:rFonts w:asciiTheme="minorHAnsi" w:hAnsiTheme="minorHAnsi"/>
          <w:lang w:val="en-US"/>
        </w:rPr>
      </w:pPr>
      <w:r>
        <w:rPr>
          <w:rFonts w:asciiTheme="minorHAnsi" w:hAnsiTheme="minorHAnsi"/>
          <w:lang w:val="en-US"/>
        </w:rPr>
        <w:t xml:space="preserve">A key issue is also poor awareness on recognizing water as an economic good by the consumers and understanding that willingness to pay required tariff will also result in availability of sufficient quantity of safe drinking water and the required O&amp;M costs will be supported. </w:t>
      </w:r>
    </w:p>
    <w:p w14:paraId="568686B6" w14:textId="77777777" w:rsidR="00B36998" w:rsidRPr="00455A90" w:rsidRDefault="00B36998" w:rsidP="00455A90">
      <w:pPr>
        <w:jc w:val="both"/>
        <w:rPr>
          <w:rFonts w:asciiTheme="minorHAnsi" w:hAnsiTheme="minorHAnsi" w:cstheme="minorHAnsi"/>
        </w:rPr>
      </w:pPr>
    </w:p>
    <w:p w14:paraId="632408A5" w14:textId="116C85E6" w:rsidR="00B36998" w:rsidRDefault="00B36998" w:rsidP="00CF4A6B">
      <w:pPr>
        <w:adjustRightInd w:val="0"/>
        <w:snapToGrid w:val="0"/>
        <w:spacing w:line="240" w:lineRule="auto"/>
        <w:jc w:val="both"/>
        <w:rPr>
          <w:rFonts w:asciiTheme="minorHAnsi" w:hAnsiTheme="minorHAnsi" w:cstheme="minorHAnsi"/>
        </w:rPr>
      </w:pPr>
    </w:p>
    <w:p w14:paraId="0B598147" w14:textId="77777777" w:rsidR="002A4054" w:rsidRDefault="002A4054" w:rsidP="00CF4A6B">
      <w:pPr>
        <w:adjustRightInd w:val="0"/>
        <w:snapToGrid w:val="0"/>
        <w:spacing w:line="240" w:lineRule="auto"/>
        <w:jc w:val="both"/>
        <w:rPr>
          <w:rFonts w:asciiTheme="minorHAnsi" w:hAnsiTheme="minorHAnsi" w:cstheme="minorHAnsi"/>
          <w:b/>
          <w:color w:val="4472C4" w:themeColor="accent1"/>
        </w:rPr>
      </w:pPr>
    </w:p>
    <w:p w14:paraId="45307F47" w14:textId="336FCD4E" w:rsidR="00CF4A6B" w:rsidRPr="008E6EEC" w:rsidRDefault="00F303A1" w:rsidP="00CF4A6B">
      <w:pPr>
        <w:adjustRightInd w:val="0"/>
        <w:snapToGrid w:val="0"/>
        <w:spacing w:line="240" w:lineRule="auto"/>
        <w:jc w:val="both"/>
        <w:rPr>
          <w:rFonts w:asciiTheme="minorHAnsi" w:hAnsiTheme="minorHAnsi" w:cstheme="minorHAnsi"/>
          <w:b/>
          <w:color w:val="4472C4" w:themeColor="accent1"/>
        </w:rPr>
      </w:pPr>
      <w:r w:rsidRPr="00F303A1">
        <w:rPr>
          <w:rFonts w:asciiTheme="minorHAnsi" w:hAnsiTheme="minorHAnsi" w:cstheme="minorHAnsi"/>
          <w:b/>
          <w:color w:val="4472C4" w:themeColor="accent1"/>
        </w:rPr>
        <w:lastRenderedPageBreak/>
        <w:t>PURPOSE</w:t>
      </w:r>
      <w:r w:rsidR="00CF4A6B" w:rsidRPr="008E6EEC">
        <w:rPr>
          <w:rFonts w:asciiTheme="minorHAnsi" w:hAnsiTheme="minorHAnsi" w:cstheme="minorHAnsi"/>
          <w:b/>
          <w:color w:val="4472C4" w:themeColor="accent1"/>
        </w:rPr>
        <w:t>:</w:t>
      </w:r>
    </w:p>
    <w:p w14:paraId="708F9970" w14:textId="77777777" w:rsidR="00CF4A6B" w:rsidRPr="008E6EEC" w:rsidRDefault="00CF4A6B" w:rsidP="00CF4A6B">
      <w:pPr>
        <w:adjustRightInd w:val="0"/>
        <w:snapToGrid w:val="0"/>
        <w:spacing w:line="240" w:lineRule="auto"/>
        <w:jc w:val="both"/>
        <w:rPr>
          <w:rFonts w:asciiTheme="minorHAnsi" w:eastAsia="Calibri" w:hAnsiTheme="minorHAnsi" w:cstheme="minorHAnsi"/>
          <w:bCs/>
          <w:color w:val="auto"/>
          <w:lang w:val="fr-FR" w:eastAsia="fr-FR"/>
        </w:rPr>
      </w:pPr>
    </w:p>
    <w:p w14:paraId="1336526F" w14:textId="4119EF62" w:rsidR="00B36998" w:rsidRDefault="008B75C4" w:rsidP="0012784E">
      <w:pPr>
        <w:spacing w:line="240" w:lineRule="auto"/>
        <w:jc w:val="both"/>
        <w:rPr>
          <w:rFonts w:asciiTheme="minorHAnsi" w:hAnsiTheme="minorHAnsi" w:cstheme="minorHAnsi"/>
        </w:rPr>
      </w:pPr>
      <w:r w:rsidRPr="008B75C4">
        <w:rPr>
          <w:rFonts w:ascii="Calibri" w:hAnsi="Calibri" w:cs="Calibri"/>
        </w:rPr>
        <w:t>Under the overall oversight of the Chief, Health and Nutrition, direct supervision of WASH Specialist (internati</w:t>
      </w:r>
      <w:r w:rsidR="0012784E">
        <w:rPr>
          <w:rFonts w:ascii="Calibri" w:hAnsi="Calibri" w:cs="Calibri"/>
        </w:rPr>
        <w:t xml:space="preserve">onal </w:t>
      </w:r>
      <w:r w:rsidRPr="008B75C4">
        <w:rPr>
          <w:rFonts w:ascii="Calibri" w:hAnsi="Calibri" w:cs="Calibri"/>
        </w:rPr>
        <w:t xml:space="preserve">Professional), the Consultant will provide technical guidance and support to the </w:t>
      </w:r>
      <w:r w:rsidR="00455A90">
        <w:rPr>
          <w:rFonts w:ascii="Calibri" w:hAnsi="Calibri" w:cs="Calibri"/>
        </w:rPr>
        <w:t>State Unitary Enterprise –</w:t>
      </w:r>
      <w:r w:rsidR="00455A90" w:rsidRPr="0012784E">
        <w:t xml:space="preserve"> </w:t>
      </w:r>
      <w:proofErr w:type="spellStart"/>
      <w:r w:rsidR="00455A90" w:rsidRPr="0012784E">
        <w:rPr>
          <w:rFonts w:asciiTheme="minorHAnsi" w:hAnsiTheme="minorHAnsi" w:cstheme="minorHAnsi"/>
        </w:rPr>
        <w:t>Khojagii</w:t>
      </w:r>
      <w:proofErr w:type="spellEnd"/>
      <w:r w:rsidR="00455A90" w:rsidRPr="0012784E">
        <w:rPr>
          <w:rFonts w:asciiTheme="minorHAnsi" w:hAnsiTheme="minorHAnsi" w:cstheme="minorHAnsi"/>
        </w:rPr>
        <w:t xml:space="preserve"> </w:t>
      </w:r>
      <w:proofErr w:type="spellStart"/>
      <w:r w:rsidR="00455A90" w:rsidRPr="0012784E">
        <w:rPr>
          <w:rFonts w:asciiTheme="minorHAnsi" w:hAnsiTheme="minorHAnsi" w:cstheme="minorHAnsi"/>
        </w:rPr>
        <w:t>Manziliyu</w:t>
      </w:r>
      <w:proofErr w:type="spellEnd"/>
      <w:r w:rsidR="00455A90" w:rsidRPr="0012784E">
        <w:rPr>
          <w:rFonts w:asciiTheme="minorHAnsi" w:hAnsiTheme="minorHAnsi" w:cstheme="minorHAnsi"/>
        </w:rPr>
        <w:t xml:space="preserve"> </w:t>
      </w:r>
      <w:proofErr w:type="spellStart"/>
      <w:r w:rsidR="00455A90" w:rsidRPr="0012784E">
        <w:rPr>
          <w:rFonts w:asciiTheme="minorHAnsi" w:hAnsiTheme="minorHAnsi" w:cstheme="minorHAnsi"/>
        </w:rPr>
        <w:t>Kommunali</w:t>
      </w:r>
      <w:proofErr w:type="spellEnd"/>
      <w:r w:rsidR="00455A90" w:rsidRPr="0012784E">
        <w:rPr>
          <w:rFonts w:asciiTheme="minorHAnsi" w:hAnsiTheme="minorHAnsi" w:cstheme="minorHAnsi"/>
        </w:rPr>
        <w:t xml:space="preserve"> </w:t>
      </w:r>
      <w:r w:rsidR="00455A90">
        <w:rPr>
          <w:rFonts w:asciiTheme="minorHAnsi" w:hAnsiTheme="minorHAnsi" w:cstheme="minorHAnsi"/>
        </w:rPr>
        <w:t xml:space="preserve">(SUE-KMK) on </w:t>
      </w:r>
      <w:r w:rsidR="00B36998" w:rsidRPr="00B36998">
        <w:rPr>
          <w:rFonts w:ascii="Calibri" w:hAnsi="Calibri" w:cs="Calibri"/>
        </w:rPr>
        <w:t>development of tariff setting strategy for water supply and sanitation services with emphasis on effective community engagement and at the same time assess and identify key areas of capacity development for improving community engagement and customer focus.</w:t>
      </w:r>
    </w:p>
    <w:p w14:paraId="68A790B7" w14:textId="77777777" w:rsidR="008B75C4" w:rsidRPr="008E6EEC" w:rsidRDefault="008B75C4" w:rsidP="00E03B83">
      <w:pPr>
        <w:spacing w:line="240" w:lineRule="auto"/>
        <w:jc w:val="both"/>
        <w:rPr>
          <w:rFonts w:asciiTheme="minorHAnsi" w:hAnsiTheme="minorHAnsi" w:cstheme="minorHAnsi"/>
        </w:rPr>
      </w:pPr>
    </w:p>
    <w:p w14:paraId="7F679B09" w14:textId="77777777" w:rsidR="00CF4A6B" w:rsidRPr="008E6EEC" w:rsidRDefault="00CF4A6B" w:rsidP="00CF4A6B">
      <w:pPr>
        <w:adjustRightInd w:val="0"/>
        <w:snapToGrid w:val="0"/>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 xml:space="preserve">DESCRIPTION OF </w:t>
      </w:r>
      <w:r w:rsidR="00D00C11" w:rsidRPr="008E6EEC">
        <w:rPr>
          <w:rFonts w:asciiTheme="minorHAnsi" w:eastAsia="Times New Roman" w:hAnsiTheme="minorHAnsi" w:cstheme="minorHAnsi"/>
          <w:b/>
          <w:color w:val="4472C4" w:themeColor="accent1"/>
        </w:rPr>
        <w:t xml:space="preserve">THE </w:t>
      </w:r>
      <w:r w:rsidRPr="008E6EEC">
        <w:rPr>
          <w:rFonts w:asciiTheme="minorHAnsi" w:eastAsia="Times New Roman" w:hAnsiTheme="minorHAnsi" w:cstheme="minorHAnsi"/>
          <w:b/>
          <w:color w:val="4472C4" w:themeColor="accent1"/>
        </w:rPr>
        <w:t>ASSIGNMENT:</w:t>
      </w:r>
    </w:p>
    <w:p w14:paraId="70E872B6" w14:textId="77777777" w:rsidR="00BE6CBE" w:rsidRPr="00BE6CBE" w:rsidRDefault="00BE6CBE" w:rsidP="00BE6CBE">
      <w:pPr>
        <w:shd w:val="clear" w:color="auto" w:fill="FFFFFF"/>
        <w:spacing w:line="240" w:lineRule="auto"/>
        <w:jc w:val="both"/>
        <w:textAlignment w:val="baseline"/>
        <w:rPr>
          <w:rFonts w:asciiTheme="minorHAnsi" w:hAnsiTheme="minorHAnsi" w:cstheme="minorHAnsi"/>
          <w:lang w:val="en-US"/>
        </w:rPr>
      </w:pPr>
    </w:p>
    <w:p w14:paraId="3BE4D8C1" w14:textId="5BB20C03" w:rsidR="00BE6CBE" w:rsidRPr="00BE6CBE" w:rsidRDefault="00455A90" w:rsidP="00BE6CBE">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Pr>
          <w:rFonts w:asciiTheme="minorHAnsi" w:hAnsiTheme="minorHAnsi" w:cstheme="minorHAnsi"/>
          <w:lang w:val="en-US"/>
        </w:rPr>
        <w:t>Carry out an inception meeting with SUE-KMK and establish full understanding of the required expectation regarding the scope of the assignment and develop a detailed workplan</w:t>
      </w:r>
      <w:r w:rsidR="00C40444">
        <w:rPr>
          <w:rFonts w:asciiTheme="minorHAnsi" w:hAnsiTheme="minorHAnsi" w:cstheme="minorHAnsi"/>
          <w:lang w:val="en-US"/>
        </w:rPr>
        <w:t>.</w:t>
      </w:r>
    </w:p>
    <w:p w14:paraId="31AE5F9A" w14:textId="4F9329A9" w:rsidR="00C40444" w:rsidRDefault="00455A90" w:rsidP="00C40444">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Pr>
          <w:rFonts w:asciiTheme="minorHAnsi" w:hAnsiTheme="minorHAnsi" w:cstheme="minorHAnsi"/>
          <w:lang w:val="en-US"/>
        </w:rPr>
        <w:t xml:space="preserve">Review of </w:t>
      </w:r>
      <w:r w:rsidR="00BE6CBE">
        <w:rPr>
          <w:rFonts w:asciiTheme="minorHAnsi" w:hAnsiTheme="minorHAnsi" w:cstheme="minorHAnsi"/>
          <w:lang w:val="en-US"/>
        </w:rPr>
        <w:t xml:space="preserve">existing tariffs and strategy set on pricing of water and sanitation services by </w:t>
      </w:r>
      <w:r>
        <w:rPr>
          <w:rFonts w:asciiTheme="minorHAnsi" w:hAnsiTheme="minorHAnsi" w:cstheme="minorHAnsi"/>
          <w:lang w:val="en-US"/>
        </w:rPr>
        <w:t>SUE-KMK</w:t>
      </w:r>
      <w:r w:rsidR="00BE6CBE">
        <w:rPr>
          <w:rFonts w:asciiTheme="minorHAnsi" w:hAnsiTheme="minorHAnsi" w:cstheme="minorHAnsi"/>
          <w:lang w:val="en-US"/>
        </w:rPr>
        <w:t xml:space="preserve"> and other key documents </w:t>
      </w:r>
      <w:r w:rsidR="00C40444">
        <w:rPr>
          <w:rFonts w:asciiTheme="minorHAnsi" w:hAnsiTheme="minorHAnsi" w:cstheme="minorHAnsi"/>
          <w:lang w:val="en-US"/>
        </w:rPr>
        <w:t>on water pricing by UNDP and TAJWSS.</w:t>
      </w:r>
    </w:p>
    <w:p w14:paraId="28803D57" w14:textId="77777777" w:rsidR="00C40444" w:rsidRDefault="00455A90" w:rsidP="00C40444">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sidRPr="00C40444">
        <w:rPr>
          <w:rFonts w:asciiTheme="minorHAnsi" w:hAnsiTheme="minorHAnsi" w:cstheme="minorHAnsi"/>
          <w:lang w:val="en-US"/>
        </w:rPr>
        <w:t xml:space="preserve">Carry out bilateral meetings/consultations with UNICEF and other key government and development partners to gather </w:t>
      </w:r>
      <w:r w:rsidR="00C40444">
        <w:rPr>
          <w:rFonts w:asciiTheme="minorHAnsi" w:hAnsiTheme="minorHAnsi" w:cstheme="minorHAnsi"/>
          <w:lang w:val="en-US"/>
        </w:rPr>
        <w:t xml:space="preserve">information on key challenges, bottlenecks and other factors involved that are hindering the full cost recovery. </w:t>
      </w:r>
    </w:p>
    <w:p w14:paraId="54ABBD99" w14:textId="3C444F72" w:rsidR="00455A90" w:rsidRDefault="00AD4EAC" w:rsidP="00C40444">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Pr>
          <w:rFonts w:asciiTheme="minorHAnsi" w:hAnsiTheme="minorHAnsi" w:cstheme="minorHAnsi"/>
          <w:lang w:val="en-US"/>
        </w:rPr>
        <w:t>Identify and r</w:t>
      </w:r>
      <w:r w:rsidR="003F20CF">
        <w:rPr>
          <w:rFonts w:asciiTheme="minorHAnsi" w:hAnsiTheme="minorHAnsi" w:cstheme="minorHAnsi"/>
          <w:lang w:val="en-US"/>
        </w:rPr>
        <w:t>eview</w:t>
      </w:r>
      <w:r w:rsidR="00C40444">
        <w:rPr>
          <w:rFonts w:asciiTheme="minorHAnsi" w:hAnsiTheme="minorHAnsi" w:cstheme="minorHAnsi"/>
          <w:lang w:val="en-US"/>
        </w:rPr>
        <w:t xml:space="preserve"> tariff models used by other countries in and out of the central Asian region with similar challenges </w:t>
      </w:r>
      <w:r w:rsidR="00FE2B4B">
        <w:rPr>
          <w:rFonts w:asciiTheme="minorHAnsi" w:hAnsiTheme="minorHAnsi" w:cstheme="minorHAnsi"/>
          <w:lang w:val="en-US"/>
        </w:rPr>
        <w:t xml:space="preserve">and </w:t>
      </w:r>
      <w:r w:rsidR="00C40444">
        <w:rPr>
          <w:rFonts w:asciiTheme="minorHAnsi" w:hAnsiTheme="minorHAnsi" w:cstheme="minorHAnsi"/>
          <w:lang w:val="en-US"/>
        </w:rPr>
        <w:t xml:space="preserve">present to key stakeholders with potential recommendations. </w:t>
      </w:r>
      <w:r w:rsidR="00455A90" w:rsidRPr="00C40444">
        <w:rPr>
          <w:rFonts w:asciiTheme="minorHAnsi" w:hAnsiTheme="minorHAnsi" w:cstheme="minorHAnsi"/>
          <w:lang w:val="en-US"/>
        </w:rPr>
        <w:t xml:space="preserve"> </w:t>
      </w:r>
    </w:p>
    <w:p w14:paraId="7164A953" w14:textId="4AC4F112" w:rsidR="00C40444" w:rsidRPr="00C40444" w:rsidRDefault="00C40444" w:rsidP="00C40444">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Pr>
          <w:rFonts w:asciiTheme="minorHAnsi" w:hAnsiTheme="minorHAnsi" w:cstheme="minorHAnsi"/>
          <w:lang w:val="en-US"/>
        </w:rPr>
        <w:t>Develop relevant tools and carry out a capacity assessment of KMK on potential engagement with community and customer feedback/services mechanism.</w:t>
      </w:r>
    </w:p>
    <w:p w14:paraId="7CE7AE8A" w14:textId="6DF1B021" w:rsidR="00286664" w:rsidRDefault="00286664" w:rsidP="00286664">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Pr>
          <w:rFonts w:asciiTheme="minorHAnsi" w:hAnsiTheme="minorHAnsi" w:cstheme="minorHAnsi"/>
          <w:lang w:val="en-US"/>
        </w:rPr>
        <w:t>Develop strategy on potential ways to set new tariffs for water supply and sanitation services to increase the full cost recover</w:t>
      </w:r>
      <w:r w:rsidR="0079350A">
        <w:rPr>
          <w:rFonts w:asciiTheme="minorHAnsi" w:hAnsiTheme="minorHAnsi" w:cstheme="minorHAnsi"/>
          <w:lang w:val="en-US"/>
        </w:rPr>
        <w:t>y</w:t>
      </w:r>
      <w:r>
        <w:rPr>
          <w:rFonts w:asciiTheme="minorHAnsi" w:hAnsiTheme="minorHAnsi" w:cstheme="minorHAnsi"/>
          <w:lang w:val="en-US"/>
        </w:rPr>
        <w:t xml:space="preserve"> and reduce losses to maintain quality of services. This will also have a key emphasis on community/customer engagement strategies that may potentially improve ownership, </w:t>
      </w:r>
      <w:r w:rsidRPr="00B300A3">
        <w:rPr>
          <w:rFonts w:asciiTheme="minorHAnsi" w:hAnsiTheme="minorHAnsi" w:cstheme="minorHAnsi"/>
          <w:lang w:val="en-US"/>
        </w:rPr>
        <w:t>willingness to pay</w:t>
      </w:r>
      <w:r>
        <w:rPr>
          <w:rFonts w:asciiTheme="minorHAnsi" w:hAnsiTheme="minorHAnsi" w:cstheme="minorHAnsi"/>
          <w:lang w:val="en-US"/>
        </w:rPr>
        <w:t xml:space="preserve"> and </w:t>
      </w:r>
      <w:r w:rsidRPr="00F0464C">
        <w:rPr>
          <w:rFonts w:asciiTheme="minorHAnsi" w:hAnsiTheme="minorHAnsi" w:cstheme="minorHAnsi"/>
          <w:lang w:val="en-US"/>
        </w:rPr>
        <w:t xml:space="preserve">support based on principles of </w:t>
      </w:r>
      <w:r w:rsidRPr="00F0464C">
        <w:rPr>
          <w:rFonts w:asciiTheme="minorHAnsi" w:hAnsiTheme="minorHAnsi" w:cstheme="minorHAnsi"/>
          <w:i/>
          <w:iCs/>
          <w:lang w:val="en-US"/>
        </w:rPr>
        <w:t>demand and supply</w:t>
      </w:r>
      <w:r w:rsidRPr="00F0464C">
        <w:rPr>
          <w:rFonts w:asciiTheme="minorHAnsi" w:hAnsiTheme="minorHAnsi" w:cstheme="minorHAnsi"/>
          <w:lang w:val="en-US"/>
        </w:rPr>
        <w:t xml:space="preserve"> and </w:t>
      </w:r>
      <w:r w:rsidRPr="00F0464C">
        <w:rPr>
          <w:rFonts w:asciiTheme="minorHAnsi" w:hAnsiTheme="minorHAnsi" w:cstheme="minorHAnsi"/>
          <w:i/>
          <w:iCs/>
          <w:lang w:val="en-US"/>
        </w:rPr>
        <w:t>trust between operator and consumer</w:t>
      </w:r>
      <w:r w:rsidRPr="00F0464C">
        <w:rPr>
          <w:rFonts w:asciiTheme="minorHAnsi" w:hAnsiTheme="minorHAnsi" w:cstheme="minorHAnsi"/>
          <w:lang w:val="en-US"/>
        </w:rPr>
        <w:t>.</w:t>
      </w:r>
      <w:r>
        <w:rPr>
          <w:rFonts w:asciiTheme="minorHAnsi" w:hAnsiTheme="minorHAnsi" w:cstheme="minorHAnsi"/>
          <w:lang w:val="en-US"/>
        </w:rPr>
        <w:t xml:space="preserve"> </w:t>
      </w:r>
    </w:p>
    <w:p w14:paraId="17A39C57" w14:textId="00611796" w:rsidR="00455A90" w:rsidRPr="00455A90" w:rsidRDefault="00455A90" w:rsidP="00F11AD6">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Pr>
          <w:rFonts w:asciiTheme="minorHAnsi" w:hAnsiTheme="minorHAnsi" w:cstheme="minorHAnsi"/>
          <w:lang w:val="en-US"/>
        </w:rPr>
        <w:t>Submission of final report that is reviewed and accepted by UNICEF and SUE-KMK</w:t>
      </w:r>
      <w:r w:rsidR="00C40444">
        <w:rPr>
          <w:rFonts w:asciiTheme="minorHAnsi" w:hAnsiTheme="minorHAnsi" w:cstheme="minorHAnsi"/>
          <w:lang w:val="en-US"/>
        </w:rPr>
        <w:t>.</w:t>
      </w:r>
    </w:p>
    <w:p w14:paraId="4056735D" w14:textId="77777777" w:rsidR="00704A70" w:rsidRPr="00D02AA9" w:rsidRDefault="00704A70" w:rsidP="00D02AA9">
      <w:pPr>
        <w:pStyle w:val="ListParagraph"/>
        <w:shd w:val="clear" w:color="auto" w:fill="FFFFFF"/>
        <w:spacing w:line="240" w:lineRule="auto"/>
        <w:ind w:left="360"/>
        <w:jc w:val="both"/>
        <w:textAlignment w:val="baseline"/>
        <w:rPr>
          <w:rFonts w:asciiTheme="minorHAnsi" w:eastAsia="Times New Roman" w:hAnsiTheme="minorHAnsi" w:cstheme="minorHAnsi"/>
          <w:color w:val="auto"/>
          <w:lang w:val="en-US"/>
        </w:rPr>
      </w:pPr>
    </w:p>
    <w:p w14:paraId="57E4CC27" w14:textId="77777777" w:rsidR="00E83853" w:rsidRPr="008E6EEC" w:rsidRDefault="00E83853" w:rsidP="00CF4A6B">
      <w:pPr>
        <w:spacing w:line="240" w:lineRule="auto"/>
        <w:jc w:val="both"/>
        <w:rPr>
          <w:rFonts w:asciiTheme="minorHAnsi" w:eastAsia="Times New Roman" w:hAnsiTheme="minorHAnsi" w:cstheme="minorHAnsi"/>
          <w:b/>
          <w:color w:val="4472C4" w:themeColor="accent1"/>
        </w:rPr>
      </w:pPr>
    </w:p>
    <w:p w14:paraId="7F78D8CB" w14:textId="77777777" w:rsidR="00CF4A6B" w:rsidRPr="008E6EEC" w:rsidRDefault="00CF4A6B" w:rsidP="00CF4A6B">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KEY DELIVERABLES</w:t>
      </w:r>
      <w:r w:rsidR="007D2263">
        <w:rPr>
          <w:rFonts w:asciiTheme="minorHAnsi" w:eastAsia="Times New Roman" w:hAnsiTheme="minorHAnsi" w:cstheme="minorHAnsi"/>
          <w:b/>
          <w:color w:val="4472C4" w:themeColor="accent1"/>
        </w:rPr>
        <w:t>/TIMEFRAME/PAYMENT SCHEDULE</w:t>
      </w:r>
      <w:r w:rsidRPr="008E6EEC">
        <w:rPr>
          <w:rFonts w:asciiTheme="minorHAnsi" w:eastAsia="Times New Roman" w:hAnsiTheme="minorHAnsi" w:cstheme="minorHAnsi"/>
          <w:b/>
          <w:color w:val="4472C4" w:themeColor="accent1"/>
        </w:rPr>
        <w:t>:</w:t>
      </w:r>
    </w:p>
    <w:p w14:paraId="5A21E1C6" w14:textId="77777777" w:rsidR="00CF4A6B" w:rsidRDefault="00CF4A6B" w:rsidP="00CF4A6B">
      <w:pPr>
        <w:pStyle w:val="DefaultText"/>
        <w:jc w:val="both"/>
        <w:rPr>
          <w:rFonts w:asciiTheme="minorHAnsi" w:hAnsiTheme="minorHAnsi" w:cstheme="minorHAnsi"/>
          <w:bCs/>
          <w:iCs/>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626"/>
        <w:gridCol w:w="1414"/>
        <w:gridCol w:w="1445"/>
      </w:tblGrid>
      <w:tr w:rsidR="00685D13" w:rsidRPr="00CE2150" w14:paraId="2DFB6B4B" w14:textId="77777777" w:rsidTr="002A4054">
        <w:trPr>
          <w:trHeight w:val="458"/>
          <w:jc w:val="center"/>
        </w:trPr>
        <w:tc>
          <w:tcPr>
            <w:tcW w:w="3505" w:type="dxa"/>
            <w:vAlign w:val="center"/>
          </w:tcPr>
          <w:p w14:paraId="60DF56D9" w14:textId="77777777" w:rsidR="00685D13" w:rsidRPr="00CE2150" w:rsidRDefault="00685D13" w:rsidP="00685D13">
            <w:pPr>
              <w:jc w:val="center"/>
              <w:rPr>
                <w:rFonts w:ascii="Calibri" w:hAnsi="Calibri"/>
              </w:rPr>
            </w:pPr>
            <w:r w:rsidRPr="00362E5C">
              <w:rPr>
                <w:rFonts w:asciiTheme="minorHAnsi" w:hAnsiTheme="minorHAnsi" w:cstheme="minorHAnsi"/>
                <w:b/>
              </w:rPr>
              <w:t>Tasks/Milestone</w:t>
            </w:r>
          </w:p>
        </w:tc>
        <w:tc>
          <w:tcPr>
            <w:tcW w:w="3626" w:type="dxa"/>
            <w:vAlign w:val="center"/>
          </w:tcPr>
          <w:p w14:paraId="7313AE93" w14:textId="77777777" w:rsidR="00685D13" w:rsidRPr="00CE2150" w:rsidRDefault="00685D13" w:rsidP="00685D13">
            <w:pPr>
              <w:shd w:val="clear" w:color="auto" w:fill="FFFFFF"/>
              <w:jc w:val="center"/>
              <w:rPr>
                <w:rFonts w:ascii="Calibri" w:hAnsi="Calibri"/>
                <w:b/>
              </w:rPr>
            </w:pPr>
            <w:r w:rsidRPr="00362E5C">
              <w:rPr>
                <w:rFonts w:ascii="Calibri" w:eastAsia="Arial Unicode MS" w:hAnsi="Calibri" w:cs="Calibri"/>
                <w:b/>
                <w:bCs/>
                <w:color w:val="auto"/>
                <w:lang w:val="en-AU"/>
              </w:rPr>
              <w:t>Deliverables/Outputs</w:t>
            </w:r>
          </w:p>
        </w:tc>
        <w:tc>
          <w:tcPr>
            <w:tcW w:w="1414" w:type="dxa"/>
            <w:vAlign w:val="center"/>
          </w:tcPr>
          <w:p w14:paraId="551D453F" w14:textId="77777777" w:rsidR="00685D13" w:rsidRPr="00CE2150" w:rsidRDefault="00685D13" w:rsidP="00685D13">
            <w:pPr>
              <w:shd w:val="clear" w:color="auto" w:fill="FFFFFF"/>
              <w:jc w:val="center"/>
              <w:rPr>
                <w:rFonts w:ascii="Calibri" w:hAnsi="Calibri"/>
                <w:b/>
              </w:rPr>
            </w:pPr>
            <w:r>
              <w:rPr>
                <w:rFonts w:asciiTheme="minorHAnsi" w:hAnsiTheme="minorHAnsi" w:cstheme="minorHAnsi"/>
                <w:b/>
              </w:rPr>
              <w:t>Number</w:t>
            </w:r>
            <w:r w:rsidRPr="008E6EEC">
              <w:rPr>
                <w:rFonts w:asciiTheme="minorHAnsi" w:hAnsiTheme="minorHAnsi" w:cstheme="minorHAnsi"/>
                <w:b/>
              </w:rPr>
              <w:t xml:space="preserve"> of days</w:t>
            </w:r>
          </w:p>
        </w:tc>
        <w:tc>
          <w:tcPr>
            <w:tcW w:w="1445" w:type="dxa"/>
            <w:vAlign w:val="center"/>
          </w:tcPr>
          <w:p w14:paraId="5EF667DD" w14:textId="77777777" w:rsidR="00685D13" w:rsidRPr="00CE2150" w:rsidRDefault="00685D13" w:rsidP="00685D13">
            <w:pPr>
              <w:shd w:val="clear" w:color="auto" w:fill="FFFFFF"/>
              <w:jc w:val="center"/>
              <w:rPr>
                <w:rFonts w:ascii="Calibri" w:hAnsi="Calibri"/>
                <w:b/>
              </w:rPr>
            </w:pPr>
            <w:r w:rsidRPr="008E6EEC">
              <w:rPr>
                <w:rFonts w:asciiTheme="minorHAnsi" w:hAnsiTheme="minorHAnsi" w:cstheme="minorHAnsi"/>
                <w:b/>
              </w:rPr>
              <w:t>Payment schedule</w:t>
            </w:r>
          </w:p>
        </w:tc>
      </w:tr>
      <w:tr w:rsidR="002A4054" w:rsidRPr="00224FCC" w14:paraId="2A74F384" w14:textId="77777777" w:rsidTr="002A4054">
        <w:trPr>
          <w:trHeight w:val="1700"/>
          <w:jc w:val="center"/>
        </w:trPr>
        <w:tc>
          <w:tcPr>
            <w:tcW w:w="3505" w:type="dxa"/>
            <w:shd w:val="clear" w:color="auto" w:fill="auto"/>
            <w:vAlign w:val="center"/>
          </w:tcPr>
          <w:p w14:paraId="29074D4D" w14:textId="6F5F0605" w:rsidR="002A4054" w:rsidRPr="00455A90" w:rsidRDefault="002A4054" w:rsidP="002A4054">
            <w:pPr>
              <w:pStyle w:val="ListParagraph"/>
              <w:numPr>
                <w:ilvl w:val="0"/>
                <w:numId w:val="6"/>
              </w:numPr>
              <w:shd w:val="clear" w:color="auto" w:fill="FFFFFF"/>
              <w:spacing w:line="240" w:lineRule="auto"/>
              <w:textAlignment w:val="baseline"/>
              <w:rPr>
                <w:rFonts w:asciiTheme="minorHAnsi" w:hAnsiTheme="minorHAnsi" w:cstheme="minorHAnsi"/>
                <w:b/>
                <w:bCs/>
                <w:sz w:val="20"/>
                <w:szCs w:val="20"/>
                <w:lang w:val="en-US"/>
              </w:rPr>
            </w:pPr>
            <w:r w:rsidRPr="00455A90">
              <w:rPr>
                <w:rFonts w:asciiTheme="minorHAnsi" w:hAnsiTheme="minorHAnsi" w:cstheme="minorHAnsi"/>
                <w:b/>
                <w:bCs/>
                <w:sz w:val="20"/>
                <w:szCs w:val="20"/>
                <w:lang w:val="en-US"/>
              </w:rPr>
              <w:t>Carry out an inception meeting with SUE-KMK and establish full understanding of the required expectation regarding the scope of the assignment and develop a detailed workplan</w:t>
            </w:r>
          </w:p>
          <w:p w14:paraId="3C655154" w14:textId="1D1FAC9E" w:rsidR="002A4054" w:rsidRPr="00455A90" w:rsidRDefault="002A4054" w:rsidP="002A4054">
            <w:pPr>
              <w:shd w:val="clear" w:color="auto" w:fill="FFFFFF"/>
              <w:spacing w:line="240" w:lineRule="auto"/>
              <w:textAlignment w:val="baseline"/>
              <w:rPr>
                <w:rFonts w:asciiTheme="minorHAnsi" w:hAnsiTheme="minorHAnsi" w:cstheme="minorHAnsi"/>
                <w:bCs/>
                <w:sz w:val="20"/>
                <w:szCs w:val="20"/>
                <w:lang w:val="en-US"/>
              </w:rPr>
            </w:pPr>
          </w:p>
        </w:tc>
        <w:tc>
          <w:tcPr>
            <w:tcW w:w="3626" w:type="dxa"/>
            <w:vAlign w:val="center"/>
          </w:tcPr>
          <w:p w14:paraId="5F2CB66E" w14:textId="62DD9D4D" w:rsidR="002A4054" w:rsidRPr="00455A90" w:rsidRDefault="002A4054" w:rsidP="002A4054">
            <w:pPr>
              <w:spacing w:line="240" w:lineRule="auto"/>
              <w:rPr>
                <w:rFonts w:asciiTheme="minorHAnsi" w:hAnsiTheme="minorHAnsi" w:cstheme="minorHAnsi"/>
                <w:color w:val="auto"/>
                <w:sz w:val="20"/>
                <w:szCs w:val="20"/>
              </w:rPr>
            </w:pPr>
            <w:r w:rsidRPr="00A4563C">
              <w:rPr>
                <w:rFonts w:asciiTheme="minorHAnsi" w:hAnsiTheme="minorHAnsi" w:cstheme="minorHAnsi"/>
                <w:color w:val="auto"/>
                <w:sz w:val="20"/>
                <w:szCs w:val="20"/>
              </w:rPr>
              <w:t xml:space="preserve">Inception report covering outline, methodology, resources required, workplan, timelines, </w:t>
            </w:r>
            <w:r w:rsidRPr="00A4563C">
              <w:rPr>
                <w:rFonts w:asciiTheme="minorHAnsi" w:eastAsia="Times New Roman" w:hAnsiTheme="minorHAnsi" w:cstheme="minorHAnsi"/>
                <w:color w:val="auto"/>
                <w:sz w:val="20"/>
                <w:szCs w:val="20"/>
                <w:lang w:val="en-US"/>
              </w:rPr>
              <w:t xml:space="preserve">objectives, outcomes, activities, </w:t>
            </w:r>
            <w:r w:rsidRPr="00A4563C">
              <w:rPr>
                <w:rFonts w:asciiTheme="minorHAnsi" w:hAnsiTheme="minorHAnsi" w:cstheme="minorHAnsi"/>
                <w:color w:val="auto"/>
                <w:sz w:val="20"/>
                <w:szCs w:val="20"/>
              </w:rPr>
              <w:t xml:space="preserve">key </w:t>
            </w:r>
            <w:proofErr w:type="gramStart"/>
            <w:r w:rsidRPr="00A4563C">
              <w:rPr>
                <w:rFonts w:asciiTheme="minorHAnsi" w:hAnsiTheme="minorHAnsi" w:cstheme="minorHAnsi"/>
                <w:color w:val="auto"/>
                <w:sz w:val="20"/>
                <w:szCs w:val="20"/>
              </w:rPr>
              <w:t>indicators</w:t>
            </w:r>
            <w:proofErr w:type="gramEnd"/>
            <w:r w:rsidRPr="00A4563C">
              <w:rPr>
                <w:rFonts w:asciiTheme="minorHAnsi" w:hAnsiTheme="minorHAnsi" w:cstheme="minorHAnsi"/>
                <w:color w:val="auto"/>
                <w:sz w:val="20"/>
                <w:szCs w:val="20"/>
              </w:rPr>
              <w:t xml:space="preserve"> and process to be followed for the delivery of all parts of the assignment</w:t>
            </w:r>
            <w:r>
              <w:rPr>
                <w:rFonts w:asciiTheme="minorHAnsi" w:hAnsiTheme="minorHAnsi" w:cstheme="minorHAnsi"/>
                <w:color w:val="auto"/>
                <w:sz w:val="20"/>
                <w:szCs w:val="20"/>
              </w:rPr>
              <w:t xml:space="preserve"> on the basis of the discussion with SUE-KMK</w:t>
            </w:r>
            <w:r w:rsidRPr="00A4563C">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and UNICEF. </w:t>
            </w:r>
          </w:p>
        </w:tc>
        <w:tc>
          <w:tcPr>
            <w:tcW w:w="1414" w:type="dxa"/>
            <w:vAlign w:val="center"/>
          </w:tcPr>
          <w:p w14:paraId="515F8735" w14:textId="638F0867" w:rsidR="002A4054" w:rsidRPr="00455A90" w:rsidRDefault="002A4054" w:rsidP="002A4054">
            <w:pPr>
              <w:shd w:val="clear" w:color="auto" w:fill="FFFFFF"/>
              <w:ind w:left="360"/>
              <w:rPr>
                <w:rFonts w:asciiTheme="minorHAnsi" w:hAnsiTheme="minorHAnsi" w:cstheme="minorHAnsi"/>
                <w:bCs/>
                <w:sz w:val="20"/>
                <w:szCs w:val="20"/>
              </w:rPr>
            </w:pPr>
            <w:r>
              <w:rPr>
                <w:rFonts w:asciiTheme="minorHAnsi" w:hAnsiTheme="minorHAnsi" w:cstheme="minorHAnsi"/>
                <w:bCs/>
                <w:sz w:val="20"/>
                <w:szCs w:val="20"/>
              </w:rPr>
              <w:t xml:space="preserve">2 </w:t>
            </w:r>
            <w:r w:rsidRPr="00455A90">
              <w:rPr>
                <w:rFonts w:asciiTheme="minorHAnsi" w:hAnsiTheme="minorHAnsi" w:cstheme="minorHAnsi"/>
                <w:bCs/>
                <w:sz w:val="20"/>
                <w:szCs w:val="20"/>
              </w:rPr>
              <w:t>days</w:t>
            </w:r>
          </w:p>
        </w:tc>
        <w:tc>
          <w:tcPr>
            <w:tcW w:w="1445" w:type="dxa"/>
            <w:vMerge w:val="restart"/>
            <w:vAlign w:val="center"/>
          </w:tcPr>
          <w:p w14:paraId="58D2CFA6" w14:textId="670E5266" w:rsidR="002A4054" w:rsidRPr="00455A90" w:rsidRDefault="002A4054" w:rsidP="002A4054">
            <w:pPr>
              <w:shd w:val="clear" w:color="auto" w:fill="FFFFFF"/>
              <w:rPr>
                <w:rFonts w:asciiTheme="minorHAnsi" w:hAnsiTheme="minorHAnsi" w:cstheme="minorHAnsi"/>
                <w:bCs/>
                <w:sz w:val="20"/>
                <w:szCs w:val="20"/>
              </w:rPr>
            </w:pPr>
            <w:r w:rsidRPr="00455A90">
              <w:rPr>
                <w:rFonts w:asciiTheme="minorHAnsi" w:hAnsiTheme="minorHAnsi" w:cstheme="minorHAnsi"/>
                <w:bCs/>
                <w:sz w:val="20"/>
                <w:szCs w:val="20"/>
              </w:rPr>
              <w:t xml:space="preserve">100% payment on submission and acceptance of the final report. </w:t>
            </w:r>
          </w:p>
        </w:tc>
      </w:tr>
      <w:tr w:rsidR="002A4054" w:rsidRPr="00224FCC" w14:paraId="0E64F928" w14:textId="77777777" w:rsidTr="002A4054">
        <w:trPr>
          <w:trHeight w:val="50"/>
          <w:jc w:val="center"/>
        </w:trPr>
        <w:tc>
          <w:tcPr>
            <w:tcW w:w="3505" w:type="dxa"/>
            <w:shd w:val="clear" w:color="auto" w:fill="auto"/>
          </w:tcPr>
          <w:p w14:paraId="2E3B3551" w14:textId="77777777" w:rsidR="002A4054" w:rsidRPr="00C40444" w:rsidRDefault="002A4054" w:rsidP="002A4054">
            <w:pPr>
              <w:pStyle w:val="ListParagraph"/>
              <w:numPr>
                <w:ilvl w:val="0"/>
                <w:numId w:val="6"/>
              </w:numPr>
              <w:shd w:val="clear" w:color="auto" w:fill="FFFFFF"/>
              <w:spacing w:line="240" w:lineRule="auto"/>
              <w:textAlignment w:val="baseline"/>
              <w:rPr>
                <w:rFonts w:asciiTheme="minorHAnsi" w:hAnsiTheme="minorHAnsi" w:cstheme="minorHAnsi"/>
                <w:b/>
                <w:bCs/>
                <w:lang w:val="en-US"/>
              </w:rPr>
            </w:pPr>
            <w:r w:rsidRPr="00C40444">
              <w:rPr>
                <w:rFonts w:asciiTheme="minorHAnsi" w:hAnsiTheme="minorHAnsi" w:cstheme="minorHAnsi"/>
                <w:b/>
                <w:bCs/>
                <w:lang w:val="en-US"/>
              </w:rPr>
              <w:t>Review of existing tariffs and strategy set on pricing of water and sanitation services by SUE-KMK and other key documents on water pricing by UNDP and TAJWSS.</w:t>
            </w:r>
          </w:p>
          <w:p w14:paraId="4D606D82" w14:textId="0165820F" w:rsidR="002A4054" w:rsidRPr="00455A90" w:rsidRDefault="002A4054" w:rsidP="002A4054">
            <w:pPr>
              <w:pStyle w:val="ListParagraph"/>
              <w:shd w:val="clear" w:color="auto" w:fill="FFFFFF"/>
              <w:spacing w:line="240" w:lineRule="auto"/>
              <w:ind w:left="360"/>
              <w:textAlignment w:val="baseline"/>
              <w:rPr>
                <w:rFonts w:asciiTheme="minorHAnsi" w:hAnsiTheme="minorHAnsi" w:cstheme="minorHAnsi"/>
                <w:b/>
                <w:bCs/>
                <w:sz w:val="20"/>
                <w:szCs w:val="20"/>
                <w:lang w:val="en-US"/>
              </w:rPr>
            </w:pPr>
          </w:p>
        </w:tc>
        <w:tc>
          <w:tcPr>
            <w:tcW w:w="3626" w:type="dxa"/>
          </w:tcPr>
          <w:p w14:paraId="66C76E80" w14:textId="176E08E6" w:rsidR="002A4054" w:rsidRPr="00E7688B" w:rsidRDefault="002A4054" w:rsidP="002A4054">
            <w:pPr>
              <w:pStyle w:val="ListParagraph"/>
              <w:numPr>
                <w:ilvl w:val="0"/>
                <w:numId w:val="5"/>
              </w:numPr>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t>D</w:t>
            </w:r>
            <w:r w:rsidRPr="00E7688B">
              <w:rPr>
                <w:rFonts w:asciiTheme="minorHAnsi" w:hAnsiTheme="minorHAnsi" w:cstheme="minorHAnsi"/>
                <w:color w:val="auto"/>
                <w:sz w:val="20"/>
                <w:szCs w:val="20"/>
              </w:rPr>
              <w:t xml:space="preserve">etailed review of all documents including existing tariff, policy documents, strategies, </w:t>
            </w:r>
            <w:proofErr w:type="spellStart"/>
            <w:proofErr w:type="gramStart"/>
            <w:r w:rsidRPr="00E7688B">
              <w:rPr>
                <w:rFonts w:asciiTheme="minorHAnsi" w:hAnsiTheme="minorHAnsi" w:cstheme="minorHAnsi"/>
                <w:color w:val="auto"/>
                <w:sz w:val="20"/>
                <w:szCs w:val="20"/>
              </w:rPr>
              <w:t>SoPs</w:t>
            </w:r>
            <w:proofErr w:type="spellEnd"/>
            <w:proofErr w:type="gramEnd"/>
            <w:r w:rsidRPr="00E7688B">
              <w:rPr>
                <w:rFonts w:asciiTheme="minorHAnsi" w:hAnsiTheme="minorHAnsi" w:cstheme="minorHAnsi"/>
                <w:color w:val="auto"/>
                <w:sz w:val="20"/>
                <w:szCs w:val="20"/>
              </w:rPr>
              <w:t xml:space="preserve"> and key reports by development sector partners on water and sanitation tariffs and challenges involved in Tajikistan</w:t>
            </w:r>
            <w:r>
              <w:rPr>
                <w:rFonts w:asciiTheme="minorHAnsi" w:hAnsiTheme="minorHAnsi" w:cstheme="minorHAnsi"/>
                <w:color w:val="auto"/>
                <w:sz w:val="20"/>
                <w:szCs w:val="20"/>
              </w:rPr>
              <w:t xml:space="preserve"> is completed.</w:t>
            </w:r>
          </w:p>
          <w:p w14:paraId="7873C8AA" w14:textId="2ACB72F3" w:rsidR="002A4054" w:rsidRPr="00222F4D" w:rsidRDefault="002A4054" w:rsidP="002A4054">
            <w:pPr>
              <w:pStyle w:val="ListParagraph"/>
              <w:spacing w:line="240" w:lineRule="auto"/>
              <w:ind w:left="360"/>
              <w:rPr>
                <w:rFonts w:asciiTheme="minorHAnsi" w:hAnsiTheme="minorHAnsi" w:cstheme="minorHAnsi"/>
                <w:sz w:val="20"/>
                <w:szCs w:val="20"/>
              </w:rPr>
            </w:pPr>
            <w:r>
              <w:rPr>
                <w:rFonts w:asciiTheme="minorHAnsi" w:hAnsiTheme="minorHAnsi" w:cstheme="minorHAnsi"/>
                <w:color w:val="auto"/>
                <w:sz w:val="20"/>
                <w:szCs w:val="20"/>
              </w:rPr>
              <w:t>F</w:t>
            </w:r>
            <w:r w:rsidRPr="00E7688B">
              <w:rPr>
                <w:rFonts w:asciiTheme="minorHAnsi" w:hAnsiTheme="minorHAnsi" w:cstheme="minorHAnsi"/>
                <w:color w:val="auto"/>
                <w:sz w:val="20"/>
                <w:szCs w:val="20"/>
              </w:rPr>
              <w:t xml:space="preserve">indings of the review </w:t>
            </w:r>
            <w:r>
              <w:rPr>
                <w:rFonts w:asciiTheme="minorHAnsi" w:hAnsiTheme="minorHAnsi" w:cstheme="minorHAnsi"/>
                <w:color w:val="auto"/>
                <w:sz w:val="20"/>
                <w:szCs w:val="20"/>
              </w:rPr>
              <w:t xml:space="preserve">are shared </w:t>
            </w:r>
            <w:r w:rsidRPr="00E7688B">
              <w:rPr>
                <w:rFonts w:asciiTheme="minorHAnsi" w:hAnsiTheme="minorHAnsi" w:cstheme="minorHAnsi"/>
                <w:color w:val="auto"/>
                <w:sz w:val="20"/>
                <w:szCs w:val="20"/>
              </w:rPr>
              <w:t>and key areas of discussion to gather feedback</w:t>
            </w:r>
            <w:r>
              <w:rPr>
                <w:rFonts w:asciiTheme="minorHAnsi" w:hAnsiTheme="minorHAnsi" w:cstheme="minorHAnsi"/>
                <w:color w:val="auto"/>
                <w:sz w:val="20"/>
                <w:szCs w:val="20"/>
              </w:rPr>
              <w:t xml:space="preserve"> are presented to relevant stakeholder</w:t>
            </w:r>
          </w:p>
        </w:tc>
        <w:tc>
          <w:tcPr>
            <w:tcW w:w="1414" w:type="dxa"/>
          </w:tcPr>
          <w:p w14:paraId="0CE6100E" w14:textId="18A490A3" w:rsidR="002A4054" w:rsidRPr="00A4563C" w:rsidRDefault="002A4054" w:rsidP="002A4054">
            <w:pPr>
              <w:shd w:val="clear" w:color="auto" w:fill="FFFFFF"/>
              <w:jc w:val="center"/>
              <w:rPr>
                <w:rFonts w:asciiTheme="minorHAnsi" w:hAnsiTheme="minorHAnsi" w:cstheme="minorHAnsi"/>
                <w:b/>
                <w:caps/>
                <w:sz w:val="20"/>
                <w:szCs w:val="20"/>
                <w:highlight w:val="yellow"/>
              </w:rPr>
            </w:pPr>
            <w:r>
              <w:rPr>
                <w:rFonts w:asciiTheme="minorHAnsi" w:hAnsiTheme="minorHAnsi" w:cstheme="minorHAnsi"/>
                <w:sz w:val="20"/>
                <w:szCs w:val="20"/>
              </w:rPr>
              <w:t>10</w:t>
            </w:r>
            <w:r w:rsidRPr="00A4563C">
              <w:rPr>
                <w:rFonts w:asciiTheme="minorHAnsi" w:hAnsiTheme="minorHAnsi" w:cstheme="minorHAnsi"/>
                <w:sz w:val="20"/>
                <w:szCs w:val="20"/>
              </w:rPr>
              <w:t xml:space="preserve"> days</w:t>
            </w:r>
          </w:p>
        </w:tc>
        <w:tc>
          <w:tcPr>
            <w:tcW w:w="1445" w:type="dxa"/>
            <w:vMerge/>
            <w:shd w:val="clear" w:color="auto" w:fill="auto"/>
          </w:tcPr>
          <w:p w14:paraId="7102AAF2" w14:textId="0DEBC7A3" w:rsidR="002A4054" w:rsidRPr="00A4563C" w:rsidRDefault="002A4054" w:rsidP="002A4054">
            <w:pPr>
              <w:shd w:val="clear" w:color="auto" w:fill="FFFFFF"/>
              <w:rPr>
                <w:rFonts w:asciiTheme="minorHAnsi" w:hAnsiTheme="minorHAnsi" w:cstheme="minorHAnsi"/>
                <w:sz w:val="20"/>
                <w:szCs w:val="20"/>
                <w:highlight w:val="yellow"/>
              </w:rPr>
            </w:pPr>
          </w:p>
        </w:tc>
      </w:tr>
      <w:tr w:rsidR="002A4054" w:rsidRPr="00224FCC" w14:paraId="6AB3F912" w14:textId="77777777" w:rsidTr="002A4054">
        <w:trPr>
          <w:trHeight w:val="1592"/>
          <w:jc w:val="center"/>
        </w:trPr>
        <w:tc>
          <w:tcPr>
            <w:tcW w:w="3505" w:type="dxa"/>
            <w:shd w:val="clear" w:color="auto" w:fill="auto"/>
          </w:tcPr>
          <w:p w14:paraId="778FD704" w14:textId="77777777" w:rsidR="002A4054" w:rsidRPr="00C40444" w:rsidRDefault="002A4054" w:rsidP="002A4054">
            <w:pPr>
              <w:pStyle w:val="ListParagraph"/>
              <w:numPr>
                <w:ilvl w:val="0"/>
                <w:numId w:val="6"/>
              </w:numPr>
              <w:shd w:val="clear" w:color="auto" w:fill="FFFFFF"/>
              <w:spacing w:line="240" w:lineRule="auto"/>
              <w:textAlignment w:val="baseline"/>
              <w:rPr>
                <w:rFonts w:asciiTheme="minorHAnsi" w:hAnsiTheme="minorHAnsi" w:cstheme="minorHAnsi"/>
                <w:b/>
                <w:bCs/>
                <w:lang w:val="en-US"/>
              </w:rPr>
            </w:pPr>
            <w:r w:rsidRPr="00C40444">
              <w:rPr>
                <w:rFonts w:asciiTheme="minorHAnsi" w:hAnsiTheme="minorHAnsi" w:cstheme="minorHAnsi"/>
                <w:b/>
                <w:bCs/>
                <w:lang w:val="en-US"/>
              </w:rPr>
              <w:lastRenderedPageBreak/>
              <w:t xml:space="preserve">Carry out bilateral meetings/consultations with UNICEF and other key government and development partners to gather information on key challenges, bottlenecks and other factors involved that are hindering the full cost recovery. </w:t>
            </w:r>
          </w:p>
          <w:p w14:paraId="06D55077" w14:textId="3B66BAA7" w:rsidR="002A4054" w:rsidRPr="00C40444" w:rsidRDefault="002A4054" w:rsidP="002A4054">
            <w:pPr>
              <w:shd w:val="clear" w:color="auto" w:fill="FFFFFF"/>
              <w:spacing w:line="240" w:lineRule="auto"/>
              <w:textAlignment w:val="baseline"/>
              <w:rPr>
                <w:rFonts w:asciiTheme="minorHAnsi" w:hAnsiTheme="minorHAnsi" w:cstheme="minorHAnsi"/>
                <w:b/>
                <w:sz w:val="20"/>
                <w:szCs w:val="20"/>
              </w:rPr>
            </w:pPr>
          </w:p>
        </w:tc>
        <w:tc>
          <w:tcPr>
            <w:tcW w:w="3626" w:type="dxa"/>
          </w:tcPr>
          <w:p w14:paraId="407C9C61" w14:textId="2D0BF673" w:rsidR="002A4054" w:rsidRPr="00455A90" w:rsidRDefault="002A4054" w:rsidP="002A4054">
            <w:pPr>
              <w:spacing w:line="240" w:lineRule="auto"/>
              <w:rPr>
                <w:rFonts w:asciiTheme="minorHAnsi" w:hAnsiTheme="minorHAnsi" w:cstheme="minorHAnsi"/>
                <w:sz w:val="20"/>
                <w:szCs w:val="20"/>
              </w:rPr>
            </w:pPr>
            <w:r>
              <w:rPr>
                <w:rFonts w:asciiTheme="minorHAnsi" w:hAnsiTheme="minorHAnsi" w:cstheme="minorHAnsi"/>
                <w:sz w:val="20"/>
                <w:szCs w:val="20"/>
              </w:rPr>
              <w:t xml:space="preserve">Minutes of bilateral discussions with key stakeholders and a joint summary highlighting key aspects of the discussions are shared including important take away points in terms of suggested revisions. </w:t>
            </w:r>
          </w:p>
        </w:tc>
        <w:tc>
          <w:tcPr>
            <w:tcW w:w="1414" w:type="dxa"/>
          </w:tcPr>
          <w:p w14:paraId="07880318" w14:textId="344CB59B" w:rsidR="002A4054" w:rsidRPr="00A4563C" w:rsidDel="004E2056" w:rsidRDefault="002A4054" w:rsidP="002A4054">
            <w:pPr>
              <w:shd w:val="clear" w:color="auto" w:fill="FFFFFF"/>
              <w:jc w:val="center"/>
              <w:rPr>
                <w:rFonts w:asciiTheme="minorHAnsi" w:hAnsiTheme="minorHAnsi" w:cstheme="minorHAnsi"/>
                <w:sz w:val="20"/>
                <w:szCs w:val="20"/>
              </w:rPr>
            </w:pPr>
            <w:r>
              <w:rPr>
                <w:rFonts w:asciiTheme="minorHAnsi" w:hAnsiTheme="minorHAnsi" w:cstheme="minorHAnsi"/>
                <w:sz w:val="20"/>
                <w:szCs w:val="20"/>
              </w:rPr>
              <w:t>3 days</w:t>
            </w:r>
          </w:p>
        </w:tc>
        <w:tc>
          <w:tcPr>
            <w:tcW w:w="1445" w:type="dxa"/>
            <w:vMerge/>
            <w:shd w:val="clear" w:color="auto" w:fill="auto"/>
          </w:tcPr>
          <w:p w14:paraId="07EB58A2" w14:textId="37C488FE" w:rsidR="002A4054" w:rsidRPr="00A4563C" w:rsidRDefault="002A4054" w:rsidP="002A4054">
            <w:pPr>
              <w:shd w:val="clear" w:color="auto" w:fill="FFFFFF"/>
              <w:rPr>
                <w:rFonts w:asciiTheme="minorHAnsi" w:hAnsiTheme="minorHAnsi" w:cstheme="minorHAnsi"/>
                <w:sz w:val="20"/>
                <w:szCs w:val="20"/>
              </w:rPr>
            </w:pPr>
          </w:p>
        </w:tc>
      </w:tr>
      <w:tr w:rsidR="002A4054" w:rsidRPr="00224FCC" w14:paraId="1123F4B9" w14:textId="77777777" w:rsidTr="002A4054">
        <w:trPr>
          <w:trHeight w:val="1385"/>
          <w:jc w:val="center"/>
        </w:trPr>
        <w:tc>
          <w:tcPr>
            <w:tcW w:w="3505" w:type="dxa"/>
            <w:shd w:val="clear" w:color="auto" w:fill="auto"/>
          </w:tcPr>
          <w:p w14:paraId="20735FEE" w14:textId="3ED2E2B6" w:rsidR="002A4054" w:rsidRPr="00C40444" w:rsidRDefault="002A4054" w:rsidP="002A4054">
            <w:pPr>
              <w:pStyle w:val="ListParagraph"/>
              <w:numPr>
                <w:ilvl w:val="0"/>
                <w:numId w:val="6"/>
              </w:numPr>
              <w:shd w:val="clear" w:color="auto" w:fill="FFFFFF"/>
              <w:spacing w:line="240" w:lineRule="auto"/>
              <w:textAlignment w:val="baseline"/>
              <w:rPr>
                <w:rFonts w:asciiTheme="minorHAnsi" w:hAnsiTheme="minorHAnsi" w:cstheme="minorHAnsi"/>
                <w:b/>
                <w:bCs/>
                <w:lang w:val="en-US"/>
              </w:rPr>
            </w:pPr>
            <w:r>
              <w:rPr>
                <w:rFonts w:asciiTheme="minorHAnsi" w:hAnsiTheme="minorHAnsi" w:cstheme="minorHAnsi"/>
                <w:b/>
                <w:bCs/>
                <w:lang w:val="en-US"/>
              </w:rPr>
              <w:t>Identify and review</w:t>
            </w:r>
            <w:r w:rsidRPr="00C40444">
              <w:rPr>
                <w:rFonts w:asciiTheme="minorHAnsi" w:hAnsiTheme="minorHAnsi" w:cstheme="minorHAnsi"/>
                <w:b/>
                <w:bCs/>
                <w:lang w:val="en-US"/>
              </w:rPr>
              <w:t xml:space="preserve"> tariff models used by other countries in and out of the central Asian region with similar challenges </w:t>
            </w:r>
            <w:proofErr w:type="gramStart"/>
            <w:r>
              <w:rPr>
                <w:rFonts w:asciiTheme="minorHAnsi" w:hAnsiTheme="minorHAnsi" w:cstheme="minorHAnsi"/>
                <w:b/>
                <w:bCs/>
                <w:lang w:val="en-US"/>
              </w:rPr>
              <w:t xml:space="preserve">and </w:t>
            </w:r>
            <w:r w:rsidRPr="00C40444">
              <w:rPr>
                <w:rFonts w:asciiTheme="minorHAnsi" w:hAnsiTheme="minorHAnsi" w:cstheme="minorHAnsi"/>
                <w:b/>
                <w:bCs/>
                <w:lang w:val="en-US"/>
              </w:rPr>
              <w:t xml:space="preserve"> present</w:t>
            </w:r>
            <w:proofErr w:type="gramEnd"/>
            <w:r w:rsidRPr="00C40444">
              <w:rPr>
                <w:rFonts w:asciiTheme="minorHAnsi" w:hAnsiTheme="minorHAnsi" w:cstheme="minorHAnsi"/>
                <w:b/>
                <w:bCs/>
                <w:lang w:val="en-US"/>
              </w:rPr>
              <w:t xml:space="preserve"> to key stakeholders with potential recommendations.  </w:t>
            </w:r>
          </w:p>
          <w:p w14:paraId="517CDD53" w14:textId="2D43E34A" w:rsidR="002A4054" w:rsidRPr="00455A90" w:rsidRDefault="002A4054" w:rsidP="002A4054">
            <w:pPr>
              <w:pStyle w:val="ListParagraph"/>
              <w:shd w:val="clear" w:color="auto" w:fill="FFFFFF"/>
              <w:spacing w:line="240" w:lineRule="auto"/>
              <w:ind w:left="360"/>
              <w:textAlignment w:val="baseline"/>
              <w:rPr>
                <w:rFonts w:asciiTheme="minorHAnsi" w:hAnsiTheme="minorHAnsi" w:cstheme="minorHAnsi"/>
                <w:b/>
                <w:bCs/>
                <w:lang w:val="en-US"/>
              </w:rPr>
            </w:pPr>
          </w:p>
        </w:tc>
        <w:tc>
          <w:tcPr>
            <w:tcW w:w="3626" w:type="dxa"/>
          </w:tcPr>
          <w:p w14:paraId="3E439CA8" w14:textId="3B503011" w:rsidR="002A4054" w:rsidRPr="00E7688B" w:rsidRDefault="002A4054" w:rsidP="002A4054">
            <w:pPr>
              <w:spacing w:line="240" w:lineRule="auto"/>
              <w:rPr>
                <w:rFonts w:asciiTheme="minorHAnsi" w:hAnsiTheme="minorHAnsi" w:cstheme="minorHAnsi"/>
                <w:sz w:val="20"/>
                <w:szCs w:val="20"/>
              </w:rPr>
            </w:pPr>
            <w:r>
              <w:rPr>
                <w:rFonts w:asciiTheme="minorHAnsi" w:hAnsiTheme="minorHAnsi" w:cstheme="minorHAnsi"/>
                <w:sz w:val="20"/>
                <w:szCs w:val="20"/>
              </w:rPr>
              <w:t>K</w:t>
            </w:r>
            <w:r w:rsidRPr="00E7688B">
              <w:rPr>
                <w:rFonts w:asciiTheme="minorHAnsi" w:hAnsiTheme="minorHAnsi" w:cstheme="minorHAnsi"/>
                <w:sz w:val="20"/>
                <w:szCs w:val="20"/>
              </w:rPr>
              <w:t>ey finding of research on different models that are applicable on tariff settings using innovative approaches with SUE-KMK, UNICEF and relevant sector partners</w:t>
            </w:r>
            <w:r>
              <w:rPr>
                <w:rFonts w:asciiTheme="minorHAnsi" w:hAnsiTheme="minorHAnsi" w:cstheme="minorHAnsi"/>
                <w:sz w:val="20"/>
                <w:szCs w:val="20"/>
              </w:rPr>
              <w:t xml:space="preserve"> are shared.</w:t>
            </w:r>
          </w:p>
        </w:tc>
        <w:tc>
          <w:tcPr>
            <w:tcW w:w="1414" w:type="dxa"/>
          </w:tcPr>
          <w:p w14:paraId="42DDBB43" w14:textId="211AEC68" w:rsidR="002A4054" w:rsidRPr="00A4563C" w:rsidRDefault="002A4054" w:rsidP="002A4054">
            <w:pPr>
              <w:shd w:val="clear" w:color="auto" w:fill="FFFFFF"/>
              <w:jc w:val="center"/>
              <w:rPr>
                <w:rFonts w:asciiTheme="minorHAnsi" w:hAnsiTheme="minorHAnsi" w:cstheme="minorHAnsi"/>
                <w:sz w:val="20"/>
                <w:szCs w:val="20"/>
              </w:rPr>
            </w:pPr>
            <w:r>
              <w:rPr>
                <w:rFonts w:asciiTheme="minorHAnsi" w:hAnsiTheme="minorHAnsi" w:cstheme="minorHAnsi"/>
                <w:sz w:val="20"/>
                <w:szCs w:val="20"/>
              </w:rPr>
              <w:t>5 days</w:t>
            </w:r>
          </w:p>
        </w:tc>
        <w:tc>
          <w:tcPr>
            <w:tcW w:w="1445" w:type="dxa"/>
            <w:vMerge/>
            <w:shd w:val="clear" w:color="auto" w:fill="auto"/>
          </w:tcPr>
          <w:p w14:paraId="4F65D833" w14:textId="77777777" w:rsidR="002A4054" w:rsidRPr="00A4563C" w:rsidRDefault="002A4054" w:rsidP="002A4054">
            <w:pPr>
              <w:shd w:val="clear" w:color="auto" w:fill="FFFFFF"/>
              <w:rPr>
                <w:rFonts w:asciiTheme="minorHAnsi" w:hAnsiTheme="minorHAnsi" w:cstheme="minorHAnsi"/>
                <w:sz w:val="20"/>
                <w:szCs w:val="20"/>
              </w:rPr>
            </w:pPr>
          </w:p>
        </w:tc>
      </w:tr>
      <w:tr w:rsidR="002A4054" w:rsidRPr="00224FCC" w14:paraId="01D31880" w14:textId="77777777" w:rsidTr="002A4054">
        <w:trPr>
          <w:trHeight w:val="1043"/>
          <w:jc w:val="center"/>
        </w:trPr>
        <w:tc>
          <w:tcPr>
            <w:tcW w:w="3505" w:type="dxa"/>
            <w:shd w:val="clear" w:color="auto" w:fill="auto"/>
          </w:tcPr>
          <w:p w14:paraId="37708D80" w14:textId="77777777" w:rsidR="002A4054" w:rsidRPr="00C40444" w:rsidRDefault="002A4054" w:rsidP="002A4054">
            <w:pPr>
              <w:pStyle w:val="ListParagraph"/>
              <w:numPr>
                <w:ilvl w:val="0"/>
                <w:numId w:val="6"/>
              </w:numPr>
              <w:shd w:val="clear" w:color="auto" w:fill="FFFFFF"/>
              <w:spacing w:line="240" w:lineRule="auto"/>
              <w:textAlignment w:val="baseline"/>
              <w:rPr>
                <w:rFonts w:asciiTheme="minorHAnsi" w:hAnsiTheme="minorHAnsi" w:cstheme="minorHAnsi"/>
                <w:b/>
                <w:bCs/>
                <w:lang w:val="en-US"/>
              </w:rPr>
            </w:pPr>
            <w:r w:rsidRPr="00C40444">
              <w:rPr>
                <w:rFonts w:asciiTheme="minorHAnsi" w:hAnsiTheme="minorHAnsi" w:cstheme="minorHAnsi"/>
                <w:b/>
                <w:bCs/>
                <w:lang w:val="en-US"/>
              </w:rPr>
              <w:t>Develop relevant tools and carry out a capacity assessment of KMK on potential engagement with community and customer feedback/services mechanism.</w:t>
            </w:r>
          </w:p>
          <w:p w14:paraId="6B0B2E29" w14:textId="77777777" w:rsidR="002A4054" w:rsidRPr="00455A90" w:rsidRDefault="002A4054" w:rsidP="002A4054">
            <w:pPr>
              <w:pStyle w:val="ListParagraph"/>
              <w:shd w:val="clear" w:color="auto" w:fill="FFFFFF"/>
              <w:spacing w:line="240" w:lineRule="auto"/>
              <w:ind w:left="360"/>
              <w:textAlignment w:val="baseline"/>
              <w:rPr>
                <w:rFonts w:asciiTheme="minorHAnsi" w:hAnsiTheme="minorHAnsi" w:cstheme="minorHAnsi"/>
                <w:b/>
                <w:bCs/>
                <w:lang w:val="en-US"/>
              </w:rPr>
            </w:pPr>
          </w:p>
        </w:tc>
        <w:tc>
          <w:tcPr>
            <w:tcW w:w="3626" w:type="dxa"/>
          </w:tcPr>
          <w:p w14:paraId="716B5A9E" w14:textId="35CF8664" w:rsidR="002A4054" w:rsidRPr="00E7688B" w:rsidRDefault="002A4054" w:rsidP="002A4054">
            <w:pPr>
              <w:pStyle w:val="ListParagraph"/>
              <w:numPr>
                <w:ilvl w:val="0"/>
                <w:numId w:val="9"/>
              </w:numPr>
              <w:spacing w:line="240" w:lineRule="auto"/>
              <w:rPr>
                <w:rFonts w:asciiTheme="minorHAnsi" w:hAnsiTheme="minorHAnsi" w:cstheme="minorHAnsi"/>
                <w:sz w:val="20"/>
                <w:szCs w:val="20"/>
              </w:rPr>
            </w:pPr>
            <w:r w:rsidRPr="00E7688B">
              <w:rPr>
                <w:rFonts w:asciiTheme="minorHAnsi" w:hAnsiTheme="minorHAnsi" w:cstheme="minorHAnsi"/>
                <w:sz w:val="20"/>
                <w:szCs w:val="20"/>
              </w:rPr>
              <w:t>Agre</w:t>
            </w:r>
            <w:r>
              <w:rPr>
                <w:rFonts w:asciiTheme="minorHAnsi" w:hAnsiTheme="minorHAnsi" w:cstheme="minorHAnsi"/>
                <w:sz w:val="20"/>
                <w:szCs w:val="20"/>
              </w:rPr>
              <w:t>ement on</w:t>
            </w:r>
            <w:r w:rsidRPr="00E7688B">
              <w:rPr>
                <w:rFonts w:asciiTheme="minorHAnsi" w:hAnsiTheme="minorHAnsi" w:cstheme="minorHAnsi"/>
                <w:sz w:val="20"/>
                <w:szCs w:val="20"/>
              </w:rPr>
              <w:t xml:space="preserve"> key areas of capacity assessment with SUE-KMK and UNICEF</w:t>
            </w:r>
            <w:r>
              <w:rPr>
                <w:rFonts w:asciiTheme="minorHAnsi" w:hAnsiTheme="minorHAnsi" w:cstheme="minorHAnsi"/>
                <w:sz w:val="20"/>
                <w:szCs w:val="20"/>
              </w:rPr>
              <w:t xml:space="preserve"> is reached</w:t>
            </w:r>
          </w:p>
          <w:p w14:paraId="21DE4F46" w14:textId="1A562603" w:rsidR="002A4054" w:rsidRDefault="002A4054" w:rsidP="002A4054">
            <w:pPr>
              <w:pStyle w:val="ListParagraph"/>
              <w:numPr>
                <w:ilvl w:val="0"/>
                <w:numId w:val="9"/>
              </w:numPr>
              <w:spacing w:line="240" w:lineRule="auto"/>
              <w:rPr>
                <w:rFonts w:asciiTheme="minorHAnsi" w:hAnsiTheme="minorHAnsi" w:cstheme="minorHAnsi"/>
                <w:sz w:val="20"/>
                <w:szCs w:val="20"/>
              </w:rPr>
            </w:pPr>
            <w:r>
              <w:rPr>
                <w:rFonts w:asciiTheme="minorHAnsi" w:hAnsiTheme="minorHAnsi" w:cstheme="minorHAnsi"/>
                <w:sz w:val="20"/>
                <w:szCs w:val="20"/>
              </w:rPr>
              <w:t>R</w:t>
            </w:r>
            <w:r w:rsidRPr="00E7688B">
              <w:rPr>
                <w:rFonts w:asciiTheme="minorHAnsi" w:hAnsiTheme="minorHAnsi" w:cstheme="minorHAnsi"/>
                <w:sz w:val="20"/>
                <w:szCs w:val="20"/>
              </w:rPr>
              <w:t>elevant tools for assessment of capacity on community engagement</w:t>
            </w:r>
            <w:r>
              <w:rPr>
                <w:rFonts w:asciiTheme="minorHAnsi" w:hAnsiTheme="minorHAnsi" w:cstheme="minorHAnsi"/>
                <w:sz w:val="20"/>
                <w:szCs w:val="20"/>
              </w:rPr>
              <w:t xml:space="preserve"> developed and </w:t>
            </w:r>
            <w:r w:rsidRPr="00E7688B">
              <w:rPr>
                <w:rFonts w:asciiTheme="minorHAnsi" w:hAnsiTheme="minorHAnsi" w:cstheme="minorHAnsi"/>
                <w:sz w:val="20"/>
                <w:szCs w:val="20"/>
              </w:rPr>
              <w:t xml:space="preserve">tools developed </w:t>
            </w:r>
            <w:r>
              <w:rPr>
                <w:rFonts w:asciiTheme="minorHAnsi" w:hAnsiTheme="minorHAnsi" w:cstheme="minorHAnsi"/>
                <w:sz w:val="20"/>
                <w:szCs w:val="20"/>
              </w:rPr>
              <w:t xml:space="preserve">for feedback before finalisation are shared. </w:t>
            </w:r>
          </w:p>
          <w:p w14:paraId="2804F5E7" w14:textId="7CD25FBA" w:rsidR="002A4054" w:rsidRDefault="002A4054" w:rsidP="002A4054">
            <w:pPr>
              <w:pStyle w:val="ListParagraph"/>
              <w:numPr>
                <w:ilvl w:val="0"/>
                <w:numId w:val="9"/>
              </w:numPr>
              <w:spacing w:line="240" w:lineRule="auto"/>
              <w:rPr>
                <w:rFonts w:asciiTheme="minorHAnsi" w:hAnsiTheme="minorHAnsi" w:cstheme="minorHAnsi"/>
                <w:sz w:val="20"/>
                <w:szCs w:val="20"/>
              </w:rPr>
            </w:pPr>
            <w:r>
              <w:rPr>
                <w:rFonts w:asciiTheme="minorHAnsi" w:hAnsiTheme="minorHAnsi" w:cstheme="minorHAnsi"/>
                <w:sz w:val="20"/>
                <w:szCs w:val="20"/>
              </w:rPr>
              <w:t>I</w:t>
            </w:r>
            <w:r w:rsidRPr="00E7688B">
              <w:rPr>
                <w:rFonts w:asciiTheme="minorHAnsi" w:hAnsiTheme="minorHAnsi" w:cstheme="minorHAnsi"/>
                <w:sz w:val="20"/>
                <w:szCs w:val="20"/>
              </w:rPr>
              <w:t>nterviews within KMKs, relevant departments and key development partners</w:t>
            </w:r>
            <w:r>
              <w:rPr>
                <w:rFonts w:asciiTheme="minorHAnsi" w:hAnsiTheme="minorHAnsi" w:cstheme="minorHAnsi"/>
                <w:sz w:val="20"/>
                <w:szCs w:val="20"/>
              </w:rPr>
              <w:t xml:space="preserve"> are conducted and recorded</w:t>
            </w:r>
            <w:r w:rsidRPr="00E7688B">
              <w:rPr>
                <w:rFonts w:asciiTheme="minorHAnsi" w:hAnsiTheme="minorHAnsi" w:cstheme="minorHAnsi"/>
                <w:sz w:val="20"/>
                <w:szCs w:val="20"/>
              </w:rPr>
              <w:t xml:space="preserve"> </w:t>
            </w:r>
          </w:p>
          <w:p w14:paraId="26F6D79D" w14:textId="2B78B30E" w:rsidR="002A4054" w:rsidRPr="00E7688B" w:rsidRDefault="002A4054" w:rsidP="002A4054">
            <w:pPr>
              <w:pStyle w:val="ListParagraph"/>
              <w:numPr>
                <w:ilvl w:val="0"/>
                <w:numId w:val="9"/>
              </w:numPr>
              <w:spacing w:line="240" w:lineRule="auto"/>
              <w:rPr>
                <w:rFonts w:asciiTheme="minorHAnsi" w:hAnsiTheme="minorHAnsi" w:cstheme="minorHAnsi"/>
                <w:sz w:val="20"/>
                <w:szCs w:val="20"/>
              </w:rPr>
            </w:pPr>
            <w:r>
              <w:rPr>
                <w:rFonts w:asciiTheme="minorHAnsi" w:hAnsiTheme="minorHAnsi" w:cstheme="minorHAnsi"/>
                <w:sz w:val="20"/>
                <w:szCs w:val="20"/>
              </w:rPr>
              <w:t>Analysis of the assessment is shared, and next steps are presented.</w:t>
            </w:r>
          </w:p>
        </w:tc>
        <w:tc>
          <w:tcPr>
            <w:tcW w:w="1414" w:type="dxa"/>
          </w:tcPr>
          <w:p w14:paraId="66BA75E1" w14:textId="0AD67FF6" w:rsidR="002A4054" w:rsidRPr="00A4563C" w:rsidRDefault="002A4054" w:rsidP="002A4054">
            <w:pPr>
              <w:shd w:val="clear" w:color="auto" w:fill="FFFFFF"/>
              <w:jc w:val="center"/>
              <w:rPr>
                <w:rFonts w:asciiTheme="minorHAnsi" w:hAnsiTheme="minorHAnsi" w:cstheme="minorHAnsi"/>
                <w:sz w:val="20"/>
                <w:szCs w:val="20"/>
              </w:rPr>
            </w:pPr>
            <w:r>
              <w:rPr>
                <w:rFonts w:asciiTheme="minorHAnsi" w:hAnsiTheme="minorHAnsi" w:cstheme="minorHAnsi"/>
                <w:sz w:val="20"/>
                <w:szCs w:val="20"/>
              </w:rPr>
              <w:t>2 days</w:t>
            </w:r>
          </w:p>
        </w:tc>
        <w:tc>
          <w:tcPr>
            <w:tcW w:w="1445" w:type="dxa"/>
            <w:vMerge/>
            <w:shd w:val="clear" w:color="auto" w:fill="auto"/>
          </w:tcPr>
          <w:p w14:paraId="1A491C65" w14:textId="77777777" w:rsidR="002A4054" w:rsidRPr="00A4563C" w:rsidRDefault="002A4054" w:rsidP="002A4054">
            <w:pPr>
              <w:shd w:val="clear" w:color="auto" w:fill="FFFFFF"/>
              <w:rPr>
                <w:rFonts w:asciiTheme="minorHAnsi" w:hAnsiTheme="minorHAnsi" w:cstheme="minorHAnsi"/>
                <w:sz w:val="20"/>
                <w:szCs w:val="20"/>
              </w:rPr>
            </w:pPr>
          </w:p>
        </w:tc>
      </w:tr>
      <w:tr w:rsidR="002A4054" w:rsidRPr="00224FCC" w14:paraId="2ED61F55" w14:textId="77777777" w:rsidTr="002A4054">
        <w:trPr>
          <w:trHeight w:val="1043"/>
          <w:jc w:val="center"/>
        </w:trPr>
        <w:tc>
          <w:tcPr>
            <w:tcW w:w="3505" w:type="dxa"/>
            <w:shd w:val="clear" w:color="auto" w:fill="auto"/>
          </w:tcPr>
          <w:p w14:paraId="677CBA19" w14:textId="77777777" w:rsidR="002A4054" w:rsidRPr="00C40444" w:rsidRDefault="002A4054" w:rsidP="002A4054">
            <w:pPr>
              <w:pStyle w:val="ListParagraph"/>
              <w:numPr>
                <w:ilvl w:val="0"/>
                <w:numId w:val="6"/>
              </w:numPr>
              <w:shd w:val="clear" w:color="auto" w:fill="FFFFFF"/>
              <w:spacing w:line="240" w:lineRule="auto"/>
              <w:textAlignment w:val="baseline"/>
              <w:rPr>
                <w:rFonts w:asciiTheme="minorHAnsi" w:hAnsiTheme="minorHAnsi" w:cstheme="minorHAnsi"/>
                <w:b/>
                <w:bCs/>
                <w:lang w:val="en-US"/>
              </w:rPr>
            </w:pPr>
            <w:r w:rsidRPr="00C40444">
              <w:rPr>
                <w:rFonts w:asciiTheme="minorHAnsi" w:hAnsiTheme="minorHAnsi" w:cstheme="minorHAnsi"/>
                <w:b/>
                <w:bCs/>
                <w:lang w:val="en-US"/>
              </w:rPr>
              <w:t xml:space="preserve">Develop strategy on potential ways to set new tariffs for water supply and sanitation services to increase the full cost recover and reduce losses to maintain quality of services. This will also have a key emphasis on community/customer engagement strategies that may potentially improve ownership and support. </w:t>
            </w:r>
          </w:p>
          <w:p w14:paraId="4A030D00" w14:textId="77777777" w:rsidR="002A4054" w:rsidRPr="00C40444" w:rsidRDefault="002A4054" w:rsidP="002A4054">
            <w:pPr>
              <w:pStyle w:val="ListParagraph"/>
              <w:shd w:val="clear" w:color="auto" w:fill="FFFFFF"/>
              <w:spacing w:line="240" w:lineRule="auto"/>
              <w:ind w:left="360"/>
              <w:textAlignment w:val="baseline"/>
              <w:rPr>
                <w:rFonts w:asciiTheme="minorHAnsi" w:hAnsiTheme="minorHAnsi" w:cstheme="minorHAnsi"/>
                <w:b/>
                <w:bCs/>
                <w:lang w:val="en-US"/>
              </w:rPr>
            </w:pPr>
          </w:p>
        </w:tc>
        <w:tc>
          <w:tcPr>
            <w:tcW w:w="3626" w:type="dxa"/>
          </w:tcPr>
          <w:p w14:paraId="3F23BCE3" w14:textId="01285F17" w:rsidR="002A4054" w:rsidRDefault="002A4054" w:rsidP="002A4054">
            <w:pPr>
              <w:pStyle w:val="ListParagraph"/>
              <w:numPr>
                <w:ilvl w:val="0"/>
                <w:numId w:val="8"/>
              </w:numPr>
              <w:spacing w:line="240" w:lineRule="auto"/>
              <w:rPr>
                <w:rFonts w:asciiTheme="minorHAnsi" w:hAnsiTheme="minorHAnsi" w:cstheme="minorHAnsi"/>
                <w:sz w:val="20"/>
                <w:szCs w:val="20"/>
              </w:rPr>
            </w:pPr>
            <w:r>
              <w:rPr>
                <w:rFonts w:asciiTheme="minorHAnsi" w:hAnsiTheme="minorHAnsi" w:cstheme="minorHAnsi"/>
                <w:sz w:val="20"/>
                <w:szCs w:val="20"/>
              </w:rPr>
              <w:t>Draft of the strategy on the agreed structure with SUE-KMK, UNICEF and relevant development partners is shared.</w:t>
            </w:r>
          </w:p>
          <w:p w14:paraId="721697EE" w14:textId="03FF2B25" w:rsidR="002A4054" w:rsidRPr="00455A90" w:rsidRDefault="002A4054" w:rsidP="002A4054">
            <w:pPr>
              <w:pStyle w:val="ListParagraph"/>
              <w:numPr>
                <w:ilvl w:val="0"/>
                <w:numId w:val="8"/>
              </w:numPr>
              <w:spacing w:line="240" w:lineRule="auto"/>
              <w:rPr>
                <w:rFonts w:asciiTheme="minorHAnsi" w:hAnsiTheme="minorHAnsi" w:cstheme="minorHAnsi"/>
                <w:sz w:val="20"/>
                <w:szCs w:val="20"/>
              </w:rPr>
            </w:pPr>
            <w:r>
              <w:rPr>
                <w:rFonts w:asciiTheme="minorHAnsi" w:hAnsiTheme="minorHAnsi" w:cstheme="minorHAnsi"/>
                <w:sz w:val="20"/>
                <w:szCs w:val="20"/>
              </w:rPr>
              <w:t xml:space="preserve">Feedback is gathered form key stakeholders and relevant clarifications are made. </w:t>
            </w:r>
          </w:p>
        </w:tc>
        <w:tc>
          <w:tcPr>
            <w:tcW w:w="1414" w:type="dxa"/>
          </w:tcPr>
          <w:p w14:paraId="67CF8AFB" w14:textId="0217430D" w:rsidR="002A4054" w:rsidRDefault="002A4054" w:rsidP="002A4054">
            <w:pPr>
              <w:shd w:val="clear" w:color="auto" w:fill="FFFFFF"/>
              <w:jc w:val="center"/>
              <w:rPr>
                <w:rFonts w:asciiTheme="minorHAnsi" w:hAnsiTheme="minorHAnsi" w:cstheme="minorHAnsi"/>
                <w:sz w:val="20"/>
                <w:szCs w:val="20"/>
              </w:rPr>
            </w:pPr>
            <w:proofErr w:type="gramStart"/>
            <w:r>
              <w:rPr>
                <w:rFonts w:asciiTheme="minorHAnsi" w:hAnsiTheme="minorHAnsi" w:cstheme="minorHAnsi"/>
                <w:sz w:val="20"/>
                <w:szCs w:val="20"/>
              </w:rPr>
              <w:t>5  days</w:t>
            </w:r>
            <w:proofErr w:type="gramEnd"/>
          </w:p>
        </w:tc>
        <w:tc>
          <w:tcPr>
            <w:tcW w:w="1445" w:type="dxa"/>
            <w:vMerge/>
            <w:shd w:val="clear" w:color="auto" w:fill="auto"/>
          </w:tcPr>
          <w:p w14:paraId="2013B366" w14:textId="77777777" w:rsidR="002A4054" w:rsidRPr="00A4563C" w:rsidRDefault="002A4054" w:rsidP="002A4054">
            <w:pPr>
              <w:shd w:val="clear" w:color="auto" w:fill="FFFFFF"/>
              <w:rPr>
                <w:rFonts w:asciiTheme="minorHAnsi" w:hAnsiTheme="minorHAnsi" w:cstheme="minorHAnsi"/>
                <w:sz w:val="20"/>
                <w:szCs w:val="20"/>
              </w:rPr>
            </w:pPr>
          </w:p>
        </w:tc>
      </w:tr>
      <w:tr w:rsidR="002A4054" w:rsidRPr="00224FCC" w14:paraId="00206697" w14:textId="77777777" w:rsidTr="002A4054">
        <w:trPr>
          <w:trHeight w:val="1043"/>
          <w:jc w:val="center"/>
        </w:trPr>
        <w:tc>
          <w:tcPr>
            <w:tcW w:w="3505" w:type="dxa"/>
            <w:shd w:val="clear" w:color="auto" w:fill="auto"/>
          </w:tcPr>
          <w:p w14:paraId="760C50F2" w14:textId="77777777" w:rsidR="002A4054" w:rsidRPr="00E7688B" w:rsidRDefault="002A4054" w:rsidP="002A4054">
            <w:pPr>
              <w:pStyle w:val="ListParagraph"/>
              <w:numPr>
                <w:ilvl w:val="0"/>
                <w:numId w:val="6"/>
              </w:numPr>
              <w:shd w:val="clear" w:color="auto" w:fill="FFFFFF"/>
              <w:spacing w:line="240" w:lineRule="auto"/>
              <w:textAlignment w:val="baseline"/>
              <w:rPr>
                <w:rFonts w:asciiTheme="minorHAnsi" w:hAnsiTheme="minorHAnsi" w:cstheme="minorHAnsi"/>
                <w:b/>
                <w:bCs/>
                <w:lang w:val="en-US"/>
              </w:rPr>
            </w:pPr>
            <w:r w:rsidRPr="00E7688B">
              <w:rPr>
                <w:rFonts w:asciiTheme="minorHAnsi" w:hAnsiTheme="minorHAnsi" w:cstheme="minorHAnsi"/>
                <w:b/>
                <w:bCs/>
                <w:lang w:val="en-US"/>
              </w:rPr>
              <w:t>Submission of final report that is reviewed and accepted by UNICEF and SUE-KMK.</w:t>
            </w:r>
          </w:p>
          <w:p w14:paraId="104D0A09" w14:textId="77777777" w:rsidR="002A4054" w:rsidRPr="00C40444" w:rsidRDefault="002A4054" w:rsidP="002A4054">
            <w:pPr>
              <w:pStyle w:val="ListParagraph"/>
              <w:shd w:val="clear" w:color="auto" w:fill="FFFFFF"/>
              <w:spacing w:line="240" w:lineRule="auto"/>
              <w:ind w:left="360"/>
              <w:textAlignment w:val="baseline"/>
              <w:rPr>
                <w:rFonts w:asciiTheme="minorHAnsi" w:hAnsiTheme="minorHAnsi" w:cstheme="minorHAnsi"/>
                <w:b/>
                <w:bCs/>
                <w:lang w:val="en-US"/>
              </w:rPr>
            </w:pPr>
          </w:p>
        </w:tc>
        <w:tc>
          <w:tcPr>
            <w:tcW w:w="3626" w:type="dxa"/>
          </w:tcPr>
          <w:p w14:paraId="7686C3F2" w14:textId="6F26D6CC" w:rsidR="002A4054" w:rsidRPr="00C40444" w:rsidRDefault="002A4054" w:rsidP="002A4054">
            <w:pPr>
              <w:spacing w:line="240" w:lineRule="auto"/>
              <w:rPr>
                <w:rFonts w:asciiTheme="minorHAnsi" w:hAnsiTheme="minorHAnsi" w:cstheme="minorHAnsi"/>
                <w:sz w:val="20"/>
                <w:szCs w:val="20"/>
              </w:rPr>
            </w:pPr>
            <w:r>
              <w:rPr>
                <w:rFonts w:asciiTheme="minorHAnsi" w:hAnsiTheme="minorHAnsi" w:cstheme="minorHAnsi"/>
                <w:sz w:val="20"/>
                <w:szCs w:val="20"/>
              </w:rPr>
              <w:t>Final report that is accepted by SUE-KMK and UNICEF is shared.</w:t>
            </w:r>
          </w:p>
        </w:tc>
        <w:tc>
          <w:tcPr>
            <w:tcW w:w="1414" w:type="dxa"/>
          </w:tcPr>
          <w:p w14:paraId="2B182276" w14:textId="77777777" w:rsidR="002A4054" w:rsidRDefault="002A4054" w:rsidP="002A4054">
            <w:pPr>
              <w:shd w:val="clear" w:color="auto" w:fill="FFFFFF"/>
              <w:rPr>
                <w:rFonts w:asciiTheme="minorHAnsi" w:hAnsiTheme="minorHAnsi" w:cstheme="minorHAnsi"/>
                <w:sz w:val="20"/>
                <w:szCs w:val="20"/>
              </w:rPr>
            </w:pPr>
          </w:p>
        </w:tc>
        <w:tc>
          <w:tcPr>
            <w:tcW w:w="1445" w:type="dxa"/>
            <w:vMerge/>
            <w:shd w:val="clear" w:color="auto" w:fill="auto"/>
          </w:tcPr>
          <w:p w14:paraId="57EED2F8" w14:textId="77777777" w:rsidR="002A4054" w:rsidRPr="00A4563C" w:rsidRDefault="002A4054" w:rsidP="002A4054">
            <w:pPr>
              <w:shd w:val="clear" w:color="auto" w:fill="FFFFFF"/>
              <w:rPr>
                <w:rFonts w:asciiTheme="minorHAnsi" w:hAnsiTheme="minorHAnsi" w:cstheme="minorHAnsi"/>
                <w:sz w:val="20"/>
                <w:szCs w:val="20"/>
              </w:rPr>
            </w:pPr>
          </w:p>
        </w:tc>
      </w:tr>
    </w:tbl>
    <w:p w14:paraId="6D4006C6" w14:textId="014255E7" w:rsidR="00222F4D" w:rsidRPr="002A4054" w:rsidRDefault="00701D34" w:rsidP="002A4054">
      <w:pPr>
        <w:shd w:val="clear" w:color="auto" w:fill="FFFFFF" w:themeFill="background1"/>
        <w:contextualSpacing/>
        <w:jc w:val="center"/>
        <w:rPr>
          <w:rFonts w:asciiTheme="minorHAnsi" w:eastAsia="Calibri" w:hAnsiTheme="minorHAnsi" w:cstheme="minorHAnsi"/>
          <w:color w:val="FF0000"/>
        </w:rPr>
      </w:pPr>
      <w:r w:rsidRPr="00D22D06">
        <w:rPr>
          <w:rFonts w:asciiTheme="minorHAnsi" w:hAnsiTheme="minorHAnsi" w:cstheme="minorHAnsi"/>
          <w:b/>
          <w:bCs/>
          <w:iCs/>
          <w:color w:val="FF0000"/>
        </w:rPr>
        <w:t xml:space="preserve">Note: </w:t>
      </w:r>
      <w:r w:rsidRPr="00D22D06">
        <w:rPr>
          <w:rFonts w:asciiTheme="minorHAnsi" w:hAnsiTheme="minorHAnsi" w:cstheme="minorHAnsi"/>
          <w:iCs/>
          <w:color w:val="FF0000"/>
        </w:rPr>
        <w:t>Due to COVID 19, the work and deliverables are subject to change. Consultant need to be flexible to adjust to any unforeseen adjustments that might occur during the implementation</w:t>
      </w:r>
    </w:p>
    <w:p w14:paraId="76621013" w14:textId="5079D728" w:rsidR="00701D34" w:rsidRPr="008E6EEC" w:rsidRDefault="00701D34" w:rsidP="00701D34">
      <w:pPr>
        <w:ind w:right="-3"/>
        <w:rPr>
          <w:rFonts w:asciiTheme="minorHAnsi" w:hAnsiTheme="minorHAnsi" w:cstheme="minorHAnsi"/>
          <w:i/>
        </w:rPr>
      </w:pPr>
      <w:r w:rsidRPr="008E6EEC">
        <w:rPr>
          <w:rFonts w:asciiTheme="minorHAnsi" w:hAnsiTheme="minorHAnsi" w:cstheme="minorHAnsi"/>
          <w:b/>
        </w:rPr>
        <w:lastRenderedPageBreak/>
        <w:t>Performance indicators for the evaluation of results:</w:t>
      </w:r>
    </w:p>
    <w:p w14:paraId="2B0FB253" w14:textId="77777777" w:rsidR="00701D34" w:rsidRPr="008E6EEC" w:rsidRDefault="00701D34" w:rsidP="00701D34">
      <w:pPr>
        <w:pStyle w:val="ListParagraph"/>
        <w:ind w:left="360"/>
        <w:jc w:val="both"/>
        <w:rPr>
          <w:rFonts w:asciiTheme="minorHAnsi" w:hAnsiTheme="minorHAnsi" w:cstheme="minorHAnsi"/>
          <w:b/>
        </w:rPr>
      </w:pPr>
    </w:p>
    <w:p w14:paraId="1438D2BA" w14:textId="77777777" w:rsidR="00701D34" w:rsidRPr="008E6EEC" w:rsidRDefault="00701D34" w:rsidP="00701D34">
      <w:pPr>
        <w:jc w:val="both"/>
        <w:rPr>
          <w:rFonts w:asciiTheme="minorHAnsi" w:hAnsiTheme="minorHAnsi" w:cstheme="minorHAnsi"/>
        </w:rPr>
      </w:pPr>
      <w:r w:rsidRPr="008E6EEC">
        <w:rPr>
          <w:rFonts w:asciiTheme="minorHAnsi" w:hAnsiTheme="minorHAnsi" w:cstheme="minorHAnsi"/>
        </w:rPr>
        <w:t>The evaluation of the results will be based on:</w:t>
      </w:r>
    </w:p>
    <w:p w14:paraId="62F8E25D" w14:textId="77777777" w:rsidR="00701D34" w:rsidRPr="008E6EEC" w:rsidRDefault="00701D34" w:rsidP="00F11AD6">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Technical and professional competence (quality of the products delivered to UNICEF</w:t>
      </w:r>
      <w:proofErr w:type="gramStart"/>
      <w:r w:rsidRPr="008E6EEC">
        <w:rPr>
          <w:rFonts w:asciiTheme="minorHAnsi" w:hAnsiTheme="minorHAnsi" w:cstheme="minorHAnsi"/>
          <w:iCs/>
        </w:rPr>
        <w:t>);</w:t>
      </w:r>
      <w:proofErr w:type="gramEnd"/>
    </w:p>
    <w:p w14:paraId="0110FDDA" w14:textId="77777777" w:rsidR="00701D34" w:rsidRPr="008E6EEC" w:rsidRDefault="00701D34" w:rsidP="00F11AD6">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 xml:space="preserve">Scope of work (e.g. </w:t>
      </w:r>
      <w:r>
        <w:rPr>
          <w:rFonts w:asciiTheme="minorHAnsi" w:hAnsiTheme="minorHAnsi" w:cstheme="minorHAnsi"/>
          <w:iCs/>
        </w:rPr>
        <w:t>clarity of work plan</w:t>
      </w:r>
      <w:proofErr w:type="gramStart"/>
      <w:r w:rsidRPr="008E6EEC">
        <w:rPr>
          <w:rFonts w:asciiTheme="minorHAnsi" w:hAnsiTheme="minorHAnsi" w:cstheme="minorHAnsi"/>
          <w:iCs/>
        </w:rPr>
        <w:t>);</w:t>
      </w:r>
      <w:proofErr w:type="gramEnd"/>
    </w:p>
    <w:p w14:paraId="03E75589" w14:textId="77777777" w:rsidR="00701D34" w:rsidRPr="008E6EEC" w:rsidRDefault="00701D34" w:rsidP="00F11AD6">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Quality of work (quality of methodology, draft, and final report</w:t>
      </w:r>
      <w:proofErr w:type="gramStart"/>
      <w:r w:rsidRPr="008E6EEC">
        <w:rPr>
          <w:rFonts w:asciiTheme="minorHAnsi" w:hAnsiTheme="minorHAnsi" w:cstheme="minorHAnsi"/>
          <w:iCs/>
        </w:rPr>
        <w:t>);</w:t>
      </w:r>
      <w:proofErr w:type="gramEnd"/>
    </w:p>
    <w:p w14:paraId="5CC92B3B" w14:textId="77777777" w:rsidR="00701D34" w:rsidRPr="008E6EEC" w:rsidRDefault="00701D34" w:rsidP="00F11AD6">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Quantity of work (completing the tasks indicated in the table above within the set timeframe)</w:t>
      </w:r>
    </w:p>
    <w:p w14:paraId="2C8C6031" w14:textId="77777777" w:rsidR="00701D34" w:rsidRPr="008E6EEC" w:rsidRDefault="00701D34" w:rsidP="00701D3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p>
    <w:p w14:paraId="205305A7" w14:textId="77777777" w:rsidR="00701D34" w:rsidRPr="008E6EEC" w:rsidRDefault="00701D34" w:rsidP="00701D3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8E6EEC">
        <w:rPr>
          <w:rFonts w:asciiTheme="minorHAnsi" w:hAnsiTheme="minorHAnsi" w:cstheme="minorHAnsi"/>
        </w:rPr>
        <w:t xml:space="preserve">In addition, such indicators as work relations, responsibility, drive for results, and communication will be </w:t>
      </w:r>
      <w:proofErr w:type="gramStart"/>
      <w:r w:rsidRPr="008E6EEC">
        <w:rPr>
          <w:rFonts w:asciiTheme="minorHAnsi" w:hAnsiTheme="minorHAnsi" w:cstheme="minorHAnsi"/>
        </w:rPr>
        <w:t>taken into account</w:t>
      </w:r>
      <w:proofErr w:type="gramEnd"/>
      <w:r w:rsidRPr="008E6EEC">
        <w:rPr>
          <w:rFonts w:asciiTheme="minorHAnsi" w:hAnsiTheme="minorHAnsi" w:cstheme="minorHAnsi"/>
        </w:rPr>
        <w:t xml:space="preserve"> during the evaluation of the Consultant’s work.</w:t>
      </w:r>
    </w:p>
    <w:p w14:paraId="2C0CA6F2" w14:textId="77777777" w:rsidR="00701D34" w:rsidRPr="008E6EEC" w:rsidRDefault="00701D34" w:rsidP="00701D34">
      <w:pPr>
        <w:spacing w:line="240" w:lineRule="auto"/>
        <w:jc w:val="both"/>
        <w:rPr>
          <w:rFonts w:asciiTheme="minorHAnsi" w:eastAsia="Times New Roman" w:hAnsiTheme="minorHAnsi" w:cstheme="minorHAnsi"/>
          <w:b/>
          <w:color w:val="4472C4" w:themeColor="accent1"/>
        </w:rPr>
      </w:pPr>
    </w:p>
    <w:p w14:paraId="7C6D4C21" w14:textId="77777777" w:rsidR="00701D34" w:rsidRDefault="00701D34" w:rsidP="00701D34">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QUALIFICATION REQUIREMENTS:</w:t>
      </w:r>
    </w:p>
    <w:p w14:paraId="080E935D" w14:textId="77777777" w:rsidR="00701D34" w:rsidRDefault="00701D34" w:rsidP="00701D34">
      <w:pPr>
        <w:spacing w:line="240" w:lineRule="auto"/>
        <w:jc w:val="both"/>
        <w:rPr>
          <w:rFonts w:asciiTheme="minorHAnsi" w:eastAsia="Times New Roman" w:hAnsiTheme="minorHAnsi" w:cstheme="minorHAnsi"/>
          <w:b/>
          <w:color w:val="4472C4" w:themeColor="accent1"/>
        </w:rPr>
      </w:pPr>
    </w:p>
    <w:p w14:paraId="3238168D" w14:textId="631AF2A6" w:rsidR="00701D34" w:rsidRDefault="00701D34" w:rsidP="00701D34">
      <w:pPr>
        <w:spacing w:after="200"/>
        <w:jc w:val="both"/>
      </w:pPr>
      <w:r w:rsidRPr="007A2110">
        <w:rPr>
          <w:rFonts w:asciiTheme="minorHAnsi" w:eastAsia="Times New Roman" w:hAnsiTheme="minorHAnsi" w:cstheme="minorHAnsi"/>
          <w:b/>
          <w:i/>
        </w:rPr>
        <w:t>Education:</w:t>
      </w:r>
      <w:r w:rsidRPr="007A2110">
        <w:rPr>
          <w:rFonts w:asciiTheme="minorHAnsi" w:hAnsiTheme="minorHAnsi" w:cstheme="minorHAnsi"/>
        </w:rPr>
        <w:t xml:space="preserve"> </w:t>
      </w:r>
      <w:r w:rsidRPr="00637EA8">
        <w:rPr>
          <w:rFonts w:asciiTheme="minorHAnsi" w:hAnsiTheme="minorHAnsi" w:cstheme="minorHAnsi"/>
        </w:rPr>
        <w:t>A</w:t>
      </w:r>
      <w:r>
        <w:rPr>
          <w:rFonts w:asciiTheme="minorHAnsi" w:hAnsiTheme="minorHAnsi" w:cstheme="minorHAnsi"/>
        </w:rPr>
        <w:t xml:space="preserve"> </w:t>
      </w:r>
      <w:r w:rsidRPr="00637EA8">
        <w:rPr>
          <w:rFonts w:asciiTheme="minorHAnsi" w:hAnsiTheme="minorHAnsi" w:cstheme="minorHAnsi"/>
        </w:rPr>
        <w:t>university degree</w:t>
      </w:r>
      <w:r>
        <w:rPr>
          <w:rFonts w:asciiTheme="minorHAnsi" w:hAnsiTheme="minorHAnsi" w:cstheme="minorHAnsi"/>
        </w:rPr>
        <w:t xml:space="preserve"> </w:t>
      </w:r>
      <w:r w:rsidRPr="00637EA8">
        <w:rPr>
          <w:rFonts w:asciiTheme="minorHAnsi" w:hAnsiTheme="minorHAnsi" w:cstheme="minorHAnsi"/>
        </w:rPr>
        <w:t xml:space="preserve">in one of the following fields is required: </w:t>
      </w:r>
      <w:r>
        <w:rPr>
          <w:rFonts w:asciiTheme="minorHAnsi" w:hAnsiTheme="minorHAnsi" w:cstheme="minorHAnsi"/>
        </w:rPr>
        <w:t xml:space="preserve">public health, </w:t>
      </w:r>
      <w:r w:rsidRPr="00637EA8">
        <w:rPr>
          <w:rFonts w:asciiTheme="minorHAnsi" w:hAnsiTheme="minorHAnsi" w:cstheme="minorHAnsi"/>
        </w:rPr>
        <w:t>civil engineering, water engineering, sanit</w:t>
      </w:r>
      <w:r>
        <w:rPr>
          <w:rFonts w:asciiTheme="minorHAnsi" w:hAnsiTheme="minorHAnsi" w:cstheme="minorHAnsi"/>
        </w:rPr>
        <w:t>ation</w:t>
      </w:r>
      <w:r w:rsidRPr="00637EA8">
        <w:rPr>
          <w:rFonts w:asciiTheme="minorHAnsi" w:hAnsiTheme="minorHAnsi" w:cstheme="minorHAnsi"/>
        </w:rPr>
        <w:t xml:space="preserve"> engineering</w:t>
      </w:r>
      <w:r>
        <w:rPr>
          <w:rFonts w:asciiTheme="minorHAnsi" w:hAnsiTheme="minorHAnsi" w:cstheme="minorHAnsi"/>
        </w:rPr>
        <w:t>,</w:t>
      </w:r>
      <w:r w:rsidR="00D60D62">
        <w:rPr>
          <w:rFonts w:asciiTheme="minorHAnsi" w:hAnsiTheme="minorHAnsi" w:cstheme="minorHAnsi"/>
        </w:rPr>
        <w:t xml:space="preserve"> research, economics, business management,</w:t>
      </w:r>
      <w:r>
        <w:rPr>
          <w:rFonts w:asciiTheme="minorHAnsi" w:hAnsiTheme="minorHAnsi" w:cstheme="minorHAnsi"/>
        </w:rPr>
        <w:t xml:space="preserve"> </w:t>
      </w:r>
      <w:r w:rsidRPr="00637EA8">
        <w:rPr>
          <w:rFonts w:asciiTheme="minorHAnsi" w:hAnsiTheme="minorHAnsi" w:cstheme="minorHAnsi"/>
        </w:rPr>
        <w:t>or another relevant technical field.</w:t>
      </w:r>
    </w:p>
    <w:p w14:paraId="2CC5E8CE" w14:textId="08F00104" w:rsidR="00701D34" w:rsidRPr="00C75398" w:rsidRDefault="00701D34" w:rsidP="00701D34">
      <w:pPr>
        <w:rPr>
          <w:rFonts w:asciiTheme="minorHAnsi" w:hAnsiTheme="minorHAnsi" w:cstheme="minorHAnsi"/>
        </w:rPr>
      </w:pPr>
      <w:r w:rsidRPr="00C75398">
        <w:rPr>
          <w:rFonts w:asciiTheme="minorHAnsi" w:hAnsiTheme="minorHAnsi" w:cstheme="minorHAnsi"/>
          <w:b/>
          <w:bCs/>
          <w:i/>
          <w:iCs/>
        </w:rPr>
        <w:t>Work Experience:</w:t>
      </w:r>
      <w:r w:rsidRPr="00C75398">
        <w:rPr>
          <w:rFonts w:asciiTheme="minorHAnsi" w:hAnsiTheme="minorHAnsi" w:cstheme="minorHAnsi"/>
        </w:rPr>
        <w:t xml:space="preserve"> a minimum of </w:t>
      </w:r>
      <w:r w:rsidR="002A4054">
        <w:rPr>
          <w:rFonts w:asciiTheme="minorHAnsi" w:hAnsiTheme="minorHAnsi" w:cstheme="minorHAnsi"/>
        </w:rPr>
        <w:t xml:space="preserve">5 </w:t>
      </w:r>
      <w:r w:rsidRPr="00C75398">
        <w:rPr>
          <w:rFonts w:asciiTheme="minorHAnsi" w:hAnsiTheme="minorHAnsi" w:cstheme="minorHAnsi"/>
        </w:rPr>
        <w:t>years of proven work experience in research and analysis of WASH development</w:t>
      </w:r>
      <w:r w:rsidR="00D60D62">
        <w:rPr>
          <w:rFonts w:asciiTheme="minorHAnsi" w:hAnsiTheme="minorHAnsi" w:cstheme="minorHAnsi"/>
        </w:rPr>
        <w:t xml:space="preserve"> programs, </w:t>
      </w:r>
      <w:proofErr w:type="gramStart"/>
      <w:r w:rsidR="00D60D62">
        <w:rPr>
          <w:rFonts w:asciiTheme="minorHAnsi" w:hAnsiTheme="minorHAnsi" w:cstheme="minorHAnsi"/>
        </w:rPr>
        <w:t>review</w:t>
      </w:r>
      <w:proofErr w:type="gramEnd"/>
      <w:r w:rsidR="00D60D62">
        <w:rPr>
          <w:rFonts w:asciiTheme="minorHAnsi" w:hAnsiTheme="minorHAnsi" w:cstheme="minorHAnsi"/>
        </w:rPr>
        <w:t xml:space="preserve"> and evaluation of government strategies/workplans</w:t>
      </w:r>
      <w:r w:rsidRPr="00C75398">
        <w:rPr>
          <w:rFonts w:asciiTheme="minorHAnsi" w:hAnsiTheme="minorHAnsi" w:cstheme="minorHAnsi"/>
        </w:rPr>
        <w:t xml:space="preserve">, quantitative and qualitative data </w:t>
      </w:r>
      <w:r w:rsidR="00D60D62">
        <w:rPr>
          <w:rFonts w:asciiTheme="minorHAnsi" w:hAnsiTheme="minorHAnsi" w:cstheme="minorHAnsi"/>
        </w:rPr>
        <w:t>analysis</w:t>
      </w:r>
      <w:r w:rsidRPr="00C75398">
        <w:rPr>
          <w:rFonts w:asciiTheme="minorHAnsi" w:hAnsiTheme="minorHAnsi" w:cstheme="minorHAnsi"/>
        </w:rPr>
        <w:t>. Experience in undertaking</w:t>
      </w:r>
      <w:r w:rsidR="00D60D62" w:rsidRPr="00D60D62">
        <w:rPr>
          <w:rFonts w:asciiTheme="minorHAnsi" w:hAnsiTheme="minorHAnsi" w:cstheme="minorHAnsi"/>
        </w:rPr>
        <w:t xml:space="preserve"> </w:t>
      </w:r>
      <w:r w:rsidR="00D60D62">
        <w:rPr>
          <w:rFonts w:asciiTheme="minorHAnsi" w:hAnsiTheme="minorHAnsi" w:cstheme="minorHAnsi"/>
        </w:rPr>
        <w:t>reviews of public WASH tariffs, setting up tariff standards and development of tariff setting strategies.</w:t>
      </w:r>
      <w:r w:rsidRPr="00C75398">
        <w:rPr>
          <w:rFonts w:asciiTheme="minorHAnsi" w:hAnsiTheme="minorHAnsi" w:cstheme="minorHAnsi"/>
        </w:rPr>
        <w:t xml:space="preserve"> </w:t>
      </w:r>
    </w:p>
    <w:p w14:paraId="3F80E88C" w14:textId="77777777" w:rsidR="00701D34" w:rsidRDefault="00701D34" w:rsidP="00701D34">
      <w:pPr>
        <w:autoSpaceDE w:val="0"/>
        <w:autoSpaceDN w:val="0"/>
        <w:adjustRightInd w:val="0"/>
        <w:spacing w:line="240" w:lineRule="auto"/>
        <w:rPr>
          <w:rFonts w:asciiTheme="minorHAnsi" w:eastAsia="Times New Roman" w:hAnsiTheme="minorHAnsi" w:cstheme="minorHAnsi"/>
          <w:b/>
          <w:i/>
        </w:rPr>
      </w:pPr>
    </w:p>
    <w:p w14:paraId="4F662829" w14:textId="77777777" w:rsidR="00701D34" w:rsidRDefault="00701D34" w:rsidP="00701D34">
      <w:pPr>
        <w:autoSpaceDE w:val="0"/>
        <w:autoSpaceDN w:val="0"/>
        <w:adjustRightInd w:val="0"/>
        <w:spacing w:line="240" w:lineRule="auto"/>
        <w:jc w:val="both"/>
        <w:rPr>
          <w:rFonts w:asciiTheme="minorHAnsi" w:eastAsia="Times New Roman" w:hAnsiTheme="minorHAnsi" w:cstheme="minorHAnsi"/>
          <w:bCs/>
          <w:iCs/>
        </w:rPr>
      </w:pPr>
      <w:r w:rsidRPr="007A2110">
        <w:rPr>
          <w:rFonts w:asciiTheme="minorHAnsi" w:eastAsia="Times New Roman" w:hAnsiTheme="minorHAnsi" w:cstheme="minorHAnsi"/>
          <w:b/>
          <w:i/>
        </w:rPr>
        <w:t>Competencies:</w:t>
      </w:r>
      <w:r w:rsidRPr="007A2110">
        <w:rPr>
          <w:rFonts w:asciiTheme="minorHAnsi" w:hAnsiTheme="minorHAnsi" w:cstheme="minorHAnsi"/>
        </w:rPr>
        <w:t xml:space="preserve"> </w:t>
      </w:r>
      <w:r>
        <w:rPr>
          <w:rFonts w:asciiTheme="minorHAnsi" w:hAnsiTheme="minorHAnsi" w:cstheme="minorHAnsi"/>
        </w:rPr>
        <w:t xml:space="preserve"> </w:t>
      </w:r>
      <w:r w:rsidRPr="00E10F4F">
        <w:rPr>
          <w:rFonts w:asciiTheme="minorHAnsi" w:eastAsia="Times New Roman" w:hAnsiTheme="minorHAnsi" w:cstheme="minorHAnsi"/>
          <w:bCs/>
          <w:iCs/>
        </w:rPr>
        <w:t>Strong analytical and conceptual thinking. Excellent writing skills. Excellent communication and presentation skills with stakeholders and the ability to work under pressure and commitment to work to a tight timeframe.</w:t>
      </w:r>
    </w:p>
    <w:p w14:paraId="1D1F9CEA" w14:textId="77777777" w:rsidR="00701D34" w:rsidRPr="00E10F4F" w:rsidRDefault="00701D34" w:rsidP="00701D34">
      <w:pPr>
        <w:autoSpaceDE w:val="0"/>
        <w:autoSpaceDN w:val="0"/>
        <w:adjustRightInd w:val="0"/>
        <w:spacing w:line="240" w:lineRule="auto"/>
        <w:rPr>
          <w:rFonts w:asciiTheme="minorHAnsi" w:hAnsiTheme="minorHAnsi" w:cstheme="minorHAnsi"/>
        </w:rPr>
      </w:pPr>
    </w:p>
    <w:p w14:paraId="60D385B0" w14:textId="116107E6" w:rsidR="00701D34" w:rsidRPr="008E6EEC" w:rsidRDefault="00701D34" w:rsidP="00701D34">
      <w:pPr>
        <w:pStyle w:val="ListBullet"/>
        <w:spacing w:line="240" w:lineRule="auto"/>
        <w:rPr>
          <w:rFonts w:asciiTheme="minorHAnsi" w:eastAsia="Arial" w:hAnsiTheme="minorHAnsi" w:cstheme="minorHAnsi"/>
          <w:szCs w:val="22"/>
        </w:rPr>
      </w:pPr>
      <w:r w:rsidRPr="007A2110">
        <w:rPr>
          <w:rFonts w:asciiTheme="minorHAnsi" w:hAnsiTheme="minorHAnsi" w:cstheme="minorHAnsi"/>
          <w:b/>
          <w:i/>
        </w:rPr>
        <w:t xml:space="preserve">Language: </w:t>
      </w:r>
      <w:r w:rsidRPr="007A2110">
        <w:rPr>
          <w:rFonts w:asciiTheme="minorHAnsi" w:hAnsiTheme="minorHAnsi" w:cstheme="minorHAnsi"/>
        </w:rPr>
        <w:t xml:space="preserve"> </w:t>
      </w:r>
      <w:r>
        <w:rPr>
          <w:rFonts w:asciiTheme="minorHAnsi" w:hAnsiTheme="minorHAnsi" w:cstheme="minorHAnsi"/>
        </w:rPr>
        <w:t>Excellent working knowledge and c</w:t>
      </w:r>
      <w:r w:rsidRPr="007A2110">
        <w:rPr>
          <w:rFonts w:asciiTheme="minorHAnsi" w:hAnsiTheme="minorHAnsi" w:cstheme="minorHAnsi"/>
        </w:rPr>
        <w:t xml:space="preserve">ommunication in </w:t>
      </w:r>
      <w:r w:rsidR="00D60D62">
        <w:rPr>
          <w:rFonts w:asciiTheme="minorHAnsi" w:hAnsiTheme="minorHAnsi" w:cstheme="minorHAnsi"/>
        </w:rPr>
        <w:t>English</w:t>
      </w:r>
      <w:r w:rsidR="00455A90">
        <w:rPr>
          <w:rFonts w:asciiTheme="minorHAnsi" w:hAnsiTheme="minorHAnsi" w:cstheme="minorHAnsi"/>
        </w:rPr>
        <w:t xml:space="preserve"> </w:t>
      </w:r>
      <w:r>
        <w:rPr>
          <w:rFonts w:asciiTheme="minorHAnsi" w:hAnsiTheme="minorHAnsi" w:cstheme="minorHAnsi"/>
        </w:rPr>
        <w:t xml:space="preserve">is required. Knowledge of </w:t>
      </w:r>
      <w:r w:rsidR="00D60D62">
        <w:rPr>
          <w:rFonts w:asciiTheme="minorHAnsi" w:hAnsiTheme="minorHAnsi" w:cstheme="minorHAnsi"/>
        </w:rPr>
        <w:t>Tajik (Farsi) and Russian</w:t>
      </w:r>
      <w:r w:rsidR="00D60D62" w:rsidRPr="007A2110">
        <w:rPr>
          <w:rFonts w:asciiTheme="minorHAnsi" w:hAnsiTheme="minorHAnsi" w:cstheme="minorHAnsi"/>
        </w:rPr>
        <w:t xml:space="preserve"> </w:t>
      </w:r>
      <w:r w:rsidRPr="007A2110">
        <w:rPr>
          <w:rFonts w:asciiTheme="minorHAnsi" w:hAnsiTheme="minorHAnsi" w:cstheme="minorHAnsi"/>
        </w:rPr>
        <w:t>is an asset</w:t>
      </w:r>
      <w:r>
        <w:rPr>
          <w:rFonts w:asciiTheme="minorHAnsi" w:hAnsiTheme="minorHAnsi" w:cstheme="minorHAnsi"/>
        </w:rPr>
        <w:t xml:space="preserve"> and preferable</w:t>
      </w:r>
      <w:r w:rsidR="00455A90">
        <w:rPr>
          <w:rFonts w:asciiTheme="minorHAnsi" w:hAnsiTheme="minorHAnsi" w:cstheme="minorHAnsi"/>
        </w:rPr>
        <w:t>.</w:t>
      </w:r>
    </w:p>
    <w:p w14:paraId="2DBC921F" w14:textId="77777777" w:rsidR="00701D34" w:rsidRPr="008E6EEC" w:rsidRDefault="00701D34" w:rsidP="00701D34">
      <w:pPr>
        <w:spacing w:line="240" w:lineRule="auto"/>
        <w:jc w:val="both"/>
        <w:rPr>
          <w:rFonts w:asciiTheme="minorHAnsi" w:eastAsia="Times New Roman" w:hAnsiTheme="minorHAnsi" w:cstheme="minorHAnsi"/>
          <w:b/>
          <w:color w:val="4472C4" w:themeColor="accent1"/>
        </w:rPr>
      </w:pPr>
    </w:p>
    <w:p w14:paraId="363E794B" w14:textId="77777777" w:rsidR="00701D34" w:rsidRPr="008E6EEC" w:rsidRDefault="00701D34" w:rsidP="00701D34">
      <w:pPr>
        <w:spacing w:line="240" w:lineRule="auto"/>
        <w:jc w:val="both"/>
        <w:rPr>
          <w:rFonts w:asciiTheme="minorHAnsi" w:eastAsia="Times New Roman" w:hAnsiTheme="minorHAnsi" w:cstheme="minorHAnsi"/>
          <w:b/>
          <w:color w:val="4472C4" w:themeColor="accent1"/>
        </w:rPr>
      </w:pPr>
      <w:r>
        <w:rPr>
          <w:rFonts w:asciiTheme="minorHAnsi" w:eastAsia="Times New Roman" w:hAnsiTheme="minorHAnsi" w:cstheme="minorHAnsi"/>
          <w:b/>
          <w:color w:val="4472C4" w:themeColor="accent1"/>
        </w:rPr>
        <w:t>REQUIREMENTS:</w:t>
      </w:r>
    </w:p>
    <w:p w14:paraId="15BFF768" w14:textId="77777777" w:rsidR="00701D34" w:rsidRPr="008E6EEC" w:rsidRDefault="00701D34" w:rsidP="00701D34">
      <w:pPr>
        <w:spacing w:line="240" w:lineRule="auto"/>
        <w:jc w:val="both"/>
        <w:rPr>
          <w:rFonts w:asciiTheme="minorHAnsi" w:hAnsiTheme="minorHAnsi" w:cstheme="minorHAnsi"/>
          <w:b/>
          <w:i/>
        </w:rPr>
      </w:pPr>
    </w:p>
    <w:p w14:paraId="00831D5D" w14:textId="77777777" w:rsidR="00701D34" w:rsidRPr="008E6EEC" w:rsidRDefault="00701D34" w:rsidP="00701D34">
      <w:pPr>
        <w:spacing w:line="240" w:lineRule="auto"/>
        <w:jc w:val="both"/>
        <w:rPr>
          <w:rFonts w:asciiTheme="minorHAnsi" w:hAnsiTheme="minorHAnsi" w:cstheme="minorHAnsi"/>
          <w:b/>
          <w:i/>
        </w:rPr>
      </w:pPr>
      <w:r w:rsidRPr="008E6EEC">
        <w:rPr>
          <w:rFonts w:asciiTheme="minorHAnsi" w:hAnsiTheme="minorHAnsi" w:cstheme="minorHAnsi"/>
          <w:b/>
          <w:i/>
        </w:rPr>
        <w:t>Qualified candidates are requested to submit:</w:t>
      </w:r>
    </w:p>
    <w:p w14:paraId="410A1E53" w14:textId="77777777" w:rsidR="00701D34" w:rsidRPr="008E6EEC" w:rsidRDefault="00701D34" w:rsidP="00701D34">
      <w:pPr>
        <w:numPr>
          <w:ilvl w:val="0"/>
          <w:numId w:val="1"/>
        </w:numPr>
        <w:spacing w:line="240" w:lineRule="auto"/>
        <w:jc w:val="both"/>
        <w:rPr>
          <w:rFonts w:asciiTheme="minorHAnsi" w:hAnsiTheme="minorHAnsi" w:cstheme="minorHAnsi"/>
          <w:u w:val="single"/>
        </w:rPr>
      </w:pPr>
      <w:r w:rsidRPr="008E6EEC">
        <w:rPr>
          <w:rFonts w:asciiTheme="minorHAnsi" w:hAnsiTheme="minorHAnsi" w:cstheme="minorHAnsi"/>
        </w:rPr>
        <w:t>Cover letter/application/CV.</w:t>
      </w:r>
    </w:p>
    <w:p w14:paraId="3C3A3011" w14:textId="77777777" w:rsidR="00701D34" w:rsidRPr="00286EAB" w:rsidRDefault="00701D34" w:rsidP="00701D34">
      <w:pPr>
        <w:numPr>
          <w:ilvl w:val="0"/>
          <w:numId w:val="1"/>
        </w:numPr>
        <w:spacing w:line="240" w:lineRule="auto"/>
        <w:jc w:val="both"/>
        <w:rPr>
          <w:rFonts w:asciiTheme="minorHAnsi" w:hAnsiTheme="minorHAnsi" w:cstheme="minorHAnsi"/>
          <w:u w:val="single"/>
        </w:rPr>
      </w:pPr>
      <w:r w:rsidRPr="008E6EEC">
        <w:rPr>
          <w:rFonts w:asciiTheme="minorHAnsi" w:hAnsiTheme="minorHAnsi" w:cstheme="minorHAnsi"/>
        </w:rPr>
        <w:t>A technical proposal with the proposed methodology/approach to managing the project, showing understanding of tasks</w:t>
      </w:r>
      <w:r>
        <w:rPr>
          <w:rFonts w:asciiTheme="minorHAnsi" w:hAnsiTheme="minorHAnsi" w:cstheme="minorHAnsi"/>
        </w:rPr>
        <w:t>.</w:t>
      </w:r>
    </w:p>
    <w:p w14:paraId="1F52E048" w14:textId="77777777" w:rsidR="00701D34" w:rsidRPr="008E6EEC" w:rsidRDefault="00701D34" w:rsidP="00701D34">
      <w:pPr>
        <w:numPr>
          <w:ilvl w:val="0"/>
          <w:numId w:val="1"/>
        </w:numPr>
        <w:spacing w:line="240" w:lineRule="auto"/>
        <w:jc w:val="both"/>
        <w:rPr>
          <w:rFonts w:asciiTheme="minorHAnsi" w:hAnsiTheme="minorHAnsi" w:cstheme="minorHAnsi"/>
          <w:u w:val="single"/>
        </w:rPr>
      </w:pPr>
      <w:r>
        <w:rPr>
          <w:rFonts w:asciiTheme="minorHAnsi" w:hAnsiTheme="minorHAnsi" w:cstheme="minorHAnsi"/>
        </w:rPr>
        <w:t>Work plan.</w:t>
      </w:r>
    </w:p>
    <w:p w14:paraId="4972F768" w14:textId="0332FFC4" w:rsidR="00701D34" w:rsidRPr="008E6EEC" w:rsidRDefault="00701D34" w:rsidP="00701D34">
      <w:pPr>
        <w:numPr>
          <w:ilvl w:val="0"/>
          <w:numId w:val="1"/>
        </w:numPr>
        <w:spacing w:line="240" w:lineRule="auto"/>
        <w:jc w:val="both"/>
        <w:rPr>
          <w:rFonts w:asciiTheme="minorHAnsi" w:hAnsiTheme="minorHAnsi" w:cstheme="minorHAnsi"/>
          <w:u w:val="single"/>
        </w:rPr>
      </w:pPr>
      <w:r w:rsidRPr="00917172">
        <w:rPr>
          <w:rFonts w:asciiTheme="minorHAnsi" w:hAnsiTheme="minorHAnsi" w:cstheme="minorHAnsi"/>
        </w:rPr>
        <w:t xml:space="preserve">Financial quote for the consultancy in </w:t>
      </w:r>
      <w:r w:rsidR="00D60D62">
        <w:rPr>
          <w:rFonts w:asciiTheme="minorHAnsi" w:hAnsiTheme="minorHAnsi" w:cstheme="minorHAnsi"/>
        </w:rPr>
        <w:t>USD</w:t>
      </w:r>
      <w:r>
        <w:rPr>
          <w:rFonts w:asciiTheme="minorHAnsi" w:hAnsiTheme="minorHAnsi" w:cstheme="minorHAnsi"/>
        </w:rPr>
        <w:t xml:space="preserve"> </w:t>
      </w:r>
      <w:r w:rsidRPr="00917172">
        <w:rPr>
          <w:rFonts w:asciiTheme="minorHAnsi" w:hAnsiTheme="minorHAnsi" w:cstheme="minorHAnsi"/>
        </w:rPr>
        <w:t xml:space="preserve">per deliverable, </w:t>
      </w:r>
      <w:proofErr w:type="gramStart"/>
      <w:r w:rsidRPr="00917172">
        <w:rPr>
          <w:rFonts w:asciiTheme="minorHAnsi" w:hAnsiTheme="minorHAnsi" w:cstheme="minorHAnsi"/>
        </w:rPr>
        <w:t>stating also</w:t>
      </w:r>
      <w:proofErr w:type="gramEnd"/>
      <w:r w:rsidRPr="00917172">
        <w:rPr>
          <w:rFonts w:asciiTheme="minorHAnsi" w:hAnsiTheme="minorHAnsi" w:cstheme="minorHAnsi"/>
        </w:rPr>
        <w:t xml:space="preserve"> the timeframe for completion of deliverable and/or daily rate in </w:t>
      </w:r>
      <w:r w:rsidR="00D60D62">
        <w:rPr>
          <w:rFonts w:asciiTheme="minorHAnsi" w:hAnsiTheme="minorHAnsi" w:cstheme="minorHAnsi"/>
        </w:rPr>
        <w:t>USD</w:t>
      </w:r>
    </w:p>
    <w:p w14:paraId="5A8A3509" w14:textId="77777777" w:rsidR="00701D34" w:rsidRPr="008E6EEC" w:rsidRDefault="00701D34" w:rsidP="00701D34">
      <w:pPr>
        <w:numPr>
          <w:ilvl w:val="0"/>
          <w:numId w:val="1"/>
        </w:numPr>
        <w:spacing w:line="240" w:lineRule="auto"/>
        <w:jc w:val="both"/>
        <w:rPr>
          <w:rFonts w:asciiTheme="minorHAnsi" w:hAnsiTheme="minorHAnsi" w:cstheme="minorHAnsi"/>
        </w:rPr>
      </w:pPr>
      <w:r w:rsidRPr="008E6EEC">
        <w:rPr>
          <w:rFonts w:asciiTheme="minorHAnsi" w:hAnsiTheme="minorHAnsi" w:cstheme="minorHAnsi"/>
        </w:rPr>
        <w:t>Examples of previous, relevant work related to the deliverables.</w:t>
      </w:r>
    </w:p>
    <w:p w14:paraId="03217576" w14:textId="77777777" w:rsidR="00701D34" w:rsidRPr="008E6EEC" w:rsidRDefault="00701D34" w:rsidP="00701D34">
      <w:pPr>
        <w:numPr>
          <w:ilvl w:val="0"/>
          <w:numId w:val="1"/>
        </w:numPr>
        <w:spacing w:line="240" w:lineRule="auto"/>
        <w:jc w:val="both"/>
        <w:rPr>
          <w:rFonts w:asciiTheme="minorHAnsi" w:hAnsiTheme="minorHAnsi" w:cstheme="minorHAnsi"/>
        </w:rPr>
      </w:pPr>
      <w:r w:rsidRPr="008E6EEC">
        <w:rPr>
          <w:rFonts w:asciiTheme="minorHAnsi" w:hAnsiTheme="minorHAnsi" w:cstheme="minorHAnsi"/>
        </w:rPr>
        <w:t>At least two references</w:t>
      </w:r>
    </w:p>
    <w:p w14:paraId="35A3E584" w14:textId="77777777" w:rsidR="00701D34" w:rsidRPr="008E6EEC" w:rsidRDefault="00701D34" w:rsidP="00701D34">
      <w:pPr>
        <w:shd w:val="clear" w:color="auto" w:fill="FFFFFF" w:themeFill="background1"/>
        <w:contextualSpacing/>
        <w:jc w:val="both"/>
        <w:rPr>
          <w:rFonts w:asciiTheme="minorHAnsi" w:eastAsiaTheme="minorEastAsia" w:hAnsiTheme="minorHAnsi" w:cstheme="minorHAnsi"/>
        </w:rPr>
      </w:pPr>
    </w:p>
    <w:p w14:paraId="46FC1ACD" w14:textId="407DB9B2" w:rsidR="00701D34" w:rsidRPr="008E6EEC" w:rsidRDefault="00701D34" w:rsidP="00456F61">
      <w:pPr>
        <w:pStyle w:val="NormalWeb"/>
        <w:jc w:val="both"/>
        <w:rPr>
          <w:rFonts w:asciiTheme="minorHAnsi" w:hAnsiTheme="minorHAnsi" w:cstheme="minorHAnsi"/>
          <w:sz w:val="22"/>
          <w:szCs w:val="22"/>
        </w:rPr>
      </w:pPr>
      <w:r w:rsidRPr="006C4E8C">
        <w:rPr>
          <w:rFonts w:ascii="Calibri" w:eastAsia="Arial" w:hAnsi="Calibri" w:cs="Calibri"/>
          <w:color w:val="000000"/>
          <w:sz w:val="22"/>
          <w:szCs w:val="22"/>
          <w:lang w:eastAsia="en-US"/>
        </w:rPr>
        <w:t xml:space="preserve">Queries can be sent to: </w:t>
      </w:r>
      <w:hyperlink r:id="rId9" w:history="1">
        <w:r w:rsidR="00456F61">
          <w:rPr>
            <w:rFonts w:ascii="Calibri" w:eastAsia="Arial" w:hAnsi="Calibri" w:cs="Calibri"/>
            <w:color w:val="0000FF"/>
            <w:sz w:val="22"/>
            <w:szCs w:val="22"/>
            <w:u w:val="single"/>
            <w:lang w:eastAsia="en-US"/>
          </w:rPr>
          <w:t>dushanbe</w:t>
        </w:r>
        <w:r w:rsidR="00456F61" w:rsidRPr="006C4E8C">
          <w:rPr>
            <w:rFonts w:ascii="Calibri" w:eastAsia="Arial" w:hAnsi="Calibri" w:cs="Calibri"/>
            <w:color w:val="0000FF"/>
            <w:sz w:val="22"/>
            <w:szCs w:val="22"/>
            <w:u w:val="single"/>
            <w:lang w:eastAsia="en-US"/>
          </w:rPr>
          <w:t>@unicef.org</w:t>
        </w:r>
      </w:hyperlink>
      <w:r w:rsidRPr="006C4E8C">
        <w:rPr>
          <w:rFonts w:ascii="Calibri" w:eastAsia="Arial" w:hAnsi="Calibri" w:cs="Calibri"/>
          <w:color w:val="000000"/>
          <w:sz w:val="22"/>
          <w:szCs w:val="22"/>
          <w:lang w:eastAsia="en-US"/>
        </w:rPr>
        <w:t xml:space="preserve">  with subject line </w:t>
      </w:r>
      <w:r w:rsidRPr="00455A90">
        <w:rPr>
          <w:rFonts w:ascii="Calibri" w:eastAsia="Arial" w:hAnsi="Calibri" w:cs="Calibri"/>
          <w:b/>
          <w:bCs/>
          <w:color w:val="000000"/>
          <w:sz w:val="20"/>
          <w:szCs w:val="20"/>
          <w:lang w:eastAsia="en-US"/>
        </w:rPr>
        <w:t>“</w:t>
      </w:r>
      <w:r w:rsidR="00D60D62" w:rsidRPr="00BF579E">
        <w:rPr>
          <w:rFonts w:ascii="Calibri" w:hAnsi="Calibri" w:cs="Calibri"/>
          <w:b/>
          <w:bCs/>
        </w:rPr>
        <w:t xml:space="preserve">Consultancy to provide </w:t>
      </w:r>
      <w:r w:rsidR="00D60D62">
        <w:rPr>
          <w:rFonts w:ascii="Calibri" w:hAnsi="Calibri" w:cs="Calibri"/>
          <w:b/>
          <w:bCs/>
        </w:rPr>
        <w:t>t</w:t>
      </w:r>
      <w:r w:rsidR="00D60D62" w:rsidRPr="00BF579E">
        <w:rPr>
          <w:rFonts w:ascii="Calibri" w:hAnsi="Calibri" w:cs="Calibri"/>
          <w:b/>
          <w:bCs/>
        </w:rPr>
        <w:t xml:space="preserve">echnical </w:t>
      </w:r>
      <w:r w:rsidR="00D60D62">
        <w:rPr>
          <w:rFonts w:ascii="Calibri" w:hAnsi="Calibri" w:cs="Calibri"/>
          <w:b/>
          <w:bCs/>
        </w:rPr>
        <w:t>a</w:t>
      </w:r>
      <w:r w:rsidR="00D60D62" w:rsidRPr="00BF579E">
        <w:rPr>
          <w:rFonts w:ascii="Calibri" w:hAnsi="Calibri" w:cs="Calibri"/>
          <w:b/>
          <w:bCs/>
        </w:rPr>
        <w:t>ssistance to State Unitary Enterprise –</w:t>
      </w:r>
      <w:r w:rsidR="00D60D62" w:rsidRPr="00BF579E">
        <w:rPr>
          <w:b/>
          <w:bCs/>
        </w:rPr>
        <w:t xml:space="preserve"> </w:t>
      </w:r>
      <w:proofErr w:type="spellStart"/>
      <w:r w:rsidR="00D60D62" w:rsidRPr="00BF579E">
        <w:rPr>
          <w:rFonts w:asciiTheme="minorHAnsi" w:hAnsiTheme="minorHAnsi" w:cstheme="minorHAnsi"/>
          <w:b/>
          <w:bCs/>
        </w:rPr>
        <w:t>Khojagii</w:t>
      </w:r>
      <w:proofErr w:type="spellEnd"/>
      <w:r w:rsidR="00D60D62" w:rsidRPr="00BF579E">
        <w:rPr>
          <w:rFonts w:asciiTheme="minorHAnsi" w:hAnsiTheme="minorHAnsi" w:cstheme="minorHAnsi"/>
          <w:b/>
          <w:bCs/>
        </w:rPr>
        <w:t xml:space="preserve"> </w:t>
      </w:r>
      <w:proofErr w:type="spellStart"/>
      <w:r w:rsidR="00D60D62" w:rsidRPr="00BF579E">
        <w:rPr>
          <w:rFonts w:asciiTheme="minorHAnsi" w:hAnsiTheme="minorHAnsi" w:cstheme="minorHAnsi"/>
          <w:b/>
          <w:bCs/>
        </w:rPr>
        <w:t>Manziliyu</w:t>
      </w:r>
      <w:proofErr w:type="spellEnd"/>
      <w:r w:rsidR="00D60D62" w:rsidRPr="00BF579E">
        <w:rPr>
          <w:rFonts w:asciiTheme="minorHAnsi" w:hAnsiTheme="minorHAnsi" w:cstheme="minorHAnsi"/>
          <w:b/>
          <w:bCs/>
        </w:rPr>
        <w:t xml:space="preserve"> </w:t>
      </w:r>
      <w:proofErr w:type="spellStart"/>
      <w:r w:rsidR="00D60D62" w:rsidRPr="00BF579E">
        <w:rPr>
          <w:rFonts w:asciiTheme="minorHAnsi" w:hAnsiTheme="minorHAnsi" w:cstheme="minorHAnsi"/>
          <w:b/>
          <w:bCs/>
        </w:rPr>
        <w:t>Kommunali</w:t>
      </w:r>
      <w:proofErr w:type="spellEnd"/>
      <w:r w:rsidR="00D60D62" w:rsidRPr="00BF579E">
        <w:rPr>
          <w:rFonts w:asciiTheme="minorHAnsi" w:hAnsiTheme="minorHAnsi" w:cstheme="minorHAnsi"/>
          <w:b/>
          <w:bCs/>
        </w:rPr>
        <w:t xml:space="preserve"> (SUE-KMK) </w:t>
      </w:r>
      <w:r w:rsidR="00D60D62" w:rsidRPr="00BF579E">
        <w:rPr>
          <w:rFonts w:ascii="Calibri" w:hAnsi="Calibri" w:cs="Calibri"/>
          <w:b/>
          <w:bCs/>
        </w:rPr>
        <w:t xml:space="preserve">on </w:t>
      </w:r>
      <w:r w:rsidR="00D60D62">
        <w:rPr>
          <w:rFonts w:ascii="Calibri" w:hAnsi="Calibri" w:cs="Calibri"/>
          <w:b/>
          <w:bCs/>
        </w:rPr>
        <w:t>development of tariff setting strategy for water supply and sanitation services</w:t>
      </w:r>
      <w:r w:rsidRPr="00455A90">
        <w:rPr>
          <w:rFonts w:ascii="Calibri" w:eastAsia="Arial" w:hAnsi="Calibri" w:cs="Calibri"/>
          <w:b/>
          <w:bCs/>
          <w:color w:val="000000"/>
          <w:sz w:val="20"/>
          <w:szCs w:val="20"/>
          <w:lang w:eastAsia="en-US"/>
        </w:rPr>
        <w:t>”</w:t>
      </w:r>
      <w:r w:rsidRPr="00455A90" w:rsidDel="000F2F96">
        <w:rPr>
          <w:rFonts w:ascii="Calibri" w:eastAsia="Arial" w:hAnsi="Calibri" w:cs="Calibri"/>
          <w:b/>
          <w:bCs/>
          <w:color w:val="000000"/>
          <w:sz w:val="20"/>
          <w:szCs w:val="20"/>
          <w:lang w:eastAsia="en-US"/>
        </w:rPr>
        <w:t xml:space="preserve"> </w:t>
      </w:r>
      <w:r w:rsidRPr="006C4E8C">
        <w:rPr>
          <w:rFonts w:ascii="Calibri" w:eastAsia="Arial" w:hAnsi="Calibri" w:cs="Calibri"/>
          <w:color w:val="000000"/>
          <w:sz w:val="22"/>
          <w:szCs w:val="22"/>
          <w:lang w:eastAsia="en-US"/>
        </w:rPr>
        <w:t xml:space="preserve">Applications must be received in the system by </w:t>
      </w:r>
      <w:r w:rsidR="002A4054" w:rsidRPr="002A4054">
        <w:rPr>
          <w:rFonts w:ascii="Calibri" w:eastAsia="Arial" w:hAnsi="Calibri" w:cs="Calibri"/>
          <w:b/>
          <w:bCs/>
          <w:color w:val="000000"/>
          <w:sz w:val="22"/>
          <w:szCs w:val="22"/>
          <w:lang w:eastAsia="en-US"/>
        </w:rPr>
        <w:t xml:space="preserve">August 23, </w:t>
      </w:r>
      <w:r w:rsidRPr="006C4E8C">
        <w:rPr>
          <w:rFonts w:ascii="Calibri" w:eastAsia="Arial" w:hAnsi="Calibri" w:cs="Calibri"/>
          <w:b/>
          <w:color w:val="000000"/>
          <w:sz w:val="22"/>
          <w:szCs w:val="22"/>
          <w:lang w:eastAsia="en-US"/>
        </w:rPr>
        <w:t>2021</w:t>
      </w:r>
      <w:r w:rsidRPr="006C4E8C">
        <w:rPr>
          <w:rFonts w:ascii="Calibri" w:eastAsia="Arial" w:hAnsi="Calibri" w:cs="Calibri"/>
          <w:color w:val="000000"/>
          <w:sz w:val="22"/>
          <w:szCs w:val="22"/>
          <w:lang w:eastAsia="en-US"/>
        </w:rPr>
        <w:t xml:space="preserve"> </w:t>
      </w:r>
      <w:r w:rsidR="00456F61">
        <w:rPr>
          <w:rFonts w:ascii="Calibri" w:eastAsia="Arial" w:hAnsi="Calibri" w:cs="Calibri"/>
          <w:color w:val="000000"/>
          <w:sz w:val="22"/>
          <w:szCs w:val="22"/>
          <w:lang w:eastAsia="en-US"/>
        </w:rPr>
        <w:t>through UNICEF</w:t>
      </w:r>
      <w:r w:rsidRPr="006C4E8C">
        <w:rPr>
          <w:rFonts w:ascii="Calibri" w:eastAsia="Arial" w:hAnsi="Calibri" w:cs="Calibri"/>
          <w:color w:val="000000"/>
          <w:sz w:val="22"/>
          <w:szCs w:val="22"/>
          <w:lang w:eastAsia="en-US"/>
        </w:rPr>
        <w:t xml:space="preserve"> website</w:t>
      </w:r>
      <w:r w:rsidR="00456F61">
        <w:rPr>
          <w:rFonts w:ascii="Calibri" w:eastAsia="Arial" w:hAnsi="Calibri" w:cs="Calibri"/>
          <w:color w:val="000000"/>
          <w:sz w:val="22"/>
          <w:szCs w:val="22"/>
          <w:lang w:eastAsia="en-US"/>
        </w:rPr>
        <w:t>.</w:t>
      </w:r>
    </w:p>
    <w:p w14:paraId="509CFA92" w14:textId="77777777" w:rsidR="00701D34" w:rsidRPr="000D3A0F" w:rsidRDefault="00701D34" w:rsidP="00701D34">
      <w:pPr>
        <w:pStyle w:val="Default"/>
        <w:jc w:val="both"/>
        <w:rPr>
          <w:rFonts w:asciiTheme="minorHAnsi" w:hAnsiTheme="minorHAnsi" w:cstheme="minorHAnsi"/>
          <w:sz w:val="22"/>
          <w:szCs w:val="22"/>
        </w:rPr>
      </w:pPr>
      <w:r w:rsidRPr="000D3A0F">
        <w:rPr>
          <w:rFonts w:asciiTheme="minorHAnsi" w:hAnsiTheme="minorHAnsi" w:cstheme="minorHAnsi"/>
          <w:sz w:val="22"/>
          <w:szCs w:val="22"/>
        </w:rPr>
        <w:lastRenderedPageBreak/>
        <w:t>Travel costs and DSA will be covered in accordance with UN rules and regulations. No other remunerations apply. As a general principle, the fees payable to a consultant or individual contractor follow the “best value for money” principle,</w:t>
      </w:r>
      <w:r w:rsidRPr="000D3A0F">
        <w:rPr>
          <w:rFonts w:asciiTheme="minorHAnsi" w:eastAsia="Arial" w:hAnsiTheme="minorHAnsi" w:cstheme="minorHAnsi"/>
          <w:sz w:val="22"/>
          <w:szCs w:val="22"/>
          <w:lang w:val="en-GB"/>
        </w:rPr>
        <w:t xml:space="preserve"> i.e., achieving the desired outcome at the lowest possible cost.</w:t>
      </w:r>
      <w:r w:rsidRPr="000D3A0F">
        <w:rPr>
          <w:rFonts w:asciiTheme="minorHAnsi" w:hAnsiTheme="minorHAnsi" w:cstheme="minorHAnsi"/>
          <w:sz w:val="22"/>
          <w:szCs w:val="22"/>
        </w:rPr>
        <w:t xml:space="preserve"> </w:t>
      </w:r>
    </w:p>
    <w:p w14:paraId="3145938C" w14:textId="77777777" w:rsidR="00701D34" w:rsidRPr="000D3A0F" w:rsidRDefault="00701D34" w:rsidP="00701D34">
      <w:pPr>
        <w:pStyle w:val="Default"/>
        <w:jc w:val="both"/>
        <w:rPr>
          <w:rFonts w:asciiTheme="minorHAnsi" w:hAnsiTheme="minorHAnsi" w:cstheme="minorHAnsi"/>
          <w:sz w:val="22"/>
          <w:szCs w:val="22"/>
        </w:rPr>
      </w:pPr>
    </w:p>
    <w:p w14:paraId="553A39E6" w14:textId="77777777" w:rsidR="00701D34" w:rsidRPr="008E6EEC" w:rsidRDefault="00701D34" w:rsidP="00701D34">
      <w:pPr>
        <w:pStyle w:val="Default"/>
        <w:jc w:val="both"/>
        <w:rPr>
          <w:rFonts w:asciiTheme="minorHAnsi" w:eastAsia="Arial" w:hAnsiTheme="minorHAnsi" w:cstheme="minorHAnsi"/>
          <w:sz w:val="22"/>
          <w:szCs w:val="22"/>
          <w:lang w:val="en-GB"/>
        </w:rPr>
      </w:pPr>
      <w:r w:rsidRPr="000D3A0F">
        <w:rPr>
          <w:rFonts w:asciiTheme="minorHAnsi" w:hAnsiTheme="minorHAnsi" w:cstheme="minorHAnsi"/>
          <w:sz w:val="22"/>
          <w:szCs w:val="22"/>
        </w:rPr>
        <w:t>Please note that consultants and individual contractors are responsible for assuming costs for obtaining visas and travel insurance.</w:t>
      </w:r>
    </w:p>
    <w:p w14:paraId="35CC16CE" w14:textId="77777777" w:rsidR="00701D34" w:rsidRDefault="00701D34" w:rsidP="00701D34">
      <w:pPr>
        <w:pStyle w:val="NormalWeb"/>
        <w:spacing w:line="288" w:lineRule="auto"/>
        <w:jc w:val="both"/>
        <w:rPr>
          <w:rFonts w:asciiTheme="minorHAnsi" w:eastAsia="Arial" w:hAnsiTheme="minorHAnsi" w:cstheme="minorHAnsi"/>
          <w:color w:val="000000"/>
          <w:sz w:val="22"/>
          <w:szCs w:val="22"/>
          <w:lang w:eastAsia="en-US"/>
        </w:rPr>
      </w:pPr>
    </w:p>
    <w:p w14:paraId="7193A60A" w14:textId="77777777" w:rsidR="00701D34" w:rsidRDefault="00701D34" w:rsidP="00701D34">
      <w:pPr>
        <w:pStyle w:val="NormalWeb"/>
        <w:spacing w:line="288" w:lineRule="auto"/>
        <w:jc w:val="both"/>
        <w:rPr>
          <w:rFonts w:asciiTheme="minorHAnsi" w:hAnsiTheme="minorHAnsi" w:cstheme="minorHAnsi"/>
          <w:b/>
          <w:color w:val="4472C4" w:themeColor="accent1"/>
          <w:sz w:val="22"/>
          <w:szCs w:val="22"/>
        </w:rPr>
      </w:pPr>
      <w:r w:rsidRPr="005874C8">
        <w:rPr>
          <w:rFonts w:asciiTheme="minorHAnsi" w:hAnsiTheme="minorHAnsi" w:cstheme="minorHAnsi"/>
          <w:b/>
          <w:color w:val="4472C4" w:themeColor="accent1"/>
          <w:sz w:val="22"/>
          <w:szCs w:val="22"/>
        </w:rPr>
        <w:t>EVALUATION PROCESS AND METHODS</w:t>
      </w:r>
      <w:r w:rsidRPr="008E6EEC">
        <w:rPr>
          <w:rFonts w:asciiTheme="minorHAnsi" w:hAnsiTheme="minorHAnsi" w:cstheme="minorHAnsi"/>
          <w:b/>
          <w:color w:val="4472C4" w:themeColor="accent1"/>
          <w:sz w:val="22"/>
          <w:szCs w:val="22"/>
        </w:rPr>
        <w:t>:</w:t>
      </w:r>
    </w:p>
    <w:p w14:paraId="4855B93B"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Individual consultants</w:t>
      </w:r>
      <w:r>
        <w:rPr>
          <w:rFonts w:asciiTheme="minorHAnsi" w:eastAsia="Times" w:hAnsiTheme="minorHAnsi" w:cstheme="minorHAnsi"/>
          <w:lang w:eastAsia="en-GB"/>
        </w:rPr>
        <w:t>/contractors</w:t>
      </w:r>
      <w:r w:rsidRPr="008E6EEC">
        <w:rPr>
          <w:rFonts w:asciiTheme="minorHAnsi" w:eastAsia="Times" w:hAnsiTheme="minorHAnsi" w:cstheme="minorHAnsi"/>
          <w:lang w:eastAsia="en-GB"/>
        </w:rPr>
        <w:t xml:space="preserve"> will be evaluated based on a cumulative analysis methodology. The award of the Contract shall be made to the individual consultant whose offer has been evaluated and determined as:</w:t>
      </w:r>
    </w:p>
    <w:p w14:paraId="1BAFDFFB"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p>
    <w:p w14:paraId="453067F7"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a) responsive/compliant/acceptable, and</w:t>
      </w:r>
    </w:p>
    <w:p w14:paraId="6D114904" w14:textId="77777777" w:rsidR="00701D34"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b) </w:t>
      </w:r>
      <w:r>
        <w:rPr>
          <w:rFonts w:asciiTheme="minorHAnsi" w:eastAsia="Times" w:hAnsiTheme="minorHAnsi" w:cstheme="minorHAnsi"/>
          <w:lang w:eastAsia="en-GB"/>
        </w:rPr>
        <w:t>h</w:t>
      </w:r>
      <w:r w:rsidRPr="008E6EEC">
        <w:rPr>
          <w:rFonts w:asciiTheme="minorHAnsi" w:eastAsia="Times" w:hAnsiTheme="minorHAnsi" w:cstheme="minorHAnsi"/>
          <w:lang w:eastAsia="en-GB"/>
        </w:rPr>
        <w:t>aving received the highest score out of a weighted set of technical and financial criteria.</w:t>
      </w:r>
    </w:p>
    <w:p w14:paraId="4B2B19EF" w14:textId="77777777" w:rsidR="00701D34" w:rsidRDefault="00701D34" w:rsidP="00701D34">
      <w:pPr>
        <w:autoSpaceDE w:val="0"/>
        <w:autoSpaceDN w:val="0"/>
        <w:spacing w:line="260" w:lineRule="exact"/>
        <w:jc w:val="both"/>
        <w:rPr>
          <w:rFonts w:asciiTheme="minorHAnsi" w:eastAsia="Times" w:hAnsiTheme="minorHAnsi" w:cstheme="minorHAnsi"/>
          <w:lang w:eastAsia="en-GB"/>
        </w:rPr>
      </w:pPr>
    </w:p>
    <w:p w14:paraId="4F8ECCDA"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382450">
        <w:rPr>
          <w:rFonts w:asciiTheme="minorHAnsi" w:eastAsia="Times" w:hAnsiTheme="minorHAnsi" w:cstheme="minorHAnsi"/>
          <w:lang w:eastAsia="en-GB"/>
        </w:rPr>
        <w:t>During the selection, the ratio between the technical evaluation and commercial offer is 70 to 30.</w:t>
      </w:r>
    </w:p>
    <w:p w14:paraId="345597AB" w14:textId="77777777" w:rsidR="00701D34" w:rsidRPr="008E6EEC" w:rsidRDefault="00701D34" w:rsidP="00701D34">
      <w:pPr>
        <w:autoSpaceDE w:val="0"/>
        <w:autoSpaceDN w:val="0"/>
        <w:spacing w:line="260" w:lineRule="exact"/>
        <w:ind w:left="708"/>
        <w:jc w:val="both"/>
        <w:rPr>
          <w:rFonts w:asciiTheme="minorHAnsi" w:eastAsia="Times" w:hAnsiTheme="minorHAnsi" w:cstheme="minorHAnsi"/>
          <w:lang w:eastAsia="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5"/>
        <w:gridCol w:w="1170"/>
        <w:gridCol w:w="2070"/>
      </w:tblGrid>
      <w:tr w:rsidR="00701D34" w:rsidRPr="007A7A14" w14:paraId="1613FB09" w14:textId="77777777" w:rsidTr="004A1333">
        <w:trPr>
          <w:trHeight w:val="342"/>
        </w:trPr>
        <w:tc>
          <w:tcPr>
            <w:tcW w:w="6655" w:type="dxa"/>
            <w:tcMar>
              <w:top w:w="0" w:type="dxa"/>
              <w:left w:w="108" w:type="dxa"/>
              <w:bottom w:w="0" w:type="dxa"/>
              <w:right w:w="108" w:type="dxa"/>
            </w:tcMar>
            <w:vAlign w:val="center"/>
            <w:hideMark/>
          </w:tcPr>
          <w:p w14:paraId="52A8581B" w14:textId="77777777" w:rsidR="00701D34" w:rsidRPr="007A7A14" w:rsidRDefault="00701D34" w:rsidP="004A1333">
            <w:pPr>
              <w:spacing w:line="260" w:lineRule="exact"/>
              <w:jc w:val="center"/>
              <w:rPr>
                <w:rFonts w:ascii="Calibri" w:eastAsia="Times" w:hAnsi="Calibri" w:cs="Calibri"/>
                <w:b/>
                <w:bCs/>
                <w:i/>
                <w:iCs/>
                <w:color w:val="auto"/>
                <w:lang w:val="en-US" w:eastAsia="ru-RU"/>
              </w:rPr>
            </w:pPr>
            <w:r w:rsidRPr="007A7A14">
              <w:rPr>
                <w:rFonts w:ascii="Calibri" w:eastAsia="Times" w:hAnsi="Calibri" w:cs="Calibri"/>
                <w:b/>
                <w:bCs/>
                <w:i/>
                <w:iCs/>
                <w:lang w:val="en-US" w:eastAsia="ru-RU"/>
              </w:rPr>
              <w:t>Criteria</w:t>
            </w:r>
          </w:p>
        </w:tc>
        <w:tc>
          <w:tcPr>
            <w:tcW w:w="1170" w:type="dxa"/>
            <w:tcMar>
              <w:top w:w="0" w:type="dxa"/>
              <w:left w:w="108" w:type="dxa"/>
              <w:bottom w:w="0" w:type="dxa"/>
              <w:right w:w="108" w:type="dxa"/>
            </w:tcMar>
            <w:vAlign w:val="center"/>
            <w:hideMark/>
          </w:tcPr>
          <w:p w14:paraId="1F48ED9C"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ru-RU" w:eastAsia="ru-RU"/>
              </w:rPr>
              <w:t>Weigh</w:t>
            </w:r>
            <w:r w:rsidRPr="007A7A14">
              <w:rPr>
                <w:rFonts w:ascii="Calibri" w:eastAsia="Times" w:hAnsi="Calibri" w:cs="Calibri"/>
                <w:b/>
                <w:bCs/>
                <w:i/>
                <w:iCs/>
                <w:lang w:val="en-US" w:eastAsia="ru-RU"/>
              </w:rPr>
              <w:t>t</w:t>
            </w:r>
          </w:p>
        </w:tc>
        <w:tc>
          <w:tcPr>
            <w:tcW w:w="2070" w:type="dxa"/>
            <w:tcMar>
              <w:top w:w="0" w:type="dxa"/>
              <w:left w:w="108" w:type="dxa"/>
              <w:bottom w:w="0" w:type="dxa"/>
              <w:right w:w="108" w:type="dxa"/>
            </w:tcMar>
            <w:hideMark/>
          </w:tcPr>
          <w:p w14:paraId="4BD03F6E"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Max. Point</w:t>
            </w:r>
          </w:p>
          <w:p w14:paraId="0F1E3CED" w14:textId="77777777" w:rsidR="00701D34" w:rsidRPr="007A7A14" w:rsidRDefault="00701D34" w:rsidP="004A1333">
            <w:pPr>
              <w:spacing w:line="260" w:lineRule="exact"/>
              <w:jc w:val="center"/>
              <w:rPr>
                <w:rFonts w:ascii="Calibri" w:eastAsia="Times" w:hAnsi="Calibri" w:cs="Calibri"/>
                <w:b/>
                <w:bCs/>
                <w:i/>
                <w:iCs/>
                <w:lang w:val="en-US" w:eastAsia="ru-RU"/>
              </w:rPr>
            </w:pPr>
          </w:p>
        </w:tc>
      </w:tr>
      <w:tr w:rsidR="00701D34" w:rsidRPr="007A7A14" w14:paraId="445B76A5" w14:textId="77777777" w:rsidTr="004A1333">
        <w:trPr>
          <w:trHeight w:val="377"/>
        </w:trPr>
        <w:tc>
          <w:tcPr>
            <w:tcW w:w="6655" w:type="dxa"/>
            <w:shd w:val="clear" w:color="auto" w:fill="C6D9F1"/>
            <w:tcMar>
              <w:top w:w="0" w:type="dxa"/>
              <w:left w:w="108" w:type="dxa"/>
              <w:bottom w:w="0" w:type="dxa"/>
              <w:right w:w="108" w:type="dxa"/>
            </w:tcMar>
            <w:vAlign w:val="center"/>
            <w:hideMark/>
          </w:tcPr>
          <w:p w14:paraId="17923ED2"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TECHNICAL QUALIFICATION (max. 70 points)</w:t>
            </w:r>
          </w:p>
        </w:tc>
        <w:tc>
          <w:tcPr>
            <w:tcW w:w="1170" w:type="dxa"/>
            <w:shd w:val="clear" w:color="auto" w:fill="C6D9F1"/>
            <w:tcMar>
              <w:top w:w="0" w:type="dxa"/>
              <w:left w:w="108" w:type="dxa"/>
              <w:bottom w:w="0" w:type="dxa"/>
              <w:right w:w="108" w:type="dxa"/>
            </w:tcMar>
            <w:vAlign w:val="center"/>
            <w:hideMark/>
          </w:tcPr>
          <w:p w14:paraId="6080BAC1"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c>
          <w:tcPr>
            <w:tcW w:w="2070" w:type="dxa"/>
            <w:shd w:val="clear" w:color="auto" w:fill="C6D9F1"/>
            <w:tcMar>
              <w:top w:w="0" w:type="dxa"/>
              <w:left w:w="108" w:type="dxa"/>
              <w:bottom w:w="0" w:type="dxa"/>
              <w:right w:w="108" w:type="dxa"/>
            </w:tcMar>
            <w:vAlign w:val="center"/>
            <w:hideMark/>
          </w:tcPr>
          <w:p w14:paraId="45896E5B"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r>
      <w:tr w:rsidR="00701D34" w:rsidRPr="007A7A14" w14:paraId="3E33D43B" w14:textId="77777777" w:rsidTr="004A1333">
        <w:trPr>
          <w:trHeight w:val="289"/>
        </w:trPr>
        <w:tc>
          <w:tcPr>
            <w:tcW w:w="6655" w:type="dxa"/>
            <w:tcMar>
              <w:top w:w="0" w:type="dxa"/>
              <w:left w:w="108" w:type="dxa"/>
              <w:bottom w:w="0" w:type="dxa"/>
              <w:right w:w="108" w:type="dxa"/>
            </w:tcMar>
            <w:vAlign w:val="center"/>
          </w:tcPr>
          <w:p w14:paraId="03E36CC4"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Overall Response (20 points)</w:t>
            </w:r>
          </w:p>
        </w:tc>
        <w:tc>
          <w:tcPr>
            <w:tcW w:w="3240" w:type="dxa"/>
            <w:gridSpan w:val="2"/>
            <w:tcMar>
              <w:top w:w="0" w:type="dxa"/>
              <w:left w:w="108" w:type="dxa"/>
              <w:bottom w:w="0" w:type="dxa"/>
              <w:right w:w="108" w:type="dxa"/>
            </w:tcMar>
            <w:vAlign w:val="center"/>
          </w:tcPr>
          <w:p w14:paraId="46D03FFE" w14:textId="77777777" w:rsidR="00701D34" w:rsidRPr="007A7A14" w:rsidRDefault="00701D34" w:rsidP="004A1333">
            <w:pPr>
              <w:spacing w:line="260" w:lineRule="exact"/>
              <w:jc w:val="center"/>
              <w:rPr>
                <w:rFonts w:ascii="Calibri" w:eastAsia="Times" w:hAnsi="Calibri" w:cs="Calibri"/>
                <w:b/>
                <w:bCs/>
                <w:i/>
                <w:iCs/>
                <w:lang w:val="en-US" w:eastAsia="ru-RU"/>
              </w:rPr>
            </w:pPr>
          </w:p>
        </w:tc>
      </w:tr>
      <w:tr w:rsidR="00701D34" w:rsidRPr="007A7A14" w14:paraId="1FF55A81" w14:textId="77777777" w:rsidTr="004A1333">
        <w:trPr>
          <w:trHeight w:val="289"/>
        </w:trPr>
        <w:tc>
          <w:tcPr>
            <w:tcW w:w="6655" w:type="dxa"/>
            <w:tcMar>
              <w:top w:w="0" w:type="dxa"/>
              <w:left w:w="108" w:type="dxa"/>
              <w:bottom w:w="0" w:type="dxa"/>
              <w:right w:w="108" w:type="dxa"/>
            </w:tcMar>
            <w:vAlign w:val="center"/>
          </w:tcPr>
          <w:p w14:paraId="6561B6EB" w14:textId="77777777" w:rsidR="00701D34" w:rsidRPr="007A7A14" w:rsidRDefault="00701D34" w:rsidP="004A1333">
            <w:pPr>
              <w:spacing w:line="260" w:lineRule="exact"/>
              <w:rPr>
                <w:rFonts w:ascii="Calibri" w:eastAsia="Times" w:hAnsi="Calibri" w:cs="Calibri"/>
                <w:bCs/>
                <w:iCs/>
                <w:lang w:val="en-US" w:eastAsia="ru-RU"/>
              </w:rPr>
            </w:pPr>
            <w:r w:rsidRPr="007A7A14">
              <w:rPr>
                <w:rFonts w:ascii="Calibri" w:eastAsia="Times" w:hAnsi="Calibri" w:cs="Calibri"/>
                <w:bCs/>
                <w:iCs/>
                <w:lang w:val="en-US" w:eastAsia="ru-RU"/>
              </w:rPr>
              <w:t>Understanding of tasks, objectives and completeness and coherence of response</w:t>
            </w:r>
          </w:p>
        </w:tc>
        <w:tc>
          <w:tcPr>
            <w:tcW w:w="1170" w:type="dxa"/>
            <w:tcMar>
              <w:top w:w="0" w:type="dxa"/>
              <w:left w:w="108" w:type="dxa"/>
              <w:bottom w:w="0" w:type="dxa"/>
              <w:right w:w="108" w:type="dxa"/>
            </w:tcMar>
            <w:vAlign w:val="center"/>
          </w:tcPr>
          <w:p w14:paraId="70B34D41" w14:textId="77777777" w:rsidR="00701D34" w:rsidRPr="007A7A14" w:rsidRDefault="00701D34" w:rsidP="004A1333">
            <w:pPr>
              <w:spacing w:line="260" w:lineRule="exact"/>
              <w:jc w:val="center"/>
              <w:rPr>
                <w:rFonts w:ascii="Calibri" w:eastAsia="Times" w:hAnsi="Calibri" w:cs="Calibri"/>
                <w:b/>
                <w:bCs/>
                <w:i/>
                <w:iCs/>
                <w:lang w:val="en-US" w:eastAsia="ru-RU"/>
              </w:rPr>
            </w:pPr>
          </w:p>
        </w:tc>
        <w:tc>
          <w:tcPr>
            <w:tcW w:w="2070" w:type="dxa"/>
            <w:tcMar>
              <w:top w:w="0" w:type="dxa"/>
              <w:left w:w="108" w:type="dxa"/>
              <w:bottom w:w="0" w:type="dxa"/>
              <w:right w:w="108" w:type="dxa"/>
            </w:tcMar>
            <w:vAlign w:val="center"/>
          </w:tcPr>
          <w:p w14:paraId="29A7A86E" w14:textId="77777777" w:rsidR="00701D34" w:rsidRPr="007A7A14" w:rsidRDefault="00701D34" w:rsidP="004A1333">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701D34" w:rsidRPr="007A7A14" w14:paraId="24DE59D4" w14:textId="77777777" w:rsidTr="004A1333">
        <w:trPr>
          <w:trHeight w:val="422"/>
        </w:trPr>
        <w:tc>
          <w:tcPr>
            <w:tcW w:w="6655" w:type="dxa"/>
            <w:tcMar>
              <w:top w:w="0" w:type="dxa"/>
              <w:left w:w="108" w:type="dxa"/>
              <w:bottom w:w="0" w:type="dxa"/>
              <w:right w:w="108" w:type="dxa"/>
            </w:tcMar>
            <w:vAlign w:val="center"/>
          </w:tcPr>
          <w:p w14:paraId="229DD8D6" w14:textId="77777777" w:rsidR="00701D34" w:rsidRPr="007A7A14" w:rsidRDefault="00701D34" w:rsidP="004A1333">
            <w:pPr>
              <w:spacing w:line="260" w:lineRule="exact"/>
              <w:rPr>
                <w:rFonts w:ascii="Calibri" w:eastAsia="Times" w:hAnsi="Calibri" w:cs="Calibri"/>
                <w:bCs/>
                <w:iCs/>
                <w:lang w:val="en-US" w:eastAsia="ru-RU"/>
              </w:rPr>
            </w:pPr>
            <w:r w:rsidRPr="007A7A14">
              <w:rPr>
                <w:rFonts w:ascii="Calibri" w:eastAsia="Times" w:hAnsi="Calibri" w:cs="Calibri"/>
                <w:bCs/>
                <w:iCs/>
                <w:lang w:val="en-US" w:eastAsia="ru-RU"/>
              </w:rPr>
              <w:t>Overall match between the TOR requirements and proposal</w:t>
            </w:r>
          </w:p>
        </w:tc>
        <w:tc>
          <w:tcPr>
            <w:tcW w:w="1170" w:type="dxa"/>
            <w:tcMar>
              <w:top w:w="0" w:type="dxa"/>
              <w:left w:w="108" w:type="dxa"/>
              <w:bottom w:w="0" w:type="dxa"/>
              <w:right w:w="108" w:type="dxa"/>
            </w:tcMar>
            <w:vAlign w:val="center"/>
          </w:tcPr>
          <w:p w14:paraId="1C9458A5" w14:textId="77777777" w:rsidR="00701D34" w:rsidRPr="007A7A14" w:rsidRDefault="00701D34" w:rsidP="004A1333">
            <w:pPr>
              <w:spacing w:line="260" w:lineRule="exact"/>
              <w:jc w:val="center"/>
              <w:rPr>
                <w:rFonts w:ascii="Calibri" w:eastAsia="Times" w:hAnsi="Calibri" w:cs="Calibri"/>
                <w:b/>
                <w:bCs/>
                <w:i/>
                <w:iCs/>
                <w:lang w:val="en-US" w:eastAsia="ru-RU"/>
              </w:rPr>
            </w:pPr>
          </w:p>
        </w:tc>
        <w:tc>
          <w:tcPr>
            <w:tcW w:w="2070" w:type="dxa"/>
            <w:tcMar>
              <w:top w:w="0" w:type="dxa"/>
              <w:left w:w="108" w:type="dxa"/>
              <w:bottom w:w="0" w:type="dxa"/>
              <w:right w:w="108" w:type="dxa"/>
            </w:tcMar>
            <w:vAlign w:val="center"/>
          </w:tcPr>
          <w:p w14:paraId="02196FB0" w14:textId="77777777" w:rsidR="00701D34" w:rsidRPr="007A7A14" w:rsidRDefault="00701D34" w:rsidP="004A1333">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701D34" w:rsidRPr="007A7A14" w14:paraId="0943E1E8" w14:textId="77777777" w:rsidTr="004A1333">
        <w:trPr>
          <w:trHeight w:val="359"/>
        </w:trPr>
        <w:tc>
          <w:tcPr>
            <w:tcW w:w="6655" w:type="dxa"/>
            <w:tcMar>
              <w:top w:w="0" w:type="dxa"/>
              <w:left w:w="108" w:type="dxa"/>
              <w:bottom w:w="0" w:type="dxa"/>
              <w:right w:w="108" w:type="dxa"/>
            </w:tcMar>
            <w:vAlign w:val="center"/>
          </w:tcPr>
          <w:p w14:paraId="0128D7EA" w14:textId="77777777" w:rsidR="00701D34" w:rsidRPr="007A7A14" w:rsidRDefault="00701D34" w:rsidP="004A1333">
            <w:pPr>
              <w:spacing w:line="260" w:lineRule="exact"/>
              <w:ind w:right="-90"/>
              <w:jc w:val="both"/>
              <w:rPr>
                <w:rFonts w:ascii="Calibri" w:eastAsia="Times" w:hAnsi="Calibri" w:cs="Calibri"/>
                <w:b/>
                <w:i/>
                <w:lang w:val="en-US" w:eastAsia="en-GB"/>
              </w:rPr>
            </w:pPr>
            <w:r w:rsidRPr="007A7A14">
              <w:rPr>
                <w:rFonts w:ascii="Calibri" w:eastAsia="Times" w:hAnsi="Calibri" w:cs="Calibri"/>
                <w:b/>
                <w:i/>
                <w:lang w:val="en-US" w:eastAsia="en-GB"/>
              </w:rPr>
              <w:t>Proposed work plan (10 points)</w:t>
            </w:r>
          </w:p>
        </w:tc>
        <w:tc>
          <w:tcPr>
            <w:tcW w:w="3240" w:type="dxa"/>
            <w:gridSpan w:val="2"/>
            <w:tcMar>
              <w:top w:w="0" w:type="dxa"/>
              <w:left w:w="108" w:type="dxa"/>
              <w:bottom w:w="0" w:type="dxa"/>
              <w:right w:w="108" w:type="dxa"/>
            </w:tcMar>
            <w:vAlign w:val="center"/>
          </w:tcPr>
          <w:p w14:paraId="16EFD17A" w14:textId="77777777" w:rsidR="00701D34" w:rsidRPr="007A7A14" w:rsidRDefault="00701D34" w:rsidP="004A1333">
            <w:pPr>
              <w:spacing w:line="260" w:lineRule="exact"/>
              <w:jc w:val="center"/>
              <w:rPr>
                <w:rFonts w:ascii="Calibri" w:eastAsia="Times" w:hAnsi="Calibri" w:cs="Calibri"/>
                <w:i/>
                <w:iCs/>
                <w:lang w:val="en-US" w:eastAsia="ru-RU"/>
              </w:rPr>
            </w:pPr>
          </w:p>
        </w:tc>
      </w:tr>
      <w:tr w:rsidR="00701D34" w:rsidRPr="007A7A14" w14:paraId="7B642262" w14:textId="77777777" w:rsidTr="004A1333">
        <w:trPr>
          <w:trHeight w:val="369"/>
        </w:trPr>
        <w:tc>
          <w:tcPr>
            <w:tcW w:w="6655" w:type="dxa"/>
            <w:tcMar>
              <w:top w:w="0" w:type="dxa"/>
              <w:left w:w="108" w:type="dxa"/>
              <w:bottom w:w="0" w:type="dxa"/>
              <w:right w:w="108" w:type="dxa"/>
            </w:tcMar>
            <w:vAlign w:val="center"/>
          </w:tcPr>
          <w:p w14:paraId="0C3E432F" w14:textId="77777777" w:rsidR="00701D34" w:rsidRPr="007A7A14" w:rsidRDefault="00701D34" w:rsidP="004A1333">
            <w:pPr>
              <w:spacing w:line="260" w:lineRule="exact"/>
              <w:rPr>
                <w:rFonts w:ascii="Calibri" w:eastAsia="Times" w:hAnsi="Calibri" w:cs="Calibri"/>
                <w:lang w:val="en-US" w:eastAsia="en-GB"/>
              </w:rPr>
            </w:pPr>
            <w:r w:rsidRPr="007A7A14">
              <w:rPr>
                <w:rFonts w:ascii="Calibri" w:eastAsia="Times" w:hAnsi="Calibri" w:cs="Calibri"/>
                <w:lang w:val="en-US" w:eastAsia="en-GB"/>
              </w:rPr>
              <w:t>Quality of proposed work plan</w:t>
            </w:r>
          </w:p>
        </w:tc>
        <w:tc>
          <w:tcPr>
            <w:tcW w:w="1170" w:type="dxa"/>
            <w:tcMar>
              <w:top w:w="0" w:type="dxa"/>
              <w:left w:w="108" w:type="dxa"/>
              <w:bottom w:w="0" w:type="dxa"/>
              <w:right w:w="108" w:type="dxa"/>
            </w:tcMar>
            <w:vAlign w:val="center"/>
          </w:tcPr>
          <w:p w14:paraId="4BA41F41"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724FD325"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1191D87A" w14:textId="77777777" w:rsidTr="004A1333">
        <w:trPr>
          <w:trHeight w:val="369"/>
        </w:trPr>
        <w:tc>
          <w:tcPr>
            <w:tcW w:w="6655" w:type="dxa"/>
            <w:tcMar>
              <w:top w:w="0" w:type="dxa"/>
              <w:left w:w="108" w:type="dxa"/>
              <w:bottom w:w="0" w:type="dxa"/>
              <w:right w:w="108" w:type="dxa"/>
            </w:tcMar>
            <w:vAlign w:val="center"/>
          </w:tcPr>
          <w:p w14:paraId="4B87F1D4" w14:textId="77777777" w:rsidR="00701D34" w:rsidRPr="007A7A14" w:rsidRDefault="00701D34" w:rsidP="004A1333">
            <w:pPr>
              <w:spacing w:line="260" w:lineRule="exact"/>
              <w:rPr>
                <w:rFonts w:ascii="Calibri" w:eastAsia="Times" w:hAnsi="Calibri" w:cs="Calibri"/>
                <w:lang w:val="en-US" w:eastAsia="en-GB"/>
              </w:rPr>
            </w:pPr>
            <w:r w:rsidRPr="007A7A14">
              <w:rPr>
                <w:rFonts w:ascii="Calibri" w:eastAsia="Times New Roman" w:hAnsi="Calibri" w:cs="Calibri"/>
                <w:b/>
                <w:bCs/>
                <w:i/>
                <w:lang w:val="en-US"/>
              </w:rPr>
              <w:t>Technical Capacity (40 points)</w:t>
            </w:r>
          </w:p>
        </w:tc>
        <w:tc>
          <w:tcPr>
            <w:tcW w:w="3240" w:type="dxa"/>
            <w:gridSpan w:val="2"/>
            <w:tcMar>
              <w:top w:w="0" w:type="dxa"/>
              <w:left w:w="108" w:type="dxa"/>
              <w:bottom w:w="0" w:type="dxa"/>
              <w:right w:w="108" w:type="dxa"/>
            </w:tcMar>
            <w:vAlign w:val="center"/>
          </w:tcPr>
          <w:p w14:paraId="39551EF8" w14:textId="77777777" w:rsidR="00701D34" w:rsidRPr="007A7A14" w:rsidRDefault="00701D34" w:rsidP="004A1333">
            <w:pPr>
              <w:spacing w:line="260" w:lineRule="exact"/>
              <w:jc w:val="center"/>
              <w:rPr>
                <w:rFonts w:ascii="Calibri" w:eastAsia="Times" w:hAnsi="Calibri" w:cs="Calibri"/>
                <w:i/>
                <w:iCs/>
                <w:lang w:val="en-US" w:eastAsia="ru-RU"/>
              </w:rPr>
            </w:pPr>
          </w:p>
        </w:tc>
      </w:tr>
      <w:tr w:rsidR="00701D34" w:rsidRPr="007A7A14" w14:paraId="428F6ED8" w14:textId="77777777" w:rsidTr="004A1333">
        <w:trPr>
          <w:trHeight w:val="773"/>
        </w:trPr>
        <w:tc>
          <w:tcPr>
            <w:tcW w:w="6655" w:type="dxa"/>
            <w:tcMar>
              <w:top w:w="0" w:type="dxa"/>
              <w:left w:w="108" w:type="dxa"/>
              <w:bottom w:w="0" w:type="dxa"/>
              <w:right w:w="108" w:type="dxa"/>
            </w:tcMar>
            <w:vAlign w:val="center"/>
          </w:tcPr>
          <w:p w14:paraId="232A85A2" w14:textId="48C15925" w:rsidR="00701D34" w:rsidRPr="007A7A14" w:rsidRDefault="00701D34" w:rsidP="004A1333">
            <w:pPr>
              <w:jc w:val="both"/>
              <w:rPr>
                <w:rFonts w:ascii="Calibri" w:eastAsia="Times New Roman" w:hAnsi="Calibri" w:cs="Calibri"/>
                <w:b/>
                <w:i/>
                <w:lang w:val="en-US"/>
              </w:rPr>
            </w:pPr>
            <w:r w:rsidRPr="007A7A14">
              <w:rPr>
                <w:rFonts w:ascii="Calibri" w:eastAsia="Times New Roman" w:hAnsi="Calibri" w:cs="Calibri"/>
                <w:b/>
                <w:i/>
                <w:lang w:val="en-US"/>
              </w:rPr>
              <w:t xml:space="preserve">Education: </w:t>
            </w:r>
            <w:r w:rsidR="00D60D62" w:rsidRPr="00637EA8">
              <w:rPr>
                <w:rFonts w:asciiTheme="minorHAnsi" w:hAnsiTheme="minorHAnsi" w:cstheme="minorHAnsi"/>
              </w:rPr>
              <w:t>A</w:t>
            </w:r>
            <w:r w:rsidR="00D60D62">
              <w:rPr>
                <w:rFonts w:asciiTheme="minorHAnsi" w:hAnsiTheme="minorHAnsi" w:cstheme="minorHAnsi"/>
              </w:rPr>
              <w:t xml:space="preserve"> </w:t>
            </w:r>
            <w:r w:rsidR="00D60D62" w:rsidRPr="00637EA8">
              <w:rPr>
                <w:rFonts w:asciiTheme="minorHAnsi" w:hAnsiTheme="minorHAnsi" w:cstheme="minorHAnsi"/>
              </w:rPr>
              <w:t>university degree</w:t>
            </w:r>
            <w:r w:rsidR="00D60D62">
              <w:rPr>
                <w:rFonts w:asciiTheme="minorHAnsi" w:hAnsiTheme="minorHAnsi" w:cstheme="minorHAnsi"/>
              </w:rPr>
              <w:t xml:space="preserve"> </w:t>
            </w:r>
            <w:r w:rsidR="00D60D62" w:rsidRPr="00637EA8">
              <w:rPr>
                <w:rFonts w:asciiTheme="minorHAnsi" w:hAnsiTheme="minorHAnsi" w:cstheme="minorHAnsi"/>
              </w:rPr>
              <w:t xml:space="preserve">in one of the following fields is required: </w:t>
            </w:r>
            <w:r w:rsidR="00D60D62">
              <w:rPr>
                <w:rFonts w:asciiTheme="minorHAnsi" w:hAnsiTheme="minorHAnsi" w:cstheme="minorHAnsi"/>
              </w:rPr>
              <w:t xml:space="preserve">public health, </w:t>
            </w:r>
            <w:r w:rsidR="00D60D62" w:rsidRPr="00637EA8">
              <w:rPr>
                <w:rFonts w:asciiTheme="minorHAnsi" w:hAnsiTheme="minorHAnsi" w:cstheme="minorHAnsi"/>
              </w:rPr>
              <w:t>civil engineering, water engineering, sanit</w:t>
            </w:r>
            <w:r w:rsidR="00D60D62">
              <w:rPr>
                <w:rFonts w:asciiTheme="minorHAnsi" w:hAnsiTheme="minorHAnsi" w:cstheme="minorHAnsi"/>
              </w:rPr>
              <w:t>ation</w:t>
            </w:r>
            <w:r w:rsidR="00D60D62" w:rsidRPr="00637EA8">
              <w:rPr>
                <w:rFonts w:asciiTheme="minorHAnsi" w:hAnsiTheme="minorHAnsi" w:cstheme="minorHAnsi"/>
              </w:rPr>
              <w:t xml:space="preserve"> engineering</w:t>
            </w:r>
            <w:r w:rsidR="00D60D62">
              <w:rPr>
                <w:rFonts w:asciiTheme="minorHAnsi" w:hAnsiTheme="minorHAnsi" w:cstheme="minorHAnsi"/>
              </w:rPr>
              <w:t xml:space="preserve">, research, economics, business management, </w:t>
            </w:r>
            <w:r w:rsidR="00D60D62" w:rsidRPr="00637EA8">
              <w:rPr>
                <w:rFonts w:asciiTheme="minorHAnsi" w:hAnsiTheme="minorHAnsi" w:cstheme="minorHAnsi"/>
              </w:rPr>
              <w:t>or another relevant technical field.</w:t>
            </w:r>
          </w:p>
        </w:tc>
        <w:tc>
          <w:tcPr>
            <w:tcW w:w="1170" w:type="dxa"/>
            <w:tcMar>
              <w:top w:w="0" w:type="dxa"/>
              <w:left w:w="108" w:type="dxa"/>
              <w:bottom w:w="0" w:type="dxa"/>
              <w:right w:w="108" w:type="dxa"/>
            </w:tcMar>
            <w:vAlign w:val="center"/>
          </w:tcPr>
          <w:p w14:paraId="31554C01"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30518606"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30BA64D7" w14:textId="77777777" w:rsidTr="004A1333">
        <w:trPr>
          <w:trHeight w:val="899"/>
        </w:trPr>
        <w:tc>
          <w:tcPr>
            <w:tcW w:w="6655" w:type="dxa"/>
            <w:tcMar>
              <w:top w:w="0" w:type="dxa"/>
              <w:left w:w="108" w:type="dxa"/>
              <w:bottom w:w="0" w:type="dxa"/>
              <w:right w:w="108" w:type="dxa"/>
            </w:tcMar>
            <w:vAlign w:val="center"/>
          </w:tcPr>
          <w:p w14:paraId="139C2612" w14:textId="6BDA424E" w:rsidR="00701D34" w:rsidRPr="000D3A0F" w:rsidRDefault="00701D34" w:rsidP="004A1333">
            <w:pPr>
              <w:rPr>
                <w:rFonts w:asciiTheme="minorHAnsi" w:hAnsiTheme="minorHAnsi" w:cstheme="minorHAnsi"/>
              </w:rPr>
            </w:pPr>
            <w:r w:rsidRPr="00C75398">
              <w:rPr>
                <w:rFonts w:asciiTheme="minorHAnsi" w:hAnsiTheme="minorHAnsi" w:cstheme="minorHAnsi"/>
                <w:b/>
                <w:bCs/>
                <w:i/>
                <w:iCs/>
              </w:rPr>
              <w:t>Work Experience:</w:t>
            </w:r>
            <w:r w:rsidRPr="00C75398">
              <w:rPr>
                <w:rFonts w:asciiTheme="minorHAnsi" w:hAnsiTheme="minorHAnsi" w:cstheme="minorHAnsi"/>
              </w:rPr>
              <w:t xml:space="preserve"> </w:t>
            </w:r>
            <w:r w:rsidR="00D60D62" w:rsidRPr="00C75398">
              <w:rPr>
                <w:rFonts w:asciiTheme="minorHAnsi" w:hAnsiTheme="minorHAnsi" w:cstheme="minorHAnsi"/>
              </w:rPr>
              <w:t xml:space="preserve">a minimum of </w:t>
            </w:r>
            <w:r w:rsidR="002A4054">
              <w:rPr>
                <w:rFonts w:asciiTheme="minorHAnsi" w:hAnsiTheme="minorHAnsi" w:cstheme="minorHAnsi"/>
              </w:rPr>
              <w:t>5</w:t>
            </w:r>
            <w:r w:rsidR="00D60D62">
              <w:rPr>
                <w:rFonts w:asciiTheme="minorHAnsi" w:hAnsiTheme="minorHAnsi" w:cstheme="minorHAnsi"/>
              </w:rPr>
              <w:t xml:space="preserve"> </w:t>
            </w:r>
            <w:r w:rsidR="00D60D62" w:rsidRPr="00C75398">
              <w:rPr>
                <w:rFonts w:asciiTheme="minorHAnsi" w:hAnsiTheme="minorHAnsi" w:cstheme="minorHAnsi"/>
              </w:rPr>
              <w:t>years of proven work experience in research and analysis of WASH development</w:t>
            </w:r>
            <w:r w:rsidR="00D60D62">
              <w:rPr>
                <w:rFonts w:asciiTheme="minorHAnsi" w:hAnsiTheme="minorHAnsi" w:cstheme="minorHAnsi"/>
              </w:rPr>
              <w:t xml:space="preserve"> programs, </w:t>
            </w:r>
            <w:proofErr w:type="gramStart"/>
            <w:r w:rsidR="00D60D62">
              <w:rPr>
                <w:rFonts w:asciiTheme="minorHAnsi" w:hAnsiTheme="minorHAnsi" w:cstheme="minorHAnsi"/>
              </w:rPr>
              <w:t>review</w:t>
            </w:r>
            <w:proofErr w:type="gramEnd"/>
            <w:r w:rsidR="00D60D62">
              <w:rPr>
                <w:rFonts w:asciiTheme="minorHAnsi" w:hAnsiTheme="minorHAnsi" w:cstheme="minorHAnsi"/>
              </w:rPr>
              <w:t xml:space="preserve"> and evaluation of government strategies/workplans</w:t>
            </w:r>
            <w:r w:rsidR="00D60D62" w:rsidRPr="00C75398">
              <w:rPr>
                <w:rFonts w:asciiTheme="minorHAnsi" w:hAnsiTheme="minorHAnsi" w:cstheme="minorHAnsi"/>
              </w:rPr>
              <w:t xml:space="preserve">, quantitative and qualitative data </w:t>
            </w:r>
            <w:r w:rsidR="00D60D62">
              <w:rPr>
                <w:rFonts w:asciiTheme="minorHAnsi" w:hAnsiTheme="minorHAnsi" w:cstheme="minorHAnsi"/>
              </w:rPr>
              <w:t>analysis</w:t>
            </w:r>
            <w:r w:rsidR="00D60D62" w:rsidRPr="00C75398">
              <w:rPr>
                <w:rFonts w:asciiTheme="minorHAnsi" w:hAnsiTheme="minorHAnsi" w:cstheme="minorHAnsi"/>
              </w:rPr>
              <w:t>. Experience in undertaking</w:t>
            </w:r>
            <w:r w:rsidR="00D60D62" w:rsidRPr="00D60D62">
              <w:rPr>
                <w:rFonts w:asciiTheme="minorHAnsi" w:hAnsiTheme="minorHAnsi" w:cstheme="minorHAnsi"/>
              </w:rPr>
              <w:t xml:space="preserve"> </w:t>
            </w:r>
            <w:r w:rsidR="00D60D62">
              <w:rPr>
                <w:rFonts w:asciiTheme="minorHAnsi" w:hAnsiTheme="minorHAnsi" w:cstheme="minorHAnsi"/>
              </w:rPr>
              <w:t>reviews of public WASH tariffs, setting up tariff standards and development of tariff setting strategies.</w:t>
            </w:r>
          </w:p>
        </w:tc>
        <w:tc>
          <w:tcPr>
            <w:tcW w:w="1170" w:type="dxa"/>
            <w:tcMar>
              <w:top w:w="0" w:type="dxa"/>
              <w:left w:w="108" w:type="dxa"/>
              <w:bottom w:w="0" w:type="dxa"/>
              <w:right w:w="108" w:type="dxa"/>
            </w:tcMar>
            <w:vAlign w:val="center"/>
          </w:tcPr>
          <w:p w14:paraId="686D2C98"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3F54BBEE"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35CE0D59" w14:textId="77777777" w:rsidTr="004A1333">
        <w:trPr>
          <w:trHeight w:val="369"/>
        </w:trPr>
        <w:tc>
          <w:tcPr>
            <w:tcW w:w="6655" w:type="dxa"/>
            <w:tcMar>
              <w:top w:w="0" w:type="dxa"/>
              <w:left w:w="108" w:type="dxa"/>
              <w:bottom w:w="0" w:type="dxa"/>
              <w:right w:w="108" w:type="dxa"/>
            </w:tcMar>
            <w:vAlign w:val="center"/>
          </w:tcPr>
          <w:p w14:paraId="79BB5B9A" w14:textId="77777777" w:rsidR="00701D34" w:rsidRPr="007A7A14" w:rsidRDefault="00701D34" w:rsidP="004A1333">
            <w:pPr>
              <w:autoSpaceDE w:val="0"/>
              <w:autoSpaceDN w:val="0"/>
              <w:adjustRightInd w:val="0"/>
              <w:spacing w:line="240" w:lineRule="auto"/>
              <w:jc w:val="both"/>
              <w:rPr>
                <w:rFonts w:ascii="Calibri" w:eastAsia="Times New Roman" w:hAnsi="Calibri" w:cs="Calibri"/>
                <w:bCs/>
                <w:iCs/>
                <w:lang w:val="en-US"/>
              </w:rPr>
            </w:pPr>
            <w:r w:rsidRPr="007A7A14">
              <w:rPr>
                <w:rFonts w:ascii="Calibri" w:eastAsia="Times New Roman" w:hAnsi="Calibri" w:cs="Calibri"/>
                <w:b/>
                <w:i/>
                <w:lang w:val="en-US"/>
              </w:rPr>
              <w:t>Competencies:</w:t>
            </w:r>
            <w:r w:rsidRPr="007A7A14">
              <w:rPr>
                <w:rFonts w:ascii="Calibri" w:hAnsi="Calibri" w:cs="Calibri"/>
                <w:lang w:val="en-US"/>
              </w:rPr>
              <w:t xml:space="preserve">  </w:t>
            </w:r>
            <w:r w:rsidRPr="007A7A14">
              <w:rPr>
                <w:rFonts w:ascii="Calibri" w:eastAsia="Times New Roman" w:hAnsi="Calibri" w:cs="Calibri"/>
                <w:bCs/>
                <w:iCs/>
                <w:lang w:val="en-US"/>
              </w:rPr>
              <w:t>Strong analytical and conceptual thinking. Excellent writing skills. Excellent communication and presentation skills with stakeholders and the ability to work under pressure and commitment to work to a tight timeframe.</w:t>
            </w:r>
          </w:p>
        </w:tc>
        <w:tc>
          <w:tcPr>
            <w:tcW w:w="1170" w:type="dxa"/>
            <w:tcMar>
              <w:top w:w="0" w:type="dxa"/>
              <w:left w:w="108" w:type="dxa"/>
              <w:bottom w:w="0" w:type="dxa"/>
              <w:right w:w="108" w:type="dxa"/>
            </w:tcMar>
            <w:vAlign w:val="center"/>
          </w:tcPr>
          <w:p w14:paraId="23B6186F"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1BD42CF9"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6F5200DE" w14:textId="77777777" w:rsidTr="004A1333">
        <w:trPr>
          <w:trHeight w:val="611"/>
        </w:trPr>
        <w:tc>
          <w:tcPr>
            <w:tcW w:w="6655" w:type="dxa"/>
            <w:tcMar>
              <w:top w:w="0" w:type="dxa"/>
              <w:left w:w="108" w:type="dxa"/>
              <w:bottom w:w="0" w:type="dxa"/>
              <w:right w:w="108" w:type="dxa"/>
            </w:tcMar>
            <w:vAlign w:val="center"/>
          </w:tcPr>
          <w:p w14:paraId="3CE2CE59" w14:textId="153649F1" w:rsidR="00701D34" w:rsidRPr="00455A90" w:rsidRDefault="00D60D62" w:rsidP="00455A90">
            <w:pPr>
              <w:pStyle w:val="ListBullet"/>
              <w:spacing w:line="240" w:lineRule="auto"/>
              <w:rPr>
                <w:rFonts w:asciiTheme="minorHAnsi" w:eastAsia="Arial" w:hAnsiTheme="minorHAnsi" w:cstheme="minorHAnsi"/>
                <w:szCs w:val="22"/>
              </w:rPr>
            </w:pPr>
            <w:r>
              <w:rPr>
                <w:rFonts w:asciiTheme="minorHAnsi" w:hAnsiTheme="minorHAnsi" w:cstheme="minorHAnsi"/>
              </w:rPr>
              <w:t>Excellent working knowledge and c</w:t>
            </w:r>
            <w:r w:rsidRPr="007A2110">
              <w:rPr>
                <w:rFonts w:asciiTheme="minorHAnsi" w:hAnsiTheme="minorHAnsi" w:cstheme="minorHAnsi"/>
              </w:rPr>
              <w:t xml:space="preserve">ommunication in </w:t>
            </w:r>
            <w:r>
              <w:rPr>
                <w:rFonts w:asciiTheme="minorHAnsi" w:hAnsiTheme="minorHAnsi" w:cstheme="minorHAnsi"/>
              </w:rPr>
              <w:t>English is required. Knowledge of Tajik (Farsi) and Russian</w:t>
            </w:r>
            <w:r w:rsidRPr="007A2110">
              <w:rPr>
                <w:rFonts w:asciiTheme="minorHAnsi" w:hAnsiTheme="minorHAnsi" w:cstheme="minorHAnsi"/>
              </w:rPr>
              <w:t xml:space="preserve"> is an asset</w:t>
            </w:r>
            <w:r>
              <w:rPr>
                <w:rFonts w:asciiTheme="minorHAnsi" w:hAnsiTheme="minorHAnsi" w:cstheme="minorHAnsi"/>
              </w:rPr>
              <w:t xml:space="preserve"> and preferable.</w:t>
            </w:r>
          </w:p>
        </w:tc>
        <w:tc>
          <w:tcPr>
            <w:tcW w:w="1170" w:type="dxa"/>
            <w:tcMar>
              <w:top w:w="0" w:type="dxa"/>
              <w:left w:w="108" w:type="dxa"/>
              <w:bottom w:w="0" w:type="dxa"/>
              <w:right w:w="108" w:type="dxa"/>
            </w:tcMar>
            <w:vAlign w:val="center"/>
          </w:tcPr>
          <w:p w14:paraId="6412FCF4"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hideMark/>
          </w:tcPr>
          <w:p w14:paraId="477F0790"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76DC796F" w14:textId="77777777" w:rsidTr="004A1333">
        <w:trPr>
          <w:trHeight w:val="431"/>
        </w:trPr>
        <w:tc>
          <w:tcPr>
            <w:tcW w:w="6655" w:type="dxa"/>
            <w:shd w:val="clear" w:color="auto" w:fill="C6D9F1"/>
            <w:tcMar>
              <w:top w:w="0" w:type="dxa"/>
              <w:left w:w="108" w:type="dxa"/>
              <w:bottom w:w="0" w:type="dxa"/>
              <w:right w:w="108" w:type="dxa"/>
            </w:tcMar>
            <w:hideMark/>
          </w:tcPr>
          <w:p w14:paraId="37F83185"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 xml:space="preserve">FINANCIAL PROPOSAL (max. 30 points) </w:t>
            </w:r>
            <w:r w:rsidRPr="007A7A14">
              <w:rPr>
                <w:rFonts w:ascii="Calibri" w:eastAsia="Times" w:hAnsi="Calibri" w:cs="Calibri"/>
                <w:bCs/>
                <w:iCs/>
                <w:lang w:val="en-US" w:eastAsia="ru-RU"/>
              </w:rPr>
              <w:t>(daily rate)</w:t>
            </w:r>
          </w:p>
        </w:tc>
        <w:tc>
          <w:tcPr>
            <w:tcW w:w="1170" w:type="dxa"/>
            <w:shd w:val="clear" w:color="auto" w:fill="C6D9F1"/>
            <w:tcMar>
              <w:top w:w="0" w:type="dxa"/>
              <w:left w:w="108" w:type="dxa"/>
              <w:bottom w:w="0" w:type="dxa"/>
              <w:right w:w="108" w:type="dxa"/>
            </w:tcMar>
            <w:vAlign w:val="center"/>
            <w:hideMark/>
          </w:tcPr>
          <w:p w14:paraId="4790924F"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c>
          <w:tcPr>
            <w:tcW w:w="2070" w:type="dxa"/>
            <w:shd w:val="clear" w:color="auto" w:fill="C6D9F1"/>
            <w:tcMar>
              <w:top w:w="0" w:type="dxa"/>
              <w:left w:w="108" w:type="dxa"/>
              <w:bottom w:w="0" w:type="dxa"/>
              <w:right w:w="108" w:type="dxa"/>
            </w:tcMar>
            <w:vAlign w:val="center"/>
            <w:hideMark/>
          </w:tcPr>
          <w:p w14:paraId="1049B61F"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r>
      <w:tr w:rsidR="00701D34" w:rsidRPr="007A7A14" w14:paraId="17627E12" w14:textId="77777777" w:rsidTr="004A1333">
        <w:trPr>
          <w:trHeight w:val="458"/>
        </w:trPr>
        <w:tc>
          <w:tcPr>
            <w:tcW w:w="6655" w:type="dxa"/>
            <w:shd w:val="clear" w:color="auto" w:fill="8DB3E2"/>
            <w:tcMar>
              <w:top w:w="0" w:type="dxa"/>
              <w:left w:w="108" w:type="dxa"/>
              <w:bottom w:w="0" w:type="dxa"/>
              <w:right w:w="108" w:type="dxa"/>
            </w:tcMar>
            <w:vAlign w:val="center"/>
          </w:tcPr>
          <w:p w14:paraId="032B7DAE"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New Roman" w:hAnsi="Calibri" w:cs="Calibri"/>
                <w:b/>
                <w:bCs/>
                <w:lang w:val="en-US"/>
              </w:rPr>
              <w:t xml:space="preserve">TOTAL SCORE </w:t>
            </w:r>
            <w:r w:rsidRPr="007A7A14">
              <w:rPr>
                <w:rFonts w:ascii="Calibri" w:eastAsia="Times New Roman" w:hAnsi="Calibri" w:cs="Calibri"/>
                <w:b/>
                <w:bCs/>
                <w:i/>
                <w:lang w:val="en-US"/>
              </w:rPr>
              <w:t>(max. 100 points)</w:t>
            </w:r>
          </w:p>
        </w:tc>
        <w:tc>
          <w:tcPr>
            <w:tcW w:w="1170" w:type="dxa"/>
            <w:shd w:val="clear" w:color="auto" w:fill="8DB3E2"/>
            <w:tcMar>
              <w:top w:w="0" w:type="dxa"/>
              <w:left w:w="108" w:type="dxa"/>
              <w:bottom w:w="0" w:type="dxa"/>
              <w:right w:w="108" w:type="dxa"/>
            </w:tcMar>
            <w:vAlign w:val="center"/>
          </w:tcPr>
          <w:p w14:paraId="3681347C" w14:textId="77777777" w:rsidR="00701D34" w:rsidRPr="007A7A14" w:rsidRDefault="00701D34" w:rsidP="004A1333">
            <w:pPr>
              <w:spacing w:line="260" w:lineRule="exact"/>
              <w:jc w:val="center"/>
              <w:rPr>
                <w:rFonts w:ascii="Calibri" w:eastAsia="Times" w:hAnsi="Calibri" w:cs="Calibri"/>
                <w:b/>
                <w:bCs/>
                <w:i/>
                <w:iCs/>
                <w:lang w:val="en-US" w:eastAsia="ru-RU"/>
              </w:rPr>
            </w:pPr>
          </w:p>
        </w:tc>
        <w:tc>
          <w:tcPr>
            <w:tcW w:w="2070" w:type="dxa"/>
            <w:shd w:val="clear" w:color="auto" w:fill="8DB3E2"/>
            <w:tcMar>
              <w:top w:w="0" w:type="dxa"/>
              <w:left w:w="108" w:type="dxa"/>
              <w:bottom w:w="0" w:type="dxa"/>
              <w:right w:w="108" w:type="dxa"/>
            </w:tcMar>
            <w:vAlign w:val="center"/>
          </w:tcPr>
          <w:p w14:paraId="15C73C56" w14:textId="77777777" w:rsidR="00701D34" w:rsidRPr="007A7A14" w:rsidRDefault="00701D34" w:rsidP="004A1333">
            <w:pPr>
              <w:spacing w:line="260" w:lineRule="exact"/>
              <w:jc w:val="center"/>
              <w:rPr>
                <w:rFonts w:ascii="Calibri" w:eastAsia="Times" w:hAnsi="Calibri" w:cs="Calibri"/>
                <w:b/>
                <w:bCs/>
                <w:i/>
                <w:iCs/>
                <w:lang w:val="en-US" w:eastAsia="ru-RU"/>
              </w:rPr>
            </w:pPr>
          </w:p>
        </w:tc>
      </w:tr>
    </w:tbl>
    <w:p w14:paraId="4EA2E16F" w14:textId="77777777" w:rsidR="00701D34" w:rsidRPr="008E6EEC" w:rsidRDefault="00701D34" w:rsidP="00701D34">
      <w:pPr>
        <w:autoSpaceDE w:val="0"/>
        <w:autoSpaceDN w:val="0"/>
        <w:spacing w:line="260" w:lineRule="exact"/>
        <w:jc w:val="both"/>
        <w:rPr>
          <w:rFonts w:asciiTheme="minorHAnsi" w:eastAsia="Times" w:hAnsiTheme="minorHAnsi" w:cstheme="minorHAnsi"/>
        </w:rPr>
      </w:pPr>
      <w:r w:rsidRPr="008E6EEC">
        <w:rPr>
          <w:rFonts w:asciiTheme="minorHAnsi" w:eastAsia="Times" w:hAnsiTheme="minorHAnsi" w:cstheme="minorHAnsi"/>
          <w:bCs/>
          <w:lang w:eastAsia="en-GB"/>
        </w:rPr>
        <w:lastRenderedPageBreak/>
        <w:t xml:space="preserve">Only candidates who obtain a minimum of </w:t>
      </w:r>
      <w:r>
        <w:rPr>
          <w:rFonts w:asciiTheme="minorHAnsi" w:eastAsia="Times" w:hAnsiTheme="minorHAnsi" w:cstheme="minorHAnsi"/>
          <w:bCs/>
          <w:lang w:eastAsia="en-GB"/>
        </w:rPr>
        <w:t>49</w:t>
      </w:r>
      <w:r w:rsidRPr="008E6EEC">
        <w:rPr>
          <w:rFonts w:asciiTheme="minorHAnsi" w:eastAsia="Times" w:hAnsiTheme="minorHAnsi" w:cstheme="minorHAnsi"/>
          <w:bCs/>
          <w:lang w:eastAsia="en-GB"/>
        </w:rPr>
        <w:t xml:space="preserve"> points in the Technical Criteria evaluation will be considered for the Financial Evaluation</w:t>
      </w:r>
      <w:r w:rsidRPr="008E6EEC">
        <w:rPr>
          <w:rFonts w:asciiTheme="minorHAnsi" w:eastAsia="Times" w:hAnsiTheme="minorHAnsi" w:cstheme="minorHAnsi"/>
          <w:lang w:eastAsia="en-GB"/>
        </w:rPr>
        <w:t>.</w:t>
      </w:r>
    </w:p>
    <w:p w14:paraId="59AF4334" w14:textId="77777777" w:rsidR="00701D34" w:rsidRPr="008E6EEC" w:rsidRDefault="00701D34" w:rsidP="00701D34">
      <w:pPr>
        <w:autoSpaceDE w:val="0"/>
        <w:autoSpaceDN w:val="0"/>
        <w:spacing w:line="260" w:lineRule="exact"/>
        <w:jc w:val="both"/>
        <w:rPr>
          <w:rFonts w:asciiTheme="minorHAnsi" w:eastAsia="Times" w:hAnsiTheme="minorHAnsi" w:cstheme="minorHAnsi"/>
          <w:b/>
        </w:rPr>
      </w:pPr>
    </w:p>
    <w:p w14:paraId="33B2009A" w14:textId="77777777" w:rsidR="00701D34" w:rsidRPr="008E6EEC" w:rsidRDefault="00701D34" w:rsidP="00701D34">
      <w:pPr>
        <w:autoSpaceDE w:val="0"/>
        <w:autoSpaceDN w:val="0"/>
        <w:spacing w:line="260" w:lineRule="exact"/>
        <w:jc w:val="both"/>
        <w:rPr>
          <w:rFonts w:asciiTheme="minorHAnsi" w:eastAsia="Times" w:hAnsiTheme="minorHAnsi" w:cstheme="minorHAnsi"/>
          <w:b/>
        </w:rPr>
      </w:pPr>
      <w:r w:rsidRPr="008E6EEC">
        <w:rPr>
          <w:rFonts w:asciiTheme="minorHAnsi" w:eastAsia="Times" w:hAnsiTheme="minorHAnsi" w:cstheme="minorHAnsi"/>
          <w:b/>
        </w:rPr>
        <w:t>Financial Proposal</w:t>
      </w:r>
    </w:p>
    <w:p w14:paraId="4ECDDE33" w14:textId="77777777" w:rsidR="00701D34" w:rsidRPr="008E6EEC" w:rsidRDefault="00701D34" w:rsidP="00701D34">
      <w:pPr>
        <w:autoSpaceDE w:val="0"/>
        <w:autoSpaceDN w:val="0"/>
        <w:spacing w:line="260" w:lineRule="exact"/>
        <w:jc w:val="both"/>
        <w:rPr>
          <w:rFonts w:asciiTheme="minorHAnsi" w:eastAsia="Times" w:hAnsiTheme="minorHAnsi" w:cstheme="minorHAnsi"/>
          <w:b/>
        </w:rPr>
      </w:pPr>
    </w:p>
    <w:p w14:paraId="4AD22497" w14:textId="77777777" w:rsidR="00701D34" w:rsidRPr="008E6EEC" w:rsidRDefault="00701D34" w:rsidP="00701D34">
      <w:pPr>
        <w:autoSpaceDE w:val="0"/>
        <w:autoSpaceDN w:val="0"/>
        <w:adjustRightInd w:val="0"/>
        <w:spacing w:after="200"/>
        <w:contextualSpacing/>
        <w:jc w:val="both"/>
        <w:rPr>
          <w:rFonts w:asciiTheme="minorHAnsi" w:eastAsiaTheme="minorHAnsi" w:hAnsiTheme="minorHAnsi" w:cstheme="minorHAnsi"/>
          <w:bCs/>
          <w:iCs/>
        </w:rPr>
      </w:pPr>
      <w:bookmarkStart w:id="3" w:name="_Hlk526514722"/>
      <w:r w:rsidRPr="008E6EEC">
        <w:rPr>
          <w:rFonts w:asciiTheme="minorHAnsi" w:eastAsiaTheme="minorHAnsi" w:hAnsiTheme="minorHAnsi" w:cstheme="minorHAnsi"/>
          <w:bCs/>
          <w:iCs/>
        </w:rPr>
        <w:t xml:space="preserve">Please provide an all-inclusive price for delivering professional services in accordance with the assignment described under this TOR. </w:t>
      </w:r>
    </w:p>
    <w:p w14:paraId="7AD29B6E" w14:textId="77777777" w:rsidR="00701D34" w:rsidRPr="008E6EEC" w:rsidRDefault="00701D34" w:rsidP="00701D34">
      <w:pPr>
        <w:autoSpaceDE w:val="0"/>
        <w:autoSpaceDN w:val="0"/>
        <w:adjustRightInd w:val="0"/>
        <w:spacing w:after="200"/>
        <w:contextualSpacing/>
        <w:jc w:val="both"/>
        <w:rPr>
          <w:rFonts w:asciiTheme="minorHAnsi" w:eastAsiaTheme="minorHAnsi" w:hAnsiTheme="minorHAnsi" w:cstheme="minorHAnsi"/>
          <w:b/>
          <w:bCs/>
          <w:i/>
          <w:iCs/>
        </w:rPr>
      </w:pPr>
    </w:p>
    <w:p w14:paraId="7CA1BE59"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The formula for the rating of the Financial Proposals will be as follows:</w:t>
      </w:r>
    </w:p>
    <w:p w14:paraId="6410520B"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p>
    <w:p w14:paraId="6128579F"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FP Rating = (Lowest Priced Offer / Price of the Offer Being Reviewed) x </w:t>
      </w:r>
      <w:r>
        <w:rPr>
          <w:rFonts w:asciiTheme="minorHAnsi" w:eastAsia="Times" w:hAnsiTheme="minorHAnsi" w:cstheme="minorHAnsi"/>
          <w:lang w:eastAsia="en-GB"/>
        </w:rPr>
        <w:t>100</w:t>
      </w:r>
    </w:p>
    <w:bookmarkEnd w:id="3"/>
    <w:p w14:paraId="63B6509E"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p>
    <w:p w14:paraId="643F9FC7"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p>
    <w:p w14:paraId="77E18216" w14:textId="77777777" w:rsidR="00701D34" w:rsidRPr="008E6EEC" w:rsidRDefault="00701D34" w:rsidP="00701D34">
      <w:pPr>
        <w:jc w:val="center"/>
        <w:rPr>
          <w:rFonts w:asciiTheme="minorHAnsi" w:hAnsiTheme="minorHAnsi" w:cstheme="minorHAnsi"/>
          <w:b/>
          <w:kern w:val="2"/>
        </w:rPr>
      </w:pPr>
    </w:p>
    <w:p w14:paraId="18654780" w14:textId="196FC9B9" w:rsidR="00455A90" w:rsidRDefault="00455A90" w:rsidP="00455A90">
      <w:pPr>
        <w:tabs>
          <w:tab w:val="left" w:pos="520"/>
        </w:tabs>
        <w:spacing w:after="160" w:line="259" w:lineRule="auto"/>
        <w:jc w:val="both"/>
        <w:rPr>
          <w:rFonts w:asciiTheme="minorHAnsi" w:hAnsiTheme="minorHAnsi" w:cstheme="minorHAnsi"/>
          <w:b/>
          <w:kern w:val="2"/>
        </w:rPr>
      </w:pPr>
      <w:r>
        <w:rPr>
          <w:rFonts w:asciiTheme="minorHAnsi" w:hAnsiTheme="minorHAnsi" w:cstheme="minorHAnsi"/>
          <w:b/>
          <w:kern w:val="2"/>
        </w:rPr>
        <w:tab/>
      </w:r>
    </w:p>
    <w:sectPr w:rsidR="00455A90" w:rsidSect="00896325">
      <w:headerReference w:type="default" r:id="rId10"/>
      <w:pgSz w:w="12240" w:h="15840" w:code="1"/>
      <w:pgMar w:top="432" w:right="1166" w:bottom="90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F959" w14:textId="77777777" w:rsidR="002C070A" w:rsidRDefault="002C070A" w:rsidP="00CF4A6B">
      <w:pPr>
        <w:spacing w:line="240" w:lineRule="auto"/>
      </w:pPr>
      <w:r>
        <w:separator/>
      </w:r>
    </w:p>
  </w:endnote>
  <w:endnote w:type="continuationSeparator" w:id="0">
    <w:p w14:paraId="76A50079" w14:textId="77777777" w:rsidR="002C070A" w:rsidRDefault="002C070A"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17F9" w14:textId="77777777" w:rsidR="002C070A" w:rsidRDefault="002C070A" w:rsidP="00CF4A6B">
      <w:pPr>
        <w:spacing w:line="240" w:lineRule="auto"/>
      </w:pPr>
      <w:r>
        <w:separator/>
      </w:r>
    </w:p>
  </w:footnote>
  <w:footnote w:type="continuationSeparator" w:id="0">
    <w:p w14:paraId="413699FF" w14:textId="77777777" w:rsidR="002C070A" w:rsidRDefault="002C070A" w:rsidP="00CF4A6B">
      <w:pPr>
        <w:spacing w:line="240" w:lineRule="auto"/>
      </w:pPr>
      <w:r>
        <w:continuationSeparator/>
      </w:r>
    </w:p>
  </w:footnote>
  <w:footnote w:id="1">
    <w:p w14:paraId="5FEE1921" w14:textId="77777777" w:rsidR="00B36998" w:rsidRPr="00B36998" w:rsidRDefault="00B36998" w:rsidP="00B36998">
      <w:pPr>
        <w:pStyle w:val="FootnoteText"/>
        <w:rPr>
          <w:rFonts w:asciiTheme="minorHAnsi" w:hAnsiTheme="minorHAnsi"/>
          <w:sz w:val="16"/>
          <w:szCs w:val="16"/>
          <w:lang w:val="en-US"/>
        </w:rPr>
      </w:pPr>
      <w:r w:rsidRPr="00B36998">
        <w:rPr>
          <w:rStyle w:val="FootnoteReference"/>
          <w:rFonts w:asciiTheme="minorHAnsi" w:hAnsiTheme="minorHAnsi"/>
          <w:sz w:val="16"/>
          <w:szCs w:val="16"/>
        </w:rPr>
        <w:footnoteRef/>
      </w:r>
      <w:r w:rsidRPr="00B36998">
        <w:rPr>
          <w:rFonts w:asciiTheme="minorHAnsi" w:hAnsiTheme="minorHAnsi"/>
          <w:sz w:val="16"/>
          <w:szCs w:val="16"/>
          <w:lang w:val="en-US"/>
        </w:rPr>
        <w:t xml:space="preserve"> USD equivalent calculated based on exchange rate effective on 30 September 2020 (rounded estimates). Source: National Bank of Tajikistan official website. Available online - </w:t>
      </w:r>
      <w:hyperlink r:id="rId1" w:history="1">
        <w:r w:rsidRPr="00B36998">
          <w:rPr>
            <w:rStyle w:val="Hyperlink"/>
            <w:rFonts w:asciiTheme="minorHAnsi" w:hAnsiTheme="minorHAnsi"/>
            <w:sz w:val="16"/>
            <w:szCs w:val="16"/>
            <w:lang w:val="en-US"/>
          </w:rPr>
          <w:t>https://nbt.tj/tj/kurs/kurs.php</w:t>
        </w:r>
      </w:hyperlink>
      <w:r w:rsidRPr="00B36998">
        <w:rPr>
          <w:rFonts w:asciiTheme="minorHAnsi" w:hAnsiTheme="minorHAnsi"/>
          <w:sz w:val="16"/>
          <w:szCs w:val="16"/>
          <w:lang w:val="en-US"/>
        </w:rPr>
        <w:t xml:space="preserve"> </w:t>
      </w:r>
    </w:p>
  </w:footnote>
  <w:footnote w:id="2">
    <w:p w14:paraId="4C46EC5E" w14:textId="77777777" w:rsidR="00B36998" w:rsidRPr="00B36998" w:rsidRDefault="00B36998" w:rsidP="00B36998">
      <w:pPr>
        <w:pStyle w:val="FootnoteText"/>
        <w:rPr>
          <w:rFonts w:asciiTheme="minorHAnsi" w:hAnsiTheme="minorHAnsi"/>
          <w:sz w:val="16"/>
          <w:szCs w:val="16"/>
          <w:lang w:val="en-US"/>
        </w:rPr>
      </w:pPr>
      <w:r w:rsidRPr="00B36998">
        <w:rPr>
          <w:rStyle w:val="FootnoteReference"/>
          <w:rFonts w:asciiTheme="minorHAnsi" w:hAnsiTheme="minorHAnsi"/>
          <w:sz w:val="16"/>
          <w:szCs w:val="16"/>
        </w:rPr>
        <w:footnoteRef/>
      </w:r>
      <w:r w:rsidRPr="00B36998">
        <w:rPr>
          <w:rFonts w:asciiTheme="minorHAnsi" w:hAnsiTheme="minorHAnsi"/>
          <w:sz w:val="16"/>
          <w:szCs w:val="16"/>
          <w:lang w:val="en-US"/>
        </w:rPr>
        <w:t xml:space="preserve"> SUE «</w:t>
      </w:r>
      <w:proofErr w:type="spellStart"/>
      <w:r w:rsidRPr="00B36998">
        <w:rPr>
          <w:rFonts w:asciiTheme="minorHAnsi" w:hAnsiTheme="minorHAnsi"/>
          <w:sz w:val="16"/>
          <w:szCs w:val="16"/>
          <w:lang w:val="en-US"/>
        </w:rPr>
        <w:t>Khojagii</w:t>
      </w:r>
      <w:proofErr w:type="spellEnd"/>
      <w:r w:rsidRPr="00B36998">
        <w:rPr>
          <w:rFonts w:asciiTheme="minorHAnsi" w:hAnsiTheme="minorHAnsi"/>
          <w:sz w:val="16"/>
          <w:szCs w:val="16"/>
          <w:lang w:val="en-US"/>
        </w:rPr>
        <w:t xml:space="preserve"> </w:t>
      </w:r>
      <w:proofErr w:type="spellStart"/>
      <w:r w:rsidRPr="00B36998">
        <w:rPr>
          <w:rFonts w:asciiTheme="minorHAnsi" w:hAnsiTheme="minorHAnsi"/>
          <w:sz w:val="16"/>
          <w:szCs w:val="16"/>
          <w:lang w:val="en-US"/>
        </w:rPr>
        <w:t>Manziliyu</w:t>
      </w:r>
      <w:proofErr w:type="spellEnd"/>
      <w:r w:rsidRPr="00B36998">
        <w:rPr>
          <w:rFonts w:asciiTheme="minorHAnsi" w:hAnsiTheme="minorHAnsi"/>
          <w:sz w:val="16"/>
          <w:szCs w:val="16"/>
          <w:lang w:val="en-US"/>
        </w:rPr>
        <w:t xml:space="preserve"> </w:t>
      </w:r>
      <w:proofErr w:type="spellStart"/>
      <w:r w:rsidRPr="00B36998">
        <w:rPr>
          <w:rFonts w:asciiTheme="minorHAnsi" w:hAnsiTheme="minorHAnsi"/>
          <w:sz w:val="16"/>
          <w:szCs w:val="16"/>
          <w:lang w:val="en-US"/>
        </w:rPr>
        <w:t>Kommunali</w:t>
      </w:r>
      <w:proofErr w:type="spellEnd"/>
      <w:r w:rsidRPr="00B36998">
        <w:rPr>
          <w:rFonts w:asciiTheme="minorHAnsi" w:hAnsiTheme="minorHAnsi"/>
          <w:sz w:val="16"/>
          <w:szCs w:val="16"/>
          <w:lang w:val="en-US"/>
        </w:rPr>
        <w:t xml:space="preserve">” (10 February 2020), Mr. Bakhtiyor </w:t>
      </w:r>
      <w:proofErr w:type="spellStart"/>
      <w:r w:rsidRPr="00B36998">
        <w:rPr>
          <w:rFonts w:asciiTheme="minorHAnsi" w:hAnsiTheme="minorHAnsi"/>
          <w:sz w:val="16"/>
          <w:szCs w:val="16"/>
          <w:lang w:val="en-US"/>
        </w:rPr>
        <w:t>Safarzoda</w:t>
      </w:r>
      <w:proofErr w:type="spellEnd"/>
      <w:r w:rsidRPr="00B36998">
        <w:rPr>
          <w:rFonts w:asciiTheme="minorHAnsi" w:hAnsiTheme="minorHAnsi"/>
          <w:sz w:val="16"/>
          <w:szCs w:val="16"/>
          <w:lang w:val="en-US"/>
        </w:rPr>
        <w:t xml:space="preserve">, Deputy Director. Asia-Plus News Article. Available Online: </w:t>
      </w:r>
      <w:hyperlink r:id="rId2" w:history="1">
        <w:r w:rsidRPr="00B36998">
          <w:rPr>
            <w:rStyle w:val="Hyperlink"/>
            <w:rFonts w:asciiTheme="minorHAnsi" w:hAnsiTheme="minorHAnsi"/>
            <w:sz w:val="16"/>
            <w:szCs w:val="16"/>
            <w:lang w:val="en-US"/>
          </w:rPr>
          <w:t>https://asiaplustj.info/ru/news/tajikistan/society/20200210/v-tadzhikistane-predlozhili-povisit-tarifi-na-vodu</w:t>
        </w:r>
      </w:hyperlink>
    </w:p>
  </w:footnote>
  <w:footnote w:id="3">
    <w:p w14:paraId="1730B4B9" w14:textId="77777777" w:rsidR="00B36998" w:rsidRPr="00B36998" w:rsidRDefault="00B36998" w:rsidP="00B36998">
      <w:pPr>
        <w:pStyle w:val="FootnoteText"/>
        <w:rPr>
          <w:rFonts w:asciiTheme="minorHAnsi" w:hAnsiTheme="minorHAnsi"/>
          <w:sz w:val="16"/>
          <w:szCs w:val="16"/>
          <w:lang w:val="en-US"/>
        </w:rPr>
      </w:pPr>
      <w:r w:rsidRPr="00B36998">
        <w:rPr>
          <w:rStyle w:val="FootnoteReference"/>
          <w:rFonts w:asciiTheme="minorHAnsi" w:hAnsiTheme="minorHAnsi"/>
          <w:sz w:val="16"/>
          <w:szCs w:val="16"/>
        </w:rPr>
        <w:footnoteRef/>
      </w:r>
      <w:r w:rsidRPr="00B36998">
        <w:rPr>
          <w:rFonts w:asciiTheme="minorHAnsi" w:hAnsiTheme="minorHAnsi"/>
          <w:sz w:val="16"/>
          <w:szCs w:val="16"/>
          <w:lang w:val="en-US"/>
        </w:rPr>
        <w:t xml:space="preserve"> State Unitary Enterprise “</w:t>
      </w:r>
      <w:proofErr w:type="spellStart"/>
      <w:r w:rsidRPr="00B36998">
        <w:rPr>
          <w:rFonts w:asciiTheme="minorHAnsi" w:hAnsiTheme="minorHAnsi"/>
          <w:sz w:val="16"/>
          <w:szCs w:val="16"/>
          <w:lang w:val="en-US"/>
        </w:rPr>
        <w:t>Khojagii</w:t>
      </w:r>
      <w:proofErr w:type="spellEnd"/>
      <w:r w:rsidRPr="00B36998">
        <w:rPr>
          <w:rFonts w:asciiTheme="minorHAnsi" w:hAnsiTheme="minorHAnsi"/>
          <w:sz w:val="16"/>
          <w:szCs w:val="16"/>
          <w:lang w:val="en-US"/>
        </w:rPr>
        <w:t xml:space="preserve"> </w:t>
      </w:r>
      <w:proofErr w:type="spellStart"/>
      <w:r w:rsidRPr="00B36998">
        <w:rPr>
          <w:rFonts w:asciiTheme="minorHAnsi" w:hAnsiTheme="minorHAnsi"/>
          <w:sz w:val="16"/>
          <w:szCs w:val="16"/>
          <w:lang w:val="en-US"/>
        </w:rPr>
        <w:t>Manziliyu</w:t>
      </w:r>
      <w:proofErr w:type="spellEnd"/>
      <w:r w:rsidRPr="00B36998">
        <w:rPr>
          <w:rFonts w:asciiTheme="minorHAnsi" w:hAnsiTheme="minorHAnsi"/>
          <w:sz w:val="16"/>
          <w:szCs w:val="16"/>
          <w:lang w:val="en-US"/>
        </w:rPr>
        <w:t xml:space="preserve"> </w:t>
      </w:r>
      <w:proofErr w:type="spellStart"/>
      <w:r w:rsidRPr="00B36998">
        <w:rPr>
          <w:rFonts w:asciiTheme="minorHAnsi" w:hAnsiTheme="minorHAnsi"/>
          <w:sz w:val="16"/>
          <w:szCs w:val="16"/>
          <w:lang w:val="en-US"/>
        </w:rPr>
        <w:t>Kommunali</w:t>
      </w:r>
      <w:proofErr w:type="spellEnd"/>
      <w:r w:rsidRPr="00B36998">
        <w:rPr>
          <w:rFonts w:asciiTheme="minorHAnsi" w:hAnsiTheme="minorHAnsi"/>
          <w:sz w:val="16"/>
          <w:szCs w:val="16"/>
          <w:lang w:val="en-US"/>
        </w:rPr>
        <w:t xml:space="preserve">”, General Director, Mr. </w:t>
      </w:r>
      <w:proofErr w:type="spellStart"/>
      <w:r w:rsidRPr="00B36998">
        <w:rPr>
          <w:rFonts w:asciiTheme="minorHAnsi" w:hAnsiTheme="minorHAnsi"/>
          <w:sz w:val="16"/>
          <w:szCs w:val="16"/>
          <w:lang w:val="en-US"/>
        </w:rPr>
        <w:t>Alimurod</w:t>
      </w:r>
      <w:proofErr w:type="spellEnd"/>
      <w:r w:rsidRPr="00B36998">
        <w:rPr>
          <w:rFonts w:asciiTheme="minorHAnsi" w:hAnsiTheme="minorHAnsi"/>
          <w:sz w:val="16"/>
          <w:szCs w:val="16"/>
          <w:lang w:val="en-US"/>
        </w:rPr>
        <w:t xml:space="preserve"> </w:t>
      </w:r>
      <w:proofErr w:type="spellStart"/>
      <w:r w:rsidRPr="00B36998">
        <w:rPr>
          <w:rFonts w:asciiTheme="minorHAnsi" w:hAnsiTheme="minorHAnsi"/>
          <w:sz w:val="16"/>
          <w:szCs w:val="16"/>
          <w:lang w:val="en-US"/>
        </w:rPr>
        <w:t>Islomzoda</w:t>
      </w:r>
      <w:proofErr w:type="spellEnd"/>
      <w:r w:rsidRPr="00B36998">
        <w:rPr>
          <w:rFonts w:asciiTheme="minorHAnsi" w:hAnsiTheme="minorHAnsi"/>
          <w:sz w:val="16"/>
          <w:szCs w:val="16"/>
          <w:lang w:val="en-US"/>
        </w:rPr>
        <w:t xml:space="preserve"> </w:t>
      </w:r>
    </w:p>
    <w:p w14:paraId="4291D567" w14:textId="77777777" w:rsidR="00B36998" w:rsidRPr="00B36998" w:rsidRDefault="00B36998" w:rsidP="00B36998">
      <w:pPr>
        <w:pStyle w:val="FootnoteText"/>
        <w:rPr>
          <w:rFonts w:asciiTheme="minorHAnsi" w:hAnsiTheme="minorHAnsi"/>
          <w:sz w:val="16"/>
          <w:szCs w:val="16"/>
          <w:lang w:val="en-US"/>
        </w:rPr>
      </w:pPr>
      <w:r w:rsidRPr="00B36998">
        <w:rPr>
          <w:rFonts w:asciiTheme="minorHAnsi" w:hAnsiTheme="minorHAnsi"/>
          <w:sz w:val="16"/>
          <w:szCs w:val="16"/>
          <w:lang w:val="en-US"/>
        </w:rPr>
        <w:t xml:space="preserve">Link: </w:t>
      </w:r>
      <w:hyperlink r:id="rId3" w:history="1">
        <w:r w:rsidRPr="00B36998">
          <w:rPr>
            <w:rStyle w:val="Hyperlink"/>
            <w:rFonts w:asciiTheme="minorHAnsi" w:hAnsiTheme="minorHAnsi"/>
            <w:sz w:val="16"/>
            <w:szCs w:val="16"/>
            <w:lang w:val="en-US"/>
          </w:rPr>
          <w:t>http://m.ru.sputnik-tj.com/country/20170713/1022814617/tadzhikistan-tarify-na-vodu-vyrastut-10-protsentov.html?mobile_return=no</w:t>
        </w:r>
      </w:hyperlink>
      <w:r w:rsidRPr="00B36998">
        <w:rPr>
          <w:rFonts w:asciiTheme="minorHAnsi" w:hAnsiTheme="minorHAnsi"/>
          <w:sz w:val="16"/>
          <w:szCs w:val="16"/>
          <w:lang w:val="en-US"/>
        </w:rPr>
        <w:t>.</w:t>
      </w:r>
    </w:p>
  </w:footnote>
  <w:footnote w:id="4">
    <w:p w14:paraId="0247A864" w14:textId="77777777" w:rsidR="00B36998" w:rsidRPr="00B36998" w:rsidRDefault="00B36998" w:rsidP="00B36998">
      <w:pPr>
        <w:pStyle w:val="FootnoteText"/>
        <w:rPr>
          <w:rFonts w:asciiTheme="minorHAnsi" w:hAnsiTheme="minorHAnsi"/>
          <w:sz w:val="16"/>
          <w:szCs w:val="16"/>
          <w:lang w:val="en-US"/>
        </w:rPr>
      </w:pPr>
      <w:r w:rsidRPr="00B36998">
        <w:rPr>
          <w:rStyle w:val="FootnoteReference"/>
          <w:rFonts w:asciiTheme="minorHAnsi" w:hAnsiTheme="minorHAnsi"/>
          <w:sz w:val="16"/>
          <w:szCs w:val="16"/>
        </w:rPr>
        <w:footnoteRef/>
      </w:r>
      <w:r w:rsidRPr="00B36998">
        <w:rPr>
          <w:rFonts w:asciiTheme="minorHAnsi" w:hAnsiTheme="minorHAnsi"/>
          <w:sz w:val="16"/>
          <w:szCs w:val="16"/>
          <w:lang w:val="en-US"/>
        </w:rPr>
        <w:t xml:space="preserve"> Minutes of Third Meeting of the Inter-Ministerial Working Group on drinking water supply and sanitation, 24 October 2012, </w:t>
      </w:r>
      <w:proofErr w:type="spellStart"/>
      <w:r w:rsidRPr="00B36998">
        <w:rPr>
          <w:rFonts w:asciiTheme="minorHAnsi" w:hAnsiTheme="minorHAnsi"/>
          <w:sz w:val="16"/>
          <w:szCs w:val="16"/>
          <w:lang w:val="en-US"/>
        </w:rPr>
        <w:t>Kayrakkum</w:t>
      </w:r>
      <w:proofErr w:type="spellEnd"/>
      <w:r w:rsidRPr="00B36998">
        <w:rPr>
          <w:rFonts w:asciiTheme="minorHAnsi" w:hAnsiTheme="minorHAnsi"/>
          <w:sz w:val="16"/>
          <w:szCs w:val="16"/>
          <w:lang w:val="en-US"/>
        </w:rPr>
        <w:t>, Tajikistan.</w:t>
      </w:r>
    </w:p>
  </w:footnote>
  <w:footnote w:id="5">
    <w:p w14:paraId="1213C3CC" w14:textId="77777777" w:rsidR="00B36998" w:rsidRPr="00B36998" w:rsidRDefault="00B36998" w:rsidP="00B36998">
      <w:pPr>
        <w:pStyle w:val="FootnoteText"/>
        <w:rPr>
          <w:rFonts w:asciiTheme="minorHAnsi" w:hAnsiTheme="minorHAnsi"/>
          <w:sz w:val="16"/>
          <w:szCs w:val="16"/>
          <w:lang w:val="en-US"/>
        </w:rPr>
      </w:pPr>
      <w:r w:rsidRPr="00B36998">
        <w:rPr>
          <w:rStyle w:val="FootnoteReference"/>
          <w:rFonts w:asciiTheme="minorHAnsi" w:hAnsiTheme="minorHAnsi"/>
          <w:sz w:val="16"/>
          <w:szCs w:val="16"/>
        </w:rPr>
        <w:footnoteRef/>
      </w:r>
      <w:r w:rsidRPr="00B36998">
        <w:rPr>
          <w:rFonts w:asciiTheme="minorHAnsi" w:hAnsiTheme="minorHAnsi"/>
          <w:sz w:val="16"/>
          <w:szCs w:val="16"/>
          <w:lang w:val="en-US"/>
        </w:rPr>
        <w:t xml:space="preserve"> UNDP/Oxfam (2012), “Overview of tariff policy in the sphere of drinking water supply and sanitation and recommendations for its improvement”, </w:t>
      </w:r>
      <w:proofErr w:type="spellStart"/>
      <w:r w:rsidRPr="00B36998">
        <w:rPr>
          <w:rFonts w:asciiTheme="minorHAnsi" w:hAnsiTheme="minorHAnsi"/>
          <w:sz w:val="16"/>
          <w:szCs w:val="16"/>
          <w:lang w:val="en-US"/>
        </w:rPr>
        <w:t>TajWSS</w:t>
      </w:r>
      <w:proofErr w:type="spellEnd"/>
      <w:r w:rsidRPr="00B36998">
        <w:rPr>
          <w:rFonts w:asciiTheme="minorHAnsi" w:hAnsiTheme="minorHAnsi"/>
          <w:sz w:val="16"/>
          <w:szCs w:val="16"/>
          <w:lang w:val="en-US"/>
        </w:rPr>
        <w:t xml:space="preserve"> Project</w:t>
      </w:r>
    </w:p>
  </w:footnote>
  <w:footnote w:id="6">
    <w:p w14:paraId="1B4B16D2" w14:textId="77777777" w:rsidR="00B36998" w:rsidRPr="00B36998" w:rsidRDefault="00B36998" w:rsidP="00B36998">
      <w:pPr>
        <w:pStyle w:val="FootnoteText"/>
        <w:rPr>
          <w:rFonts w:asciiTheme="minorHAnsi" w:hAnsiTheme="minorHAnsi"/>
          <w:sz w:val="16"/>
          <w:szCs w:val="16"/>
          <w:lang w:val="en-US"/>
        </w:rPr>
      </w:pPr>
      <w:r w:rsidRPr="00B36998">
        <w:rPr>
          <w:rStyle w:val="FootnoteReference"/>
          <w:rFonts w:asciiTheme="minorHAnsi" w:hAnsiTheme="minorHAnsi"/>
          <w:sz w:val="16"/>
          <w:szCs w:val="16"/>
        </w:rPr>
        <w:footnoteRef/>
      </w:r>
      <w:r w:rsidRPr="00B36998">
        <w:rPr>
          <w:rFonts w:asciiTheme="minorHAnsi" w:hAnsiTheme="minorHAnsi"/>
          <w:sz w:val="16"/>
          <w:szCs w:val="16"/>
          <w:lang w:val="en-US"/>
        </w:rPr>
        <w:t xml:space="preserve"> “Tajikistan Water Supply &amp; Sanitation Project” (</w:t>
      </w:r>
      <w:proofErr w:type="spellStart"/>
      <w:r w:rsidRPr="00B36998">
        <w:rPr>
          <w:rFonts w:asciiTheme="minorHAnsi" w:hAnsiTheme="minorHAnsi"/>
          <w:sz w:val="16"/>
          <w:szCs w:val="16"/>
          <w:lang w:val="en-US"/>
        </w:rPr>
        <w:t>TajWSS</w:t>
      </w:r>
      <w:proofErr w:type="spellEnd"/>
      <w:r w:rsidRPr="00B36998">
        <w:rPr>
          <w:rFonts w:asciiTheme="minorHAnsi" w:hAnsiTheme="minorHAnsi"/>
          <w:sz w:val="16"/>
          <w:szCs w:val="16"/>
          <w:lang w:val="en-US"/>
        </w:rPr>
        <w:t>) Project, funded by the Swiss Agency for Development &amp; Cooperation, and implemented by Oxfam GB in partnership with UNDP in Tajikistan</w:t>
      </w:r>
    </w:p>
  </w:footnote>
  <w:footnote w:id="7">
    <w:p w14:paraId="2AB73920" w14:textId="77777777" w:rsidR="00B36998" w:rsidRPr="00B36998" w:rsidRDefault="00B36998" w:rsidP="00B36998">
      <w:pPr>
        <w:spacing w:line="240" w:lineRule="auto"/>
        <w:rPr>
          <w:rFonts w:asciiTheme="minorHAnsi" w:hAnsiTheme="minorHAnsi"/>
          <w:sz w:val="16"/>
          <w:szCs w:val="16"/>
          <w:lang w:val="en-US"/>
        </w:rPr>
      </w:pPr>
      <w:r w:rsidRPr="00B36998">
        <w:rPr>
          <w:rStyle w:val="FootnoteReference"/>
          <w:rFonts w:asciiTheme="minorHAnsi" w:hAnsiTheme="minorHAnsi"/>
          <w:sz w:val="16"/>
          <w:szCs w:val="16"/>
        </w:rPr>
        <w:footnoteRef/>
      </w:r>
      <w:r w:rsidRPr="00B36998">
        <w:rPr>
          <w:rFonts w:asciiTheme="minorHAnsi" w:hAnsiTheme="minorHAnsi"/>
          <w:sz w:val="16"/>
          <w:szCs w:val="16"/>
          <w:lang w:val="en-US"/>
        </w:rPr>
        <w:t xml:space="preserve"> UNDP/Oxfam GB (2020). </w:t>
      </w:r>
      <w:proofErr w:type="spellStart"/>
      <w:r w:rsidRPr="00B36998">
        <w:rPr>
          <w:rFonts w:asciiTheme="minorHAnsi" w:hAnsiTheme="minorHAnsi"/>
          <w:sz w:val="16"/>
          <w:szCs w:val="16"/>
          <w:lang w:val="en-US"/>
        </w:rPr>
        <w:t>TajWSS</w:t>
      </w:r>
      <w:proofErr w:type="spellEnd"/>
      <w:r w:rsidRPr="00B36998">
        <w:rPr>
          <w:rFonts w:asciiTheme="minorHAnsi" w:hAnsiTheme="minorHAnsi"/>
          <w:sz w:val="16"/>
          <w:szCs w:val="16"/>
          <w:lang w:val="en-US"/>
        </w:rPr>
        <w:t xml:space="preserve"> Policy Brief “Tariff policy for drinking water supply in rural Tajikistan: Towards a full-cost recovery mechanism and rights-based water governance”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6534" w14:textId="77777777" w:rsidR="007E4DC4" w:rsidRPr="003C6CA4" w:rsidRDefault="007E4DC4">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sidR="002F73B7">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sidR="002F73B7">
      <w:rPr>
        <w:b/>
        <w:bCs/>
        <w:noProof/>
        <w:sz w:val="18"/>
        <w:szCs w:val="18"/>
      </w:rPr>
      <w:t>11</w:t>
    </w:r>
    <w:r w:rsidRPr="003C6CA4">
      <w:rPr>
        <w:b/>
        <w:bCs/>
        <w:sz w:val="18"/>
        <w:szCs w:val="18"/>
      </w:rPr>
      <w:fldChar w:fldCharType="end"/>
    </w:r>
  </w:p>
  <w:p w14:paraId="5AD573B3" w14:textId="77777777" w:rsidR="007E4DC4" w:rsidRDefault="007E4DC4">
    <w:pPr>
      <w:pStyle w:val="Header"/>
    </w:pPr>
  </w:p>
  <w:p w14:paraId="49C484F3" w14:textId="77777777" w:rsidR="00BD0027" w:rsidRDefault="00BD0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3EBA"/>
    <w:multiLevelType w:val="hybridMultilevel"/>
    <w:tmpl w:val="9A90EE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172E0B"/>
    <w:multiLevelType w:val="hybridMultilevel"/>
    <w:tmpl w:val="A3A450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F48C9"/>
    <w:multiLevelType w:val="hybridMultilevel"/>
    <w:tmpl w:val="E54881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444784"/>
    <w:multiLevelType w:val="hybridMultilevel"/>
    <w:tmpl w:val="23D88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CA2064"/>
    <w:multiLevelType w:val="hybridMultilevel"/>
    <w:tmpl w:val="BCD010B6"/>
    <w:lvl w:ilvl="0" w:tplc="8C9E0D3A">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D86E66"/>
    <w:multiLevelType w:val="hybridMultilevel"/>
    <w:tmpl w:val="7A50DC56"/>
    <w:lvl w:ilvl="0" w:tplc="6D92D55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C6907"/>
    <w:multiLevelType w:val="hybridMultilevel"/>
    <w:tmpl w:val="7A50DC56"/>
    <w:lvl w:ilvl="0" w:tplc="6D92D55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num>
  <w:num w:numId="5">
    <w:abstractNumId w:val="7"/>
  </w:num>
  <w:num w:numId="6">
    <w:abstractNumId w:val="4"/>
  </w:num>
  <w:num w:numId="7">
    <w:abstractNumId w:val="0"/>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MqgFAHRuqlQtAAAA"/>
  </w:docVars>
  <w:rsids>
    <w:rsidRoot w:val="00A73976"/>
    <w:rsid w:val="000004D5"/>
    <w:rsid w:val="00004D2B"/>
    <w:rsid w:val="00005E8F"/>
    <w:rsid w:val="00010CC5"/>
    <w:rsid w:val="00014268"/>
    <w:rsid w:val="000168BF"/>
    <w:rsid w:val="000208C4"/>
    <w:rsid w:val="000220BD"/>
    <w:rsid w:val="00022E04"/>
    <w:rsid w:val="0003314B"/>
    <w:rsid w:val="000434EB"/>
    <w:rsid w:val="0005484D"/>
    <w:rsid w:val="000622D5"/>
    <w:rsid w:val="0006419A"/>
    <w:rsid w:val="00066D04"/>
    <w:rsid w:val="00072EEE"/>
    <w:rsid w:val="00076E17"/>
    <w:rsid w:val="000771E1"/>
    <w:rsid w:val="00086F16"/>
    <w:rsid w:val="000929AE"/>
    <w:rsid w:val="000A0A73"/>
    <w:rsid w:val="000A621B"/>
    <w:rsid w:val="000A6877"/>
    <w:rsid w:val="000B1461"/>
    <w:rsid w:val="000B5C48"/>
    <w:rsid w:val="000C5F2E"/>
    <w:rsid w:val="000C7562"/>
    <w:rsid w:val="000D3A0F"/>
    <w:rsid w:val="000E3BA3"/>
    <w:rsid w:val="000E6671"/>
    <w:rsid w:val="00105656"/>
    <w:rsid w:val="00116FE4"/>
    <w:rsid w:val="00121E6F"/>
    <w:rsid w:val="0012784E"/>
    <w:rsid w:val="00133190"/>
    <w:rsid w:val="00134E6C"/>
    <w:rsid w:val="00135451"/>
    <w:rsid w:val="00153E4C"/>
    <w:rsid w:val="0016262E"/>
    <w:rsid w:val="0016693E"/>
    <w:rsid w:val="00166ABD"/>
    <w:rsid w:val="00191A41"/>
    <w:rsid w:val="00192BE0"/>
    <w:rsid w:val="00197ED7"/>
    <w:rsid w:val="001A7FC3"/>
    <w:rsid w:val="001C473F"/>
    <w:rsid w:val="001D2E74"/>
    <w:rsid w:val="001E62E3"/>
    <w:rsid w:val="001F009D"/>
    <w:rsid w:val="00204581"/>
    <w:rsid w:val="002065DD"/>
    <w:rsid w:val="0020715A"/>
    <w:rsid w:val="00220629"/>
    <w:rsid w:val="00221890"/>
    <w:rsid w:val="00222F4D"/>
    <w:rsid w:val="00224FCC"/>
    <w:rsid w:val="00227F01"/>
    <w:rsid w:val="00231091"/>
    <w:rsid w:val="00241877"/>
    <w:rsid w:val="00242577"/>
    <w:rsid w:val="002657C9"/>
    <w:rsid w:val="00270263"/>
    <w:rsid w:val="00274BC8"/>
    <w:rsid w:val="00286664"/>
    <w:rsid w:val="00286EAB"/>
    <w:rsid w:val="00291B56"/>
    <w:rsid w:val="00296D14"/>
    <w:rsid w:val="002A4054"/>
    <w:rsid w:val="002A407B"/>
    <w:rsid w:val="002A44A2"/>
    <w:rsid w:val="002A4E3B"/>
    <w:rsid w:val="002B2E31"/>
    <w:rsid w:val="002C070A"/>
    <w:rsid w:val="002D5376"/>
    <w:rsid w:val="002D66C3"/>
    <w:rsid w:val="002E6706"/>
    <w:rsid w:val="002E6C8A"/>
    <w:rsid w:val="002F03FC"/>
    <w:rsid w:val="002F0570"/>
    <w:rsid w:val="002F48F3"/>
    <w:rsid w:val="002F73B7"/>
    <w:rsid w:val="003165AA"/>
    <w:rsid w:val="00332639"/>
    <w:rsid w:val="0033469C"/>
    <w:rsid w:val="00341EAE"/>
    <w:rsid w:val="00345B24"/>
    <w:rsid w:val="00356864"/>
    <w:rsid w:val="00362E5C"/>
    <w:rsid w:val="00366E40"/>
    <w:rsid w:val="00375408"/>
    <w:rsid w:val="0038087D"/>
    <w:rsid w:val="00381767"/>
    <w:rsid w:val="00382450"/>
    <w:rsid w:val="003847DC"/>
    <w:rsid w:val="00384E3E"/>
    <w:rsid w:val="0039057E"/>
    <w:rsid w:val="003A30B6"/>
    <w:rsid w:val="003A41CC"/>
    <w:rsid w:val="003A42F1"/>
    <w:rsid w:val="003B5FE5"/>
    <w:rsid w:val="003C1C4F"/>
    <w:rsid w:val="003E41B6"/>
    <w:rsid w:val="003F20CF"/>
    <w:rsid w:val="003F2898"/>
    <w:rsid w:val="003F4D88"/>
    <w:rsid w:val="0040591E"/>
    <w:rsid w:val="00405D8F"/>
    <w:rsid w:val="00425EB8"/>
    <w:rsid w:val="00432446"/>
    <w:rsid w:val="00433196"/>
    <w:rsid w:val="00434A68"/>
    <w:rsid w:val="00434DFE"/>
    <w:rsid w:val="00455563"/>
    <w:rsid w:val="00455A90"/>
    <w:rsid w:val="00456F61"/>
    <w:rsid w:val="00457F6B"/>
    <w:rsid w:val="00463EFA"/>
    <w:rsid w:val="00465D6E"/>
    <w:rsid w:val="004660A5"/>
    <w:rsid w:val="00476507"/>
    <w:rsid w:val="0049130C"/>
    <w:rsid w:val="00493033"/>
    <w:rsid w:val="00494B9A"/>
    <w:rsid w:val="00495D08"/>
    <w:rsid w:val="004A0F1D"/>
    <w:rsid w:val="004B15A1"/>
    <w:rsid w:val="004C5163"/>
    <w:rsid w:val="004C6A3E"/>
    <w:rsid w:val="004D111C"/>
    <w:rsid w:val="004D3E83"/>
    <w:rsid w:val="004E0502"/>
    <w:rsid w:val="004E2056"/>
    <w:rsid w:val="004E3745"/>
    <w:rsid w:val="004F71C9"/>
    <w:rsid w:val="004F7D17"/>
    <w:rsid w:val="004F7D42"/>
    <w:rsid w:val="004F7FAB"/>
    <w:rsid w:val="0050227D"/>
    <w:rsid w:val="00505120"/>
    <w:rsid w:val="00516F55"/>
    <w:rsid w:val="00520CD8"/>
    <w:rsid w:val="00525370"/>
    <w:rsid w:val="00532E0B"/>
    <w:rsid w:val="005455A2"/>
    <w:rsid w:val="0054588F"/>
    <w:rsid w:val="00551EF3"/>
    <w:rsid w:val="00555AC9"/>
    <w:rsid w:val="0056297F"/>
    <w:rsid w:val="00576C3A"/>
    <w:rsid w:val="00584392"/>
    <w:rsid w:val="005874C8"/>
    <w:rsid w:val="00593311"/>
    <w:rsid w:val="005939F2"/>
    <w:rsid w:val="005A04DE"/>
    <w:rsid w:val="005A2DF5"/>
    <w:rsid w:val="005A53D1"/>
    <w:rsid w:val="005B33A0"/>
    <w:rsid w:val="005C097A"/>
    <w:rsid w:val="005C14B7"/>
    <w:rsid w:val="005D6142"/>
    <w:rsid w:val="005D62BC"/>
    <w:rsid w:val="005D7A7C"/>
    <w:rsid w:val="005E3F25"/>
    <w:rsid w:val="005F45B6"/>
    <w:rsid w:val="005F649D"/>
    <w:rsid w:val="00600097"/>
    <w:rsid w:val="00653473"/>
    <w:rsid w:val="006555C0"/>
    <w:rsid w:val="00662BA0"/>
    <w:rsid w:val="006638F0"/>
    <w:rsid w:val="00672762"/>
    <w:rsid w:val="00676D03"/>
    <w:rsid w:val="00682E9C"/>
    <w:rsid w:val="00685D13"/>
    <w:rsid w:val="00695A7B"/>
    <w:rsid w:val="006970E5"/>
    <w:rsid w:val="006B3F84"/>
    <w:rsid w:val="006C0798"/>
    <w:rsid w:val="006C08DE"/>
    <w:rsid w:val="006C2FFD"/>
    <w:rsid w:val="006C4E8C"/>
    <w:rsid w:val="006C63F0"/>
    <w:rsid w:val="006D4886"/>
    <w:rsid w:val="006D5DE2"/>
    <w:rsid w:val="006E65E6"/>
    <w:rsid w:val="006F124E"/>
    <w:rsid w:val="006F1D27"/>
    <w:rsid w:val="007010DF"/>
    <w:rsid w:val="00701D34"/>
    <w:rsid w:val="00704A70"/>
    <w:rsid w:val="00715A92"/>
    <w:rsid w:val="00731F2E"/>
    <w:rsid w:val="007428F1"/>
    <w:rsid w:val="00743279"/>
    <w:rsid w:val="00757CF0"/>
    <w:rsid w:val="007627F3"/>
    <w:rsid w:val="0079350A"/>
    <w:rsid w:val="007A50EF"/>
    <w:rsid w:val="007A7A14"/>
    <w:rsid w:val="007D2263"/>
    <w:rsid w:val="007D3F34"/>
    <w:rsid w:val="007D44CC"/>
    <w:rsid w:val="007E4DC4"/>
    <w:rsid w:val="007F0E3D"/>
    <w:rsid w:val="007F66B6"/>
    <w:rsid w:val="00800D6B"/>
    <w:rsid w:val="0080571A"/>
    <w:rsid w:val="00816FE2"/>
    <w:rsid w:val="00817001"/>
    <w:rsid w:val="008310A6"/>
    <w:rsid w:val="00832442"/>
    <w:rsid w:val="00833170"/>
    <w:rsid w:val="00845C0C"/>
    <w:rsid w:val="00846207"/>
    <w:rsid w:val="00861C38"/>
    <w:rsid w:val="0087003B"/>
    <w:rsid w:val="00881C23"/>
    <w:rsid w:val="0088354E"/>
    <w:rsid w:val="00883B93"/>
    <w:rsid w:val="00884A3E"/>
    <w:rsid w:val="00887116"/>
    <w:rsid w:val="00896325"/>
    <w:rsid w:val="008A3015"/>
    <w:rsid w:val="008A4741"/>
    <w:rsid w:val="008B75C4"/>
    <w:rsid w:val="008C6D61"/>
    <w:rsid w:val="008D1ABE"/>
    <w:rsid w:val="008D55FA"/>
    <w:rsid w:val="008E05AB"/>
    <w:rsid w:val="008E6EEC"/>
    <w:rsid w:val="00906CC8"/>
    <w:rsid w:val="00917172"/>
    <w:rsid w:val="009219D2"/>
    <w:rsid w:val="00923F00"/>
    <w:rsid w:val="009241AB"/>
    <w:rsid w:val="00933A8E"/>
    <w:rsid w:val="009476CA"/>
    <w:rsid w:val="009510DC"/>
    <w:rsid w:val="00957ACA"/>
    <w:rsid w:val="00960CF4"/>
    <w:rsid w:val="0096364C"/>
    <w:rsid w:val="00975136"/>
    <w:rsid w:val="00976BE0"/>
    <w:rsid w:val="0097712C"/>
    <w:rsid w:val="009810EB"/>
    <w:rsid w:val="00984AE6"/>
    <w:rsid w:val="009866BB"/>
    <w:rsid w:val="0098753A"/>
    <w:rsid w:val="009A0B2A"/>
    <w:rsid w:val="009A1305"/>
    <w:rsid w:val="009A707C"/>
    <w:rsid w:val="009D6416"/>
    <w:rsid w:val="009F092F"/>
    <w:rsid w:val="00A021B7"/>
    <w:rsid w:val="00A27840"/>
    <w:rsid w:val="00A4416B"/>
    <w:rsid w:val="00A4563C"/>
    <w:rsid w:val="00A50CF2"/>
    <w:rsid w:val="00A5419C"/>
    <w:rsid w:val="00A73976"/>
    <w:rsid w:val="00A836C3"/>
    <w:rsid w:val="00A85954"/>
    <w:rsid w:val="00A91EC1"/>
    <w:rsid w:val="00AB25EA"/>
    <w:rsid w:val="00AB4735"/>
    <w:rsid w:val="00AB6486"/>
    <w:rsid w:val="00AB7094"/>
    <w:rsid w:val="00AD012E"/>
    <w:rsid w:val="00AD24DB"/>
    <w:rsid w:val="00AD4EAC"/>
    <w:rsid w:val="00AD749F"/>
    <w:rsid w:val="00AE10D3"/>
    <w:rsid w:val="00AF14AB"/>
    <w:rsid w:val="00AF2070"/>
    <w:rsid w:val="00AF31E5"/>
    <w:rsid w:val="00AF57A6"/>
    <w:rsid w:val="00B120AD"/>
    <w:rsid w:val="00B2349C"/>
    <w:rsid w:val="00B2360A"/>
    <w:rsid w:val="00B277B6"/>
    <w:rsid w:val="00B2789A"/>
    <w:rsid w:val="00B36998"/>
    <w:rsid w:val="00B41857"/>
    <w:rsid w:val="00B632C9"/>
    <w:rsid w:val="00B73A7E"/>
    <w:rsid w:val="00B74284"/>
    <w:rsid w:val="00B76844"/>
    <w:rsid w:val="00B80FE3"/>
    <w:rsid w:val="00BA6D66"/>
    <w:rsid w:val="00BB3807"/>
    <w:rsid w:val="00BC7218"/>
    <w:rsid w:val="00BD0027"/>
    <w:rsid w:val="00BD4096"/>
    <w:rsid w:val="00BE136F"/>
    <w:rsid w:val="00BE4670"/>
    <w:rsid w:val="00BE6B64"/>
    <w:rsid w:val="00BE6CBE"/>
    <w:rsid w:val="00BF21DB"/>
    <w:rsid w:val="00BF579E"/>
    <w:rsid w:val="00C02E0C"/>
    <w:rsid w:val="00C15F5E"/>
    <w:rsid w:val="00C20D25"/>
    <w:rsid w:val="00C24C76"/>
    <w:rsid w:val="00C329F5"/>
    <w:rsid w:val="00C40444"/>
    <w:rsid w:val="00C45647"/>
    <w:rsid w:val="00C52675"/>
    <w:rsid w:val="00C71414"/>
    <w:rsid w:val="00C7279B"/>
    <w:rsid w:val="00C75703"/>
    <w:rsid w:val="00C80FC7"/>
    <w:rsid w:val="00C818E1"/>
    <w:rsid w:val="00C846C5"/>
    <w:rsid w:val="00C8495D"/>
    <w:rsid w:val="00C949A5"/>
    <w:rsid w:val="00C970E3"/>
    <w:rsid w:val="00CB11E0"/>
    <w:rsid w:val="00CB2225"/>
    <w:rsid w:val="00CC3D05"/>
    <w:rsid w:val="00CD1F84"/>
    <w:rsid w:val="00CD377A"/>
    <w:rsid w:val="00CD6F24"/>
    <w:rsid w:val="00CE055F"/>
    <w:rsid w:val="00CE395B"/>
    <w:rsid w:val="00CE5B03"/>
    <w:rsid w:val="00CF06FD"/>
    <w:rsid w:val="00CF09C1"/>
    <w:rsid w:val="00CF2865"/>
    <w:rsid w:val="00CF4A6B"/>
    <w:rsid w:val="00CF4D3D"/>
    <w:rsid w:val="00D00C11"/>
    <w:rsid w:val="00D02AA9"/>
    <w:rsid w:val="00D0443A"/>
    <w:rsid w:val="00D117B2"/>
    <w:rsid w:val="00D14BE8"/>
    <w:rsid w:val="00D16916"/>
    <w:rsid w:val="00D16F0F"/>
    <w:rsid w:val="00D22D06"/>
    <w:rsid w:val="00D34C45"/>
    <w:rsid w:val="00D43A15"/>
    <w:rsid w:val="00D60738"/>
    <w:rsid w:val="00D60D62"/>
    <w:rsid w:val="00D62A45"/>
    <w:rsid w:val="00D62AFA"/>
    <w:rsid w:val="00D63861"/>
    <w:rsid w:val="00D640BC"/>
    <w:rsid w:val="00D66680"/>
    <w:rsid w:val="00D740AC"/>
    <w:rsid w:val="00D90127"/>
    <w:rsid w:val="00DA6A31"/>
    <w:rsid w:val="00DC6E37"/>
    <w:rsid w:val="00DE1277"/>
    <w:rsid w:val="00DE2040"/>
    <w:rsid w:val="00DF6DC1"/>
    <w:rsid w:val="00E03353"/>
    <w:rsid w:val="00E03B83"/>
    <w:rsid w:val="00E03FF2"/>
    <w:rsid w:val="00E05A6C"/>
    <w:rsid w:val="00E15EDD"/>
    <w:rsid w:val="00E172AD"/>
    <w:rsid w:val="00E175EB"/>
    <w:rsid w:val="00E17A15"/>
    <w:rsid w:val="00E303AC"/>
    <w:rsid w:val="00E32220"/>
    <w:rsid w:val="00E43EDC"/>
    <w:rsid w:val="00E44933"/>
    <w:rsid w:val="00E52CE0"/>
    <w:rsid w:val="00E5450C"/>
    <w:rsid w:val="00E60D2C"/>
    <w:rsid w:val="00E65308"/>
    <w:rsid w:val="00E655AC"/>
    <w:rsid w:val="00E70ADC"/>
    <w:rsid w:val="00E70D96"/>
    <w:rsid w:val="00E73311"/>
    <w:rsid w:val="00E741F9"/>
    <w:rsid w:val="00E7688B"/>
    <w:rsid w:val="00E802DD"/>
    <w:rsid w:val="00E815AA"/>
    <w:rsid w:val="00E83853"/>
    <w:rsid w:val="00E8592C"/>
    <w:rsid w:val="00E91347"/>
    <w:rsid w:val="00E924DD"/>
    <w:rsid w:val="00E95C07"/>
    <w:rsid w:val="00EA2E90"/>
    <w:rsid w:val="00EA30CF"/>
    <w:rsid w:val="00EA36A0"/>
    <w:rsid w:val="00EA7EDE"/>
    <w:rsid w:val="00EB0332"/>
    <w:rsid w:val="00EB0A67"/>
    <w:rsid w:val="00EB79F8"/>
    <w:rsid w:val="00EE1CD0"/>
    <w:rsid w:val="00EE3492"/>
    <w:rsid w:val="00F014F9"/>
    <w:rsid w:val="00F05D8E"/>
    <w:rsid w:val="00F06672"/>
    <w:rsid w:val="00F11AD6"/>
    <w:rsid w:val="00F1470D"/>
    <w:rsid w:val="00F303A1"/>
    <w:rsid w:val="00F64B7D"/>
    <w:rsid w:val="00F64B89"/>
    <w:rsid w:val="00F7589A"/>
    <w:rsid w:val="00F8307A"/>
    <w:rsid w:val="00F857FB"/>
    <w:rsid w:val="00F94036"/>
    <w:rsid w:val="00FA66F3"/>
    <w:rsid w:val="00FB19F6"/>
    <w:rsid w:val="00FB1C45"/>
    <w:rsid w:val="00FB1CD4"/>
    <w:rsid w:val="00FD261D"/>
    <w:rsid w:val="00FD4C96"/>
    <w:rsid w:val="00FE2B4B"/>
    <w:rsid w:val="00FE2BB5"/>
    <w:rsid w:val="00FE6B4D"/>
    <w:rsid w:val="00FF321E"/>
    <w:rsid w:val="00FF5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A45"/>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uiPriority w:val="99"/>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iPriority w:val="99"/>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uiPriority w:val="99"/>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uiPriority w:val="99"/>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table" w:styleId="TableGrid">
    <w:name w:val="Table Grid"/>
    <w:basedOn w:val="TableNormal"/>
    <w:uiPriority w:val="39"/>
    <w:rsid w:val="008D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8307A"/>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F8307A"/>
    <w:rPr>
      <w:rFonts w:ascii="Times New Roman" w:eastAsia="Times New Roman" w:hAnsi="Times New Roman" w:cs="Times New Roman"/>
      <w:color w:val="000000"/>
      <w:sz w:val="19"/>
    </w:rPr>
  </w:style>
  <w:style w:type="character" w:customStyle="1" w:styleId="footnotemark">
    <w:name w:val="footnote mark"/>
    <w:hidden/>
    <w:rsid w:val="00F8307A"/>
    <w:rPr>
      <w:rFonts w:ascii="Times New Roman" w:eastAsia="Times New Roman" w:hAnsi="Times New Roman" w:cs="Times New Roman"/>
      <w:color w:val="000000"/>
      <w:sz w:val="19"/>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8B75C4"/>
    <w:pPr>
      <w:spacing w:line="240" w:lineRule="auto"/>
      <w:jc w:val="both"/>
    </w:pPr>
    <w:rPr>
      <w:rFonts w:ascii="Times New Roman" w:eastAsia="Times New Roman" w:hAnsi="Times New Roman" w:cs="Times New Roman"/>
      <w:color w:val="auto"/>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29771">
      <w:bodyDiv w:val="1"/>
      <w:marLeft w:val="0"/>
      <w:marRight w:val="0"/>
      <w:marTop w:val="0"/>
      <w:marBottom w:val="0"/>
      <w:divBdr>
        <w:top w:val="none" w:sz="0" w:space="0" w:color="auto"/>
        <w:left w:val="none" w:sz="0" w:space="0" w:color="auto"/>
        <w:bottom w:val="none" w:sz="0" w:space="0" w:color="auto"/>
        <w:right w:val="none" w:sz="0" w:space="0" w:color="auto"/>
      </w:divBdr>
    </w:div>
    <w:div w:id="388648381">
      <w:bodyDiv w:val="1"/>
      <w:marLeft w:val="0"/>
      <w:marRight w:val="0"/>
      <w:marTop w:val="0"/>
      <w:marBottom w:val="0"/>
      <w:divBdr>
        <w:top w:val="none" w:sz="0" w:space="0" w:color="auto"/>
        <w:left w:val="none" w:sz="0" w:space="0" w:color="auto"/>
        <w:bottom w:val="none" w:sz="0" w:space="0" w:color="auto"/>
        <w:right w:val="none" w:sz="0" w:space="0" w:color="auto"/>
      </w:divBdr>
    </w:div>
    <w:div w:id="759182356">
      <w:bodyDiv w:val="1"/>
      <w:marLeft w:val="0"/>
      <w:marRight w:val="0"/>
      <w:marTop w:val="0"/>
      <w:marBottom w:val="0"/>
      <w:divBdr>
        <w:top w:val="none" w:sz="0" w:space="0" w:color="auto"/>
        <w:left w:val="none" w:sz="0" w:space="0" w:color="auto"/>
        <w:bottom w:val="none" w:sz="0" w:space="0" w:color="auto"/>
        <w:right w:val="none" w:sz="0" w:space="0" w:color="auto"/>
      </w:divBdr>
    </w:div>
    <w:div w:id="12347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d-procurement@unicef.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ru.sputnik-tj.com/country/20170713/1022814617/tadzhikistan-tarify-na-vodu-vyrastut-10-protsentov.html?mobile_return=no" TargetMode="External"/><Relationship Id="rId2" Type="http://schemas.openxmlformats.org/officeDocument/2006/relationships/hyperlink" Target="https://asiaplustj.info/ru/news/tajikistan/society/20200210/v-tadzhikistane-predlozhili-povisit-tarifi-na-vodu" TargetMode="External"/><Relationship Id="rId1" Type="http://schemas.openxmlformats.org/officeDocument/2006/relationships/hyperlink" Target="https://nbt.tj/tj/kurs/ku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4CD9F0-6FA4-4C0B-AD0B-52CBEE48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2770</Words>
  <Characters>15789</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Orakzai</dc:creator>
  <cp:keywords/>
  <dc:description/>
  <cp:lastModifiedBy>Zulfia Mazarova</cp:lastModifiedBy>
  <cp:revision>8</cp:revision>
  <cp:lastPrinted>2021-08-03T07:46:00Z</cp:lastPrinted>
  <dcterms:created xsi:type="dcterms:W3CDTF">2021-07-11T18:48:00Z</dcterms:created>
  <dcterms:modified xsi:type="dcterms:W3CDTF">2021-08-09T16:37:00Z</dcterms:modified>
</cp:coreProperties>
</file>