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2B3D0A"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2B3D0A" w:rsidRDefault="00864CC8">
            <w:pPr>
              <w:pStyle w:val="Heading2"/>
              <w:rPr>
                <w:rFonts w:ascii="Calibri" w:hAnsi="Calibri" w:cs="Calibri"/>
                <w:sz w:val="22"/>
                <w:szCs w:val="22"/>
              </w:rPr>
            </w:pPr>
            <w:r w:rsidRPr="002B3D0A">
              <w:rPr>
                <w:rFonts w:ascii="Calibri" w:hAnsi="Calibri" w:cs="Calibri"/>
                <w:sz w:val="22"/>
                <w:szCs w:val="22"/>
              </w:rPr>
              <w:t xml:space="preserve">UNICEF in </w:t>
            </w:r>
            <w:r w:rsidR="00CA26D1" w:rsidRPr="002B3D0A">
              <w:rPr>
                <w:rFonts w:ascii="Calibri" w:hAnsi="Calibri" w:cs="Calibri"/>
                <w:sz w:val="22"/>
                <w:szCs w:val="22"/>
              </w:rPr>
              <w:t>Belarus</w:t>
            </w:r>
          </w:p>
        </w:tc>
      </w:tr>
      <w:tr w:rsidR="00B73E53" w:rsidRPr="002B3D0A"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2B3D0A" w:rsidRDefault="00B75CCD">
            <w:pPr>
              <w:ind w:left="344" w:right="-108" w:hanging="175"/>
              <w:jc w:val="center"/>
              <w:rPr>
                <w:rFonts w:ascii="Calibri" w:hAnsi="Calibri" w:cs="Calibri"/>
                <w:b/>
                <w:bCs/>
                <w:color w:val="000080"/>
                <w:sz w:val="22"/>
                <w:szCs w:val="22"/>
                <w:u w:val="single"/>
              </w:rPr>
            </w:pPr>
            <w:r w:rsidRPr="002B3D0A">
              <w:rPr>
                <w:rFonts w:ascii="Calibri" w:hAnsi="Calibri" w:cs="Calibri"/>
                <w:b/>
                <w:bCs/>
                <w:color w:val="000080"/>
                <w:sz w:val="22"/>
                <w:szCs w:val="22"/>
                <w:u w:val="single"/>
              </w:rPr>
              <w:t>Requirements</w:t>
            </w:r>
            <w:r w:rsidR="00F81AF8" w:rsidRPr="002B3D0A">
              <w:rPr>
                <w:rFonts w:ascii="Calibri" w:hAnsi="Calibri" w:cs="Calibri"/>
                <w:b/>
                <w:bCs/>
                <w:color w:val="000080"/>
                <w:sz w:val="22"/>
                <w:szCs w:val="22"/>
                <w:u w:val="single"/>
              </w:rPr>
              <w:t xml:space="preserve"> </w:t>
            </w:r>
            <w:r w:rsidR="00860359" w:rsidRPr="002B3D0A">
              <w:rPr>
                <w:rFonts w:ascii="Calibri" w:hAnsi="Calibri" w:cs="Calibri"/>
                <w:b/>
                <w:bCs/>
                <w:color w:val="000080"/>
                <w:sz w:val="22"/>
                <w:szCs w:val="22"/>
                <w:u w:val="single"/>
              </w:rPr>
              <w:t>for</w:t>
            </w:r>
            <w:r w:rsidR="00F81AF8" w:rsidRPr="002B3D0A">
              <w:rPr>
                <w:rFonts w:ascii="Calibri" w:hAnsi="Calibri" w:cs="Calibri"/>
                <w:b/>
                <w:bCs/>
                <w:color w:val="000080"/>
                <w:sz w:val="22"/>
                <w:szCs w:val="22"/>
                <w:u w:val="single"/>
              </w:rPr>
              <w:t xml:space="preserve"> Financial </w:t>
            </w:r>
            <w:r w:rsidR="00CA26D1" w:rsidRPr="002B3D0A">
              <w:rPr>
                <w:rFonts w:ascii="Calibri" w:hAnsi="Calibri" w:cs="Calibri"/>
                <w:b/>
                <w:bCs/>
                <w:color w:val="000080"/>
                <w:sz w:val="22"/>
                <w:szCs w:val="22"/>
                <w:u w:val="single"/>
              </w:rPr>
              <w:t>Offer</w:t>
            </w:r>
          </w:p>
        </w:tc>
      </w:tr>
      <w:tr w:rsidR="00B73E53" w:rsidRPr="002B3D0A" w14:paraId="3FB3B1E8" w14:textId="77777777" w:rsidTr="008518CC">
        <w:trPr>
          <w:trHeight w:val="87"/>
        </w:trPr>
        <w:tc>
          <w:tcPr>
            <w:tcW w:w="10800" w:type="dxa"/>
            <w:tcBorders>
              <w:top w:val="nil"/>
              <w:left w:val="single" w:sz="6" w:space="0" w:color="auto"/>
              <w:bottom w:val="single" w:sz="6" w:space="0" w:color="auto"/>
              <w:right w:val="single" w:sz="6" w:space="0" w:color="auto"/>
            </w:tcBorders>
          </w:tcPr>
          <w:p w14:paraId="0E8C8414" w14:textId="77777777" w:rsidR="00B73E53" w:rsidRPr="002B3D0A" w:rsidRDefault="00B73E53">
            <w:pPr>
              <w:ind w:left="344" w:right="-108" w:hanging="175"/>
              <w:jc w:val="right"/>
              <w:rPr>
                <w:rFonts w:ascii="Calibri" w:hAnsi="Calibri" w:cs="Calibri"/>
                <w:b/>
                <w:bCs/>
                <w:sz w:val="22"/>
                <w:szCs w:val="22"/>
              </w:rPr>
            </w:pPr>
          </w:p>
        </w:tc>
      </w:tr>
      <w:tr w:rsidR="00B73E53" w:rsidRPr="002B3D0A" w14:paraId="48BA5FC3" w14:textId="77777777" w:rsidTr="00016AB4">
        <w:tc>
          <w:tcPr>
            <w:tcW w:w="10800" w:type="dxa"/>
            <w:tcBorders>
              <w:top w:val="nil"/>
            </w:tcBorders>
            <w:shd w:val="pct15" w:color="auto" w:fill="FFFFFF"/>
          </w:tcPr>
          <w:p w14:paraId="6BBCE56C" w14:textId="43326E1A" w:rsidR="00B73E53" w:rsidRPr="002B3D0A" w:rsidRDefault="00B73E53" w:rsidP="00F640C0">
            <w:pPr>
              <w:rPr>
                <w:rFonts w:ascii="Calibri" w:hAnsi="Calibri" w:cs="Calibri"/>
                <w:color w:val="000080"/>
                <w:sz w:val="22"/>
                <w:szCs w:val="22"/>
              </w:rPr>
            </w:pPr>
            <w:r w:rsidRPr="002B3D0A">
              <w:rPr>
                <w:rFonts w:ascii="Calibri" w:hAnsi="Calibri" w:cs="Calibri"/>
                <w:b/>
                <w:bCs/>
                <w:color w:val="000080"/>
                <w:sz w:val="22"/>
                <w:szCs w:val="22"/>
              </w:rPr>
              <w:t>Programme</w:t>
            </w:r>
            <w:r w:rsidRPr="002B3D0A">
              <w:rPr>
                <w:rFonts w:ascii="Calibri" w:hAnsi="Calibri" w:cs="Calibri"/>
                <w:b/>
                <w:bCs/>
                <w:color w:val="000000" w:themeColor="text1"/>
                <w:sz w:val="22"/>
                <w:szCs w:val="22"/>
              </w:rPr>
              <w:t>:</w:t>
            </w:r>
            <w:r w:rsidRPr="002B3D0A">
              <w:rPr>
                <w:rFonts w:ascii="Calibri" w:hAnsi="Calibri" w:cs="Calibri"/>
                <w:color w:val="000000" w:themeColor="text1"/>
                <w:sz w:val="22"/>
                <w:szCs w:val="22"/>
              </w:rPr>
              <w:t xml:space="preserve"> </w:t>
            </w:r>
            <w:r w:rsidR="000B0856" w:rsidRPr="002B3D0A">
              <w:rPr>
                <w:rFonts w:ascii="Calibri" w:hAnsi="Calibri" w:cs="Calibri"/>
                <w:sz w:val="22"/>
                <w:szCs w:val="22"/>
              </w:rPr>
              <w:t>Emergency section, UNICEF Belarus CO</w:t>
            </w:r>
          </w:p>
        </w:tc>
      </w:tr>
      <w:tr w:rsidR="001142CC" w:rsidRPr="002B3D0A" w14:paraId="58569FBE" w14:textId="77777777" w:rsidTr="0058634B">
        <w:trPr>
          <w:trHeight w:val="430"/>
        </w:trPr>
        <w:tc>
          <w:tcPr>
            <w:tcW w:w="10800" w:type="dxa"/>
            <w:shd w:val="pct15" w:color="auto" w:fill="FFFFFF"/>
          </w:tcPr>
          <w:p w14:paraId="4C78FB89" w14:textId="0ED38061" w:rsidR="00660DF6" w:rsidRPr="002B3D0A" w:rsidRDefault="001142CC" w:rsidP="00392F18">
            <w:pPr>
              <w:tabs>
                <w:tab w:val="left" w:pos="360"/>
              </w:tabs>
              <w:rPr>
                <w:rFonts w:ascii="Calibri" w:hAnsi="Calibri" w:cs="Calibri"/>
                <w:color w:val="244061" w:themeColor="accent1" w:themeShade="80"/>
                <w:sz w:val="22"/>
                <w:szCs w:val="22"/>
              </w:rPr>
            </w:pPr>
            <w:r w:rsidRPr="002B3D0A">
              <w:rPr>
                <w:rFonts w:ascii="Calibri" w:hAnsi="Calibri" w:cs="Calibri"/>
                <w:b/>
                <w:bCs/>
                <w:color w:val="244061" w:themeColor="accent1" w:themeShade="80"/>
                <w:sz w:val="22"/>
                <w:szCs w:val="22"/>
              </w:rPr>
              <w:t>Assignment Title:</w:t>
            </w:r>
            <w:r w:rsidR="00552F6C" w:rsidRPr="002B3D0A">
              <w:rPr>
                <w:rFonts w:ascii="Calibri" w:hAnsi="Calibri" w:cs="Calibri"/>
                <w:b/>
                <w:bCs/>
                <w:color w:val="244061" w:themeColor="accent1" w:themeShade="80"/>
                <w:sz w:val="22"/>
                <w:szCs w:val="22"/>
              </w:rPr>
              <w:t xml:space="preserve"> </w:t>
            </w:r>
            <w:r w:rsidR="00730AC7" w:rsidRPr="002B3D0A">
              <w:rPr>
                <w:rFonts w:ascii="Calibri" w:hAnsi="Calibri" w:cs="Calibri"/>
                <w:sz w:val="22"/>
                <w:szCs w:val="22"/>
              </w:rPr>
              <w:t>International consultant to support UNICEF Belarus Country Office in its transition from Emergency response to preparedness</w:t>
            </w:r>
          </w:p>
        </w:tc>
      </w:tr>
      <w:tr w:rsidR="00B73E53" w:rsidRPr="002B3D0A" w14:paraId="4BA3379B" w14:textId="77777777" w:rsidTr="00EE0163">
        <w:trPr>
          <w:trHeight w:val="1227"/>
        </w:trPr>
        <w:tc>
          <w:tcPr>
            <w:tcW w:w="10800" w:type="dxa"/>
          </w:tcPr>
          <w:p w14:paraId="0E82D147" w14:textId="30272401" w:rsidR="004F354E" w:rsidRPr="002B3D0A" w:rsidRDefault="002B75B3" w:rsidP="00392F18">
            <w:pPr>
              <w:pStyle w:val="NormalWeb"/>
              <w:rPr>
                <w:rFonts w:ascii="Calibri" w:hAnsi="Calibri" w:cs="Calibri"/>
                <w:bCs/>
                <w:color w:val="000000"/>
                <w:sz w:val="22"/>
                <w:szCs w:val="22"/>
              </w:rPr>
            </w:pPr>
            <w:r w:rsidRPr="002B3D0A">
              <w:rPr>
                <w:rFonts w:ascii="Calibri" w:hAnsi="Calibri" w:cs="Calibri"/>
                <w:b/>
                <w:bCs/>
                <w:color w:val="1F497D" w:themeColor="text2"/>
                <w:sz w:val="22"/>
                <w:szCs w:val="22"/>
              </w:rPr>
              <w:t>Purpose of</w:t>
            </w:r>
            <w:r w:rsidR="001142CC" w:rsidRPr="002B3D0A">
              <w:rPr>
                <w:rFonts w:ascii="Calibri" w:hAnsi="Calibri" w:cs="Calibri"/>
                <w:b/>
                <w:bCs/>
                <w:color w:val="1F497D" w:themeColor="text2"/>
                <w:sz w:val="22"/>
                <w:szCs w:val="22"/>
              </w:rPr>
              <w:t xml:space="preserve"> the</w:t>
            </w:r>
            <w:r w:rsidRPr="002B3D0A">
              <w:rPr>
                <w:rFonts w:ascii="Calibri" w:hAnsi="Calibri" w:cs="Calibri"/>
                <w:b/>
                <w:bCs/>
                <w:color w:val="1F497D" w:themeColor="text2"/>
                <w:sz w:val="22"/>
                <w:szCs w:val="22"/>
              </w:rPr>
              <w:t xml:space="preserve"> Assignment:</w:t>
            </w:r>
            <w:r w:rsidRPr="002B3D0A">
              <w:rPr>
                <w:rFonts w:ascii="Calibri" w:hAnsi="Calibri" w:cs="Calibri"/>
                <w:b/>
                <w:bCs/>
                <w:color w:val="000000" w:themeColor="text1"/>
                <w:sz w:val="22"/>
                <w:szCs w:val="22"/>
              </w:rPr>
              <w:t xml:space="preserve"> </w:t>
            </w:r>
            <w:r w:rsidR="00730AC7" w:rsidRPr="002B3D0A">
              <w:rPr>
                <w:rFonts w:ascii="Calibri" w:hAnsi="Calibri" w:cs="Calibri"/>
                <w:sz w:val="22"/>
                <w:szCs w:val="22"/>
              </w:rPr>
              <w:t>UNICEF Belarus Country Office (CO) is seeking to hire an international consultant to support the office in streamlining its emergency response and preparedness in view of the gradual transition from the current L1 response (Ukraine situation) to preparedness and contingency, as well as to ensure that emergency preparedness is properly embedded in the new 2026-2030 Country Programme Document.</w:t>
            </w:r>
          </w:p>
        </w:tc>
      </w:tr>
      <w:tr w:rsidR="00B73E53" w:rsidRPr="002B3D0A" w14:paraId="3E6B3087" w14:textId="77777777" w:rsidTr="00016AB4">
        <w:tc>
          <w:tcPr>
            <w:tcW w:w="10800" w:type="dxa"/>
          </w:tcPr>
          <w:p w14:paraId="4F991298" w14:textId="0593E8EA" w:rsidR="009263B9" w:rsidRPr="002B3D0A" w:rsidRDefault="00B73E53" w:rsidP="005374A0">
            <w:pPr>
              <w:rPr>
                <w:rFonts w:ascii="Calibri" w:hAnsi="Calibri" w:cs="Calibri"/>
                <w:sz w:val="22"/>
                <w:szCs w:val="22"/>
              </w:rPr>
            </w:pPr>
            <w:r w:rsidRPr="002B3D0A">
              <w:rPr>
                <w:rFonts w:ascii="Calibri" w:hAnsi="Calibri" w:cs="Calibri"/>
                <w:b/>
                <w:bCs/>
                <w:color w:val="000080"/>
                <w:sz w:val="22"/>
                <w:szCs w:val="22"/>
              </w:rPr>
              <w:t>Supervisor:</w:t>
            </w:r>
            <w:r w:rsidR="00392F18" w:rsidRPr="002B3D0A">
              <w:rPr>
                <w:rFonts w:ascii="Calibri" w:hAnsi="Calibri" w:cs="Calibri"/>
                <w:color w:val="000080"/>
                <w:sz w:val="22"/>
                <w:szCs w:val="22"/>
              </w:rPr>
              <w:t xml:space="preserve"> </w:t>
            </w:r>
            <w:r w:rsidR="00730AC7" w:rsidRPr="002B3D0A">
              <w:rPr>
                <w:rFonts w:ascii="Calibri" w:hAnsi="Calibri" w:cs="Calibri"/>
                <w:sz w:val="22"/>
                <w:szCs w:val="22"/>
              </w:rPr>
              <w:t>Deputy Representative</w:t>
            </w:r>
            <w:r w:rsidR="009C4F49" w:rsidRPr="002B3D0A">
              <w:rPr>
                <w:rFonts w:ascii="Calibri" w:hAnsi="Calibri" w:cs="Calibri"/>
                <w:sz w:val="22"/>
                <w:szCs w:val="22"/>
              </w:rPr>
              <w:t>, UNICEF Belarus</w:t>
            </w:r>
          </w:p>
        </w:tc>
      </w:tr>
    </w:tbl>
    <w:p w14:paraId="5408A0AB" w14:textId="77777777" w:rsidR="009263B9" w:rsidRPr="002B3D0A" w:rsidRDefault="009263B9" w:rsidP="001142CC">
      <w:pPr>
        <w:rPr>
          <w:rFonts w:ascii="Calibri" w:hAnsi="Calibri" w:cs="Calibri"/>
          <w:sz w:val="22"/>
          <w:szCs w:val="22"/>
        </w:rPr>
      </w:pPr>
    </w:p>
    <w:tbl>
      <w:tblPr>
        <w:tblW w:w="1080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3402"/>
        <w:gridCol w:w="1890"/>
        <w:gridCol w:w="1890"/>
      </w:tblGrid>
      <w:tr w:rsidR="00814ACD" w:rsidRPr="002B3D0A" w14:paraId="068F2D32" w14:textId="77777777" w:rsidTr="00814ACD">
        <w:trPr>
          <w:trHeight w:val="269"/>
        </w:trPr>
        <w:tc>
          <w:tcPr>
            <w:tcW w:w="3618" w:type="dxa"/>
            <w:shd w:val="clear" w:color="auto" w:fill="DDD9C3" w:themeFill="background2" w:themeFillShade="E6"/>
          </w:tcPr>
          <w:p w14:paraId="01D61599" w14:textId="77777777" w:rsidR="00814ACD" w:rsidRPr="002B3D0A" w:rsidRDefault="00814ACD" w:rsidP="00631308">
            <w:pPr>
              <w:jc w:val="center"/>
              <w:rPr>
                <w:rFonts w:ascii="Calibri" w:hAnsi="Calibri" w:cs="Calibri"/>
                <w:b/>
                <w:sz w:val="22"/>
                <w:szCs w:val="22"/>
                <w:lang w:eastAsia="sr-Latn-CS"/>
              </w:rPr>
            </w:pPr>
            <w:r w:rsidRPr="002B3D0A">
              <w:rPr>
                <w:rFonts w:ascii="Calibri" w:hAnsi="Calibri" w:cs="Calibri"/>
                <w:b/>
                <w:sz w:val="22"/>
                <w:szCs w:val="22"/>
                <w:lang w:eastAsia="sr-Latn-CS"/>
              </w:rPr>
              <w:t>Work Assignment Overview</w:t>
            </w:r>
          </w:p>
        </w:tc>
        <w:tc>
          <w:tcPr>
            <w:tcW w:w="3402" w:type="dxa"/>
            <w:shd w:val="clear" w:color="auto" w:fill="DDD9C3" w:themeFill="background2" w:themeFillShade="E6"/>
          </w:tcPr>
          <w:p w14:paraId="0D07492E" w14:textId="77777777" w:rsidR="00814ACD" w:rsidRPr="002B3D0A" w:rsidRDefault="00814ACD" w:rsidP="00631308">
            <w:pPr>
              <w:jc w:val="center"/>
              <w:rPr>
                <w:rFonts w:ascii="Calibri" w:hAnsi="Calibri" w:cs="Calibri"/>
                <w:b/>
                <w:sz w:val="22"/>
                <w:szCs w:val="22"/>
                <w:lang w:eastAsia="sr-Latn-CS"/>
              </w:rPr>
            </w:pPr>
            <w:r w:rsidRPr="002B3D0A">
              <w:rPr>
                <w:rFonts w:ascii="Calibri" w:hAnsi="Calibri" w:cs="Calibri"/>
                <w:b/>
                <w:sz w:val="22"/>
                <w:szCs w:val="22"/>
                <w:lang w:eastAsia="sr-Latn-CS"/>
              </w:rPr>
              <w:t>Deliverables/Outputs</w:t>
            </w:r>
          </w:p>
        </w:tc>
        <w:tc>
          <w:tcPr>
            <w:tcW w:w="1890" w:type="dxa"/>
            <w:shd w:val="clear" w:color="auto" w:fill="DDD9C3" w:themeFill="background2" w:themeFillShade="E6"/>
          </w:tcPr>
          <w:p w14:paraId="6B8F1ED6" w14:textId="77777777" w:rsidR="00814ACD" w:rsidRPr="002B3D0A" w:rsidRDefault="00814ACD" w:rsidP="00631308">
            <w:pPr>
              <w:jc w:val="center"/>
              <w:rPr>
                <w:rFonts w:ascii="Calibri" w:hAnsi="Calibri" w:cs="Calibri"/>
                <w:b/>
                <w:sz w:val="22"/>
                <w:szCs w:val="22"/>
                <w:lang w:eastAsia="sr-Latn-CS"/>
              </w:rPr>
            </w:pPr>
            <w:r w:rsidRPr="002B3D0A">
              <w:rPr>
                <w:rFonts w:ascii="Calibri" w:hAnsi="Calibri" w:cs="Calibri"/>
                <w:b/>
                <w:sz w:val="22"/>
                <w:szCs w:val="22"/>
                <w:lang w:eastAsia="sr-Latn-CS"/>
              </w:rPr>
              <w:t>Delivery deadline</w:t>
            </w:r>
          </w:p>
        </w:tc>
        <w:tc>
          <w:tcPr>
            <w:tcW w:w="1890" w:type="dxa"/>
            <w:shd w:val="clear" w:color="auto" w:fill="DDD9C3" w:themeFill="background2" w:themeFillShade="E6"/>
          </w:tcPr>
          <w:p w14:paraId="260E1D85" w14:textId="06009B79" w:rsidR="00814ACD" w:rsidRPr="002B3D0A" w:rsidRDefault="00814ACD" w:rsidP="00631308">
            <w:pPr>
              <w:jc w:val="center"/>
              <w:rPr>
                <w:rFonts w:ascii="Calibri" w:hAnsi="Calibri" w:cs="Calibri"/>
                <w:b/>
                <w:sz w:val="22"/>
                <w:szCs w:val="22"/>
                <w:lang w:eastAsia="sr-Latn-CS"/>
              </w:rPr>
            </w:pPr>
            <w:r w:rsidRPr="002B3D0A">
              <w:rPr>
                <w:rFonts w:ascii="Calibri" w:hAnsi="Calibri" w:cs="Calibri"/>
                <w:b/>
                <w:sz w:val="22"/>
                <w:szCs w:val="22"/>
                <w:lang w:eastAsia="sr-Latn-CS"/>
              </w:rPr>
              <w:t>Lumpsum fee* per deliverable per duration (USD)</w:t>
            </w:r>
          </w:p>
        </w:tc>
      </w:tr>
      <w:tr w:rsidR="00814ACD" w:rsidRPr="002B3D0A" w14:paraId="5FCB6AE5" w14:textId="77777777" w:rsidTr="00814ACD">
        <w:trPr>
          <w:trHeight w:val="1221"/>
        </w:trPr>
        <w:tc>
          <w:tcPr>
            <w:tcW w:w="3618" w:type="dxa"/>
            <w:vAlign w:val="center"/>
          </w:tcPr>
          <w:p w14:paraId="3DC57B48" w14:textId="77777777" w:rsidR="00814ACD" w:rsidRPr="002B3D0A" w:rsidRDefault="00814ACD" w:rsidP="00631308">
            <w:pPr>
              <w:rPr>
                <w:rFonts w:ascii="Calibri" w:hAnsi="Calibri" w:cs="Calibri"/>
                <w:sz w:val="22"/>
                <w:szCs w:val="22"/>
                <w:lang w:eastAsia="sr-Latn-CS"/>
              </w:rPr>
            </w:pPr>
            <w:r w:rsidRPr="002B3D0A">
              <w:rPr>
                <w:rFonts w:ascii="Calibri" w:eastAsia="Arial Unicode MS" w:hAnsi="Calibri" w:cs="Calibri"/>
                <w:sz w:val="22"/>
                <w:szCs w:val="22"/>
              </w:rPr>
              <w:t xml:space="preserve">Contribute to the </w:t>
            </w:r>
            <w:r w:rsidRPr="002B3D0A">
              <w:rPr>
                <w:rFonts w:ascii="Calibri" w:eastAsia="Arial Unicode MS" w:hAnsi="Calibri" w:cs="Calibri"/>
                <w:b/>
                <w:bCs/>
                <w:sz w:val="22"/>
                <w:szCs w:val="22"/>
              </w:rPr>
              <w:t xml:space="preserve">exit strategy for Emergency Response (including </w:t>
            </w:r>
            <w:proofErr w:type="spellStart"/>
            <w:r w:rsidRPr="002B3D0A">
              <w:rPr>
                <w:rFonts w:ascii="Calibri" w:eastAsia="Arial Unicode MS" w:hAnsi="Calibri" w:cs="Calibri"/>
                <w:b/>
                <w:bCs/>
                <w:sz w:val="22"/>
                <w:szCs w:val="22"/>
              </w:rPr>
              <w:t>BlueDot</w:t>
            </w:r>
            <w:proofErr w:type="spellEnd"/>
            <w:r w:rsidRPr="002B3D0A">
              <w:rPr>
                <w:rFonts w:ascii="Calibri" w:eastAsia="Arial Unicode MS" w:hAnsi="Calibri" w:cs="Calibri"/>
                <w:b/>
                <w:bCs/>
                <w:sz w:val="22"/>
                <w:szCs w:val="22"/>
              </w:rPr>
              <w:t xml:space="preserve">, HCTs etc.) </w:t>
            </w:r>
            <w:r w:rsidRPr="002B3D0A">
              <w:rPr>
                <w:rFonts w:ascii="Calibri" w:eastAsia="Arial Unicode MS" w:hAnsi="Calibri" w:cs="Calibri"/>
                <w:sz w:val="22"/>
                <w:szCs w:val="22"/>
              </w:rPr>
              <w:t>refocusing to the most vulnerable children/families</w:t>
            </w:r>
            <w:r w:rsidRPr="002B3D0A" w:rsidDel="002B79D7">
              <w:rPr>
                <w:rFonts w:ascii="Calibri" w:hAnsi="Calibri" w:cs="Calibri"/>
                <w:sz w:val="22"/>
                <w:szCs w:val="22"/>
                <w:lang w:eastAsia="sr-Latn-CS"/>
              </w:rPr>
              <w:t xml:space="preserve"> </w:t>
            </w:r>
          </w:p>
        </w:tc>
        <w:tc>
          <w:tcPr>
            <w:tcW w:w="3402" w:type="dxa"/>
          </w:tcPr>
          <w:p w14:paraId="5C1741C3"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 xml:space="preserve">Ukrainian Refugees Emergency Exit strategy note with programme and operational recommendations </w:t>
            </w:r>
          </w:p>
        </w:tc>
        <w:tc>
          <w:tcPr>
            <w:tcW w:w="1890" w:type="dxa"/>
          </w:tcPr>
          <w:p w14:paraId="0342B00F"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November 2024</w:t>
            </w:r>
          </w:p>
        </w:tc>
        <w:tc>
          <w:tcPr>
            <w:tcW w:w="1890" w:type="dxa"/>
          </w:tcPr>
          <w:p w14:paraId="04A24205" w14:textId="18D23B2D" w:rsidR="00814ACD" w:rsidRPr="002B3D0A" w:rsidRDefault="00814ACD" w:rsidP="00631308">
            <w:pPr>
              <w:tabs>
                <w:tab w:val="left" w:pos="144"/>
              </w:tabs>
              <w:rPr>
                <w:rFonts w:ascii="Calibri" w:hAnsi="Calibri" w:cs="Calibri"/>
                <w:sz w:val="22"/>
                <w:szCs w:val="22"/>
                <w:lang w:eastAsia="sr-Latn-CS"/>
              </w:rPr>
            </w:pPr>
          </w:p>
        </w:tc>
      </w:tr>
      <w:tr w:rsidR="00814ACD" w:rsidRPr="002B3D0A" w14:paraId="42E4AC05" w14:textId="77777777" w:rsidTr="00814ACD">
        <w:trPr>
          <w:trHeight w:val="512"/>
        </w:trPr>
        <w:tc>
          <w:tcPr>
            <w:tcW w:w="3618" w:type="dxa"/>
            <w:vMerge w:val="restart"/>
            <w:vAlign w:val="center"/>
          </w:tcPr>
          <w:p w14:paraId="19D0AC0F" w14:textId="77777777" w:rsidR="00814ACD" w:rsidRPr="002B3D0A" w:rsidRDefault="00814ACD" w:rsidP="00631308">
            <w:pPr>
              <w:rPr>
                <w:rFonts w:ascii="Calibri" w:eastAsia="Arial Unicode MS" w:hAnsi="Calibri" w:cs="Calibri"/>
                <w:sz w:val="22"/>
                <w:szCs w:val="22"/>
              </w:rPr>
            </w:pPr>
            <w:r w:rsidRPr="002B3D0A">
              <w:rPr>
                <w:rFonts w:ascii="Calibri" w:eastAsia="Arial Unicode MS" w:hAnsi="Calibri" w:cs="Calibri"/>
                <w:sz w:val="22"/>
                <w:szCs w:val="22"/>
              </w:rPr>
              <w:t xml:space="preserve">Support in developing the CO emergency preparedness plan of action for 2025-2026; finalize the </w:t>
            </w:r>
            <w:r w:rsidRPr="002B3D0A">
              <w:rPr>
                <w:rFonts w:ascii="Calibri" w:eastAsia="Arial Unicode MS" w:hAnsi="Calibri" w:cs="Calibri"/>
                <w:b/>
                <w:bCs/>
                <w:sz w:val="22"/>
                <w:szCs w:val="22"/>
              </w:rPr>
              <w:t>new Emergency Preparedness Platform</w:t>
            </w:r>
            <w:r w:rsidRPr="002B3D0A">
              <w:rPr>
                <w:rFonts w:ascii="Calibri" w:eastAsia="Arial Unicode MS" w:hAnsi="Calibri" w:cs="Calibri"/>
                <w:sz w:val="22"/>
                <w:szCs w:val="22"/>
              </w:rPr>
              <w:t xml:space="preserve"> based on the recommendations from ECARO Regional Emergency Advisor and Multi-Country Preparedness and Contingency initiative</w:t>
            </w:r>
          </w:p>
        </w:tc>
        <w:tc>
          <w:tcPr>
            <w:tcW w:w="3402" w:type="dxa"/>
          </w:tcPr>
          <w:p w14:paraId="75657F42"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 xml:space="preserve">Draft plan of action for Emergency Preparedness and Response for 2025-2026, including programme interventions, partnerships, supplies </w:t>
            </w:r>
          </w:p>
        </w:tc>
        <w:tc>
          <w:tcPr>
            <w:tcW w:w="1890" w:type="dxa"/>
          </w:tcPr>
          <w:p w14:paraId="51CFEF93"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January 2025</w:t>
            </w:r>
          </w:p>
        </w:tc>
        <w:tc>
          <w:tcPr>
            <w:tcW w:w="1890" w:type="dxa"/>
          </w:tcPr>
          <w:p w14:paraId="78DC9FA0"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4FFE7801" w14:textId="77777777" w:rsidTr="00814ACD">
        <w:trPr>
          <w:trHeight w:val="512"/>
        </w:trPr>
        <w:tc>
          <w:tcPr>
            <w:tcW w:w="3618" w:type="dxa"/>
            <w:vMerge/>
            <w:vAlign w:val="center"/>
          </w:tcPr>
          <w:p w14:paraId="59A80F0F" w14:textId="77777777" w:rsidR="00814ACD" w:rsidRPr="002B3D0A" w:rsidRDefault="00814ACD" w:rsidP="00631308">
            <w:pPr>
              <w:rPr>
                <w:rFonts w:ascii="Calibri" w:eastAsia="Arial Unicode MS" w:hAnsi="Calibri" w:cs="Calibri"/>
                <w:sz w:val="22"/>
                <w:szCs w:val="22"/>
              </w:rPr>
            </w:pPr>
          </w:p>
        </w:tc>
        <w:tc>
          <w:tcPr>
            <w:tcW w:w="3402" w:type="dxa"/>
          </w:tcPr>
          <w:p w14:paraId="1F56AB16"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Prepare and facilitate a 1-2 days’ workshop with Belarus CO team to define possible scenarios and assumptions for preparedness</w:t>
            </w:r>
          </w:p>
        </w:tc>
        <w:tc>
          <w:tcPr>
            <w:tcW w:w="1890" w:type="dxa"/>
          </w:tcPr>
          <w:p w14:paraId="5AEE2F67"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February 2025</w:t>
            </w:r>
          </w:p>
        </w:tc>
        <w:tc>
          <w:tcPr>
            <w:tcW w:w="1890" w:type="dxa"/>
          </w:tcPr>
          <w:p w14:paraId="4AE861D8"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535B365B" w14:textId="77777777" w:rsidTr="00814ACD">
        <w:trPr>
          <w:trHeight w:val="512"/>
        </w:trPr>
        <w:tc>
          <w:tcPr>
            <w:tcW w:w="3618" w:type="dxa"/>
            <w:vMerge/>
            <w:vAlign w:val="center"/>
          </w:tcPr>
          <w:p w14:paraId="704EA4B6" w14:textId="77777777" w:rsidR="00814ACD" w:rsidRPr="002B3D0A" w:rsidRDefault="00814ACD" w:rsidP="00631308">
            <w:pPr>
              <w:rPr>
                <w:rFonts w:ascii="Calibri" w:eastAsia="Arial Unicode MS" w:hAnsi="Calibri" w:cs="Calibri"/>
                <w:sz w:val="22"/>
                <w:szCs w:val="22"/>
              </w:rPr>
            </w:pPr>
          </w:p>
        </w:tc>
        <w:tc>
          <w:tcPr>
            <w:tcW w:w="3402" w:type="dxa"/>
          </w:tcPr>
          <w:p w14:paraId="1411DEF8"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Updated EPP based on the inputs from relevant programme and operations staff</w:t>
            </w:r>
          </w:p>
        </w:tc>
        <w:tc>
          <w:tcPr>
            <w:tcW w:w="1890" w:type="dxa"/>
          </w:tcPr>
          <w:p w14:paraId="0CA38585"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March 2025</w:t>
            </w:r>
          </w:p>
        </w:tc>
        <w:tc>
          <w:tcPr>
            <w:tcW w:w="1890" w:type="dxa"/>
          </w:tcPr>
          <w:p w14:paraId="733F02CC"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72C0B4BF" w14:textId="77777777" w:rsidTr="00814ACD">
        <w:trPr>
          <w:trHeight w:val="512"/>
        </w:trPr>
        <w:tc>
          <w:tcPr>
            <w:tcW w:w="3618" w:type="dxa"/>
            <w:vMerge w:val="restart"/>
            <w:vAlign w:val="center"/>
          </w:tcPr>
          <w:p w14:paraId="6D4130C6" w14:textId="77777777" w:rsidR="00814ACD" w:rsidRPr="002B3D0A" w:rsidRDefault="00814ACD" w:rsidP="00631308">
            <w:pPr>
              <w:rPr>
                <w:rFonts w:ascii="Calibri" w:hAnsi="Calibri" w:cs="Calibri"/>
                <w:sz w:val="22"/>
                <w:szCs w:val="22"/>
                <w:lang w:eastAsia="sr-Latn-CS"/>
              </w:rPr>
            </w:pPr>
            <w:r w:rsidRPr="002B3D0A">
              <w:rPr>
                <w:rFonts w:ascii="Calibri" w:eastAsia="Arial Unicode MS" w:hAnsi="Calibri" w:cs="Calibri"/>
                <w:sz w:val="22"/>
                <w:szCs w:val="22"/>
              </w:rPr>
              <w:t xml:space="preserve">Work with the CPD development team on how to </w:t>
            </w:r>
            <w:r w:rsidRPr="002B3D0A">
              <w:rPr>
                <w:rFonts w:ascii="Calibri" w:eastAsia="Arial Unicode MS" w:hAnsi="Calibri" w:cs="Calibri"/>
                <w:b/>
                <w:bCs/>
                <w:sz w:val="22"/>
                <w:szCs w:val="22"/>
              </w:rPr>
              <w:t>reflect Emergency in the new programme document</w:t>
            </w:r>
            <w:r w:rsidRPr="002B3D0A">
              <w:rPr>
                <w:rFonts w:ascii="Calibri" w:eastAsia="Arial Unicode MS" w:hAnsi="Calibri" w:cs="Calibri"/>
                <w:sz w:val="22"/>
                <w:szCs w:val="22"/>
              </w:rPr>
              <w:t xml:space="preserve"> and cycle, including organisation of the orientation for team</w:t>
            </w:r>
            <w:r w:rsidRPr="002B3D0A" w:rsidDel="002B79D7">
              <w:rPr>
                <w:rFonts w:ascii="Calibri" w:hAnsi="Calibri" w:cs="Calibri"/>
                <w:sz w:val="22"/>
                <w:szCs w:val="22"/>
                <w:lang w:eastAsia="sr-Latn-CS"/>
              </w:rPr>
              <w:t xml:space="preserve"> </w:t>
            </w:r>
          </w:p>
        </w:tc>
        <w:tc>
          <w:tcPr>
            <w:tcW w:w="3402" w:type="dxa"/>
          </w:tcPr>
          <w:p w14:paraId="78F91576"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 xml:space="preserve">1-2 days orientation session with CO staff on latest emergency challenges and trends in the region </w:t>
            </w:r>
          </w:p>
        </w:tc>
        <w:tc>
          <w:tcPr>
            <w:tcW w:w="1890" w:type="dxa"/>
          </w:tcPr>
          <w:p w14:paraId="06B941B0"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November 2024</w:t>
            </w:r>
          </w:p>
        </w:tc>
        <w:tc>
          <w:tcPr>
            <w:tcW w:w="1890" w:type="dxa"/>
          </w:tcPr>
          <w:p w14:paraId="0A3A1EEA"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46243AF3" w14:textId="77777777" w:rsidTr="00814ACD">
        <w:trPr>
          <w:trHeight w:val="512"/>
        </w:trPr>
        <w:tc>
          <w:tcPr>
            <w:tcW w:w="3618" w:type="dxa"/>
            <w:vMerge/>
            <w:vAlign w:val="center"/>
          </w:tcPr>
          <w:p w14:paraId="65E2F700" w14:textId="77777777" w:rsidR="00814ACD" w:rsidRPr="002B3D0A" w:rsidRDefault="00814ACD" w:rsidP="00631308">
            <w:pPr>
              <w:jc w:val="both"/>
              <w:rPr>
                <w:rFonts w:ascii="Calibri" w:eastAsia="Arial Unicode MS" w:hAnsi="Calibri" w:cs="Calibri"/>
                <w:sz w:val="22"/>
                <w:szCs w:val="22"/>
              </w:rPr>
            </w:pPr>
          </w:p>
        </w:tc>
        <w:tc>
          <w:tcPr>
            <w:tcW w:w="3402" w:type="dxa"/>
          </w:tcPr>
          <w:p w14:paraId="4F2A9F54"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Revised draft CPD with integrated emergency inputs</w:t>
            </w:r>
          </w:p>
        </w:tc>
        <w:tc>
          <w:tcPr>
            <w:tcW w:w="1890" w:type="dxa"/>
          </w:tcPr>
          <w:p w14:paraId="312F3BAC" w14:textId="77777777" w:rsidR="00814ACD" w:rsidRPr="002B3D0A" w:rsidDel="00661564"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December 2024</w:t>
            </w:r>
          </w:p>
        </w:tc>
        <w:tc>
          <w:tcPr>
            <w:tcW w:w="1890" w:type="dxa"/>
          </w:tcPr>
          <w:p w14:paraId="32501AE3"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643F52B8" w14:textId="77777777" w:rsidTr="00814ACD">
        <w:trPr>
          <w:trHeight w:val="512"/>
        </w:trPr>
        <w:tc>
          <w:tcPr>
            <w:tcW w:w="3618" w:type="dxa"/>
            <w:vAlign w:val="center"/>
          </w:tcPr>
          <w:p w14:paraId="76F656DD" w14:textId="77777777" w:rsidR="00814ACD" w:rsidRPr="002B3D0A" w:rsidRDefault="00814ACD" w:rsidP="00631308">
            <w:pPr>
              <w:jc w:val="both"/>
              <w:rPr>
                <w:rFonts w:ascii="Calibri" w:hAnsi="Calibri" w:cs="Calibri"/>
                <w:sz w:val="22"/>
                <w:szCs w:val="22"/>
                <w:lang w:eastAsia="sr-Latn-CS"/>
              </w:rPr>
            </w:pPr>
            <w:r w:rsidRPr="002B3D0A">
              <w:rPr>
                <w:rFonts w:ascii="Calibri" w:eastAsia="Arial Unicode MS" w:hAnsi="Calibri" w:cs="Calibri"/>
                <w:sz w:val="22"/>
                <w:szCs w:val="22"/>
              </w:rPr>
              <w:t xml:space="preserve">Support with the development of the </w:t>
            </w:r>
            <w:r w:rsidRPr="002B3D0A">
              <w:rPr>
                <w:rFonts w:ascii="Calibri" w:eastAsia="Arial Unicode MS" w:hAnsi="Calibri" w:cs="Calibri"/>
                <w:b/>
                <w:bCs/>
                <w:sz w:val="22"/>
                <w:szCs w:val="22"/>
              </w:rPr>
              <w:t>new HAC and Refugee Response Plan</w:t>
            </w:r>
            <w:r w:rsidRPr="002B3D0A">
              <w:rPr>
                <w:rFonts w:ascii="Calibri" w:eastAsia="Arial Unicode MS" w:hAnsi="Calibri" w:cs="Calibri"/>
                <w:sz w:val="22"/>
                <w:szCs w:val="22"/>
              </w:rPr>
              <w:t xml:space="preserve"> for Belarus for 2025-26</w:t>
            </w:r>
          </w:p>
        </w:tc>
        <w:tc>
          <w:tcPr>
            <w:tcW w:w="3402" w:type="dxa"/>
          </w:tcPr>
          <w:p w14:paraId="636F4D46" w14:textId="77777777" w:rsidR="00814ACD" w:rsidRPr="002B3D0A" w:rsidRDefault="00814ACD" w:rsidP="00631308">
            <w:pPr>
              <w:autoSpaceDE w:val="0"/>
              <w:autoSpaceDN w:val="0"/>
              <w:adjustRightInd w:val="0"/>
              <w:jc w:val="both"/>
              <w:rPr>
                <w:rFonts w:ascii="Calibri" w:hAnsi="Calibri" w:cs="Calibri"/>
                <w:sz w:val="22"/>
                <w:szCs w:val="22"/>
                <w:lang w:eastAsia="ru-RU"/>
              </w:rPr>
            </w:pPr>
            <w:r w:rsidRPr="002B3D0A">
              <w:rPr>
                <w:rFonts w:ascii="Calibri" w:hAnsi="Calibri" w:cs="Calibri"/>
                <w:sz w:val="22"/>
                <w:szCs w:val="22"/>
                <w:lang w:eastAsia="ru-RU"/>
              </w:rPr>
              <w:t>HAC 2025-26 and RRP-2025-2026</w:t>
            </w:r>
            <w:r w:rsidRPr="002B3D0A" w:rsidDel="008C2AC9">
              <w:rPr>
                <w:rFonts w:ascii="Calibri" w:hAnsi="Calibri" w:cs="Calibri"/>
                <w:sz w:val="22"/>
                <w:szCs w:val="22"/>
                <w:lang w:eastAsia="ru-RU"/>
              </w:rPr>
              <w:t xml:space="preserve"> </w:t>
            </w:r>
            <w:r w:rsidRPr="002B3D0A">
              <w:rPr>
                <w:rFonts w:ascii="Calibri" w:hAnsi="Calibri" w:cs="Calibri"/>
                <w:sz w:val="22"/>
                <w:szCs w:val="22"/>
                <w:lang w:eastAsia="ru-RU"/>
              </w:rPr>
              <w:t>are finalised</w:t>
            </w:r>
          </w:p>
        </w:tc>
        <w:tc>
          <w:tcPr>
            <w:tcW w:w="1890" w:type="dxa"/>
          </w:tcPr>
          <w:p w14:paraId="3FF47356"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November 2024</w:t>
            </w:r>
          </w:p>
        </w:tc>
        <w:tc>
          <w:tcPr>
            <w:tcW w:w="1890" w:type="dxa"/>
          </w:tcPr>
          <w:p w14:paraId="610A53D7"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3463BC53" w14:textId="77777777" w:rsidTr="00814ACD">
        <w:trPr>
          <w:trHeight w:val="512"/>
        </w:trPr>
        <w:tc>
          <w:tcPr>
            <w:tcW w:w="3618" w:type="dxa"/>
            <w:vAlign w:val="center"/>
          </w:tcPr>
          <w:p w14:paraId="6C554118" w14:textId="77777777" w:rsidR="00814ACD" w:rsidRPr="002B3D0A" w:rsidRDefault="00814ACD" w:rsidP="00631308">
            <w:pPr>
              <w:rPr>
                <w:rFonts w:ascii="Calibri" w:hAnsi="Calibri" w:cs="Calibri"/>
                <w:sz w:val="22"/>
                <w:szCs w:val="22"/>
                <w:lang w:eastAsia="sr-Latn-CS"/>
              </w:rPr>
            </w:pPr>
            <w:r w:rsidRPr="002B3D0A">
              <w:rPr>
                <w:rFonts w:ascii="Calibri" w:hAnsi="Calibri" w:cs="Calibri"/>
                <w:sz w:val="22"/>
                <w:szCs w:val="22"/>
                <w:lang w:eastAsia="sr-Latn-CS"/>
              </w:rPr>
              <w:t xml:space="preserve">Support with </w:t>
            </w:r>
            <w:r w:rsidRPr="002B3D0A">
              <w:rPr>
                <w:rFonts w:ascii="Calibri" w:hAnsi="Calibri" w:cs="Calibri"/>
                <w:b/>
                <w:bCs/>
                <w:sz w:val="22"/>
                <w:szCs w:val="22"/>
                <w:lang w:eastAsia="sr-Latn-CS"/>
              </w:rPr>
              <w:t>cross-cutting and cross border</w:t>
            </w:r>
            <w:r w:rsidRPr="002B3D0A">
              <w:rPr>
                <w:rFonts w:ascii="Calibri" w:hAnsi="Calibri" w:cs="Calibri"/>
                <w:sz w:val="22"/>
                <w:szCs w:val="22"/>
                <w:lang w:eastAsia="sr-Latn-CS"/>
              </w:rPr>
              <w:t xml:space="preserve"> work with UNICEF Poland for emergency preparedness and response for refugees and migrants</w:t>
            </w:r>
          </w:p>
        </w:tc>
        <w:tc>
          <w:tcPr>
            <w:tcW w:w="3402" w:type="dxa"/>
          </w:tcPr>
          <w:p w14:paraId="1DAF3746"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Concept note with recommended cross-cutting and cross border work</w:t>
            </w:r>
          </w:p>
        </w:tc>
        <w:tc>
          <w:tcPr>
            <w:tcW w:w="1890" w:type="dxa"/>
          </w:tcPr>
          <w:p w14:paraId="65E82E27"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April 2025</w:t>
            </w:r>
          </w:p>
        </w:tc>
        <w:tc>
          <w:tcPr>
            <w:tcW w:w="1890" w:type="dxa"/>
          </w:tcPr>
          <w:p w14:paraId="292CBD37"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68941CC3" w14:textId="77777777" w:rsidTr="00814ACD">
        <w:trPr>
          <w:trHeight w:val="512"/>
        </w:trPr>
        <w:tc>
          <w:tcPr>
            <w:tcW w:w="3618" w:type="dxa"/>
            <w:vMerge w:val="restart"/>
            <w:vAlign w:val="center"/>
          </w:tcPr>
          <w:p w14:paraId="713C91B8" w14:textId="77777777" w:rsidR="00814ACD" w:rsidRPr="002B3D0A" w:rsidRDefault="00814ACD" w:rsidP="00631308">
            <w:pPr>
              <w:rPr>
                <w:rFonts w:ascii="Calibri" w:hAnsi="Calibri" w:cs="Calibri"/>
                <w:sz w:val="22"/>
                <w:szCs w:val="22"/>
                <w:lang w:eastAsia="sr-Latn-CS"/>
              </w:rPr>
            </w:pPr>
            <w:r w:rsidRPr="002B3D0A">
              <w:rPr>
                <w:rFonts w:ascii="Calibri" w:eastAsia="Arial Unicode MS" w:hAnsi="Calibri" w:cs="Calibri"/>
                <w:sz w:val="22"/>
                <w:szCs w:val="22"/>
              </w:rPr>
              <w:t xml:space="preserve">Support office with </w:t>
            </w:r>
            <w:r w:rsidRPr="002B3D0A">
              <w:rPr>
                <w:rFonts w:ascii="Calibri" w:eastAsia="Arial Unicode MS" w:hAnsi="Calibri" w:cs="Calibri"/>
                <w:b/>
                <w:bCs/>
                <w:sz w:val="22"/>
                <w:szCs w:val="22"/>
              </w:rPr>
              <w:t>fundraising and documentation</w:t>
            </w:r>
            <w:r w:rsidRPr="002B3D0A">
              <w:rPr>
                <w:rFonts w:ascii="Calibri" w:eastAsia="Arial Unicode MS" w:hAnsi="Calibri" w:cs="Calibri"/>
                <w:sz w:val="22"/>
                <w:szCs w:val="22"/>
              </w:rPr>
              <w:t xml:space="preserve"> of the emergency preparedness and response interventions</w:t>
            </w:r>
          </w:p>
        </w:tc>
        <w:tc>
          <w:tcPr>
            <w:tcW w:w="3402" w:type="dxa"/>
          </w:tcPr>
          <w:p w14:paraId="3BAF2A51" w14:textId="77777777" w:rsidR="00814ACD" w:rsidRPr="002B3D0A"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 xml:space="preserve">Report on UNICEF Belarus experience with Emergency Preparedness and Response </w:t>
            </w:r>
          </w:p>
        </w:tc>
        <w:tc>
          <w:tcPr>
            <w:tcW w:w="1890" w:type="dxa"/>
          </w:tcPr>
          <w:p w14:paraId="49F7439C" w14:textId="77777777" w:rsidR="00814ACD" w:rsidRPr="002B3D0A"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February 2025</w:t>
            </w:r>
          </w:p>
        </w:tc>
        <w:tc>
          <w:tcPr>
            <w:tcW w:w="1890" w:type="dxa"/>
          </w:tcPr>
          <w:p w14:paraId="05C4C3B1" w14:textId="77777777" w:rsidR="00814ACD" w:rsidRPr="002B3D0A" w:rsidRDefault="00814ACD" w:rsidP="00631308">
            <w:pPr>
              <w:tabs>
                <w:tab w:val="left" w:pos="144"/>
              </w:tabs>
              <w:rPr>
                <w:rFonts w:ascii="Calibri" w:hAnsi="Calibri" w:cs="Calibri"/>
                <w:sz w:val="22"/>
                <w:szCs w:val="22"/>
                <w:lang w:eastAsia="sr-Latn-CS"/>
              </w:rPr>
            </w:pPr>
          </w:p>
        </w:tc>
      </w:tr>
      <w:tr w:rsidR="00814ACD" w:rsidRPr="002B3D0A" w14:paraId="4B8F0A6D" w14:textId="77777777" w:rsidTr="00814ACD">
        <w:trPr>
          <w:trHeight w:val="512"/>
        </w:trPr>
        <w:tc>
          <w:tcPr>
            <w:tcW w:w="3618" w:type="dxa"/>
            <w:vMerge/>
            <w:vAlign w:val="center"/>
          </w:tcPr>
          <w:p w14:paraId="15205F47" w14:textId="77777777" w:rsidR="00814ACD" w:rsidRPr="002B3D0A" w:rsidRDefault="00814ACD" w:rsidP="00631308">
            <w:pPr>
              <w:rPr>
                <w:rFonts w:ascii="Calibri" w:eastAsia="Arial Unicode MS" w:hAnsi="Calibri" w:cs="Calibri"/>
                <w:sz w:val="22"/>
                <w:szCs w:val="22"/>
              </w:rPr>
            </w:pPr>
          </w:p>
        </w:tc>
        <w:tc>
          <w:tcPr>
            <w:tcW w:w="3402" w:type="dxa"/>
          </w:tcPr>
          <w:p w14:paraId="15F3D2A1" w14:textId="77777777" w:rsidR="00814ACD" w:rsidRPr="002B3D0A" w:rsidDel="008C2AC9" w:rsidRDefault="00814ACD" w:rsidP="00631308">
            <w:pPr>
              <w:autoSpaceDE w:val="0"/>
              <w:autoSpaceDN w:val="0"/>
              <w:adjustRightInd w:val="0"/>
              <w:rPr>
                <w:rFonts w:ascii="Calibri" w:hAnsi="Calibri" w:cs="Calibri"/>
                <w:sz w:val="22"/>
                <w:szCs w:val="22"/>
                <w:lang w:eastAsia="ru-RU"/>
              </w:rPr>
            </w:pPr>
            <w:r w:rsidRPr="002B3D0A">
              <w:rPr>
                <w:rFonts w:ascii="Calibri" w:hAnsi="Calibri" w:cs="Calibri"/>
                <w:sz w:val="22"/>
                <w:szCs w:val="22"/>
                <w:lang w:eastAsia="ru-RU"/>
              </w:rPr>
              <w:t xml:space="preserve">2 concepts/proposals that can be used for fundraising </w:t>
            </w:r>
          </w:p>
        </w:tc>
        <w:tc>
          <w:tcPr>
            <w:tcW w:w="1890" w:type="dxa"/>
          </w:tcPr>
          <w:p w14:paraId="45E427EE" w14:textId="77777777" w:rsidR="00814ACD" w:rsidRPr="002B3D0A" w:rsidDel="00661564" w:rsidRDefault="00814ACD" w:rsidP="00631308">
            <w:pPr>
              <w:tabs>
                <w:tab w:val="left" w:pos="144"/>
              </w:tabs>
              <w:rPr>
                <w:rFonts w:ascii="Calibri" w:hAnsi="Calibri" w:cs="Calibri"/>
                <w:sz w:val="22"/>
                <w:szCs w:val="22"/>
                <w:lang w:eastAsia="sr-Latn-CS"/>
              </w:rPr>
            </w:pPr>
            <w:r w:rsidRPr="002B3D0A">
              <w:rPr>
                <w:rFonts w:ascii="Calibri" w:hAnsi="Calibri" w:cs="Calibri"/>
                <w:sz w:val="22"/>
                <w:szCs w:val="22"/>
                <w:lang w:eastAsia="sr-Latn-CS"/>
              </w:rPr>
              <w:t>January 2025</w:t>
            </w:r>
          </w:p>
        </w:tc>
        <w:tc>
          <w:tcPr>
            <w:tcW w:w="1890" w:type="dxa"/>
          </w:tcPr>
          <w:p w14:paraId="68457464" w14:textId="77777777" w:rsidR="00814ACD" w:rsidRPr="002B3D0A" w:rsidRDefault="00814ACD" w:rsidP="00631308">
            <w:pPr>
              <w:tabs>
                <w:tab w:val="left" w:pos="144"/>
              </w:tabs>
              <w:rPr>
                <w:rFonts w:ascii="Calibri" w:hAnsi="Calibri" w:cs="Calibri"/>
                <w:sz w:val="22"/>
                <w:szCs w:val="22"/>
                <w:lang w:eastAsia="sr-Latn-CS"/>
              </w:rPr>
            </w:pPr>
          </w:p>
        </w:tc>
      </w:tr>
      <w:tr w:rsidR="002B3D0A" w:rsidRPr="002B3D0A" w14:paraId="1476FE3F" w14:textId="77777777" w:rsidTr="00FC1703">
        <w:trPr>
          <w:trHeight w:val="512"/>
        </w:trPr>
        <w:tc>
          <w:tcPr>
            <w:tcW w:w="8910" w:type="dxa"/>
            <w:gridSpan w:val="3"/>
            <w:vAlign w:val="center"/>
          </w:tcPr>
          <w:p w14:paraId="17AABA10" w14:textId="01DC27B2" w:rsidR="002B3D0A" w:rsidRPr="002B3D0A" w:rsidRDefault="002B3D0A" w:rsidP="003A03F2">
            <w:pPr>
              <w:tabs>
                <w:tab w:val="left" w:pos="144"/>
              </w:tabs>
              <w:spacing w:before="240"/>
              <w:jc w:val="right"/>
              <w:rPr>
                <w:rFonts w:ascii="Calibri" w:hAnsi="Calibri" w:cs="Calibri"/>
                <w:b/>
                <w:bCs/>
                <w:i/>
                <w:iCs/>
                <w:sz w:val="22"/>
                <w:szCs w:val="22"/>
                <w:lang w:eastAsia="sr-Latn-CS"/>
              </w:rPr>
            </w:pPr>
            <w:r w:rsidRPr="002B3D0A">
              <w:rPr>
                <w:rFonts w:ascii="Calibri" w:eastAsia="Arial Unicode MS" w:hAnsi="Calibri" w:cs="Calibri"/>
                <w:b/>
                <w:bCs/>
                <w:i/>
                <w:iCs/>
                <w:sz w:val="22"/>
                <w:szCs w:val="22"/>
              </w:rPr>
              <w:t>Total costs for deliverables:</w:t>
            </w:r>
          </w:p>
        </w:tc>
        <w:tc>
          <w:tcPr>
            <w:tcW w:w="1890" w:type="dxa"/>
          </w:tcPr>
          <w:p w14:paraId="0BB0B0B0" w14:textId="63240B86" w:rsidR="002B3D0A" w:rsidRPr="003A03F2" w:rsidRDefault="003A03F2" w:rsidP="003A03F2">
            <w:pPr>
              <w:tabs>
                <w:tab w:val="left" w:pos="144"/>
              </w:tabs>
              <w:spacing w:before="240"/>
              <w:rPr>
                <w:rFonts w:ascii="Calibri" w:eastAsia="Arial Unicode MS" w:hAnsi="Calibri" w:cs="Calibri"/>
                <w:b/>
                <w:bCs/>
                <w:i/>
                <w:iCs/>
                <w:sz w:val="22"/>
                <w:szCs w:val="22"/>
              </w:rPr>
            </w:pPr>
            <w:r w:rsidRPr="003A03F2">
              <w:rPr>
                <w:rFonts w:ascii="Calibri" w:eastAsia="Arial Unicode MS" w:hAnsi="Calibri" w:cs="Calibri"/>
                <w:b/>
                <w:bCs/>
                <w:i/>
                <w:iCs/>
                <w:sz w:val="22"/>
                <w:szCs w:val="22"/>
              </w:rPr>
              <w:t>USD …</w:t>
            </w:r>
          </w:p>
        </w:tc>
      </w:tr>
      <w:tr w:rsidR="002B3D0A" w:rsidRPr="002B3D0A" w14:paraId="517065AA" w14:textId="77777777" w:rsidTr="00FE3C86">
        <w:trPr>
          <w:trHeight w:val="512"/>
        </w:trPr>
        <w:tc>
          <w:tcPr>
            <w:tcW w:w="8910" w:type="dxa"/>
            <w:gridSpan w:val="3"/>
            <w:vAlign w:val="center"/>
          </w:tcPr>
          <w:p w14:paraId="35879AF2" w14:textId="2F4380DF" w:rsidR="002B3D0A" w:rsidRPr="002B3D0A" w:rsidRDefault="002B3D0A" w:rsidP="003A03F2">
            <w:pPr>
              <w:tabs>
                <w:tab w:val="left" w:pos="144"/>
              </w:tabs>
              <w:spacing w:before="240"/>
              <w:jc w:val="right"/>
              <w:rPr>
                <w:rFonts w:ascii="Calibri" w:hAnsi="Calibri" w:cs="Calibri"/>
                <w:b/>
                <w:bCs/>
                <w:i/>
                <w:iCs/>
                <w:sz w:val="22"/>
                <w:szCs w:val="22"/>
                <w:lang w:eastAsia="sr-Latn-CS"/>
              </w:rPr>
            </w:pPr>
            <w:r w:rsidRPr="002B3D0A">
              <w:rPr>
                <w:rFonts w:ascii="Calibri" w:eastAsia="Arial Unicode MS" w:hAnsi="Calibri" w:cs="Calibri"/>
                <w:b/>
                <w:bCs/>
                <w:i/>
                <w:iCs/>
                <w:sz w:val="22"/>
                <w:szCs w:val="22"/>
              </w:rPr>
              <w:t>Travel costs (if any travel occurs):</w:t>
            </w:r>
          </w:p>
        </w:tc>
        <w:tc>
          <w:tcPr>
            <w:tcW w:w="1890" w:type="dxa"/>
          </w:tcPr>
          <w:p w14:paraId="2E501633" w14:textId="6971AA11" w:rsidR="002B3D0A" w:rsidRPr="003A03F2" w:rsidRDefault="003A03F2" w:rsidP="003A03F2">
            <w:pPr>
              <w:tabs>
                <w:tab w:val="left" w:pos="144"/>
              </w:tabs>
              <w:spacing w:before="240"/>
              <w:rPr>
                <w:rFonts w:ascii="Calibri" w:eastAsia="Arial Unicode MS" w:hAnsi="Calibri" w:cs="Calibri"/>
                <w:b/>
                <w:bCs/>
                <w:i/>
                <w:iCs/>
                <w:sz w:val="22"/>
                <w:szCs w:val="22"/>
              </w:rPr>
            </w:pPr>
            <w:r w:rsidRPr="003A03F2">
              <w:rPr>
                <w:rFonts w:ascii="Calibri" w:eastAsia="Arial Unicode MS" w:hAnsi="Calibri" w:cs="Calibri"/>
                <w:b/>
                <w:bCs/>
                <w:i/>
                <w:iCs/>
                <w:sz w:val="22"/>
                <w:szCs w:val="22"/>
              </w:rPr>
              <w:t>USD …</w:t>
            </w:r>
          </w:p>
        </w:tc>
      </w:tr>
      <w:tr w:rsidR="002B3D0A" w:rsidRPr="002B3D0A" w14:paraId="2EAEB13A" w14:textId="77777777" w:rsidTr="006D7D43">
        <w:trPr>
          <w:trHeight w:val="512"/>
        </w:trPr>
        <w:tc>
          <w:tcPr>
            <w:tcW w:w="8910" w:type="dxa"/>
            <w:gridSpan w:val="3"/>
            <w:vAlign w:val="center"/>
          </w:tcPr>
          <w:p w14:paraId="3A091F3F" w14:textId="58AF1076" w:rsidR="002B3D0A" w:rsidRPr="002B3D0A" w:rsidRDefault="002B3D0A" w:rsidP="003A03F2">
            <w:pPr>
              <w:tabs>
                <w:tab w:val="left" w:pos="144"/>
              </w:tabs>
              <w:spacing w:before="240"/>
              <w:jc w:val="right"/>
              <w:rPr>
                <w:rFonts w:ascii="Calibri" w:hAnsi="Calibri" w:cs="Calibri"/>
                <w:b/>
                <w:bCs/>
                <w:i/>
                <w:iCs/>
                <w:sz w:val="22"/>
                <w:szCs w:val="22"/>
                <w:lang w:eastAsia="sr-Latn-CS"/>
              </w:rPr>
            </w:pPr>
            <w:r w:rsidRPr="002B3D0A">
              <w:rPr>
                <w:rFonts w:ascii="Calibri" w:eastAsia="Arial Unicode MS" w:hAnsi="Calibri" w:cs="Calibri"/>
                <w:b/>
                <w:bCs/>
                <w:i/>
                <w:iCs/>
                <w:sz w:val="22"/>
                <w:szCs w:val="22"/>
              </w:rPr>
              <w:t>Total costs:</w:t>
            </w:r>
          </w:p>
        </w:tc>
        <w:tc>
          <w:tcPr>
            <w:tcW w:w="1890" w:type="dxa"/>
          </w:tcPr>
          <w:p w14:paraId="0B0089AF" w14:textId="5B3D679D" w:rsidR="002B3D0A" w:rsidRPr="003A03F2" w:rsidRDefault="003A03F2" w:rsidP="003A03F2">
            <w:pPr>
              <w:tabs>
                <w:tab w:val="left" w:pos="144"/>
              </w:tabs>
              <w:spacing w:before="240"/>
              <w:rPr>
                <w:rFonts w:ascii="Calibri" w:eastAsia="Arial Unicode MS" w:hAnsi="Calibri" w:cs="Calibri"/>
                <w:b/>
                <w:bCs/>
                <w:i/>
                <w:iCs/>
                <w:sz w:val="22"/>
                <w:szCs w:val="22"/>
              </w:rPr>
            </w:pPr>
            <w:r w:rsidRPr="003A03F2">
              <w:rPr>
                <w:rFonts w:ascii="Calibri" w:eastAsia="Arial Unicode MS" w:hAnsi="Calibri" w:cs="Calibri"/>
                <w:b/>
                <w:bCs/>
                <w:i/>
                <w:iCs/>
                <w:sz w:val="22"/>
                <w:szCs w:val="22"/>
              </w:rPr>
              <w:t>USD …</w:t>
            </w:r>
          </w:p>
        </w:tc>
      </w:tr>
    </w:tbl>
    <w:p w14:paraId="71D64E73" w14:textId="77777777" w:rsidR="00016AB4" w:rsidRPr="002B3D0A" w:rsidRDefault="00016AB4" w:rsidP="001142CC">
      <w:pPr>
        <w:rPr>
          <w:rFonts w:ascii="Calibri" w:hAnsi="Calibri" w:cs="Calibri"/>
          <w:sz w:val="22"/>
          <w:szCs w:val="22"/>
        </w:rPr>
      </w:pPr>
    </w:p>
    <w:p w14:paraId="00E7B4E9" w14:textId="77777777" w:rsidR="00C77D95" w:rsidRPr="002B3D0A" w:rsidRDefault="00C77D95" w:rsidP="001142CC">
      <w:pPr>
        <w:rPr>
          <w:rFonts w:ascii="Calibri" w:hAnsi="Calibri" w:cs="Calibri"/>
          <w:sz w:val="22"/>
          <w:szCs w:val="22"/>
        </w:rPr>
      </w:pPr>
    </w:p>
    <w:tbl>
      <w:tblPr>
        <w:tblStyle w:val="TableGrid"/>
        <w:tblW w:w="10619" w:type="dxa"/>
        <w:tblInd w:w="-1265" w:type="dxa"/>
        <w:tblLook w:val="04A0" w:firstRow="1" w:lastRow="0" w:firstColumn="1" w:lastColumn="0" w:noHBand="0" w:noVBand="1"/>
      </w:tblPr>
      <w:tblGrid>
        <w:gridCol w:w="10619"/>
      </w:tblGrid>
      <w:tr w:rsidR="00E172AA" w:rsidRPr="002B3D0A" w14:paraId="3C255A4E" w14:textId="77777777" w:rsidTr="0007738D">
        <w:trPr>
          <w:trHeight w:val="224"/>
        </w:trPr>
        <w:tc>
          <w:tcPr>
            <w:tcW w:w="10619" w:type="dxa"/>
            <w:vAlign w:val="bottom"/>
          </w:tcPr>
          <w:p w14:paraId="458C8DB6" w14:textId="7C889749" w:rsidR="00E172AA" w:rsidRPr="002B3D0A" w:rsidRDefault="00E172AA" w:rsidP="00E172AA">
            <w:pPr>
              <w:jc w:val="center"/>
              <w:rPr>
                <w:rFonts w:ascii="Calibri" w:hAnsi="Calibri" w:cs="Calibri"/>
                <w:b/>
                <w:bCs/>
                <w:sz w:val="22"/>
                <w:szCs w:val="22"/>
              </w:rPr>
            </w:pPr>
            <w:r w:rsidRPr="002B3D0A">
              <w:rPr>
                <w:rFonts w:ascii="Calibri" w:hAnsi="Calibri" w:cs="Calibri"/>
                <w:b/>
                <w:bCs/>
                <w:sz w:val="22"/>
                <w:szCs w:val="22"/>
              </w:rPr>
              <w:t>NOTES</w:t>
            </w:r>
            <w:r w:rsidR="00122C5D" w:rsidRPr="002B3D0A">
              <w:rPr>
                <w:rFonts w:ascii="Calibri" w:hAnsi="Calibri" w:cs="Calibri"/>
                <w:b/>
                <w:bCs/>
                <w:sz w:val="22"/>
                <w:szCs w:val="22"/>
              </w:rPr>
              <w:t>*</w:t>
            </w:r>
          </w:p>
        </w:tc>
      </w:tr>
      <w:tr w:rsidR="002607BB" w:rsidRPr="002B3D0A" w14:paraId="4A0BB404" w14:textId="77777777" w:rsidTr="0007738D">
        <w:trPr>
          <w:trHeight w:val="872"/>
        </w:trPr>
        <w:tc>
          <w:tcPr>
            <w:tcW w:w="10619" w:type="dxa"/>
          </w:tcPr>
          <w:p w14:paraId="359CF61A" w14:textId="77777777" w:rsidR="00F95C43" w:rsidRPr="002B3D0A" w:rsidRDefault="00F95C43" w:rsidP="00F95C43">
            <w:pPr>
              <w:pStyle w:val="NormalWeb"/>
              <w:spacing w:before="0" w:beforeAutospacing="0" w:after="0" w:afterAutospacing="0"/>
              <w:jc w:val="both"/>
              <w:rPr>
                <w:rFonts w:ascii="Calibri" w:hAnsi="Calibri" w:cs="Calibri"/>
                <w:color w:val="000000" w:themeColor="text1"/>
                <w:sz w:val="22"/>
                <w:szCs w:val="22"/>
              </w:rPr>
            </w:pPr>
            <w:r w:rsidRPr="002B3D0A">
              <w:rPr>
                <w:rFonts w:ascii="Calibri" w:hAnsi="Calibri" w:cs="Calibri"/>
                <w:sz w:val="22"/>
                <w:szCs w:val="22"/>
              </w:rPr>
              <w:t xml:space="preserve">Financial proposal should be submitted using the financial offer template and </w:t>
            </w:r>
            <w:proofErr w:type="gramStart"/>
            <w:r w:rsidRPr="002B3D0A">
              <w:rPr>
                <w:rFonts w:ascii="Calibri" w:hAnsi="Calibri" w:cs="Calibri"/>
                <w:sz w:val="22"/>
                <w:szCs w:val="22"/>
              </w:rPr>
              <w:t>must :</w:t>
            </w:r>
            <w:proofErr w:type="gramEnd"/>
          </w:p>
          <w:p w14:paraId="619A1CC2" w14:textId="77777777" w:rsidR="00F95C43" w:rsidRPr="002B3D0A" w:rsidRDefault="00F95C43" w:rsidP="00F95C43">
            <w:pPr>
              <w:pStyle w:val="NormalWeb"/>
              <w:numPr>
                <w:ilvl w:val="0"/>
                <w:numId w:val="48"/>
              </w:numPr>
              <w:spacing w:before="0" w:beforeAutospacing="0" w:after="0" w:afterAutospacing="0"/>
              <w:jc w:val="both"/>
              <w:rPr>
                <w:rFonts w:ascii="Calibri" w:hAnsi="Calibri" w:cs="Calibri"/>
                <w:color w:val="000000" w:themeColor="text1"/>
                <w:sz w:val="22"/>
                <w:szCs w:val="22"/>
              </w:rPr>
            </w:pPr>
            <w:r w:rsidRPr="002B3D0A">
              <w:rPr>
                <w:rFonts w:ascii="Calibri" w:hAnsi="Calibri" w:cs="Calibri"/>
                <w:sz w:val="22"/>
                <w:szCs w:val="22"/>
              </w:rPr>
              <w:t>Reflect the costs per each deliverable and the total lump-sum for the whole assignment period (in US$) to undertake the terms of reference.</w:t>
            </w:r>
          </w:p>
          <w:p w14:paraId="704E2C18" w14:textId="77777777" w:rsidR="00F95C43" w:rsidRPr="002B3D0A" w:rsidRDefault="00F95C43" w:rsidP="00F95C43">
            <w:pPr>
              <w:pStyle w:val="NormalWeb"/>
              <w:numPr>
                <w:ilvl w:val="0"/>
                <w:numId w:val="48"/>
              </w:numPr>
              <w:spacing w:before="0" w:beforeAutospacing="0" w:after="0" w:afterAutospacing="0"/>
              <w:jc w:val="both"/>
              <w:rPr>
                <w:rFonts w:ascii="Calibri" w:hAnsi="Calibri" w:cs="Calibri"/>
                <w:sz w:val="22"/>
                <w:szCs w:val="22"/>
              </w:rPr>
            </w:pPr>
            <w:r w:rsidRPr="002B3D0A">
              <w:rPr>
                <w:rFonts w:ascii="Calibri" w:hAnsi="Calibri" w:cs="Calibr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2B3D0A" w:rsidRDefault="00F95C43" w:rsidP="00F95C43">
            <w:pPr>
              <w:pStyle w:val="NormalWeb"/>
              <w:numPr>
                <w:ilvl w:val="0"/>
                <w:numId w:val="48"/>
              </w:numPr>
              <w:spacing w:before="0" w:beforeAutospacing="0" w:after="0" w:afterAutospacing="0"/>
              <w:jc w:val="both"/>
              <w:rPr>
                <w:rFonts w:ascii="Calibri" w:hAnsi="Calibri" w:cs="Calibri"/>
                <w:sz w:val="22"/>
                <w:szCs w:val="22"/>
              </w:rPr>
            </w:pPr>
            <w:r w:rsidRPr="002B3D0A">
              <w:rPr>
                <w:rFonts w:ascii="Calibri" w:hAnsi="Calibri" w:cs="Calibri"/>
                <w:sz w:val="22"/>
                <w:szCs w:val="22"/>
              </w:rPr>
              <w:t>Include any other costs: visa, health insurance, payment of an incidental expenditure (such as bank charges, insurances, etc.) and living costs as applicable.</w:t>
            </w:r>
          </w:p>
        </w:tc>
      </w:tr>
    </w:tbl>
    <w:p w14:paraId="7C145768" w14:textId="77777777" w:rsidR="008C242D" w:rsidRPr="002B3D0A" w:rsidRDefault="008C242D" w:rsidP="000E3A95">
      <w:pPr>
        <w:jc w:val="both"/>
        <w:rPr>
          <w:rFonts w:ascii="Calibri" w:hAnsi="Calibri" w:cs="Calibri"/>
          <w:b/>
          <w:i/>
          <w:sz w:val="22"/>
          <w:szCs w:val="22"/>
          <w:u w:val="single"/>
        </w:rPr>
      </w:pPr>
    </w:p>
    <w:sectPr w:rsidR="008C242D" w:rsidRPr="002B3D0A"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B1349" w14:textId="77777777" w:rsidR="00C50127" w:rsidRDefault="00C50127" w:rsidP="00545FAA">
      <w:r>
        <w:separator/>
      </w:r>
    </w:p>
  </w:endnote>
  <w:endnote w:type="continuationSeparator" w:id="0">
    <w:p w14:paraId="5F6A3918" w14:textId="77777777" w:rsidR="00C50127" w:rsidRDefault="00C50127"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2671" w14:textId="77777777" w:rsidR="00C50127" w:rsidRDefault="00C50127" w:rsidP="00545FAA">
      <w:r>
        <w:separator/>
      </w:r>
    </w:p>
  </w:footnote>
  <w:footnote w:type="continuationSeparator" w:id="0">
    <w:p w14:paraId="670C1E55" w14:textId="77777777" w:rsidR="00C50127" w:rsidRDefault="00C50127"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A648E"/>
    <w:rsid w:val="000B0856"/>
    <w:rsid w:val="000C0341"/>
    <w:rsid w:val="000D39E5"/>
    <w:rsid w:val="000E3A95"/>
    <w:rsid w:val="000E405B"/>
    <w:rsid w:val="000E58D7"/>
    <w:rsid w:val="000E7447"/>
    <w:rsid w:val="000F7AE6"/>
    <w:rsid w:val="001142CC"/>
    <w:rsid w:val="00122C5D"/>
    <w:rsid w:val="00126636"/>
    <w:rsid w:val="00143416"/>
    <w:rsid w:val="00144EF3"/>
    <w:rsid w:val="00166B61"/>
    <w:rsid w:val="001972EA"/>
    <w:rsid w:val="001B595B"/>
    <w:rsid w:val="001B5EA0"/>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93D"/>
    <w:rsid w:val="002B3D0A"/>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03F2"/>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BD5"/>
    <w:rsid w:val="00524646"/>
    <w:rsid w:val="0053475B"/>
    <w:rsid w:val="005374A0"/>
    <w:rsid w:val="0054139A"/>
    <w:rsid w:val="00545FAA"/>
    <w:rsid w:val="00547D94"/>
    <w:rsid w:val="00552F6C"/>
    <w:rsid w:val="00560063"/>
    <w:rsid w:val="00560A9F"/>
    <w:rsid w:val="00565D98"/>
    <w:rsid w:val="00573630"/>
    <w:rsid w:val="00575CE4"/>
    <w:rsid w:val="0058634B"/>
    <w:rsid w:val="00594E3D"/>
    <w:rsid w:val="005A0516"/>
    <w:rsid w:val="005B66AC"/>
    <w:rsid w:val="005C4B0E"/>
    <w:rsid w:val="005C7538"/>
    <w:rsid w:val="005D0B6F"/>
    <w:rsid w:val="005D13F4"/>
    <w:rsid w:val="005D5C6B"/>
    <w:rsid w:val="005E121B"/>
    <w:rsid w:val="005F57DC"/>
    <w:rsid w:val="00611CF6"/>
    <w:rsid w:val="00617B7D"/>
    <w:rsid w:val="00617CC6"/>
    <w:rsid w:val="00620667"/>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042F8"/>
    <w:rsid w:val="00726BE8"/>
    <w:rsid w:val="00727411"/>
    <w:rsid w:val="00730AC7"/>
    <w:rsid w:val="00737FB8"/>
    <w:rsid w:val="00763231"/>
    <w:rsid w:val="0076386B"/>
    <w:rsid w:val="00770756"/>
    <w:rsid w:val="0079264D"/>
    <w:rsid w:val="007A3EC4"/>
    <w:rsid w:val="007A4854"/>
    <w:rsid w:val="007A4DAB"/>
    <w:rsid w:val="007A6E13"/>
    <w:rsid w:val="007B34BE"/>
    <w:rsid w:val="007B5A8F"/>
    <w:rsid w:val="007C346B"/>
    <w:rsid w:val="007C5C84"/>
    <w:rsid w:val="007C7175"/>
    <w:rsid w:val="007D0409"/>
    <w:rsid w:val="007D27DD"/>
    <w:rsid w:val="007D5B94"/>
    <w:rsid w:val="007E6DD4"/>
    <w:rsid w:val="007F2D14"/>
    <w:rsid w:val="00814ACD"/>
    <w:rsid w:val="008244FC"/>
    <w:rsid w:val="00834356"/>
    <w:rsid w:val="0084580E"/>
    <w:rsid w:val="00846FBB"/>
    <w:rsid w:val="00850F62"/>
    <w:rsid w:val="008518CC"/>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11A"/>
    <w:rsid w:val="00904480"/>
    <w:rsid w:val="00904CE7"/>
    <w:rsid w:val="009124AB"/>
    <w:rsid w:val="0092033B"/>
    <w:rsid w:val="00924213"/>
    <w:rsid w:val="009263B9"/>
    <w:rsid w:val="00933928"/>
    <w:rsid w:val="00945D6A"/>
    <w:rsid w:val="009545CD"/>
    <w:rsid w:val="00990A67"/>
    <w:rsid w:val="0099263C"/>
    <w:rsid w:val="009B3571"/>
    <w:rsid w:val="009B5F4E"/>
    <w:rsid w:val="009C330A"/>
    <w:rsid w:val="009C4F49"/>
    <w:rsid w:val="009C7437"/>
    <w:rsid w:val="009D25AA"/>
    <w:rsid w:val="009D6E8D"/>
    <w:rsid w:val="009E11B0"/>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91BAA"/>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50127"/>
    <w:rsid w:val="00C52277"/>
    <w:rsid w:val="00C6286C"/>
    <w:rsid w:val="00C747F0"/>
    <w:rsid w:val="00C77D95"/>
    <w:rsid w:val="00C83207"/>
    <w:rsid w:val="00C858AE"/>
    <w:rsid w:val="00C91662"/>
    <w:rsid w:val="00C91D0E"/>
    <w:rsid w:val="00CA075A"/>
    <w:rsid w:val="00CA26D1"/>
    <w:rsid w:val="00CA2E35"/>
    <w:rsid w:val="00CA47C5"/>
    <w:rsid w:val="00CC2F00"/>
    <w:rsid w:val="00CC77EE"/>
    <w:rsid w:val="00CE73B9"/>
    <w:rsid w:val="00CF6407"/>
    <w:rsid w:val="00D01350"/>
    <w:rsid w:val="00D040FB"/>
    <w:rsid w:val="00D11853"/>
    <w:rsid w:val="00D1793D"/>
    <w:rsid w:val="00D30D86"/>
    <w:rsid w:val="00D57F2A"/>
    <w:rsid w:val="00D642D2"/>
    <w:rsid w:val="00D76B36"/>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0163"/>
    <w:rsid w:val="00EE1D73"/>
    <w:rsid w:val="00EE3882"/>
    <w:rsid w:val="00EE3F15"/>
    <w:rsid w:val="00EE5738"/>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A07AB"/>
    <w:rsid w:val="00FA2BB9"/>
    <w:rsid w:val="00FA3CBF"/>
    <w:rsid w:val="00FC1C7F"/>
    <w:rsid w:val="00FC3E95"/>
    <w:rsid w:val="00FE0E5C"/>
    <w:rsid w:val="00FE4269"/>
    <w:rsid w:val="00FE48E4"/>
    <w:rsid w:val="00FE7AFC"/>
    <w:rsid w:val="00FF1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2.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3.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5.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6.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D563A714-8FBB-45AF-8752-D2DFBE82AB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32</cp:revision>
  <cp:lastPrinted>2019-02-18T11:54:00Z</cp:lastPrinted>
  <dcterms:created xsi:type="dcterms:W3CDTF">2023-09-13T18:39:00Z</dcterms:created>
  <dcterms:modified xsi:type="dcterms:W3CDTF">2024-10-15T09:36:00Z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