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5238" w14:textId="59457F53" w:rsidR="00987946" w:rsidRPr="009C1DBB" w:rsidRDefault="00987946" w:rsidP="00987946">
      <w:pPr>
        <w:jc w:val="center"/>
        <w:rPr>
          <w:rFonts w:ascii="Arial" w:hAnsi="Arial" w:cs="Arial"/>
          <w:b/>
          <w:sz w:val="20"/>
        </w:rPr>
      </w:pPr>
      <w:r w:rsidRPr="009C1DBB">
        <w:rPr>
          <w:rFonts w:ascii="Arial" w:hAnsi="Arial" w:cs="Arial"/>
          <w:b/>
          <w:sz w:val="20"/>
        </w:rPr>
        <w:t>UNICEF-T</w:t>
      </w:r>
      <w:r w:rsidR="00DE55E1">
        <w:rPr>
          <w:rFonts w:ascii="Arial" w:hAnsi="Arial" w:cs="Arial"/>
          <w:b/>
          <w:sz w:val="20"/>
        </w:rPr>
        <w:t>ürkiye</w:t>
      </w:r>
    </w:p>
    <w:p w14:paraId="06A70B7C" w14:textId="77777777" w:rsidR="00987946" w:rsidRPr="009C1DBB" w:rsidRDefault="00987946" w:rsidP="00987946">
      <w:pPr>
        <w:jc w:val="center"/>
        <w:rPr>
          <w:rFonts w:ascii="Arial" w:hAnsi="Arial" w:cs="Arial"/>
          <w:b/>
          <w:sz w:val="20"/>
        </w:rPr>
      </w:pPr>
      <w:r w:rsidRPr="009C1DBB">
        <w:rPr>
          <w:rFonts w:ascii="Arial" w:hAnsi="Arial" w:cs="Arial"/>
          <w:b/>
          <w:sz w:val="20"/>
        </w:rPr>
        <w:t>TERMS of REFERENCE (</w:t>
      </w:r>
      <w:proofErr w:type="spellStart"/>
      <w:r w:rsidRPr="009C1DBB">
        <w:rPr>
          <w:rFonts w:ascii="Arial" w:hAnsi="Arial" w:cs="Arial"/>
          <w:b/>
          <w:sz w:val="20"/>
        </w:rPr>
        <w:t>ToR</w:t>
      </w:r>
      <w:proofErr w:type="spellEnd"/>
      <w:r w:rsidRPr="009C1DBB">
        <w:rPr>
          <w:rFonts w:ascii="Arial" w:hAnsi="Arial" w:cs="Arial"/>
          <w:b/>
          <w:sz w:val="20"/>
        </w:rPr>
        <w:t>)</w:t>
      </w:r>
    </w:p>
    <w:p w14:paraId="51703F0E" w14:textId="664E821A" w:rsidR="00987946" w:rsidRDefault="00987946" w:rsidP="00987946">
      <w:pPr>
        <w:jc w:val="center"/>
        <w:rPr>
          <w:rFonts w:ascii="Arial" w:hAnsi="Arial" w:cs="Arial"/>
          <w:b/>
          <w:sz w:val="20"/>
        </w:rPr>
      </w:pPr>
      <w:r w:rsidRPr="009C1DBB">
        <w:rPr>
          <w:rFonts w:ascii="Arial" w:hAnsi="Arial" w:cs="Arial"/>
          <w:b/>
          <w:sz w:val="20"/>
        </w:rPr>
        <w:t xml:space="preserve">SHORT TERM </w:t>
      </w:r>
      <w:r w:rsidR="00455486">
        <w:rPr>
          <w:rFonts w:ascii="Arial" w:hAnsi="Arial" w:cs="Arial"/>
          <w:b/>
          <w:sz w:val="20"/>
        </w:rPr>
        <w:t>NATIONAL</w:t>
      </w:r>
      <w:r w:rsidR="00455486" w:rsidRPr="00455486">
        <w:rPr>
          <w:rFonts w:ascii="Arial" w:hAnsi="Arial" w:cs="Arial"/>
          <w:b/>
          <w:sz w:val="20"/>
        </w:rPr>
        <w:t xml:space="preserve"> </w:t>
      </w:r>
      <w:r w:rsidRPr="00455486">
        <w:rPr>
          <w:rFonts w:ascii="Arial" w:hAnsi="Arial" w:cs="Arial"/>
          <w:b/>
          <w:sz w:val="20"/>
        </w:rPr>
        <w:t>INDIVIDUAL</w:t>
      </w:r>
      <w:r w:rsidR="00455486" w:rsidRPr="00455486">
        <w:rPr>
          <w:rFonts w:ascii="Arial" w:hAnsi="Arial" w:cs="Arial"/>
          <w:b/>
          <w:sz w:val="20"/>
        </w:rPr>
        <w:t xml:space="preserve"> </w:t>
      </w:r>
      <w:r w:rsidRPr="009C1DBB">
        <w:rPr>
          <w:rFonts w:ascii="Arial" w:hAnsi="Arial" w:cs="Arial"/>
          <w:b/>
          <w:sz w:val="20"/>
        </w:rPr>
        <w:t>CONSULTANCY</w:t>
      </w:r>
    </w:p>
    <w:p w14:paraId="008663C2" w14:textId="77777777" w:rsidR="000E4097" w:rsidRPr="009C1DBB" w:rsidRDefault="000E4097" w:rsidP="00987946">
      <w:pPr>
        <w:jc w:val="center"/>
        <w:rPr>
          <w:rFonts w:ascii="Arial" w:hAnsi="Arial" w:cs="Arial"/>
          <w:b/>
          <w:sz w:val="20"/>
        </w:rPr>
      </w:pPr>
    </w:p>
    <w:tbl>
      <w:tblPr>
        <w:tblStyle w:val="TableGrid"/>
        <w:tblW w:w="9000" w:type="dxa"/>
        <w:tblInd w:w="-5" w:type="dxa"/>
        <w:tblLook w:val="04A0" w:firstRow="1" w:lastRow="0" w:firstColumn="1" w:lastColumn="0" w:noHBand="0" w:noVBand="1"/>
      </w:tblPr>
      <w:tblGrid>
        <w:gridCol w:w="5603"/>
        <w:gridCol w:w="3397"/>
      </w:tblGrid>
      <w:tr w:rsidR="00CF1FFD" w:rsidRPr="00CF1FFD" w14:paraId="6C01EA4D" w14:textId="77777777" w:rsidTr="004262F5">
        <w:trPr>
          <w:trHeight w:val="925"/>
        </w:trPr>
        <w:tc>
          <w:tcPr>
            <w:tcW w:w="5603" w:type="dxa"/>
            <w:vAlign w:val="center"/>
          </w:tcPr>
          <w:p w14:paraId="5A2FDFF7" w14:textId="7921A058" w:rsidR="00987946" w:rsidRPr="005B596D" w:rsidRDefault="00CF1FFD" w:rsidP="00062D75">
            <w:pPr>
              <w:jc w:val="center"/>
              <w:rPr>
                <w:rFonts w:ascii="Arial" w:hAnsi="Arial" w:cs="Arial"/>
                <w:b/>
                <w:sz w:val="20"/>
                <w:highlight w:val="yellow"/>
              </w:rPr>
            </w:pPr>
            <w:r w:rsidRPr="005B596D">
              <w:rPr>
                <w:rFonts w:ascii="Arial" w:hAnsi="Arial" w:cs="Arial"/>
                <w:b/>
                <w:sz w:val="20"/>
              </w:rPr>
              <w:t>Data Landscape Analysis for Child Related Data in Türkiye</w:t>
            </w:r>
          </w:p>
        </w:tc>
        <w:tc>
          <w:tcPr>
            <w:tcW w:w="3397" w:type="dxa"/>
            <w:shd w:val="clear" w:color="auto" w:fill="auto"/>
            <w:vAlign w:val="center"/>
          </w:tcPr>
          <w:p w14:paraId="79AFE570" w14:textId="4AED9FCE" w:rsidR="00987946" w:rsidRPr="005B596D" w:rsidRDefault="00987946" w:rsidP="00062D75">
            <w:pPr>
              <w:jc w:val="center"/>
              <w:rPr>
                <w:rFonts w:ascii="Arial" w:hAnsi="Arial" w:cs="Arial"/>
                <w:b/>
                <w:caps/>
                <w:sz w:val="20"/>
                <w:highlight w:val="yellow"/>
              </w:rPr>
            </w:pPr>
            <w:r w:rsidRPr="005B596D">
              <w:rPr>
                <w:rFonts w:ascii="Arial" w:hAnsi="Arial" w:cs="Arial"/>
                <w:b/>
                <w:sz w:val="20"/>
              </w:rPr>
              <w:t>REF:</w:t>
            </w:r>
            <w:r w:rsidR="00E40F5C" w:rsidRPr="005B596D">
              <w:rPr>
                <w:b/>
              </w:rPr>
              <w:t xml:space="preserve"> </w:t>
            </w:r>
            <w:r w:rsidR="00E40F5C" w:rsidRPr="005B596D">
              <w:rPr>
                <w:rFonts w:ascii="Arial" w:hAnsi="Arial" w:cs="Arial"/>
                <w:b/>
                <w:sz w:val="20"/>
              </w:rPr>
              <w:t>PME/TURA/2024-B</w:t>
            </w:r>
          </w:p>
        </w:tc>
      </w:tr>
      <w:tr w:rsidR="005B596D" w:rsidRPr="00CF1FFD" w14:paraId="61E2F36C" w14:textId="77777777" w:rsidTr="004262F5">
        <w:trPr>
          <w:trHeight w:val="925"/>
        </w:trPr>
        <w:tc>
          <w:tcPr>
            <w:tcW w:w="9000" w:type="dxa"/>
            <w:gridSpan w:val="2"/>
            <w:vAlign w:val="center"/>
          </w:tcPr>
          <w:p w14:paraId="4A7ABE4A" w14:textId="14406FEE" w:rsidR="005B596D" w:rsidRPr="005B596D" w:rsidRDefault="00566B32" w:rsidP="00D6593C">
            <w:pPr>
              <w:jc w:val="both"/>
              <w:rPr>
                <w:rFonts w:ascii="Arial" w:hAnsi="Arial" w:cs="Arial"/>
                <w:b/>
                <w:sz w:val="20"/>
              </w:rPr>
            </w:pPr>
            <w:r w:rsidRPr="00566B32">
              <w:rPr>
                <w:rFonts w:ascii="Arial" w:hAnsi="Arial" w:cs="Arial"/>
                <w:b/>
                <w:sz w:val="20"/>
              </w:rPr>
              <w:t xml:space="preserve">Programme/Activity Work Plan Code and Title: </w:t>
            </w:r>
            <w:r w:rsidR="0059149A" w:rsidRPr="00A13951">
              <w:rPr>
                <w:rFonts w:ascii="Arial" w:hAnsi="Arial" w:cs="Arial"/>
                <w:bCs/>
                <w:sz w:val="20"/>
              </w:rPr>
              <w:t>Turkish Statistical Institute</w:t>
            </w:r>
            <w:r w:rsidRPr="00A13951">
              <w:rPr>
                <w:rFonts w:ascii="Arial" w:hAnsi="Arial" w:cs="Arial"/>
                <w:bCs/>
                <w:sz w:val="20"/>
              </w:rPr>
              <w:t xml:space="preserve"> &amp; UNICEF Programme of Cooperation</w:t>
            </w:r>
            <w:r w:rsidR="00F100AE">
              <w:rPr>
                <w:rFonts w:ascii="Arial" w:hAnsi="Arial" w:cs="Arial"/>
                <w:bCs/>
                <w:sz w:val="20"/>
              </w:rPr>
              <w:t xml:space="preserve"> </w:t>
            </w:r>
            <w:r w:rsidRPr="00A13951">
              <w:rPr>
                <w:rFonts w:ascii="Arial" w:hAnsi="Arial" w:cs="Arial"/>
                <w:bCs/>
                <w:sz w:val="20"/>
              </w:rPr>
              <w:t>2021-202</w:t>
            </w:r>
            <w:r w:rsidR="00F100AE">
              <w:rPr>
                <w:rFonts w:ascii="Arial" w:hAnsi="Arial" w:cs="Arial"/>
                <w:bCs/>
                <w:sz w:val="20"/>
              </w:rPr>
              <w:t>5</w:t>
            </w:r>
            <w:r w:rsidRPr="00A13951">
              <w:rPr>
                <w:rFonts w:ascii="Arial" w:hAnsi="Arial" w:cs="Arial"/>
                <w:bCs/>
                <w:sz w:val="20"/>
              </w:rPr>
              <w:t xml:space="preserve"> Rolling Work Plan (RWP)</w:t>
            </w:r>
            <w:r w:rsidR="00F100AE">
              <w:rPr>
                <w:rFonts w:ascii="Arial" w:hAnsi="Arial" w:cs="Arial"/>
                <w:bCs/>
                <w:sz w:val="20"/>
              </w:rPr>
              <w:t xml:space="preserve"> 2023-2024</w:t>
            </w:r>
            <w:r w:rsidRPr="00A13951">
              <w:rPr>
                <w:rFonts w:ascii="Arial" w:hAnsi="Arial" w:cs="Arial"/>
                <w:bCs/>
                <w:sz w:val="20"/>
              </w:rPr>
              <w:t xml:space="preserve"> (Output </w:t>
            </w:r>
            <w:r w:rsidR="007A4E88" w:rsidRPr="00A13951">
              <w:rPr>
                <w:rFonts w:ascii="Arial" w:hAnsi="Arial" w:cs="Arial"/>
                <w:bCs/>
                <w:sz w:val="20"/>
              </w:rPr>
              <w:t>4.1: National capacity for evidence generation</w:t>
            </w:r>
            <w:r w:rsidR="006D2563">
              <w:rPr>
                <w:rFonts w:ascii="Arial" w:hAnsi="Arial" w:cs="Arial"/>
                <w:bCs/>
                <w:sz w:val="20"/>
              </w:rPr>
              <w:t xml:space="preserve">, Activity </w:t>
            </w:r>
            <w:r w:rsidR="00FD42E6">
              <w:rPr>
                <w:rFonts w:ascii="Arial" w:hAnsi="Arial" w:cs="Arial"/>
                <w:bCs/>
                <w:sz w:val="20"/>
              </w:rPr>
              <w:t xml:space="preserve">1: </w:t>
            </w:r>
            <w:r w:rsidR="00C10D54" w:rsidRPr="00C10D54">
              <w:rPr>
                <w:rFonts w:ascii="Arial" w:hAnsi="Arial" w:cs="Arial"/>
                <w:bCs/>
                <w:sz w:val="20"/>
              </w:rPr>
              <w:t>Survey and Analysis: collaboration on evidence generation about data for children</w:t>
            </w:r>
            <w:r w:rsidR="002C54FE">
              <w:rPr>
                <w:rFonts w:ascii="Arial" w:hAnsi="Arial" w:cs="Arial"/>
                <w:bCs/>
                <w:sz w:val="20"/>
              </w:rPr>
              <w:t>)</w:t>
            </w:r>
          </w:p>
        </w:tc>
      </w:tr>
    </w:tbl>
    <w:p w14:paraId="20868C7A" w14:textId="77777777" w:rsidR="00987946" w:rsidRPr="00CF1FFD" w:rsidRDefault="00987946" w:rsidP="00987946">
      <w:pPr>
        <w:rPr>
          <w:rFonts w:ascii="Arial" w:hAnsi="Arial" w:cs="Arial"/>
          <w:b/>
          <w:sz w:val="20"/>
        </w:rPr>
      </w:pPr>
    </w:p>
    <w:p w14:paraId="5653F962" w14:textId="77777777" w:rsidR="00987946" w:rsidRPr="009C1DBB" w:rsidRDefault="00987946" w:rsidP="00987946">
      <w:pPr>
        <w:jc w:val="center"/>
        <w:rPr>
          <w:rFonts w:ascii="Arial" w:hAnsi="Arial" w:cs="Arial"/>
          <w:b/>
          <w:bCs/>
          <w:sz w:val="20"/>
        </w:rPr>
      </w:pPr>
    </w:p>
    <w:p w14:paraId="6E92FED0" w14:textId="77777777" w:rsidR="00987946" w:rsidRPr="009C1DBB" w:rsidRDefault="00987946" w:rsidP="00987946">
      <w:pPr>
        <w:widowControl/>
        <w:numPr>
          <w:ilvl w:val="0"/>
          <w:numId w:val="29"/>
        </w:numPr>
        <w:spacing w:after="120"/>
        <w:jc w:val="both"/>
        <w:rPr>
          <w:rFonts w:ascii="Arial" w:hAnsi="Arial" w:cs="Arial"/>
          <w:b/>
          <w:color w:val="009CFD"/>
          <w:sz w:val="20"/>
        </w:rPr>
      </w:pPr>
      <w:r w:rsidRPr="009C1DBB">
        <w:rPr>
          <w:rFonts w:ascii="Arial" w:hAnsi="Arial" w:cs="Arial"/>
          <w:b/>
          <w:color w:val="009CFD"/>
          <w:sz w:val="20"/>
        </w:rPr>
        <w:t>Background</w:t>
      </w:r>
    </w:p>
    <w:p w14:paraId="18466614" w14:textId="77777777" w:rsidR="00987946" w:rsidRPr="009C1DBB" w:rsidRDefault="00987946" w:rsidP="00987946">
      <w:pPr>
        <w:pStyle w:val="NoSpacing"/>
        <w:spacing w:after="160"/>
        <w:jc w:val="both"/>
        <w:rPr>
          <w:rFonts w:ascii="Arial" w:hAnsi="Arial" w:cs="Arial"/>
          <w:sz w:val="20"/>
          <w:szCs w:val="20"/>
          <w:shd w:val="clear" w:color="auto" w:fill="FFFFFF"/>
        </w:rPr>
      </w:pPr>
      <w:r w:rsidRPr="009C1DBB">
        <w:rPr>
          <w:rFonts w:ascii="Arial" w:hAnsi="Arial" w:cs="Arial"/>
          <w:sz w:val="20"/>
          <w:szCs w:val="20"/>
          <w:shd w:val="clear" w:color="auto" w:fill="FFFFFF"/>
        </w:rPr>
        <w:t>Türkiye is the 19th largest economy in the world, with a GDP of roughly $906 billion</w:t>
      </w:r>
      <w:r w:rsidRPr="009C1DBB">
        <w:rPr>
          <w:rStyle w:val="FootnoteReference"/>
          <w:rFonts w:ascii="Arial" w:hAnsi="Arial" w:cs="Arial"/>
          <w:sz w:val="20"/>
          <w:szCs w:val="20"/>
          <w:shd w:val="clear" w:color="auto" w:fill="FFFFFF"/>
        </w:rPr>
        <w:footnoteReference w:id="1"/>
      </w:r>
      <w:r w:rsidRPr="009C1DBB">
        <w:rPr>
          <w:rFonts w:ascii="Arial" w:hAnsi="Arial" w:cs="Arial"/>
          <w:sz w:val="20"/>
          <w:szCs w:val="20"/>
          <w:shd w:val="clear" w:color="auto" w:fill="FFFFFF"/>
        </w:rPr>
        <w:t>. It is a member of the Organization for Economic Co-operation and Development (OECD) and the G20, with a population of 85 million people of which over twenty-two million percent are children (22.5%)</w:t>
      </w:r>
      <w:r w:rsidRPr="009C1DBB">
        <w:rPr>
          <w:rStyle w:val="FootnoteReference"/>
          <w:rFonts w:ascii="Arial" w:hAnsi="Arial" w:cs="Arial"/>
          <w:sz w:val="20"/>
          <w:szCs w:val="20"/>
          <w:shd w:val="clear" w:color="auto" w:fill="FFFFFF"/>
        </w:rPr>
        <w:footnoteReference w:id="2"/>
      </w:r>
      <w:r w:rsidRPr="009C1DBB">
        <w:rPr>
          <w:rFonts w:ascii="Arial" w:hAnsi="Arial" w:cs="Arial"/>
          <w:sz w:val="20"/>
          <w:szCs w:val="20"/>
          <w:shd w:val="clear" w:color="auto" w:fill="FFFFFF"/>
        </w:rPr>
        <w:t xml:space="preserve">. As a member of the OECD and G-20, Türkiye contributes to and benefits from a collaborative platform of some of the world's most advanced economies. Türkiye pursued ambitious reforms and enjoyed high growth rates between 2006 and 2017 that propelled the country to the higher reaches of upper-middle-income status and reduced poverty. </w:t>
      </w:r>
      <w:r w:rsidRPr="009C1DBB">
        <w:rPr>
          <w:rFonts w:ascii="Arial" w:hAnsi="Arial" w:cs="Arial"/>
          <w:sz w:val="20"/>
          <w:szCs w:val="20"/>
          <w:lang w:val="en-GB"/>
        </w:rPr>
        <w:t xml:space="preserve">Despite significant social and economic achievements, disparities in development outcomes for children persist </w:t>
      </w:r>
      <w:r w:rsidRPr="009C1DBB">
        <w:rPr>
          <w:rFonts w:ascii="Arial" w:hAnsi="Arial" w:cs="Arial"/>
          <w:bCs/>
          <w:color w:val="000000" w:themeColor="text1"/>
          <w:sz w:val="20"/>
          <w:szCs w:val="20"/>
          <w:lang w:val="en-GB"/>
        </w:rPr>
        <w:t>based on gender, geographic location, and wealth, especially post COVID19</w:t>
      </w:r>
      <w:r w:rsidRPr="009C1DBB">
        <w:rPr>
          <w:rFonts w:ascii="Arial" w:hAnsi="Arial" w:cs="Arial"/>
          <w:sz w:val="20"/>
          <w:szCs w:val="20"/>
          <w:lang w:val="en-GB"/>
        </w:rPr>
        <w:t>. The situation is further exacerbated by the two devastating earthquakes that struck the country on February 6</w:t>
      </w:r>
      <w:r w:rsidRPr="009C1DBB">
        <w:rPr>
          <w:rFonts w:ascii="Arial" w:hAnsi="Arial" w:cs="Arial"/>
          <w:sz w:val="20"/>
          <w:szCs w:val="20"/>
          <w:vertAlign w:val="superscript"/>
          <w:lang w:val="en-GB"/>
        </w:rPr>
        <w:t>th</w:t>
      </w:r>
      <w:r w:rsidRPr="009C1DBB">
        <w:rPr>
          <w:rFonts w:ascii="Arial" w:hAnsi="Arial" w:cs="Arial"/>
          <w:sz w:val="20"/>
          <w:szCs w:val="20"/>
          <w:lang w:val="en-GB"/>
        </w:rPr>
        <w:t>,2023</w:t>
      </w:r>
      <w:r w:rsidRPr="009C1DBB">
        <w:rPr>
          <w:rFonts w:ascii="Arial" w:hAnsi="Arial" w:cs="Arial"/>
          <w:sz w:val="20"/>
          <w:szCs w:val="20"/>
          <w:shd w:val="clear" w:color="auto" w:fill="FFFFFF"/>
        </w:rPr>
        <w:t>: beyond the human tragedy, physical damage in 11 provinces accounting for 16.4 percent of Türkiye’s population and 9.4 percent of its economy</w:t>
      </w:r>
      <w:r w:rsidRPr="009C1DBB">
        <w:rPr>
          <w:rStyle w:val="FootnoteReference"/>
          <w:rFonts w:ascii="Arial" w:hAnsi="Arial" w:cs="Arial"/>
          <w:sz w:val="20"/>
          <w:szCs w:val="20"/>
          <w:shd w:val="clear" w:color="auto" w:fill="FFFFFF"/>
        </w:rPr>
        <w:footnoteReference w:id="3"/>
      </w:r>
      <w:r w:rsidRPr="009C1DBB">
        <w:rPr>
          <w:rFonts w:ascii="Arial" w:hAnsi="Arial" w:cs="Arial"/>
          <w:sz w:val="20"/>
          <w:szCs w:val="20"/>
          <w:shd w:val="clear" w:color="auto" w:fill="FFFFFF"/>
        </w:rPr>
        <w:t xml:space="preserve">. Furthermore, Türkiye continues to host the largest refugee population in the world of four million people, of which 1.8 million are children and adolescents. </w:t>
      </w:r>
      <w:proofErr w:type="gramStart"/>
      <w:r w:rsidRPr="009C1DBB">
        <w:rPr>
          <w:rFonts w:ascii="Arial" w:hAnsi="Arial" w:cs="Arial"/>
          <w:sz w:val="20"/>
          <w:szCs w:val="20"/>
          <w:shd w:val="clear" w:color="auto" w:fill="FFFFFF"/>
        </w:rPr>
        <w:t>In spite of</w:t>
      </w:r>
      <w:proofErr w:type="gramEnd"/>
      <w:r w:rsidRPr="009C1DBB">
        <w:rPr>
          <w:rFonts w:ascii="Arial" w:hAnsi="Arial" w:cs="Arial"/>
          <w:sz w:val="20"/>
          <w:szCs w:val="20"/>
          <w:shd w:val="clear" w:color="auto" w:fill="FFFFFF"/>
        </w:rPr>
        <w:t xml:space="preserve"> commendable support by the Govt of Türkiye, they face risks and challenges to their protection, safety, emotional well-being, and education. The COVID-19 pandemic and deteriorating economic climate have exacerbated their situation.</w:t>
      </w:r>
    </w:p>
    <w:p w14:paraId="5FC6D220" w14:textId="77777777" w:rsidR="00987946" w:rsidRPr="009C1DBB" w:rsidRDefault="00987946" w:rsidP="00987946">
      <w:pPr>
        <w:pStyle w:val="NoSpacing"/>
        <w:spacing w:after="160"/>
        <w:jc w:val="both"/>
        <w:rPr>
          <w:rStyle w:val="A4"/>
          <w:rFonts w:ascii="Arial" w:hAnsi="Arial" w:cs="Arial"/>
          <w:sz w:val="20"/>
          <w:szCs w:val="20"/>
        </w:rPr>
      </w:pPr>
      <w:r w:rsidRPr="009C1DBB">
        <w:rPr>
          <w:rFonts w:ascii="Arial" w:hAnsi="Arial" w:cs="Arial"/>
          <w:sz w:val="20"/>
          <w:szCs w:val="20"/>
          <w:shd w:val="clear" w:color="auto" w:fill="FFFFFF"/>
        </w:rPr>
        <w:t xml:space="preserve">Within the SDG context of” leave no one behind,” there exists an opportunity, and a pressing obligation, to support better outcomes for children. Fostering a thriving data ecosystem, in which the right data are in the right hands at the right time to impact decisions, can drive better results for the children of Türkiye. </w:t>
      </w:r>
      <w:r w:rsidRPr="009C1DBB">
        <w:rPr>
          <w:rStyle w:val="A4"/>
          <w:rFonts w:ascii="Arial" w:hAnsi="Arial" w:cs="Arial"/>
          <w:sz w:val="20"/>
          <w:szCs w:val="20"/>
        </w:rPr>
        <w:t>Experience from around the world has made it abundantly clear that the right data in the right hands at the right time can create positive change. Getting those data where they belong when they are needed, however, requires a new way of thinking about data investments – one that is driven by the intended use of data</w:t>
      </w:r>
      <w:r w:rsidRPr="009C1DBB">
        <w:rPr>
          <w:rStyle w:val="FootnoteReference"/>
          <w:rFonts w:ascii="Arial" w:hAnsi="Arial" w:cs="Arial"/>
          <w:color w:val="000000"/>
          <w:sz w:val="20"/>
          <w:szCs w:val="20"/>
        </w:rPr>
        <w:footnoteReference w:id="4"/>
      </w:r>
      <w:r w:rsidRPr="009C1DBB">
        <w:rPr>
          <w:rStyle w:val="A4"/>
          <w:rFonts w:ascii="Arial" w:hAnsi="Arial" w:cs="Arial"/>
          <w:sz w:val="20"/>
          <w:szCs w:val="20"/>
        </w:rPr>
        <w:t>.</w:t>
      </w:r>
    </w:p>
    <w:p w14:paraId="6977ECB1" w14:textId="77777777" w:rsidR="00987946" w:rsidRPr="009C1DBB" w:rsidRDefault="00987946" w:rsidP="00987946">
      <w:pPr>
        <w:pStyle w:val="NoSpacing"/>
        <w:spacing w:after="160"/>
        <w:jc w:val="both"/>
        <w:rPr>
          <w:rStyle w:val="A4"/>
          <w:rFonts w:ascii="Arial" w:hAnsi="Arial" w:cs="Arial"/>
          <w:sz w:val="20"/>
          <w:szCs w:val="20"/>
        </w:rPr>
      </w:pPr>
      <w:r w:rsidRPr="009C1DBB">
        <w:rPr>
          <w:rStyle w:val="A4"/>
          <w:rFonts w:ascii="Arial" w:hAnsi="Arial" w:cs="Arial"/>
          <w:sz w:val="20"/>
          <w:szCs w:val="20"/>
        </w:rPr>
        <w:t xml:space="preserve">A robust data system can play a key role in addressing the data gaps and facilitate the issue of reaching the correct data on a timely fashion.  Compared to census and national surveys, administrative records can provide timely and cost-efficient data for countries to design evidence informed policies. </w:t>
      </w:r>
    </w:p>
    <w:p w14:paraId="38C01EB0" w14:textId="77777777" w:rsidR="00987946" w:rsidRPr="009C1DBB" w:rsidRDefault="00987946" w:rsidP="00987946">
      <w:pPr>
        <w:pStyle w:val="NoSpacing"/>
        <w:spacing w:after="160"/>
        <w:jc w:val="both"/>
        <w:rPr>
          <w:rFonts w:ascii="Arial" w:hAnsi="Arial" w:cs="Arial"/>
          <w:color w:val="000000"/>
          <w:sz w:val="20"/>
          <w:szCs w:val="20"/>
        </w:rPr>
      </w:pPr>
      <w:r w:rsidRPr="009C1DBB">
        <w:rPr>
          <w:rStyle w:val="A4"/>
          <w:rFonts w:ascii="Arial" w:hAnsi="Arial" w:cs="Arial"/>
          <w:sz w:val="20"/>
          <w:szCs w:val="20"/>
        </w:rPr>
        <w:t xml:space="preserve">Türkiye recognizes the vital role of data systems and administrative </w:t>
      </w:r>
      <w:proofErr w:type="gramStart"/>
      <w:r w:rsidRPr="009C1DBB">
        <w:rPr>
          <w:rStyle w:val="A4"/>
          <w:rFonts w:ascii="Arial" w:hAnsi="Arial" w:cs="Arial"/>
          <w:sz w:val="20"/>
          <w:szCs w:val="20"/>
        </w:rPr>
        <w:t>data in particular, which</w:t>
      </w:r>
      <w:proofErr w:type="gramEnd"/>
      <w:r w:rsidRPr="009C1DBB">
        <w:rPr>
          <w:rStyle w:val="A4"/>
          <w:rFonts w:ascii="Arial" w:hAnsi="Arial" w:cs="Arial"/>
          <w:sz w:val="20"/>
          <w:szCs w:val="20"/>
        </w:rPr>
        <w:t xml:space="preserve"> offer efficiency, precision, and an invaluable resource for policymaking. Transforming this data into actionable insights and fostering data interoperability are pivotal steps in enhancing data reliability and availability. Therefore, a thorough analysis of the data eco-system with respect to producers and coherence can play a key role in empowering the data availability.    </w:t>
      </w:r>
    </w:p>
    <w:p w14:paraId="3D661E5A" w14:textId="77777777" w:rsidR="00987946" w:rsidRPr="009C1DBB" w:rsidRDefault="00987946" w:rsidP="00987946">
      <w:pPr>
        <w:pStyle w:val="BodyText"/>
        <w:jc w:val="both"/>
        <w:rPr>
          <w:rFonts w:cs="Arial"/>
          <w:b/>
          <w:color w:val="009CFD"/>
        </w:rPr>
      </w:pPr>
    </w:p>
    <w:p w14:paraId="11A7496D" w14:textId="77777777" w:rsidR="00987946" w:rsidRPr="009C1DBB" w:rsidRDefault="00987946" w:rsidP="00987946">
      <w:pPr>
        <w:pStyle w:val="paragraph"/>
        <w:numPr>
          <w:ilvl w:val="0"/>
          <w:numId w:val="29"/>
        </w:numPr>
        <w:spacing w:before="0" w:beforeAutospacing="0" w:after="0" w:afterAutospacing="0"/>
        <w:jc w:val="both"/>
        <w:textAlignment w:val="baseline"/>
        <w:rPr>
          <w:rFonts w:ascii="Arial" w:hAnsi="Arial" w:cs="Arial"/>
          <w:b/>
          <w:color w:val="009CFD"/>
          <w:sz w:val="20"/>
          <w:szCs w:val="20"/>
        </w:rPr>
      </w:pPr>
      <w:r w:rsidRPr="009C1DBB">
        <w:rPr>
          <w:rFonts w:ascii="Arial" w:hAnsi="Arial" w:cs="Arial"/>
          <w:b/>
          <w:color w:val="009CFD"/>
          <w:sz w:val="20"/>
          <w:szCs w:val="20"/>
        </w:rPr>
        <w:t xml:space="preserve">Purpose, Objectives and Scope </w:t>
      </w:r>
    </w:p>
    <w:p w14:paraId="59B88F32" w14:textId="77777777" w:rsidR="00987946" w:rsidRPr="009C1DBB" w:rsidRDefault="00987946" w:rsidP="00987946">
      <w:pPr>
        <w:pStyle w:val="paragraph"/>
        <w:spacing w:before="0" w:beforeAutospacing="0" w:after="0" w:afterAutospacing="0"/>
        <w:ind w:left="360"/>
        <w:jc w:val="both"/>
        <w:textAlignment w:val="baseline"/>
        <w:rPr>
          <w:rFonts w:ascii="Arial" w:hAnsi="Arial" w:cs="Arial"/>
          <w:sz w:val="20"/>
          <w:szCs w:val="20"/>
        </w:rPr>
      </w:pPr>
    </w:p>
    <w:p w14:paraId="185A5EA3" w14:textId="77777777" w:rsidR="00987946" w:rsidRPr="009C1DBB" w:rsidRDefault="00987946" w:rsidP="00987946">
      <w:pPr>
        <w:pStyle w:val="paragraph"/>
        <w:numPr>
          <w:ilvl w:val="1"/>
          <w:numId w:val="29"/>
        </w:numPr>
        <w:spacing w:before="0" w:beforeAutospacing="0" w:after="0" w:afterAutospacing="0"/>
        <w:jc w:val="both"/>
        <w:textAlignment w:val="baseline"/>
        <w:rPr>
          <w:rFonts w:ascii="Arial" w:hAnsi="Arial" w:cs="Arial"/>
          <w:b/>
          <w:color w:val="009CFD"/>
          <w:sz w:val="20"/>
          <w:szCs w:val="20"/>
        </w:rPr>
      </w:pPr>
      <w:r w:rsidRPr="009C1DBB">
        <w:rPr>
          <w:rFonts w:ascii="Arial" w:hAnsi="Arial" w:cs="Arial"/>
          <w:b/>
          <w:color w:val="009CFD"/>
          <w:sz w:val="20"/>
          <w:szCs w:val="20"/>
        </w:rPr>
        <w:t xml:space="preserve">Purpose </w:t>
      </w:r>
    </w:p>
    <w:p w14:paraId="5DED5526" w14:textId="77777777" w:rsidR="00987946" w:rsidRPr="009C1DBB" w:rsidRDefault="00987946" w:rsidP="00987946">
      <w:pPr>
        <w:pStyle w:val="paragraph"/>
        <w:tabs>
          <w:tab w:val="left" w:pos="90"/>
        </w:tabs>
        <w:jc w:val="both"/>
        <w:textAlignment w:val="baseline"/>
        <w:rPr>
          <w:rFonts w:ascii="Arial" w:eastAsiaTheme="minorEastAsia" w:hAnsi="Arial" w:cs="Arial"/>
          <w:sz w:val="20"/>
          <w:szCs w:val="20"/>
          <w:shd w:val="clear" w:color="auto" w:fill="FFFFFF"/>
        </w:rPr>
      </w:pPr>
      <w:r w:rsidRPr="009C1DBB">
        <w:rPr>
          <w:rFonts w:ascii="Arial" w:eastAsiaTheme="minorEastAsia" w:hAnsi="Arial" w:cs="Arial"/>
          <w:sz w:val="20"/>
          <w:szCs w:val="20"/>
          <w:shd w:val="clear" w:color="auto" w:fill="FFFFFF"/>
        </w:rPr>
        <w:t xml:space="preserve">Consistent and credible data is critical to the improvement of children lives and essential to realizing the rights of every child. They make change possible by identifying needs, supporting advocacy, and </w:t>
      </w:r>
      <w:r w:rsidRPr="009C1DBB">
        <w:rPr>
          <w:rFonts w:ascii="Arial" w:eastAsiaTheme="minorEastAsia" w:hAnsi="Arial" w:cs="Arial"/>
          <w:sz w:val="20"/>
          <w:szCs w:val="20"/>
          <w:shd w:val="clear" w:color="auto" w:fill="FFFFFF"/>
        </w:rPr>
        <w:lastRenderedPageBreak/>
        <w:t xml:space="preserve">gauging progress. Data is critical in carrying out advocacy and action towards children’s wellbeing by providing governments with facts on which to base decisions and actions to improve children’s lives. In Türkiye, although data systems are considerably strong, efforts are needed to enhance data systems are consolidated and able to inter operate to generate all the evidence needed to produce better-informed policies for children wellbeing. </w:t>
      </w:r>
    </w:p>
    <w:p w14:paraId="74E88D03" w14:textId="77777777" w:rsidR="00987946" w:rsidRPr="009C1DBB" w:rsidRDefault="00987946" w:rsidP="00987946">
      <w:pPr>
        <w:pStyle w:val="paragraph"/>
        <w:tabs>
          <w:tab w:val="left" w:pos="90"/>
        </w:tabs>
        <w:jc w:val="both"/>
        <w:textAlignment w:val="baseline"/>
        <w:rPr>
          <w:rFonts w:ascii="Arial" w:eastAsiaTheme="minorEastAsia" w:hAnsi="Arial" w:cs="Arial"/>
          <w:sz w:val="20"/>
          <w:szCs w:val="20"/>
          <w:shd w:val="clear" w:color="auto" w:fill="FFFFFF"/>
        </w:rPr>
      </w:pPr>
      <w:r w:rsidRPr="009C1DBB">
        <w:rPr>
          <w:rFonts w:ascii="Arial" w:eastAsiaTheme="minorEastAsia" w:hAnsi="Arial" w:cs="Arial"/>
          <w:sz w:val="20"/>
          <w:szCs w:val="20"/>
          <w:shd w:val="clear" w:color="auto" w:fill="FFFFFF"/>
        </w:rPr>
        <w:t xml:space="preserve">In pursuit of this goal, UNICEF Türkiye Country Office in collaboration with </w:t>
      </w:r>
      <w:proofErr w:type="spellStart"/>
      <w:r w:rsidRPr="009C1DBB">
        <w:rPr>
          <w:rFonts w:ascii="Arial" w:eastAsiaTheme="minorEastAsia" w:hAnsi="Arial" w:cs="Arial"/>
          <w:sz w:val="20"/>
          <w:szCs w:val="20"/>
          <w:shd w:val="clear" w:color="auto" w:fill="FFFFFF"/>
        </w:rPr>
        <w:t>TurkStat</w:t>
      </w:r>
      <w:proofErr w:type="spellEnd"/>
      <w:r w:rsidRPr="009C1DBB">
        <w:rPr>
          <w:rFonts w:ascii="Arial" w:eastAsiaTheme="minorEastAsia" w:hAnsi="Arial" w:cs="Arial"/>
          <w:sz w:val="20"/>
          <w:szCs w:val="20"/>
          <w:shd w:val="clear" w:color="auto" w:fill="FFFFFF"/>
        </w:rPr>
        <w:t xml:space="preserve"> and line ministries would like to commission a data landscape analysis report and strategic action plan to examine the Türkiye data for children ecosystem through the lens of data demand, supply, and use. This is in line with the on-going conversations and continued efforts on addressing data gaps for refugee children, host communities and other vulnerable groups.</w:t>
      </w:r>
    </w:p>
    <w:p w14:paraId="18768FBF" w14:textId="77777777" w:rsidR="00987946" w:rsidRPr="009C1DBB" w:rsidRDefault="00987946" w:rsidP="00987946">
      <w:pPr>
        <w:pStyle w:val="paragraph"/>
        <w:tabs>
          <w:tab w:val="left" w:pos="90"/>
        </w:tabs>
        <w:spacing w:before="0" w:beforeAutospacing="0" w:after="0" w:afterAutospacing="0"/>
        <w:jc w:val="both"/>
        <w:textAlignment w:val="baseline"/>
        <w:rPr>
          <w:rFonts w:ascii="Arial" w:eastAsiaTheme="minorEastAsia" w:hAnsi="Arial" w:cs="Arial"/>
          <w:sz w:val="20"/>
          <w:szCs w:val="20"/>
          <w:shd w:val="clear" w:color="auto" w:fill="FFFFFF"/>
        </w:rPr>
      </w:pPr>
      <w:r w:rsidRPr="009C1DBB">
        <w:rPr>
          <w:rFonts w:ascii="Arial" w:eastAsiaTheme="minorEastAsia" w:hAnsi="Arial" w:cs="Arial"/>
          <w:sz w:val="20"/>
          <w:szCs w:val="20"/>
          <w:shd w:val="clear" w:color="auto" w:fill="FFFFFF"/>
        </w:rPr>
        <w:t>Concrete plan on data landscape analysis will be finalized vis a vis a consultation with relevant partners and key ministries to feed into the process of planning and build consensus on scope, methodology and budget, to achieve a robust outcome for the exercise for the data ecosystem in Türkiye, facilitating evidence-based investments in policies and programs for all children in Türkiye.</w:t>
      </w:r>
    </w:p>
    <w:p w14:paraId="17755C58" w14:textId="77777777" w:rsidR="00987946" w:rsidRPr="009C1DBB" w:rsidRDefault="00987946" w:rsidP="00987946">
      <w:pPr>
        <w:pStyle w:val="paragraph"/>
        <w:tabs>
          <w:tab w:val="left" w:pos="90"/>
        </w:tabs>
        <w:spacing w:before="0" w:beforeAutospacing="0" w:after="0" w:afterAutospacing="0"/>
        <w:jc w:val="both"/>
        <w:textAlignment w:val="baseline"/>
        <w:rPr>
          <w:rFonts w:ascii="Arial" w:hAnsi="Arial" w:cs="Arial"/>
          <w:color w:val="000000" w:themeColor="text1"/>
          <w:sz w:val="20"/>
          <w:szCs w:val="20"/>
        </w:rPr>
      </w:pPr>
    </w:p>
    <w:p w14:paraId="0C645A2A" w14:textId="77777777" w:rsidR="00987946" w:rsidRPr="009C1DBB" w:rsidRDefault="00987946" w:rsidP="00987946">
      <w:pPr>
        <w:pStyle w:val="paragraph"/>
        <w:numPr>
          <w:ilvl w:val="1"/>
          <w:numId w:val="29"/>
        </w:numPr>
        <w:spacing w:before="0" w:beforeAutospacing="0" w:after="0" w:afterAutospacing="0"/>
        <w:jc w:val="both"/>
        <w:textAlignment w:val="baseline"/>
        <w:rPr>
          <w:rFonts w:ascii="Arial" w:hAnsi="Arial" w:cs="Arial"/>
          <w:b/>
          <w:color w:val="009CFD"/>
          <w:sz w:val="20"/>
          <w:szCs w:val="20"/>
        </w:rPr>
      </w:pPr>
      <w:r w:rsidRPr="009C1DBB">
        <w:rPr>
          <w:rFonts w:ascii="Arial" w:hAnsi="Arial" w:cs="Arial"/>
          <w:b/>
          <w:color w:val="009CFD"/>
          <w:sz w:val="20"/>
          <w:szCs w:val="20"/>
        </w:rPr>
        <w:t>Objectives and Scope</w:t>
      </w:r>
    </w:p>
    <w:p w14:paraId="00E3A799" w14:textId="77777777" w:rsidR="00987946" w:rsidRPr="009C1DBB" w:rsidRDefault="00987946" w:rsidP="00987946">
      <w:pPr>
        <w:jc w:val="both"/>
        <w:rPr>
          <w:rFonts w:ascii="Arial" w:eastAsiaTheme="minorEastAsia" w:hAnsi="Arial" w:cs="Arial"/>
          <w:sz w:val="20"/>
          <w:shd w:val="clear" w:color="auto" w:fill="FFFFFF"/>
        </w:rPr>
      </w:pPr>
    </w:p>
    <w:p w14:paraId="38A13DBF" w14:textId="2F87B8F9" w:rsidR="00987946" w:rsidRPr="009C1DBB" w:rsidRDefault="00987946" w:rsidP="00987946">
      <w:pPr>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Under the close supervision of M&amp;E Specialist, P3, the consultant will work closely</w:t>
      </w:r>
      <w:r w:rsidR="001C15D1">
        <w:rPr>
          <w:rFonts w:ascii="Arial" w:eastAsiaTheme="minorEastAsia" w:hAnsi="Arial" w:cs="Arial"/>
          <w:sz w:val="20"/>
          <w:shd w:val="clear" w:color="auto" w:fill="FFFFFF"/>
        </w:rPr>
        <w:t xml:space="preserve"> </w:t>
      </w:r>
      <w:r w:rsidRPr="009C1DBB">
        <w:rPr>
          <w:rFonts w:ascii="Arial" w:eastAsiaTheme="minorEastAsia" w:hAnsi="Arial" w:cs="Arial"/>
          <w:sz w:val="20"/>
          <w:shd w:val="clear" w:color="auto" w:fill="FFFFFF"/>
        </w:rPr>
        <w:t xml:space="preserve">with national government counterparts, mainly relevant line ministries to gather and analyze the overall data ecosystem in each ministry, specifically on child related data. The consultant will gather data and information </w:t>
      </w:r>
      <w:r w:rsidR="001C15D1" w:rsidRPr="009C1DBB">
        <w:rPr>
          <w:rFonts w:ascii="Arial" w:eastAsiaTheme="minorEastAsia" w:hAnsi="Arial" w:cs="Arial"/>
          <w:sz w:val="20"/>
          <w:shd w:val="clear" w:color="auto" w:fill="FFFFFF"/>
        </w:rPr>
        <w:t>on administrative</w:t>
      </w:r>
      <w:r w:rsidRPr="009C1DBB">
        <w:rPr>
          <w:rFonts w:ascii="Arial" w:eastAsiaTheme="minorEastAsia" w:hAnsi="Arial" w:cs="Arial"/>
          <w:sz w:val="20"/>
          <w:shd w:val="clear" w:color="auto" w:fill="FFFFFF"/>
        </w:rPr>
        <w:t xml:space="preserve"> data systems, data flow mechanisms including the data collection, organization, storage, reporting/dissemination </w:t>
      </w:r>
      <w:proofErr w:type="gramStart"/>
      <w:r w:rsidRPr="009C1DBB">
        <w:rPr>
          <w:rFonts w:ascii="Arial" w:eastAsiaTheme="minorEastAsia" w:hAnsi="Arial" w:cs="Arial"/>
          <w:sz w:val="20"/>
          <w:shd w:val="clear" w:color="auto" w:fill="FFFFFF"/>
        </w:rPr>
        <w:t>mechanisms ,</w:t>
      </w:r>
      <w:proofErr w:type="gramEnd"/>
      <w:r w:rsidRPr="009C1DBB">
        <w:rPr>
          <w:rFonts w:ascii="Arial" w:eastAsiaTheme="minorEastAsia" w:hAnsi="Arial" w:cs="Arial"/>
          <w:sz w:val="20"/>
          <w:shd w:val="clear" w:color="auto" w:fill="FFFFFF"/>
        </w:rPr>
        <w:t xml:space="preserve"> and systems, with a special focus on  child-related statistics </w:t>
      </w:r>
    </w:p>
    <w:p w14:paraId="1CCAA5D3" w14:textId="77777777" w:rsidR="00987946" w:rsidRPr="009C1DBB" w:rsidRDefault="00987946" w:rsidP="00987946">
      <w:pPr>
        <w:jc w:val="both"/>
        <w:rPr>
          <w:rFonts w:ascii="Arial" w:eastAsiaTheme="minorEastAsia" w:hAnsi="Arial" w:cs="Arial"/>
          <w:sz w:val="20"/>
          <w:shd w:val="clear" w:color="auto" w:fill="FFFFFF"/>
        </w:rPr>
      </w:pPr>
    </w:p>
    <w:p w14:paraId="25486200" w14:textId="2A4232B3" w:rsidR="00987946" w:rsidRPr="009C1DBB" w:rsidRDefault="00987946" w:rsidP="00987946">
      <w:pPr>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 xml:space="preserve">The consultancy </w:t>
      </w:r>
      <w:r w:rsidR="001C15D1" w:rsidRPr="009C1DBB">
        <w:rPr>
          <w:rFonts w:ascii="Arial" w:eastAsiaTheme="minorEastAsia" w:hAnsi="Arial" w:cs="Arial"/>
          <w:sz w:val="20"/>
          <w:shd w:val="clear" w:color="auto" w:fill="FFFFFF"/>
        </w:rPr>
        <w:t>work should</w:t>
      </w:r>
      <w:r w:rsidRPr="009C1DBB">
        <w:rPr>
          <w:rFonts w:ascii="Arial" w:eastAsiaTheme="minorEastAsia" w:hAnsi="Arial" w:cs="Arial"/>
          <w:sz w:val="20"/>
          <w:shd w:val="clear" w:color="auto" w:fill="FFFFFF"/>
        </w:rPr>
        <w:t xml:space="preserve"> map Türkiye’s existing data for children landscape, and future priorities for data related to children; identifies data gaps, constraints, and challenges; and provides actionable recommendations to address these gaps and inform planning and decision-making. The analysis should focus on the data generated by ministries (both survey-based and administrative records) including but not limited to, </w:t>
      </w:r>
      <w:proofErr w:type="spellStart"/>
      <w:r w:rsidRPr="009C1DBB">
        <w:rPr>
          <w:rFonts w:ascii="Arial" w:eastAsiaTheme="minorEastAsia" w:hAnsi="Arial" w:cs="Arial"/>
          <w:sz w:val="20"/>
          <w:shd w:val="clear" w:color="auto" w:fill="FFFFFF"/>
        </w:rPr>
        <w:t>Turkstat</w:t>
      </w:r>
      <w:proofErr w:type="spellEnd"/>
      <w:r w:rsidRPr="009C1DBB">
        <w:rPr>
          <w:rFonts w:ascii="Arial" w:eastAsiaTheme="minorEastAsia" w:hAnsi="Arial" w:cs="Arial"/>
          <w:sz w:val="20"/>
          <w:shd w:val="clear" w:color="auto" w:fill="FFFFFF"/>
        </w:rPr>
        <w:t xml:space="preserve">, </w:t>
      </w:r>
      <w:proofErr w:type="spellStart"/>
      <w:r w:rsidRPr="009C1DBB">
        <w:rPr>
          <w:rFonts w:ascii="Arial" w:eastAsiaTheme="minorEastAsia" w:hAnsi="Arial" w:cs="Arial"/>
          <w:sz w:val="20"/>
          <w:shd w:val="clear" w:color="auto" w:fill="FFFFFF"/>
        </w:rPr>
        <w:t>MoNE</w:t>
      </w:r>
      <w:proofErr w:type="spellEnd"/>
      <w:r w:rsidRPr="009C1DBB">
        <w:rPr>
          <w:rFonts w:ascii="Arial" w:eastAsiaTheme="minorEastAsia" w:hAnsi="Arial" w:cs="Arial"/>
          <w:sz w:val="20"/>
          <w:shd w:val="clear" w:color="auto" w:fill="FFFFFF"/>
        </w:rPr>
        <w:t xml:space="preserve">, </w:t>
      </w:r>
      <w:proofErr w:type="spellStart"/>
      <w:r w:rsidRPr="009C1DBB">
        <w:rPr>
          <w:rFonts w:ascii="Arial" w:eastAsiaTheme="minorEastAsia" w:hAnsi="Arial" w:cs="Arial"/>
          <w:sz w:val="20"/>
          <w:shd w:val="clear" w:color="auto" w:fill="FFFFFF"/>
        </w:rPr>
        <w:t>MoFSS</w:t>
      </w:r>
      <w:proofErr w:type="spellEnd"/>
      <w:r w:rsidRPr="009C1DBB">
        <w:rPr>
          <w:rFonts w:ascii="Arial" w:eastAsiaTheme="minorEastAsia" w:hAnsi="Arial" w:cs="Arial"/>
          <w:sz w:val="20"/>
          <w:shd w:val="clear" w:color="auto" w:fill="FFFFFF"/>
        </w:rPr>
        <w:t xml:space="preserve">, MoH, </w:t>
      </w:r>
      <w:proofErr w:type="spellStart"/>
      <w:r w:rsidRPr="009C1DBB">
        <w:rPr>
          <w:rFonts w:ascii="Arial" w:eastAsiaTheme="minorEastAsia" w:hAnsi="Arial" w:cs="Arial"/>
          <w:sz w:val="20"/>
          <w:shd w:val="clear" w:color="auto" w:fill="FFFFFF"/>
        </w:rPr>
        <w:t>MoLSS</w:t>
      </w:r>
      <w:proofErr w:type="spellEnd"/>
      <w:r w:rsidRPr="009C1DBB">
        <w:rPr>
          <w:rFonts w:ascii="Arial" w:eastAsiaTheme="minorEastAsia" w:hAnsi="Arial" w:cs="Arial"/>
          <w:sz w:val="20"/>
          <w:shd w:val="clear" w:color="auto" w:fill="FFFFFF"/>
        </w:rPr>
        <w:t xml:space="preserve">, </w:t>
      </w:r>
      <w:proofErr w:type="spellStart"/>
      <w:r w:rsidRPr="009C1DBB">
        <w:rPr>
          <w:rFonts w:ascii="Arial" w:eastAsiaTheme="minorEastAsia" w:hAnsi="Arial" w:cs="Arial"/>
          <w:sz w:val="20"/>
          <w:shd w:val="clear" w:color="auto" w:fill="FFFFFF"/>
        </w:rPr>
        <w:t>MoJ</w:t>
      </w:r>
      <w:proofErr w:type="spellEnd"/>
      <w:r w:rsidRPr="009C1DBB">
        <w:rPr>
          <w:rFonts w:ascii="Arial" w:eastAsiaTheme="minorEastAsia" w:hAnsi="Arial" w:cs="Arial"/>
          <w:sz w:val="20"/>
          <w:shd w:val="clear" w:color="auto" w:fill="FFFFFF"/>
        </w:rPr>
        <w:t xml:space="preserve">, PMM and other relevant line ministries or agencies. The overall purpose of the exercise is to address the gaps and improve the availability of child related data in Türkiye. </w:t>
      </w:r>
    </w:p>
    <w:p w14:paraId="64E46560" w14:textId="77777777" w:rsidR="00987946" w:rsidRPr="009C1DBB" w:rsidRDefault="00987946" w:rsidP="00987946">
      <w:pPr>
        <w:jc w:val="both"/>
        <w:rPr>
          <w:rFonts w:ascii="Arial" w:eastAsiaTheme="minorEastAsia" w:hAnsi="Arial" w:cs="Arial"/>
          <w:sz w:val="20"/>
          <w:shd w:val="clear" w:color="auto" w:fill="FFFFFF"/>
        </w:rPr>
      </w:pPr>
    </w:p>
    <w:p w14:paraId="291209BD" w14:textId="77777777" w:rsidR="00987946" w:rsidRPr="009C1DBB" w:rsidRDefault="00987946" w:rsidP="00987946">
      <w:pPr>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 xml:space="preserve">The specific Objectives of the </w:t>
      </w:r>
      <w:r w:rsidRPr="009C1DBB">
        <w:rPr>
          <w:rFonts w:ascii="Arial" w:hAnsi="Arial" w:cs="Arial"/>
          <w:sz w:val="20"/>
        </w:rPr>
        <w:t xml:space="preserve">Data Landscape Analysis for Child Related Data </w:t>
      </w:r>
      <w:r w:rsidRPr="009C1DBB">
        <w:rPr>
          <w:rFonts w:ascii="Arial" w:eastAsiaTheme="minorEastAsia" w:hAnsi="Arial" w:cs="Arial"/>
          <w:sz w:val="20"/>
          <w:shd w:val="clear" w:color="auto" w:fill="FFFFFF"/>
        </w:rPr>
        <w:t>is:</w:t>
      </w:r>
    </w:p>
    <w:p w14:paraId="340C66C9" w14:textId="77777777" w:rsidR="00987946" w:rsidRPr="009C1DBB" w:rsidRDefault="00987946" w:rsidP="00987946">
      <w:pPr>
        <w:jc w:val="both"/>
        <w:rPr>
          <w:rFonts w:ascii="Arial" w:eastAsiaTheme="minorEastAsia" w:hAnsi="Arial" w:cs="Arial"/>
          <w:sz w:val="20"/>
          <w:shd w:val="clear" w:color="auto" w:fill="FFFFFF"/>
        </w:rPr>
      </w:pPr>
    </w:p>
    <w:p w14:paraId="5ACFFFAA" w14:textId="77777777" w:rsidR="00987946" w:rsidRPr="009C1DBB" w:rsidRDefault="00987946" w:rsidP="00987946">
      <w:pPr>
        <w:pStyle w:val="ListParagraph"/>
        <w:widowControl/>
        <w:numPr>
          <w:ilvl w:val="0"/>
          <w:numId w:val="30"/>
        </w:numPr>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 xml:space="preserve">To identify the challenges and gaps and develop strategies to improve coordination and data sharing among government institutions, specifically on some of the indicators on child well-being in </w:t>
      </w:r>
      <w:proofErr w:type="gramStart"/>
      <w:r w:rsidRPr="009C1DBB">
        <w:rPr>
          <w:rFonts w:ascii="Arial" w:eastAsiaTheme="minorEastAsia" w:hAnsi="Arial" w:cs="Arial"/>
          <w:sz w:val="20"/>
          <w:shd w:val="clear" w:color="auto" w:fill="FFFFFF"/>
        </w:rPr>
        <w:t>Türkiye</w:t>
      </w:r>
      <w:proofErr w:type="gramEnd"/>
      <w:r w:rsidRPr="009C1DBB">
        <w:rPr>
          <w:rFonts w:ascii="Arial" w:eastAsiaTheme="minorEastAsia" w:hAnsi="Arial" w:cs="Arial"/>
          <w:sz w:val="20"/>
          <w:shd w:val="clear" w:color="auto" w:fill="FFFFFF"/>
        </w:rPr>
        <w:t xml:space="preserve"> </w:t>
      </w:r>
    </w:p>
    <w:p w14:paraId="78900402" w14:textId="77777777" w:rsidR="00987946" w:rsidRPr="009C1DBB" w:rsidRDefault="00987946" w:rsidP="00987946">
      <w:pPr>
        <w:pStyle w:val="ListParagraph"/>
        <w:widowControl/>
        <w:numPr>
          <w:ilvl w:val="0"/>
          <w:numId w:val="30"/>
        </w:numPr>
        <w:autoSpaceDE w:val="0"/>
        <w:autoSpaceDN w:val="0"/>
        <w:adjustRightInd w:val="0"/>
        <w:spacing w:after="160"/>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 xml:space="preserve">To develop strategies, with action plan/s including responsible institution to address the bottlenecks for effective and efficient child related data generation and dissemination. This includes mapping the data landscape in the identified priority areas, specifically ministries by identifying capacity, systems and resource needs </w:t>
      </w:r>
      <w:proofErr w:type="spellStart"/>
      <w:proofErr w:type="gramStart"/>
      <w:r w:rsidRPr="009C1DBB">
        <w:rPr>
          <w:rFonts w:ascii="Arial" w:eastAsiaTheme="minorEastAsia" w:hAnsi="Arial" w:cs="Arial"/>
          <w:sz w:val="20"/>
          <w:shd w:val="clear" w:color="auto" w:fill="FFFFFF"/>
        </w:rPr>
        <w:t>i</w:t>
      </w:r>
      <w:proofErr w:type="spellEnd"/>
      <w:proofErr w:type="gramEnd"/>
    </w:p>
    <w:p w14:paraId="47F6A61B" w14:textId="16C3EC7C" w:rsidR="00987946" w:rsidRPr="009C1DBB" w:rsidRDefault="00987946" w:rsidP="00987946">
      <w:pPr>
        <w:pStyle w:val="ListParagraph"/>
        <w:widowControl/>
        <w:numPr>
          <w:ilvl w:val="0"/>
          <w:numId w:val="30"/>
        </w:numPr>
        <w:autoSpaceDE w:val="0"/>
        <w:autoSpaceDN w:val="0"/>
        <w:adjustRightInd w:val="0"/>
        <w:spacing w:after="160"/>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Assess the level of interoperability and integration among various administrative data systems and identify areas for improvement.</w:t>
      </w:r>
    </w:p>
    <w:p w14:paraId="5C4F2A81" w14:textId="77777777" w:rsidR="00987946" w:rsidRPr="009C1DBB" w:rsidRDefault="00987946" w:rsidP="00987946">
      <w:pPr>
        <w:pStyle w:val="ListParagraph"/>
        <w:widowControl/>
        <w:numPr>
          <w:ilvl w:val="0"/>
          <w:numId w:val="30"/>
        </w:numPr>
        <w:autoSpaceDE w:val="0"/>
        <w:autoSpaceDN w:val="0"/>
        <w:adjustRightInd w:val="0"/>
        <w:spacing w:after="160"/>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 xml:space="preserve">To provide analysis of administrative data landscape </w:t>
      </w:r>
      <w:proofErr w:type="gramStart"/>
      <w:r w:rsidRPr="009C1DBB">
        <w:rPr>
          <w:rFonts w:ascii="Arial" w:eastAsiaTheme="minorEastAsia" w:hAnsi="Arial" w:cs="Arial"/>
          <w:sz w:val="20"/>
          <w:shd w:val="clear" w:color="auto" w:fill="FFFFFF"/>
        </w:rPr>
        <w:t>taking into account</w:t>
      </w:r>
      <w:proofErr w:type="gramEnd"/>
      <w:r w:rsidRPr="009C1DBB">
        <w:rPr>
          <w:rFonts w:ascii="Arial" w:eastAsiaTheme="minorEastAsia" w:hAnsi="Arial" w:cs="Arial"/>
          <w:sz w:val="20"/>
          <w:shd w:val="clear" w:color="auto" w:fill="FFFFFF"/>
        </w:rPr>
        <w:t xml:space="preserve"> the current and potential data actors (including demanders, suppliers, and users), existing data systems and capacities, (both government and major government partners), priorities of the government, the UN and the UNICEF country program, and future plans, opportunities, and threats for child well-being. </w:t>
      </w:r>
    </w:p>
    <w:p w14:paraId="641E88C1" w14:textId="04CFF989" w:rsidR="00987946" w:rsidRPr="009C1DBB" w:rsidRDefault="00987946" w:rsidP="00987946">
      <w:pPr>
        <w:pStyle w:val="ListParagraph"/>
        <w:widowControl/>
        <w:numPr>
          <w:ilvl w:val="0"/>
          <w:numId w:val="30"/>
        </w:numPr>
        <w:autoSpaceDE w:val="0"/>
        <w:autoSpaceDN w:val="0"/>
        <w:adjustRightInd w:val="0"/>
        <w:spacing w:after="160"/>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Define the data gaps in areas that relates to children well-being compared to CRM (Child Rights Monitoring) framework, National Development Goals</w:t>
      </w:r>
      <w:r w:rsidR="00E40F5C">
        <w:rPr>
          <w:rFonts w:ascii="Arial" w:eastAsiaTheme="minorEastAsia" w:hAnsi="Arial" w:cs="Arial"/>
          <w:sz w:val="20"/>
          <w:shd w:val="clear" w:color="auto" w:fill="FFFFFF"/>
        </w:rPr>
        <w:t xml:space="preserve"> </w:t>
      </w:r>
      <w:r w:rsidRPr="009C1DBB">
        <w:rPr>
          <w:rFonts w:ascii="Arial" w:eastAsiaTheme="minorEastAsia" w:hAnsi="Arial" w:cs="Arial"/>
          <w:sz w:val="20"/>
          <w:shd w:val="clear" w:color="auto" w:fill="FFFFFF"/>
        </w:rPr>
        <w:t>(12</w:t>
      </w:r>
      <w:r w:rsidRPr="009C1DBB">
        <w:rPr>
          <w:rFonts w:ascii="Arial" w:eastAsiaTheme="minorEastAsia" w:hAnsi="Arial" w:cs="Arial"/>
          <w:sz w:val="20"/>
          <w:shd w:val="clear" w:color="auto" w:fill="FFFFFF"/>
          <w:vertAlign w:val="superscript"/>
        </w:rPr>
        <w:t>th</w:t>
      </w:r>
      <w:r w:rsidRPr="009C1DBB">
        <w:rPr>
          <w:rFonts w:ascii="Arial" w:eastAsiaTheme="minorEastAsia" w:hAnsi="Arial" w:cs="Arial"/>
          <w:sz w:val="20"/>
          <w:shd w:val="clear" w:color="auto" w:fill="FFFFFF"/>
        </w:rPr>
        <w:t xml:space="preserve"> NDP) and internationally used set of child-wellbeing indicators like the Sustainable Development </w:t>
      </w:r>
      <w:proofErr w:type="gramStart"/>
      <w:r w:rsidRPr="009C1DBB">
        <w:rPr>
          <w:rFonts w:ascii="Arial" w:eastAsiaTheme="minorEastAsia" w:hAnsi="Arial" w:cs="Arial"/>
          <w:sz w:val="20"/>
          <w:shd w:val="clear" w:color="auto" w:fill="FFFFFF"/>
        </w:rPr>
        <w:t>Goals(</w:t>
      </w:r>
      <w:proofErr w:type="gramEnd"/>
      <w:r w:rsidRPr="009C1DBB">
        <w:rPr>
          <w:rFonts w:ascii="Arial" w:eastAsiaTheme="minorEastAsia" w:hAnsi="Arial" w:cs="Arial"/>
          <w:sz w:val="20"/>
          <w:shd w:val="clear" w:color="auto" w:fill="FFFFFF"/>
        </w:rPr>
        <w:t xml:space="preserve">SDGs) </w:t>
      </w:r>
    </w:p>
    <w:p w14:paraId="0271318E" w14:textId="77777777" w:rsidR="00987946" w:rsidRPr="009C1DBB" w:rsidRDefault="00987946" w:rsidP="00987946">
      <w:pPr>
        <w:pStyle w:val="ListParagraph"/>
        <w:widowControl/>
        <w:numPr>
          <w:ilvl w:val="0"/>
          <w:numId w:val="30"/>
        </w:numPr>
        <w:autoSpaceDE w:val="0"/>
        <w:autoSpaceDN w:val="0"/>
        <w:adjustRightInd w:val="0"/>
        <w:spacing w:after="160"/>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Propose measures for data integration and standardization to enhance the consistency and accuracy of definitions and data collection standards.</w:t>
      </w:r>
    </w:p>
    <w:p w14:paraId="09DEA036" w14:textId="77777777" w:rsidR="00987946" w:rsidRPr="009C1DBB" w:rsidRDefault="00987946" w:rsidP="00987946">
      <w:pPr>
        <w:pStyle w:val="ListParagraph"/>
        <w:autoSpaceDE w:val="0"/>
        <w:autoSpaceDN w:val="0"/>
        <w:adjustRightInd w:val="0"/>
        <w:spacing w:after="160"/>
        <w:jc w:val="both"/>
        <w:rPr>
          <w:rFonts w:ascii="Arial" w:eastAsia="SimSun" w:hAnsi="Arial" w:cs="Arial"/>
          <w:color w:val="000000"/>
          <w:sz w:val="20"/>
          <w:lang w:eastAsia="en-GB"/>
        </w:rPr>
      </w:pPr>
    </w:p>
    <w:p w14:paraId="3CB4E21A" w14:textId="77777777" w:rsidR="00987946" w:rsidRPr="009C1DBB" w:rsidRDefault="00987946" w:rsidP="00987946">
      <w:pPr>
        <w:pStyle w:val="ListParagraph"/>
        <w:autoSpaceDE w:val="0"/>
        <w:autoSpaceDN w:val="0"/>
        <w:adjustRightInd w:val="0"/>
        <w:spacing w:after="160"/>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Based on the above, the analysis report should also:</w:t>
      </w:r>
    </w:p>
    <w:p w14:paraId="0252D8EA" w14:textId="77777777" w:rsidR="00987946" w:rsidRPr="009C1DBB" w:rsidRDefault="00987946" w:rsidP="00987946">
      <w:pPr>
        <w:pStyle w:val="ListParagraph"/>
        <w:autoSpaceDE w:val="0"/>
        <w:autoSpaceDN w:val="0"/>
        <w:adjustRightInd w:val="0"/>
        <w:spacing w:after="160"/>
        <w:jc w:val="both"/>
        <w:rPr>
          <w:rFonts w:ascii="Arial" w:eastAsiaTheme="minorEastAsia" w:hAnsi="Arial" w:cs="Arial"/>
          <w:sz w:val="20"/>
          <w:shd w:val="clear" w:color="auto" w:fill="FFFFFF"/>
        </w:rPr>
      </w:pPr>
    </w:p>
    <w:p w14:paraId="3F5837D7" w14:textId="77777777" w:rsidR="00987946" w:rsidRPr="009C1DBB" w:rsidRDefault="00987946" w:rsidP="00987946">
      <w:pPr>
        <w:pStyle w:val="ListParagraph"/>
        <w:widowControl/>
        <w:numPr>
          <w:ilvl w:val="0"/>
          <w:numId w:val="30"/>
        </w:numPr>
        <w:autoSpaceDE w:val="0"/>
        <w:autoSpaceDN w:val="0"/>
        <w:adjustRightInd w:val="0"/>
        <w:spacing w:after="160"/>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 xml:space="preserve">Develop a strategic action plan that will focus on. </w:t>
      </w:r>
    </w:p>
    <w:p w14:paraId="3662FABD" w14:textId="77777777" w:rsidR="00987946" w:rsidRPr="009C1DBB" w:rsidRDefault="00987946" w:rsidP="00987946">
      <w:pPr>
        <w:pStyle w:val="ListParagraph"/>
        <w:widowControl/>
        <w:numPr>
          <w:ilvl w:val="1"/>
          <w:numId w:val="30"/>
        </w:numPr>
        <w:autoSpaceDE w:val="0"/>
        <w:autoSpaceDN w:val="0"/>
        <w:adjustRightInd w:val="0"/>
        <w:spacing w:after="160"/>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lastRenderedPageBreak/>
        <w:t>Ensuring the availability of disaggregated data on child wellbeing both at administrative level and through surveys with a collaborative and collective effort</w:t>
      </w:r>
    </w:p>
    <w:p w14:paraId="0E3A0805" w14:textId="588C312E" w:rsidR="00987946" w:rsidRPr="009C1DBB" w:rsidRDefault="00987946" w:rsidP="00987946">
      <w:pPr>
        <w:pStyle w:val="ListParagraph"/>
        <w:widowControl/>
        <w:numPr>
          <w:ilvl w:val="1"/>
          <w:numId w:val="30"/>
        </w:numPr>
        <w:autoSpaceDE w:val="0"/>
        <w:autoSpaceDN w:val="0"/>
        <w:adjustRightInd w:val="0"/>
        <w:spacing w:after="160"/>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 xml:space="preserve">Enhance coordination to generate and share data among government institutions, to support evidence-based planning and policy making at different </w:t>
      </w:r>
      <w:proofErr w:type="gramStart"/>
      <w:r w:rsidRPr="009C1DBB">
        <w:rPr>
          <w:rFonts w:ascii="Arial" w:eastAsiaTheme="minorEastAsia" w:hAnsi="Arial" w:cs="Arial"/>
          <w:sz w:val="20"/>
          <w:shd w:val="clear" w:color="auto" w:fill="FFFFFF"/>
        </w:rPr>
        <w:t>levels</w:t>
      </w:r>
      <w:proofErr w:type="gramEnd"/>
    </w:p>
    <w:p w14:paraId="635255BF" w14:textId="7B5E1156" w:rsidR="00987946" w:rsidRPr="009C1DBB" w:rsidRDefault="00987946" w:rsidP="00987946">
      <w:pPr>
        <w:pStyle w:val="ListParagraph"/>
        <w:widowControl/>
        <w:numPr>
          <w:ilvl w:val="1"/>
          <w:numId w:val="30"/>
        </w:numPr>
        <w:autoSpaceDE w:val="0"/>
        <w:autoSpaceDN w:val="0"/>
        <w:adjustRightInd w:val="0"/>
        <w:spacing w:after="160"/>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 xml:space="preserve">Identifying bottlenecks/challenges and propose corresponding </w:t>
      </w:r>
      <w:proofErr w:type="gramStart"/>
      <w:r w:rsidRPr="009C1DBB">
        <w:rPr>
          <w:rFonts w:ascii="Arial" w:eastAsiaTheme="minorEastAsia" w:hAnsi="Arial" w:cs="Arial"/>
          <w:sz w:val="20"/>
          <w:shd w:val="clear" w:color="auto" w:fill="FFFFFF"/>
        </w:rPr>
        <w:t>recommendations</w:t>
      </w:r>
      <w:proofErr w:type="gramEnd"/>
    </w:p>
    <w:p w14:paraId="68B0677C" w14:textId="39A49E6A" w:rsidR="00987946" w:rsidRPr="009C1DBB" w:rsidRDefault="00987946" w:rsidP="00987946">
      <w:pPr>
        <w:pStyle w:val="ListParagraph"/>
        <w:widowControl/>
        <w:numPr>
          <w:ilvl w:val="1"/>
          <w:numId w:val="30"/>
        </w:numPr>
        <w:autoSpaceDE w:val="0"/>
        <w:autoSpaceDN w:val="0"/>
        <w:adjustRightInd w:val="0"/>
        <w:spacing w:after="160"/>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 xml:space="preserve">Design a roadmap to develop reporting tools and a common child </w:t>
      </w:r>
      <w:proofErr w:type="gramStart"/>
      <w:r w:rsidRPr="009C1DBB">
        <w:rPr>
          <w:rFonts w:ascii="Arial" w:eastAsiaTheme="minorEastAsia" w:hAnsi="Arial" w:cs="Arial"/>
          <w:sz w:val="20"/>
          <w:shd w:val="clear" w:color="auto" w:fill="FFFFFF"/>
        </w:rPr>
        <w:t>database</w:t>
      </w:r>
      <w:proofErr w:type="gramEnd"/>
    </w:p>
    <w:p w14:paraId="527EFDDA" w14:textId="77777777" w:rsidR="00987946" w:rsidRPr="009C1DBB" w:rsidRDefault="00987946" w:rsidP="00987946">
      <w:pPr>
        <w:pStyle w:val="ListParagraph"/>
        <w:autoSpaceDE w:val="0"/>
        <w:autoSpaceDN w:val="0"/>
        <w:adjustRightInd w:val="0"/>
        <w:spacing w:after="160"/>
        <w:ind w:left="1440"/>
        <w:jc w:val="both"/>
        <w:rPr>
          <w:rFonts w:ascii="Arial" w:eastAsiaTheme="minorEastAsia" w:hAnsi="Arial" w:cs="Arial"/>
          <w:sz w:val="20"/>
          <w:shd w:val="clear" w:color="auto" w:fill="FFFFFF"/>
        </w:rPr>
      </w:pPr>
    </w:p>
    <w:p w14:paraId="6CDD6D0F" w14:textId="77777777" w:rsidR="00987946" w:rsidRPr="009C1DBB" w:rsidRDefault="00987946" w:rsidP="00987946">
      <w:pPr>
        <w:pStyle w:val="ListParagraph"/>
        <w:widowControl/>
        <w:numPr>
          <w:ilvl w:val="0"/>
          <w:numId w:val="30"/>
        </w:numPr>
        <w:autoSpaceDE w:val="0"/>
        <w:autoSpaceDN w:val="0"/>
        <w:adjustRightInd w:val="0"/>
        <w:spacing w:after="160"/>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 xml:space="preserve">The analysis should be consistent with the principles for data work and </w:t>
      </w:r>
      <w:proofErr w:type="gramStart"/>
      <w:r w:rsidRPr="009C1DBB">
        <w:rPr>
          <w:rFonts w:ascii="Arial" w:eastAsiaTheme="minorEastAsia" w:hAnsi="Arial" w:cs="Arial"/>
          <w:sz w:val="20"/>
          <w:shd w:val="clear" w:color="auto" w:fill="FFFFFF"/>
        </w:rPr>
        <w:t>take into account</w:t>
      </w:r>
      <w:proofErr w:type="gramEnd"/>
      <w:r w:rsidRPr="009C1DBB">
        <w:rPr>
          <w:rFonts w:ascii="Arial" w:eastAsiaTheme="minorEastAsia" w:hAnsi="Arial" w:cs="Arial"/>
          <w:sz w:val="20"/>
          <w:shd w:val="clear" w:color="auto" w:fill="FFFFFF"/>
        </w:rPr>
        <w:t xml:space="preserve"> data demand, supply, and use elements. It should focus on advancing ministries' data management systems and infrastructures to be user-friendly and to generate collective information. </w:t>
      </w:r>
    </w:p>
    <w:p w14:paraId="05ADC2A0" w14:textId="77777777" w:rsidR="00987946" w:rsidRPr="009C1DBB" w:rsidRDefault="00987946" w:rsidP="00987946">
      <w:pPr>
        <w:pStyle w:val="ListParagraph"/>
        <w:widowControl/>
        <w:numPr>
          <w:ilvl w:val="0"/>
          <w:numId w:val="30"/>
        </w:numPr>
        <w:autoSpaceDE w:val="0"/>
        <w:autoSpaceDN w:val="0"/>
        <w:adjustRightInd w:val="0"/>
        <w:spacing w:after="160"/>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 xml:space="preserve">The strategy to be developed should, to the extent possible, include indicative costs, allowing it to be easily translated into resource mobilization appeals. </w:t>
      </w:r>
    </w:p>
    <w:p w14:paraId="7610366F" w14:textId="77777777" w:rsidR="00987946" w:rsidRPr="009C1DBB" w:rsidRDefault="00987946" w:rsidP="00987946">
      <w:pPr>
        <w:pStyle w:val="ListParagraph"/>
        <w:widowControl/>
        <w:numPr>
          <w:ilvl w:val="0"/>
          <w:numId w:val="30"/>
        </w:numPr>
        <w:autoSpaceDE w:val="0"/>
        <w:autoSpaceDN w:val="0"/>
        <w:adjustRightInd w:val="0"/>
        <w:spacing w:after="160"/>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 xml:space="preserve">The strategy to be developed should, to the extent possible, be developed along with key members of the </w:t>
      </w:r>
      <w:proofErr w:type="spellStart"/>
      <w:r w:rsidRPr="009C1DBB">
        <w:rPr>
          <w:rFonts w:ascii="Arial" w:eastAsiaTheme="minorEastAsia" w:hAnsi="Arial" w:cs="Arial"/>
          <w:sz w:val="20"/>
          <w:shd w:val="clear" w:color="auto" w:fill="FFFFFF"/>
        </w:rPr>
        <w:t>TurkStat</w:t>
      </w:r>
      <w:proofErr w:type="spellEnd"/>
      <w:r w:rsidRPr="009C1DBB">
        <w:rPr>
          <w:rFonts w:ascii="Arial" w:eastAsiaTheme="minorEastAsia" w:hAnsi="Arial" w:cs="Arial"/>
          <w:sz w:val="20"/>
          <w:shd w:val="clear" w:color="auto" w:fill="FFFFFF"/>
        </w:rPr>
        <w:t xml:space="preserve"> and Ministry officials in a consultative process. </w:t>
      </w:r>
    </w:p>
    <w:p w14:paraId="67053702" w14:textId="77777777" w:rsidR="00987946" w:rsidRPr="009C1DBB" w:rsidRDefault="00987946" w:rsidP="00987946">
      <w:pPr>
        <w:pStyle w:val="ListParagraph"/>
        <w:autoSpaceDE w:val="0"/>
        <w:autoSpaceDN w:val="0"/>
        <w:adjustRightInd w:val="0"/>
        <w:spacing w:after="160"/>
        <w:jc w:val="both"/>
        <w:rPr>
          <w:rFonts w:ascii="Arial" w:eastAsiaTheme="minorEastAsia" w:hAnsi="Arial" w:cs="Arial"/>
          <w:sz w:val="20"/>
          <w:shd w:val="clear" w:color="auto" w:fill="FFFFFF"/>
        </w:rPr>
      </w:pPr>
    </w:p>
    <w:p w14:paraId="4E1C3D23" w14:textId="77777777" w:rsidR="00987946" w:rsidRPr="009C1DBB" w:rsidRDefault="00987946" w:rsidP="00987946">
      <w:pPr>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 xml:space="preserve">The Data Landscape Analysis for Child Related Data will be developed from a combination of desk research and key informant interviews with key officials from the ministries, CSOs and other partners. While there are several data related activities and innovations taking place in Türkiye, the scope of this activity focuses on the national level (Mainly data generated by </w:t>
      </w:r>
      <w:proofErr w:type="spellStart"/>
      <w:r w:rsidRPr="009C1DBB">
        <w:rPr>
          <w:rFonts w:ascii="Arial" w:eastAsiaTheme="minorEastAsia" w:hAnsi="Arial" w:cs="Arial"/>
          <w:sz w:val="20"/>
          <w:shd w:val="clear" w:color="auto" w:fill="FFFFFF"/>
        </w:rPr>
        <w:t>TurkStat</w:t>
      </w:r>
      <w:proofErr w:type="spellEnd"/>
      <w:r w:rsidRPr="009C1DBB">
        <w:rPr>
          <w:rFonts w:ascii="Arial" w:eastAsiaTheme="minorEastAsia" w:hAnsi="Arial" w:cs="Arial"/>
          <w:sz w:val="20"/>
          <w:shd w:val="clear" w:color="auto" w:fill="FFFFFF"/>
        </w:rPr>
        <w:t xml:space="preserve"> and other Government ministries) data both administrative and survey-based, for children ecosystem. </w:t>
      </w:r>
    </w:p>
    <w:p w14:paraId="541A2C7C" w14:textId="2D09ACF7" w:rsidR="00987946" w:rsidRPr="009C1DBB" w:rsidRDefault="00987946" w:rsidP="006B1B8F">
      <w:pPr>
        <w:pStyle w:val="paragraph"/>
        <w:spacing w:before="0" w:beforeAutospacing="0" w:after="0" w:afterAutospacing="0"/>
        <w:jc w:val="both"/>
        <w:textAlignment w:val="baseline"/>
        <w:rPr>
          <w:rFonts w:ascii="Arial" w:hAnsi="Arial" w:cs="Arial"/>
          <w:b/>
          <w:color w:val="009CFD"/>
          <w:sz w:val="20"/>
          <w:szCs w:val="20"/>
        </w:rPr>
      </w:pPr>
      <w:r w:rsidRPr="009C1DBB">
        <w:rPr>
          <w:rFonts w:ascii="Arial" w:hAnsi="Arial" w:cs="Arial"/>
          <w:b/>
          <w:color w:val="009CFD"/>
          <w:sz w:val="20"/>
          <w:szCs w:val="20"/>
        </w:rPr>
        <w:t xml:space="preserve"> </w:t>
      </w:r>
    </w:p>
    <w:p w14:paraId="0B29760E" w14:textId="77777777" w:rsidR="00987946" w:rsidRPr="009C1DBB" w:rsidRDefault="00987946" w:rsidP="00987946">
      <w:pPr>
        <w:pStyle w:val="BodyText"/>
        <w:widowControl/>
        <w:numPr>
          <w:ilvl w:val="0"/>
          <w:numId w:val="29"/>
        </w:numPr>
        <w:tabs>
          <w:tab w:val="clear" w:pos="-1440"/>
        </w:tabs>
        <w:spacing w:after="120"/>
        <w:ind w:left="714" w:hanging="357"/>
        <w:jc w:val="both"/>
        <w:rPr>
          <w:rFonts w:cs="Arial"/>
          <w:b/>
          <w:color w:val="009CFD"/>
        </w:rPr>
      </w:pPr>
      <w:r w:rsidRPr="009C1DBB">
        <w:rPr>
          <w:rFonts w:cs="Arial"/>
          <w:b/>
          <w:color w:val="009CFD"/>
        </w:rPr>
        <w:t xml:space="preserve">Methodology </w:t>
      </w:r>
    </w:p>
    <w:p w14:paraId="50A2A4DE" w14:textId="77777777" w:rsidR="00987946" w:rsidRPr="009C1DBB" w:rsidRDefault="00987946" w:rsidP="00987946">
      <w:pPr>
        <w:pStyle w:val="BodyText"/>
        <w:jc w:val="both"/>
        <w:rPr>
          <w:rFonts w:eastAsiaTheme="minorEastAsia" w:cs="Arial"/>
          <w:shd w:val="clear" w:color="auto" w:fill="FFFFFF"/>
        </w:rPr>
      </w:pPr>
      <w:r w:rsidRPr="009C1DBB">
        <w:rPr>
          <w:rFonts w:eastAsiaTheme="minorEastAsia" w:cs="Arial"/>
          <w:shd w:val="clear" w:color="auto" w:fill="FFFFFF"/>
        </w:rPr>
        <w:t xml:space="preserve">The methodology of the exercise should follow the below steps at minimum. Consultant(s) can propose additional steps.   </w:t>
      </w:r>
    </w:p>
    <w:p w14:paraId="0A9BB1D1" w14:textId="77777777" w:rsidR="00987946" w:rsidRPr="009C1DBB" w:rsidRDefault="00987946" w:rsidP="00987946">
      <w:pPr>
        <w:pStyle w:val="BodyText"/>
        <w:jc w:val="both"/>
        <w:rPr>
          <w:rFonts w:eastAsiaTheme="minorEastAsia" w:cs="Arial"/>
          <w:shd w:val="clear" w:color="auto" w:fill="FFFFFF"/>
        </w:rPr>
      </w:pPr>
    </w:p>
    <w:p w14:paraId="12015840" w14:textId="77777777" w:rsidR="00987946" w:rsidRPr="009C1DBB" w:rsidRDefault="00987946" w:rsidP="00987946">
      <w:pPr>
        <w:pStyle w:val="BodyText"/>
        <w:jc w:val="both"/>
        <w:rPr>
          <w:rFonts w:eastAsiaTheme="minorEastAsia" w:cs="Arial"/>
          <w:b/>
          <w:bCs/>
          <w:shd w:val="clear" w:color="auto" w:fill="FFFFFF"/>
        </w:rPr>
      </w:pPr>
      <w:r w:rsidRPr="009C1DBB">
        <w:rPr>
          <w:rFonts w:eastAsiaTheme="minorEastAsia" w:cs="Arial"/>
          <w:b/>
          <w:bCs/>
          <w:shd w:val="clear" w:color="auto" w:fill="FFFFFF"/>
        </w:rPr>
        <w:t>Desk Review</w:t>
      </w:r>
    </w:p>
    <w:p w14:paraId="58A34100" w14:textId="77777777" w:rsidR="00987946" w:rsidRPr="009C1DBB" w:rsidRDefault="00987946" w:rsidP="00987946">
      <w:pPr>
        <w:pStyle w:val="BodyText"/>
        <w:widowControl/>
        <w:numPr>
          <w:ilvl w:val="0"/>
          <w:numId w:val="35"/>
        </w:numPr>
        <w:tabs>
          <w:tab w:val="clear" w:pos="-1440"/>
        </w:tabs>
        <w:ind w:left="714" w:hanging="357"/>
        <w:jc w:val="both"/>
        <w:rPr>
          <w:rFonts w:eastAsiaTheme="minorEastAsia" w:cs="Arial"/>
          <w:shd w:val="clear" w:color="auto" w:fill="FFFFFF"/>
        </w:rPr>
      </w:pPr>
      <w:r w:rsidRPr="009C1DBB">
        <w:rPr>
          <w:rFonts w:eastAsiaTheme="minorEastAsia" w:cs="Arial"/>
          <w:shd w:val="clear" w:color="auto" w:fill="FFFFFF"/>
        </w:rPr>
        <w:t>Review legislation, policies, and regulations related to data collection, sharing, and protection concerning children.</w:t>
      </w:r>
    </w:p>
    <w:p w14:paraId="0A018E38" w14:textId="77777777" w:rsidR="00987946" w:rsidRPr="009C1DBB" w:rsidRDefault="00987946" w:rsidP="00987946">
      <w:pPr>
        <w:pStyle w:val="BodyText"/>
        <w:widowControl/>
        <w:numPr>
          <w:ilvl w:val="0"/>
          <w:numId w:val="35"/>
        </w:numPr>
        <w:tabs>
          <w:tab w:val="clear" w:pos="-1440"/>
        </w:tabs>
        <w:ind w:left="714" w:hanging="357"/>
        <w:jc w:val="both"/>
        <w:rPr>
          <w:rFonts w:eastAsiaTheme="minorEastAsia" w:cs="Arial"/>
          <w:shd w:val="clear" w:color="auto" w:fill="FFFFFF"/>
        </w:rPr>
      </w:pPr>
      <w:r w:rsidRPr="009C1DBB">
        <w:rPr>
          <w:rFonts w:eastAsiaTheme="minorEastAsia" w:cs="Arial"/>
          <w:shd w:val="clear" w:color="auto" w:fill="FFFFFF"/>
        </w:rPr>
        <w:t>Analyze existing data systems, surveys, and methodologies utilized by ministries and other stakeholders for collecting child-related data.</w:t>
      </w:r>
    </w:p>
    <w:p w14:paraId="78B9BF6D" w14:textId="77777777" w:rsidR="00987946" w:rsidRPr="009C1DBB" w:rsidRDefault="00987946" w:rsidP="00987946">
      <w:pPr>
        <w:pStyle w:val="BodyText"/>
        <w:widowControl/>
        <w:numPr>
          <w:ilvl w:val="0"/>
          <w:numId w:val="35"/>
        </w:numPr>
        <w:tabs>
          <w:tab w:val="clear" w:pos="-1440"/>
        </w:tabs>
        <w:ind w:left="714" w:hanging="357"/>
        <w:jc w:val="both"/>
        <w:rPr>
          <w:rFonts w:eastAsiaTheme="minorEastAsia" w:cs="Arial"/>
          <w:shd w:val="clear" w:color="auto" w:fill="FFFFFF"/>
        </w:rPr>
      </w:pPr>
      <w:r w:rsidRPr="009C1DBB">
        <w:rPr>
          <w:rFonts w:eastAsiaTheme="minorEastAsia" w:cs="Arial"/>
          <w:shd w:val="clear" w:color="auto" w:fill="FFFFFF"/>
        </w:rPr>
        <w:t>A stakeholder mapping form that facilitates capturing consistent information about children data stakeholders in the country, ensuring consideration of users, producers, and government institutions.</w:t>
      </w:r>
    </w:p>
    <w:p w14:paraId="08F1A493" w14:textId="77777777" w:rsidR="00987946" w:rsidRPr="009C1DBB" w:rsidRDefault="00987946" w:rsidP="00987946">
      <w:pPr>
        <w:pStyle w:val="BodyText"/>
        <w:widowControl/>
        <w:numPr>
          <w:ilvl w:val="0"/>
          <w:numId w:val="35"/>
        </w:numPr>
        <w:tabs>
          <w:tab w:val="clear" w:pos="-1440"/>
        </w:tabs>
        <w:ind w:left="714" w:hanging="357"/>
        <w:jc w:val="both"/>
        <w:rPr>
          <w:rFonts w:eastAsiaTheme="minorEastAsia" w:cs="Arial"/>
          <w:shd w:val="clear" w:color="auto" w:fill="FFFFFF"/>
        </w:rPr>
      </w:pPr>
      <w:r w:rsidRPr="009C1DBB">
        <w:rPr>
          <w:rFonts w:eastAsiaTheme="minorEastAsia" w:cs="Arial"/>
          <w:shd w:val="clear" w:color="auto" w:fill="FFFFFF"/>
        </w:rPr>
        <w:t>Categorize data sources by relevance to children, refugees, and SDGs.</w:t>
      </w:r>
    </w:p>
    <w:p w14:paraId="39434523" w14:textId="77777777" w:rsidR="00987946" w:rsidRPr="009C1DBB" w:rsidRDefault="00987946" w:rsidP="00987946">
      <w:pPr>
        <w:pStyle w:val="BodyText"/>
        <w:widowControl/>
        <w:numPr>
          <w:ilvl w:val="0"/>
          <w:numId w:val="35"/>
        </w:numPr>
        <w:tabs>
          <w:tab w:val="clear" w:pos="-1440"/>
        </w:tabs>
        <w:ind w:left="714" w:hanging="357"/>
        <w:jc w:val="both"/>
        <w:rPr>
          <w:rFonts w:eastAsiaTheme="minorEastAsia" w:cs="Arial"/>
          <w:shd w:val="clear" w:color="auto" w:fill="FFFFFF"/>
        </w:rPr>
      </w:pPr>
      <w:r w:rsidRPr="009C1DBB">
        <w:rPr>
          <w:rFonts w:eastAsiaTheme="minorEastAsia" w:cs="Arial"/>
          <w:shd w:val="clear" w:color="auto" w:fill="FFFFFF"/>
        </w:rPr>
        <w:t>Create an inventory of existing administrative and survey data sources across various sectors and government bodies.</w:t>
      </w:r>
    </w:p>
    <w:p w14:paraId="64C03038" w14:textId="77777777" w:rsidR="00987946" w:rsidRPr="009C1DBB" w:rsidRDefault="00987946" w:rsidP="00987946">
      <w:pPr>
        <w:pStyle w:val="BodyText"/>
        <w:jc w:val="both"/>
        <w:rPr>
          <w:rFonts w:eastAsiaTheme="minorEastAsia" w:cs="Arial"/>
          <w:shd w:val="clear" w:color="auto" w:fill="FFFFFF"/>
        </w:rPr>
      </w:pPr>
      <w:r w:rsidRPr="009C1DBB">
        <w:rPr>
          <w:rFonts w:eastAsiaTheme="minorEastAsia" w:cs="Arial"/>
          <w:shd w:val="clear" w:color="auto" w:fill="FFFFFF"/>
        </w:rPr>
        <w:t xml:space="preserve"> </w:t>
      </w:r>
    </w:p>
    <w:p w14:paraId="3C06D2C0" w14:textId="77777777" w:rsidR="00987946" w:rsidRPr="009C1DBB" w:rsidRDefault="00987946" w:rsidP="00987946">
      <w:pPr>
        <w:pStyle w:val="BodyText"/>
        <w:jc w:val="both"/>
        <w:rPr>
          <w:rFonts w:eastAsiaTheme="minorEastAsia" w:cs="Arial"/>
          <w:b/>
          <w:bCs/>
          <w:shd w:val="clear" w:color="auto" w:fill="FFFFFF"/>
        </w:rPr>
      </w:pPr>
      <w:r w:rsidRPr="009C1DBB">
        <w:rPr>
          <w:rFonts w:eastAsiaTheme="minorEastAsia" w:cs="Arial"/>
          <w:b/>
          <w:bCs/>
          <w:shd w:val="clear" w:color="auto" w:fill="FFFFFF"/>
        </w:rPr>
        <w:t xml:space="preserve">Data Collection </w:t>
      </w:r>
    </w:p>
    <w:p w14:paraId="6CCFD3A2" w14:textId="77777777" w:rsidR="00987946" w:rsidRPr="009C1DBB" w:rsidRDefault="00987946" w:rsidP="00987946">
      <w:pPr>
        <w:pStyle w:val="BodyText"/>
        <w:widowControl/>
        <w:numPr>
          <w:ilvl w:val="0"/>
          <w:numId w:val="36"/>
        </w:numPr>
        <w:tabs>
          <w:tab w:val="clear" w:pos="-1440"/>
        </w:tabs>
        <w:ind w:left="714" w:hanging="357"/>
        <w:jc w:val="both"/>
        <w:rPr>
          <w:rFonts w:eastAsiaTheme="minorEastAsia" w:cs="Arial"/>
          <w:shd w:val="clear" w:color="auto" w:fill="FFFFFF"/>
        </w:rPr>
      </w:pPr>
      <w:r w:rsidRPr="009C1DBB">
        <w:rPr>
          <w:rFonts w:eastAsiaTheme="minorEastAsia" w:cs="Arial"/>
          <w:shd w:val="clear" w:color="auto" w:fill="FFFFFF"/>
        </w:rPr>
        <w:t xml:space="preserve">Conduct key informant interviews with officials from ministries such as </w:t>
      </w:r>
      <w:proofErr w:type="spellStart"/>
      <w:r w:rsidRPr="009C1DBB">
        <w:rPr>
          <w:rFonts w:eastAsiaTheme="minorEastAsia" w:cs="Arial"/>
          <w:shd w:val="clear" w:color="auto" w:fill="FFFFFF"/>
        </w:rPr>
        <w:t>TurkStat</w:t>
      </w:r>
      <w:proofErr w:type="spellEnd"/>
      <w:r w:rsidRPr="009C1DBB">
        <w:rPr>
          <w:rFonts w:eastAsiaTheme="minorEastAsia" w:cs="Arial"/>
          <w:shd w:val="clear" w:color="auto" w:fill="FFFFFF"/>
        </w:rPr>
        <w:t>, Ministry of National Education, Ministry of Family and Social Services, Ministry of Health, Ministry of Justice, and Presidency of Migration Management.</w:t>
      </w:r>
    </w:p>
    <w:p w14:paraId="7BF6DD6B" w14:textId="77777777" w:rsidR="00987946" w:rsidRPr="009C1DBB" w:rsidRDefault="00987946" w:rsidP="00987946">
      <w:pPr>
        <w:pStyle w:val="BodyText"/>
        <w:widowControl/>
        <w:numPr>
          <w:ilvl w:val="0"/>
          <w:numId w:val="36"/>
        </w:numPr>
        <w:tabs>
          <w:tab w:val="clear" w:pos="-1440"/>
        </w:tabs>
        <w:ind w:left="714" w:hanging="357"/>
        <w:jc w:val="both"/>
        <w:rPr>
          <w:rFonts w:eastAsiaTheme="minorEastAsia" w:cs="Arial"/>
          <w:shd w:val="clear" w:color="auto" w:fill="FFFFFF"/>
        </w:rPr>
      </w:pPr>
      <w:r w:rsidRPr="009C1DBB">
        <w:rPr>
          <w:rFonts w:eastAsiaTheme="minorEastAsia" w:cs="Arial"/>
          <w:shd w:val="clear" w:color="auto" w:fill="FFFFFF"/>
        </w:rPr>
        <w:t>Engage with representatives from Civil Society Organizations (CSOs), UN agencies, and other relevant partners involved in child welfare initiatives as data users.</w:t>
      </w:r>
    </w:p>
    <w:p w14:paraId="48993D8B" w14:textId="77777777" w:rsidR="00987946" w:rsidRPr="009C1DBB" w:rsidRDefault="00987946" w:rsidP="00987946">
      <w:pPr>
        <w:pStyle w:val="BodyText"/>
        <w:widowControl/>
        <w:numPr>
          <w:ilvl w:val="0"/>
          <w:numId w:val="36"/>
        </w:numPr>
        <w:tabs>
          <w:tab w:val="clear" w:pos="-1440"/>
        </w:tabs>
        <w:ind w:left="714" w:hanging="357"/>
        <w:jc w:val="both"/>
        <w:rPr>
          <w:rFonts w:eastAsiaTheme="minorEastAsia" w:cs="Arial"/>
          <w:shd w:val="clear" w:color="auto" w:fill="FFFFFF"/>
        </w:rPr>
      </w:pPr>
      <w:r w:rsidRPr="009C1DBB">
        <w:rPr>
          <w:rFonts w:eastAsiaTheme="minorEastAsia" w:cs="Arial"/>
          <w:shd w:val="clear" w:color="auto" w:fill="FFFFFF"/>
        </w:rPr>
        <w:t>Gather insights on current data collection methods, challenges, and opportunities for improving data sharing and utilization.</w:t>
      </w:r>
    </w:p>
    <w:p w14:paraId="39DAD816" w14:textId="77777777" w:rsidR="00987946" w:rsidRPr="009C1DBB" w:rsidRDefault="00987946" w:rsidP="00987946">
      <w:pPr>
        <w:pStyle w:val="BodyText"/>
        <w:widowControl/>
        <w:numPr>
          <w:ilvl w:val="0"/>
          <w:numId w:val="36"/>
        </w:numPr>
        <w:tabs>
          <w:tab w:val="clear" w:pos="-1440"/>
        </w:tabs>
        <w:ind w:left="714" w:hanging="357"/>
        <w:jc w:val="both"/>
        <w:rPr>
          <w:rFonts w:eastAsiaTheme="minorEastAsia" w:cs="Arial"/>
          <w:shd w:val="clear" w:color="auto" w:fill="FFFFFF"/>
        </w:rPr>
      </w:pPr>
      <w:r w:rsidRPr="009C1DBB">
        <w:rPr>
          <w:rFonts w:eastAsiaTheme="minorEastAsia" w:cs="Arial"/>
          <w:shd w:val="clear" w:color="auto" w:fill="FFFFFF"/>
        </w:rPr>
        <w:t>Discuss potential strategies for enhancing interoperability and integration among various data produced by different actors.</w:t>
      </w:r>
    </w:p>
    <w:p w14:paraId="1BA08EA0" w14:textId="77777777" w:rsidR="00987946" w:rsidRPr="009C1DBB" w:rsidRDefault="00987946" w:rsidP="00987946">
      <w:pPr>
        <w:pStyle w:val="BodyText"/>
        <w:widowControl/>
        <w:numPr>
          <w:ilvl w:val="0"/>
          <w:numId w:val="36"/>
        </w:numPr>
        <w:tabs>
          <w:tab w:val="clear" w:pos="-1440"/>
        </w:tabs>
        <w:ind w:left="714" w:hanging="357"/>
        <w:jc w:val="both"/>
        <w:rPr>
          <w:rFonts w:eastAsiaTheme="minorEastAsia" w:cs="Arial"/>
          <w:shd w:val="clear" w:color="auto" w:fill="FFFFFF"/>
        </w:rPr>
      </w:pPr>
      <w:r w:rsidRPr="009C1DBB">
        <w:rPr>
          <w:rFonts w:eastAsiaTheme="minorEastAsia" w:cs="Arial"/>
          <w:shd w:val="clear" w:color="auto" w:fill="FFFFFF"/>
        </w:rPr>
        <w:t>Consultant can suggest additionally focus groups discussions or questionnaires to collect more evidence.</w:t>
      </w:r>
    </w:p>
    <w:p w14:paraId="798C404D" w14:textId="77777777" w:rsidR="00987946" w:rsidRPr="009C1DBB" w:rsidRDefault="00987946" w:rsidP="00987946">
      <w:pPr>
        <w:pStyle w:val="BodyText"/>
        <w:jc w:val="both"/>
        <w:rPr>
          <w:rFonts w:eastAsiaTheme="minorEastAsia" w:cs="Arial"/>
          <w:shd w:val="clear" w:color="auto" w:fill="FFFFFF"/>
        </w:rPr>
      </w:pPr>
    </w:p>
    <w:p w14:paraId="148BC24F" w14:textId="77777777" w:rsidR="00987946" w:rsidRPr="009C1DBB" w:rsidRDefault="00987946" w:rsidP="00987946">
      <w:pPr>
        <w:pStyle w:val="BodyText"/>
        <w:jc w:val="both"/>
        <w:rPr>
          <w:rFonts w:eastAsiaTheme="minorEastAsia" w:cs="Arial"/>
          <w:b/>
          <w:bCs/>
          <w:shd w:val="clear" w:color="auto" w:fill="FFFFFF"/>
        </w:rPr>
      </w:pPr>
      <w:r w:rsidRPr="009C1DBB">
        <w:rPr>
          <w:rFonts w:eastAsiaTheme="minorEastAsia" w:cs="Arial"/>
          <w:b/>
          <w:bCs/>
          <w:shd w:val="clear" w:color="auto" w:fill="FFFFFF"/>
        </w:rPr>
        <w:t>Analysis</w:t>
      </w:r>
    </w:p>
    <w:p w14:paraId="50AA1FBF" w14:textId="65C4B606" w:rsidR="00987946" w:rsidRPr="009C1DBB" w:rsidRDefault="00987946" w:rsidP="00987946">
      <w:pPr>
        <w:pStyle w:val="BodyText"/>
        <w:widowControl/>
        <w:numPr>
          <w:ilvl w:val="0"/>
          <w:numId w:val="37"/>
        </w:numPr>
        <w:tabs>
          <w:tab w:val="clear" w:pos="-1440"/>
        </w:tabs>
        <w:jc w:val="both"/>
        <w:rPr>
          <w:rFonts w:eastAsiaTheme="minorEastAsia" w:cs="Arial"/>
          <w:shd w:val="clear" w:color="auto" w:fill="FFFFFF"/>
        </w:rPr>
      </w:pPr>
      <w:r w:rsidRPr="009C1DBB">
        <w:rPr>
          <w:rFonts w:eastAsiaTheme="minorEastAsia" w:cs="Arial"/>
          <w:shd w:val="clear" w:color="auto" w:fill="FFFFFF"/>
        </w:rPr>
        <w:t>Analyze the collected data to</w:t>
      </w:r>
      <w:r w:rsidR="000952F1">
        <w:rPr>
          <w:rFonts w:eastAsiaTheme="minorEastAsia" w:cs="Arial"/>
          <w:shd w:val="clear" w:color="auto" w:fill="FFFFFF"/>
        </w:rPr>
        <w:t>:</w:t>
      </w:r>
    </w:p>
    <w:p w14:paraId="2990D46E" w14:textId="77777777" w:rsidR="00987946" w:rsidRPr="009C1DBB" w:rsidRDefault="00987946" w:rsidP="00987946">
      <w:pPr>
        <w:pStyle w:val="BodyText"/>
        <w:widowControl/>
        <w:numPr>
          <w:ilvl w:val="1"/>
          <w:numId w:val="37"/>
        </w:numPr>
        <w:tabs>
          <w:tab w:val="clear" w:pos="-1440"/>
        </w:tabs>
        <w:jc w:val="both"/>
        <w:rPr>
          <w:rFonts w:eastAsiaTheme="minorEastAsia" w:cs="Arial"/>
          <w:shd w:val="clear" w:color="auto" w:fill="FFFFFF"/>
        </w:rPr>
      </w:pPr>
      <w:r w:rsidRPr="009C1DBB">
        <w:rPr>
          <w:rFonts w:eastAsiaTheme="minorEastAsia" w:cs="Arial"/>
          <w:shd w:val="clear" w:color="auto" w:fill="FFFFFF"/>
        </w:rPr>
        <w:t xml:space="preserve">Identify gaps, constraints, and challenges in the existing child-related data landscape. </w:t>
      </w:r>
    </w:p>
    <w:p w14:paraId="343244F9" w14:textId="77777777" w:rsidR="00987946" w:rsidRPr="009C1DBB" w:rsidRDefault="00987946" w:rsidP="00987946">
      <w:pPr>
        <w:pStyle w:val="BodyText"/>
        <w:widowControl/>
        <w:numPr>
          <w:ilvl w:val="1"/>
          <w:numId w:val="37"/>
        </w:numPr>
        <w:tabs>
          <w:tab w:val="clear" w:pos="-1440"/>
        </w:tabs>
        <w:jc w:val="both"/>
        <w:rPr>
          <w:rFonts w:eastAsiaTheme="minorEastAsia" w:cs="Arial"/>
          <w:shd w:val="clear" w:color="auto" w:fill="FFFFFF"/>
        </w:rPr>
      </w:pPr>
      <w:r w:rsidRPr="009C1DBB">
        <w:rPr>
          <w:rFonts w:eastAsiaTheme="minorEastAsia" w:cs="Arial"/>
          <w:shd w:val="clear" w:color="auto" w:fill="FFFFFF"/>
        </w:rPr>
        <w:t>Evaluate the level of interoperability and integration among different data systems and identify areas for improvement.</w:t>
      </w:r>
    </w:p>
    <w:p w14:paraId="078CC31A" w14:textId="77777777" w:rsidR="00987946" w:rsidRPr="009C1DBB" w:rsidRDefault="00987946" w:rsidP="00987946">
      <w:pPr>
        <w:pStyle w:val="BodyText"/>
        <w:widowControl/>
        <w:numPr>
          <w:ilvl w:val="1"/>
          <w:numId w:val="37"/>
        </w:numPr>
        <w:tabs>
          <w:tab w:val="clear" w:pos="-1440"/>
        </w:tabs>
        <w:jc w:val="both"/>
        <w:rPr>
          <w:rFonts w:eastAsiaTheme="minorEastAsia" w:cs="Arial"/>
          <w:shd w:val="clear" w:color="auto" w:fill="FFFFFF"/>
        </w:rPr>
      </w:pPr>
      <w:r w:rsidRPr="009C1DBB">
        <w:rPr>
          <w:rFonts w:eastAsiaTheme="minorEastAsia" w:cs="Arial"/>
          <w:shd w:val="clear" w:color="auto" w:fill="FFFFFF"/>
        </w:rPr>
        <w:t>Assess the quality, consistency, and accuracy of existing data sets, including demographic information, health indicators, education statistics, and social welfare data.</w:t>
      </w:r>
    </w:p>
    <w:p w14:paraId="3E256A3A" w14:textId="77777777" w:rsidR="00987946" w:rsidRPr="009C1DBB" w:rsidRDefault="00987946" w:rsidP="00987946">
      <w:pPr>
        <w:pStyle w:val="BodyText"/>
        <w:widowControl/>
        <w:numPr>
          <w:ilvl w:val="1"/>
          <w:numId w:val="37"/>
        </w:numPr>
        <w:tabs>
          <w:tab w:val="clear" w:pos="-1440"/>
        </w:tabs>
        <w:jc w:val="both"/>
        <w:rPr>
          <w:rFonts w:eastAsiaTheme="minorEastAsia" w:cs="Arial"/>
          <w:shd w:val="clear" w:color="auto" w:fill="FFFFFF"/>
        </w:rPr>
      </w:pPr>
      <w:r w:rsidRPr="009C1DBB">
        <w:rPr>
          <w:rFonts w:eastAsiaTheme="minorEastAsia" w:cs="Arial"/>
          <w:shd w:val="clear" w:color="auto" w:fill="FFFFFF"/>
        </w:rPr>
        <w:lastRenderedPageBreak/>
        <w:t>Identify specific data gaps related to child well-being indicators and areas requiring further attention and investment.</w:t>
      </w:r>
    </w:p>
    <w:p w14:paraId="3C690C3C" w14:textId="4687F0AD" w:rsidR="00987946" w:rsidRPr="009C1DBB" w:rsidRDefault="00987946" w:rsidP="00987946">
      <w:pPr>
        <w:pStyle w:val="BodyText"/>
        <w:widowControl/>
        <w:numPr>
          <w:ilvl w:val="1"/>
          <w:numId w:val="37"/>
        </w:numPr>
        <w:tabs>
          <w:tab w:val="clear" w:pos="-1440"/>
        </w:tabs>
        <w:jc w:val="both"/>
        <w:rPr>
          <w:rFonts w:eastAsiaTheme="minorEastAsia" w:cs="Arial"/>
          <w:shd w:val="clear" w:color="auto" w:fill="FFFFFF"/>
        </w:rPr>
      </w:pPr>
      <w:r w:rsidRPr="009C1DBB">
        <w:rPr>
          <w:rFonts w:eastAsiaTheme="minorEastAsia" w:cs="Arial"/>
          <w:shd w:val="clear" w:color="auto" w:fill="FFFFFF"/>
        </w:rPr>
        <w:t xml:space="preserve">Analysis should be presented in the form of a </w:t>
      </w:r>
      <w:proofErr w:type="gramStart"/>
      <w:r w:rsidRPr="009C1DBB">
        <w:rPr>
          <w:rFonts w:eastAsiaTheme="minorEastAsia" w:cs="Arial"/>
          <w:shd w:val="clear" w:color="auto" w:fill="FFFFFF"/>
        </w:rPr>
        <w:t>report</w:t>
      </w:r>
      <w:proofErr w:type="gramEnd"/>
    </w:p>
    <w:p w14:paraId="2507397B" w14:textId="77777777" w:rsidR="00987946" w:rsidRPr="009C1DBB" w:rsidRDefault="00987946" w:rsidP="00987946">
      <w:pPr>
        <w:pStyle w:val="BodyText"/>
        <w:ind w:left="720"/>
        <w:jc w:val="both"/>
        <w:rPr>
          <w:rFonts w:eastAsiaTheme="minorEastAsia" w:cs="Arial"/>
          <w:shd w:val="clear" w:color="auto" w:fill="FFFFFF"/>
        </w:rPr>
      </w:pPr>
    </w:p>
    <w:p w14:paraId="2134FBCD" w14:textId="77777777" w:rsidR="00987946" w:rsidRPr="009C1DBB" w:rsidRDefault="00987946" w:rsidP="00987946">
      <w:pPr>
        <w:pStyle w:val="BodyText"/>
        <w:jc w:val="both"/>
        <w:rPr>
          <w:rFonts w:eastAsiaTheme="minorEastAsia" w:cs="Arial"/>
          <w:b/>
          <w:bCs/>
          <w:shd w:val="clear" w:color="auto" w:fill="FFFFFF"/>
        </w:rPr>
      </w:pPr>
      <w:r w:rsidRPr="009C1DBB">
        <w:rPr>
          <w:rFonts w:eastAsiaTheme="minorEastAsia" w:cs="Arial"/>
          <w:b/>
          <w:bCs/>
          <w:shd w:val="clear" w:color="auto" w:fill="FFFFFF"/>
        </w:rPr>
        <w:t xml:space="preserve"> Action Plan Development</w:t>
      </w:r>
    </w:p>
    <w:p w14:paraId="08ACB254" w14:textId="77777777" w:rsidR="00987946" w:rsidRPr="009C1DBB" w:rsidRDefault="00987946" w:rsidP="00987946">
      <w:pPr>
        <w:pStyle w:val="BodyText"/>
        <w:widowControl/>
        <w:numPr>
          <w:ilvl w:val="0"/>
          <w:numId w:val="37"/>
        </w:numPr>
        <w:tabs>
          <w:tab w:val="clear" w:pos="-1440"/>
        </w:tabs>
        <w:jc w:val="both"/>
        <w:rPr>
          <w:rFonts w:eastAsiaTheme="minorEastAsia" w:cs="Arial"/>
          <w:shd w:val="clear" w:color="auto" w:fill="FFFFFF"/>
        </w:rPr>
      </w:pPr>
      <w:r w:rsidRPr="009C1DBB">
        <w:rPr>
          <w:rFonts w:eastAsiaTheme="minorEastAsia" w:cs="Arial"/>
          <w:shd w:val="clear" w:color="auto" w:fill="FFFFFF"/>
        </w:rPr>
        <w:t>Consolidate the findings and develop a strategic action plan based on the analysis and stakeholder inputs.</w:t>
      </w:r>
    </w:p>
    <w:p w14:paraId="64420599" w14:textId="77777777" w:rsidR="00987946" w:rsidRPr="009C1DBB" w:rsidRDefault="00987946" w:rsidP="00987946">
      <w:pPr>
        <w:pStyle w:val="BodyText"/>
        <w:widowControl/>
        <w:numPr>
          <w:ilvl w:val="0"/>
          <w:numId w:val="37"/>
        </w:numPr>
        <w:tabs>
          <w:tab w:val="clear" w:pos="-1440"/>
        </w:tabs>
        <w:jc w:val="both"/>
        <w:rPr>
          <w:rFonts w:eastAsiaTheme="minorEastAsia" w:cs="Arial"/>
          <w:shd w:val="clear" w:color="auto" w:fill="FFFFFF"/>
        </w:rPr>
      </w:pPr>
      <w:r w:rsidRPr="009C1DBB">
        <w:rPr>
          <w:rFonts w:eastAsiaTheme="minorEastAsia" w:cs="Arial"/>
          <w:shd w:val="clear" w:color="auto" w:fill="FFFFFF"/>
        </w:rPr>
        <w:t>Outline specific strategies for ensuring the availability of disaggregated data and establishing a children database.</w:t>
      </w:r>
    </w:p>
    <w:p w14:paraId="53DDAA8E" w14:textId="77777777" w:rsidR="00987946" w:rsidRPr="009C1DBB" w:rsidRDefault="00987946" w:rsidP="00987946">
      <w:pPr>
        <w:pStyle w:val="BodyText"/>
        <w:widowControl/>
        <w:numPr>
          <w:ilvl w:val="0"/>
          <w:numId w:val="37"/>
        </w:numPr>
        <w:tabs>
          <w:tab w:val="clear" w:pos="-1440"/>
        </w:tabs>
        <w:jc w:val="both"/>
        <w:rPr>
          <w:rFonts w:eastAsiaTheme="minorEastAsia" w:cs="Arial"/>
          <w:shd w:val="clear" w:color="auto" w:fill="FFFFFF"/>
        </w:rPr>
      </w:pPr>
      <w:r w:rsidRPr="009C1DBB">
        <w:rPr>
          <w:rFonts w:eastAsiaTheme="minorEastAsia" w:cs="Arial"/>
          <w:shd w:val="clear" w:color="auto" w:fill="FFFFFF"/>
        </w:rPr>
        <w:t xml:space="preserve">Estimate costs for implementing the action plan to facilitate resource mobilization efforts. </w:t>
      </w:r>
    </w:p>
    <w:p w14:paraId="5B7D0F36" w14:textId="77777777" w:rsidR="00987946" w:rsidRPr="009C1DBB" w:rsidRDefault="00987946" w:rsidP="00987946">
      <w:pPr>
        <w:autoSpaceDE w:val="0"/>
        <w:autoSpaceDN w:val="0"/>
        <w:adjustRightInd w:val="0"/>
        <w:spacing w:after="160"/>
        <w:jc w:val="both"/>
        <w:rPr>
          <w:rFonts w:ascii="Arial" w:eastAsiaTheme="minorEastAsia" w:hAnsi="Arial" w:cs="Arial"/>
          <w:sz w:val="20"/>
          <w:shd w:val="clear" w:color="auto" w:fill="FFFFFF"/>
        </w:rPr>
      </w:pPr>
    </w:p>
    <w:p w14:paraId="67BD66DA" w14:textId="77777777" w:rsidR="00987946" w:rsidRPr="009C1DBB" w:rsidRDefault="00987946" w:rsidP="00987946">
      <w:pPr>
        <w:pStyle w:val="BodyText"/>
        <w:widowControl/>
        <w:numPr>
          <w:ilvl w:val="0"/>
          <w:numId w:val="29"/>
        </w:numPr>
        <w:tabs>
          <w:tab w:val="clear" w:pos="-1440"/>
        </w:tabs>
        <w:jc w:val="both"/>
        <w:textAlignment w:val="baseline"/>
        <w:rPr>
          <w:rFonts w:cs="Arial"/>
          <w:b/>
          <w:color w:val="009CFD"/>
        </w:rPr>
      </w:pPr>
      <w:r w:rsidRPr="009C1DBB">
        <w:rPr>
          <w:rFonts w:cs="Arial"/>
          <w:b/>
          <w:color w:val="009CFD"/>
        </w:rPr>
        <w:t xml:space="preserve">Deliverables </w:t>
      </w:r>
    </w:p>
    <w:p w14:paraId="681FAA09" w14:textId="77777777" w:rsidR="00987946" w:rsidRPr="009C1DBB" w:rsidRDefault="00987946" w:rsidP="00987946">
      <w:pPr>
        <w:autoSpaceDE w:val="0"/>
        <w:autoSpaceDN w:val="0"/>
        <w:adjustRightInd w:val="0"/>
        <w:jc w:val="both"/>
        <w:rPr>
          <w:rFonts w:ascii="Arial" w:eastAsiaTheme="minorEastAsia" w:hAnsi="Arial" w:cs="Arial"/>
          <w:sz w:val="20"/>
          <w:shd w:val="clear" w:color="auto" w:fill="FFFFFF"/>
        </w:rPr>
      </w:pPr>
    </w:p>
    <w:p w14:paraId="21CB0A3E" w14:textId="77777777" w:rsidR="00987946" w:rsidRPr="009C1DBB" w:rsidRDefault="00987946" w:rsidP="00987946">
      <w:pPr>
        <w:autoSpaceDE w:val="0"/>
        <w:autoSpaceDN w:val="0"/>
        <w:adjustRightInd w:val="0"/>
        <w:spacing w:after="160"/>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The Data Landscape Analysis for Child Related Data in Türkiye will include the following deliverables.</w:t>
      </w:r>
    </w:p>
    <w:p w14:paraId="0554A061" w14:textId="77777777" w:rsidR="00987946" w:rsidRPr="009C1DBB" w:rsidRDefault="00987946" w:rsidP="00987946">
      <w:pPr>
        <w:pStyle w:val="ListParagraph"/>
        <w:autoSpaceDE w:val="0"/>
        <w:autoSpaceDN w:val="0"/>
        <w:adjustRightInd w:val="0"/>
        <w:spacing w:after="160"/>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 xml:space="preserve"> </w:t>
      </w:r>
    </w:p>
    <w:p w14:paraId="1A995107" w14:textId="77777777" w:rsidR="00987946" w:rsidRPr="009C1DBB" w:rsidRDefault="00987946" w:rsidP="00987946">
      <w:pPr>
        <w:pStyle w:val="ListParagraph"/>
        <w:widowControl/>
        <w:numPr>
          <w:ilvl w:val="0"/>
          <w:numId w:val="31"/>
        </w:numPr>
        <w:autoSpaceDE w:val="0"/>
        <w:autoSpaceDN w:val="0"/>
        <w:adjustRightInd w:val="0"/>
        <w:spacing w:after="160"/>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 xml:space="preserve">Inception report including the methodology for the field work. </w:t>
      </w:r>
    </w:p>
    <w:p w14:paraId="06C63E55" w14:textId="77777777" w:rsidR="00987946" w:rsidRPr="009C1DBB" w:rsidRDefault="00987946" w:rsidP="00987946">
      <w:pPr>
        <w:pStyle w:val="ListParagraph"/>
        <w:widowControl/>
        <w:numPr>
          <w:ilvl w:val="0"/>
          <w:numId w:val="31"/>
        </w:numPr>
        <w:autoSpaceDE w:val="0"/>
        <w:autoSpaceDN w:val="0"/>
        <w:adjustRightInd w:val="0"/>
        <w:spacing w:after="160"/>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 xml:space="preserve">Data Landscape Analysis for Child Related Data in Türkiye Report- an analysis of Türkiye data landscape. This should include identifying the major needs, existing initiatives, data quality and interoperability and new opportunities in data for children working in those areas.  </w:t>
      </w:r>
    </w:p>
    <w:p w14:paraId="7E51EC9C" w14:textId="77777777" w:rsidR="00987946" w:rsidRPr="009C1DBB" w:rsidRDefault="00987946" w:rsidP="00987946">
      <w:pPr>
        <w:pStyle w:val="ListParagraph"/>
        <w:widowControl/>
        <w:numPr>
          <w:ilvl w:val="0"/>
          <w:numId w:val="32"/>
        </w:numPr>
        <w:autoSpaceDE w:val="0"/>
        <w:autoSpaceDN w:val="0"/>
        <w:adjustRightInd w:val="0"/>
        <w:spacing w:after="160"/>
        <w:jc w:val="both"/>
        <w:rPr>
          <w:rFonts w:ascii="Arial" w:eastAsiaTheme="minorEastAsia" w:hAnsi="Arial" w:cs="Arial"/>
          <w:sz w:val="20"/>
          <w:shd w:val="clear" w:color="auto" w:fill="FFFFFF"/>
        </w:rPr>
      </w:pPr>
      <w:r w:rsidRPr="009C1DBB">
        <w:rPr>
          <w:rFonts w:ascii="Arial" w:eastAsiaTheme="minorEastAsia" w:hAnsi="Arial" w:cs="Arial"/>
          <w:sz w:val="20"/>
          <w:shd w:val="clear" w:color="auto" w:fill="FFFFFF"/>
        </w:rPr>
        <w:t xml:space="preserve">A strategic action plan included in the report to guide the government and UNICEF data for children’s actions and investments, including indicative costs and human resource implications wherever possible. The report should, to the extent possible, include indicative costs, allowing it to be easily translated into a costed action plan. </w:t>
      </w:r>
    </w:p>
    <w:p w14:paraId="27EF238B" w14:textId="77777777" w:rsidR="00987946" w:rsidRPr="009C1DBB" w:rsidRDefault="00987946" w:rsidP="00987946">
      <w:pPr>
        <w:pStyle w:val="ListParagraph"/>
        <w:rPr>
          <w:rFonts w:ascii="Arial" w:hAnsi="Arial" w:cs="Arial"/>
          <w:b/>
          <w:color w:val="009CFD"/>
          <w:sz w:val="20"/>
        </w:rPr>
      </w:pPr>
    </w:p>
    <w:p w14:paraId="1C33638A" w14:textId="77777777" w:rsidR="00987946" w:rsidRPr="009C1DBB" w:rsidRDefault="00987946" w:rsidP="00987946">
      <w:pPr>
        <w:pStyle w:val="paragraph"/>
        <w:spacing w:before="0" w:beforeAutospacing="0" w:after="0" w:afterAutospacing="0"/>
        <w:jc w:val="both"/>
        <w:textAlignment w:val="baseline"/>
        <w:rPr>
          <w:rFonts w:ascii="Arial" w:eastAsiaTheme="minorEastAsia" w:hAnsi="Arial" w:cs="Arial"/>
          <w:sz w:val="20"/>
          <w:szCs w:val="20"/>
          <w:shd w:val="clear" w:color="auto" w:fill="FFFFFF"/>
        </w:rPr>
      </w:pPr>
      <w:r w:rsidRPr="009C1DBB">
        <w:rPr>
          <w:rFonts w:ascii="Arial" w:eastAsiaTheme="minorEastAsia" w:hAnsi="Arial" w:cs="Arial"/>
          <w:sz w:val="20"/>
          <w:szCs w:val="20"/>
          <w:shd w:val="clear" w:color="auto" w:fill="FFFFFF"/>
        </w:rPr>
        <w:t>The payment will be made after UNICEF TCO approves each deliverable. The following table provides specifications about when payment will be processed:</w:t>
      </w:r>
    </w:p>
    <w:p w14:paraId="7A7E6904" w14:textId="77777777" w:rsidR="00987946" w:rsidRPr="009C1DBB" w:rsidRDefault="00987946" w:rsidP="00987946">
      <w:pPr>
        <w:pStyle w:val="paragraph"/>
        <w:spacing w:before="0" w:beforeAutospacing="0" w:after="0" w:afterAutospacing="0"/>
        <w:ind w:left="720"/>
        <w:jc w:val="both"/>
        <w:textAlignment w:val="baseline"/>
        <w:rPr>
          <w:rFonts w:ascii="Arial" w:hAnsi="Arial" w:cs="Arial"/>
          <w:b/>
          <w:color w:val="009CFD"/>
          <w:sz w:val="20"/>
          <w:szCs w:val="20"/>
        </w:rPr>
      </w:pPr>
    </w:p>
    <w:tbl>
      <w:tblPr>
        <w:tblW w:w="97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2"/>
        <w:gridCol w:w="1838"/>
        <w:gridCol w:w="1343"/>
        <w:gridCol w:w="4361"/>
      </w:tblGrid>
      <w:tr w:rsidR="00987946" w:rsidRPr="006B1B8F" w14:paraId="56361A24" w14:textId="77777777" w:rsidTr="00062D75">
        <w:trPr>
          <w:trHeight w:val="365"/>
        </w:trPr>
        <w:tc>
          <w:tcPr>
            <w:tcW w:w="2192" w:type="dxa"/>
            <w:shd w:val="clear" w:color="auto" w:fill="BFBFBF" w:themeFill="background1" w:themeFillShade="BF"/>
            <w:vAlign w:val="center"/>
          </w:tcPr>
          <w:p w14:paraId="5E8FAE05" w14:textId="77777777" w:rsidR="00987946" w:rsidRPr="006B1B8F" w:rsidRDefault="00987946" w:rsidP="00062D75">
            <w:pPr>
              <w:spacing w:line="276" w:lineRule="auto"/>
              <w:ind w:left="249"/>
              <w:jc w:val="center"/>
              <w:rPr>
                <w:rFonts w:ascii="Arial" w:hAnsi="Arial" w:cs="Arial"/>
                <w:b/>
                <w:bCs/>
                <w:color w:val="000000"/>
                <w:sz w:val="18"/>
                <w:szCs w:val="18"/>
              </w:rPr>
            </w:pPr>
            <w:r w:rsidRPr="006B1B8F">
              <w:rPr>
                <w:rFonts w:ascii="Arial" w:hAnsi="Arial" w:cs="Arial"/>
                <w:b/>
                <w:bCs/>
                <w:color w:val="000000"/>
                <w:sz w:val="18"/>
                <w:szCs w:val="18"/>
              </w:rPr>
              <w:t>Tasks</w:t>
            </w:r>
          </w:p>
        </w:tc>
        <w:tc>
          <w:tcPr>
            <w:tcW w:w="1838" w:type="dxa"/>
            <w:shd w:val="clear" w:color="auto" w:fill="BFBFBF" w:themeFill="background1" w:themeFillShade="BF"/>
          </w:tcPr>
          <w:p w14:paraId="4913E17D" w14:textId="77777777" w:rsidR="00987946" w:rsidRPr="006B1B8F" w:rsidRDefault="00987946" w:rsidP="00062D75">
            <w:pPr>
              <w:spacing w:line="276" w:lineRule="auto"/>
              <w:jc w:val="center"/>
              <w:rPr>
                <w:rFonts w:ascii="Arial" w:hAnsi="Arial" w:cs="Arial"/>
                <w:b/>
                <w:bCs/>
                <w:color w:val="000000"/>
                <w:sz w:val="18"/>
                <w:szCs w:val="18"/>
              </w:rPr>
            </w:pPr>
            <w:r w:rsidRPr="006B1B8F">
              <w:rPr>
                <w:rFonts w:ascii="Arial" w:hAnsi="Arial" w:cs="Arial"/>
                <w:b/>
                <w:bCs/>
                <w:color w:val="000000"/>
                <w:sz w:val="18"/>
                <w:szCs w:val="18"/>
              </w:rPr>
              <w:t>Deliverables</w:t>
            </w:r>
          </w:p>
        </w:tc>
        <w:tc>
          <w:tcPr>
            <w:tcW w:w="1343" w:type="dxa"/>
            <w:shd w:val="clear" w:color="auto" w:fill="BFBFBF" w:themeFill="background1" w:themeFillShade="BF"/>
            <w:vAlign w:val="center"/>
          </w:tcPr>
          <w:p w14:paraId="1ABE52ED" w14:textId="77777777" w:rsidR="00987946" w:rsidRPr="006B1B8F" w:rsidRDefault="00987946" w:rsidP="00062D75">
            <w:pPr>
              <w:spacing w:line="276" w:lineRule="auto"/>
              <w:jc w:val="center"/>
              <w:rPr>
                <w:rFonts w:ascii="Arial" w:hAnsi="Arial" w:cs="Arial"/>
                <w:b/>
                <w:bCs/>
                <w:color w:val="000000"/>
                <w:sz w:val="18"/>
                <w:szCs w:val="18"/>
              </w:rPr>
            </w:pPr>
            <w:r w:rsidRPr="006B1B8F">
              <w:rPr>
                <w:rFonts w:ascii="Arial" w:hAnsi="Arial" w:cs="Arial"/>
                <w:b/>
                <w:bCs/>
                <w:color w:val="000000"/>
                <w:sz w:val="18"/>
                <w:szCs w:val="18"/>
              </w:rPr>
              <w:t>Estimated # of days</w:t>
            </w:r>
          </w:p>
        </w:tc>
        <w:tc>
          <w:tcPr>
            <w:tcW w:w="4361" w:type="dxa"/>
            <w:shd w:val="clear" w:color="auto" w:fill="BFBFBF" w:themeFill="background1" w:themeFillShade="BF"/>
            <w:vAlign w:val="center"/>
          </w:tcPr>
          <w:p w14:paraId="128011C3" w14:textId="77777777" w:rsidR="00987946" w:rsidRPr="006B1B8F" w:rsidRDefault="00987946" w:rsidP="00062D75">
            <w:pPr>
              <w:spacing w:line="276" w:lineRule="auto"/>
              <w:jc w:val="center"/>
              <w:rPr>
                <w:rFonts w:ascii="Arial" w:hAnsi="Arial" w:cs="Arial"/>
                <w:b/>
                <w:bCs/>
                <w:color w:val="000000"/>
                <w:sz w:val="18"/>
                <w:szCs w:val="18"/>
              </w:rPr>
            </w:pPr>
            <w:r w:rsidRPr="006B1B8F">
              <w:rPr>
                <w:rFonts w:ascii="Arial" w:hAnsi="Arial" w:cs="Arial"/>
                <w:b/>
                <w:bCs/>
                <w:color w:val="000000"/>
                <w:sz w:val="18"/>
                <w:szCs w:val="18"/>
              </w:rPr>
              <w:t xml:space="preserve">Payment Schedule </w:t>
            </w:r>
          </w:p>
        </w:tc>
      </w:tr>
      <w:tr w:rsidR="00987946" w:rsidRPr="006B1B8F" w14:paraId="4A7BC0F7" w14:textId="77777777" w:rsidTr="00062D75">
        <w:trPr>
          <w:trHeight w:val="231"/>
        </w:trPr>
        <w:tc>
          <w:tcPr>
            <w:tcW w:w="2192" w:type="dxa"/>
            <w:shd w:val="clear" w:color="auto" w:fill="auto"/>
            <w:vAlign w:val="center"/>
          </w:tcPr>
          <w:p w14:paraId="7495A8AC" w14:textId="77777777" w:rsidR="00987946" w:rsidRPr="006B1B8F" w:rsidRDefault="00987946" w:rsidP="00062D75">
            <w:pPr>
              <w:spacing w:after="160" w:line="276" w:lineRule="auto"/>
              <w:rPr>
                <w:rFonts w:ascii="Arial" w:hAnsi="Arial" w:cs="Arial"/>
                <w:color w:val="000000"/>
                <w:sz w:val="18"/>
                <w:szCs w:val="18"/>
              </w:rPr>
            </w:pPr>
            <w:r w:rsidRPr="006B1B8F">
              <w:rPr>
                <w:rFonts w:ascii="Arial" w:eastAsiaTheme="minorEastAsia" w:hAnsi="Arial" w:cs="Arial"/>
                <w:sz w:val="18"/>
                <w:szCs w:val="18"/>
                <w:shd w:val="clear" w:color="auto" w:fill="FFFFFF"/>
              </w:rPr>
              <w:t>Preparation of Inception Report including the methodology</w:t>
            </w:r>
          </w:p>
        </w:tc>
        <w:tc>
          <w:tcPr>
            <w:tcW w:w="1838" w:type="dxa"/>
          </w:tcPr>
          <w:p w14:paraId="2C74C745" w14:textId="77777777" w:rsidR="00987946" w:rsidRPr="006B1B8F" w:rsidRDefault="00987946" w:rsidP="00062D75">
            <w:pPr>
              <w:pStyle w:val="ListParagraph"/>
              <w:spacing w:after="160" w:line="276" w:lineRule="auto"/>
              <w:ind w:left="79"/>
              <w:jc w:val="center"/>
              <w:rPr>
                <w:rFonts w:ascii="Arial" w:hAnsi="Arial" w:cs="Arial"/>
                <w:color w:val="000000" w:themeColor="text1"/>
                <w:sz w:val="18"/>
                <w:szCs w:val="18"/>
              </w:rPr>
            </w:pPr>
            <w:r w:rsidRPr="006B1B8F">
              <w:rPr>
                <w:rFonts w:ascii="Arial" w:eastAsiaTheme="minorEastAsia" w:hAnsi="Arial" w:cs="Arial"/>
                <w:sz w:val="18"/>
                <w:szCs w:val="18"/>
                <w:shd w:val="clear" w:color="auto" w:fill="FFFFFF"/>
              </w:rPr>
              <w:t>Inception Report (including the methodology)</w:t>
            </w:r>
          </w:p>
        </w:tc>
        <w:tc>
          <w:tcPr>
            <w:tcW w:w="1343" w:type="dxa"/>
            <w:shd w:val="clear" w:color="auto" w:fill="auto"/>
            <w:vAlign w:val="center"/>
          </w:tcPr>
          <w:p w14:paraId="170D746A" w14:textId="77777777" w:rsidR="00987946" w:rsidRPr="006B1B8F" w:rsidRDefault="00987946" w:rsidP="00062D75">
            <w:pPr>
              <w:pStyle w:val="ListParagraph"/>
              <w:spacing w:after="160" w:line="276" w:lineRule="auto"/>
              <w:ind w:left="79"/>
              <w:jc w:val="center"/>
              <w:rPr>
                <w:rFonts w:ascii="Arial" w:hAnsi="Arial" w:cs="Arial"/>
                <w:color w:val="000000"/>
                <w:sz w:val="18"/>
                <w:szCs w:val="18"/>
              </w:rPr>
            </w:pPr>
            <w:r w:rsidRPr="006B1B8F">
              <w:rPr>
                <w:rFonts w:ascii="Arial" w:hAnsi="Arial" w:cs="Arial"/>
                <w:color w:val="000000" w:themeColor="text1"/>
                <w:sz w:val="18"/>
                <w:szCs w:val="18"/>
              </w:rPr>
              <w:t>15 days</w:t>
            </w:r>
          </w:p>
        </w:tc>
        <w:tc>
          <w:tcPr>
            <w:tcW w:w="4361" w:type="dxa"/>
            <w:shd w:val="clear" w:color="auto" w:fill="auto"/>
            <w:vAlign w:val="center"/>
          </w:tcPr>
          <w:p w14:paraId="7A37D1E2" w14:textId="77777777" w:rsidR="00987946" w:rsidRPr="006B1B8F" w:rsidRDefault="00987946" w:rsidP="00062D75">
            <w:pPr>
              <w:pStyle w:val="ListParagraph"/>
              <w:spacing w:after="160" w:line="276" w:lineRule="auto"/>
              <w:ind w:left="65"/>
              <w:jc w:val="center"/>
              <w:rPr>
                <w:rFonts w:ascii="Arial" w:hAnsi="Arial" w:cs="Arial"/>
                <w:color w:val="000000"/>
                <w:sz w:val="18"/>
                <w:szCs w:val="18"/>
              </w:rPr>
            </w:pPr>
            <w:r w:rsidRPr="006B1B8F">
              <w:rPr>
                <w:rFonts w:ascii="Arial" w:hAnsi="Arial" w:cs="Arial"/>
                <w:color w:val="000000" w:themeColor="text1"/>
                <w:sz w:val="18"/>
                <w:szCs w:val="18"/>
              </w:rPr>
              <w:t>20% of the agreed amount</w:t>
            </w:r>
          </w:p>
        </w:tc>
      </w:tr>
      <w:tr w:rsidR="00987946" w:rsidRPr="006B1B8F" w14:paraId="37CC1A5E" w14:textId="77777777" w:rsidTr="00062D75">
        <w:trPr>
          <w:trHeight w:val="550"/>
        </w:trPr>
        <w:tc>
          <w:tcPr>
            <w:tcW w:w="2192" w:type="dxa"/>
            <w:shd w:val="clear" w:color="auto" w:fill="auto"/>
            <w:vAlign w:val="center"/>
          </w:tcPr>
          <w:p w14:paraId="08A692EF" w14:textId="77777777" w:rsidR="00987946" w:rsidRPr="006B1B8F" w:rsidRDefault="00987946" w:rsidP="00062D75">
            <w:pPr>
              <w:spacing w:after="160" w:line="276" w:lineRule="auto"/>
              <w:rPr>
                <w:rFonts w:ascii="Arial" w:hAnsi="Arial" w:cs="Arial"/>
                <w:color w:val="000000" w:themeColor="text1"/>
                <w:sz w:val="18"/>
                <w:szCs w:val="18"/>
              </w:rPr>
            </w:pPr>
            <w:r w:rsidRPr="006B1B8F">
              <w:rPr>
                <w:rFonts w:ascii="Arial" w:eastAsiaTheme="minorEastAsia" w:hAnsi="Arial" w:cs="Arial"/>
                <w:sz w:val="18"/>
                <w:szCs w:val="18"/>
                <w:shd w:val="clear" w:color="auto" w:fill="FFFFFF"/>
              </w:rPr>
              <w:t>Preparation of draft report on” analysis of data landscape for child related data in Türkiye”</w:t>
            </w:r>
          </w:p>
        </w:tc>
        <w:tc>
          <w:tcPr>
            <w:tcW w:w="1838" w:type="dxa"/>
          </w:tcPr>
          <w:p w14:paraId="795F8E12" w14:textId="77777777" w:rsidR="00987946" w:rsidRPr="006B1B8F" w:rsidRDefault="00987946" w:rsidP="00062D75">
            <w:pPr>
              <w:pStyle w:val="ListParagraph"/>
              <w:spacing w:after="160" w:line="276" w:lineRule="auto"/>
              <w:ind w:left="-11"/>
              <w:jc w:val="center"/>
              <w:rPr>
                <w:rFonts w:ascii="Arial" w:hAnsi="Arial" w:cs="Arial"/>
                <w:b/>
                <w:bCs/>
                <w:color w:val="000000" w:themeColor="text1"/>
                <w:sz w:val="18"/>
                <w:szCs w:val="18"/>
              </w:rPr>
            </w:pPr>
            <w:r w:rsidRPr="006B1B8F">
              <w:rPr>
                <w:rFonts w:ascii="Arial" w:eastAsiaTheme="minorEastAsia" w:hAnsi="Arial" w:cs="Arial"/>
                <w:sz w:val="18"/>
                <w:szCs w:val="18"/>
                <w:shd w:val="clear" w:color="auto" w:fill="FFFFFF"/>
              </w:rPr>
              <w:t>Draft report on “Data Landscape Analysis for Child Related Data in Türkiye”</w:t>
            </w:r>
          </w:p>
        </w:tc>
        <w:tc>
          <w:tcPr>
            <w:tcW w:w="1343" w:type="dxa"/>
            <w:shd w:val="clear" w:color="auto" w:fill="auto"/>
            <w:vAlign w:val="center"/>
          </w:tcPr>
          <w:p w14:paraId="61DA5208" w14:textId="77777777" w:rsidR="00987946" w:rsidRPr="006B1B8F" w:rsidRDefault="00987946" w:rsidP="00062D75">
            <w:pPr>
              <w:pStyle w:val="ListParagraph"/>
              <w:spacing w:after="160" w:line="276" w:lineRule="auto"/>
              <w:ind w:left="-11"/>
              <w:jc w:val="center"/>
              <w:rPr>
                <w:rFonts w:ascii="Arial" w:hAnsi="Arial" w:cs="Arial"/>
                <w:color w:val="000000" w:themeColor="text1"/>
                <w:sz w:val="18"/>
                <w:szCs w:val="18"/>
              </w:rPr>
            </w:pPr>
            <w:r w:rsidRPr="006B1B8F">
              <w:rPr>
                <w:rFonts w:ascii="Arial" w:hAnsi="Arial" w:cs="Arial"/>
                <w:color w:val="000000" w:themeColor="text1"/>
                <w:sz w:val="18"/>
                <w:szCs w:val="18"/>
              </w:rPr>
              <w:t>35 days</w:t>
            </w:r>
          </w:p>
        </w:tc>
        <w:tc>
          <w:tcPr>
            <w:tcW w:w="4361" w:type="dxa"/>
            <w:shd w:val="clear" w:color="auto" w:fill="auto"/>
            <w:vAlign w:val="center"/>
          </w:tcPr>
          <w:p w14:paraId="0F89E2BD" w14:textId="77777777" w:rsidR="00987946" w:rsidRPr="006B1B8F" w:rsidRDefault="00987946" w:rsidP="00062D75">
            <w:pPr>
              <w:pStyle w:val="ListParagraph"/>
              <w:spacing w:after="160" w:line="276" w:lineRule="auto"/>
              <w:ind w:left="0"/>
              <w:jc w:val="center"/>
              <w:rPr>
                <w:rFonts w:ascii="Arial" w:hAnsi="Arial" w:cs="Arial"/>
                <w:color w:val="000000" w:themeColor="text1"/>
                <w:sz w:val="18"/>
                <w:szCs w:val="18"/>
              </w:rPr>
            </w:pPr>
            <w:r w:rsidRPr="006B1B8F">
              <w:rPr>
                <w:rFonts w:ascii="Arial" w:hAnsi="Arial" w:cs="Arial"/>
                <w:color w:val="000000" w:themeColor="text1"/>
                <w:sz w:val="18"/>
                <w:szCs w:val="18"/>
              </w:rPr>
              <w:t>50% of the agreed amount</w:t>
            </w:r>
          </w:p>
        </w:tc>
      </w:tr>
      <w:tr w:rsidR="00987946" w:rsidRPr="006B1B8F" w14:paraId="60F7499C" w14:textId="77777777" w:rsidTr="00062D75">
        <w:trPr>
          <w:trHeight w:val="550"/>
        </w:trPr>
        <w:tc>
          <w:tcPr>
            <w:tcW w:w="2192" w:type="dxa"/>
            <w:shd w:val="clear" w:color="auto" w:fill="auto"/>
            <w:vAlign w:val="center"/>
          </w:tcPr>
          <w:p w14:paraId="2C1C5A59" w14:textId="77777777" w:rsidR="00987946" w:rsidRPr="006B1B8F" w:rsidRDefault="00987946" w:rsidP="00062D75">
            <w:pPr>
              <w:spacing w:after="160" w:line="276" w:lineRule="auto"/>
              <w:rPr>
                <w:rFonts w:ascii="Arial" w:eastAsiaTheme="minorEastAsia" w:hAnsi="Arial" w:cs="Arial"/>
                <w:sz w:val="18"/>
                <w:szCs w:val="18"/>
                <w:shd w:val="clear" w:color="auto" w:fill="FFFFFF"/>
              </w:rPr>
            </w:pPr>
            <w:r w:rsidRPr="006B1B8F">
              <w:rPr>
                <w:rFonts w:ascii="Arial" w:eastAsiaTheme="minorEastAsia" w:hAnsi="Arial" w:cs="Arial"/>
                <w:sz w:val="18"/>
                <w:szCs w:val="18"/>
                <w:shd w:val="clear" w:color="auto" w:fill="FFFFFF"/>
              </w:rPr>
              <w:t>Preparation of a strategic action plan</w:t>
            </w:r>
          </w:p>
        </w:tc>
        <w:tc>
          <w:tcPr>
            <w:tcW w:w="1838" w:type="dxa"/>
          </w:tcPr>
          <w:p w14:paraId="56C2C5C6" w14:textId="77777777" w:rsidR="00987946" w:rsidRPr="006B1B8F" w:rsidRDefault="00987946" w:rsidP="00062D75">
            <w:pPr>
              <w:spacing w:line="276" w:lineRule="auto"/>
              <w:jc w:val="center"/>
              <w:rPr>
                <w:rFonts w:ascii="Arial" w:hAnsi="Arial" w:cs="Arial"/>
                <w:color w:val="000000" w:themeColor="text1"/>
                <w:sz w:val="18"/>
                <w:szCs w:val="18"/>
              </w:rPr>
            </w:pPr>
            <w:r w:rsidRPr="006B1B8F">
              <w:rPr>
                <w:rFonts w:ascii="Arial" w:hAnsi="Arial" w:cs="Arial"/>
                <w:color w:val="000000" w:themeColor="text1"/>
                <w:sz w:val="18"/>
                <w:szCs w:val="18"/>
              </w:rPr>
              <w:t xml:space="preserve">A strategic Action Plan with recommendations and responsible stakeholders </w:t>
            </w:r>
          </w:p>
        </w:tc>
        <w:tc>
          <w:tcPr>
            <w:tcW w:w="1343" w:type="dxa"/>
            <w:shd w:val="clear" w:color="auto" w:fill="auto"/>
            <w:vAlign w:val="center"/>
          </w:tcPr>
          <w:p w14:paraId="092A14AD" w14:textId="77777777" w:rsidR="00987946" w:rsidRPr="006B1B8F" w:rsidRDefault="00987946" w:rsidP="00062D75">
            <w:pPr>
              <w:spacing w:line="276" w:lineRule="auto"/>
              <w:jc w:val="center"/>
              <w:rPr>
                <w:rFonts w:ascii="Arial" w:hAnsi="Arial" w:cs="Arial"/>
                <w:color w:val="000000" w:themeColor="text1"/>
                <w:sz w:val="18"/>
                <w:szCs w:val="18"/>
              </w:rPr>
            </w:pPr>
            <w:r w:rsidRPr="006B1B8F">
              <w:rPr>
                <w:rFonts w:ascii="Arial" w:hAnsi="Arial" w:cs="Arial"/>
                <w:color w:val="000000" w:themeColor="text1"/>
                <w:sz w:val="18"/>
                <w:szCs w:val="18"/>
              </w:rPr>
              <w:t>10 days</w:t>
            </w:r>
          </w:p>
        </w:tc>
        <w:tc>
          <w:tcPr>
            <w:tcW w:w="4361" w:type="dxa"/>
            <w:shd w:val="clear" w:color="auto" w:fill="auto"/>
            <w:vAlign w:val="center"/>
          </w:tcPr>
          <w:p w14:paraId="2E67D8DC" w14:textId="77777777" w:rsidR="00987946" w:rsidRPr="006B1B8F" w:rsidRDefault="00987946" w:rsidP="00062D75">
            <w:pPr>
              <w:spacing w:line="276" w:lineRule="auto"/>
              <w:ind w:left="-115"/>
              <w:jc w:val="center"/>
              <w:rPr>
                <w:rFonts w:ascii="Arial" w:hAnsi="Arial" w:cs="Arial"/>
                <w:color w:val="000000" w:themeColor="text1"/>
                <w:sz w:val="18"/>
                <w:szCs w:val="18"/>
              </w:rPr>
            </w:pPr>
            <w:r w:rsidRPr="006B1B8F">
              <w:rPr>
                <w:rFonts w:ascii="Arial" w:hAnsi="Arial" w:cs="Arial"/>
                <w:color w:val="000000" w:themeColor="text1"/>
                <w:sz w:val="18"/>
                <w:szCs w:val="18"/>
              </w:rPr>
              <w:t>30% of the agreed amount</w:t>
            </w:r>
          </w:p>
        </w:tc>
      </w:tr>
      <w:tr w:rsidR="00987946" w:rsidRPr="004262F5" w14:paraId="5133ECB8" w14:textId="77777777" w:rsidTr="00062D75">
        <w:trPr>
          <w:trHeight w:val="550"/>
        </w:trPr>
        <w:tc>
          <w:tcPr>
            <w:tcW w:w="2192" w:type="dxa"/>
            <w:shd w:val="clear" w:color="auto" w:fill="auto"/>
            <w:vAlign w:val="center"/>
          </w:tcPr>
          <w:p w14:paraId="09CFCFC6" w14:textId="77777777" w:rsidR="00987946" w:rsidRPr="004262F5" w:rsidDel="00CB6FBC" w:rsidRDefault="00987946" w:rsidP="00062D75">
            <w:pPr>
              <w:spacing w:after="160" w:line="276" w:lineRule="auto"/>
              <w:jc w:val="center"/>
              <w:rPr>
                <w:rFonts w:ascii="Arial" w:eastAsiaTheme="minorEastAsia" w:hAnsi="Arial" w:cs="Arial"/>
                <w:b/>
                <w:bCs/>
                <w:sz w:val="18"/>
                <w:szCs w:val="18"/>
                <w:shd w:val="clear" w:color="auto" w:fill="FFFFFF"/>
              </w:rPr>
            </w:pPr>
            <w:r w:rsidRPr="004262F5">
              <w:rPr>
                <w:rFonts w:ascii="Arial" w:eastAsiaTheme="minorEastAsia" w:hAnsi="Arial" w:cs="Arial"/>
                <w:b/>
                <w:bCs/>
                <w:sz w:val="18"/>
                <w:szCs w:val="18"/>
                <w:shd w:val="clear" w:color="auto" w:fill="FFFFFF"/>
              </w:rPr>
              <w:t>Total Estimated Consultancy days</w:t>
            </w:r>
          </w:p>
        </w:tc>
        <w:tc>
          <w:tcPr>
            <w:tcW w:w="1838" w:type="dxa"/>
          </w:tcPr>
          <w:p w14:paraId="04629A34" w14:textId="77777777" w:rsidR="00987946" w:rsidRPr="004262F5" w:rsidRDefault="00987946" w:rsidP="00062D75">
            <w:pPr>
              <w:spacing w:line="276" w:lineRule="auto"/>
              <w:jc w:val="center"/>
              <w:rPr>
                <w:rFonts w:ascii="Arial" w:hAnsi="Arial" w:cs="Arial"/>
                <w:b/>
                <w:bCs/>
                <w:color w:val="000000" w:themeColor="text1"/>
                <w:sz w:val="18"/>
                <w:szCs w:val="18"/>
              </w:rPr>
            </w:pPr>
          </w:p>
        </w:tc>
        <w:tc>
          <w:tcPr>
            <w:tcW w:w="1343" w:type="dxa"/>
            <w:shd w:val="clear" w:color="auto" w:fill="auto"/>
            <w:vAlign w:val="center"/>
          </w:tcPr>
          <w:p w14:paraId="55C26401" w14:textId="77777777" w:rsidR="00987946" w:rsidRPr="004262F5" w:rsidRDefault="00987946" w:rsidP="00062D75">
            <w:pPr>
              <w:spacing w:line="276" w:lineRule="auto"/>
              <w:jc w:val="center"/>
              <w:rPr>
                <w:rFonts w:ascii="Arial" w:hAnsi="Arial" w:cs="Arial"/>
                <w:b/>
                <w:bCs/>
                <w:color w:val="000000" w:themeColor="text1"/>
                <w:sz w:val="18"/>
                <w:szCs w:val="18"/>
              </w:rPr>
            </w:pPr>
            <w:r w:rsidRPr="004262F5">
              <w:rPr>
                <w:rFonts w:ascii="Arial" w:hAnsi="Arial" w:cs="Arial"/>
                <w:b/>
                <w:bCs/>
                <w:color w:val="000000" w:themeColor="text1"/>
                <w:sz w:val="18"/>
                <w:szCs w:val="18"/>
              </w:rPr>
              <w:t>60 days</w:t>
            </w:r>
          </w:p>
        </w:tc>
        <w:tc>
          <w:tcPr>
            <w:tcW w:w="4361" w:type="dxa"/>
            <w:shd w:val="clear" w:color="auto" w:fill="auto"/>
            <w:vAlign w:val="center"/>
          </w:tcPr>
          <w:p w14:paraId="1D834D29" w14:textId="77777777" w:rsidR="00987946" w:rsidRPr="004262F5" w:rsidRDefault="00987946" w:rsidP="00062D75">
            <w:pPr>
              <w:spacing w:line="276" w:lineRule="auto"/>
              <w:ind w:left="-115"/>
              <w:jc w:val="center"/>
              <w:rPr>
                <w:rFonts w:ascii="Arial" w:hAnsi="Arial" w:cs="Arial"/>
                <w:b/>
                <w:bCs/>
                <w:color w:val="000000" w:themeColor="text1"/>
                <w:sz w:val="18"/>
                <w:szCs w:val="18"/>
              </w:rPr>
            </w:pPr>
          </w:p>
        </w:tc>
      </w:tr>
      <w:tr w:rsidR="00987946" w:rsidRPr="006B1B8F" w14:paraId="3F75F2CE" w14:textId="77777777" w:rsidTr="00062D75">
        <w:trPr>
          <w:trHeight w:val="550"/>
        </w:trPr>
        <w:tc>
          <w:tcPr>
            <w:tcW w:w="2192" w:type="dxa"/>
            <w:shd w:val="clear" w:color="auto" w:fill="auto"/>
            <w:vAlign w:val="center"/>
          </w:tcPr>
          <w:p w14:paraId="500D2BFB" w14:textId="77777777" w:rsidR="00987946" w:rsidRPr="006B1B8F" w:rsidDel="00CB6FBC" w:rsidRDefault="00987946" w:rsidP="00062D75">
            <w:pPr>
              <w:spacing w:after="160" w:line="276" w:lineRule="auto"/>
              <w:jc w:val="center"/>
              <w:rPr>
                <w:rFonts w:ascii="Arial" w:eastAsiaTheme="minorEastAsia" w:hAnsi="Arial" w:cs="Arial"/>
                <w:sz w:val="18"/>
                <w:szCs w:val="18"/>
                <w:shd w:val="clear" w:color="auto" w:fill="FFFFFF"/>
              </w:rPr>
            </w:pPr>
            <w:r w:rsidRPr="006B1B8F">
              <w:rPr>
                <w:rFonts w:ascii="Arial" w:eastAsiaTheme="minorEastAsia" w:hAnsi="Arial" w:cs="Arial"/>
                <w:sz w:val="18"/>
                <w:szCs w:val="18"/>
                <w:shd w:val="clear" w:color="auto" w:fill="FFFFFF"/>
              </w:rPr>
              <w:t>Travel</w:t>
            </w:r>
          </w:p>
        </w:tc>
        <w:tc>
          <w:tcPr>
            <w:tcW w:w="1838" w:type="dxa"/>
            <w:vAlign w:val="center"/>
          </w:tcPr>
          <w:p w14:paraId="245D0D8F" w14:textId="77777777" w:rsidR="00987946" w:rsidRPr="006B1B8F" w:rsidRDefault="00987946" w:rsidP="00062D75">
            <w:pPr>
              <w:spacing w:line="276" w:lineRule="auto"/>
              <w:jc w:val="center"/>
              <w:rPr>
                <w:rFonts w:ascii="Arial" w:hAnsi="Arial" w:cs="Arial"/>
                <w:color w:val="000000" w:themeColor="text1"/>
                <w:sz w:val="18"/>
                <w:szCs w:val="18"/>
              </w:rPr>
            </w:pPr>
            <w:r w:rsidRPr="006B1B8F">
              <w:rPr>
                <w:rFonts w:ascii="Arial" w:hAnsi="Arial" w:cs="Arial"/>
                <w:color w:val="000000" w:themeColor="text1"/>
                <w:sz w:val="18"/>
                <w:szCs w:val="18"/>
              </w:rPr>
              <w:t>Travel report</w:t>
            </w:r>
          </w:p>
        </w:tc>
        <w:tc>
          <w:tcPr>
            <w:tcW w:w="1343" w:type="dxa"/>
            <w:shd w:val="clear" w:color="auto" w:fill="auto"/>
            <w:vAlign w:val="center"/>
          </w:tcPr>
          <w:p w14:paraId="20DDE478" w14:textId="77777777" w:rsidR="00987946" w:rsidRPr="006B1B8F" w:rsidRDefault="00987946" w:rsidP="00062D75">
            <w:pPr>
              <w:spacing w:line="276" w:lineRule="auto"/>
              <w:jc w:val="center"/>
              <w:rPr>
                <w:rFonts w:ascii="Arial" w:hAnsi="Arial" w:cs="Arial"/>
                <w:color w:val="000000" w:themeColor="text1"/>
                <w:sz w:val="18"/>
                <w:szCs w:val="18"/>
              </w:rPr>
            </w:pPr>
            <w:r w:rsidRPr="006B1B8F">
              <w:rPr>
                <w:rFonts w:ascii="Arial" w:hAnsi="Arial" w:cs="Arial"/>
                <w:color w:val="000000" w:themeColor="text1"/>
                <w:sz w:val="18"/>
                <w:szCs w:val="18"/>
              </w:rPr>
              <w:t>-</w:t>
            </w:r>
          </w:p>
        </w:tc>
        <w:tc>
          <w:tcPr>
            <w:tcW w:w="4361" w:type="dxa"/>
            <w:shd w:val="clear" w:color="auto" w:fill="auto"/>
            <w:vAlign w:val="center"/>
          </w:tcPr>
          <w:p w14:paraId="7B9287F0" w14:textId="77777777" w:rsidR="00987946" w:rsidRPr="006B1B8F" w:rsidRDefault="00987946" w:rsidP="00062D75">
            <w:pPr>
              <w:spacing w:line="276" w:lineRule="auto"/>
              <w:ind w:left="-115"/>
              <w:jc w:val="center"/>
              <w:rPr>
                <w:rFonts w:ascii="Arial" w:hAnsi="Arial" w:cs="Arial"/>
                <w:color w:val="000000" w:themeColor="text1"/>
                <w:sz w:val="18"/>
                <w:szCs w:val="18"/>
              </w:rPr>
            </w:pPr>
            <w:r w:rsidRPr="006B1B8F">
              <w:rPr>
                <w:rFonts w:ascii="Arial" w:hAnsi="Arial" w:cs="Arial"/>
                <w:color w:val="000000" w:themeColor="text1"/>
                <w:sz w:val="18"/>
                <w:szCs w:val="18"/>
              </w:rPr>
              <w:t>If unforeseen travel outside the consultant’s duty station city is requested by UNICEF, it will be covered as mentioned on item V of 5</w:t>
            </w:r>
            <w:r w:rsidRPr="006B1B8F">
              <w:rPr>
                <w:rFonts w:ascii="Arial" w:hAnsi="Arial" w:cs="Arial"/>
                <w:color w:val="000000" w:themeColor="text1"/>
                <w:sz w:val="18"/>
                <w:szCs w:val="18"/>
                <w:vertAlign w:val="superscript"/>
              </w:rPr>
              <w:t>th</w:t>
            </w:r>
            <w:r w:rsidRPr="006B1B8F">
              <w:rPr>
                <w:rFonts w:ascii="Arial" w:hAnsi="Arial" w:cs="Arial"/>
                <w:color w:val="000000" w:themeColor="text1"/>
                <w:sz w:val="18"/>
                <w:szCs w:val="18"/>
              </w:rPr>
              <w:t xml:space="preserve"> section.</w:t>
            </w:r>
          </w:p>
        </w:tc>
      </w:tr>
    </w:tbl>
    <w:p w14:paraId="2AF0A2FA" w14:textId="77777777" w:rsidR="00987946" w:rsidRPr="009C1DBB" w:rsidRDefault="00987946" w:rsidP="00987946">
      <w:pPr>
        <w:autoSpaceDE w:val="0"/>
        <w:autoSpaceDN w:val="0"/>
        <w:adjustRightInd w:val="0"/>
        <w:jc w:val="both"/>
        <w:rPr>
          <w:rFonts w:ascii="Arial" w:hAnsi="Arial" w:cs="Arial"/>
          <w:sz w:val="20"/>
          <w:lang w:val="en-GB"/>
        </w:rPr>
      </w:pPr>
    </w:p>
    <w:p w14:paraId="6CA91800" w14:textId="77777777" w:rsidR="00987946" w:rsidRPr="009C1DBB" w:rsidRDefault="00987946" w:rsidP="00987946">
      <w:pPr>
        <w:pStyle w:val="Default"/>
        <w:jc w:val="both"/>
        <w:rPr>
          <w:rFonts w:ascii="Arial" w:hAnsi="Arial" w:cs="Arial"/>
          <w:b/>
          <w:bCs/>
          <w:sz w:val="20"/>
          <w:szCs w:val="20"/>
        </w:rPr>
      </w:pPr>
      <w:r w:rsidRPr="009C1DBB">
        <w:rPr>
          <w:rFonts w:ascii="Arial" w:hAnsi="Arial" w:cs="Arial"/>
          <w:b/>
          <w:bCs/>
          <w:sz w:val="20"/>
          <w:szCs w:val="20"/>
        </w:rPr>
        <w:t xml:space="preserve">All deliverables as per the scope of work must be satisfactorily completed and accepted by UNICEF TCO to facilitate payment. Delivery estimated working days are tentative. </w:t>
      </w:r>
    </w:p>
    <w:p w14:paraId="2E0AA745" w14:textId="77777777" w:rsidR="00987946" w:rsidRPr="009C1DBB" w:rsidRDefault="00987946" w:rsidP="00987946">
      <w:pPr>
        <w:pStyle w:val="Default"/>
        <w:rPr>
          <w:rFonts w:ascii="Arial" w:hAnsi="Arial" w:cs="Arial"/>
          <w:sz w:val="20"/>
          <w:szCs w:val="20"/>
        </w:rPr>
      </w:pPr>
    </w:p>
    <w:p w14:paraId="69BFD1DD" w14:textId="77777777" w:rsidR="00987946" w:rsidRDefault="00987946" w:rsidP="00987946">
      <w:pPr>
        <w:autoSpaceDE w:val="0"/>
        <w:autoSpaceDN w:val="0"/>
        <w:adjustRightInd w:val="0"/>
        <w:jc w:val="both"/>
        <w:rPr>
          <w:rFonts w:ascii="Arial" w:hAnsi="Arial" w:cs="Arial"/>
          <w:sz w:val="20"/>
        </w:rPr>
      </w:pPr>
      <w:r w:rsidRPr="009C1DBB">
        <w:rPr>
          <w:rFonts w:ascii="Arial" w:hAnsi="Arial" w:cs="Arial"/>
          <w:sz w:val="20"/>
        </w:rPr>
        <w:t>Given the nature of the deliverables, they will have to be produced at different stages throughout the consultancy period. Therefore, payments will be based on progress reports that will include progress against each deliverable. Deliverables are contingent upon approval by the supervisor.</w:t>
      </w:r>
    </w:p>
    <w:p w14:paraId="1E3B5A4E" w14:textId="77777777" w:rsidR="0013322A" w:rsidRDefault="0013322A" w:rsidP="00987946">
      <w:pPr>
        <w:autoSpaceDE w:val="0"/>
        <w:autoSpaceDN w:val="0"/>
        <w:adjustRightInd w:val="0"/>
        <w:jc w:val="both"/>
        <w:rPr>
          <w:rFonts w:ascii="Arial" w:hAnsi="Arial" w:cs="Arial"/>
          <w:sz w:val="20"/>
        </w:rPr>
      </w:pPr>
    </w:p>
    <w:p w14:paraId="492F76EB" w14:textId="77777777" w:rsidR="0013322A" w:rsidRPr="009C1DBB" w:rsidRDefault="0013322A" w:rsidP="00987946">
      <w:pPr>
        <w:autoSpaceDE w:val="0"/>
        <w:autoSpaceDN w:val="0"/>
        <w:adjustRightInd w:val="0"/>
        <w:jc w:val="both"/>
        <w:rPr>
          <w:rFonts w:ascii="Arial" w:hAnsi="Arial" w:cs="Arial"/>
          <w:sz w:val="20"/>
          <w:lang w:val="en-GB"/>
        </w:rPr>
      </w:pPr>
    </w:p>
    <w:p w14:paraId="640F10AE" w14:textId="77777777" w:rsidR="00987946" w:rsidRPr="009C1DBB" w:rsidRDefault="00987946" w:rsidP="00987946">
      <w:pPr>
        <w:widowControl/>
        <w:numPr>
          <w:ilvl w:val="0"/>
          <w:numId w:val="29"/>
        </w:numPr>
        <w:tabs>
          <w:tab w:val="left" w:pos="630"/>
          <w:tab w:val="left" w:pos="900"/>
        </w:tabs>
        <w:spacing w:before="120"/>
        <w:rPr>
          <w:rFonts w:ascii="Arial" w:hAnsi="Arial" w:cs="Arial"/>
          <w:b/>
          <w:color w:val="009CFD"/>
          <w:sz w:val="20"/>
        </w:rPr>
      </w:pPr>
      <w:r w:rsidRPr="009C1DBB">
        <w:rPr>
          <w:rFonts w:ascii="Arial" w:hAnsi="Arial" w:cs="Arial"/>
          <w:b/>
          <w:color w:val="009CFD"/>
          <w:sz w:val="20"/>
        </w:rPr>
        <w:lastRenderedPageBreak/>
        <w:t>Estimated duration and cost of consultancy</w:t>
      </w:r>
    </w:p>
    <w:p w14:paraId="30FFCC09" w14:textId="77777777" w:rsidR="00987946" w:rsidRPr="009C1DBB" w:rsidRDefault="00987946" w:rsidP="00987946">
      <w:pPr>
        <w:pStyle w:val="Default"/>
        <w:rPr>
          <w:rFonts w:ascii="Arial" w:hAnsi="Arial" w:cs="Arial"/>
          <w:sz w:val="20"/>
          <w:szCs w:val="20"/>
        </w:rPr>
      </w:pPr>
    </w:p>
    <w:p w14:paraId="60435387" w14:textId="77777777" w:rsidR="00987946" w:rsidRPr="009C1DBB" w:rsidRDefault="00987946" w:rsidP="00987946">
      <w:pPr>
        <w:pStyle w:val="Default"/>
        <w:numPr>
          <w:ilvl w:val="0"/>
          <w:numId w:val="38"/>
        </w:numPr>
        <w:spacing w:after="30"/>
        <w:jc w:val="both"/>
        <w:rPr>
          <w:rFonts w:ascii="Arial" w:hAnsi="Arial" w:cs="Arial"/>
          <w:sz w:val="20"/>
          <w:szCs w:val="20"/>
        </w:rPr>
      </w:pPr>
      <w:r w:rsidRPr="009C1DBB">
        <w:rPr>
          <w:rFonts w:ascii="Arial" w:hAnsi="Arial" w:cs="Arial"/>
          <w:b/>
          <w:bCs/>
          <w:sz w:val="20"/>
          <w:szCs w:val="20"/>
        </w:rPr>
        <w:t xml:space="preserve">Duration: </w:t>
      </w:r>
      <w:r w:rsidRPr="009C1DBB">
        <w:rPr>
          <w:rFonts w:ascii="Arial" w:hAnsi="Arial" w:cs="Arial"/>
          <w:sz w:val="20"/>
          <w:szCs w:val="20"/>
          <w:lang w:val="en-GB"/>
        </w:rPr>
        <w:t>Consultant will work 60 days for the assignment, until 31 December 2024 to allow for final feedback and adjustments including the update of the report.</w:t>
      </w:r>
    </w:p>
    <w:p w14:paraId="11E84F37" w14:textId="77777777" w:rsidR="00987946" w:rsidRPr="009C1DBB" w:rsidRDefault="00987946" w:rsidP="00987946">
      <w:pPr>
        <w:pStyle w:val="Default"/>
        <w:numPr>
          <w:ilvl w:val="0"/>
          <w:numId w:val="38"/>
        </w:numPr>
        <w:spacing w:after="30"/>
        <w:jc w:val="both"/>
        <w:rPr>
          <w:rFonts w:ascii="Arial" w:hAnsi="Arial" w:cs="Arial"/>
          <w:sz w:val="20"/>
          <w:szCs w:val="20"/>
        </w:rPr>
      </w:pPr>
      <w:r w:rsidRPr="009C1DBB">
        <w:rPr>
          <w:rFonts w:ascii="Arial" w:hAnsi="Arial" w:cs="Arial"/>
          <w:b/>
          <w:bCs/>
          <w:sz w:val="20"/>
          <w:szCs w:val="20"/>
        </w:rPr>
        <w:t xml:space="preserve">Estimated Cost of Consultancy: </w:t>
      </w:r>
      <w:r w:rsidRPr="009C1DBB">
        <w:rPr>
          <w:rFonts w:ascii="Arial" w:hAnsi="Arial" w:cs="Arial"/>
          <w:sz w:val="20"/>
          <w:szCs w:val="20"/>
        </w:rPr>
        <w:t xml:space="preserve">Applications shall include a detailed financial proposal that elaborates on daily costs based on the completion of above-mentioned deliverables, including a total sum demanded. All costs, including travel, accommodation, administrative costs, etc. shall be covered by the contractor and should be included in the financial proposal as a separate heading and broken down into details of accommodation and travel costs in line with UN DSA rates. The candidate is required to specify their daily rates and the total amount as per the number of anticipated working days for each deliverable in the financial proposal and provide the breakdown of the lump sum amount as well as incidentals of each deliverable in TRY. </w:t>
      </w:r>
    </w:p>
    <w:p w14:paraId="1833BD69" w14:textId="77777777" w:rsidR="00987946" w:rsidRPr="009C1DBB" w:rsidRDefault="00987946" w:rsidP="00987946">
      <w:pPr>
        <w:pStyle w:val="Default"/>
        <w:numPr>
          <w:ilvl w:val="0"/>
          <w:numId w:val="38"/>
        </w:numPr>
        <w:spacing w:after="30"/>
        <w:jc w:val="both"/>
        <w:rPr>
          <w:rFonts w:ascii="Arial" w:hAnsi="Arial" w:cs="Arial"/>
          <w:sz w:val="20"/>
          <w:szCs w:val="20"/>
        </w:rPr>
      </w:pPr>
      <w:r w:rsidRPr="009C1DBB">
        <w:rPr>
          <w:rFonts w:ascii="Arial" w:hAnsi="Arial" w:cs="Arial"/>
          <w:b/>
          <w:bCs/>
          <w:sz w:val="20"/>
          <w:szCs w:val="20"/>
        </w:rPr>
        <w:t xml:space="preserve">Payment: </w:t>
      </w:r>
      <w:r w:rsidRPr="009C1DBB">
        <w:rPr>
          <w:rFonts w:ascii="Arial" w:hAnsi="Arial" w:cs="Arial"/>
          <w:sz w:val="20"/>
          <w:szCs w:val="20"/>
        </w:rPr>
        <w:t xml:space="preserve">UNICEF will issue a contract in TRY. The payment will be done in instalments upon submission of the deliverables as per the above list and will be executed in TRY. </w:t>
      </w:r>
    </w:p>
    <w:p w14:paraId="13F6231D" w14:textId="77777777" w:rsidR="00987946" w:rsidRPr="009C1DBB" w:rsidRDefault="00987946" w:rsidP="00987946">
      <w:pPr>
        <w:pStyle w:val="Default"/>
        <w:numPr>
          <w:ilvl w:val="0"/>
          <w:numId w:val="38"/>
        </w:numPr>
        <w:spacing w:after="30"/>
        <w:jc w:val="both"/>
        <w:rPr>
          <w:rFonts w:ascii="Arial" w:hAnsi="Arial" w:cs="Arial"/>
          <w:sz w:val="20"/>
          <w:szCs w:val="20"/>
        </w:rPr>
      </w:pPr>
      <w:r w:rsidRPr="009C1DBB">
        <w:rPr>
          <w:rFonts w:ascii="Arial" w:hAnsi="Arial" w:cs="Arial"/>
          <w:b/>
          <w:bCs/>
          <w:sz w:val="20"/>
          <w:szCs w:val="20"/>
        </w:rPr>
        <w:t xml:space="preserve">Payment Schedule: </w:t>
      </w:r>
      <w:r w:rsidRPr="009C1DBB">
        <w:rPr>
          <w:rFonts w:ascii="Arial" w:hAnsi="Arial" w:cs="Arial"/>
          <w:sz w:val="20"/>
          <w:szCs w:val="20"/>
        </w:rPr>
        <w:t xml:space="preserve">The payments will be made upon the delivery of outputs. In case of any unexpected delay(s) in the estimated time frame (approval process, force majeure, etc.), the duration of the assignment might be extended subject to the same conditions and mutual will of the parties. </w:t>
      </w:r>
    </w:p>
    <w:p w14:paraId="64ADCB53" w14:textId="77777777" w:rsidR="00987946" w:rsidRPr="009C1DBB" w:rsidRDefault="00987946" w:rsidP="000F1D2A">
      <w:pPr>
        <w:pStyle w:val="Default"/>
        <w:numPr>
          <w:ilvl w:val="0"/>
          <w:numId w:val="38"/>
        </w:numPr>
        <w:spacing w:after="30"/>
        <w:jc w:val="both"/>
        <w:rPr>
          <w:rFonts w:ascii="Arial" w:hAnsi="Arial" w:cs="Arial"/>
          <w:sz w:val="20"/>
          <w:szCs w:val="20"/>
        </w:rPr>
      </w:pPr>
      <w:r w:rsidRPr="009C1DBB">
        <w:rPr>
          <w:rFonts w:ascii="Arial" w:hAnsi="Arial" w:cs="Arial"/>
          <w:b/>
          <w:bCs/>
          <w:sz w:val="20"/>
          <w:szCs w:val="20"/>
        </w:rPr>
        <w:t>Travel Requirements:</w:t>
      </w:r>
      <w:r w:rsidRPr="009C1DBB">
        <w:rPr>
          <w:rFonts w:ascii="Arial" w:hAnsi="Arial" w:cs="Arial"/>
          <w:sz w:val="20"/>
          <w:szCs w:val="20"/>
        </w:rPr>
        <w:t xml:space="preserve"> Travel, if required (local), the costs of travel shall be covered by UNICEF in line with applicable rules and regulations and upon prior written agreement. In such cases, the consultant shall receive living allowances not exceeding the UNICEF Daily Subsistence Allowance (DSA) rate for such other location(s). As per UNICEF operational guidelines, will be in economy class and will use the most economical route. No travel should take place without an email travel authorization from section prior to the commencement of the journey from the duty station.</w:t>
      </w:r>
    </w:p>
    <w:p w14:paraId="7A5E2D67" w14:textId="77777777" w:rsidR="00987946" w:rsidRPr="009C1DBB" w:rsidRDefault="00987946" w:rsidP="000F1D2A">
      <w:pPr>
        <w:pStyle w:val="Default"/>
        <w:numPr>
          <w:ilvl w:val="0"/>
          <w:numId w:val="38"/>
        </w:numPr>
        <w:tabs>
          <w:tab w:val="left" w:pos="630"/>
          <w:tab w:val="left" w:pos="900"/>
        </w:tabs>
        <w:spacing w:after="30"/>
        <w:jc w:val="both"/>
        <w:rPr>
          <w:rFonts w:ascii="Arial" w:hAnsi="Arial" w:cs="Arial"/>
          <w:sz w:val="20"/>
          <w:szCs w:val="20"/>
        </w:rPr>
      </w:pPr>
      <w:r w:rsidRPr="009C1DBB">
        <w:rPr>
          <w:rFonts w:ascii="Arial" w:hAnsi="Arial" w:cs="Arial"/>
          <w:b/>
          <w:bCs/>
          <w:sz w:val="20"/>
          <w:szCs w:val="20"/>
        </w:rPr>
        <w:t xml:space="preserve">Reservations: </w:t>
      </w:r>
      <w:r w:rsidRPr="009C1DBB">
        <w:rPr>
          <w:rFonts w:ascii="Arial" w:hAnsi="Arial" w:cs="Arial"/>
          <w:sz w:val="20"/>
          <w:szCs w:val="20"/>
        </w:rPr>
        <w:t>UNICEF reserves the right to terminate the contract without a prior notice and/or withhold all or a portion of payment if performance is unsatisfactory, if the rules and the regulations regarding confidentiality, ethics and procedures of UNICEF and the project partners are not followed, if work/outputs are incomplete, not delivered or for failure to meet deadlines.</w:t>
      </w:r>
    </w:p>
    <w:p w14:paraId="0A00CB19" w14:textId="77777777" w:rsidR="00987946" w:rsidRPr="009C1DBB" w:rsidRDefault="00987946" w:rsidP="00987946">
      <w:pPr>
        <w:pStyle w:val="Default"/>
        <w:rPr>
          <w:rFonts w:ascii="Arial" w:hAnsi="Arial" w:cs="Arial"/>
          <w:sz w:val="20"/>
          <w:szCs w:val="20"/>
          <w:lang w:val="en-GB"/>
        </w:rPr>
      </w:pPr>
      <w:r w:rsidRPr="009C1DBB">
        <w:rPr>
          <w:rFonts w:ascii="Arial" w:hAnsi="Arial" w:cs="Arial"/>
          <w:sz w:val="20"/>
          <w:szCs w:val="20"/>
        </w:rPr>
        <w:t>VII</w:t>
      </w:r>
      <w:r w:rsidRPr="009C1DBB">
        <w:rPr>
          <w:rFonts w:ascii="Arial" w:hAnsi="Arial" w:cs="Arial"/>
          <w:sz w:val="20"/>
          <w:szCs w:val="20"/>
        </w:rPr>
        <w:tab/>
      </w:r>
      <w:r w:rsidRPr="009C1DBB">
        <w:rPr>
          <w:rFonts w:ascii="Arial" w:hAnsi="Arial" w:cs="Arial"/>
          <w:b/>
          <w:bCs/>
          <w:sz w:val="20"/>
          <w:szCs w:val="20"/>
        </w:rPr>
        <w:t xml:space="preserve">Duty Station: </w:t>
      </w:r>
      <w:r w:rsidRPr="009C1DBB">
        <w:rPr>
          <w:rFonts w:ascii="Arial" w:hAnsi="Arial" w:cs="Arial"/>
          <w:sz w:val="20"/>
          <w:szCs w:val="20"/>
        </w:rPr>
        <w:t>The duty station for the consultant is hybrid, it will be Ankara mainly and home based for report writing period.</w:t>
      </w:r>
    </w:p>
    <w:p w14:paraId="45441B1B" w14:textId="77777777" w:rsidR="00987946" w:rsidRPr="009C1DBB" w:rsidRDefault="00987946" w:rsidP="00987946">
      <w:pPr>
        <w:widowControl/>
        <w:numPr>
          <w:ilvl w:val="0"/>
          <w:numId w:val="29"/>
        </w:numPr>
        <w:tabs>
          <w:tab w:val="left" w:pos="630"/>
          <w:tab w:val="left" w:pos="900"/>
        </w:tabs>
        <w:spacing w:before="120"/>
        <w:rPr>
          <w:rFonts w:ascii="Arial" w:hAnsi="Arial" w:cs="Arial"/>
          <w:b/>
          <w:color w:val="009CFD"/>
          <w:sz w:val="20"/>
        </w:rPr>
      </w:pPr>
      <w:r w:rsidRPr="009C1DBB">
        <w:rPr>
          <w:rFonts w:ascii="Arial" w:hAnsi="Arial" w:cs="Arial"/>
          <w:b/>
          <w:color w:val="009CFD"/>
          <w:sz w:val="20"/>
        </w:rPr>
        <w:t>Policies both parties should be aware of</w:t>
      </w:r>
    </w:p>
    <w:p w14:paraId="60D0B565" w14:textId="77777777" w:rsidR="00987946" w:rsidRPr="009C1DBB" w:rsidRDefault="00987946" w:rsidP="00987946">
      <w:pPr>
        <w:snapToGrid w:val="0"/>
        <w:jc w:val="both"/>
        <w:rPr>
          <w:rFonts w:ascii="Arial" w:hAnsi="Arial" w:cs="Arial"/>
          <w:sz w:val="20"/>
          <w:lang w:val="en-GB"/>
        </w:rPr>
      </w:pPr>
    </w:p>
    <w:p w14:paraId="41CBD4AF" w14:textId="77777777" w:rsidR="00987946" w:rsidRPr="009C1DBB" w:rsidRDefault="00987946" w:rsidP="00987946">
      <w:pPr>
        <w:pStyle w:val="BodyTextIndent"/>
        <w:tabs>
          <w:tab w:val="left" w:pos="90"/>
        </w:tabs>
        <w:ind w:left="0"/>
        <w:jc w:val="both"/>
        <w:rPr>
          <w:rFonts w:ascii="Arial" w:hAnsi="Arial" w:cs="Arial"/>
          <w:sz w:val="20"/>
          <w:lang w:val="en-GB"/>
        </w:rPr>
      </w:pPr>
      <w:r w:rsidRPr="009C1DBB">
        <w:rPr>
          <w:rFonts w:ascii="Arial" w:hAnsi="Arial" w:cs="Arial"/>
          <w:sz w:val="20"/>
          <w:lang w:val="en-GB"/>
        </w:rPr>
        <w:t xml:space="preserve">The consultant(s) must respect the confidentiality of the information handled during the assignment. Documents and information provided must be used only for the tasks related to these terms of reference. </w:t>
      </w:r>
    </w:p>
    <w:p w14:paraId="43AB141E" w14:textId="77777777" w:rsidR="00987946" w:rsidRPr="009C1DBB" w:rsidRDefault="00987946" w:rsidP="00987946">
      <w:pPr>
        <w:pStyle w:val="BodyTextIndent"/>
        <w:tabs>
          <w:tab w:val="left" w:pos="90"/>
        </w:tabs>
        <w:ind w:left="0"/>
        <w:jc w:val="both"/>
        <w:rPr>
          <w:rFonts w:ascii="Arial" w:hAnsi="Arial" w:cs="Arial"/>
          <w:sz w:val="20"/>
          <w:lang w:val="en-GB"/>
        </w:rPr>
      </w:pPr>
      <w:r w:rsidRPr="009C1DBB">
        <w:rPr>
          <w:rFonts w:ascii="Arial" w:hAnsi="Arial" w:cs="Arial"/>
          <w:sz w:val="20"/>
          <w:lang w:val="en-GB"/>
        </w:rPr>
        <w:t xml:space="preserve">The deliverables will remain the copyright of UNICEF. Members of the team may not use the data for their own research purposes, nor license the data to others, without the written consent of UNICEF. </w:t>
      </w:r>
    </w:p>
    <w:p w14:paraId="152F94DF" w14:textId="77777777" w:rsidR="00987946" w:rsidRPr="009C1DBB" w:rsidRDefault="00987946" w:rsidP="00987946">
      <w:pPr>
        <w:pStyle w:val="BodyTextIndent"/>
        <w:tabs>
          <w:tab w:val="left" w:pos="90"/>
        </w:tabs>
        <w:ind w:left="0"/>
        <w:jc w:val="both"/>
        <w:rPr>
          <w:rFonts w:ascii="Arial" w:hAnsi="Arial" w:cs="Arial"/>
          <w:sz w:val="20"/>
          <w:lang w:val="en-GB"/>
        </w:rPr>
      </w:pPr>
      <w:r w:rsidRPr="009C1DBB">
        <w:rPr>
          <w:rFonts w:ascii="Arial" w:hAnsi="Arial" w:cs="Arial"/>
          <w:sz w:val="20"/>
          <w:lang w:val="en-GB"/>
        </w:rPr>
        <w:t>Bidders shall present a detailed financial proposal that elaborates on daily costs based on the above-mentioned schedule and deliverables, including a total sum demanded. All costs, including travel, accommodation, administrative costs, etc. shall be covered by the contractor and should be included in the financial proposal as a separate heading and broken down into details of accommodation and travel costs.</w:t>
      </w:r>
    </w:p>
    <w:p w14:paraId="060FB7C1" w14:textId="77777777" w:rsidR="00987946" w:rsidRPr="009C1DBB" w:rsidRDefault="00987946" w:rsidP="00987946">
      <w:pPr>
        <w:pStyle w:val="ListParagraph"/>
        <w:widowControl/>
        <w:numPr>
          <w:ilvl w:val="0"/>
          <w:numId w:val="29"/>
        </w:numPr>
        <w:spacing w:after="120"/>
        <w:jc w:val="both"/>
        <w:rPr>
          <w:rFonts w:ascii="Arial" w:hAnsi="Arial" w:cs="Arial"/>
          <w:b/>
          <w:color w:val="009CFD"/>
          <w:sz w:val="20"/>
        </w:rPr>
      </w:pPr>
      <w:r w:rsidRPr="009C1DBB">
        <w:rPr>
          <w:rFonts w:ascii="Arial" w:hAnsi="Arial" w:cs="Arial"/>
          <w:b/>
          <w:color w:val="009CFD"/>
          <w:sz w:val="20"/>
        </w:rPr>
        <w:t>Conditions of Work</w:t>
      </w:r>
    </w:p>
    <w:p w14:paraId="24090E01" w14:textId="77777777" w:rsidR="00987946" w:rsidRPr="009C1DBB" w:rsidRDefault="00987946" w:rsidP="00987946">
      <w:pPr>
        <w:jc w:val="both"/>
        <w:rPr>
          <w:rFonts w:ascii="Arial" w:hAnsi="Arial" w:cs="Arial"/>
          <w:sz w:val="20"/>
        </w:rPr>
      </w:pPr>
      <w:r w:rsidRPr="009C1DBB">
        <w:rPr>
          <w:rFonts w:ascii="Arial" w:hAnsi="Arial" w:cs="Arial"/>
          <w:sz w:val="20"/>
        </w:rPr>
        <w:t xml:space="preserve">The assignment is home-based, and the consultant will work directly with UNICEF Türkiye Country Office. No work may commence unless the contract is signed by both UNICEF and the consultant. The consultant will be responsible to work with in close cooperation with </w:t>
      </w:r>
      <w:proofErr w:type="spellStart"/>
      <w:r w:rsidRPr="009C1DBB">
        <w:rPr>
          <w:rFonts w:ascii="Arial" w:hAnsi="Arial" w:cs="Arial"/>
          <w:sz w:val="20"/>
        </w:rPr>
        <w:t>TurkStat</w:t>
      </w:r>
      <w:proofErr w:type="spellEnd"/>
      <w:r w:rsidRPr="009C1DBB">
        <w:rPr>
          <w:rFonts w:ascii="Arial" w:hAnsi="Arial" w:cs="Arial"/>
          <w:sz w:val="20"/>
        </w:rPr>
        <w:t xml:space="preserve">.  </w:t>
      </w:r>
    </w:p>
    <w:p w14:paraId="0A6AFA42" w14:textId="77777777" w:rsidR="00987946" w:rsidRPr="009C1DBB" w:rsidRDefault="00987946" w:rsidP="00987946">
      <w:pPr>
        <w:jc w:val="both"/>
        <w:rPr>
          <w:rFonts w:ascii="Arial" w:hAnsi="Arial" w:cs="Arial"/>
          <w:sz w:val="20"/>
        </w:rPr>
      </w:pPr>
    </w:p>
    <w:p w14:paraId="450F6ACD" w14:textId="77777777" w:rsidR="00987946" w:rsidRPr="009C1DBB" w:rsidRDefault="00987946" w:rsidP="00987946">
      <w:pPr>
        <w:jc w:val="both"/>
        <w:rPr>
          <w:rFonts w:ascii="Arial" w:hAnsi="Arial" w:cs="Arial"/>
          <w:sz w:val="20"/>
        </w:rPr>
      </w:pPr>
      <w:r w:rsidRPr="009C1DBB">
        <w:rPr>
          <w:rFonts w:ascii="Arial" w:hAnsi="Arial" w:cs="Arial"/>
          <w:sz w:val="20"/>
        </w:rPr>
        <w:t xml:space="preserve">Remarks and reservations: </w:t>
      </w:r>
    </w:p>
    <w:p w14:paraId="7B81167B" w14:textId="77777777" w:rsidR="00987946" w:rsidRPr="009C1DBB" w:rsidRDefault="00987946" w:rsidP="00987946">
      <w:pPr>
        <w:pStyle w:val="ListParagraph"/>
        <w:widowControl/>
        <w:numPr>
          <w:ilvl w:val="0"/>
          <w:numId w:val="33"/>
        </w:numPr>
        <w:jc w:val="both"/>
        <w:rPr>
          <w:rFonts w:ascii="Arial" w:hAnsi="Arial" w:cs="Arial"/>
          <w:sz w:val="20"/>
        </w:rPr>
      </w:pPr>
      <w:r w:rsidRPr="009C1DBB">
        <w:rPr>
          <w:rFonts w:ascii="Arial" w:hAnsi="Arial" w:cs="Arial"/>
          <w:sz w:val="20"/>
        </w:rPr>
        <w:t xml:space="preserve">UNICEF reserves the right to terminate the contract and/or withhold all or a portion of payment if the rules and the regulations regarding confidentiality, ethics and procedures of UNICEF and the partners are not followed, the performance is unsatisfactory, or work/deliverables are incomplete, not delivered or fail to meet the deadlines. The consultant(s) must respect the confidentiality of the information handled during the assignment. Documents and information provided must be used only for the tasks related to these terms of reference. </w:t>
      </w:r>
    </w:p>
    <w:p w14:paraId="22486EFC" w14:textId="77777777" w:rsidR="00987946" w:rsidRPr="009C1DBB" w:rsidRDefault="00987946" w:rsidP="00987946">
      <w:pPr>
        <w:pStyle w:val="ListParagraph"/>
        <w:jc w:val="both"/>
        <w:rPr>
          <w:rFonts w:ascii="Arial" w:hAnsi="Arial" w:cs="Arial"/>
          <w:sz w:val="20"/>
        </w:rPr>
      </w:pPr>
    </w:p>
    <w:p w14:paraId="4FD68E97" w14:textId="77777777" w:rsidR="00987946" w:rsidRPr="009C1DBB" w:rsidRDefault="00987946" w:rsidP="00987946">
      <w:pPr>
        <w:pStyle w:val="ListParagraph"/>
        <w:widowControl/>
        <w:numPr>
          <w:ilvl w:val="0"/>
          <w:numId w:val="29"/>
        </w:numPr>
        <w:spacing w:after="120"/>
        <w:jc w:val="both"/>
        <w:rPr>
          <w:rFonts w:ascii="Arial" w:hAnsi="Arial" w:cs="Arial"/>
          <w:b/>
          <w:color w:val="009CFD"/>
          <w:sz w:val="20"/>
        </w:rPr>
      </w:pPr>
      <w:r w:rsidRPr="009C1DBB">
        <w:rPr>
          <w:rFonts w:ascii="Arial" w:hAnsi="Arial" w:cs="Arial"/>
          <w:b/>
          <w:color w:val="009CFD"/>
          <w:sz w:val="20"/>
        </w:rPr>
        <w:t>Confidentiality and Data Ownership</w:t>
      </w:r>
    </w:p>
    <w:p w14:paraId="50883783" w14:textId="77777777" w:rsidR="0013322A" w:rsidRDefault="00987946" w:rsidP="00987946">
      <w:pPr>
        <w:jc w:val="both"/>
        <w:rPr>
          <w:rFonts w:ascii="Arial" w:hAnsi="Arial" w:cs="Arial"/>
          <w:sz w:val="20"/>
        </w:rPr>
      </w:pPr>
      <w:r w:rsidRPr="009C1DBB">
        <w:rPr>
          <w:rFonts w:ascii="Arial" w:hAnsi="Arial" w:cs="Arial"/>
          <w:sz w:val="20"/>
        </w:rPr>
        <w:t>Data/information gathered by the individual consultant cannot be used for personal or professional goals by the institution or its employees without the prior request and approval by UNICEF. Ownership of the data belongs to UNICEF.</w:t>
      </w:r>
    </w:p>
    <w:p w14:paraId="540867A1" w14:textId="0F708DB0" w:rsidR="00987946" w:rsidRPr="009C1DBB" w:rsidRDefault="00987946" w:rsidP="00987946">
      <w:pPr>
        <w:jc w:val="both"/>
        <w:rPr>
          <w:rFonts w:ascii="Arial" w:hAnsi="Arial" w:cs="Arial"/>
          <w:sz w:val="20"/>
        </w:rPr>
      </w:pPr>
      <w:r w:rsidRPr="009C1DBB">
        <w:rPr>
          <w:rFonts w:ascii="Arial" w:hAnsi="Arial" w:cs="Arial"/>
          <w:sz w:val="20"/>
        </w:rPr>
        <w:lastRenderedPageBreak/>
        <w:t xml:space="preserve"> </w:t>
      </w:r>
    </w:p>
    <w:p w14:paraId="617C7FC6" w14:textId="77777777" w:rsidR="00987946" w:rsidRPr="009C1DBB" w:rsidRDefault="00987946" w:rsidP="00987946">
      <w:pPr>
        <w:pStyle w:val="ListParagraph"/>
        <w:widowControl/>
        <w:numPr>
          <w:ilvl w:val="0"/>
          <w:numId w:val="29"/>
        </w:numPr>
        <w:spacing w:after="120"/>
        <w:jc w:val="both"/>
        <w:rPr>
          <w:rFonts w:ascii="Arial" w:hAnsi="Arial" w:cs="Arial"/>
          <w:b/>
          <w:color w:val="009CFD"/>
          <w:sz w:val="20"/>
        </w:rPr>
      </w:pPr>
      <w:r w:rsidRPr="009C1DBB">
        <w:rPr>
          <w:rFonts w:ascii="Arial" w:hAnsi="Arial" w:cs="Arial"/>
          <w:b/>
          <w:color w:val="009CFD"/>
          <w:sz w:val="20"/>
        </w:rPr>
        <w:t>Minimum Required Qualifications</w:t>
      </w:r>
    </w:p>
    <w:p w14:paraId="003ECB8A" w14:textId="77777777" w:rsidR="00987946" w:rsidRPr="009C1DBB" w:rsidRDefault="00987946" w:rsidP="00987946">
      <w:pPr>
        <w:jc w:val="both"/>
        <w:rPr>
          <w:rFonts w:ascii="Arial" w:hAnsi="Arial" w:cs="Arial"/>
          <w:sz w:val="20"/>
        </w:rPr>
      </w:pPr>
      <w:r w:rsidRPr="009C1DBB">
        <w:rPr>
          <w:rFonts w:ascii="Arial" w:hAnsi="Arial" w:cs="Arial"/>
          <w:sz w:val="20"/>
        </w:rPr>
        <w:t>The selected individual consultant should meet the following requirements:</w:t>
      </w:r>
    </w:p>
    <w:p w14:paraId="0413233C" w14:textId="77777777" w:rsidR="00987946" w:rsidRPr="009C1DBB" w:rsidRDefault="00987946" w:rsidP="00987946">
      <w:pPr>
        <w:jc w:val="both"/>
        <w:rPr>
          <w:rFonts w:ascii="Arial" w:hAnsi="Arial" w:cs="Arial"/>
          <w:sz w:val="20"/>
        </w:rPr>
      </w:pPr>
    </w:p>
    <w:p w14:paraId="6D3B6DD1" w14:textId="77777777" w:rsidR="00987946" w:rsidRPr="009C1DBB" w:rsidRDefault="00987946" w:rsidP="00987946">
      <w:pPr>
        <w:pStyle w:val="ListParagraph"/>
        <w:widowControl/>
        <w:numPr>
          <w:ilvl w:val="0"/>
          <w:numId w:val="32"/>
        </w:numPr>
        <w:jc w:val="both"/>
        <w:rPr>
          <w:rFonts w:ascii="Arial" w:hAnsi="Arial" w:cs="Arial"/>
          <w:sz w:val="20"/>
        </w:rPr>
      </w:pPr>
      <w:r w:rsidRPr="009C1DBB">
        <w:rPr>
          <w:rFonts w:ascii="Arial" w:hAnsi="Arial" w:cs="Arial"/>
          <w:sz w:val="20"/>
        </w:rPr>
        <w:t>Minimum 8 years of experience in data analysis and general familiarity on the data landscape studies.</w:t>
      </w:r>
    </w:p>
    <w:p w14:paraId="1BF0DBE8" w14:textId="77777777" w:rsidR="00987946" w:rsidRPr="009C1DBB" w:rsidRDefault="00987946" w:rsidP="00987946">
      <w:pPr>
        <w:pStyle w:val="ListParagraph"/>
        <w:widowControl/>
        <w:numPr>
          <w:ilvl w:val="0"/>
          <w:numId w:val="32"/>
        </w:numPr>
        <w:jc w:val="both"/>
        <w:rPr>
          <w:rFonts w:ascii="Arial" w:hAnsi="Arial" w:cs="Arial"/>
          <w:sz w:val="20"/>
        </w:rPr>
      </w:pPr>
      <w:r w:rsidRPr="009C1DBB">
        <w:rPr>
          <w:rFonts w:ascii="Arial" w:hAnsi="Arial" w:cs="Arial"/>
          <w:sz w:val="20"/>
        </w:rPr>
        <w:t xml:space="preserve">A strong background in accessing, </w:t>
      </w:r>
      <w:proofErr w:type="gramStart"/>
      <w:r w:rsidRPr="009C1DBB">
        <w:rPr>
          <w:rFonts w:ascii="Arial" w:hAnsi="Arial" w:cs="Arial"/>
          <w:sz w:val="20"/>
        </w:rPr>
        <w:t>collecting</w:t>
      </w:r>
      <w:proofErr w:type="gramEnd"/>
      <w:r w:rsidRPr="009C1DBB">
        <w:rPr>
          <w:rFonts w:ascii="Arial" w:hAnsi="Arial" w:cs="Arial"/>
          <w:sz w:val="20"/>
        </w:rPr>
        <w:t xml:space="preserve"> and analyzing official data sources, national surveys and administrative records, including data integration, and data governance.</w:t>
      </w:r>
    </w:p>
    <w:p w14:paraId="0231130D" w14:textId="77777777" w:rsidR="00987946" w:rsidRPr="009C1DBB" w:rsidRDefault="00987946" w:rsidP="00987946">
      <w:pPr>
        <w:pStyle w:val="ListParagraph"/>
        <w:widowControl/>
        <w:numPr>
          <w:ilvl w:val="0"/>
          <w:numId w:val="32"/>
        </w:numPr>
        <w:jc w:val="both"/>
        <w:rPr>
          <w:rFonts w:ascii="Arial" w:hAnsi="Arial" w:cs="Arial"/>
          <w:sz w:val="20"/>
        </w:rPr>
      </w:pPr>
      <w:r w:rsidRPr="009C1DBB">
        <w:rPr>
          <w:rFonts w:ascii="Arial" w:hAnsi="Arial" w:cs="Arial"/>
          <w:sz w:val="20"/>
        </w:rPr>
        <w:t>Familiarity with the data landscape (producers and users) in Türkiye, including knowledge of relevant government institutions and data sources.</w:t>
      </w:r>
    </w:p>
    <w:p w14:paraId="2FB47CF1" w14:textId="77777777" w:rsidR="00987946" w:rsidRPr="009C1DBB" w:rsidRDefault="00987946" w:rsidP="00987946">
      <w:pPr>
        <w:pStyle w:val="ListParagraph"/>
        <w:widowControl/>
        <w:numPr>
          <w:ilvl w:val="0"/>
          <w:numId w:val="32"/>
        </w:numPr>
        <w:jc w:val="both"/>
        <w:rPr>
          <w:rFonts w:ascii="Arial" w:hAnsi="Arial" w:cs="Arial"/>
          <w:sz w:val="20"/>
        </w:rPr>
      </w:pPr>
      <w:r w:rsidRPr="009C1DBB">
        <w:rPr>
          <w:rFonts w:ascii="Arial" w:hAnsi="Arial" w:cs="Arial"/>
          <w:sz w:val="20"/>
        </w:rPr>
        <w:t>Previous experience in the public sector or a deep understanding of Turkish administrative processes.</w:t>
      </w:r>
    </w:p>
    <w:p w14:paraId="3A29EB44" w14:textId="77777777" w:rsidR="00987946" w:rsidRPr="009C1DBB" w:rsidRDefault="00987946" w:rsidP="00987946">
      <w:pPr>
        <w:pStyle w:val="ListParagraph"/>
        <w:widowControl/>
        <w:numPr>
          <w:ilvl w:val="0"/>
          <w:numId w:val="32"/>
        </w:numPr>
        <w:jc w:val="both"/>
        <w:rPr>
          <w:rFonts w:ascii="Arial" w:hAnsi="Arial" w:cs="Arial"/>
          <w:sz w:val="20"/>
        </w:rPr>
      </w:pPr>
      <w:r w:rsidRPr="009C1DBB">
        <w:rPr>
          <w:rFonts w:ascii="Arial" w:hAnsi="Arial" w:cs="Arial"/>
          <w:sz w:val="20"/>
        </w:rPr>
        <w:t>Demonstrated proficiency in data analysis, data mining, and statistical analysis.</w:t>
      </w:r>
    </w:p>
    <w:p w14:paraId="753365A5" w14:textId="77777777" w:rsidR="00987946" w:rsidRPr="009C1DBB" w:rsidRDefault="00987946" w:rsidP="00987946">
      <w:pPr>
        <w:pStyle w:val="ListParagraph"/>
        <w:widowControl/>
        <w:numPr>
          <w:ilvl w:val="0"/>
          <w:numId w:val="32"/>
        </w:numPr>
        <w:jc w:val="both"/>
        <w:rPr>
          <w:rFonts w:ascii="Arial" w:hAnsi="Arial" w:cs="Arial"/>
          <w:sz w:val="20"/>
        </w:rPr>
      </w:pPr>
      <w:r w:rsidRPr="009C1DBB">
        <w:rPr>
          <w:rFonts w:ascii="Arial" w:hAnsi="Arial" w:cs="Arial"/>
          <w:sz w:val="20"/>
        </w:rPr>
        <w:t>Proficiency in data visualization tools and techniques to present findings effectively.</w:t>
      </w:r>
    </w:p>
    <w:p w14:paraId="4FCF51E4" w14:textId="77777777" w:rsidR="00987946" w:rsidRPr="009C1DBB" w:rsidRDefault="00987946" w:rsidP="00987946">
      <w:pPr>
        <w:pStyle w:val="ListParagraph"/>
        <w:widowControl/>
        <w:numPr>
          <w:ilvl w:val="0"/>
          <w:numId w:val="32"/>
        </w:numPr>
        <w:jc w:val="both"/>
        <w:rPr>
          <w:rFonts w:ascii="Arial" w:hAnsi="Arial" w:cs="Arial"/>
          <w:sz w:val="20"/>
        </w:rPr>
      </w:pPr>
      <w:r w:rsidRPr="009C1DBB">
        <w:rPr>
          <w:rFonts w:ascii="Arial" w:hAnsi="Arial" w:cs="Arial"/>
          <w:sz w:val="20"/>
        </w:rPr>
        <w:t>Strong research and documentation skills, as the analysis will require data collection and comprehensive documentation of findings.</w:t>
      </w:r>
    </w:p>
    <w:p w14:paraId="5F8587D8" w14:textId="77777777" w:rsidR="00987946" w:rsidRPr="009C1DBB" w:rsidRDefault="00987946" w:rsidP="00987946">
      <w:pPr>
        <w:pStyle w:val="ListParagraph"/>
        <w:widowControl/>
        <w:numPr>
          <w:ilvl w:val="0"/>
          <w:numId w:val="32"/>
        </w:numPr>
        <w:jc w:val="both"/>
        <w:rPr>
          <w:rFonts w:ascii="Arial" w:hAnsi="Arial" w:cs="Arial"/>
          <w:sz w:val="20"/>
        </w:rPr>
      </w:pPr>
      <w:r w:rsidRPr="009C1DBB">
        <w:rPr>
          <w:rFonts w:ascii="Arial" w:hAnsi="Arial" w:cs="Arial"/>
          <w:sz w:val="20"/>
        </w:rPr>
        <w:t>Ability to create a clear project plan, including milestones and deliverables.</w:t>
      </w:r>
    </w:p>
    <w:p w14:paraId="20B95884" w14:textId="77777777" w:rsidR="00987946" w:rsidRPr="009C1DBB" w:rsidRDefault="00987946" w:rsidP="00987946">
      <w:pPr>
        <w:pStyle w:val="ListParagraph"/>
        <w:widowControl/>
        <w:numPr>
          <w:ilvl w:val="0"/>
          <w:numId w:val="32"/>
        </w:numPr>
        <w:jc w:val="both"/>
        <w:rPr>
          <w:rFonts w:ascii="Arial" w:hAnsi="Arial" w:cs="Arial"/>
          <w:sz w:val="20"/>
        </w:rPr>
      </w:pPr>
      <w:r w:rsidRPr="009C1DBB">
        <w:rPr>
          <w:rFonts w:ascii="Arial" w:hAnsi="Arial" w:cs="Arial"/>
          <w:sz w:val="20"/>
        </w:rPr>
        <w:t>Proficiency in relevant software and tools for data collection, analysis, data visualization, and data management.</w:t>
      </w:r>
    </w:p>
    <w:p w14:paraId="01857AC7" w14:textId="77777777" w:rsidR="00987946" w:rsidRPr="009C1DBB" w:rsidRDefault="00987946" w:rsidP="00987946">
      <w:pPr>
        <w:pStyle w:val="ListParagraph"/>
        <w:widowControl/>
        <w:numPr>
          <w:ilvl w:val="0"/>
          <w:numId w:val="32"/>
        </w:numPr>
        <w:jc w:val="both"/>
        <w:rPr>
          <w:rFonts w:ascii="Arial" w:hAnsi="Arial" w:cs="Arial"/>
          <w:sz w:val="20"/>
        </w:rPr>
      </w:pPr>
      <w:r w:rsidRPr="009C1DBB">
        <w:rPr>
          <w:rFonts w:ascii="Arial" w:hAnsi="Arial" w:cs="Arial"/>
          <w:sz w:val="20"/>
        </w:rPr>
        <w:t>Understanding of data security and privacy regulations in Türkiye, measures for ensuring the confidentiality and integrity of sensitive data.</w:t>
      </w:r>
    </w:p>
    <w:p w14:paraId="78C3C7F5" w14:textId="77777777" w:rsidR="00987946" w:rsidRPr="009C1DBB" w:rsidRDefault="00987946" w:rsidP="00987946">
      <w:pPr>
        <w:pStyle w:val="ListParagraph"/>
        <w:widowControl/>
        <w:numPr>
          <w:ilvl w:val="0"/>
          <w:numId w:val="32"/>
        </w:numPr>
        <w:jc w:val="both"/>
        <w:rPr>
          <w:rFonts w:ascii="Arial" w:hAnsi="Arial" w:cs="Arial"/>
          <w:sz w:val="20"/>
        </w:rPr>
      </w:pPr>
      <w:r w:rsidRPr="009C1DBB">
        <w:rPr>
          <w:rFonts w:ascii="Arial" w:hAnsi="Arial" w:cs="Arial"/>
          <w:sz w:val="20"/>
        </w:rPr>
        <w:t>Strong communication skills for conveying complex technical information to non-technical stakeholders.</w:t>
      </w:r>
    </w:p>
    <w:p w14:paraId="09DAED88" w14:textId="77777777" w:rsidR="00987946" w:rsidRPr="009C1DBB" w:rsidRDefault="00987946" w:rsidP="00987946">
      <w:pPr>
        <w:pStyle w:val="ListParagraph"/>
        <w:widowControl/>
        <w:numPr>
          <w:ilvl w:val="0"/>
          <w:numId w:val="32"/>
        </w:numPr>
        <w:jc w:val="both"/>
        <w:rPr>
          <w:rFonts w:ascii="Arial" w:hAnsi="Arial" w:cs="Arial"/>
          <w:sz w:val="20"/>
        </w:rPr>
      </w:pPr>
      <w:r w:rsidRPr="009C1DBB">
        <w:rPr>
          <w:rFonts w:ascii="Arial" w:hAnsi="Arial" w:cs="Arial"/>
          <w:sz w:val="20"/>
        </w:rPr>
        <w:t>Excellent speaking and writing skills of English and Turkish.</w:t>
      </w:r>
    </w:p>
    <w:p w14:paraId="0FC8CB9F" w14:textId="77777777" w:rsidR="00987946" w:rsidRPr="009C1DBB" w:rsidRDefault="00987946" w:rsidP="00987946">
      <w:pPr>
        <w:jc w:val="both"/>
        <w:rPr>
          <w:rFonts w:ascii="Arial" w:hAnsi="Arial" w:cs="Arial"/>
          <w:sz w:val="20"/>
        </w:rPr>
      </w:pPr>
    </w:p>
    <w:p w14:paraId="253853BA" w14:textId="77777777" w:rsidR="00987946" w:rsidRPr="009C1DBB" w:rsidRDefault="00987946" w:rsidP="00987946">
      <w:pPr>
        <w:pStyle w:val="ListParagraph"/>
        <w:widowControl/>
        <w:numPr>
          <w:ilvl w:val="0"/>
          <w:numId w:val="29"/>
        </w:numPr>
        <w:spacing w:after="120"/>
        <w:jc w:val="both"/>
        <w:rPr>
          <w:rFonts w:ascii="Arial" w:hAnsi="Arial" w:cs="Arial"/>
          <w:b/>
          <w:color w:val="009CFD"/>
          <w:sz w:val="20"/>
        </w:rPr>
      </w:pPr>
      <w:r w:rsidRPr="009C1DBB">
        <w:rPr>
          <w:rFonts w:ascii="Arial" w:hAnsi="Arial" w:cs="Arial"/>
          <w:b/>
          <w:color w:val="009CFD"/>
          <w:sz w:val="20"/>
        </w:rPr>
        <w:t>Management and Supervision</w:t>
      </w:r>
    </w:p>
    <w:p w14:paraId="7CF0CC8D" w14:textId="77777777" w:rsidR="00987946" w:rsidRDefault="00987946" w:rsidP="00987946">
      <w:pPr>
        <w:spacing w:after="120"/>
        <w:jc w:val="both"/>
        <w:rPr>
          <w:rStyle w:val="normaltextrun"/>
          <w:rFonts w:ascii="Arial" w:hAnsi="Arial" w:cs="Arial"/>
          <w:sz w:val="20"/>
          <w:lang w:val="en-GB"/>
        </w:rPr>
      </w:pPr>
      <w:r w:rsidRPr="009C1DBB">
        <w:rPr>
          <w:rStyle w:val="normaltextrun"/>
          <w:rFonts w:ascii="Arial" w:hAnsi="Arial" w:cs="Arial"/>
          <w:sz w:val="20"/>
          <w:lang w:val="en-GB"/>
        </w:rPr>
        <w:t>The consultants will work in close consultation with and under the supervision of UNICEF Türkiye Monitoring and Evaluation Specialist, P3.</w:t>
      </w:r>
    </w:p>
    <w:p w14:paraId="1915A75E" w14:textId="77777777" w:rsidR="00987946" w:rsidRPr="009C1DBB" w:rsidRDefault="00987946" w:rsidP="00987946">
      <w:pPr>
        <w:pStyle w:val="ListParagraph"/>
        <w:widowControl/>
        <w:numPr>
          <w:ilvl w:val="0"/>
          <w:numId w:val="29"/>
        </w:numPr>
        <w:spacing w:after="120"/>
        <w:jc w:val="both"/>
        <w:rPr>
          <w:rFonts w:ascii="Arial" w:hAnsi="Arial" w:cs="Arial"/>
          <w:b/>
          <w:color w:val="009CFD"/>
          <w:sz w:val="20"/>
        </w:rPr>
      </w:pPr>
      <w:r w:rsidRPr="009C1DBB">
        <w:rPr>
          <w:rFonts w:ascii="Arial" w:hAnsi="Arial" w:cs="Arial"/>
          <w:b/>
          <w:color w:val="009CFD"/>
          <w:sz w:val="20"/>
        </w:rPr>
        <w:t>Applications and selection criteria</w:t>
      </w:r>
    </w:p>
    <w:p w14:paraId="36AD3C87" w14:textId="77777777" w:rsidR="00987946" w:rsidRPr="009C1DBB" w:rsidRDefault="00987946" w:rsidP="00987946">
      <w:pPr>
        <w:pStyle w:val="paragraph"/>
        <w:spacing w:before="0" w:beforeAutospacing="0" w:after="0" w:afterAutospacing="0"/>
        <w:jc w:val="both"/>
        <w:textAlignment w:val="baseline"/>
        <w:rPr>
          <w:rFonts w:ascii="Arial" w:hAnsi="Arial" w:cs="Arial"/>
          <w:sz w:val="20"/>
          <w:szCs w:val="20"/>
        </w:rPr>
      </w:pPr>
      <w:r w:rsidRPr="009C1DBB">
        <w:rPr>
          <w:rStyle w:val="normaltextrun"/>
          <w:rFonts w:ascii="Arial" w:hAnsi="Arial" w:cs="Arial"/>
          <w:sz w:val="20"/>
          <w:szCs w:val="20"/>
          <w:lang w:val="en-GB"/>
        </w:rPr>
        <w:t>Applications should be submitted in English and should include:</w:t>
      </w:r>
      <w:r w:rsidRPr="009C1DBB">
        <w:rPr>
          <w:rStyle w:val="eop"/>
          <w:rFonts w:ascii="Arial" w:hAnsi="Arial" w:cs="Arial"/>
          <w:sz w:val="20"/>
          <w:szCs w:val="20"/>
        </w:rPr>
        <w:t> </w:t>
      </w:r>
    </w:p>
    <w:p w14:paraId="2EF7E049" w14:textId="77777777" w:rsidR="00987946" w:rsidRPr="009C1DBB" w:rsidRDefault="00987946" w:rsidP="00987946">
      <w:pPr>
        <w:pStyle w:val="paragraph"/>
        <w:spacing w:before="0" w:beforeAutospacing="0" w:after="0" w:afterAutospacing="0"/>
        <w:jc w:val="both"/>
        <w:textAlignment w:val="baseline"/>
        <w:rPr>
          <w:rFonts w:ascii="Arial" w:hAnsi="Arial" w:cs="Arial"/>
          <w:sz w:val="20"/>
          <w:szCs w:val="20"/>
        </w:rPr>
      </w:pPr>
    </w:p>
    <w:p w14:paraId="766410CE" w14:textId="77777777" w:rsidR="00987946" w:rsidRPr="009C1DBB" w:rsidRDefault="00987946" w:rsidP="00987946">
      <w:pPr>
        <w:pStyle w:val="paragraph"/>
        <w:numPr>
          <w:ilvl w:val="0"/>
          <w:numId w:val="34"/>
        </w:numPr>
        <w:spacing w:before="0" w:beforeAutospacing="0" w:after="0" w:afterAutospacing="0"/>
        <w:jc w:val="both"/>
        <w:textAlignment w:val="baseline"/>
        <w:rPr>
          <w:rFonts w:ascii="Arial" w:hAnsi="Arial" w:cs="Arial"/>
          <w:sz w:val="20"/>
          <w:szCs w:val="20"/>
        </w:rPr>
      </w:pPr>
      <w:r w:rsidRPr="009C1DBB">
        <w:rPr>
          <w:rStyle w:val="normaltextrun"/>
          <w:rFonts w:ascii="Arial" w:hAnsi="Arial" w:cs="Arial"/>
          <w:sz w:val="20"/>
          <w:szCs w:val="20"/>
          <w:lang w:val="en-GB"/>
        </w:rPr>
        <w:t>Financial proposal using the Financial Proposal Template</w:t>
      </w:r>
      <w:r w:rsidRPr="009C1DBB">
        <w:rPr>
          <w:rStyle w:val="eop"/>
          <w:rFonts w:ascii="Arial" w:hAnsi="Arial" w:cs="Arial"/>
          <w:sz w:val="20"/>
          <w:szCs w:val="20"/>
        </w:rPr>
        <w:t> </w:t>
      </w:r>
    </w:p>
    <w:p w14:paraId="77E5A931" w14:textId="77777777" w:rsidR="00987946" w:rsidRPr="009C1DBB" w:rsidRDefault="00987946" w:rsidP="00987946">
      <w:pPr>
        <w:pStyle w:val="paragraph"/>
        <w:numPr>
          <w:ilvl w:val="0"/>
          <w:numId w:val="34"/>
        </w:numPr>
        <w:spacing w:before="0" w:beforeAutospacing="0" w:after="0" w:afterAutospacing="0"/>
        <w:jc w:val="both"/>
        <w:textAlignment w:val="baseline"/>
        <w:rPr>
          <w:rFonts w:ascii="Arial" w:hAnsi="Arial" w:cs="Arial"/>
          <w:sz w:val="20"/>
          <w:szCs w:val="20"/>
        </w:rPr>
      </w:pPr>
      <w:r w:rsidRPr="009C1DBB">
        <w:rPr>
          <w:rStyle w:val="normaltextrun"/>
          <w:rFonts w:ascii="Arial" w:hAnsi="Arial" w:cs="Arial"/>
          <w:sz w:val="20"/>
          <w:szCs w:val="20"/>
          <w:lang w:val="en-GB"/>
        </w:rPr>
        <w:t>P11 Form or CV, where previous experience is provided in detail.</w:t>
      </w:r>
      <w:r w:rsidRPr="009C1DBB">
        <w:rPr>
          <w:rStyle w:val="eop"/>
          <w:rFonts w:ascii="Arial" w:hAnsi="Arial" w:cs="Arial"/>
          <w:sz w:val="20"/>
          <w:szCs w:val="20"/>
        </w:rPr>
        <w:t> </w:t>
      </w:r>
    </w:p>
    <w:p w14:paraId="4098AE78" w14:textId="77777777" w:rsidR="00987946" w:rsidRPr="009C1DBB" w:rsidRDefault="00987946" w:rsidP="00987946">
      <w:pPr>
        <w:pStyle w:val="paragraph"/>
        <w:numPr>
          <w:ilvl w:val="0"/>
          <w:numId w:val="34"/>
        </w:numPr>
        <w:spacing w:before="0" w:beforeAutospacing="0" w:after="0" w:afterAutospacing="0"/>
        <w:jc w:val="both"/>
        <w:textAlignment w:val="baseline"/>
        <w:rPr>
          <w:rFonts w:ascii="Arial" w:hAnsi="Arial" w:cs="Arial"/>
          <w:sz w:val="20"/>
          <w:szCs w:val="20"/>
        </w:rPr>
      </w:pPr>
      <w:r w:rsidRPr="009C1DBB">
        <w:rPr>
          <w:rStyle w:val="normaltextrun"/>
          <w:rFonts w:ascii="Arial" w:hAnsi="Arial" w:cs="Arial"/>
          <w:sz w:val="20"/>
          <w:szCs w:val="20"/>
          <w:lang w:val="en-GB"/>
        </w:rPr>
        <w:t xml:space="preserve">Cover letter explaining how the prior experience is in line with the requirements described in this </w:t>
      </w:r>
      <w:proofErr w:type="spellStart"/>
      <w:r w:rsidRPr="009C1DBB">
        <w:rPr>
          <w:rStyle w:val="normaltextrun"/>
          <w:rFonts w:ascii="Arial" w:hAnsi="Arial" w:cs="Arial"/>
          <w:sz w:val="20"/>
          <w:szCs w:val="20"/>
          <w:lang w:val="en-GB"/>
        </w:rPr>
        <w:t>ToR</w:t>
      </w:r>
      <w:proofErr w:type="spellEnd"/>
      <w:r w:rsidRPr="009C1DBB">
        <w:rPr>
          <w:rStyle w:val="normaltextrun"/>
          <w:rFonts w:ascii="Arial" w:hAnsi="Arial" w:cs="Arial"/>
          <w:sz w:val="20"/>
          <w:szCs w:val="20"/>
          <w:lang w:val="en-GB"/>
        </w:rPr>
        <w:t>.</w:t>
      </w:r>
      <w:r w:rsidRPr="009C1DBB">
        <w:rPr>
          <w:rStyle w:val="eop"/>
          <w:rFonts w:ascii="Arial" w:hAnsi="Arial" w:cs="Arial"/>
          <w:sz w:val="20"/>
          <w:szCs w:val="20"/>
        </w:rPr>
        <w:t> </w:t>
      </w:r>
    </w:p>
    <w:p w14:paraId="3C69FA33" w14:textId="77777777" w:rsidR="00987946" w:rsidRPr="009C1DBB" w:rsidRDefault="00987946" w:rsidP="00987946">
      <w:pPr>
        <w:pStyle w:val="paragraph"/>
        <w:numPr>
          <w:ilvl w:val="0"/>
          <w:numId w:val="34"/>
        </w:numPr>
        <w:spacing w:before="0" w:beforeAutospacing="0" w:after="0" w:afterAutospacing="0"/>
        <w:jc w:val="both"/>
        <w:textAlignment w:val="baseline"/>
        <w:rPr>
          <w:rStyle w:val="eop"/>
          <w:rFonts w:ascii="Arial" w:hAnsi="Arial" w:cs="Arial"/>
          <w:sz w:val="20"/>
          <w:szCs w:val="20"/>
        </w:rPr>
      </w:pPr>
      <w:r w:rsidRPr="009C1DBB">
        <w:rPr>
          <w:rStyle w:val="normaltextrun"/>
          <w:rFonts w:ascii="Arial" w:hAnsi="Arial" w:cs="Arial"/>
          <w:sz w:val="20"/>
          <w:szCs w:val="20"/>
          <w:lang w:val="en-GB"/>
        </w:rPr>
        <w:t>Any other document demonstrating the previous related work. </w:t>
      </w:r>
      <w:r w:rsidRPr="009C1DBB">
        <w:rPr>
          <w:rStyle w:val="eop"/>
          <w:rFonts w:ascii="Arial" w:hAnsi="Arial" w:cs="Arial"/>
          <w:sz w:val="20"/>
          <w:szCs w:val="20"/>
        </w:rPr>
        <w:t> </w:t>
      </w:r>
    </w:p>
    <w:p w14:paraId="48B050BE" w14:textId="77777777" w:rsidR="00987946" w:rsidRPr="009C1DBB" w:rsidRDefault="00987946" w:rsidP="00987946">
      <w:pPr>
        <w:pStyle w:val="paragraph"/>
        <w:spacing w:before="0" w:beforeAutospacing="0" w:after="0" w:afterAutospacing="0"/>
        <w:ind w:left="720"/>
        <w:jc w:val="both"/>
        <w:textAlignment w:val="baseline"/>
        <w:rPr>
          <w:rFonts w:ascii="Arial" w:hAnsi="Arial" w:cs="Arial"/>
          <w:sz w:val="20"/>
          <w:szCs w:val="20"/>
        </w:rPr>
      </w:pPr>
    </w:p>
    <w:p w14:paraId="2F16572D" w14:textId="77777777" w:rsidR="00987946" w:rsidRPr="009C1DBB" w:rsidRDefault="00987946" w:rsidP="00987946">
      <w:pPr>
        <w:pStyle w:val="paragraph"/>
        <w:spacing w:before="0" w:beforeAutospacing="0" w:after="0" w:afterAutospacing="0"/>
        <w:jc w:val="both"/>
        <w:textAlignment w:val="baseline"/>
        <w:rPr>
          <w:rFonts w:ascii="Arial" w:hAnsi="Arial" w:cs="Arial"/>
          <w:sz w:val="20"/>
          <w:szCs w:val="20"/>
        </w:rPr>
      </w:pPr>
      <w:r w:rsidRPr="009C1DBB">
        <w:rPr>
          <w:rStyle w:val="normaltextrun"/>
          <w:rFonts w:ascii="Arial" w:hAnsi="Arial" w:cs="Arial"/>
          <w:sz w:val="20"/>
          <w:szCs w:val="20"/>
          <w:lang w:val="en-GB"/>
        </w:rPr>
        <w:t>The applications will be evaluated from technical and financial points of view. Only short-listed candidates may be called for an interview. </w:t>
      </w:r>
      <w:r w:rsidRPr="009C1DBB">
        <w:rPr>
          <w:rStyle w:val="eop"/>
          <w:rFonts w:ascii="Arial" w:hAnsi="Arial" w:cs="Arial"/>
          <w:sz w:val="20"/>
          <w:szCs w:val="20"/>
        </w:rPr>
        <w:t> </w:t>
      </w:r>
    </w:p>
    <w:p w14:paraId="071B1E23" w14:textId="77777777" w:rsidR="00987946" w:rsidRPr="009C1DBB" w:rsidRDefault="00987946" w:rsidP="00987946">
      <w:pPr>
        <w:pStyle w:val="paragraph"/>
        <w:spacing w:before="0" w:beforeAutospacing="0" w:after="0" w:afterAutospacing="0"/>
        <w:jc w:val="both"/>
        <w:textAlignment w:val="baseline"/>
        <w:rPr>
          <w:rStyle w:val="eop"/>
          <w:rFonts w:ascii="Arial" w:hAnsi="Arial" w:cs="Arial"/>
          <w:sz w:val="20"/>
          <w:szCs w:val="20"/>
        </w:rPr>
      </w:pPr>
      <w:r w:rsidRPr="009C1DBB">
        <w:rPr>
          <w:rStyle w:val="eop"/>
          <w:rFonts w:ascii="Arial" w:hAnsi="Arial" w:cs="Arial"/>
          <w:sz w:val="20"/>
          <w:szCs w:val="20"/>
        </w:rPr>
        <w:t> </w:t>
      </w:r>
    </w:p>
    <w:p w14:paraId="365FCE73" w14:textId="77777777" w:rsidR="00987946" w:rsidRPr="009C1DBB" w:rsidRDefault="00987946" w:rsidP="00987946">
      <w:pPr>
        <w:jc w:val="both"/>
        <w:textAlignment w:val="baseline"/>
        <w:rPr>
          <w:rFonts w:ascii="Arial" w:hAnsi="Arial" w:cs="Arial"/>
          <w:sz w:val="20"/>
        </w:rPr>
      </w:pPr>
      <w:r w:rsidRPr="009C1DBB">
        <w:rPr>
          <w:rFonts w:ascii="Arial" w:hAnsi="Arial" w:cs="Arial"/>
          <w:sz w:val="20"/>
        </w:rPr>
        <w:t>The applications will be evaluated from the technical and financial point of view. Technical aspects will be evaluated using the criteria outlined in the below matrix: </w:t>
      </w:r>
    </w:p>
    <w:p w14:paraId="147FF24A" w14:textId="77777777" w:rsidR="00987946" w:rsidRPr="009C1DBB" w:rsidRDefault="00987946" w:rsidP="00987946">
      <w:pPr>
        <w:jc w:val="both"/>
        <w:textAlignment w:val="baseline"/>
        <w:rPr>
          <w:rFonts w:ascii="Arial" w:hAnsi="Arial" w:cs="Arial"/>
          <w:sz w:val="20"/>
        </w:rPr>
      </w:pPr>
    </w:p>
    <w:p w14:paraId="0B7EB290" w14:textId="77777777" w:rsidR="00987946" w:rsidRPr="009C1DBB" w:rsidRDefault="00987946" w:rsidP="00987946">
      <w:pPr>
        <w:jc w:val="both"/>
        <w:textAlignment w:val="baseline"/>
        <w:rPr>
          <w:rFonts w:ascii="Arial" w:hAnsi="Arial" w:cs="Arial"/>
          <w:sz w:val="2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8"/>
        <w:gridCol w:w="2958"/>
      </w:tblGrid>
      <w:tr w:rsidR="00987946" w:rsidRPr="009C1DBB" w14:paraId="353B1C88" w14:textId="77777777" w:rsidTr="00062D75">
        <w:trPr>
          <w:trHeight w:val="375"/>
        </w:trPr>
        <w:tc>
          <w:tcPr>
            <w:tcW w:w="3367" w:type="pct"/>
            <w:tcBorders>
              <w:top w:val="single" w:sz="6" w:space="0" w:color="auto"/>
              <w:left w:val="single" w:sz="6" w:space="0" w:color="auto"/>
              <w:bottom w:val="single" w:sz="6" w:space="0" w:color="auto"/>
              <w:right w:val="single" w:sz="6" w:space="0" w:color="auto"/>
            </w:tcBorders>
            <w:shd w:val="clear" w:color="auto" w:fill="A6A6A6"/>
            <w:vAlign w:val="center"/>
            <w:hideMark/>
          </w:tcPr>
          <w:p w14:paraId="16950233" w14:textId="77777777" w:rsidR="00987946" w:rsidRPr="009C1DBB" w:rsidRDefault="00987946" w:rsidP="00062D75">
            <w:pPr>
              <w:textAlignment w:val="baseline"/>
              <w:rPr>
                <w:rFonts w:ascii="Arial" w:hAnsi="Arial" w:cs="Arial"/>
                <w:sz w:val="20"/>
              </w:rPr>
            </w:pPr>
            <w:r w:rsidRPr="009C1DBB">
              <w:rPr>
                <w:rFonts w:ascii="Arial" w:hAnsi="Arial" w:cs="Arial"/>
                <w:b/>
                <w:bCs/>
                <w:sz w:val="20"/>
              </w:rPr>
              <w:t>Criteria for technical evaluation</w:t>
            </w:r>
            <w:r w:rsidRPr="009C1DBB">
              <w:rPr>
                <w:rFonts w:ascii="Arial" w:hAnsi="Arial" w:cs="Arial"/>
                <w:sz w:val="20"/>
              </w:rPr>
              <w:t> </w:t>
            </w:r>
          </w:p>
        </w:tc>
        <w:tc>
          <w:tcPr>
            <w:tcW w:w="1633" w:type="pct"/>
            <w:tcBorders>
              <w:top w:val="single" w:sz="6" w:space="0" w:color="auto"/>
              <w:left w:val="single" w:sz="6" w:space="0" w:color="auto"/>
              <w:bottom w:val="single" w:sz="6" w:space="0" w:color="auto"/>
              <w:right w:val="single" w:sz="6" w:space="0" w:color="auto"/>
            </w:tcBorders>
            <w:shd w:val="clear" w:color="auto" w:fill="A6A6A6"/>
            <w:vAlign w:val="center"/>
            <w:hideMark/>
          </w:tcPr>
          <w:p w14:paraId="6D8227BB" w14:textId="77777777" w:rsidR="00987946" w:rsidRPr="009C1DBB" w:rsidRDefault="00987946" w:rsidP="00062D75">
            <w:pPr>
              <w:jc w:val="center"/>
              <w:textAlignment w:val="baseline"/>
              <w:rPr>
                <w:rFonts w:ascii="Arial" w:hAnsi="Arial" w:cs="Arial"/>
                <w:sz w:val="20"/>
              </w:rPr>
            </w:pPr>
            <w:r w:rsidRPr="009C1DBB">
              <w:rPr>
                <w:rFonts w:ascii="Arial" w:hAnsi="Arial" w:cs="Arial"/>
                <w:b/>
                <w:bCs/>
                <w:sz w:val="20"/>
              </w:rPr>
              <w:t>Max points</w:t>
            </w:r>
            <w:r w:rsidRPr="009C1DBB">
              <w:rPr>
                <w:rFonts w:ascii="Arial" w:hAnsi="Arial" w:cs="Arial"/>
                <w:sz w:val="20"/>
              </w:rPr>
              <w:t> </w:t>
            </w:r>
          </w:p>
        </w:tc>
      </w:tr>
      <w:tr w:rsidR="00987946" w:rsidRPr="009C1DBB" w14:paraId="37976186" w14:textId="77777777" w:rsidTr="00062D75">
        <w:trPr>
          <w:trHeight w:val="345"/>
        </w:trPr>
        <w:tc>
          <w:tcPr>
            <w:tcW w:w="3367" w:type="pct"/>
            <w:tcBorders>
              <w:top w:val="single" w:sz="6" w:space="0" w:color="auto"/>
              <w:left w:val="single" w:sz="6" w:space="0" w:color="auto"/>
              <w:bottom w:val="single" w:sz="6" w:space="0" w:color="auto"/>
              <w:right w:val="single" w:sz="6" w:space="0" w:color="auto"/>
            </w:tcBorders>
            <w:shd w:val="clear" w:color="auto" w:fill="auto"/>
            <w:vAlign w:val="center"/>
          </w:tcPr>
          <w:p w14:paraId="37C260F4" w14:textId="77777777" w:rsidR="00987946" w:rsidRPr="009C1DBB" w:rsidRDefault="00987946" w:rsidP="00062D75">
            <w:pPr>
              <w:textAlignment w:val="baseline"/>
              <w:rPr>
                <w:rFonts w:ascii="Arial" w:hAnsi="Arial" w:cs="Arial"/>
                <w:sz w:val="20"/>
              </w:rPr>
            </w:pPr>
            <w:r w:rsidRPr="009C1DBB">
              <w:rPr>
                <w:rFonts w:ascii="Arial" w:hAnsi="Arial" w:cs="Arial"/>
                <w:sz w:val="20"/>
              </w:rPr>
              <w:t xml:space="preserve">Minimum 5 years of experience in data analysis and general familiarity </w:t>
            </w:r>
            <w:proofErr w:type="gramStart"/>
            <w:r w:rsidRPr="009C1DBB">
              <w:rPr>
                <w:rFonts w:ascii="Arial" w:hAnsi="Arial" w:cs="Arial"/>
                <w:sz w:val="20"/>
              </w:rPr>
              <w:t>on  data</w:t>
            </w:r>
            <w:proofErr w:type="gramEnd"/>
            <w:r w:rsidRPr="009C1DBB">
              <w:rPr>
                <w:rFonts w:ascii="Arial" w:hAnsi="Arial" w:cs="Arial"/>
                <w:sz w:val="20"/>
              </w:rPr>
              <w:t xml:space="preserve"> landscape studies</w:t>
            </w:r>
          </w:p>
        </w:tc>
        <w:tc>
          <w:tcPr>
            <w:tcW w:w="163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0E386C" w14:textId="77777777" w:rsidR="00987946" w:rsidRPr="009C1DBB" w:rsidRDefault="00987946" w:rsidP="00062D75">
            <w:pPr>
              <w:jc w:val="center"/>
              <w:textAlignment w:val="baseline"/>
              <w:rPr>
                <w:rFonts w:ascii="Arial" w:hAnsi="Arial" w:cs="Arial"/>
                <w:sz w:val="20"/>
              </w:rPr>
            </w:pPr>
            <w:r w:rsidRPr="009C1DBB">
              <w:rPr>
                <w:rFonts w:ascii="Arial" w:hAnsi="Arial" w:cs="Arial"/>
                <w:sz w:val="20"/>
              </w:rPr>
              <w:t>Max. points: 15 </w:t>
            </w:r>
          </w:p>
        </w:tc>
      </w:tr>
      <w:tr w:rsidR="00987946" w:rsidRPr="009C1DBB" w14:paraId="069E406D" w14:textId="77777777" w:rsidTr="00062D75">
        <w:trPr>
          <w:trHeight w:val="345"/>
        </w:trPr>
        <w:tc>
          <w:tcPr>
            <w:tcW w:w="3367" w:type="pct"/>
            <w:tcBorders>
              <w:top w:val="single" w:sz="6" w:space="0" w:color="auto"/>
              <w:left w:val="single" w:sz="6" w:space="0" w:color="auto"/>
              <w:bottom w:val="single" w:sz="6" w:space="0" w:color="auto"/>
              <w:right w:val="single" w:sz="6" w:space="0" w:color="auto"/>
            </w:tcBorders>
            <w:shd w:val="clear" w:color="auto" w:fill="FFFFFF"/>
            <w:vAlign w:val="center"/>
          </w:tcPr>
          <w:p w14:paraId="458526CC" w14:textId="77777777" w:rsidR="00987946" w:rsidRPr="009C1DBB" w:rsidRDefault="00987946" w:rsidP="00062D75">
            <w:pPr>
              <w:jc w:val="both"/>
              <w:rPr>
                <w:rFonts w:ascii="Arial" w:hAnsi="Arial" w:cs="Arial"/>
                <w:sz w:val="20"/>
              </w:rPr>
            </w:pPr>
            <w:r w:rsidRPr="009C1DBB">
              <w:rPr>
                <w:rFonts w:ascii="Arial" w:hAnsi="Arial" w:cs="Arial"/>
                <w:sz w:val="20"/>
              </w:rPr>
              <w:t>Previous experience in the public sector or a deep understanding of Turkish administrative processes.</w:t>
            </w:r>
          </w:p>
          <w:p w14:paraId="202E4723" w14:textId="77777777" w:rsidR="00987946" w:rsidRPr="009C1DBB" w:rsidRDefault="00987946" w:rsidP="00062D75">
            <w:pPr>
              <w:textAlignment w:val="baseline"/>
              <w:rPr>
                <w:rFonts w:ascii="Arial" w:hAnsi="Arial" w:cs="Arial"/>
                <w:sz w:val="20"/>
              </w:rPr>
            </w:pPr>
          </w:p>
        </w:tc>
        <w:tc>
          <w:tcPr>
            <w:tcW w:w="163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A6BDA31" w14:textId="77777777" w:rsidR="00987946" w:rsidRPr="009C1DBB" w:rsidRDefault="00987946" w:rsidP="00062D75">
            <w:pPr>
              <w:jc w:val="center"/>
              <w:textAlignment w:val="baseline"/>
              <w:rPr>
                <w:rFonts w:ascii="Arial" w:hAnsi="Arial" w:cs="Arial"/>
                <w:sz w:val="20"/>
              </w:rPr>
            </w:pPr>
            <w:r w:rsidRPr="009C1DBB">
              <w:rPr>
                <w:rFonts w:ascii="Arial" w:hAnsi="Arial" w:cs="Arial"/>
                <w:sz w:val="20"/>
              </w:rPr>
              <w:t>Max. Points: 25 </w:t>
            </w:r>
          </w:p>
        </w:tc>
      </w:tr>
      <w:tr w:rsidR="00987946" w:rsidRPr="009C1DBB" w14:paraId="3CEF4A87" w14:textId="77777777" w:rsidTr="00062D75">
        <w:trPr>
          <w:trHeight w:val="345"/>
        </w:trPr>
        <w:tc>
          <w:tcPr>
            <w:tcW w:w="3367" w:type="pct"/>
            <w:tcBorders>
              <w:top w:val="single" w:sz="6" w:space="0" w:color="auto"/>
              <w:left w:val="single" w:sz="6" w:space="0" w:color="auto"/>
              <w:bottom w:val="single" w:sz="6" w:space="0" w:color="auto"/>
              <w:right w:val="single" w:sz="6" w:space="0" w:color="auto"/>
            </w:tcBorders>
            <w:shd w:val="clear" w:color="auto" w:fill="FFFFFF"/>
            <w:vAlign w:val="center"/>
          </w:tcPr>
          <w:p w14:paraId="001A590A" w14:textId="77777777" w:rsidR="00987946" w:rsidRPr="009C1DBB" w:rsidRDefault="00987946" w:rsidP="00062D75">
            <w:pPr>
              <w:jc w:val="both"/>
              <w:rPr>
                <w:rFonts w:ascii="Arial" w:hAnsi="Arial" w:cs="Arial"/>
                <w:sz w:val="20"/>
              </w:rPr>
            </w:pPr>
            <w:r w:rsidRPr="009C1DBB">
              <w:rPr>
                <w:rFonts w:ascii="Arial" w:hAnsi="Arial" w:cs="Arial"/>
                <w:sz w:val="20"/>
              </w:rPr>
              <w:t>Demonstrated proficiency in data analysis, data mining, and statistical analysis.</w:t>
            </w:r>
          </w:p>
          <w:p w14:paraId="0DD67408" w14:textId="77777777" w:rsidR="00987946" w:rsidRPr="009C1DBB" w:rsidRDefault="00987946" w:rsidP="00062D75">
            <w:pPr>
              <w:jc w:val="both"/>
              <w:rPr>
                <w:rFonts w:ascii="Arial" w:hAnsi="Arial" w:cs="Arial"/>
                <w:sz w:val="20"/>
              </w:rPr>
            </w:pPr>
          </w:p>
        </w:tc>
        <w:tc>
          <w:tcPr>
            <w:tcW w:w="163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72E0E80" w14:textId="77777777" w:rsidR="00987946" w:rsidRPr="009C1DBB" w:rsidRDefault="00987946" w:rsidP="00062D75">
            <w:pPr>
              <w:jc w:val="center"/>
              <w:textAlignment w:val="baseline"/>
              <w:rPr>
                <w:rFonts w:ascii="Arial" w:hAnsi="Arial" w:cs="Arial"/>
                <w:sz w:val="20"/>
              </w:rPr>
            </w:pPr>
            <w:r w:rsidRPr="009C1DBB">
              <w:rPr>
                <w:rFonts w:ascii="Arial" w:hAnsi="Arial" w:cs="Arial"/>
                <w:sz w:val="20"/>
              </w:rPr>
              <w:t>Max. Points: 10 </w:t>
            </w:r>
          </w:p>
        </w:tc>
      </w:tr>
      <w:tr w:rsidR="00987946" w:rsidRPr="009C1DBB" w14:paraId="58FC4EA4" w14:textId="77777777" w:rsidTr="00062D75">
        <w:trPr>
          <w:trHeight w:val="345"/>
        </w:trPr>
        <w:tc>
          <w:tcPr>
            <w:tcW w:w="3367" w:type="pct"/>
            <w:tcBorders>
              <w:top w:val="single" w:sz="6" w:space="0" w:color="auto"/>
              <w:left w:val="single" w:sz="6" w:space="0" w:color="auto"/>
              <w:bottom w:val="single" w:sz="6" w:space="0" w:color="auto"/>
              <w:right w:val="single" w:sz="6" w:space="0" w:color="auto"/>
            </w:tcBorders>
            <w:shd w:val="clear" w:color="auto" w:fill="FFFFFF"/>
            <w:vAlign w:val="center"/>
          </w:tcPr>
          <w:p w14:paraId="430AFD07" w14:textId="77777777" w:rsidR="00987946" w:rsidRPr="009C1DBB" w:rsidRDefault="00987946" w:rsidP="00062D75">
            <w:pPr>
              <w:jc w:val="both"/>
              <w:rPr>
                <w:rFonts w:ascii="Arial" w:hAnsi="Arial" w:cs="Arial"/>
                <w:sz w:val="20"/>
              </w:rPr>
            </w:pPr>
            <w:r w:rsidRPr="009C1DBB">
              <w:rPr>
                <w:rFonts w:ascii="Arial" w:hAnsi="Arial" w:cs="Arial"/>
                <w:sz w:val="20"/>
              </w:rPr>
              <w:t>Strong research and documentation skills, as the analysis will require data collection and comprehensive documentation of findings.</w:t>
            </w:r>
          </w:p>
          <w:p w14:paraId="1799C32C" w14:textId="77777777" w:rsidR="00987946" w:rsidRPr="009C1DBB" w:rsidRDefault="00987946" w:rsidP="00062D75">
            <w:pPr>
              <w:jc w:val="both"/>
              <w:rPr>
                <w:rFonts w:ascii="Arial" w:hAnsi="Arial" w:cs="Arial"/>
                <w:sz w:val="20"/>
              </w:rPr>
            </w:pPr>
          </w:p>
        </w:tc>
        <w:tc>
          <w:tcPr>
            <w:tcW w:w="163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E1295C" w14:textId="77777777" w:rsidR="00987946" w:rsidRPr="009C1DBB" w:rsidRDefault="00987946" w:rsidP="00062D75">
            <w:pPr>
              <w:jc w:val="center"/>
              <w:textAlignment w:val="baseline"/>
              <w:rPr>
                <w:rFonts w:ascii="Arial" w:hAnsi="Arial" w:cs="Arial"/>
                <w:sz w:val="20"/>
              </w:rPr>
            </w:pPr>
            <w:r w:rsidRPr="009C1DBB">
              <w:rPr>
                <w:rFonts w:ascii="Arial" w:hAnsi="Arial" w:cs="Arial"/>
                <w:sz w:val="20"/>
              </w:rPr>
              <w:t>Max. Points: 10 </w:t>
            </w:r>
          </w:p>
        </w:tc>
      </w:tr>
      <w:tr w:rsidR="00987946" w:rsidRPr="009C1DBB" w14:paraId="5220D8E9" w14:textId="77777777" w:rsidTr="00062D75">
        <w:trPr>
          <w:trHeight w:val="390"/>
        </w:trPr>
        <w:tc>
          <w:tcPr>
            <w:tcW w:w="3367" w:type="pct"/>
            <w:tcBorders>
              <w:top w:val="single" w:sz="6" w:space="0" w:color="auto"/>
              <w:left w:val="single" w:sz="6" w:space="0" w:color="auto"/>
              <w:bottom w:val="single" w:sz="6" w:space="0" w:color="auto"/>
              <w:right w:val="single" w:sz="6" w:space="0" w:color="auto"/>
            </w:tcBorders>
            <w:shd w:val="clear" w:color="auto" w:fill="auto"/>
            <w:vAlign w:val="center"/>
          </w:tcPr>
          <w:p w14:paraId="6261C776" w14:textId="77777777" w:rsidR="00987946" w:rsidRPr="009C1DBB" w:rsidRDefault="00987946" w:rsidP="00062D75">
            <w:pPr>
              <w:jc w:val="both"/>
              <w:rPr>
                <w:rFonts w:ascii="Arial" w:hAnsi="Arial" w:cs="Arial"/>
                <w:sz w:val="20"/>
              </w:rPr>
            </w:pPr>
            <w:r w:rsidRPr="009C1DBB">
              <w:rPr>
                <w:rFonts w:ascii="Arial" w:hAnsi="Arial" w:cs="Arial"/>
                <w:sz w:val="20"/>
              </w:rPr>
              <w:lastRenderedPageBreak/>
              <w:t>Familiarity with the administrative data landscape in Türkiye, including knowledge of relevant government institutions data flows and data sources.</w:t>
            </w:r>
          </w:p>
          <w:p w14:paraId="5C2DF606" w14:textId="77777777" w:rsidR="00987946" w:rsidRPr="009C1DBB" w:rsidRDefault="00987946" w:rsidP="00062D75">
            <w:pPr>
              <w:textAlignment w:val="baseline"/>
              <w:rPr>
                <w:rFonts w:ascii="Arial" w:hAnsi="Arial" w:cs="Arial"/>
                <w:sz w:val="20"/>
              </w:rPr>
            </w:pPr>
          </w:p>
        </w:tc>
        <w:tc>
          <w:tcPr>
            <w:tcW w:w="163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441D31" w14:textId="77777777" w:rsidR="00987946" w:rsidRPr="009C1DBB" w:rsidRDefault="00987946" w:rsidP="00062D75">
            <w:pPr>
              <w:jc w:val="center"/>
              <w:textAlignment w:val="baseline"/>
              <w:rPr>
                <w:rFonts w:ascii="Arial" w:hAnsi="Arial" w:cs="Arial"/>
                <w:sz w:val="20"/>
              </w:rPr>
            </w:pPr>
            <w:r w:rsidRPr="009C1DBB">
              <w:rPr>
                <w:rFonts w:ascii="Arial" w:hAnsi="Arial" w:cs="Arial"/>
                <w:sz w:val="20"/>
              </w:rPr>
              <w:t>Max. Points:  10 </w:t>
            </w:r>
          </w:p>
        </w:tc>
      </w:tr>
      <w:tr w:rsidR="00987946" w:rsidRPr="009C1DBB" w14:paraId="3C3B92B9" w14:textId="77777777" w:rsidTr="00062D75">
        <w:trPr>
          <w:trHeight w:val="300"/>
        </w:trPr>
        <w:tc>
          <w:tcPr>
            <w:tcW w:w="3367"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512E4300" w14:textId="77777777" w:rsidR="00987946" w:rsidRPr="009C1DBB" w:rsidRDefault="00987946" w:rsidP="00062D75">
            <w:pPr>
              <w:textAlignment w:val="baseline"/>
              <w:rPr>
                <w:rFonts w:ascii="Arial" w:hAnsi="Arial" w:cs="Arial"/>
                <w:sz w:val="20"/>
              </w:rPr>
            </w:pPr>
            <w:r w:rsidRPr="009C1DBB">
              <w:rPr>
                <w:rFonts w:ascii="Arial" w:hAnsi="Arial" w:cs="Arial"/>
                <w:b/>
                <w:bCs/>
                <w:sz w:val="20"/>
              </w:rPr>
              <w:t>Maximum total points</w:t>
            </w:r>
            <w:r w:rsidRPr="009C1DBB">
              <w:rPr>
                <w:rFonts w:ascii="Arial" w:hAnsi="Arial" w:cs="Arial"/>
                <w:sz w:val="20"/>
              </w:rPr>
              <w:t> </w:t>
            </w:r>
          </w:p>
        </w:tc>
        <w:tc>
          <w:tcPr>
            <w:tcW w:w="1633"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76CD4777" w14:textId="77777777" w:rsidR="00987946" w:rsidRPr="009C1DBB" w:rsidRDefault="00987946" w:rsidP="00062D75">
            <w:pPr>
              <w:jc w:val="center"/>
              <w:textAlignment w:val="baseline"/>
              <w:rPr>
                <w:rFonts w:ascii="Arial" w:hAnsi="Arial" w:cs="Arial"/>
                <w:sz w:val="20"/>
              </w:rPr>
            </w:pPr>
            <w:r w:rsidRPr="009C1DBB">
              <w:rPr>
                <w:rFonts w:ascii="Arial" w:hAnsi="Arial" w:cs="Arial"/>
                <w:b/>
                <w:bCs/>
                <w:sz w:val="20"/>
              </w:rPr>
              <w:t>Max points: 70</w:t>
            </w:r>
            <w:r w:rsidRPr="009C1DBB">
              <w:rPr>
                <w:rFonts w:ascii="Arial" w:hAnsi="Arial" w:cs="Arial"/>
                <w:sz w:val="20"/>
              </w:rPr>
              <w:t> </w:t>
            </w:r>
          </w:p>
        </w:tc>
      </w:tr>
    </w:tbl>
    <w:p w14:paraId="54788BA9" w14:textId="77777777" w:rsidR="00987946" w:rsidRPr="009C1DBB" w:rsidRDefault="00987946" w:rsidP="00D7716F">
      <w:pPr>
        <w:jc w:val="both"/>
        <w:textAlignment w:val="baseline"/>
        <w:rPr>
          <w:rFonts w:ascii="Arial" w:hAnsi="Arial" w:cs="Arial"/>
          <w:sz w:val="20"/>
        </w:rPr>
      </w:pPr>
    </w:p>
    <w:p w14:paraId="2F92C509" w14:textId="77777777" w:rsidR="00987946" w:rsidRPr="009C1DBB" w:rsidRDefault="00987946" w:rsidP="00D7716F">
      <w:pPr>
        <w:jc w:val="both"/>
        <w:rPr>
          <w:rFonts w:ascii="Arial" w:hAnsi="Arial" w:cs="Arial"/>
          <w:sz w:val="20"/>
        </w:rPr>
      </w:pPr>
      <w:r w:rsidRPr="009C1DBB">
        <w:rPr>
          <w:rFonts w:ascii="Arial" w:hAnsi="Arial" w:cs="Arial"/>
          <w:sz w:val="20"/>
        </w:rPr>
        <w:t>Each proposal will be assessed first on its technical merits and subsequently on its price. In making the final decision, UNICEF considers both Technical and Financial Proposals. The proposal obtaining the highest overall score after adding the scores for the Technical and Financial Proposals together, that offers the best value for money, will be recommended for award of the contract.</w:t>
      </w:r>
      <w:r w:rsidRPr="009C1DBB">
        <w:rPr>
          <w:rFonts w:ascii="Arial" w:hAnsi="Arial" w:cs="Arial"/>
          <w:sz w:val="20"/>
        </w:rPr>
        <w:cr/>
      </w:r>
    </w:p>
    <w:p w14:paraId="2C9DC0AA" w14:textId="77777777" w:rsidR="00987946" w:rsidRPr="009C1DBB" w:rsidRDefault="00987946" w:rsidP="00D7716F">
      <w:pPr>
        <w:jc w:val="both"/>
        <w:rPr>
          <w:rFonts w:ascii="Arial" w:hAnsi="Arial" w:cs="Arial"/>
          <w:sz w:val="20"/>
        </w:rPr>
      </w:pPr>
      <w:r w:rsidRPr="009C1DBB">
        <w:rPr>
          <w:rFonts w:ascii="Arial" w:hAnsi="Arial" w:cs="Arial"/>
          <w:sz w:val="20"/>
        </w:rPr>
        <w:t xml:space="preserve">The evaluation and award criteria used for this </w:t>
      </w:r>
      <w:proofErr w:type="spellStart"/>
      <w:r w:rsidRPr="009C1DBB">
        <w:rPr>
          <w:rFonts w:ascii="Arial" w:hAnsi="Arial" w:cs="Arial"/>
          <w:sz w:val="20"/>
        </w:rPr>
        <w:t>ToR</w:t>
      </w:r>
      <w:proofErr w:type="spellEnd"/>
      <w:r w:rsidRPr="009C1DBB">
        <w:rPr>
          <w:rFonts w:ascii="Arial" w:hAnsi="Arial" w:cs="Arial"/>
          <w:sz w:val="20"/>
        </w:rPr>
        <w:t xml:space="preserve"> are cumulative analysis evaluations (point system with weight attribution). The weighting ratio between the technical and financial proposals will be 70:30. The respective importance between technical and financial scores will be weighted as 70% and 30%. </w:t>
      </w:r>
    </w:p>
    <w:p w14:paraId="3AF4FDCB" w14:textId="77777777" w:rsidR="00987946" w:rsidRPr="009C1DBB" w:rsidRDefault="00987946" w:rsidP="00D7716F">
      <w:pPr>
        <w:jc w:val="both"/>
        <w:rPr>
          <w:rFonts w:ascii="Arial" w:hAnsi="Arial" w:cs="Arial"/>
          <w:sz w:val="20"/>
        </w:rPr>
      </w:pPr>
      <w:r w:rsidRPr="009C1DBB">
        <w:rPr>
          <w:rFonts w:ascii="Arial" w:hAnsi="Arial" w:cs="Arial"/>
          <w:sz w:val="20"/>
        </w:rPr>
        <w:t xml:space="preserve"> </w:t>
      </w:r>
    </w:p>
    <w:p w14:paraId="63B92BE3" w14:textId="54CD67DD" w:rsidR="00987946" w:rsidRDefault="00987946" w:rsidP="00D7716F">
      <w:pPr>
        <w:jc w:val="both"/>
        <w:rPr>
          <w:rFonts w:ascii="Arial" w:hAnsi="Arial" w:cs="Arial"/>
          <w:sz w:val="20"/>
        </w:rPr>
      </w:pPr>
      <w:r w:rsidRPr="009C1DBB">
        <w:rPr>
          <w:rFonts w:ascii="Arial" w:hAnsi="Arial" w:cs="Arial"/>
          <w:sz w:val="20"/>
        </w:rPr>
        <w:t>An offer is considered technically acceptable (and therefore eligible for opening of financial offers) when it obtains 49 Points out of 70 during the technical evaluation. The final selection of the consultant/expert will be based on a combination of the technical and financial proposals with a weighting of 70% for the technical proposal and 30% for the financial proposal. In the case of cumulative analysis, the proposals scoring below 70% of the available technical points will be considered non-compliant and will be rejected and not further considered (e.g., in the case of 70:30, the passing score is 49 points out of 70).</w:t>
      </w:r>
    </w:p>
    <w:p w14:paraId="609DB787" w14:textId="77777777" w:rsidR="00D7716F" w:rsidRPr="009C1DBB" w:rsidRDefault="00D7716F" w:rsidP="00D7716F">
      <w:pPr>
        <w:jc w:val="both"/>
        <w:rPr>
          <w:rFonts w:ascii="Arial" w:hAnsi="Arial" w:cs="Arial"/>
          <w:sz w:val="20"/>
        </w:rPr>
      </w:pPr>
    </w:p>
    <w:p w14:paraId="51D586D2" w14:textId="77777777" w:rsidR="00987946" w:rsidRPr="009C1DBB" w:rsidRDefault="00987946" w:rsidP="00987946">
      <w:pPr>
        <w:rPr>
          <w:rFonts w:ascii="Arial" w:hAnsi="Arial" w:cs="Arial"/>
          <w:sz w:val="20"/>
        </w:rPr>
      </w:pPr>
    </w:p>
    <w:tbl>
      <w:tblPr>
        <w:tblStyle w:val="TableGrid"/>
        <w:tblW w:w="0" w:type="auto"/>
        <w:tblInd w:w="360" w:type="dxa"/>
        <w:tblLook w:val="04A0" w:firstRow="1" w:lastRow="0" w:firstColumn="1" w:lastColumn="0" w:noHBand="0" w:noVBand="1"/>
      </w:tblPr>
      <w:tblGrid>
        <w:gridCol w:w="650"/>
        <w:gridCol w:w="1939"/>
        <w:gridCol w:w="1717"/>
        <w:gridCol w:w="2110"/>
        <w:gridCol w:w="2286"/>
      </w:tblGrid>
      <w:tr w:rsidR="00987946" w:rsidRPr="009C1DBB" w14:paraId="5E93625E" w14:textId="77777777" w:rsidTr="00062D75">
        <w:tc>
          <w:tcPr>
            <w:tcW w:w="608" w:type="dxa"/>
            <w:vAlign w:val="center"/>
          </w:tcPr>
          <w:p w14:paraId="07A1FA96" w14:textId="77777777" w:rsidR="00987946" w:rsidRPr="009C1DBB" w:rsidRDefault="00987946" w:rsidP="00062D75">
            <w:pPr>
              <w:jc w:val="center"/>
              <w:rPr>
                <w:rFonts w:ascii="Arial" w:hAnsi="Arial" w:cs="Arial"/>
                <w:b/>
                <w:sz w:val="20"/>
              </w:rPr>
            </w:pPr>
          </w:p>
        </w:tc>
        <w:tc>
          <w:tcPr>
            <w:tcW w:w="1948" w:type="dxa"/>
            <w:vAlign w:val="center"/>
          </w:tcPr>
          <w:p w14:paraId="6C170D3A" w14:textId="77777777" w:rsidR="00987946" w:rsidRPr="009C1DBB" w:rsidRDefault="00987946" w:rsidP="00062D75">
            <w:pPr>
              <w:jc w:val="center"/>
              <w:rPr>
                <w:rFonts w:ascii="Arial" w:hAnsi="Arial" w:cs="Arial"/>
                <w:b/>
                <w:sz w:val="20"/>
              </w:rPr>
            </w:pPr>
            <w:r w:rsidRPr="009C1DBB">
              <w:rPr>
                <w:rFonts w:ascii="Arial" w:hAnsi="Arial" w:cs="Arial"/>
                <w:b/>
                <w:sz w:val="20"/>
              </w:rPr>
              <w:t>PREPARED</w:t>
            </w:r>
          </w:p>
        </w:tc>
        <w:tc>
          <w:tcPr>
            <w:tcW w:w="1724" w:type="dxa"/>
          </w:tcPr>
          <w:p w14:paraId="4B6367E0" w14:textId="77777777" w:rsidR="00987946" w:rsidRPr="009C1DBB" w:rsidRDefault="00987946" w:rsidP="00062D75">
            <w:pPr>
              <w:jc w:val="center"/>
              <w:rPr>
                <w:rFonts w:ascii="Arial" w:hAnsi="Arial" w:cs="Arial"/>
                <w:b/>
                <w:sz w:val="20"/>
              </w:rPr>
            </w:pPr>
            <w:r w:rsidRPr="009C1DBB">
              <w:rPr>
                <w:rFonts w:ascii="Arial" w:hAnsi="Arial" w:cs="Arial"/>
                <w:b/>
                <w:sz w:val="20"/>
              </w:rPr>
              <w:t>REVIEWED</w:t>
            </w:r>
          </w:p>
        </w:tc>
        <w:tc>
          <w:tcPr>
            <w:tcW w:w="2124" w:type="dxa"/>
            <w:vAlign w:val="center"/>
          </w:tcPr>
          <w:p w14:paraId="3F94D551" w14:textId="77777777" w:rsidR="00987946" w:rsidRPr="009C1DBB" w:rsidRDefault="00987946" w:rsidP="00062D75">
            <w:pPr>
              <w:jc w:val="center"/>
              <w:rPr>
                <w:rFonts w:ascii="Arial" w:hAnsi="Arial" w:cs="Arial"/>
                <w:b/>
                <w:sz w:val="20"/>
              </w:rPr>
            </w:pPr>
            <w:r w:rsidRPr="009C1DBB">
              <w:rPr>
                <w:rFonts w:ascii="Arial" w:hAnsi="Arial" w:cs="Arial"/>
                <w:b/>
                <w:sz w:val="20"/>
              </w:rPr>
              <w:t>REVIEWED</w:t>
            </w:r>
          </w:p>
        </w:tc>
        <w:tc>
          <w:tcPr>
            <w:tcW w:w="2298" w:type="dxa"/>
            <w:vAlign w:val="center"/>
          </w:tcPr>
          <w:p w14:paraId="4BC84F34" w14:textId="77777777" w:rsidR="00987946" w:rsidRPr="009C1DBB" w:rsidRDefault="00987946" w:rsidP="00062D75">
            <w:pPr>
              <w:jc w:val="center"/>
              <w:rPr>
                <w:rFonts w:ascii="Arial" w:hAnsi="Arial" w:cs="Arial"/>
                <w:b/>
                <w:sz w:val="20"/>
              </w:rPr>
            </w:pPr>
            <w:r w:rsidRPr="009C1DBB">
              <w:rPr>
                <w:rFonts w:ascii="Arial" w:hAnsi="Arial" w:cs="Arial"/>
                <w:b/>
                <w:sz w:val="20"/>
              </w:rPr>
              <w:t>APPROVED</w:t>
            </w:r>
          </w:p>
        </w:tc>
      </w:tr>
      <w:tr w:rsidR="00987946" w:rsidRPr="009C1DBB" w14:paraId="565D9300" w14:textId="77777777" w:rsidTr="00062D75">
        <w:trPr>
          <w:trHeight w:val="435"/>
        </w:trPr>
        <w:tc>
          <w:tcPr>
            <w:tcW w:w="608" w:type="dxa"/>
            <w:vAlign w:val="center"/>
          </w:tcPr>
          <w:p w14:paraId="5731A03D" w14:textId="77777777" w:rsidR="00987946" w:rsidRPr="009C1DBB" w:rsidRDefault="00987946" w:rsidP="00062D75">
            <w:pPr>
              <w:jc w:val="center"/>
              <w:rPr>
                <w:rFonts w:ascii="Arial" w:hAnsi="Arial" w:cs="Arial"/>
                <w:b/>
                <w:sz w:val="20"/>
              </w:rPr>
            </w:pPr>
            <w:r w:rsidRPr="009C1DBB">
              <w:rPr>
                <w:rFonts w:ascii="Arial" w:hAnsi="Arial" w:cs="Arial"/>
                <w:b/>
                <w:sz w:val="20"/>
              </w:rPr>
              <w:t>BY</w:t>
            </w:r>
          </w:p>
          <w:p w14:paraId="25DD3A2D" w14:textId="77777777" w:rsidR="00987946" w:rsidRPr="009C1DBB" w:rsidRDefault="00987946" w:rsidP="00062D75">
            <w:pPr>
              <w:jc w:val="center"/>
              <w:rPr>
                <w:rFonts w:ascii="Arial" w:hAnsi="Arial" w:cs="Arial"/>
                <w:b/>
                <w:sz w:val="20"/>
              </w:rPr>
            </w:pPr>
          </w:p>
        </w:tc>
        <w:tc>
          <w:tcPr>
            <w:tcW w:w="1948" w:type="dxa"/>
            <w:vAlign w:val="center"/>
          </w:tcPr>
          <w:p w14:paraId="08FF82EA" w14:textId="77777777" w:rsidR="00D7716F" w:rsidRDefault="00D7716F" w:rsidP="00D7716F">
            <w:pPr>
              <w:jc w:val="center"/>
              <w:rPr>
                <w:rFonts w:ascii="Arial" w:hAnsi="Arial" w:cs="Arial"/>
                <w:sz w:val="20"/>
              </w:rPr>
            </w:pPr>
          </w:p>
          <w:p w14:paraId="4B454E70" w14:textId="318F5A96" w:rsidR="00D7716F" w:rsidRPr="009C1DBB" w:rsidRDefault="00D7716F" w:rsidP="00D7716F">
            <w:pPr>
              <w:jc w:val="center"/>
              <w:rPr>
                <w:rFonts w:ascii="Arial" w:hAnsi="Arial" w:cs="Arial"/>
                <w:sz w:val="20"/>
              </w:rPr>
            </w:pPr>
            <w:r>
              <w:rPr>
                <w:rFonts w:ascii="Arial" w:hAnsi="Arial" w:cs="Arial"/>
                <w:sz w:val="20"/>
              </w:rPr>
              <w:t>Emine Arslan Pauli</w:t>
            </w:r>
          </w:p>
          <w:p w14:paraId="330D870C" w14:textId="4EEC2828" w:rsidR="00987946" w:rsidRPr="009C1DBB" w:rsidRDefault="00D7716F" w:rsidP="00D7716F">
            <w:pPr>
              <w:jc w:val="center"/>
              <w:rPr>
                <w:rFonts w:ascii="Arial" w:hAnsi="Arial" w:cs="Arial"/>
                <w:color w:val="FF0000"/>
                <w:sz w:val="20"/>
              </w:rPr>
            </w:pPr>
            <w:r>
              <w:rPr>
                <w:rFonts w:ascii="Arial" w:hAnsi="Arial" w:cs="Arial"/>
                <w:i/>
                <w:sz w:val="20"/>
              </w:rPr>
              <w:t>Information Management Officer</w:t>
            </w:r>
          </w:p>
          <w:p w14:paraId="2902A1C4" w14:textId="77777777" w:rsidR="00987946" w:rsidRPr="009C1DBB" w:rsidRDefault="00987946" w:rsidP="00062D75">
            <w:pPr>
              <w:jc w:val="center"/>
              <w:rPr>
                <w:rFonts w:ascii="Arial" w:hAnsi="Arial" w:cs="Arial"/>
                <w:i/>
                <w:color w:val="FF0000"/>
                <w:sz w:val="20"/>
              </w:rPr>
            </w:pPr>
          </w:p>
        </w:tc>
        <w:tc>
          <w:tcPr>
            <w:tcW w:w="1724" w:type="dxa"/>
          </w:tcPr>
          <w:p w14:paraId="65049DD7" w14:textId="77777777" w:rsidR="00987946" w:rsidRPr="009C1DBB" w:rsidRDefault="00987946" w:rsidP="00062D75">
            <w:pPr>
              <w:jc w:val="center"/>
              <w:rPr>
                <w:rFonts w:ascii="Arial" w:hAnsi="Arial" w:cs="Arial"/>
                <w:sz w:val="20"/>
              </w:rPr>
            </w:pPr>
          </w:p>
          <w:p w14:paraId="7D281F70" w14:textId="77777777" w:rsidR="00987946" w:rsidRPr="009C1DBB" w:rsidRDefault="00987946" w:rsidP="00062D75">
            <w:pPr>
              <w:jc w:val="center"/>
              <w:rPr>
                <w:rFonts w:ascii="Arial" w:hAnsi="Arial" w:cs="Arial"/>
                <w:sz w:val="20"/>
              </w:rPr>
            </w:pPr>
            <w:r w:rsidRPr="009C1DBB">
              <w:rPr>
                <w:rFonts w:ascii="Arial" w:hAnsi="Arial" w:cs="Arial"/>
                <w:sz w:val="20"/>
              </w:rPr>
              <w:t>Mekiya Feki</w:t>
            </w:r>
          </w:p>
          <w:p w14:paraId="074AFFD5" w14:textId="77777777" w:rsidR="00987946" w:rsidRPr="009C1DBB" w:rsidRDefault="00987946" w:rsidP="00062D75">
            <w:pPr>
              <w:jc w:val="center"/>
              <w:rPr>
                <w:rFonts w:ascii="Arial" w:hAnsi="Arial" w:cs="Arial"/>
                <w:sz w:val="20"/>
              </w:rPr>
            </w:pPr>
            <w:r w:rsidRPr="009C1DBB">
              <w:rPr>
                <w:rFonts w:ascii="Arial" w:hAnsi="Arial" w:cs="Arial"/>
                <w:i/>
                <w:sz w:val="20"/>
              </w:rPr>
              <w:t>Monitoring and Evaluation Specialist</w:t>
            </w:r>
          </w:p>
        </w:tc>
        <w:tc>
          <w:tcPr>
            <w:tcW w:w="2124" w:type="dxa"/>
            <w:vAlign w:val="center"/>
          </w:tcPr>
          <w:p w14:paraId="63453078" w14:textId="77777777" w:rsidR="00987946" w:rsidRPr="009C1DBB" w:rsidRDefault="00987946" w:rsidP="00062D75">
            <w:pPr>
              <w:jc w:val="center"/>
              <w:rPr>
                <w:rFonts w:ascii="Arial" w:hAnsi="Arial" w:cs="Arial"/>
                <w:sz w:val="20"/>
              </w:rPr>
            </w:pPr>
            <w:r w:rsidRPr="009C1DBB">
              <w:rPr>
                <w:rFonts w:ascii="Arial" w:hAnsi="Arial" w:cs="Arial"/>
                <w:sz w:val="20"/>
              </w:rPr>
              <w:t>Pashmina Naz Ali</w:t>
            </w:r>
          </w:p>
          <w:p w14:paraId="70615E3B" w14:textId="77777777" w:rsidR="00987946" w:rsidRPr="009C1DBB" w:rsidRDefault="00987946" w:rsidP="00062D75">
            <w:pPr>
              <w:jc w:val="center"/>
              <w:rPr>
                <w:rFonts w:ascii="Arial" w:hAnsi="Arial" w:cs="Arial"/>
                <w:i/>
                <w:sz w:val="20"/>
              </w:rPr>
            </w:pPr>
            <w:r w:rsidRPr="009C1DBB">
              <w:rPr>
                <w:rFonts w:ascii="Arial" w:hAnsi="Arial" w:cs="Arial"/>
                <w:i/>
                <w:sz w:val="20"/>
              </w:rPr>
              <w:t>Chief of Planning, Monitoring and Evaluation</w:t>
            </w:r>
          </w:p>
        </w:tc>
        <w:tc>
          <w:tcPr>
            <w:tcW w:w="2298" w:type="dxa"/>
            <w:vAlign w:val="center"/>
          </w:tcPr>
          <w:p w14:paraId="6268FA30" w14:textId="77777777" w:rsidR="00987946" w:rsidRPr="009C1DBB" w:rsidRDefault="00987946" w:rsidP="00062D75">
            <w:pPr>
              <w:jc w:val="center"/>
              <w:rPr>
                <w:rFonts w:ascii="Arial" w:hAnsi="Arial" w:cs="Arial"/>
                <w:sz w:val="20"/>
              </w:rPr>
            </w:pPr>
          </w:p>
          <w:p w14:paraId="7052EDE8" w14:textId="6A882BB7" w:rsidR="00987946" w:rsidRPr="009C1DBB" w:rsidRDefault="009A088D" w:rsidP="00062D75">
            <w:pPr>
              <w:jc w:val="center"/>
              <w:rPr>
                <w:rFonts w:ascii="Arial" w:hAnsi="Arial" w:cs="Arial"/>
                <w:sz w:val="20"/>
              </w:rPr>
            </w:pPr>
            <w:r>
              <w:rPr>
                <w:rFonts w:ascii="Arial" w:hAnsi="Arial" w:cs="Arial"/>
                <w:sz w:val="20"/>
              </w:rPr>
              <w:t>Malti Gandhi</w:t>
            </w:r>
          </w:p>
          <w:p w14:paraId="387DE1C1" w14:textId="77777777" w:rsidR="00987946" w:rsidRPr="009C1DBB" w:rsidRDefault="00987946" w:rsidP="00062D75">
            <w:pPr>
              <w:jc w:val="center"/>
              <w:rPr>
                <w:rFonts w:ascii="Arial" w:hAnsi="Arial" w:cs="Arial"/>
                <w:i/>
                <w:sz w:val="20"/>
              </w:rPr>
            </w:pPr>
            <w:r w:rsidRPr="009C1DBB">
              <w:rPr>
                <w:rFonts w:ascii="Arial" w:hAnsi="Arial" w:cs="Arial"/>
                <w:i/>
                <w:sz w:val="20"/>
              </w:rPr>
              <w:t>Deputy Representative</w:t>
            </w:r>
          </w:p>
          <w:p w14:paraId="504A8859" w14:textId="77777777" w:rsidR="00987946" w:rsidRPr="009C1DBB" w:rsidRDefault="00987946" w:rsidP="00062D75">
            <w:pPr>
              <w:rPr>
                <w:rFonts w:ascii="Arial" w:hAnsi="Arial" w:cs="Arial"/>
                <w:i/>
                <w:sz w:val="20"/>
              </w:rPr>
            </w:pPr>
          </w:p>
        </w:tc>
      </w:tr>
      <w:tr w:rsidR="00987946" w:rsidRPr="009C1DBB" w14:paraId="18DED9E3" w14:textId="77777777" w:rsidTr="00062D75">
        <w:trPr>
          <w:trHeight w:val="585"/>
        </w:trPr>
        <w:tc>
          <w:tcPr>
            <w:tcW w:w="608" w:type="dxa"/>
            <w:vAlign w:val="center"/>
          </w:tcPr>
          <w:p w14:paraId="5EDD4A94" w14:textId="77777777" w:rsidR="00987946" w:rsidRPr="009C1DBB" w:rsidRDefault="00987946" w:rsidP="00062D75">
            <w:pPr>
              <w:jc w:val="center"/>
              <w:rPr>
                <w:rFonts w:ascii="Arial" w:hAnsi="Arial" w:cs="Arial"/>
                <w:b/>
                <w:sz w:val="20"/>
              </w:rPr>
            </w:pPr>
            <w:r w:rsidRPr="009C1DBB">
              <w:rPr>
                <w:rFonts w:ascii="Arial" w:hAnsi="Arial" w:cs="Arial"/>
                <w:b/>
                <w:sz w:val="20"/>
              </w:rPr>
              <w:t>ON</w:t>
            </w:r>
          </w:p>
        </w:tc>
        <w:tc>
          <w:tcPr>
            <w:tcW w:w="1948" w:type="dxa"/>
            <w:vAlign w:val="center"/>
          </w:tcPr>
          <w:p w14:paraId="6A82F8F6" w14:textId="77777777" w:rsidR="00987946" w:rsidRPr="009C1DBB" w:rsidRDefault="00987946" w:rsidP="00062D75">
            <w:pPr>
              <w:jc w:val="center"/>
              <w:rPr>
                <w:rFonts w:ascii="Arial" w:hAnsi="Arial" w:cs="Arial"/>
                <w:sz w:val="20"/>
              </w:rPr>
            </w:pPr>
          </w:p>
        </w:tc>
        <w:tc>
          <w:tcPr>
            <w:tcW w:w="1724" w:type="dxa"/>
          </w:tcPr>
          <w:p w14:paraId="3D95F678" w14:textId="77777777" w:rsidR="00987946" w:rsidRPr="009C1DBB" w:rsidRDefault="00987946" w:rsidP="00062D75">
            <w:pPr>
              <w:jc w:val="center"/>
              <w:rPr>
                <w:rFonts w:ascii="Arial" w:hAnsi="Arial" w:cs="Arial"/>
                <w:sz w:val="20"/>
              </w:rPr>
            </w:pPr>
          </w:p>
        </w:tc>
        <w:tc>
          <w:tcPr>
            <w:tcW w:w="2124" w:type="dxa"/>
            <w:vAlign w:val="center"/>
          </w:tcPr>
          <w:p w14:paraId="3D1D3229" w14:textId="77777777" w:rsidR="00987946" w:rsidRPr="009C1DBB" w:rsidRDefault="00987946" w:rsidP="00062D75">
            <w:pPr>
              <w:jc w:val="center"/>
              <w:rPr>
                <w:rFonts w:ascii="Arial" w:hAnsi="Arial" w:cs="Arial"/>
                <w:sz w:val="20"/>
              </w:rPr>
            </w:pPr>
          </w:p>
        </w:tc>
        <w:tc>
          <w:tcPr>
            <w:tcW w:w="2298" w:type="dxa"/>
            <w:vAlign w:val="center"/>
          </w:tcPr>
          <w:p w14:paraId="241A1D32" w14:textId="77777777" w:rsidR="00987946" w:rsidRPr="009C1DBB" w:rsidRDefault="00987946" w:rsidP="00062D75">
            <w:pPr>
              <w:jc w:val="center"/>
              <w:rPr>
                <w:rFonts w:ascii="Arial" w:hAnsi="Arial" w:cs="Arial"/>
                <w:sz w:val="20"/>
              </w:rPr>
            </w:pPr>
          </w:p>
        </w:tc>
      </w:tr>
      <w:tr w:rsidR="00987946" w:rsidRPr="009C1DBB" w14:paraId="7A56C5CA" w14:textId="77777777" w:rsidTr="00062D75">
        <w:trPr>
          <w:trHeight w:val="585"/>
        </w:trPr>
        <w:tc>
          <w:tcPr>
            <w:tcW w:w="608" w:type="dxa"/>
            <w:vAlign w:val="center"/>
          </w:tcPr>
          <w:p w14:paraId="3859A152" w14:textId="77777777" w:rsidR="00987946" w:rsidRPr="009C1DBB" w:rsidRDefault="00987946" w:rsidP="00062D75">
            <w:pPr>
              <w:jc w:val="center"/>
              <w:rPr>
                <w:rFonts w:ascii="Arial" w:hAnsi="Arial" w:cs="Arial"/>
                <w:b/>
                <w:sz w:val="20"/>
              </w:rPr>
            </w:pPr>
            <w:r w:rsidRPr="009C1DBB">
              <w:rPr>
                <w:rFonts w:ascii="Arial" w:hAnsi="Arial" w:cs="Arial"/>
                <w:b/>
                <w:sz w:val="20"/>
              </w:rPr>
              <w:t>SGN</w:t>
            </w:r>
          </w:p>
        </w:tc>
        <w:tc>
          <w:tcPr>
            <w:tcW w:w="1948" w:type="dxa"/>
            <w:vAlign w:val="center"/>
          </w:tcPr>
          <w:p w14:paraId="618EA80B" w14:textId="77777777" w:rsidR="00987946" w:rsidRPr="009C1DBB" w:rsidRDefault="00987946" w:rsidP="00062D75">
            <w:pPr>
              <w:rPr>
                <w:rFonts w:ascii="Arial" w:hAnsi="Arial" w:cs="Arial"/>
                <w:sz w:val="20"/>
              </w:rPr>
            </w:pPr>
          </w:p>
          <w:p w14:paraId="38D1A55C" w14:textId="77777777" w:rsidR="00987946" w:rsidRPr="009C1DBB" w:rsidRDefault="00987946" w:rsidP="00062D75">
            <w:pPr>
              <w:jc w:val="center"/>
              <w:rPr>
                <w:rFonts w:ascii="Arial" w:hAnsi="Arial" w:cs="Arial"/>
                <w:sz w:val="20"/>
              </w:rPr>
            </w:pPr>
          </w:p>
        </w:tc>
        <w:tc>
          <w:tcPr>
            <w:tcW w:w="1724" w:type="dxa"/>
          </w:tcPr>
          <w:p w14:paraId="5DC17B75" w14:textId="77777777" w:rsidR="00987946" w:rsidRPr="009C1DBB" w:rsidRDefault="00987946" w:rsidP="00062D75">
            <w:pPr>
              <w:jc w:val="center"/>
              <w:rPr>
                <w:rFonts w:ascii="Arial" w:hAnsi="Arial" w:cs="Arial"/>
                <w:sz w:val="20"/>
              </w:rPr>
            </w:pPr>
          </w:p>
        </w:tc>
        <w:tc>
          <w:tcPr>
            <w:tcW w:w="2124" w:type="dxa"/>
            <w:vAlign w:val="center"/>
          </w:tcPr>
          <w:p w14:paraId="62AA2AD1" w14:textId="77777777" w:rsidR="00987946" w:rsidRPr="009C1DBB" w:rsidRDefault="00987946" w:rsidP="00062D75">
            <w:pPr>
              <w:jc w:val="center"/>
              <w:rPr>
                <w:rFonts w:ascii="Arial" w:hAnsi="Arial" w:cs="Arial"/>
                <w:sz w:val="20"/>
              </w:rPr>
            </w:pPr>
          </w:p>
        </w:tc>
        <w:tc>
          <w:tcPr>
            <w:tcW w:w="2298" w:type="dxa"/>
            <w:vAlign w:val="center"/>
          </w:tcPr>
          <w:p w14:paraId="353982AC" w14:textId="77777777" w:rsidR="00987946" w:rsidRPr="009C1DBB" w:rsidRDefault="00987946" w:rsidP="00062D75">
            <w:pPr>
              <w:jc w:val="center"/>
              <w:rPr>
                <w:rFonts w:ascii="Arial" w:hAnsi="Arial" w:cs="Arial"/>
                <w:sz w:val="20"/>
              </w:rPr>
            </w:pPr>
          </w:p>
        </w:tc>
      </w:tr>
    </w:tbl>
    <w:p w14:paraId="3B052727" w14:textId="77777777" w:rsidR="004C10E3" w:rsidRPr="00896F4F" w:rsidRDefault="004C10E3" w:rsidP="00540783">
      <w:pPr>
        <w:rPr>
          <w:rFonts w:asciiTheme="minorHAnsi" w:hAnsiTheme="minorHAnsi" w:cstheme="minorHAnsi"/>
          <w:sz w:val="22"/>
          <w:szCs w:val="22"/>
        </w:rPr>
      </w:pPr>
    </w:p>
    <w:sectPr w:rsidR="004C10E3" w:rsidRPr="00896F4F" w:rsidSect="005B0932">
      <w:headerReference w:type="default" r:id="rId14"/>
      <w:footerReference w:type="default" r:id="rId15"/>
      <w:headerReference w:type="first" r:id="rId16"/>
      <w:footerReference w:type="first" r:id="rId1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4E4B" w14:textId="77777777" w:rsidR="00D5266E" w:rsidRDefault="00D5266E" w:rsidP="009D631A">
      <w:r>
        <w:separator/>
      </w:r>
    </w:p>
  </w:endnote>
  <w:endnote w:type="continuationSeparator" w:id="0">
    <w:p w14:paraId="7A388E63" w14:textId="77777777" w:rsidR="00D5266E" w:rsidRDefault="00D5266E" w:rsidP="009D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589241"/>
      <w:docPartObj>
        <w:docPartGallery w:val="Page Numbers (Bottom of Page)"/>
        <w:docPartUnique/>
      </w:docPartObj>
    </w:sdtPr>
    <w:sdtEndPr/>
    <w:sdtContent>
      <w:sdt>
        <w:sdtPr>
          <w:id w:val="860082579"/>
          <w:docPartObj>
            <w:docPartGallery w:val="Page Numbers (Top of Page)"/>
            <w:docPartUnique/>
          </w:docPartObj>
        </w:sdtPr>
        <w:sdtEndPr/>
        <w:sdtContent>
          <w:p w14:paraId="0A720443" w14:textId="77777777" w:rsidR="00EE445D" w:rsidRDefault="00EE445D" w:rsidP="00EE445D">
            <w:pPr>
              <w:pStyle w:val="Footer"/>
              <w:pBdr>
                <w:bottom w:val="double" w:sz="6" w:space="1" w:color="auto"/>
              </w:pBdr>
            </w:pPr>
          </w:p>
          <w:p w14:paraId="531A2DD8" w14:textId="02FEC8FB" w:rsidR="00EE445D" w:rsidRDefault="00E96F73" w:rsidP="00EE445D">
            <w:pPr>
              <w:pStyle w:val="Footer"/>
            </w:pPr>
            <w:r>
              <w:rPr>
                <w:rFonts w:asciiTheme="minorHAnsi" w:hAnsiTheme="minorHAnsi" w:cstheme="minorHAnsi"/>
                <w:b/>
                <w:sz w:val="22"/>
                <w:szCs w:val="22"/>
              </w:rPr>
              <w:t>(</w:t>
            </w:r>
            <w:r w:rsidR="00E40F5C" w:rsidRPr="00E40F5C">
              <w:rPr>
                <w:rFonts w:asciiTheme="minorHAnsi" w:hAnsiTheme="minorHAnsi" w:cstheme="minorHAnsi"/>
                <w:b/>
                <w:sz w:val="22"/>
                <w:szCs w:val="22"/>
              </w:rPr>
              <w:t>PME/TURA/2024-B</w:t>
            </w:r>
            <w:r w:rsidR="006679B3" w:rsidRPr="006679B3">
              <w:rPr>
                <w:rFonts w:asciiTheme="minorHAnsi" w:hAnsiTheme="minorHAnsi" w:cstheme="minorHAnsi"/>
                <w:b/>
                <w:sz w:val="22"/>
                <w:szCs w:val="22"/>
              </w:rPr>
              <w:t>)</w:t>
            </w:r>
            <w:r w:rsidR="00EE445D">
              <w:rPr>
                <w:rFonts w:asciiTheme="minorHAnsi" w:hAnsiTheme="minorHAnsi" w:cstheme="minorHAnsi"/>
                <w:b/>
                <w:szCs w:val="24"/>
              </w:rPr>
              <w:tab/>
            </w:r>
            <w:r w:rsidR="00EE445D">
              <w:rPr>
                <w:rFonts w:asciiTheme="minorHAnsi" w:hAnsiTheme="minorHAnsi" w:cstheme="minorHAnsi"/>
                <w:b/>
                <w:szCs w:val="24"/>
              </w:rPr>
              <w:tab/>
            </w:r>
            <w:r w:rsidR="00EE445D" w:rsidRPr="00EE445D">
              <w:rPr>
                <w:rFonts w:asciiTheme="minorHAnsi" w:hAnsiTheme="minorHAnsi" w:cstheme="minorHAnsi"/>
                <w:sz w:val="20"/>
              </w:rPr>
              <w:t xml:space="preserve">Page </w:t>
            </w:r>
            <w:r w:rsidR="00EE445D" w:rsidRPr="00EE445D">
              <w:rPr>
                <w:rFonts w:asciiTheme="minorHAnsi" w:hAnsiTheme="minorHAnsi" w:cstheme="minorHAnsi"/>
                <w:bCs/>
                <w:sz w:val="20"/>
              </w:rPr>
              <w:fldChar w:fldCharType="begin"/>
            </w:r>
            <w:r w:rsidR="00EE445D" w:rsidRPr="00EE445D">
              <w:rPr>
                <w:rFonts w:asciiTheme="minorHAnsi" w:hAnsiTheme="minorHAnsi" w:cstheme="minorHAnsi"/>
                <w:bCs/>
                <w:sz w:val="20"/>
              </w:rPr>
              <w:instrText xml:space="preserve"> PAGE </w:instrText>
            </w:r>
            <w:r w:rsidR="00EE445D" w:rsidRPr="00EE445D">
              <w:rPr>
                <w:rFonts w:asciiTheme="minorHAnsi" w:hAnsiTheme="minorHAnsi" w:cstheme="minorHAnsi"/>
                <w:bCs/>
                <w:sz w:val="20"/>
              </w:rPr>
              <w:fldChar w:fldCharType="separate"/>
            </w:r>
            <w:r w:rsidR="00AA2C24">
              <w:rPr>
                <w:rFonts w:asciiTheme="minorHAnsi" w:hAnsiTheme="minorHAnsi" w:cstheme="minorHAnsi"/>
                <w:bCs/>
                <w:noProof/>
                <w:sz w:val="20"/>
              </w:rPr>
              <w:t>1</w:t>
            </w:r>
            <w:r w:rsidR="00EE445D" w:rsidRPr="00EE445D">
              <w:rPr>
                <w:rFonts w:asciiTheme="minorHAnsi" w:hAnsiTheme="minorHAnsi" w:cstheme="minorHAnsi"/>
                <w:bCs/>
                <w:sz w:val="20"/>
              </w:rPr>
              <w:fldChar w:fldCharType="end"/>
            </w:r>
            <w:r w:rsidR="00EE445D" w:rsidRPr="00EE445D">
              <w:rPr>
                <w:rFonts w:asciiTheme="minorHAnsi" w:hAnsiTheme="minorHAnsi" w:cstheme="minorHAnsi"/>
                <w:sz w:val="20"/>
              </w:rPr>
              <w:t xml:space="preserve"> of </w:t>
            </w:r>
            <w:r w:rsidR="00EE445D" w:rsidRPr="00EE445D">
              <w:rPr>
                <w:rFonts w:asciiTheme="minorHAnsi" w:hAnsiTheme="minorHAnsi" w:cstheme="minorHAnsi"/>
                <w:bCs/>
                <w:sz w:val="20"/>
              </w:rPr>
              <w:fldChar w:fldCharType="begin"/>
            </w:r>
            <w:r w:rsidR="00EE445D" w:rsidRPr="00EE445D">
              <w:rPr>
                <w:rFonts w:asciiTheme="minorHAnsi" w:hAnsiTheme="minorHAnsi" w:cstheme="minorHAnsi"/>
                <w:bCs/>
                <w:sz w:val="20"/>
              </w:rPr>
              <w:instrText xml:space="preserve"> NUMPAGES  </w:instrText>
            </w:r>
            <w:r w:rsidR="00EE445D" w:rsidRPr="00EE445D">
              <w:rPr>
                <w:rFonts w:asciiTheme="minorHAnsi" w:hAnsiTheme="minorHAnsi" w:cstheme="minorHAnsi"/>
                <w:bCs/>
                <w:sz w:val="20"/>
              </w:rPr>
              <w:fldChar w:fldCharType="separate"/>
            </w:r>
            <w:r w:rsidR="00AA2C24">
              <w:rPr>
                <w:rFonts w:asciiTheme="minorHAnsi" w:hAnsiTheme="minorHAnsi" w:cstheme="minorHAnsi"/>
                <w:bCs/>
                <w:noProof/>
                <w:sz w:val="20"/>
              </w:rPr>
              <w:t>2</w:t>
            </w:r>
            <w:r w:rsidR="00EE445D" w:rsidRPr="00EE445D">
              <w:rPr>
                <w:rFonts w:asciiTheme="minorHAnsi" w:hAnsiTheme="minorHAnsi" w:cstheme="minorHAnsi"/>
                <w:bCs/>
                <w:sz w:val="20"/>
              </w:rPr>
              <w:fldChar w:fldCharType="end"/>
            </w:r>
          </w:p>
        </w:sdtContent>
      </w:sdt>
    </w:sdtContent>
  </w:sdt>
  <w:p w14:paraId="2E5D9774" w14:textId="77777777" w:rsidR="005B0932" w:rsidRDefault="005B0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B573" w14:textId="77777777" w:rsidR="005B0932" w:rsidRPr="005B0932" w:rsidRDefault="005B0932">
    <w:pPr>
      <w:pStyle w:val="Footer"/>
      <w:rPr>
        <w:sz w:val="16"/>
        <w:szCs w:val="16"/>
      </w:rPr>
    </w:pPr>
    <w:r w:rsidRPr="005B0932">
      <w:rPr>
        <w:rFonts w:asciiTheme="minorHAnsi" w:hAnsiTheme="minorHAnsi" w:cstheme="minorHAnsi"/>
        <w:b/>
        <w:sz w:val="16"/>
        <w:szCs w:val="16"/>
      </w:rPr>
      <w:t>REF: ToR-TURA-2012-01</w:t>
    </w:r>
  </w:p>
  <w:p w14:paraId="0424ED79" w14:textId="77777777" w:rsidR="005B0932" w:rsidRDefault="005B0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3E02" w14:textId="77777777" w:rsidR="00D5266E" w:rsidRDefault="00D5266E" w:rsidP="009D631A">
      <w:r>
        <w:separator/>
      </w:r>
    </w:p>
  </w:footnote>
  <w:footnote w:type="continuationSeparator" w:id="0">
    <w:p w14:paraId="43001E43" w14:textId="77777777" w:rsidR="00D5266E" w:rsidRDefault="00D5266E" w:rsidP="009D631A">
      <w:r>
        <w:continuationSeparator/>
      </w:r>
    </w:p>
  </w:footnote>
  <w:footnote w:id="1">
    <w:p w14:paraId="6DEED742" w14:textId="77777777" w:rsidR="00987946" w:rsidRPr="009C48E1" w:rsidRDefault="00987946" w:rsidP="00987946">
      <w:pPr>
        <w:pStyle w:val="FootnoteText"/>
        <w:rPr>
          <w:rFonts w:ascii="Arial" w:hAnsi="Arial" w:cs="Arial"/>
        </w:rPr>
      </w:pPr>
      <w:r w:rsidRPr="009C48E1">
        <w:rPr>
          <w:rStyle w:val="FootnoteReference"/>
          <w:rFonts w:ascii="Arial" w:hAnsi="Arial" w:cs="Arial"/>
        </w:rPr>
        <w:footnoteRef/>
      </w:r>
      <w:r w:rsidRPr="009C48E1">
        <w:rPr>
          <w:rFonts w:ascii="Arial" w:hAnsi="Arial" w:cs="Arial"/>
        </w:rPr>
        <w:t xml:space="preserve"> </w:t>
      </w:r>
      <w:r w:rsidRPr="001C15D1">
        <w:rPr>
          <w:rFonts w:ascii="Arial" w:hAnsi="Arial" w:cs="Arial"/>
          <w:sz w:val="16"/>
          <w:szCs w:val="16"/>
        </w:rPr>
        <w:t>World Bank, 10 April 2023</w:t>
      </w:r>
    </w:p>
  </w:footnote>
  <w:footnote w:id="2">
    <w:p w14:paraId="7EC4E8FF" w14:textId="77777777" w:rsidR="00987946" w:rsidRPr="009C48E1" w:rsidRDefault="00987946" w:rsidP="00987946">
      <w:pPr>
        <w:pStyle w:val="FootnoteText"/>
        <w:rPr>
          <w:rFonts w:ascii="Arial" w:hAnsi="Arial" w:cs="Arial"/>
        </w:rPr>
      </w:pPr>
      <w:r w:rsidRPr="009C48E1">
        <w:rPr>
          <w:rFonts w:ascii="Arial" w:hAnsi="Arial" w:cs="Arial"/>
        </w:rPr>
        <w:footnoteRef/>
      </w:r>
      <w:r w:rsidRPr="009C48E1">
        <w:rPr>
          <w:rFonts w:ascii="Arial" w:hAnsi="Arial" w:cs="Arial"/>
        </w:rPr>
        <w:t xml:space="preserve"> </w:t>
      </w:r>
      <w:proofErr w:type="spellStart"/>
      <w:r w:rsidRPr="001C15D1">
        <w:rPr>
          <w:rFonts w:ascii="Arial" w:hAnsi="Arial" w:cs="Arial"/>
          <w:sz w:val="16"/>
          <w:szCs w:val="16"/>
        </w:rPr>
        <w:t>TurkStat</w:t>
      </w:r>
      <w:proofErr w:type="spellEnd"/>
      <w:r w:rsidRPr="001C15D1">
        <w:rPr>
          <w:rFonts w:ascii="Arial" w:hAnsi="Arial" w:cs="Arial"/>
          <w:sz w:val="16"/>
          <w:szCs w:val="16"/>
        </w:rPr>
        <w:t xml:space="preserve"> 2022</w:t>
      </w:r>
    </w:p>
  </w:footnote>
  <w:footnote w:id="3">
    <w:p w14:paraId="632B7FBD" w14:textId="77777777" w:rsidR="00987946" w:rsidRPr="009C48E1" w:rsidRDefault="00987946" w:rsidP="00987946">
      <w:pPr>
        <w:pStyle w:val="FootnoteText"/>
        <w:rPr>
          <w:rFonts w:ascii="Arial" w:hAnsi="Arial" w:cs="Arial"/>
        </w:rPr>
      </w:pPr>
      <w:r w:rsidRPr="009C48E1">
        <w:rPr>
          <w:rFonts w:ascii="Arial" w:hAnsi="Arial" w:cs="Arial"/>
        </w:rPr>
        <w:footnoteRef/>
      </w:r>
      <w:r w:rsidRPr="009C48E1">
        <w:rPr>
          <w:rFonts w:ascii="Arial" w:hAnsi="Arial" w:cs="Arial"/>
        </w:rPr>
        <w:t xml:space="preserve"> </w:t>
      </w:r>
      <w:r w:rsidRPr="001C15D1">
        <w:rPr>
          <w:rFonts w:ascii="Arial" w:hAnsi="Arial" w:cs="Arial"/>
          <w:sz w:val="16"/>
          <w:szCs w:val="16"/>
        </w:rPr>
        <w:t>World Bank, 10 April 2023</w:t>
      </w:r>
    </w:p>
  </w:footnote>
  <w:footnote w:id="4">
    <w:p w14:paraId="16D04E4E" w14:textId="53882C95" w:rsidR="00987946" w:rsidRDefault="00987946" w:rsidP="00987946">
      <w:pPr>
        <w:pStyle w:val="FootnoteText"/>
      </w:pPr>
      <w:r w:rsidRPr="009C48E1">
        <w:rPr>
          <w:rStyle w:val="FootnoteReference"/>
          <w:rFonts w:ascii="Arial" w:hAnsi="Arial" w:cs="Arial"/>
        </w:rPr>
        <w:footnoteRef/>
      </w:r>
      <w:r w:rsidRPr="009C48E1">
        <w:rPr>
          <w:rFonts w:ascii="Arial" w:hAnsi="Arial" w:cs="Arial"/>
        </w:rPr>
        <w:t xml:space="preserve"> </w:t>
      </w:r>
      <w:r w:rsidRPr="001C15D1">
        <w:rPr>
          <w:rFonts w:ascii="Arial" w:hAnsi="Arial" w:cs="Arial"/>
          <w:sz w:val="16"/>
          <w:szCs w:val="16"/>
        </w:rPr>
        <w:t>UNICE,</w:t>
      </w:r>
      <w:r w:rsidR="001C15D1">
        <w:rPr>
          <w:rFonts w:ascii="Arial" w:hAnsi="Arial" w:cs="Arial"/>
          <w:sz w:val="16"/>
          <w:szCs w:val="16"/>
        </w:rPr>
        <w:t xml:space="preserve"> </w:t>
      </w:r>
      <w:r w:rsidRPr="001C15D1">
        <w:rPr>
          <w:rFonts w:ascii="Arial" w:hAnsi="Arial" w:cs="Arial"/>
          <w:sz w:val="16"/>
          <w:szCs w:val="16"/>
        </w:rPr>
        <w:t>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226F" w14:textId="77777777" w:rsidR="0074382D" w:rsidRDefault="009A1AD3" w:rsidP="009D631A">
    <w:pPr>
      <w:pStyle w:val="Header"/>
      <w:jc w:val="center"/>
    </w:pPr>
    <w:r>
      <w:rPr>
        <w:noProof/>
        <w:snapToGrid/>
      </w:rPr>
      <w:drawing>
        <wp:anchor distT="0" distB="0" distL="114300" distR="114300" simplePos="0" relativeHeight="251659264" behindDoc="0" locked="0" layoutInCell="1" allowOverlap="1" wp14:anchorId="6CB66A87" wp14:editId="2D21AF3C">
          <wp:simplePos x="0" y="0"/>
          <wp:positionH relativeFrom="column">
            <wp:posOffset>-490220</wp:posOffset>
          </wp:positionH>
          <wp:positionV relativeFrom="paragraph">
            <wp:posOffset>-314325</wp:posOffset>
          </wp:positionV>
          <wp:extent cx="6810375" cy="542925"/>
          <wp:effectExtent l="0" t="0" r="9525" b="9525"/>
          <wp:wrapNone/>
          <wp:docPr id="3" name="Picture 3" descr="Unitepluslogo_En_Bl_0125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pluslogo_En_Bl_01252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03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E1F0" w14:textId="77777777" w:rsidR="0074382D" w:rsidRDefault="276CBB31" w:rsidP="004400DA">
    <w:pPr>
      <w:pStyle w:val="Header"/>
      <w:jc w:val="center"/>
    </w:pPr>
    <w:r>
      <w:rPr>
        <w:noProof/>
      </w:rPr>
      <w:drawing>
        <wp:inline distT="0" distB="0" distL="0" distR="0" wp14:anchorId="004C63BF" wp14:editId="73CC394A">
          <wp:extent cx="676275" cy="800100"/>
          <wp:effectExtent l="0" t="0" r="9525"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6275"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AAB3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11E24"/>
    <w:multiLevelType w:val="hybridMultilevel"/>
    <w:tmpl w:val="F9E214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308BD"/>
    <w:multiLevelType w:val="multilevel"/>
    <w:tmpl w:val="E5C8D1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A1A4780"/>
    <w:multiLevelType w:val="hybridMultilevel"/>
    <w:tmpl w:val="86CCC4F4"/>
    <w:lvl w:ilvl="0" w:tplc="1C6CA4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56A2F"/>
    <w:multiLevelType w:val="hybridMultilevel"/>
    <w:tmpl w:val="34ACF330"/>
    <w:lvl w:ilvl="0" w:tplc="0EAC4E0A">
      <w:start w:val="1"/>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0440"/>
    <w:multiLevelType w:val="hybridMultilevel"/>
    <w:tmpl w:val="4A4A7BC4"/>
    <w:lvl w:ilvl="0" w:tplc="DA521E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A86AAA"/>
    <w:multiLevelType w:val="hybridMultilevel"/>
    <w:tmpl w:val="820A4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F33AAD"/>
    <w:multiLevelType w:val="hybridMultilevel"/>
    <w:tmpl w:val="D5F49B5E"/>
    <w:lvl w:ilvl="0" w:tplc="EF229F1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C21B1"/>
    <w:multiLevelType w:val="hybridMultilevel"/>
    <w:tmpl w:val="34EA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E06AC"/>
    <w:multiLevelType w:val="hybridMultilevel"/>
    <w:tmpl w:val="776AB540"/>
    <w:lvl w:ilvl="0" w:tplc="0C821F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BA2AD9"/>
    <w:multiLevelType w:val="hybridMultilevel"/>
    <w:tmpl w:val="860C08DE"/>
    <w:lvl w:ilvl="0" w:tplc="35FEAFA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BD0BB2"/>
    <w:multiLevelType w:val="hybridMultilevel"/>
    <w:tmpl w:val="DF98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94F3D"/>
    <w:multiLevelType w:val="hybridMultilevel"/>
    <w:tmpl w:val="5FDCEE70"/>
    <w:lvl w:ilvl="0" w:tplc="1C6CA4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16B50"/>
    <w:multiLevelType w:val="hybridMultilevel"/>
    <w:tmpl w:val="52FE5C2C"/>
    <w:lvl w:ilvl="0" w:tplc="948E77AE">
      <w:start w:val="1"/>
      <w:numFmt w:val="lowerLetter"/>
      <w:lvlText w:val="%1)"/>
      <w:lvlJc w:val="left"/>
      <w:pPr>
        <w:tabs>
          <w:tab w:val="num" w:pos="720"/>
        </w:tabs>
        <w:ind w:left="720" w:hanging="720"/>
      </w:pPr>
      <w:rPr>
        <w:rFonts w:ascii="CG Times" w:hAnsi="CG Times"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95D5C89"/>
    <w:multiLevelType w:val="hybridMultilevel"/>
    <w:tmpl w:val="5C2C95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535F7"/>
    <w:multiLevelType w:val="hybridMultilevel"/>
    <w:tmpl w:val="F52E925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CD7796"/>
    <w:multiLevelType w:val="multilevel"/>
    <w:tmpl w:val="100268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AD3990"/>
    <w:multiLevelType w:val="hybridMultilevel"/>
    <w:tmpl w:val="2B36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F492C"/>
    <w:multiLevelType w:val="hybridMultilevel"/>
    <w:tmpl w:val="A2A06816"/>
    <w:lvl w:ilvl="0" w:tplc="8A346AF2">
      <w:start w:val="1"/>
      <w:numFmt w:val="bullet"/>
      <w:lvlText w:val="•"/>
      <w:lvlJc w:val="left"/>
      <w:pPr>
        <w:tabs>
          <w:tab w:val="num" w:pos="720"/>
        </w:tabs>
        <w:ind w:left="720" w:hanging="360"/>
      </w:pPr>
      <w:rPr>
        <w:rFonts w:ascii="Arial" w:hAnsi="Arial" w:hint="default"/>
      </w:rPr>
    </w:lvl>
    <w:lvl w:ilvl="1" w:tplc="20945076" w:tentative="1">
      <w:start w:val="1"/>
      <w:numFmt w:val="bullet"/>
      <w:lvlText w:val="•"/>
      <w:lvlJc w:val="left"/>
      <w:pPr>
        <w:tabs>
          <w:tab w:val="num" w:pos="1440"/>
        </w:tabs>
        <w:ind w:left="1440" w:hanging="360"/>
      </w:pPr>
      <w:rPr>
        <w:rFonts w:ascii="Arial" w:hAnsi="Arial" w:hint="default"/>
      </w:rPr>
    </w:lvl>
    <w:lvl w:ilvl="2" w:tplc="40487102" w:tentative="1">
      <w:start w:val="1"/>
      <w:numFmt w:val="bullet"/>
      <w:lvlText w:val="•"/>
      <w:lvlJc w:val="left"/>
      <w:pPr>
        <w:tabs>
          <w:tab w:val="num" w:pos="2160"/>
        </w:tabs>
        <w:ind w:left="2160" w:hanging="360"/>
      </w:pPr>
      <w:rPr>
        <w:rFonts w:ascii="Arial" w:hAnsi="Arial" w:hint="default"/>
      </w:rPr>
    </w:lvl>
    <w:lvl w:ilvl="3" w:tplc="FCDC0C70" w:tentative="1">
      <w:start w:val="1"/>
      <w:numFmt w:val="bullet"/>
      <w:lvlText w:val="•"/>
      <w:lvlJc w:val="left"/>
      <w:pPr>
        <w:tabs>
          <w:tab w:val="num" w:pos="2880"/>
        </w:tabs>
        <w:ind w:left="2880" w:hanging="360"/>
      </w:pPr>
      <w:rPr>
        <w:rFonts w:ascii="Arial" w:hAnsi="Arial" w:hint="default"/>
      </w:rPr>
    </w:lvl>
    <w:lvl w:ilvl="4" w:tplc="A8E6122E" w:tentative="1">
      <w:start w:val="1"/>
      <w:numFmt w:val="bullet"/>
      <w:lvlText w:val="•"/>
      <w:lvlJc w:val="left"/>
      <w:pPr>
        <w:tabs>
          <w:tab w:val="num" w:pos="3600"/>
        </w:tabs>
        <w:ind w:left="3600" w:hanging="360"/>
      </w:pPr>
      <w:rPr>
        <w:rFonts w:ascii="Arial" w:hAnsi="Arial" w:hint="default"/>
      </w:rPr>
    </w:lvl>
    <w:lvl w:ilvl="5" w:tplc="F3D84E72" w:tentative="1">
      <w:start w:val="1"/>
      <w:numFmt w:val="bullet"/>
      <w:lvlText w:val="•"/>
      <w:lvlJc w:val="left"/>
      <w:pPr>
        <w:tabs>
          <w:tab w:val="num" w:pos="4320"/>
        </w:tabs>
        <w:ind w:left="4320" w:hanging="360"/>
      </w:pPr>
      <w:rPr>
        <w:rFonts w:ascii="Arial" w:hAnsi="Arial" w:hint="default"/>
      </w:rPr>
    </w:lvl>
    <w:lvl w:ilvl="6" w:tplc="D0500834" w:tentative="1">
      <w:start w:val="1"/>
      <w:numFmt w:val="bullet"/>
      <w:lvlText w:val="•"/>
      <w:lvlJc w:val="left"/>
      <w:pPr>
        <w:tabs>
          <w:tab w:val="num" w:pos="5040"/>
        </w:tabs>
        <w:ind w:left="5040" w:hanging="360"/>
      </w:pPr>
      <w:rPr>
        <w:rFonts w:ascii="Arial" w:hAnsi="Arial" w:hint="default"/>
      </w:rPr>
    </w:lvl>
    <w:lvl w:ilvl="7" w:tplc="2A08DD2E" w:tentative="1">
      <w:start w:val="1"/>
      <w:numFmt w:val="bullet"/>
      <w:lvlText w:val="•"/>
      <w:lvlJc w:val="left"/>
      <w:pPr>
        <w:tabs>
          <w:tab w:val="num" w:pos="5760"/>
        </w:tabs>
        <w:ind w:left="5760" w:hanging="360"/>
      </w:pPr>
      <w:rPr>
        <w:rFonts w:ascii="Arial" w:hAnsi="Arial" w:hint="default"/>
      </w:rPr>
    </w:lvl>
    <w:lvl w:ilvl="8" w:tplc="EFAC1C4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A96F29"/>
    <w:multiLevelType w:val="hybridMultilevel"/>
    <w:tmpl w:val="43C2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11E07"/>
    <w:multiLevelType w:val="hybridMultilevel"/>
    <w:tmpl w:val="D6D0685A"/>
    <w:lvl w:ilvl="0" w:tplc="B1FA6AA6">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1807D8"/>
    <w:multiLevelType w:val="hybridMultilevel"/>
    <w:tmpl w:val="7DB03038"/>
    <w:lvl w:ilvl="0" w:tplc="2C1EF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23394"/>
    <w:multiLevelType w:val="hybridMultilevel"/>
    <w:tmpl w:val="0FE4D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91952"/>
    <w:multiLevelType w:val="hybridMultilevel"/>
    <w:tmpl w:val="D4E87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E633C"/>
    <w:multiLevelType w:val="hybridMultilevel"/>
    <w:tmpl w:val="9196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C558C"/>
    <w:multiLevelType w:val="multilevel"/>
    <w:tmpl w:val="4CC44D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5FE476AC"/>
    <w:multiLevelType w:val="hybridMultilevel"/>
    <w:tmpl w:val="3C68E438"/>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0597090"/>
    <w:multiLevelType w:val="hybridMultilevel"/>
    <w:tmpl w:val="A3DCA4C4"/>
    <w:lvl w:ilvl="0" w:tplc="591627E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D1BF7"/>
    <w:multiLevelType w:val="hybridMultilevel"/>
    <w:tmpl w:val="72D24AD4"/>
    <w:lvl w:ilvl="0" w:tplc="60865A2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5D914CF"/>
    <w:multiLevelType w:val="hybridMultilevel"/>
    <w:tmpl w:val="3B1AC4A2"/>
    <w:lvl w:ilvl="0" w:tplc="356CE82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20F06"/>
    <w:multiLevelType w:val="hybridMultilevel"/>
    <w:tmpl w:val="F2CE8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D366B"/>
    <w:multiLevelType w:val="hybridMultilevel"/>
    <w:tmpl w:val="D8B07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42007"/>
    <w:multiLevelType w:val="hybridMultilevel"/>
    <w:tmpl w:val="D04A43F8"/>
    <w:lvl w:ilvl="0" w:tplc="B1FA6AA6">
      <w:start w:val="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735EB"/>
    <w:multiLevelType w:val="hybridMultilevel"/>
    <w:tmpl w:val="8C065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082002"/>
    <w:multiLevelType w:val="multilevel"/>
    <w:tmpl w:val="754C733C"/>
    <w:lvl w:ilvl="0">
      <w:start w:val="1"/>
      <w:numFmt w:val="decimal"/>
      <w:lvlText w:val="%1."/>
      <w:lvlJc w:val="left"/>
      <w:pPr>
        <w:ind w:left="720" w:hanging="360"/>
      </w:pPr>
      <w:rPr>
        <w:rFonts w:hint="default"/>
      </w:rPr>
    </w:lvl>
    <w:lvl w:ilvl="1">
      <w:start w:val="2"/>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8DC677D"/>
    <w:multiLevelType w:val="hybridMultilevel"/>
    <w:tmpl w:val="5106BD44"/>
    <w:lvl w:ilvl="0" w:tplc="B1FA6AA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531A7"/>
    <w:multiLevelType w:val="hybridMultilevel"/>
    <w:tmpl w:val="14763902"/>
    <w:lvl w:ilvl="0" w:tplc="0409000F">
      <w:start w:val="1"/>
      <w:numFmt w:val="decimal"/>
      <w:lvlText w:val="%1."/>
      <w:lvlJc w:val="left"/>
      <w:pPr>
        <w:ind w:left="720" w:hanging="360"/>
      </w:pPr>
    </w:lvl>
    <w:lvl w:ilvl="1" w:tplc="1C6CA4B4">
      <w:start w:val="1"/>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70004"/>
    <w:multiLevelType w:val="hybridMultilevel"/>
    <w:tmpl w:val="A134C95C"/>
    <w:lvl w:ilvl="0" w:tplc="B1FA6AA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901980">
    <w:abstractNumId w:val="28"/>
  </w:num>
  <w:num w:numId="2" w16cid:durableId="181818328">
    <w:abstractNumId w:val="5"/>
  </w:num>
  <w:num w:numId="3" w16cid:durableId="453333748">
    <w:abstractNumId w:val="10"/>
  </w:num>
  <w:num w:numId="4" w16cid:durableId="1082919898">
    <w:abstractNumId w:val="9"/>
  </w:num>
  <w:num w:numId="5" w16cid:durableId="1466123415">
    <w:abstractNumId w:val="15"/>
  </w:num>
  <w:num w:numId="6" w16cid:durableId="1772512273">
    <w:abstractNumId w:val="31"/>
  </w:num>
  <w:num w:numId="7" w16cid:durableId="1689134036">
    <w:abstractNumId w:val="20"/>
  </w:num>
  <w:num w:numId="8" w16cid:durableId="1505894834">
    <w:abstractNumId w:val="32"/>
  </w:num>
  <w:num w:numId="9" w16cid:durableId="1083405828">
    <w:abstractNumId w:val="12"/>
  </w:num>
  <w:num w:numId="10" w16cid:durableId="2014408063">
    <w:abstractNumId w:val="3"/>
  </w:num>
  <w:num w:numId="11" w16cid:durableId="1076898307">
    <w:abstractNumId w:val="29"/>
  </w:num>
  <w:num w:numId="12" w16cid:durableId="339163895">
    <w:abstractNumId w:val="34"/>
  </w:num>
  <w:num w:numId="13" w16cid:durableId="1618443280">
    <w:abstractNumId w:val="25"/>
  </w:num>
  <w:num w:numId="14" w16cid:durableId="1767996736">
    <w:abstractNumId w:val="16"/>
  </w:num>
  <w:num w:numId="15" w16cid:durableId="904678299">
    <w:abstractNumId w:val="27"/>
  </w:num>
  <w:num w:numId="16" w16cid:durableId="971251295">
    <w:abstractNumId w:val="35"/>
  </w:num>
  <w:num w:numId="17" w16cid:durableId="477386177">
    <w:abstractNumId w:val="7"/>
  </w:num>
  <w:num w:numId="18" w16cid:durableId="1159073777">
    <w:abstractNumId w:val="4"/>
  </w:num>
  <w:num w:numId="19" w16cid:durableId="60569336">
    <w:abstractNumId w:val="18"/>
  </w:num>
  <w:num w:numId="20" w16cid:durableId="1868712552">
    <w:abstractNumId w:val="37"/>
  </w:num>
  <w:num w:numId="21" w16cid:durableId="609170040">
    <w:abstractNumId w:val="22"/>
  </w:num>
  <w:num w:numId="22" w16cid:durableId="27730950">
    <w:abstractNumId w:val="21"/>
  </w:num>
  <w:num w:numId="23" w16cid:durableId="1910379223">
    <w:abstractNumId w:val="1"/>
  </w:num>
  <w:num w:numId="24" w16cid:durableId="1924487091">
    <w:abstractNumId w:val="6"/>
  </w:num>
  <w:num w:numId="25" w16cid:durableId="570651975">
    <w:abstractNumId w:val="33"/>
  </w:num>
  <w:num w:numId="26" w16cid:durableId="1338537894">
    <w:abstractNumId w:val="14"/>
  </w:num>
  <w:num w:numId="27" w16cid:durableId="1103258387">
    <w:abstractNumId w:val="36"/>
  </w:num>
  <w:num w:numId="28" w16cid:durableId="2053192308">
    <w:abstractNumId w:val="13"/>
  </w:num>
  <w:num w:numId="29" w16cid:durableId="1233735146">
    <w:abstractNumId w:val="2"/>
  </w:num>
  <w:num w:numId="30" w16cid:durableId="1436442374">
    <w:abstractNumId w:val="30"/>
  </w:num>
  <w:num w:numId="31" w16cid:durableId="942763106">
    <w:abstractNumId w:val="19"/>
  </w:num>
  <w:num w:numId="32" w16cid:durableId="1182744096">
    <w:abstractNumId w:val="23"/>
  </w:num>
  <w:num w:numId="33" w16cid:durableId="592124675">
    <w:abstractNumId w:val="26"/>
  </w:num>
  <w:num w:numId="34" w16cid:durableId="2105880961">
    <w:abstractNumId w:val="11"/>
  </w:num>
  <w:num w:numId="35" w16cid:durableId="1904873235">
    <w:abstractNumId w:val="24"/>
  </w:num>
  <w:num w:numId="36" w16cid:durableId="2013214196">
    <w:abstractNumId w:val="17"/>
  </w:num>
  <w:num w:numId="37" w16cid:durableId="151416441">
    <w:abstractNumId w:val="8"/>
  </w:num>
  <w:num w:numId="38" w16cid:durableId="1601136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1A"/>
    <w:rsid w:val="000029AD"/>
    <w:rsid w:val="00011B27"/>
    <w:rsid w:val="0001497E"/>
    <w:rsid w:val="00027840"/>
    <w:rsid w:val="000472DB"/>
    <w:rsid w:val="0004797D"/>
    <w:rsid w:val="00092A0A"/>
    <w:rsid w:val="000935FE"/>
    <w:rsid w:val="000952F1"/>
    <w:rsid w:val="00095A49"/>
    <w:rsid w:val="00096564"/>
    <w:rsid w:val="000A52EB"/>
    <w:rsid w:val="000A6988"/>
    <w:rsid w:val="000C5C54"/>
    <w:rsid w:val="000D1D4A"/>
    <w:rsid w:val="000D643F"/>
    <w:rsid w:val="000E4097"/>
    <w:rsid w:val="000E7669"/>
    <w:rsid w:val="000F1D2A"/>
    <w:rsid w:val="000F7F46"/>
    <w:rsid w:val="00100BE1"/>
    <w:rsid w:val="001010DF"/>
    <w:rsid w:val="00110B5F"/>
    <w:rsid w:val="0011581F"/>
    <w:rsid w:val="001253D4"/>
    <w:rsid w:val="0013322A"/>
    <w:rsid w:val="0013417A"/>
    <w:rsid w:val="00137DD4"/>
    <w:rsid w:val="00144364"/>
    <w:rsid w:val="00170159"/>
    <w:rsid w:val="001841A2"/>
    <w:rsid w:val="00185E88"/>
    <w:rsid w:val="001B5255"/>
    <w:rsid w:val="001B57EE"/>
    <w:rsid w:val="001C15D1"/>
    <w:rsid w:val="00212D0A"/>
    <w:rsid w:val="002146EF"/>
    <w:rsid w:val="002348DA"/>
    <w:rsid w:val="002365E4"/>
    <w:rsid w:val="002477B2"/>
    <w:rsid w:val="00253EAC"/>
    <w:rsid w:val="00254A44"/>
    <w:rsid w:val="00256C7E"/>
    <w:rsid w:val="00265E42"/>
    <w:rsid w:val="002856FF"/>
    <w:rsid w:val="002C54FE"/>
    <w:rsid w:val="002D7199"/>
    <w:rsid w:val="002E4755"/>
    <w:rsid w:val="002F74AF"/>
    <w:rsid w:val="00310DD1"/>
    <w:rsid w:val="00322793"/>
    <w:rsid w:val="00323511"/>
    <w:rsid w:val="003357A1"/>
    <w:rsid w:val="00342478"/>
    <w:rsid w:val="00346C3A"/>
    <w:rsid w:val="00352F1C"/>
    <w:rsid w:val="00354DFA"/>
    <w:rsid w:val="0035622F"/>
    <w:rsid w:val="003577FD"/>
    <w:rsid w:val="003604AC"/>
    <w:rsid w:val="0036220D"/>
    <w:rsid w:val="00367D91"/>
    <w:rsid w:val="0038791C"/>
    <w:rsid w:val="003A5A01"/>
    <w:rsid w:val="003B4B4A"/>
    <w:rsid w:val="003C1FAF"/>
    <w:rsid w:val="003C48EE"/>
    <w:rsid w:val="003F03B3"/>
    <w:rsid w:val="003F743B"/>
    <w:rsid w:val="00401F49"/>
    <w:rsid w:val="00404C69"/>
    <w:rsid w:val="0041359A"/>
    <w:rsid w:val="004226AB"/>
    <w:rsid w:val="004262F5"/>
    <w:rsid w:val="004400DA"/>
    <w:rsid w:val="0045053D"/>
    <w:rsid w:val="00455486"/>
    <w:rsid w:val="00460295"/>
    <w:rsid w:val="00460FF5"/>
    <w:rsid w:val="00463932"/>
    <w:rsid w:val="00467B7F"/>
    <w:rsid w:val="004732BB"/>
    <w:rsid w:val="00482FA0"/>
    <w:rsid w:val="004936F8"/>
    <w:rsid w:val="004B22AB"/>
    <w:rsid w:val="004C10E3"/>
    <w:rsid w:val="004C2E05"/>
    <w:rsid w:val="004C4D72"/>
    <w:rsid w:val="004D0EF9"/>
    <w:rsid w:val="004D1B44"/>
    <w:rsid w:val="004D26B9"/>
    <w:rsid w:val="004D50F2"/>
    <w:rsid w:val="004E5A46"/>
    <w:rsid w:val="004E6099"/>
    <w:rsid w:val="004E64F8"/>
    <w:rsid w:val="004E718C"/>
    <w:rsid w:val="00503B61"/>
    <w:rsid w:val="00504A59"/>
    <w:rsid w:val="00506A4B"/>
    <w:rsid w:val="00521852"/>
    <w:rsid w:val="00522856"/>
    <w:rsid w:val="00537162"/>
    <w:rsid w:val="0054037F"/>
    <w:rsid w:val="00540783"/>
    <w:rsid w:val="00544D14"/>
    <w:rsid w:val="005573C2"/>
    <w:rsid w:val="00557A37"/>
    <w:rsid w:val="00565ECE"/>
    <w:rsid w:val="00566B32"/>
    <w:rsid w:val="00573C1F"/>
    <w:rsid w:val="005843B9"/>
    <w:rsid w:val="00584607"/>
    <w:rsid w:val="0058484F"/>
    <w:rsid w:val="0059149A"/>
    <w:rsid w:val="005918F9"/>
    <w:rsid w:val="005A06DD"/>
    <w:rsid w:val="005A1EA6"/>
    <w:rsid w:val="005B0932"/>
    <w:rsid w:val="005B0D5C"/>
    <w:rsid w:val="005B596D"/>
    <w:rsid w:val="005B7067"/>
    <w:rsid w:val="005C2F68"/>
    <w:rsid w:val="005C447C"/>
    <w:rsid w:val="005C4D7E"/>
    <w:rsid w:val="005C6711"/>
    <w:rsid w:val="005D3A5B"/>
    <w:rsid w:val="005E1D2E"/>
    <w:rsid w:val="005E2416"/>
    <w:rsid w:val="005E297E"/>
    <w:rsid w:val="005F3E95"/>
    <w:rsid w:val="005F5031"/>
    <w:rsid w:val="005F6CCA"/>
    <w:rsid w:val="005F7266"/>
    <w:rsid w:val="006040DB"/>
    <w:rsid w:val="00613A61"/>
    <w:rsid w:val="006143BF"/>
    <w:rsid w:val="00622939"/>
    <w:rsid w:val="00642649"/>
    <w:rsid w:val="00645565"/>
    <w:rsid w:val="00650FF5"/>
    <w:rsid w:val="0066388B"/>
    <w:rsid w:val="00664210"/>
    <w:rsid w:val="0066438A"/>
    <w:rsid w:val="0066500D"/>
    <w:rsid w:val="00665905"/>
    <w:rsid w:val="006679B3"/>
    <w:rsid w:val="00692AA5"/>
    <w:rsid w:val="006A057E"/>
    <w:rsid w:val="006B0FE0"/>
    <w:rsid w:val="006B1B8F"/>
    <w:rsid w:val="006D1C67"/>
    <w:rsid w:val="006D2563"/>
    <w:rsid w:val="006D53AE"/>
    <w:rsid w:val="006F3A56"/>
    <w:rsid w:val="00704162"/>
    <w:rsid w:val="00720055"/>
    <w:rsid w:val="00722F64"/>
    <w:rsid w:val="00736A59"/>
    <w:rsid w:val="0074382D"/>
    <w:rsid w:val="00756359"/>
    <w:rsid w:val="00756FF1"/>
    <w:rsid w:val="00757021"/>
    <w:rsid w:val="00760754"/>
    <w:rsid w:val="00760A71"/>
    <w:rsid w:val="00767436"/>
    <w:rsid w:val="007677E3"/>
    <w:rsid w:val="0077160B"/>
    <w:rsid w:val="007744AF"/>
    <w:rsid w:val="007924BE"/>
    <w:rsid w:val="00793652"/>
    <w:rsid w:val="007A4E88"/>
    <w:rsid w:val="007B0079"/>
    <w:rsid w:val="007B0145"/>
    <w:rsid w:val="007B0AA3"/>
    <w:rsid w:val="007B4868"/>
    <w:rsid w:val="007C0CF2"/>
    <w:rsid w:val="007E37E7"/>
    <w:rsid w:val="007E5770"/>
    <w:rsid w:val="008014A3"/>
    <w:rsid w:val="00816569"/>
    <w:rsid w:val="0082052C"/>
    <w:rsid w:val="00823A0D"/>
    <w:rsid w:val="00833C8E"/>
    <w:rsid w:val="00837A63"/>
    <w:rsid w:val="00853E33"/>
    <w:rsid w:val="00856867"/>
    <w:rsid w:val="00866DDB"/>
    <w:rsid w:val="00867377"/>
    <w:rsid w:val="008922F9"/>
    <w:rsid w:val="00892822"/>
    <w:rsid w:val="00894132"/>
    <w:rsid w:val="00896F4F"/>
    <w:rsid w:val="008A4A12"/>
    <w:rsid w:val="008A77E4"/>
    <w:rsid w:val="008B07A3"/>
    <w:rsid w:val="008D271B"/>
    <w:rsid w:val="008D3073"/>
    <w:rsid w:val="008E2DC5"/>
    <w:rsid w:val="008E5A93"/>
    <w:rsid w:val="00900A03"/>
    <w:rsid w:val="00905557"/>
    <w:rsid w:val="009146EA"/>
    <w:rsid w:val="00916766"/>
    <w:rsid w:val="00916CE5"/>
    <w:rsid w:val="00942C6F"/>
    <w:rsid w:val="00947AE8"/>
    <w:rsid w:val="0095287F"/>
    <w:rsid w:val="00956777"/>
    <w:rsid w:val="00963807"/>
    <w:rsid w:val="00980D86"/>
    <w:rsid w:val="00987946"/>
    <w:rsid w:val="00990184"/>
    <w:rsid w:val="009963AB"/>
    <w:rsid w:val="009A088D"/>
    <w:rsid w:val="009A1AD3"/>
    <w:rsid w:val="009A6129"/>
    <w:rsid w:val="009B0876"/>
    <w:rsid w:val="009B1FAC"/>
    <w:rsid w:val="009B2368"/>
    <w:rsid w:val="009B3029"/>
    <w:rsid w:val="009C1DBB"/>
    <w:rsid w:val="009C26E3"/>
    <w:rsid w:val="009C69E6"/>
    <w:rsid w:val="009C6A25"/>
    <w:rsid w:val="009D631A"/>
    <w:rsid w:val="009D6E94"/>
    <w:rsid w:val="009E1261"/>
    <w:rsid w:val="009F3030"/>
    <w:rsid w:val="00A0415D"/>
    <w:rsid w:val="00A119B8"/>
    <w:rsid w:val="00A13951"/>
    <w:rsid w:val="00A16EDB"/>
    <w:rsid w:val="00A173BF"/>
    <w:rsid w:val="00A33327"/>
    <w:rsid w:val="00A3439F"/>
    <w:rsid w:val="00A527D5"/>
    <w:rsid w:val="00A5549A"/>
    <w:rsid w:val="00A81C97"/>
    <w:rsid w:val="00A85576"/>
    <w:rsid w:val="00A85B8A"/>
    <w:rsid w:val="00A92171"/>
    <w:rsid w:val="00AA0C2F"/>
    <w:rsid w:val="00AA26BA"/>
    <w:rsid w:val="00AA2C24"/>
    <w:rsid w:val="00AA4A2C"/>
    <w:rsid w:val="00AA7BC5"/>
    <w:rsid w:val="00AD3436"/>
    <w:rsid w:val="00AE2B96"/>
    <w:rsid w:val="00AF3968"/>
    <w:rsid w:val="00B002A1"/>
    <w:rsid w:val="00B12BE5"/>
    <w:rsid w:val="00B306CE"/>
    <w:rsid w:val="00B31054"/>
    <w:rsid w:val="00B32A30"/>
    <w:rsid w:val="00B34589"/>
    <w:rsid w:val="00B4290F"/>
    <w:rsid w:val="00B43578"/>
    <w:rsid w:val="00B526B2"/>
    <w:rsid w:val="00B536A2"/>
    <w:rsid w:val="00B7234F"/>
    <w:rsid w:val="00B72B0A"/>
    <w:rsid w:val="00B74B59"/>
    <w:rsid w:val="00B83062"/>
    <w:rsid w:val="00B844F7"/>
    <w:rsid w:val="00B93969"/>
    <w:rsid w:val="00B95316"/>
    <w:rsid w:val="00BA0C20"/>
    <w:rsid w:val="00BB329A"/>
    <w:rsid w:val="00BB67BB"/>
    <w:rsid w:val="00BC5266"/>
    <w:rsid w:val="00BD017B"/>
    <w:rsid w:val="00BD2CAB"/>
    <w:rsid w:val="00C03EB9"/>
    <w:rsid w:val="00C10C15"/>
    <w:rsid w:val="00C10D54"/>
    <w:rsid w:val="00C21A3A"/>
    <w:rsid w:val="00C23E1F"/>
    <w:rsid w:val="00C27459"/>
    <w:rsid w:val="00C4012E"/>
    <w:rsid w:val="00C4085A"/>
    <w:rsid w:val="00C41FFE"/>
    <w:rsid w:val="00C50E79"/>
    <w:rsid w:val="00C519CB"/>
    <w:rsid w:val="00C51F85"/>
    <w:rsid w:val="00C76657"/>
    <w:rsid w:val="00C8143A"/>
    <w:rsid w:val="00C830E1"/>
    <w:rsid w:val="00C87A60"/>
    <w:rsid w:val="00C94843"/>
    <w:rsid w:val="00CA53A7"/>
    <w:rsid w:val="00CB1AB7"/>
    <w:rsid w:val="00CC4EFD"/>
    <w:rsid w:val="00CC5CB4"/>
    <w:rsid w:val="00CD4671"/>
    <w:rsid w:val="00CD5D8C"/>
    <w:rsid w:val="00CF0A9C"/>
    <w:rsid w:val="00CF1FFD"/>
    <w:rsid w:val="00CF4B97"/>
    <w:rsid w:val="00CF4D63"/>
    <w:rsid w:val="00CF6211"/>
    <w:rsid w:val="00D37EEB"/>
    <w:rsid w:val="00D450C0"/>
    <w:rsid w:val="00D5266E"/>
    <w:rsid w:val="00D54F05"/>
    <w:rsid w:val="00D6593C"/>
    <w:rsid w:val="00D70D50"/>
    <w:rsid w:val="00D7716F"/>
    <w:rsid w:val="00D902CD"/>
    <w:rsid w:val="00DA2EDD"/>
    <w:rsid w:val="00DC23ED"/>
    <w:rsid w:val="00DC698D"/>
    <w:rsid w:val="00DD4758"/>
    <w:rsid w:val="00DD4FF7"/>
    <w:rsid w:val="00DE1BC5"/>
    <w:rsid w:val="00DE55E1"/>
    <w:rsid w:val="00DE66A3"/>
    <w:rsid w:val="00DF0BBB"/>
    <w:rsid w:val="00DF26C3"/>
    <w:rsid w:val="00E02890"/>
    <w:rsid w:val="00E0405B"/>
    <w:rsid w:val="00E05DB6"/>
    <w:rsid w:val="00E17D80"/>
    <w:rsid w:val="00E30616"/>
    <w:rsid w:val="00E30FA3"/>
    <w:rsid w:val="00E40F5C"/>
    <w:rsid w:val="00E4700B"/>
    <w:rsid w:val="00E562D2"/>
    <w:rsid w:val="00E60600"/>
    <w:rsid w:val="00E63B1B"/>
    <w:rsid w:val="00E82C81"/>
    <w:rsid w:val="00E96F73"/>
    <w:rsid w:val="00EB639E"/>
    <w:rsid w:val="00EC5175"/>
    <w:rsid w:val="00EC6AD9"/>
    <w:rsid w:val="00ED6164"/>
    <w:rsid w:val="00EE1E2A"/>
    <w:rsid w:val="00EE445D"/>
    <w:rsid w:val="00EE7AB1"/>
    <w:rsid w:val="00EF5369"/>
    <w:rsid w:val="00F00174"/>
    <w:rsid w:val="00F005C9"/>
    <w:rsid w:val="00F01023"/>
    <w:rsid w:val="00F0182F"/>
    <w:rsid w:val="00F100AE"/>
    <w:rsid w:val="00F11C5C"/>
    <w:rsid w:val="00F167A5"/>
    <w:rsid w:val="00F20840"/>
    <w:rsid w:val="00F238D1"/>
    <w:rsid w:val="00F251DA"/>
    <w:rsid w:val="00F34EA7"/>
    <w:rsid w:val="00F364C7"/>
    <w:rsid w:val="00F40180"/>
    <w:rsid w:val="00F46C28"/>
    <w:rsid w:val="00F62427"/>
    <w:rsid w:val="00F83FD1"/>
    <w:rsid w:val="00F96483"/>
    <w:rsid w:val="00FA6CF7"/>
    <w:rsid w:val="00FA7E89"/>
    <w:rsid w:val="00FB3811"/>
    <w:rsid w:val="00FC28A8"/>
    <w:rsid w:val="00FC4D92"/>
    <w:rsid w:val="00FC6435"/>
    <w:rsid w:val="00FC6B9F"/>
    <w:rsid w:val="00FD3BD0"/>
    <w:rsid w:val="00FD3F17"/>
    <w:rsid w:val="00FD42E6"/>
    <w:rsid w:val="00FE0898"/>
    <w:rsid w:val="00FE0CB5"/>
    <w:rsid w:val="276CBB31"/>
    <w:rsid w:val="37E4E171"/>
    <w:rsid w:val="5C0377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6E47F"/>
  <w15:docId w15:val="{436F781E-4084-4B27-A82F-D1DC6CEC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7D5"/>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31A"/>
    <w:rPr>
      <w:rFonts w:ascii="Tahoma" w:hAnsi="Tahoma" w:cs="Tahoma"/>
      <w:sz w:val="16"/>
      <w:szCs w:val="16"/>
    </w:rPr>
  </w:style>
  <w:style w:type="character" w:customStyle="1" w:styleId="BalloonTextChar">
    <w:name w:val="Balloon Text Char"/>
    <w:basedOn w:val="DefaultParagraphFont"/>
    <w:link w:val="BalloonText"/>
    <w:uiPriority w:val="99"/>
    <w:semiHidden/>
    <w:rsid w:val="009D631A"/>
    <w:rPr>
      <w:rFonts w:ascii="Tahoma" w:hAnsi="Tahoma" w:cs="Tahoma"/>
      <w:sz w:val="16"/>
      <w:szCs w:val="16"/>
    </w:rPr>
  </w:style>
  <w:style w:type="paragraph" w:styleId="Header">
    <w:name w:val="header"/>
    <w:basedOn w:val="Normal"/>
    <w:link w:val="HeaderChar"/>
    <w:uiPriority w:val="99"/>
    <w:unhideWhenUsed/>
    <w:rsid w:val="009D631A"/>
    <w:pPr>
      <w:tabs>
        <w:tab w:val="center" w:pos="4536"/>
        <w:tab w:val="right" w:pos="9072"/>
      </w:tabs>
    </w:pPr>
  </w:style>
  <w:style w:type="character" w:customStyle="1" w:styleId="HeaderChar">
    <w:name w:val="Header Char"/>
    <w:basedOn w:val="DefaultParagraphFont"/>
    <w:link w:val="Header"/>
    <w:uiPriority w:val="99"/>
    <w:rsid w:val="009D631A"/>
  </w:style>
  <w:style w:type="paragraph" w:styleId="Footer">
    <w:name w:val="footer"/>
    <w:basedOn w:val="Normal"/>
    <w:link w:val="FooterChar"/>
    <w:uiPriority w:val="99"/>
    <w:unhideWhenUsed/>
    <w:rsid w:val="009D631A"/>
    <w:pPr>
      <w:tabs>
        <w:tab w:val="center" w:pos="4536"/>
        <w:tab w:val="right" w:pos="9072"/>
      </w:tabs>
    </w:pPr>
  </w:style>
  <w:style w:type="character" w:customStyle="1" w:styleId="FooterChar">
    <w:name w:val="Footer Char"/>
    <w:basedOn w:val="DefaultParagraphFont"/>
    <w:link w:val="Footer"/>
    <w:uiPriority w:val="99"/>
    <w:rsid w:val="009D631A"/>
  </w:style>
  <w:style w:type="table" w:styleId="TableGrid">
    <w:name w:val="Table Grid"/>
    <w:basedOn w:val="TableNormal"/>
    <w:rsid w:val="009D6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 Mary,List Paragraph (numbered (a)),references,Bullets,References,Numbered List Paragraph,List Paragraph nowy,Liste 1,List Paragraph1,Medium Grid 1 - Accent 21,ReferencesCxSpLast,123 List Paragraph,Indent Paragraph,body bullets"/>
    <w:basedOn w:val="Normal"/>
    <w:link w:val="ListParagraphChar"/>
    <w:uiPriority w:val="34"/>
    <w:qFormat/>
    <w:rsid w:val="004400DA"/>
    <w:pPr>
      <w:ind w:left="720"/>
      <w:contextualSpacing/>
    </w:pPr>
  </w:style>
  <w:style w:type="paragraph" w:styleId="BodyText">
    <w:name w:val="Body Text"/>
    <w:basedOn w:val="Normal"/>
    <w:link w:val="BodyTextChar"/>
    <w:rsid w:val="004400DA"/>
    <w:pPr>
      <w:tabs>
        <w:tab w:val="left" w:pos="-1440"/>
      </w:tabs>
    </w:pPr>
    <w:rPr>
      <w:rFonts w:ascii="Arial" w:hAnsi="Arial"/>
      <w:sz w:val="20"/>
    </w:rPr>
  </w:style>
  <w:style w:type="character" w:customStyle="1" w:styleId="BodyTextChar">
    <w:name w:val="Body Text Char"/>
    <w:basedOn w:val="DefaultParagraphFont"/>
    <w:link w:val="BodyText"/>
    <w:rsid w:val="004400DA"/>
    <w:rPr>
      <w:rFonts w:ascii="Arial" w:eastAsia="Times New Roman" w:hAnsi="Arial" w:cs="Times New Roman"/>
      <w:snapToGrid w:val="0"/>
      <w:sz w:val="20"/>
      <w:szCs w:val="20"/>
      <w:lang w:val="en-US"/>
    </w:rPr>
  </w:style>
  <w:style w:type="paragraph" w:styleId="FootnoteText">
    <w:name w:val="footnote text"/>
    <w:aliases w:val="5_G,Car Car,Car,single space,Текст сноски Знак,Footnote Text Char Char Char,FOOTNOTES,fn,ft,Footnote Text Char Char Char Char Char Char Char Char Char Char,Footnote Text Char Char Char Char Char Char Char Char Char Char Char Cha,ft2,f Char"/>
    <w:basedOn w:val="Normal"/>
    <w:link w:val="FootnoteTextChar"/>
    <w:uiPriority w:val="99"/>
    <w:unhideWhenUsed/>
    <w:qFormat/>
    <w:rsid w:val="005B0932"/>
    <w:rPr>
      <w:sz w:val="20"/>
    </w:rPr>
  </w:style>
  <w:style w:type="character" w:customStyle="1" w:styleId="FootnoteTextChar">
    <w:name w:val="Footnote Text Char"/>
    <w:aliases w:val="5_G Char,Car Car Char,Car Char,single space Char,Текст сноски Знак Char,Footnote Text Char Char Char Char,FOOTNOTES Char,fn Char,ft Char,Footnote Text Char Char Char Char Char Char Char Char Char Char Char,ft2 Char,f Char Char"/>
    <w:basedOn w:val="DefaultParagraphFont"/>
    <w:link w:val="FootnoteText"/>
    <w:uiPriority w:val="99"/>
    <w:rsid w:val="005B0932"/>
    <w:rPr>
      <w:rFonts w:ascii="Times New Roman" w:eastAsia="Times New Roman" w:hAnsi="Times New Roman" w:cs="Times New Roman"/>
      <w:snapToGrid w:val="0"/>
      <w:sz w:val="20"/>
      <w:szCs w:val="20"/>
      <w:lang w:val="en-US"/>
    </w:rPr>
  </w:style>
  <w:style w:type="character" w:styleId="FootnoteReference">
    <w:name w:val="footnote reference"/>
    <w:aliases w:val="4_G,Footnotes refss,Appel note de bas de p.,Footnote text,callout,ftref,16 Point,Superscript 6 Point,4_G Char Char,Footnote Reference1 Char Char,Footnotes refss Char Char,ftref Char Char,BVI fnr Char Char,BVI fnr Car Car Char Char,Ref"/>
    <w:basedOn w:val="DefaultParagraphFont"/>
    <w:link w:val="4GChar"/>
    <w:uiPriority w:val="99"/>
    <w:unhideWhenUsed/>
    <w:qFormat/>
    <w:rsid w:val="005B0932"/>
    <w:rPr>
      <w:vertAlign w:val="superscript"/>
    </w:rPr>
  </w:style>
  <w:style w:type="paragraph" w:styleId="EndnoteText">
    <w:name w:val="endnote text"/>
    <w:basedOn w:val="Normal"/>
    <w:link w:val="EndnoteTextChar"/>
    <w:uiPriority w:val="99"/>
    <w:semiHidden/>
    <w:unhideWhenUsed/>
    <w:rsid w:val="005B0932"/>
    <w:rPr>
      <w:sz w:val="20"/>
    </w:rPr>
  </w:style>
  <w:style w:type="character" w:customStyle="1" w:styleId="EndnoteTextChar">
    <w:name w:val="Endnote Text Char"/>
    <w:basedOn w:val="DefaultParagraphFont"/>
    <w:link w:val="EndnoteText"/>
    <w:uiPriority w:val="99"/>
    <w:semiHidden/>
    <w:rsid w:val="005B0932"/>
    <w:rPr>
      <w:rFonts w:ascii="Times New Roman" w:eastAsia="Times New Roman" w:hAnsi="Times New Roman" w:cs="Times New Roman"/>
      <w:snapToGrid w:val="0"/>
      <w:sz w:val="20"/>
      <w:szCs w:val="20"/>
      <w:lang w:val="en-US"/>
    </w:rPr>
  </w:style>
  <w:style w:type="character" w:styleId="EndnoteReference">
    <w:name w:val="endnote reference"/>
    <w:basedOn w:val="DefaultParagraphFont"/>
    <w:uiPriority w:val="99"/>
    <w:semiHidden/>
    <w:unhideWhenUsed/>
    <w:rsid w:val="005B0932"/>
    <w:rPr>
      <w:vertAlign w:val="superscript"/>
    </w:rPr>
  </w:style>
  <w:style w:type="paragraph" w:styleId="Revision">
    <w:name w:val="Revision"/>
    <w:hidden/>
    <w:uiPriority w:val="99"/>
    <w:semiHidden/>
    <w:rsid w:val="00EE445D"/>
    <w:pPr>
      <w:spacing w:after="0" w:line="240" w:lineRule="auto"/>
    </w:pPr>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0EF9"/>
    <w:pPr>
      <w:widowControl/>
      <w:spacing w:before="100" w:beforeAutospacing="1" w:after="100" w:afterAutospacing="1"/>
    </w:pPr>
    <w:rPr>
      <w:snapToGrid/>
      <w:szCs w:val="24"/>
    </w:rPr>
  </w:style>
  <w:style w:type="paragraph" w:customStyle="1" w:styleId="Default">
    <w:name w:val="Default"/>
    <w:rsid w:val="00645565"/>
    <w:pPr>
      <w:autoSpaceDE w:val="0"/>
      <w:autoSpaceDN w:val="0"/>
      <w:adjustRightInd w:val="0"/>
      <w:spacing w:after="0" w:line="240" w:lineRule="auto"/>
    </w:pPr>
    <w:rPr>
      <w:rFonts w:ascii="Franklin Gothic Demi Cond" w:hAnsi="Franklin Gothic Demi Cond" w:cs="Franklin Gothic Demi Cond"/>
      <w:color w:val="000000"/>
      <w:sz w:val="24"/>
      <w:szCs w:val="24"/>
      <w:lang w:val="en-US"/>
    </w:rPr>
  </w:style>
  <w:style w:type="character" w:styleId="CommentReference">
    <w:name w:val="annotation reference"/>
    <w:basedOn w:val="DefaultParagraphFont"/>
    <w:uiPriority w:val="99"/>
    <w:semiHidden/>
    <w:unhideWhenUsed/>
    <w:rsid w:val="00CC4EFD"/>
    <w:rPr>
      <w:sz w:val="16"/>
      <w:szCs w:val="16"/>
    </w:rPr>
  </w:style>
  <w:style w:type="paragraph" w:styleId="CommentText">
    <w:name w:val="annotation text"/>
    <w:basedOn w:val="Normal"/>
    <w:link w:val="CommentTextChar"/>
    <w:uiPriority w:val="99"/>
    <w:semiHidden/>
    <w:unhideWhenUsed/>
    <w:rsid w:val="00CC4EFD"/>
    <w:rPr>
      <w:sz w:val="20"/>
    </w:rPr>
  </w:style>
  <w:style w:type="character" w:customStyle="1" w:styleId="CommentTextChar">
    <w:name w:val="Comment Text Char"/>
    <w:basedOn w:val="DefaultParagraphFont"/>
    <w:link w:val="CommentText"/>
    <w:uiPriority w:val="99"/>
    <w:semiHidden/>
    <w:rsid w:val="00CC4EFD"/>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4EFD"/>
    <w:rPr>
      <w:b/>
      <w:bCs/>
    </w:rPr>
  </w:style>
  <w:style w:type="character" w:customStyle="1" w:styleId="CommentSubjectChar">
    <w:name w:val="Comment Subject Char"/>
    <w:basedOn w:val="CommentTextChar"/>
    <w:link w:val="CommentSubject"/>
    <w:uiPriority w:val="99"/>
    <w:semiHidden/>
    <w:rsid w:val="00CC4EFD"/>
    <w:rPr>
      <w:rFonts w:ascii="Times New Roman" w:eastAsia="Times New Roman" w:hAnsi="Times New Roman" w:cs="Times New Roman"/>
      <w:b/>
      <w:bCs/>
      <w:snapToGrid w:val="0"/>
      <w:sz w:val="20"/>
      <w:szCs w:val="20"/>
      <w:lang w:val="en-US"/>
    </w:rPr>
  </w:style>
  <w:style w:type="paragraph" w:customStyle="1" w:styleId="paragraph">
    <w:name w:val="paragraph"/>
    <w:basedOn w:val="Normal"/>
    <w:rsid w:val="00A173BF"/>
    <w:pPr>
      <w:widowControl/>
      <w:spacing w:before="100" w:beforeAutospacing="1" w:after="100" w:afterAutospacing="1"/>
    </w:pPr>
    <w:rPr>
      <w:snapToGrid/>
      <w:szCs w:val="24"/>
    </w:rPr>
  </w:style>
  <w:style w:type="character" w:customStyle="1" w:styleId="normaltextrun">
    <w:name w:val="normaltextrun"/>
    <w:basedOn w:val="DefaultParagraphFont"/>
    <w:rsid w:val="00A173BF"/>
  </w:style>
  <w:style w:type="character" w:customStyle="1" w:styleId="eop">
    <w:name w:val="eop"/>
    <w:basedOn w:val="DefaultParagraphFont"/>
    <w:rsid w:val="00A173BF"/>
  </w:style>
  <w:style w:type="paragraph" w:styleId="NoSpacing">
    <w:name w:val="No Spacing"/>
    <w:uiPriority w:val="1"/>
    <w:qFormat/>
    <w:rsid w:val="00987946"/>
    <w:pPr>
      <w:spacing w:after="0" w:line="240" w:lineRule="auto"/>
    </w:pPr>
    <w:rPr>
      <w:rFonts w:ascii="Calibri" w:eastAsiaTheme="minorEastAsia" w:hAnsi="Calibri"/>
      <w:lang w:val="en-US"/>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link w:val="FootnoteReference"/>
    <w:uiPriority w:val="99"/>
    <w:qFormat/>
    <w:rsid w:val="00987946"/>
    <w:pPr>
      <w:widowControl/>
      <w:autoSpaceDE w:val="0"/>
      <w:autoSpaceDN w:val="0"/>
      <w:adjustRightInd w:val="0"/>
      <w:jc w:val="both"/>
    </w:pPr>
    <w:rPr>
      <w:rFonts w:asciiTheme="minorHAnsi" w:eastAsiaTheme="minorHAnsi" w:hAnsiTheme="minorHAnsi" w:cstheme="minorBidi"/>
      <w:snapToGrid/>
      <w:sz w:val="22"/>
      <w:szCs w:val="22"/>
      <w:vertAlign w:val="superscript"/>
      <w:lang w:val="tr-TR"/>
    </w:rPr>
  </w:style>
  <w:style w:type="character" w:customStyle="1" w:styleId="A4">
    <w:name w:val="A4"/>
    <w:uiPriority w:val="99"/>
    <w:rsid w:val="00987946"/>
    <w:rPr>
      <w:rFonts w:cs="Univers LT Std 45 Light"/>
      <w:color w:val="000000"/>
      <w:sz w:val="19"/>
      <w:szCs w:val="19"/>
    </w:rPr>
  </w:style>
  <w:style w:type="character" w:customStyle="1" w:styleId="ListParagraphChar">
    <w:name w:val="List Paragraph Char"/>
    <w:aliases w:val="List Bullet Mary Char,List Paragraph (numbered (a)) Char,references Char,Bullets Char,References Char,Numbered List Paragraph Char,List Paragraph nowy Char,Liste 1 Char,List Paragraph1 Char,Medium Grid 1 - Accent 21 Char"/>
    <w:link w:val="ListParagraph"/>
    <w:uiPriority w:val="34"/>
    <w:qFormat/>
    <w:locked/>
    <w:rsid w:val="00987946"/>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unhideWhenUsed/>
    <w:rsid w:val="00987946"/>
    <w:pPr>
      <w:widowControl/>
      <w:spacing w:after="120"/>
      <w:ind w:left="360"/>
    </w:pPr>
    <w:rPr>
      <w:snapToGrid/>
    </w:rPr>
  </w:style>
  <w:style w:type="character" w:customStyle="1" w:styleId="BodyTextIndentChar">
    <w:name w:val="Body Text Indent Char"/>
    <w:basedOn w:val="DefaultParagraphFont"/>
    <w:link w:val="BodyTextIndent"/>
    <w:rsid w:val="00987946"/>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5708">
      <w:bodyDiv w:val="1"/>
      <w:marLeft w:val="0"/>
      <w:marRight w:val="0"/>
      <w:marTop w:val="0"/>
      <w:marBottom w:val="0"/>
      <w:divBdr>
        <w:top w:val="none" w:sz="0" w:space="0" w:color="auto"/>
        <w:left w:val="none" w:sz="0" w:space="0" w:color="auto"/>
        <w:bottom w:val="none" w:sz="0" w:space="0" w:color="auto"/>
        <w:right w:val="none" w:sz="0" w:space="0" w:color="auto"/>
      </w:divBdr>
      <w:divsChild>
        <w:div w:id="2009671090">
          <w:marLeft w:val="360"/>
          <w:marRight w:val="0"/>
          <w:marTop w:val="200"/>
          <w:marBottom w:val="0"/>
          <w:divBdr>
            <w:top w:val="none" w:sz="0" w:space="0" w:color="auto"/>
            <w:left w:val="none" w:sz="0" w:space="0" w:color="auto"/>
            <w:bottom w:val="none" w:sz="0" w:space="0" w:color="auto"/>
            <w:right w:val="none" w:sz="0" w:space="0" w:color="auto"/>
          </w:divBdr>
        </w:div>
        <w:div w:id="1405493491">
          <w:marLeft w:val="360"/>
          <w:marRight w:val="0"/>
          <w:marTop w:val="200"/>
          <w:marBottom w:val="0"/>
          <w:divBdr>
            <w:top w:val="none" w:sz="0" w:space="0" w:color="auto"/>
            <w:left w:val="none" w:sz="0" w:space="0" w:color="auto"/>
            <w:bottom w:val="none" w:sz="0" w:space="0" w:color="auto"/>
            <w:right w:val="none" w:sz="0" w:space="0" w:color="auto"/>
          </w:divBdr>
        </w:div>
        <w:div w:id="219828751">
          <w:marLeft w:val="360"/>
          <w:marRight w:val="0"/>
          <w:marTop w:val="200"/>
          <w:marBottom w:val="0"/>
          <w:divBdr>
            <w:top w:val="none" w:sz="0" w:space="0" w:color="auto"/>
            <w:left w:val="none" w:sz="0" w:space="0" w:color="auto"/>
            <w:bottom w:val="none" w:sz="0" w:space="0" w:color="auto"/>
            <w:right w:val="none" w:sz="0" w:space="0" w:color="auto"/>
          </w:divBdr>
        </w:div>
      </w:divsChild>
    </w:div>
    <w:div w:id="555118138">
      <w:bodyDiv w:val="1"/>
      <w:marLeft w:val="0"/>
      <w:marRight w:val="0"/>
      <w:marTop w:val="0"/>
      <w:marBottom w:val="0"/>
      <w:divBdr>
        <w:top w:val="none" w:sz="0" w:space="0" w:color="auto"/>
        <w:left w:val="none" w:sz="0" w:space="0" w:color="auto"/>
        <w:bottom w:val="none" w:sz="0" w:space="0" w:color="auto"/>
        <w:right w:val="none" w:sz="0" w:space="0" w:color="auto"/>
      </w:divBdr>
    </w:div>
    <w:div w:id="929773821">
      <w:bodyDiv w:val="1"/>
      <w:marLeft w:val="0"/>
      <w:marRight w:val="0"/>
      <w:marTop w:val="0"/>
      <w:marBottom w:val="0"/>
      <w:divBdr>
        <w:top w:val="none" w:sz="0" w:space="0" w:color="auto"/>
        <w:left w:val="none" w:sz="0" w:space="0" w:color="auto"/>
        <w:bottom w:val="none" w:sz="0" w:space="0" w:color="auto"/>
        <w:right w:val="none" w:sz="0" w:space="0" w:color="auto"/>
      </w:divBdr>
    </w:div>
    <w:div w:id="1078284252">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3E2562D47EA1144B09CB4300D399155" ma:contentTypeVersion="27" ma:contentTypeDescription="" ma:contentTypeScope="" ma:versionID="81a3eda5dc23758eb41b15c217a0bf32">
  <xsd:schema xmlns:xsd="http://www.w3.org/2001/XMLSchema" xmlns:xs="http://www.w3.org/2001/XMLSchema" xmlns:p="http://schemas.microsoft.com/office/2006/metadata/properties" xmlns:ns1="http://schemas.microsoft.com/sharepoint/v3" xmlns:ns2="ca283e0b-db31-4043-a2ef-b80661bf084a" xmlns:ns3="http://schemas.microsoft.com/sharepoint.v3" xmlns:ns4="3e6b7dd4-2bb2-4196-9652-5398d96bc50e" xmlns:ns5="8a84ea1c-55df-4109-be20-b327295a52e3" xmlns:ns6="http://schemas.microsoft.com/sharepoint/v4" targetNamespace="http://schemas.microsoft.com/office/2006/metadata/properties" ma:root="true" ma:fieldsID="c670dce9b145757867f3062731f04598" ns1:_="" ns2:_="" ns3:_="" ns4:_="" ns5:_="" ns6:_="">
    <xsd:import namespace="http://schemas.microsoft.com/sharepoint/v3"/>
    <xsd:import namespace="ca283e0b-db31-4043-a2ef-b80661bf084a"/>
    <xsd:import namespace="http://schemas.microsoft.com/sharepoint.v3"/>
    <xsd:import namespace="3e6b7dd4-2bb2-4196-9652-5398d96bc50e"/>
    <xsd:import namespace="8a84ea1c-55df-4109-be20-b327295a52e3"/>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59;#Turkey-4350|f1d77f1c-64d5-4405-826d-2eda2508ba1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37ccb2a-e347-4ce0-b7b2-a8b46a5f84f6}" ma:internalName="TaxCatchAllLabel" ma:readOnly="true" ma:showField="CatchAllDataLabel"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37ccb2a-e347-4ce0-b7b2-a8b46a5f84f6}" ma:internalName="TaxCatchAll" ma:showField="CatchAllData"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b7dd4-2bb2-4196-9652-5398d96bc50e"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4ea1c-55df-4109-be20-b327295a52e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Turkey-4350</TermName>
          <TermId xmlns="http://schemas.microsoft.com/office/infopath/2007/PartnerControls">f1d77f1c-64d5-4405-826d-2eda2508ba1b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TaxKeywordTaxHTField xmlns="3e6b7dd4-2bb2-4196-9652-5398d96bc50e">
      <Terms xmlns="http://schemas.microsoft.com/office/infopath/2007/PartnerControls"/>
    </TaxKeywordTaxHTField>
    <SemaphoreItemMetadata xmlns="3e6b7dd4-2bb2-4196-9652-5398d96bc50e"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3e6b7dd4-2bb2-4196-9652-5398d96bc50e">ECY3TJC5V7TP-88190560-50</_dlc_DocId>
    <_dlc_DocIdUrl xmlns="3e6b7dd4-2bb2-4196-9652-5398d96bc50e">
      <Url>https://unicef.sharepoint.com/teams/TUR-UTSA/_layouts/15/DocIdRedir.aspx?ID=ECY3TJC5V7TP-88190560-50</Url>
      <Description>ECY3TJC5V7TP-88190560-50</Description>
    </_dlc_DocIdUrl>
  </documentManagement>
</p: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FC968DA-8820-4897-B9A3-2CE61E324668}">
  <ds:schemaRefs>
    <ds:schemaRef ds:uri="Microsoft.SharePoint.Taxonomy.ContentTypeSync"/>
  </ds:schemaRefs>
</ds:datastoreItem>
</file>

<file path=customXml/itemProps2.xml><?xml version="1.0" encoding="utf-8"?>
<ds:datastoreItem xmlns:ds="http://schemas.openxmlformats.org/officeDocument/2006/customXml" ds:itemID="{DB6B331A-23D5-4755-9F41-CA112C410BAD}">
  <ds:schemaRefs>
    <ds:schemaRef ds:uri="http://schemas.microsoft.com/sharepoint/events"/>
  </ds:schemaRefs>
</ds:datastoreItem>
</file>

<file path=customXml/itemProps3.xml><?xml version="1.0" encoding="utf-8"?>
<ds:datastoreItem xmlns:ds="http://schemas.openxmlformats.org/officeDocument/2006/customXml" ds:itemID="{8B27DAEB-6431-4F08-AF46-1C40BE3DC48B}">
  <ds:schemaRefs>
    <ds:schemaRef ds:uri="http://schemas.microsoft.com/sharepoint/v3/contenttype/forms"/>
  </ds:schemaRefs>
</ds:datastoreItem>
</file>

<file path=customXml/itemProps4.xml><?xml version="1.0" encoding="utf-8"?>
<ds:datastoreItem xmlns:ds="http://schemas.openxmlformats.org/officeDocument/2006/customXml" ds:itemID="{C951068C-6C7C-4C54-A076-8865F55689D5}">
  <ds:schemaRefs>
    <ds:schemaRef ds:uri="http://schemas.openxmlformats.org/officeDocument/2006/bibliography"/>
  </ds:schemaRefs>
</ds:datastoreItem>
</file>

<file path=customXml/itemProps5.xml><?xml version="1.0" encoding="utf-8"?>
<ds:datastoreItem xmlns:ds="http://schemas.openxmlformats.org/officeDocument/2006/customXml" ds:itemID="{D7ACE6F5-1DBF-4EDB-9D15-E1E84C724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3e6b7dd4-2bb2-4196-9652-5398d96bc50e"/>
    <ds:schemaRef ds:uri="8a84ea1c-55df-4109-be20-b327295a52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2A6F9EC-DE7A-4410-8608-3BA6BEB0CEAF}">
  <ds:schemaRefs>
    <ds:schemaRef ds:uri="http://schemas.microsoft.com/office/2006/metadata/properties"/>
    <ds:schemaRef ds:uri="http://schemas.microsoft.com/office/infopath/2007/PartnerControls"/>
    <ds:schemaRef ds:uri="ca283e0b-db31-4043-a2ef-b80661bf084a"/>
    <ds:schemaRef ds:uri="3e6b7dd4-2bb2-4196-9652-5398d96bc50e"/>
    <ds:schemaRef ds:uri="http://schemas.microsoft.com/sharepoint/v4"/>
    <ds:schemaRef ds:uri="http://schemas.microsoft.com/sharepoint.v3"/>
  </ds:schemaRefs>
</ds:datastoreItem>
</file>

<file path=customXml/itemProps7.xml><?xml version="1.0" encoding="utf-8"?>
<ds:datastoreItem xmlns:ds="http://schemas.openxmlformats.org/officeDocument/2006/customXml" ds:itemID="{49961E40-1216-4CBC-B306-5678B04C747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3451</Words>
  <Characters>19674</Characters>
  <Application>Microsoft Office Word</Application>
  <DocSecurity>0</DocSecurity>
  <Lines>163</Lines>
  <Paragraphs>46</Paragraphs>
  <ScaleCrop>false</ScaleCrop>
  <Company>UNICEF</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Emine Arslan Pauli</cp:lastModifiedBy>
  <cp:revision>4</cp:revision>
  <cp:lastPrinted>2024-06-07T06:05:00Z</cp:lastPrinted>
  <dcterms:created xsi:type="dcterms:W3CDTF">2024-06-07T06:05:00Z</dcterms:created>
  <dcterms:modified xsi:type="dcterms:W3CDTF">2024-06-07T06:06:00Z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0x0101009BA85F8052A6DA4FA3E31FF9F74C69700093E2562D47EA1144B09CB4300D399155</vt:lpwstr>
  </property>
  <property fmtid="{D5CDD505-2E9C-101B-9397-08002B2CF9AE}" pid="3" name="OfficeDivision">
    <vt:lpwstr>3;#Turkey-4350|f1d77f1c-64d5-4405-826d-2eda2508ba1b</vt:lpwstr>
  </property>
  <property fmtid="{D5CDD505-2E9C-101B-9397-08002B2CF9AE}" pid="4" name="_dlc_DocIdItemGuid">
    <vt:lpwstr>904ccacb-e5a6-4a02-91ac-c2c614303c3d</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