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-1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B73E53" w:rsidRPr="00515E33" w14:paraId="04CB898D" w14:textId="77777777" w:rsidTr="00653A04">
        <w:tc>
          <w:tcPr>
            <w:tcW w:w="10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3A485AAE" w14:textId="77777777" w:rsidR="00B73E53" w:rsidRPr="00515E33" w:rsidRDefault="00864CC8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515E33">
              <w:rPr>
                <w:rFonts w:asciiTheme="minorHAnsi" w:hAnsiTheme="minorHAnsi" w:cstheme="minorHAnsi"/>
                <w:sz w:val="22"/>
                <w:szCs w:val="22"/>
              </w:rPr>
              <w:t>UNICEF in Turkey</w:t>
            </w:r>
          </w:p>
        </w:tc>
      </w:tr>
      <w:tr w:rsidR="00B73E53" w:rsidRPr="00515E33" w14:paraId="38E35076" w14:textId="77777777" w:rsidTr="00653A04">
        <w:tc>
          <w:tcPr>
            <w:tcW w:w="10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0F688C84" w14:textId="010CDECC" w:rsidR="00B73E53" w:rsidRPr="00515E33" w:rsidRDefault="00B75CCD">
            <w:pPr>
              <w:ind w:left="344" w:right="-108" w:hanging="175"/>
              <w:jc w:val="center"/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  <w:u w:val="single"/>
              </w:rPr>
            </w:pPr>
            <w:r w:rsidRPr="00515E33"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  <w:u w:val="single"/>
              </w:rPr>
              <w:t>Requirements</w:t>
            </w:r>
            <w:r w:rsidR="00F81AF8" w:rsidRPr="00515E33"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  <w:u w:val="single"/>
              </w:rPr>
              <w:t xml:space="preserve"> </w:t>
            </w:r>
            <w:r w:rsidR="00FB2C73" w:rsidRPr="00515E33"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  <w:u w:val="single"/>
              </w:rPr>
              <w:t>for</w:t>
            </w:r>
            <w:r w:rsidR="00F81AF8" w:rsidRPr="00515E33"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  <w:u w:val="single"/>
              </w:rPr>
              <w:t xml:space="preserve"> Financial Submission</w:t>
            </w:r>
          </w:p>
        </w:tc>
      </w:tr>
      <w:tr w:rsidR="00B73E53" w:rsidRPr="00515E33" w14:paraId="295DF069" w14:textId="77777777" w:rsidTr="00653A04">
        <w:trPr>
          <w:trHeight w:val="80"/>
        </w:trPr>
        <w:tc>
          <w:tcPr>
            <w:tcW w:w="10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94AA" w14:textId="77777777" w:rsidR="00B73E53" w:rsidRPr="00515E33" w:rsidRDefault="00B73E53" w:rsidP="00415F18">
            <w:pPr>
              <w:ind w:right="-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73E53" w:rsidRPr="00515E33" w14:paraId="166DB430" w14:textId="77777777" w:rsidTr="00B72116">
        <w:trPr>
          <w:trHeight w:val="237"/>
        </w:trPr>
        <w:tc>
          <w:tcPr>
            <w:tcW w:w="10710" w:type="dxa"/>
            <w:tcBorders>
              <w:top w:val="nil"/>
            </w:tcBorders>
            <w:shd w:val="pct15" w:color="auto" w:fill="FFFFFF"/>
          </w:tcPr>
          <w:p w14:paraId="13DCBDE5" w14:textId="29CF8A05" w:rsidR="00BB0384" w:rsidRPr="00F70042" w:rsidRDefault="00B73E53" w:rsidP="00F700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72116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Programme</w:t>
            </w:r>
            <w:proofErr w:type="spellEnd"/>
            <w:r w:rsidRPr="00B72116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:</w:t>
            </w:r>
            <w:r w:rsidRPr="00515E33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 xml:space="preserve">  </w:t>
            </w:r>
            <w:r w:rsidR="00A0700E" w:rsidRPr="00515E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4C00">
              <w:rPr>
                <w:rFonts w:asciiTheme="minorHAnsi" w:hAnsiTheme="minorHAnsi"/>
                <w:color w:val="000000"/>
                <w:sz w:val="22"/>
                <w:szCs w:val="22"/>
              </w:rPr>
              <w:t>Education</w:t>
            </w:r>
          </w:p>
        </w:tc>
      </w:tr>
      <w:tr w:rsidR="001142CC" w:rsidRPr="00515E33" w14:paraId="3C6A0D2D" w14:textId="77777777" w:rsidTr="00B72116">
        <w:trPr>
          <w:trHeight w:val="1128"/>
        </w:trPr>
        <w:tc>
          <w:tcPr>
            <w:tcW w:w="10710" w:type="dxa"/>
            <w:shd w:val="pct15" w:color="auto" w:fill="FFFFFF"/>
          </w:tcPr>
          <w:p w14:paraId="4EAC239F" w14:textId="4FEDE4F3" w:rsidR="004F354E" w:rsidRPr="00415F18" w:rsidRDefault="001142CC" w:rsidP="00F7004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415F18">
              <w:rPr>
                <w:rFonts w:ascii="Arial" w:hAnsi="Arial" w:cs="Arial"/>
                <w:b/>
                <w:lang w:val="en-GB"/>
              </w:rPr>
              <w:t xml:space="preserve">Assignment Title: </w:t>
            </w:r>
          </w:p>
          <w:p w14:paraId="7475205B" w14:textId="77777777" w:rsidR="00F70042" w:rsidRPr="00415F18" w:rsidRDefault="00F70042" w:rsidP="00F7004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696BF9A5" w14:textId="1D4B540E" w:rsidR="00D57F2A" w:rsidRDefault="00795C92" w:rsidP="009E5EF9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95C92">
              <w:rPr>
                <w:rFonts w:ascii="Arial" w:hAnsi="Arial" w:cs="Arial"/>
                <w:b/>
                <w:lang w:val="en-GB"/>
              </w:rPr>
              <w:t>Short term National Individual Consultancy on "</w:t>
            </w:r>
            <w:r w:rsidR="00725C2E" w:rsidRPr="00725C2E">
              <w:rPr>
                <w:rFonts w:ascii="Arial" w:hAnsi="Arial" w:cs="Arial"/>
                <w:b/>
                <w:lang w:val="en-GB"/>
              </w:rPr>
              <w:t xml:space="preserve">Schooling Adolescents through Vocational Education Programme Monitoring </w:t>
            </w:r>
            <w:proofErr w:type="spellStart"/>
            <w:r w:rsidR="00725C2E" w:rsidRPr="00725C2E">
              <w:rPr>
                <w:rFonts w:ascii="Arial" w:hAnsi="Arial" w:cs="Arial"/>
                <w:b/>
                <w:lang w:val="en-GB"/>
              </w:rPr>
              <w:t>Excercise</w:t>
            </w:r>
            <w:proofErr w:type="spellEnd"/>
            <w:r w:rsidRPr="00795C92">
              <w:rPr>
                <w:rFonts w:ascii="Arial" w:hAnsi="Arial" w:cs="Arial"/>
                <w:b/>
                <w:lang w:val="en-GB"/>
              </w:rPr>
              <w:t>"</w:t>
            </w:r>
          </w:p>
          <w:p w14:paraId="6D02F0DF" w14:textId="77777777" w:rsidR="00A317CA" w:rsidRDefault="00A317CA" w:rsidP="00A317CA">
            <w:pPr>
              <w:rPr>
                <w:rFonts w:ascii="Arial" w:hAnsi="Arial" w:cs="Arial"/>
                <w:b/>
                <w:lang w:val="en-GB"/>
              </w:rPr>
            </w:pPr>
          </w:p>
          <w:p w14:paraId="5071FE38" w14:textId="322EE3BE" w:rsidR="00A317CA" w:rsidRDefault="00A317CA" w:rsidP="009E5EF9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A317CA">
              <w:rPr>
                <w:rFonts w:ascii="Arial" w:hAnsi="Arial" w:cs="Arial"/>
                <w:b/>
                <w:lang w:val="en-GB"/>
              </w:rPr>
              <w:t>(</w:t>
            </w:r>
            <w:r w:rsidR="00437629" w:rsidRPr="00437629">
              <w:rPr>
                <w:rFonts w:ascii="Arial" w:hAnsi="Arial" w:cs="Arial"/>
                <w:b/>
                <w:lang w:val="en-GB"/>
              </w:rPr>
              <w:t>EDU/TURA/2022-I</w:t>
            </w:r>
            <w:r w:rsidRPr="00A317CA">
              <w:rPr>
                <w:rFonts w:ascii="Arial" w:hAnsi="Arial" w:cs="Arial"/>
                <w:b/>
                <w:lang w:val="en-GB"/>
              </w:rPr>
              <w:t>)</w:t>
            </w:r>
          </w:p>
          <w:p w14:paraId="64481567" w14:textId="2C2632A7" w:rsidR="00A317CA" w:rsidRPr="009E5EF9" w:rsidRDefault="00A317CA" w:rsidP="009E5EF9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B73E53" w:rsidRPr="00515E33" w14:paraId="3A152689" w14:textId="77777777" w:rsidTr="00941005">
        <w:trPr>
          <w:trHeight w:val="1038"/>
        </w:trPr>
        <w:tc>
          <w:tcPr>
            <w:tcW w:w="10710" w:type="dxa"/>
          </w:tcPr>
          <w:p w14:paraId="70925D60" w14:textId="350DCC51" w:rsidR="006253A7" w:rsidRPr="006253A7" w:rsidRDefault="00D63783" w:rsidP="00A317CA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15E33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 xml:space="preserve">Purpose </w:t>
            </w:r>
            <w:r w:rsidR="002B75B3" w:rsidRPr="00515E33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of</w:t>
            </w:r>
            <w:r w:rsidR="001142CC" w:rsidRPr="00515E33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 xml:space="preserve"> the</w:t>
            </w:r>
            <w:r w:rsidR="002B75B3" w:rsidRPr="00515E33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 xml:space="preserve"> Assignment:</w:t>
            </w:r>
            <w:r w:rsidR="002B75B3" w:rsidRPr="00515E3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6253A7" w:rsidRPr="006253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The main objective of the consultancy is to document progress, good practices and lessons learned from the Schooling Adolescents through Vocational Education (SAVE) </w:t>
            </w:r>
            <w:proofErr w:type="spellStart"/>
            <w:r w:rsidR="006253A7" w:rsidRPr="006253A7">
              <w:rPr>
                <w:rFonts w:asciiTheme="minorHAnsi" w:hAnsiTheme="minorHAnsi"/>
                <w:color w:val="000000"/>
                <w:sz w:val="22"/>
                <w:szCs w:val="22"/>
              </w:rPr>
              <w:t>Programme</w:t>
            </w:r>
            <w:proofErr w:type="spellEnd"/>
            <w:r w:rsidR="006253A7" w:rsidRPr="006253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implemented in 23 Provinces and 30 Vocational Education Centers and Vocational High Schools in Turkey.</w:t>
            </w:r>
          </w:p>
        </w:tc>
      </w:tr>
      <w:tr w:rsidR="00B73E53" w:rsidRPr="00515E33" w14:paraId="15A76600" w14:textId="77777777" w:rsidTr="00A317CA">
        <w:trPr>
          <w:trHeight w:val="345"/>
        </w:trPr>
        <w:tc>
          <w:tcPr>
            <w:tcW w:w="10710" w:type="dxa"/>
          </w:tcPr>
          <w:p w14:paraId="41B9F2E0" w14:textId="496C2BDF" w:rsidR="009263B9" w:rsidRPr="00F70042" w:rsidRDefault="00B73E53" w:rsidP="00F70042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B72116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Supervisor:</w:t>
            </w:r>
            <w:r w:rsidR="00E25656" w:rsidRPr="00B72116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 xml:space="preserve"> </w:t>
            </w:r>
            <w:r w:rsidR="002549A2" w:rsidRPr="002549A2">
              <w:rPr>
                <w:rFonts w:asciiTheme="minorHAnsi" w:hAnsiTheme="minorHAnsi"/>
                <w:color w:val="000000"/>
                <w:sz w:val="22"/>
                <w:szCs w:val="22"/>
              </w:rPr>
              <w:t>Education Specialist, UNICEF Turkey Country Office</w:t>
            </w:r>
          </w:p>
        </w:tc>
      </w:tr>
    </w:tbl>
    <w:p w14:paraId="7F889D5C" w14:textId="5AF8A9CF" w:rsidR="00A12537" w:rsidRPr="00515E33" w:rsidRDefault="00A12537" w:rsidP="001142C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704" w:type="dxa"/>
        <w:tblInd w:w="-1079" w:type="dxa"/>
        <w:tblLayout w:type="fixed"/>
        <w:tblLook w:val="04A0" w:firstRow="1" w:lastRow="0" w:firstColumn="1" w:lastColumn="0" w:noHBand="0" w:noVBand="1"/>
      </w:tblPr>
      <w:tblGrid>
        <w:gridCol w:w="264"/>
        <w:gridCol w:w="3780"/>
        <w:gridCol w:w="2610"/>
        <w:gridCol w:w="1170"/>
        <w:gridCol w:w="1350"/>
        <w:gridCol w:w="1530"/>
      </w:tblGrid>
      <w:tr w:rsidR="00972BBC" w:rsidRPr="007F78AE" w14:paraId="7537D566" w14:textId="77777777" w:rsidTr="00810776">
        <w:trPr>
          <w:trHeight w:val="962"/>
        </w:trPr>
        <w:tc>
          <w:tcPr>
            <w:tcW w:w="4044" w:type="dxa"/>
            <w:gridSpan w:val="2"/>
            <w:shd w:val="clear" w:color="auto" w:fill="auto"/>
            <w:vAlign w:val="center"/>
          </w:tcPr>
          <w:p w14:paraId="0836BE56" w14:textId="77777777" w:rsidR="00972BBC" w:rsidRPr="0020374C" w:rsidRDefault="00972BBC" w:rsidP="00972B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374C">
              <w:rPr>
                <w:rFonts w:asciiTheme="minorHAnsi" w:hAnsiTheme="minorHAnsi" w:cstheme="minorHAnsi"/>
                <w:b/>
              </w:rPr>
              <w:t>TASKS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730A4A0" w14:textId="77777777" w:rsidR="00972BBC" w:rsidRPr="0020374C" w:rsidRDefault="00972BBC" w:rsidP="00972BBC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20374C">
              <w:rPr>
                <w:rFonts w:asciiTheme="minorHAnsi" w:hAnsiTheme="minorHAnsi" w:cstheme="minorHAnsi"/>
                <w:b/>
              </w:rPr>
              <w:t>DELIVERABLES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02852DF" w14:textId="776C4009" w:rsidR="00972BBC" w:rsidRPr="0020374C" w:rsidRDefault="00972BBC" w:rsidP="00972B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374C">
              <w:rPr>
                <w:rFonts w:asciiTheme="minorHAnsi" w:hAnsiTheme="minorHAnsi" w:cstheme="minorHAnsi"/>
                <w:b/>
              </w:rPr>
              <w:t>PERSON/ DAYS REQUIRED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60014C6" w14:textId="38903BCD" w:rsidR="00972BBC" w:rsidRPr="0020374C" w:rsidRDefault="00972BBC" w:rsidP="00972B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374C">
              <w:rPr>
                <w:rFonts w:asciiTheme="minorHAnsi" w:hAnsiTheme="minorHAnsi" w:cstheme="minorHAnsi"/>
                <w:b/>
                <w:bCs/>
                <w:lang w:eastAsia="x-none"/>
              </w:rPr>
              <w:t>UNIT COST FOR A PERSON/ DAY</w:t>
            </w:r>
          </w:p>
        </w:tc>
        <w:tc>
          <w:tcPr>
            <w:tcW w:w="1530" w:type="dxa"/>
          </w:tcPr>
          <w:p w14:paraId="4C29A8A6" w14:textId="5CE19AA9" w:rsidR="00972BBC" w:rsidRPr="0020374C" w:rsidRDefault="00972BBC" w:rsidP="00972B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374C">
              <w:rPr>
                <w:rFonts w:asciiTheme="minorHAnsi" w:hAnsiTheme="minorHAnsi" w:cstheme="minorHAnsi"/>
                <w:b/>
                <w:bCs/>
                <w:lang w:eastAsia="x-none"/>
              </w:rPr>
              <w:t xml:space="preserve">TOTAL COST for DELIVERABLE (TRY) </w:t>
            </w:r>
          </w:p>
        </w:tc>
      </w:tr>
      <w:tr w:rsidR="00B72116" w:rsidRPr="007F78AE" w14:paraId="400F5261" w14:textId="77777777" w:rsidTr="00863031">
        <w:trPr>
          <w:trHeight w:val="340"/>
        </w:trPr>
        <w:tc>
          <w:tcPr>
            <w:tcW w:w="9174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A0295E0" w14:textId="55A7FBE7" w:rsidR="00B72116" w:rsidRPr="007F78AE" w:rsidRDefault="00B72116" w:rsidP="00C222BB">
            <w:pPr>
              <w:tabs>
                <w:tab w:val="num" w:pos="360"/>
              </w:tabs>
              <w:ind w:left="180" w:hanging="1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03C9AE6" w14:textId="77777777" w:rsidR="00B72116" w:rsidRDefault="00B72116" w:rsidP="00C222BB">
            <w:pPr>
              <w:tabs>
                <w:tab w:val="num" w:pos="360"/>
              </w:tabs>
              <w:ind w:left="180" w:hanging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2116" w:rsidRPr="007F78AE" w14:paraId="7764F412" w14:textId="77777777" w:rsidTr="00810776">
        <w:trPr>
          <w:trHeight w:val="1421"/>
        </w:trPr>
        <w:tc>
          <w:tcPr>
            <w:tcW w:w="264" w:type="dxa"/>
            <w:shd w:val="clear" w:color="auto" w:fill="auto"/>
            <w:vAlign w:val="center"/>
          </w:tcPr>
          <w:p w14:paraId="26D83180" w14:textId="6A28F38E" w:rsidR="00B72116" w:rsidRPr="007F78AE" w:rsidRDefault="00B72116" w:rsidP="00C222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0E35DC4F" w14:textId="7003B74E" w:rsidR="00795C92" w:rsidRDefault="00217BD3" w:rsidP="0020374C">
            <w:pPr>
              <w:pStyle w:val="BodyTex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3997">
              <w:rPr>
                <w:rFonts w:asciiTheme="minorHAnsi" w:hAnsiTheme="minorHAnsi" w:cstheme="minorHAnsi"/>
                <w:sz w:val="22"/>
                <w:szCs w:val="22"/>
              </w:rPr>
              <w:t>Review existing documents about the S</w:t>
            </w:r>
            <w:r w:rsidR="00735110">
              <w:rPr>
                <w:rFonts w:asciiTheme="minorHAnsi" w:hAnsiTheme="minorHAnsi" w:cstheme="minorHAnsi"/>
                <w:sz w:val="22"/>
                <w:szCs w:val="22"/>
              </w:rPr>
              <w:t>AVE</w:t>
            </w:r>
            <w:r w:rsidRPr="00FB39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8484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FB3997">
              <w:rPr>
                <w:rFonts w:asciiTheme="minorHAnsi" w:hAnsiTheme="minorHAnsi" w:cstheme="minorHAnsi"/>
                <w:sz w:val="22"/>
                <w:szCs w:val="22"/>
              </w:rPr>
              <w:t>rogramme</w:t>
            </w:r>
            <w:proofErr w:type="spellEnd"/>
            <w:r w:rsidRPr="00FB3997">
              <w:rPr>
                <w:rFonts w:asciiTheme="minorHAnsi" w:hAnsiTheme="minorHAnsi" w:cstheme="minorHAnsi"/>
                <w:sz w:val="22"/>
                <w:szCs w:val="22"/>
              </w:rPr>
              <w:t xml:space="preserve"> and prepare a report.</w:t>
            </w:r>
          </w:p>
          <w:p w14:paraId="53135DFB" w14:textId="77777777" w:rsidR="001A5485" w:rsidRPr="00FB3997" w:rsidRDefault="001A5485" w:rsidP="001A5485">
            <w:pPr>
              <w:pStyle w:val="BodyTex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EFC24F" w14:textId="0F075334" w:rsidR="00795C92" w:rsidRPr="00D00CA5" w:rsidRDefault="007555FF" w:rsidP="0020374C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61252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Review existing documents about the programme</w:t>
            </w:r>
            <w:r w:rsidR="001F01CE" w:rsidRPr="0061252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EFE1D20" w14:textId="77777777" w:rsidR="00B72116" w:rsidRPr="00FA21DC" w:rsidRDefault="00B72116" w:rsidP="004D61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CEC71B" w14:textId="46709208" w:rsidR="001F01CE" w:rsidRPr="00FA21DC" w:rsidRDefault="001F01CE" w:rsidP="00A329E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A21D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Review relevant sources </w:t>
            </w:r>
          </w:p>
          <w:p w14:paraId="6485CACB" w14:textId="55DEE9E1" w:rsidR="00B72116" w:rsidRPr="001F01CE" w:rsidRDefault="001F01CE" w:rsidP="00A329E1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FA21D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Report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BC1CBFF" w14:textId="0EE195CE" w:rsidR="00B72116" w:rsidRPr="007F78AE" w:rsidRDefault="00B72116" w:rsidP="00C222BB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4BBF850" w14:textId="73B93125" w:rsidR="00B72116" w:rsidRPr="007F78AE" w:rsidRDefault="00B72116" w:rsidP="00C222BB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14:paraId="4A31E682" w14:textId="23C65DDC" w:rsidR="00B72116" w:rsidRPr="007F78AE" w:rsidRDefault="00B72116" w:rsidP="00C222BB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72116" w:rsidRPr="007F78AE" w14:paraId="66B6939F" w14:textId="77777777" w:rsidTr="00810776">
        <w:trPr>
          <w:trHeight w:val="60"/>
        </w:trPr>
        <w:tc>
          <w:tcPr>
            <w:tcW w:w="264" w:type="dxa"/>
            <w:shd w:val="clear" w:color="auto" w:fill="auto"/>
            <w:vAlign w:val="center"/>
          </w:tcPr>
          <w:p w14:paraId="76F4577D" w14:textId="4014832D" w:rsidR="00B72116" w:rsidRPr="007F78AE" w:rsidRDefault="00B72116" w:rsidP="00C222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79E1C6E5" w14:textId="6A73D975" w:rsidR="005C5C80" w:rsidRDefault="00820182" w:rsidP="0020374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BA10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Analyze</w:t>
            </w:r>
            <w:proofErr w:type="spellEnd"/>
            <w:r w:rsidRPr="00BA10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 implementation of the </w:t>
            </w:r>
            <w:r w:rsidR="0073511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SAVE </w:t>
            </w:r>
            <w:r w:rsidRPr="00BA10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programme in schools and prepare a report.</w:t>
            </w:r>
          </w:p>
          <w:p w14:paraId="6525FE1D" w14:textId="77777777" w:rsidR="001A5485" w:rsidRPr="00BA10C0" w:rsidRDefault="001A5485" w:rsidP="0020374C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F862F03" w14:textId="77777777" w:rsidR="00E95B95" w:rsidRPr="00BA10C0" w:rsidRDefault="00E95B95" w:rsidP="0020374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A10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2.1 </w:t>
            </w:r>
            <w:r w:rsidR="00E7190F" w:rsidRPr="00BA10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Develop the framework for the</w:t>
            </w:r>
          </w:p>
          <w:p w14:paraId="5594A2B8" w14:textId="730D3728" w:rsidR="00E7190F" w:rsidRDefault="00E95B95" w:rsidP="0020374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A10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</w:t>
            </w:r>
            <w:r w:rsidR="00E7190F" w:rsidRPr="00BA10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documentation </w:t>
            </w:r>
          </w:p>
          <w:p w14:paraId="76384BB5" w14:textId="77777777" w:rsidR="00817AFF" w:rsidRPr="00BA10C0" w:rsidRDefault="00817AFF" w:rsidP="0020374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7D15347" w14:textId="1A0437C3" w:rsidR="00BA10C0" w:rsidRPr="00BA10C0" w:rsidRDefault="00F01821" w:rsidP="0020374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A10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2.1.1 </w:t>
            </w:r>
            <w:r w:rsidR="00B70F7D" w:rsidRPr="00BA10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Conduct 4 focus group discussions (FGDs) to be conducted with:</w:t>
            </w:r>
          </w:p>
          <w:p w14:paraId="04748730" w14:textId="4671E314" w:rsidR="00BA10C0" w:rsidRPr="00BA10C0" w:rsidRDefault="00BA10C0" w:rsidP="002037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10C0">
              <w:rPr>
                <w:rFonts w:asciiTheme="minorHAnsi" w:hAnsiTheme="minorHAnsi" w:cstheme="minorHAnsi"/>
                <w:sz w:val="22"/>
                <w:szCs w:val="22"/>
              </w:rPr>
              <w:t>- guidance and counseling teachers, coordinator teachers</w:t>
            </w:r>
          </w:p>
          <w:p w14:paraId="2FFBE3E3" w14:textId="77777777" w:rsidR="001557F8" w:rsidRDefault="00BA10C0" w:rsidP="002037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10C0">
              <w:rPr>
                <w:rFonts w:asciiTheme="minorHAnsi" w:hAnsiTheme="minorHAnsi" w:cstheme="minorHAnsi"/>
                <w:sz w:val="22"/>
                <w:szCs w:val="22"/>
              </w:rPr>
              <w:t>- students and parents/caregivers</w:t>
            </w:r>
          </w:p>
          <w:p w14:paraId="0BBF9293" w14:textId="77777777" w:rsidR="00A329E1" w:rsidRDefault="00A329E1" w:rsidP="002037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CD477B" w14:textId="1AEDEBA8" w:rsidR="002148F4" w:rsidRPr="007F78AE" w:rsidRDefault="002148F4" w:rsidP="002037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2.1.2 </w:t>
            </w:r>
            <w:r w:rsidRPr="002148F4">
              <w:rPr>
                <w:rFonts w:asciiTheme="minorHAnsi" w:hAnsiTheme="minorHAnsi" w:cstheme="minorHAnsi"/>
                <w:sz w:val="22"/>
                <w:szCs w:val="22"/>
              </w:rPr>
              <w:t>Conduct 5 semi-structured interviews with key informants (K</w:t>
            </w:r>
            <w:r w:rsidR="008D63AC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  <w:r w:rsidR="005008E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2148F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5D838B6" w14:textId="0763F366" w:rsidR="004D61D8" w:rsidRPr="00A67C22" w:rsidRDefault="004D61D8" w:rsidP="00A329E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7C2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Suggested FGD list</w:t>
            </w:r>
          </w:p>
          <w:p w14:paraId="730456E9" w14:textId="77777777" w:rsidR="004D61D8" w:rsidRPr="00A67C22" w:rsidRDefault="004D61D8" w:rsidP="00A329E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7C2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Data collection tools</w:t>
            </w:r>
          </w:p>
          <w:p w14:paraId="08871CB6" w14:textId="77777777" w:rsidR="004D61D8" w:rsidRPr="00A67C22" w:rsidRDefault="004D61D8" w:rsidP="00A329E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7C2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Identification of key informants</w:t>
            </w:r>
          </w:p>
          <w:p w14:paraId="42653388" w14:textId="77777777" w:rsidR="004D61D8" w:rsidRPr="00A67C22" w:rsidRDefault="004D61D8" w:rsidP="00A329E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7C2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Work schedule </w:t>
            </w:r>
          </w:p>
          <w:p w14:paraId="3F76B1D6" w14:textId="77777777" w:rsidR="004D61D8" w:rsidRPr="00A67C22" w:rsidRDefault="004D61D8" w:rsidP="00A329E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7C2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Risk matrix</w:t>
            </w:r>
          </w:p>
          <w:p w14:paraId="19137B33" w14:textId="32C21E8D" w:rsidR="00A329E1" w:rsidRPr="0020374C" w:rsidRDefault="004D61D8" w:rsidP="001A548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67C2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Outline of the final</w:t>
            </w:r>
            <w:r w:rsidR="007E2AF9" w:rsidRPr="00A67C2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A67C2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report</w:t>
            </w:r>
          </w:p>
          <w:p w14:paraId="705F25F3" w14:textId="0B52A8B5" w:rsidR="00D00CA5" w:rsidRPr="00D00CA5" w:rsidRDefault="00817AFF" w:rsidP="00A329E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7AFF">
              <w:rPr>
                <w:rFonts w:asciiTheme="minorHAnsi" w:hAnsiTheme="minorHAnsi" w:cstheme="minorHAnsi"/>
                <w:bCs/>
                <w:sz w:val="22"/>
                <w:szCs w:val="22"/>
              </w:rPr>
              <w:t>Focus group questionnaire</w:t>
            </w:r>
          </w:p>
          <w:p w14:paraId="07987C56" w14:textId="43C7DD4D" w:rsidR="004E0358" w:rsidRPr="0020374C" w:rsidRDefault="00817AFF" w:rsidP="004E035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0CA5">
              <w:rPr>
                <w:rFonts w:asciiTheme="minorHAnsi" w:hAnsiTheme="minorHAnsi" w:cstheme="minorHAnsi"/>
                <w:bCs/>
                <w:sz w:val="22"/>
                <w:szCs w:val="22"/>
              </w:rPr>
              <w:t>Focus group discussion report</w:t>
            </w:r>
          </w:p>
          <w:p w14:paraId="0102AF98" w14:textId="2E0EA014" w:rsidR="004E0358" w:rsidRPr="004E0358" w:rsidRDefault="004E0358" w:rsidP="00A329E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03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Semi-structured </w:t>
            </w:r>
          </w:p>
          <w:p w14:paraId="71BEAE80" w14:textId="03B3C655" w:rsidR="004E0358" w:rsidRDefault="004E0358" w:rsidP="004E035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</w:t>
            </w:r>
            <w:r w:rsidRPr="004E0358">
              <w:rPr>
                <w:rFonts w:asciiTheme="minorHAnsi" w:hAnsiTheme="minorHAnsi" w:cstheme="minorHAnsi"/>
                <w:bCs/>
                <w:sz w:val="22"/>
                <w:szCs w:val="22"/>
              </w:rPr>
              <w:t>interview questions</w:t>
            </w:r>
          </w:p>
          <w:p w14:paraId="5C3BF0E8" w14:textId="5818EA33" w:rsidR="004E0358" w:rsidRPr="004E0358" w:rsidRDefault="004E0358" w:rsidP="00A329E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0358">
              <w:rPr>
                <w:rFonts w:asciiTheme="minorHAnsi" w:hAnsiTheme="minorHAnsi" w:cstheme="minorHAnsi"/>
                <w:bCs/>
                <w:sz w:val="22"/>
                <w:szCs w:val="22"/>
              </w:rPr>
              <w:t>Interview reports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295C91B" w14:textId="7F3CAF1D" w:rsidR="00B72116" w:rsidRPr="007F78AE" w:rsidRDefault="00B72116" w:rsidP="00C222BB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750B599" w14:textId="229F4517" w:rsidR="00B72116" w:rsidRPr="007F78AE" w:rsidRDefault="00B72116" w:rsidP="00C222BB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14:paraId="7E538F8A" w14:textId="0C0B9153" w:rsidR="00B72116" w:rsidRPr="007F78AE" w:rsidRDefault="00B72116" w:rsidP="00C222BB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107DB" w:rsidRPr="007F78AE" w14:paraId="11B2D488" w14:textId="77777777" w:rsidTr="00810776">
        <w:trPr>
          <w:trHeight w:val="60"/>
        </w:trPr>
        <w:tc>
          <w:tcPr>
            <w:tcW w:w="264" w:type="dxa"/>
            <w:shd w:val="clear" w:color="auto" w:fill="auto"/>
            <w:vAlign w:val="center"/>
          </w:tcPr>
          <w:p w14:paraId="64C52A0A" w14:textId="77777777" w:rsidR="001107DB" w:rsidRPr="007F78AE" w:rsidRDefault="001107DB" w:rsidP="00C222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242D7912" w14:textId="77777777" w:rsidR="001107DB" w:rsidRDefault="00DF04DB" w:rsidP="0020374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F04D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Prepare final report</w:t>
            </w:r>
          </w:p>
          <w:p w14:paraId="4B22F59C" w14:textId="77777777" w:rsidR="00050C8B" w:rsidRDefault="00050C8B" w:rsidP="0020374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3.1 </w:t>
            </w:r>
            <w:r w:rsidRPr="00050C8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Prepare a draft final report</w:t>
            </w:r>
          </w:p>
          <w:p w14:paraId="7AEAA50F" w14:textId="15B2FB30" w:rsidR="000E241A" w:rsidRPr="00050C8B" w:rsidRDefault="000E241A" w:rsidP="0020374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3.2 </w:t>
            </w:r>
            <w:r w:rsidRPr="000E24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Prepare final report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C890FCA" w14:textId="77777777" w:rsidR="001107DB" w:rsidRPr="00A67C22" w:rsidRDefault="00872D59" w:rsidP="00872D5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7C2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Draft final report</w:t>
            </w:r>
          </w:p>
          <w:p w14:paraId="16CB3214" w14:textId="78EF53AE" w:rsidR="00872D59" w:rsidRPr="00872D59" w:rsidRDefault="009135A3" w:rsidP="00872D5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lang w:val="en-GB"/>
              </w:rPr>
            </w:pPr>
            <w:r w:rsidRPr="00A67C2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Final report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C4CE609" w14:textId="77777777" w:rsidR="001107DB" w:rsidRPr="007F78AE" w:rsidRDefault="001107DB" w:rsidP="00C222BB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D21A6A8" w14:textId="77777777" w:rsidR="001107DB" w:rsidRPr="007F78AE" w:rsidRDefault="001107DB" w:rsidP="00C222BB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14:paraId="0F036E80" w14:textId="77777777" w:rsidR="001107DB" w:rsidRPr="007F78AE" w:rsidRDefault="001107DB" w:rsidP="00C222BB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72116" w:rsidRPr="007F78AE" w14:paraId="6D4894F1" w14:textId="77777777" w:rsidTr="00810776">
        <w:trPr>
          <w:trHeight w:val="106"/>
        </w:trPr>
        <w:tc>
          <w:tcPr>
            <w:tcW w:w="6654" w:type="dxa"/>
            <w:gridSpan w:val="3"/>
            <w:shd w:val="clear" w:color="auto" w:fill="A6A6A6" w:themeFill="background1" w:themeFillShade="A6"/>
            <w:vAlign w:val="center"/>
          </w:tcPr>
          <w:p w14:paraId="1D96F398" w14:textId="77777777" w:rsidR="00B72116" w:rsidRPr="007F78AE" w:rsidRDefault="00B72116" w:rsidP="00C222BB">
            <w:pPr>
              <w:tabs>
                <w:tab w:val="num" w:pos="360"/>
              </w:tabs>
              <w:ind w:left="-51" w:right="-75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TOTAL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30BD3C1" w14:textId="77777777" w:rsidR="00B72116" w:rsidRPr="007F78AE" w:rsidRDefault="00B72116" w:rsidP="00C222BB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7C75C2B" w14:textId="7171FC4A" w:rsidR="00B72116" w:rsidRPr="007F78AE" w:rsidRDefault="00B72116" w:rsidP="00C222BB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14:paraId="7627BB47" w14:textId="77777777" w:rsidR="00B72116" w:rsidRDefault="00B72116" w:rsidP="00C222BB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DEC44A0" w14:textId="24DF9EE3" w:rsidR="00972BBC" w:rsidRDefault="00972BBC" w:rsidP="00A12537">
      <w:pPr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</w:pPr>
    </w:p>
    <w:p w14:paraId="68773671" w14:textId="77777777" w:rsidR="00972BBC" w:rsidRPr="0020374C" w:rsidRDefault="00972BBC" w:rsidP="00A12537">
      <w:pPr>
        <w:jc w:val="both"/>
        <w:rPr>
          <w:rFonts w:asciiTheme="minorHAnsi" w:hAnsiTheme="minorHAnsi" w:cstheme="minorHAnsi"/>
          <w:b/>
          <w:i/>
          <w:color w:val="FF0000"/>
          <w:u w:val="single"/>
        </w:rPr>
      </w:pPr>
    </w:p>
    <w:tbl>
      <w:tblPr>
        <w:tblStyle w:val="TableGrid"/>
        <w:tblW w:w="10620" w:type="dxa"/>
        <w:tblInd w:w="-995" w:type="dxa"/>
        <w:tblLook w:val="04A0" w:firstRow="1" w:lastRow="0" w:firstColumn="1" w:lastColumn="0" w:noHBand="0" w:noVBand="1"/>
      </w:tblPr>
      <w:tblGrid>
        <w:gridCol w:w="10620"/>
      </w:tblGrid>
      <w:tr w:rsidR="006F14D8" w:rsidRPr="0020374C" w14:paraId="7AE828B9" w14:textId="77777777" w:rsidTr="00690BF0">
        <w:tc>
          <w:tcPr>
            <w:tcW w:w="10620" w:type="dxa"/>
            <w:tcBorders>
              <w:bottom w:val="single" w:sz="4" w:space="0" w:color="auto"/>
            </w:tcBorders>
            <w:vAlign w:val="bottom"/>
          </w:tcPr>
          <w:p w14:paraId="4BB1B135" w14:textId="77777777" w:rsidR="006F14D8" w:rsidRPr="0020374C" w:rsidRDefault="006F14D8" w:rsidP="003A75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374C">
              <w:rPr>
                <w:rFonts w:asciiTheme="minorHAnsi" w:hAnsiTheme="minorHAnsi" w:cstheme="minorHAnsi"/>
                <w:b/>
                <w:bCs/>
              </w:rPr>
              <w:t>NOTES</w:t>
            </w:r>
          </w:p>
        </w:tc>
      </w:tr>
      <w:tr w:rsidR="006F14D8" w:rsidRPr="0020374C" w14:paraId="42D10372" w14:textId="77777777" w:rsidTr="00690BF0">
        <w:tc>
          <w:tcPr>
            <w:tcW w:w="10620" w:type="dxa"/>
            <w:tcBorders>
              <w:bottom w:val="nil"/>
            </w:tcBorders>
            <w:vAlign w:val="bottom"/>
          </w:tcPr>
          <w:p w14:paraId="376F45AE" w14:textId="77777777" w:rsidR="006F14D8" w:rsidRPr="0020374C" w:rsidRDefault="006F14D8" w:rsidP="003A753B">
            <w:pPr>
              <w:rPr>
                <w:rFonts w:asciiTheme="minorHAnsi" w:hAnsiTheme="minorHAnsi" w:cstheme="minorHAnsi"/>
                <w:b/>
                <w:bCs/>
              </w:rPr>
            </w:pPr>
            <w:r w:rsidRPr="0020374C">
              <w:rPr>
                <w:rFonts w:asciiTheme="minorHAnsi" w:hAnsiTheme="minorHAnsi" w:cstheme="minorHAnsi"/>
                <w:b/>
                <w:bCs/>
              </w:rPr>
              <w:t>All fee rates must cover:</w:t>
            </w:r>
          </w:p>
        </w:tc>
      </w:tr>
      <w:tr w:rsidR="006F14D8" w:rsidRPr="0020374C" w14:paraId="67FC6635" w14:textId="77777777" w:rsidTr="00690BF0">
        <w:tc>
          <w:tcPr>
            <w:tcW w:w="10620" w:type="dxa"/>
            <w:tcBorders>
              <w:top w:val="nil"/>
            </w:tcBorders>
            <w:vAlign w:val="bottom"/>
          </w:tcPr>
          <w:p w14:paraId="677E0115" w14:textId="5C9A1A9D" w:rsidR="006F14D8" w:rsidRPr="0020374C" w:rsidRDefault="006F14D8" w:rsidP="00A329E1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Theme="minorHAnsi" w:hAnsiTheme="minorHAnsi" w:cstheme="minorHAnsi"/>
                <w:i/>
              </w:rPr>
            </w:pPr>
            <w:r w:rsidRPr="0020374C">
              <w:rPr>
                <w:rFonts w:asciiTheme="minorHAnsi" w:hAnsiTheme="minorHAnsi" w:cstheme="minorHAnsi"/>
                <w:i/>
              </w:rPr>
              <w:t xml:space="preserve">the remuneration actually paid </w:t>
            </w:r>
            <w:r w:rsidR="00B4320A" w:rsidRPr="0020374C">
              <w:rPr>
                <w:rFonts w:asciiTheme="minorHAnsi" w:hAnsiTheme="minorHAnsi" w:cstheme="minorHAnsi"/>
                <w:i/>
              </w:rPr>
              <w:t>to the experts concerned per person</w:t>
            </w:r>
            <w:r w:rsidRPr="0020374C">
              <w:rPr>
                <w:rFonts w:asciiTheme="minorHAnsi" w:hAnsiTheme="minorHAnsi" w:cstheme="minorHAnsi"/>
                <w:i/>
              </w:rPr>
              <w:t>/ day</w:t>
            </w:r>
          </w:p>
        </w:tc>
      </w:tr>
      <w:tr w:rsidR="006F14D8" w:rsidRPr="0020374C" w14:paraId="208784E2" w14:textId="77777777" w:rsidTr="00EE6A84">
        <w:tc>
          <w:tcPr>
            <w:tcW w:w="10620" w:type="dxa"/>
            <w:vAlign w:val="bottom"/>
          </w:tcPr>
          <w:p w14:paraId="58E9E874" w14:textId="09B45F40" w:rsidR="006F14D8" w:rsidRPr="0020374C" w:rsidRDefault="006F14D8" w:rsidP="00A329E1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Theme="minorHAnsi" w:hAnsiTheme="minorHAnsi" w:cstheme="minorHAnsi"/>
                <w:i/>
              </w:rPr>
            </w:pPr>
            <w:r w:rsidRPr="0020374C">
              <w:rPr>
                <w:rFonts w:asciiTheme="minorHAnsi" w:hAnsiTheme="minorHAnsi" w:cstheme="minorHAnsi"/>
                <w:i/>
              </w:rPr>
              <w:t>administrative costs of employing the relevant experts, such as relocation and repatriation expenses</w:t>
            </w:r>
          </w:p>
        </w:tc>
      </w:tr>
      <w:tr w:rsidR="006F14D8" w:rsidRPr="0020374C" w14:paraId="0B63A9F0" w14:textId="77777777" w:rsidTr="00AB04BB">
        <w:trPr>
          <w:trHeight w:val="242"/>
        </w:trPr>
        <w:tc>
          <w:tcPr>
            <w:tcW w:w="10620" w:type="dxa"/>
            <w:vAlign w:val="bottom"/>
          </w:tcPr>
          <w:p w14:paraId="773D72A2" w14:textId="309E534A" w:rsidR="006F14D8" w:rsidRPr="0020374C" w:rsidRDefault="006F14D8" w:rsidP="00A329E1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Theme="minorHAnsi" w:hAnsiTheme="minorHAnsi" w:cstheme="minorHAnsi"/>
                <w:i/>
              </w:rPr>
            </w:pPr>
            <w:r w:rsidRPr="0020374C">
              <w:rPr>
                <w:rFonts w:asciiTheme="minorHAnsi" w:hAnsiTheme="minorHAnsi" w:cstheme="minorHAnsi"/>
                <w:i/>
              </w:rPr>
              <w:t>expatriation allowances, leave, medical insurance and other employment benefits accorded to the experts by the Consultant</w:t>
            </w:r>
          </w:p>
        </w:tc>
      </w:tr>
      <w:tr w:rsidR="006F14D8" w:rsidRPr="0020374C" w14:paraId="54229B41" w14:textId="77777777" w:rsidTr="00EE6A84">
        <w:tc>
          <w:tcPr>
            <w:tcW w:w="10620" w:type="dxa"/>
            <w:vAlign w:val="bottom"/>
          </w:tcPr>
          <w:p w14:paraId="097B240C" w14:textId="66F5B1D8" w:rsidR="006F14D8" w:rsidRPr="0020374C" w:rsidRDefault="006F14D8" w:rsidP="00A329E1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Theme="minorHAnsi" w:hAnsiTheme="minorHAnsi" w:cstheme="minorHAnsi"/>
                <w:i/>
              </w:rPr>
            </w:pPr>
            <w:r w:rsidRPr="0020374C">
              <w:rPr>
                <w:rFonts w:asciiTheme="minorHAnsi" w:hAnsiTheme="minorHAnsi" w:cstheme="minorHAnsi"/>
                <w:i/>
              </w:rPr>
              <w:t xml:space="preserve">the margin, covering the Consultant's overheads, </w:t>
            </w:r>
            <w:proofErr w:type="gramStart"/>
            <w:r w:rsidRPr="0020374C">
              <w:rPr>
                <w:rFonts w:asciiTheme="minorHAnsi" w:hAnsiTheme="minorHAnsi" w:cstheme="minorHAnsi"/>
                <w:i/>
              </w:rPr>
              <w:t>profit</w:t>
            </w:r>
            <w:proofErr w:type="gramEnd"/>
            <w:r w:rsidRPr="0020374C">
              <w:rPr>
                <w:rFonts w:asciiTheme="minorHAnsi" w:hAnsiTheme="minorHAnsi" w:cstheme="minorHAnsi"/>
                <w:i/>
              </w:rPr>
              <w:t xml:space="preserve"> and backstopping facilities</w:t>
            </w:r>
          </w:p>
        </w:tc>
      </w:tr>
      <w:tr w:rsidR="006F14D8" w:rsidRPr="0020374C" w14:paraId="0C049114" w14:textId="77777777" w:rsidTr="00EE6A84">
        <w:tc>
          <w:tcPr>
            <w:tcW w:w="10620" w:type="dxa"/>
            <w:vAlign w:val="bottom"/>
          </w:tcPr>
          <w:p w14:paraId="4EAADD9C" w14:textId="1A94E9F9" w:rsidR="006F14D8" w:rsidRPr="0020374C" w:rsidRDefault="006F14D8" w:rsidP="00A329E1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Theme="minorHAnsi" w:hAnsiTheme="minorHAnsi" w:cstheme="minorHAnsi"/>
                <w:i/>
              </w:rPr>
            </w:pPr>
            <w:r w:rsidRPr="0020374C">
              <w:rPr>
                <w:rFonts w:asciiTheme="minorHAnsi" w:hAnsiTheme="minorHAnsi" w:cstheme="minorHAnsi"/>
                <w:i/>
              </w:rPr>
              <w:t>Note that the input of experts must be given in full working days</w:t>
            </w:r>
          </w:p>
        </w:tc>
      </w:tr>
    </w:tbl>
    <w:p w14:paraId="42204144" w14:textId="11C1F7F9" w:rsidR="00515E33" w:rsidRPr="0020374C" w:rsidRDefault="00515E33" w:rsidP="00AB04BB">
      <w:pPr>
        <w:rPr>
          <w:rFonts w:asciiTheme="minorHAnsi" w:hAnsiTheme="minorHAnsi" w:cstheme="minorHAnsi"/>
          <w:i/>
          <w:iCs/>
        </w:rPr>
      </w:pPr>
    </w:p>
    <w:sectPr w:rsidR="00515E33" w:rsidRPr="0020374C" w:rsidSect="00135A31">
      <w:footerReference w:type="default" r:id="rId8"/>
      <w:pgSz w:w="11906" w:h="16838"/>
      <w:pgMar w:top="360" w:right="346" w:bottom="144" w:left="187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EA67A" w14:textId="77777777" w:rsidR="009A1E33" w:rsidRDefault="009A1E33" w:rsidP="00363892">
      <w:r>
        <w:separator/>
      </w:r>
    </w:p>
  </w:endnote>
  <w:endnote w:type="continuationSeparator" w:id="0">
    <w:p w14:paraId="13AC3ABF" w14:textId="77777777" w:rsidR="009A1E33" w:rsidRDefault="009A1E33" w:rsidP="0036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D801" w14:textId="742A31B6" w:rsidR="00363892" w:rsidRPr="00363892" w:rsidRDefault="00363892" w:rsidP="00363892">
    <w:pPr>
      <w:pStyle w:val="Footer"/>
      <w:ind w:left="-1170"/>
      <w:jc w:val="both"/>
      <w:rPr>
        <w:sz w:val="20"/>
      </w:rPr>
    </w:pPr>
    <w:r w:rsidRPr="00363892">
      <w:rPr>
        <w:sz w:val="20"/>
      </w:rPr>
      <w:t>R</w:t>
    </w:r>
    <w:r w:rsidR="001557F8">
      <w:rPr>
        <w:sz w:val="20"/>
      </w:rPr>
      <w:t>ef:PRO/TURA/2019-D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370DF" w14:textId="77777777" w:rsidR="009A1E33" w:rsidRDefault="009A1E33" w:rsidP="00363892">
      <w:r>
        <w:separator/>
      </w:r>
    </w:p>
  </w:footnote>
  <w:footnote w:type="continuationSeparator" w:id="0">
    <w:p w14:paraId="53796967" w14:textId="77777777" w:rsidR="009A1E33" w:rsidRDefault="009A1E33" w:rsidP="00363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759B5"/>
    <w:multiLevelType w:val="hybridMultilevel"/>
    <w:tmpl w:val="B3B6EC1E"/>
    <w:lvl w:ilvl="0" w:tplc="639490E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D7874"/>
    <w:multiLevelType w:val="hybridMultilevel"/>
    <w:tmpl w:val="8D5A30E2"/>
    <w:lvl w:ilvl="0" w:tplc="1C6CA4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35E10"/>
    <w:multiLevelType w:val="hybridMultilevel"/>
    <w:tmpl w:val="D7AED162"/>
    <w:lvl w:ilvl="0" w:tplc="639490E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537B9"/>
    <w:multiLevelType w:val="hybridMultilevel"/>
    <w:tmpl w:val="EDBCFFE8"/>
    <w:lvl w:ilvl="0" w:tplc="639490E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E3C2C"/>
    <w:multiLevelType w:val="multilevel"/>
    <w:tmpl w:val="31062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5AB"/>
    <w:rsid w:val="00016AB4"/>
    <w:rsid w:val="000209C6"/>
    <w:rsid w:val="000271B0"/>
    <w:rsid w:val="00030533"/>
    <w:rsid w:val="00032141"/>
    <w:rsid w:val="00037991"/>
    <w:rsid w:val="00041CA1"/>
    <w:rsid w:val="000421C6"/>
    <w:rsid w:val="00044C20"/>
    <w:rsid w:val="00050C8B"/>
    <w:rsid w:val="000552A9"/>
    <w:rsid w:val="0005770F"/>
    <w:rsid w:val="00057C7C"/>
    <w:rsid w:val="00082F26"/>
    <w:rsid w:val="00091D9F"/>
    <w:rsid w:val="000C0341"/>
    <w:rsid w:val="000D39E5"/>
    <w:rsid w:val="000D47E2"/>
    <w:rsid w:val="000E241A"/>
    <w:rsid w:val="000E58D7"/>
    <w:rsid w:val="000F7AE6"/>
    <w:rsid w:val="001107DB"/>
    <w:rsid w:val="001142CC"/>
    <w:rsid w:val="00126636"/>
    <w:rsid w:val="00135A31"/>
    <w:rsid w:val="00141D4F"/>
    <w:rsid w:val="00144EF3"/>
    <w:rsid w:val="001557F8"/>
    <w:rsid w:val="00166B61"/>
    <w:rsid w:val="001A5485"/>
    <w:rsid w:val="001C071C"/>
    <w:rsid w:val="001C077E"/>
    <w:rsid w:val="001D338F"/>
    <w:rsid w:val="001D46F8"/>
    <w:rsid w:val="001E64D0"/>
    <w:rsid w:val="001E7C55"/>
    <w:rsid w:val="001F01CE"/>
    <w:rsid w:val="001F0408"/>
    <w:rsid w:val="001F3961"/>
    <w:rsid w:val="001F488A"/>
    <w:rsid w:val="0020374C"/>
    <w:rsid w:val="002148F4"/>
    <w:rsid w:val="00217BD3"/>
    <w:rsid w:val="00222B54"/>
    <w:rsid w:val="00223042"/>
    <w:rsid w:val="002325FC"/>
    <w:rsid w:val="00240E6A"/>
    <w:rsid w:val="00242CC1"/>
    <w:rsid w:val="002549A2"/>
    <w:rsid w:val="00254E09"/>
    <w:rsid w:val="00260664"/>
    <w:rsid w:val="00260733"/>
    <w:rsid w:val="00260B1C"/>
    <w:rsid w:val="002675BA"/>
    <w:rsid w:val="00271FC6"/>
    <w:rsid w:val="0027496B"/>
    <w:rsid w:val="00284DAB"/>
    <w:rsid w:val="002860AB"/>
    <w:rsid w:val="0029017E"/>
    <w:rsid w:val="0029193D"/>
    <w:rsid w:val="002B7413"/>
    <w:rsid w:val="002B75B3"/>
    <w:rsid w:val="002C433E"/>
    <w:rsid w:val="002D5C9A"/>
    <w:rsid w:val="002E61B8"/>
    <w:rsid w:val="003017B4"/>
    <w:rsid w:val="00302B73"/>
    <w:rsid w:val="00307CB9"/>
    <w:rsid w:val="00320F04"/>
    <w:rsid w:val="00322C03"/>
    <w:rsid w:val="00342849"/>
    <w:rsid w:val="003428C5"/>
    <w:rsid w:val="00360881"/>
    <w:rsid w:val="00363892"/>
    <w:rsid w:val="00363E5A"/>
    <w:rsid w:val="00366260"/>
    <w:rsid w:val="003669C1"/>
    <w:rsid w:val="003730E9"/>
    <w:rsid w:val="003832EF"/>
    <w:rsid w:val="00393B3E"/>
    <w:rsid w:val="003971AC"/>
    <w:rsid w:val="003974A0"/>
    <w:rsid w:val="003A35B9"/>
    <w:rsid w:val="003A7E8A"/>
    <w:rsid w:val="003B6A60"/>
    <w:rsid w:val="003C09C9"/>
    <w:rsid w:val="003C68BF"/>
    <w:rsid w:val="003C7893"/>
    <w:rsid w:val="003D341B"/>
    <w:rsid w:val="003E4488"/>
    <w:rsid w:val="003E50B7"/>
    <w:rsid w:val="003F3261"/>
    <w:rsid w:val="0040511B"/>
    <w:rsid w:val="00411152"/>
    <w:rsid w:val="00415F18"/>
    <w:rsid w:val="00422B33"/>
    <w:rsid w:val="00422F44"/>
    <w:rsid w:val="00437629"/>
    <w:rsid w:val="00445127"/>
    <w:rsid w:val="004455AB"/>
    <w:rsid w:val="004472F4"/>
    <w:rsid w:val="00460D8A"/>
    <w:rsid w:val="004632B3"/>
    <w:rsid w:val="00467E26"/>
    <w:rsid w:val="0047558B"/>
    <w:rsid w:val="00477DEF"/>
    <w:rsid w:val="00481204"/>
    <w:rsid w:val="00492B67"/>
    <w:rsid w:val="0049575A"/>
    <w:rsid w:val="0049654B"/>
    <w:rsid w:val="004A7C94"/>
    <w:rsid w:val="004C1B19"/>
    <w:rsid w:val="004C3D5C"/>
    <w:rsid w:val="004D61D8"/>
    <w:rsid w:val="004E0358"/>
    <w:rsid w:val="004F354E"/>
    <w:rsid w:val="004F55E8"/>
    <w:rsid w:val="004F643D"/>
    <w:rsid w:val="005008E2"/>
    <w:rsid w:val="00503FDC"/>
    <w:rsid w:val="005130C0"/>
    <w:rsid w:val="00515E33"/>
    <w:rsid w:val="00524646"/>
    <w:rsid w:val="0053475B"/>
    <w:rsid w:val="00536946"/>
    <w:rsid w:val="0054139A"/>
    <w:rsid w:val="00547D94"/>
    <w:rsid w:val="00554040"/>
    <w:rsid w:val="00560063"/>
    <w:rsid w:val="00560A9F"/>
    <w:rsid w:val="00565D98"/>
    <w:rsid w:val="00573630"/>
    <w:rsid w:val="00575CE4"/>
    <w:rsid w:val="00594E3D"/>
    <w:rsid w:val="005B66AC"/>
    <w:rsid w:val="005C0852"/>
    <w:rsid w:val="005C4B0E"/>
    <w:rsid w:val="005C5C80"/>
    <w:rsid w:val="005C7538"/>
    <w:rsid w:val="005D0B6F"/>
    <w:rsid w:val="005D5C6B"/>
    <w:rsid w:val="005E121B"/>
    <w:rsid w:val="0061252D"/>
    <w:rsid w:val="00617B7D"/>
    <w:rsid w:val="00620BCE"/>
    <w:rsid w:val="00622F0D"/>
    <w:rsid w:val="006253A7"/>
    <w:rsid w:val="00627641"/>
    <w:rsid w:val="006422D3"/>
    <w:rsid w:val="00653A04"/>
    <w:rsid w:val="006677F0"/>
    <w:rsid w:val="00682B88"/>
    <w:rsid w:val="00690BF0"/>
    <w:rsid w:val="006B519B"/>
    <w:rsid w:val="006E0E20"/>
    <w:rsid w:val="006F0305"/>
    <w:rsid w:val="006F14D8"/>
    <w:rsid w:val="006F4E02"/>
    <w:rsid w:val="00701191"/>
    <w:rsid w:val="0070161A"/>
    <w:rsid w:val="007050AB"/>
    <w:rsid w:val="00723BB8"/>
    <w:rsid w:val="00725C2E"/>
    <w:rsid w:val="0072704B"/>
    <w:rsid w:val="00727411"/>
    <w:rsid w:val="00732BFC"/>
    <w:rsid w:val="00735110"/>
    <w:rsid w:val="00737FB8"/>
    <w:rsid w:val="00744A0D"/>
    <w:rsid w:val="007466EE"/>
    <w:rsid w:val="00750F45"/>
    <w:rsid w:val="007555FF"/>
    <w:rsid w:val="00763231"/>
    <w:rsid w:val="0076386B"/>
    <w:rsid w:val="00770756"/>
    <w:rsid w:val="0078484B"/>
    <w:rsid w:val="0079264D"/>
    <w:rsid w:val="00795C92"/>
    <w:rsid w:val="007A22D0"/>
    <w:rsid w:val="007B7205"/>
    <w:rsid w:val="007C346B"/>
    <w:rsid w:val="007C5C84"/>
    <w:rsid w:val="007C7008"/>
    <w:rsid w:val="007C706D"/>
    <w:rsid w:val="007C7175"/>
    <w:rsid w:val="007D0409"/>
    <w:rsid w:val="007D27DD"/>
    <w:rsid w:val="007D5B94"/>
    <w:rsid w:val="007E2AF9"/>
    <w:rsid w:val="007E6DD4"/>
    <w:rsid w:val="007F3913"/>
    <w:rsid w:val="00810776"/>
    <w:rsid w:val="00817AFF"/>
    <w:rsid w:val="00820182"/>
    <w:rsid w:val="00834356"/>
    <w:rsid w:val="0084580E"/>
    <w:rsid w:val="00846FBB"/>
    <w:rsid w:val="00850F62"/>
    <w:rsid w:val="00857580"/>
    <w:rsid w:val="00863031"/>
    <w:rsid w:val="00863C82"/>
    <w:rsid w:val="00863E98"/>
    <w:rsid w:val="00864CC8"/>
    <w:rsid w:val="00872D59"/>
    <w:rsid w:val="0088024F"/>
    <w:rsid w:val="00880AE8"/>
    <w:rsid w:val="0088755E"/>
    <w:rsid w:val="008A0693"/>
    <w:rsid w:val="008A17DB"/>
    <w:rsid w:val="008B6B31"/>
    <w:rsid w:val="008C0597"/>
    <w:rsid w:val="008D246E"/>
    <w:rsid w:val="008D63AC"/>
    <w:rsid w:val="008E1EB5"/>
    <w:rsid w:val="00904480"/>
    <w:rsid w:val="00904CE7"/>
    <w:rsid w:val="009135A3"/>
    <w:rsid w:val="0091409B"/>
    <w:rsid w:val="00917A44"/>
    <w:rsid w:val="0092033B"/>
    <w:rsid w:val="00924213"/>
    <w:rsid w:val="00924ABA"/>
    <w:rsid w:val="009263B9"/>
    <w:rsid w:val="00926C32"/>
    <w:rsid w:val="00941005"/>
    <w:rsid w:val="0096308C"/>
    <w:rsid w:val="00972BBC"/>
    <w:rsid w:val="0099263C"/>
    <w:rsid w:val="009A1E33"/>
    <w:rsid w:val="009B2680"/>
    <w:rsid w:val="009B3571"/>
    <w:rsid w:val="009B5F4E"/>
    <w:rsid w:val="009C35F3"/>
    <w:rsid w:val="009C7437"/>
    <w:rsid w:val="009D25AA"/>
    <w:rsid w:val="009E11B0"/>
    <w:rsid w:val="009E3EE0"/>
    <w:rsid w:val="009E5EF9"/>
    <w:rsid w:val="009F22CB"/>
    <w:rsid w:val="009F3381"/>
    <w:rsid w:val="00A01542"/>
    <w:rsid w:val="00A042EE"/>
    <w:rsid w:val="00A054C2"/>
    <w:rsid w:val="00A0700E"/>
    <w:rsid w:val="00A12537"/>
    <w:rsid w:val="00A13443"/>
    <w:rsid w:val="00A21EF2"/>
    <w:rsid w:val="00A220F8"/>
    <w:rsid w:val="00A23642"/>
    <w:rsid w:val="00A317CA"/>
    <w:rsid w:val="00A329E1"/>
    <w:rsid w:val="00A33BB8"/>
    <w:rsid w:val="00A4410F"/>
    <w:rsid w:val="00A57C4A"/>
    <w:rsid w:val="00A67C22"/>
    <w:rsid w:val="00A705D8"/>
    <w:rsid w:val="00A763EF"/>
    <w:rsid w:val="00A776EA"/>
    <w:rsid w:val="00A87248"/>
    <w:rsid w:val="00A87F0B"/>
    <w:rsid w:val="00AA44DD"/>
    <w:rsid w:val="00AB04BB"/>
    <w:rsid w:val="00AB25F2"/>
    <w:rsid w:val="00AB4514"/>
    <w:rsid w:val="00AB7417"/>
    <w:rsid w:val="00AD1178"/>
    <w:rsid w:val="00AD62AB"/>
    <w:rsid w:val="00AD63E1"/>
    <w:rsid w:val="00AD71FA"/>
    <w:rsid w:val="00AE7788"/>
    <w:rsid w:val="00B115D2"/>
    <w:rsid w:val="00B11CC6"/>
    <w:rsid w:val="00B123AC"/>
    <w:rsid w:val="00B27BCC"/>
    <w:rsid w:val="00B33254"/>
    <w:rsid w:val="00B34EFE"/>
    <w:rsid w:val="00B35558"/>
    <w:rsid w:val="00B4320A"/>
    <w:rsid w:val="00B520A3"/>
    <w:rsid w:val="00B65235"/>
    <w:rsid w:val="00B706F1"/>
    <w:rsid w:val="00B70F7D"/>
    <w:rsid w:val="00B72116"/>
    <w:rsid w:val="00B73E53"/>
    <w:rsid w:val="00B74BB5"/>
    <w:rsid w:val="00B74E54"/>
    <w:rsid w:val="00B75CCD"/>
    <w:rsid w:val="00B9596C"/>
    <w:rsid w:val="00BA10C0"/>
    <w:rsid w:val="00BB0384"/>
    <w:rsid w:val="00BC383C"/>
    <w:rsid w:val="00BC7F52"/>
    <w:rsid w:val="00BC7FAD"/>
    <w:rsid w:val="00BF1477"/>
    <w:rsid w:val="00C004C7"/>
    <w:rsid w:val="00C05A4D"/>
    <w:rsid w:val="00C1667C"/>
    <w:rsid w:val="00C219C0"/>
    <w:rsid w:val="00C36877"/>
    <w:rsid w:val="00C440A8"/>
    <w:rsid w:val="00C461B4"/>
    <w:rsid w:val="00C6220B"/>
    <w:rsid w:val="00C6286C"/>
    <w:rsid w:val="00C83207"/>
    <w:rsid w:val="00C858AE"/>
    <w:rsid w:val="00C91662"/>
    <w:rsid w:val="00C91D0E"/>
    <w:rsid w:val="00CA2E35"/>
    <w:rsid w:val="00CA47C5"/>
    <w:rsid w:val="00CC77EE"/>
    <w:rsid w:val="00D00CA5"/>
    <w:rsid w:val="00D01350"/>
    <w:rsid w:val="00D040FB"/>
    <w:rsid w:val="00D11853"/>
    <w:rsid w:val="00D30D86"/>
    <w:rsid w:val="00D338BD"/>
    <w:rsid w:val="00D57F2A"/>
    <w:rsid w:val="00D63783"/>
    <w:rsid w:val="00D641CE"/>
    <w:rsid w:val="00D642D2"/>
    <w:rsid w:val="00D90C4C"/>
    <w:rsid w:val="00D92F13"/>
    <w:rsid w:val="00D9537E"/>
    <w:rsid w:val="00DC4EE8"/>
    <w:rsid w:val="00DD0F20"/>
    <w:rsid w:val="00DD5A5A"/>
    <w:rsid w:val="00DD7F19"/>
    <w:rsid w:val="00DE5B5A"/>
    <w:rsid w:val="00DF04DB"/>
    <w:rsid w:val="00E0465F"/>
    <w:rsid w:val="00E04C88"/>
    <w:rsid w:val="00E11C37"/>
    <w:rsid w:val="00E12264"/>
    <w:rsid w:val="00E1549E"/>
    <w:rsid w:val="00E172AA"/>
    <w:rsid w:val="00E229E6"/>
    <w:rsid w:val="00E246B4"/>
    <w:rsid w:val="00E25656"/>
    <w:rsid w:val="00E27C0D"/>
    <w:rsid w:val="00E37123"/>
    <w:rsid w:val="00E4019C"/>
    <w:rsid w:val="00E45B63"/>
    <w:rsid w:val="00E46DD2"/>
    <w:rsid w:val="00E46FD9"/>
    <w:rsid w:val="00E506A2"/>
    <w:rsid w:val="00E55198"/>
    <w:rsid w:val="00E7190F"/>
    <w:rsid w:val="00E84061"/>
    <w:rsid w:val="00E84C00"/>
    <w:rsid w:val="00E858AA"/>
    <w:rsid w:val="00E95928"/>
    <w:rsid w:val="00E95B95"/>
    <w:rsid w:val="00EA3996"/>
    <w:rsid w:val="00EA4748"/>
    <w:rsid w:val="00EB6D4D"/>
    <w:rsid w:val="00EC5953"/>
    <w:rsid w:val="00ED156C"/>
    <w:rsid w:val="00ED1C02"/>
    <w:rsid w:val="00EE1D73"/>
    <w:rsid w:val="00EE6A84"/>
    <w:rsid w:val="00EF008C"/>
    <w:rsid w:val="00F00902"/>
    <w:rsid w:val="00F01821"/>
    <w:rsid w:val="00F11685"/>
    <w:rsid w:val="00F20C6B"/>
    <w:rsid w:val="00F21E81"/>
    <w:rsid w:val="00F25EAA"/>
    <w:rsid w:val="00F44C5B"/>
    <w:rsid w:val="00F50893"/>
    <w:rsid w:val="00F66F12"/>
    <w:rsid w:val="00F70042"/>
    <w:rsid w:val="00F81AF8"/>
    <w:rsid w:val="00F91A80"/>
    <w:rsid w:val="00FA1997"/>
    <w:rsid w:val="00FA21DC"/>
    <w:rsid w:val="00FA2BB9"/>
    <w:rsid w:val="00FA3916"/>
    <w:rsid w:val="00FB2C73"/>
    <w:rsid w:val="00FB3997"/>
    <w:rsid w:val="00FC1C7F"/>
    <w:rsid w:val="00FC3E95"/>
    <w:rsid w:val="00FE0E5C"/>
    <w:rsid w:val="00FE4269"/>
    <w:rsid w:val="00F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AA796"/>
  <w15:docId w15:val="{5E1E8D49-8C7F-4A5F-B3C0-9EA87CE1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27DD"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bCs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ind w:left="344" w:right="-108" w:hanging="175"/>
      <w:jc w:val="center"/>
      <w:outlineLvl w:val="1"/>
    </w:pPr>
    <w:rPr>
      <w:rFonts w:ascii="Arial" w:hAnsi="Arial"/>
      <w:b/>
      <w:bCs/>
      <w:color w:val="000080"/>
      <w:sz w:val="24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4EFE"/>
    <w:pPr>
      <w:jc w:val="center"/>
    </w:pPr>
    <w:rPr>
      <w:rFonts w:ascii="Copperplate Gothic Light" w:eastAsia="Times" w:hAnsi="Copperplate Gothic Light" w:cs="Times New Roman"/>
      <w:b/>
      <w:sz w:val="32"/>
      <w:u w:val="single"/>
      <w:lang w:val="en-GB" w:eastAsia="en-GB"/>
    </w:rPr>
  </w:style>
  <w:style w:type="paragraph" w:styleId="BalloonText">
    <w:name w:val="Balloon Text"/>
    <w:basedOn w:val="Normal"/>
    <w:semiHidden/>
    <w:rsid w:val="00A236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25656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qFormat/>
    <w:rsid w:val="00E25656"/>
    <w:rPr>
      <w:b/>
      <w:bCs/>
    </w:rPr>
  </w:style>
  <w:style w:type="paragraph" w:styleId="ListParagraph">
    <w:name w:val="List Paragraph"/>
    <w:aliases w:val="List Paragraph (numbered (a)),Bullets,List Paragraph1,Akapit z listą BS"/>
    <w:basedOn w:val="Normal"/>
    <w:link w:val="ListParagraphChar"/>
    <w:uiPriority w:val="34"/>
    <w:qFormat/>
    <w:rsid w:val="006F0305"/>
    <w:pPr>
      <w:ind w:left="720"/>
      <w:contextualSpacing/>
    </w:pPr>
  </w:style>
  <w:style w:type="paragraph" w:styleId="BodyText">
    <w:name w:val="Body Text"/>
    <w:basedOn w:val="Normal"/>
    <w:link w:val="BodyTextChar"/>
    <w:rsid w:val="00763231"/>
    <w:pPr>
      <w:jc w:val="both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763231"/>
    <w:rPr>
      <w:rFonts w:ascii="Arial" w:hAnsi="Arial" w:cs="Arial"/>
      <w:sz w:val="28"/>
      <w:szCs w:val="28"/>
    </w:rPr>
  </w:style>
  <w:style w:type="table" w:styleId="TableGrid">
    <w:name w:val="Table Grid"/>
    <w:basedOn w:val="TableNormal"/>
    <w:uiPriority w:val="59"/>
    <w:rsid w:val="0011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63783"/>
    <w:pPr>
      <w:widowControl w:val="0"/>
      <w:tabs>
        <w:tab w:val="center" w:pos="4536"/>
        <w:tab w:val="right" w:pos="9072"/>
      </w:tabs>
    </w:pPr>
    <w:rPr>
      <w:rFonts w:cs="Times New Roman"/>
      <w:snapToGrid w:val="0"/>
      <w:sz w:val="24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D63783"/>
    <w:rPr>
      <w:rFonts w:cs="Times New Roman"/>
      <w:snapToGrid w:val="0"/>
      <w:sz w:val="24"/>
      <w:lang w:val="tr-TR"/>
    </w:rPr>
  </w:style>
  <w:style w:type="paragraph" w:styleId="Header">
    <w:name w:val="header"/>
    <w:basedOn w:val="Normal"/>
    <w:link w:val="HeaderChar"/>
    <w:unhideWhenUsed/>
    <w:rsid w:val="003638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92"/>
  </w:style>
  <w:style w:type="character" w:customStyle="1" w:styleId="ListParagraphChar">
    <w:name w:val="List Paragraph Char"/>
    <w:aliases w:val="List Paragraph (numbered (a)) Char,Bullets Char,List Paragraph1 Char,Akapit z listą BS Char"/>
    <w:link w:val="ListParagraph"/>
    <w:uiPriority w:val="34"/>
    <w:locked/>
    <w:rsid w:val="00415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AF0D0-BD87-42BF-ABBA-D247A0EA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UNICEF-ECO           :     TERMS OF REFERENCE (TOR) FOR OUTSOURCED ASSIGNMENT</vt:lpstr>
      <vt:lpstr>UNICEF-ECO           :     TERMS OF REFERENCE (TOR) FOR OUTSOURCED ASSIGNMENT</vt:lpstr>
    </vt:vector>
  </TitlesOfParts>
  <Company>Unicef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UNICEF-ECO           :     TERMS OF REFERENCE (TOR) FOR OUTSOURCED ASSIGNMENT</dc:title>
  <dc:creator>Unicef</dc:creator>
  <cp:lastModifiedBy>Diana Kavi</cp:lastModifiedBy>
  <cp:revision>6</cp:revision>
  <cp:lastPrinted>2017-07-11T11:19:00Z</cp:lastPrinted>
  <dcterms:created xsi:type="dcterms:W3CDTF">2022-10-03T16:14:00Z</dcterms:created>
  <dcterms:modified xsi:type="dcterms:W3CDTF">2022-10-04T14:30:00Z</dcterms:modified>
</cp:coreProperties>
</file>