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720B3" w14:textId="77777777" w:rsidR="001F6731" w:rsidRPr="00BB3C69" w:rsidRDefault="001F6731" w:rsidP="001F6731">
      <w:pPr>
        <w:rPr>
          <w:color w:val="0000FF"/>
          <w:lang w:val="fr-FR"/>
        </w:rPr>
      </w:pPr>
    </w:p>
    <w:p w14:paraId="473A52A3" w14:textId="6E778878" w:rsidR="00BB3C69" w:rsidRDefault="00BB3C69" w:rsidP="00BB3C69">
      <w:pPr>
        <w:spacing w:after="120"/>
        <w:jc w:val="center"/>
        <w:rPr>
          <w:rFonts w:ascii="Arial Narrow" w:hAnsi="Arial Narrow" w:cstheme="minorHAnsi"/>
          <w:b/>
          <w:color w:val="000000"/>
          <w:sz w:val="28"/>
          <w:szCs w:val="28"/>
          <w:lang w:val="fr-FR"/>
        </w:rPr>
      </w:pPr>
      <w:r w:rsidRPr="00F20CAC">
        <w:rPr>
          <w:rFonts w:ascii="Arial Narrow" w:hAnsi="Arial Narrow" w:cstheme="minorHAnsi"/>
          <w:b/>
          <w:color w:val="000000"/>
          <w:sz w:val="28"/>
          <w:szCs w:val="28"/>
          <w:lang w:val="fr-FR"/>
        </w:rPr>
        <w:t>TERMES DE REFERENCE</w:t>
      </w:r>
    </w:p>
    <w:p w14:paraId="7ABB5A6D" w14:textId="77777777" w:rsidR="00D93D9D" w:rsidRDefault="00D93D9D" w:rsidP="00BB3C69">
      <w:pPr>
        <w:spacing w:after="120"/>
        <w:jc w:val="center"/>
        <w:rPr>
          <w:rFonts w:ascii="Arial Narrow" w:hAnsi="Arial Narrow" w:cstheme="minorHAnsi"/>
          <w:b/>
          <w:color w:val="000000"/>
          <w:sz w:val="28"/>
          <w:szCs w:val="28"/>
          <w:lang w:val="fr-FR"/>
        </w:rPr>
      </w:pPr>
    </w:p>
    <w:tbl>
      <w:tblPr>
        <w:tblStyle w:val="TableGrid"/>
        <w:tblW w:w="5037" w:type="pct"/>
        <w:tblInd w:w="85" w:type="dxa"/>
        <w:tblLook w:val="04A0" w:firstRow="1" w:lastRow="0" w:firstColumn="1" w:lastColumn="0" w:noHBand="0" w:noVBand="1"/>
      </w:tblPr>
      <w:tblGrid>
        <w:gridCol w:w="2839"/>
        <w:gridCol w:w="6970"/>
      </w:tblGrid>
      <w:tr w:rsidR="00F56D39" w:rsidRPr="00BA5891" w14:paraId="548FA5C5" w14:textId="77777777" w:rsidTr="00F56D39">
        <w:trPr>
          <w:trHeight w:val="733"/>
        </w:trPr>
        <w:tc>
          <w:tcPr>
            <w:tcW w:w="1447" w:type="pct"/>
            <w:vAlign w:val="center"/>
            <w:hideMark/>
          </w:tcPr>
          <w:p w14:paraId="303FBC3A" w14:textId="77777777" w:rsidR="00F56D39" w:rsidRPr="00E94789" w:rsidRDefault="00F56D39" w:rsidP="0098181E">
            <w:pPr>
              <w:ind w:left="360" w:hanging="360"/>
              <w:jc w:val="both"/>
              <w:rPr>
                <w:rFonts w:cstheme="minorHAnsi"/>
                <w:b/>
                <w:bCs/>
                <w:color w:val="000000"/>
                <w:lang w:val="fr-FR" w:eastAsia="zh-CN"/>
              </w:rPr>
            </w:pPr>
            <w:r w:rsidRPr="00E94789">
              <w:rPr>
                <w:rFonts w:cstheme="minorHAnsi"/>
                <w:b/>
                <w:bCs/>
                <w:color w:val="000000"/>
                <w:lang w:val="fr-FR" w:eastAsia="zh-CN"/>
              </w:rPr>
              <w:t>Titre</w:t>
            </w:r>
          </w:p>
        </w:tc>
        <w:tc>
          <w:tcPr>
            <w:tcW w:w="3553" w:type="pct"/>
          </w:tcPr>
          <w:p w14:paraId="1824BDBC" w14:textId="1AF70138" w:rsidR="00F56D39" w:rsidRPr="00E94789" w:rsidRDefault="008D5639" w:rsidP="0098181E">
            <w:pPr>
              <w:jc w:val="both"/>
              <w:rPr>
                <w:rFonts w:cstheme="minorHAnsi"/>
                <w:lang w:val="fr-FR"/>
              </w:rPr>
            </w:pPr>
            <w:r>
              <w:rPr>
                <w:rFonts w:eastAsia="MS Mincho"/>
                <w:lang w:val="fr-FR" w:eastAsia="en-GB"/>
              </w:rPr>
              <w:t>E</w:t>
            </w:r>
            <w:r>
              <w:rPr>
                <w:rFonts w:eastAsia="MS Mincho"/>
                <w:lang w:val="fr-FR" w:eastAsia="en-GB"/>
              </w:rPr>
              <w:t xml:space="preserve">ntrepreneurs </w:t>
            </w:r>
            <w:r>
              <w:rPr>
                <w:rFonts w:eastAsia="MS Mincho"/>
                <w:lang w:val="fr-FR" w:eastAsia="en-GB"/>
              </w:rPr>
              <w:t>I</w:t>
            </w:r>
            <w:r>
              <w:rPr>
                <w:rFonts w:eastAsia="MS Mincho"/>
                <w:lang w:val="fr-FR" w:eastAsia="en-GB"/>
              </w:rPr>
              <w:t>ndividuels</w:t>
            </w:r>
            <w:r w:rsidRPr="00840FA4">
              <w:rPr>
                <w:rFonts w:eastAsia="MS Mincho"/>
                <w:lang w:val="fr-FR" w:eastAsia="en-GB"/>
              </w:rPr>
              <w:t xml:space="preserve"> </w:t>
            </w:r>
            <w:r>
              <w:rPr>
                <w:color w:val="000000"/>
                <w:lang w:val="fr-FR"/>
              </w:rPr>
              <w:t>(GV &amp; CFL)</w:t>
            </w:r>
            <w:r w:rsidR="00F56D39" w:rsidRPr="002F3ED0">
              <w:rPr>
                <w:color w:val="000000"/>
                <w:lang w:val="fr-FR"/>
              </w:rPr>
              <w:t xml:space="preserve"> </w:t>
            </w:r>
          </w:p>
        </w:tc>
      </w:tr>
      <w:tr w:rsidR="00F56D39" w:rsidRPr="00F56D39" w14:paraId="1F64D5F1" w14:textId="77777777" w:rsidTr="00F56D39">
        <w:trPr>
          <w:trHeight w:val="232"/>
        </w:trPr>
        <w:tc>
          <w:tcPr>
            <w:tcW w:w="1447" w:type="pct"/>
            <w:vAlign w:val="center"/>
            <w:hideMark/>
          </w:tcPr>
          <w:p w14:paraId="25D7538E" w14:textId="77777777" w:rsidR="00F56D39" w:rsidRPr="00E94789" w:rsidRDefault="00F56D39" w:rsidP="0098181E">
            <w:pPr>
              <w:ind w:left="360" w:hanging="360"/>
              <w:jc w:val="both"/>
              <w:rPr>
                <w:rFonts w:cstheme="minorHAnsi"/>
                <w:b/>
                <w:bCs/>
                <w:color w:val="000000"/>
                <w:lang w:val="fr-FR" w:eastAsia="zh-CN"/>
              </w:rPr>
            </w:pPr>
            <w:r w:rsidRPr="00E94789">
              <w:rPr>
                <w:rFonts w:cstheme="minorHAnsi"/>
                <w:b/>
                <w:bCs/>
                <w:color w:val="000000"/>
                <w:lang w:val="fr-FR" w:eastAsia="zh-CN"/>
              </w:rPr>
              <w:t>Objectif</w:t>
            </w:r>
          </w:p>
        </w:tc>
        <w:tc>
          <w:tcPr>
            <w:tcW w:w="3553" w:type="pct"/>
            <w:vAlign w:val="center"/>
          </w:tcPr>
          <w:p w14:paraId="50AD3205" w14:textId="16EB5D96" w:rsidR="00F56D39" w:rsidRPr="004B6B7C" w:rsidRDefault="00F56D39" w:rsidP="0098181E">
            <w:pPr>
              <w:spacing w:after="60"/>
              <w:jc w:val="lowKashida"/>
              <w:rPr>
                <w:rFonts w:eastAsia="MS Mincho"/>
                <w:lang w:val="fr-FR" w:eastAsia="en-GB"/>
              </w:rPr>
            </w:pPr>
            <w:bookmarkStart w:id="0" w:name="_Hlk121672393"/>
            <w:r w:rsidRPr="004B6B7C">
              <w:rPr>
                <w:rFonts w:eastAsia="MS Mincho"/>
                <w:lang w:val="fr-FR" w:eastAsia="en-GB"/>
              </w:rPr>
              <w:t>Mise en place d’un Rost</w:t>
            </w:r>
            <w:r w:rsidR="002B6A7F">
              <w:rPr>
                <w:rFonts w:eastAsia="MS Mincho"/>
                <w:lang w:val="fr-FR" w:eastAsia="en-GB"/>
              </w:rPr>
              <w:t>e</w:t>
            </w:r>
            <w:r w:rsidRPr="004B6B7C">
              <w:rPr>
                <w:rFonts w:eastAsia="MS Mincho"/>
                <w:lang w:val="fr-FR" w:eastAsia="en-GB"/>
              </w:rPr>
              <w:t xml:space="preserve">r des </w:t>
            </w:r>
            <w:r w:rsidR="008D5639">
              <w:rPr>
                <w:rFonts w:eastAsia="MS Mincho"/>
                <w:lang w:val="fr-FR" w:eastAsia="en-GB"/>
              </w:rPr>
              <w:t>entrepreneurs individuels</w:t>
            </w:r>
            <w:r w:rsidRPr="004B6B7C">
              <w:rPr>
                <w:rFonts w:eastAsia="MS Mincho"/>
                <w:lang w:val="fr-FR" w:eastAsia="en-GB"/>
              </w:rPr>
              <w:t xml:space="preserve"> Nationaux </w:t>
            </w:r>
            <w:r w:rsidR="008D5639">
              <w:rPr>
                <w:color w:val="000000"/>
                <w:lang w:val="fr-FR"/>
              </w:rPr>
              <w:t>GV &amp; CFL</w:t>
            </w:r>
            <w:r w:rsidR="008D5639" w:rsidRPr="004B6B7C">
              <w:rPr>
                <w:rFonts w:eastAsia="MS Mincho"/>
                <w:lang w:val="fr-FR" w:eastAsia="en-GB"/>
              </w:rPr>
              <w:t xml:space="preserve"> </w:t>
            </w:r>
            <w:r w:rsidRPr="004B6B7C">
              <w:rPr>
                <w:rFonts w:eastAsia="MS Mincho"/>
                <w:lang w:val="fr-FR" w:eastAsia="en-GB"/>
              </w:rPr>
              <w:t xml:space="preserve">pour appuyer les provinces d’affectation dans la capitalisation des acquis, transfert de compétence, préparation et mise en œuvre des activités logistiques de la réponse aux cVDPV2 afin d’assurer la disponibilité de vaccins et une récupération complète de la totalité des flacons de nOPV2 après les passages conformément aux SOPS. </w:t>
            </w:r>
            <w:bookmarkEnd w:id="0"/>
          </w:p>
        </w:tc>
      </w:tr>
      <w:tr w:rsidR="00F56D39" w:rsidRPr="00F56D39" w14:paraId="7434BF6E" w14:textId="77777777" w:rsidTr="00F56D39">
        <w:trPr>
          <w:trHeight w:val="325"/>
        </w:trPr>
        <w:tc>
          <w:tcPr>
            <w:tcW w:w="1447" w:type="pct"/>
            <w:vAlign w:val="center"/>
            <w:hideMark/>
          </w:tcPr>
          <w:p w14:paraId="7A703625" w14:textId="77777777" w:rsidR="00F56D39" w:rsidRPr="00E94789" w:rsidRDefault="00F56D39" w:rsidP="0098181E">
            <w:pPr>
              <w:ind w:left="360" w:hanging="360"/>
              <w:jc w:val="both"/>
              <w:rPr>
                <w:rFonts w:cstheme="minorHAnsi"/>
                <w:b/>
                <w:bCs/>
                <w:color w:val="000000"/>
                <w:lang w:val="fr-FR" w:eastAsia="zh-CN"/>
              </w:rPr>
            </w:pPr>
            <w:r w:rsidRPr="00E94789">
              <w:rPr>
                <w:rFonts w:cstheme="minorHAnsi"/>
                <w:b/>
                <w:bCs/>
                <w:color w:val="000000"/>
                <w:lang w:val="fr-FR" w:eastAsia="zh-CN"/>
              </w:rPr>
              <w:t>Lieu</w:t>
            </w:r>
          </w:p>
        </w:tc>
        <w:tc>
          <w:tcPr>
            <w:tcW w:w="3553" w:type="pct"/>
            <w:vAlign w:val="center"/>
          </w:tcPr>
          <w:p w14:paraId="3DDA211A" w14:textId="77777777" w:rsidR="00F56D39" w:rsidRPr="00E94789" w:rsidRDefault="00F56D39" w:rsidP="0098181E">
            <w:pPr>
              <w:rPr>
                <w:rFonts w:cstheme="minorHAnsi"/>
                <w:b/>
                <w:iCs/>
                <w:lang w:val="fr-FR"/>
              </w:rPr>
            </w:pPr>
            <w:r w:rsidRPr="00730173">
              <w:rPr>
                <w:rFonts w:eastAsia="MS Mincho"/>
                <w:lang w:val="fr-FR" w:eastAsia="en-GB"/>
              </w:rPr>
              <w:t xml:space="preserve">Multiples (provinces de mise en œuvre de la </w:t>
            </w:r>
            <w:r w:rsidRPr="004B6B7C">
              <w:rPr>
                <w:rFonts w:eastAsia="MS Mincho"/>
                <w:lang w:val="fr-FR" w:eastAsia="en-GB"/>
              </w:rPr>
              <w:t>riposte en RDC)</w:t>
            </w:r>
          </w:p>
        </w:tc>
      </w:tr>
      <w:tr w:rsidR="00F56D39" w:rsidRPr="00E94789" w14:paraId="74FE198A" w14:textId="77777777" w:rsidTr="00F56D39">
        <w:trPr>
          <w:trHeight w:val="325"/>
        </w:trPr>
        <w:tc>
          <w:tcPr>
            <w:tcW w:w="1447" w:type="pct"/>
            <w:vAlign w:val="center"/>
            <w:hideMark/>
          </w:tcPr>
          <w:p w14:paraId="26A0C8C3" w14:textId="77777777" w:rsidR="00F56D39" w:rsidRPr="00E94789" w:rsidRDefault="00F56D39" w:rsidP="0098181E">
            <w:pPr>
              <w:ind w:left="360" w:hanging="360"/>
              <w:jc w:val="both"/>
              <w:rPr>
                <w:rFonts w:cstheme="minorHAnsi"/>
                <w:b/>
                <w:bCs/>
                <w:color w:val="000000"/>
                <w:lang w:val="fr-FR" w:eastAsia="zh-CN"/>
              </w:rPr>
            </w:pPr>
            <w:r w:rsidRPr="00E94789">
              <w:rPr>
                <w:rFonts w:cstheme="minorHAnsi"/>
                <w:b/>
                <w:bCs/>
                <w:color w:val="000000"/>
                <w:lang w:val="fr-FR" w:eastAsia="zh-CN"/>
              </w:rPr>
              <w:t xml:space="preserve">Durée </w:t>
            </w:r>
          </w:p>
        </w:tc>
        <w:tc>
          <w:tcPr>
            <w:tcW w:w="3553" w:type="pct"/>
            <w:vAlign w:val="center"/>
          </w:tcPr>
          <w:p w14:paraId="0142A69A" w14:textId="77777777" w:rsidR="00F56D39" w:rsidRPr="00E94789" w:rsidRDefault="00F56D39" w:rsidP="0098181E">
            <w:pPr>
              <w:spacing w:after="120"/>
              <w:ind w:left="360" w:hanging="360"/>
              <w:rPr>
                <w:rFonts w:cstheme="minorHAnsi"/>
                <w:i/>
                <w:highlight w:val="yellow"/>
                <w:lang w:val="fr-FR"/>
              </w:rPr>
            </w:pPr>
            <w:r>
              <w:rPr>
                <w:rFonts w:cstheme="minorHAnsi"/>
                <w:lang w:val="fr-FR"/>
              </w:rPr>
              <w:t>03 à 06 mois</w:t>
            </w:r>
          </w:p>
        </w:tc>
      </w:tr>
      <w:tr w:rsidR="00F56D39" w:rsidRPr="000D5CDF" w14:paraId="0F06CDD2" w14:textId="77777777" w:rsidTr="00F56D39">
        <w:trPr>
          <w:trHeight w:val="336"/>
        </w:trPr>
        <w:tc>
          <w:tcPr>
            <w:tcW w:w="1447" w:type="pct"/>
            <w:vAlign w:val="center"/>
            <w:hideMark/>
          </w:tcPr>
          <w:p w14:paraId="5326BACB" w14:textId="77777777" w:rsidR="00F56D39" w:rsidRPr="00E94789" w:rsidRDefault="00F56D39" w:rsidP="0098181E">
            <w:pPr>
              <w:rPr>
                <w:rFonts w:cstheme="minorHAnsi"/>
                <w:b/>
                <w:bCs/>
                <w:color w:val="000000"/>
                <w:lang w:val="fr-FR" w:eastAsia="zh-CN"/>
              </w:rPr>
            </w:pPr>
            <w:r w:rsidRPr="00E94789">
              <w:rPr>
                <w:rFonts w:cstheme="minorHAnsi"/>
                <w:b/>
                <w:bCs/>
                <w:color w:val="000000"/>
                <w:lang w:val="fr-FR" w:eastAsia="zh-CN"/>
              </w:rPr>
              <w:t>Gestionnaire du contrat/ Section</w:t>
            </w:r>
          </w:p>
        </w:tc>
        <w:tc>
          <w:tcPr>
            <w:tcW w:w="3553" w:type="pct"/>
            <w:vAlign w:val="center"/>
          </w:tcPr>
          <w:p w14:paraId="0FD8E646" w14:textId="77777777" w:rsidR="00F56D39" w:rsidRPr="004B6B7C" w:rsidRDefault="00F56D39" w:rsidP="0098181E">
            <w:pPr>
              <w:spacing w:after="120"/>
              <w:ind w:left="360" w:hanging="360"/>
              <w:rPr>
                <w:rFonts w:cstheme="minorHAnsi"/>
                <w:b/>
                <w:iCs/>
              </w:rPr>
            </w:pPr>
            <w:r w:rsidRPr="004B6B7C">
              <w:t>Hawa Kone / Unite urgence sante Section Health</w:t>
            </w:r>
          </w:p>
        </w:tc>
      </w:tr>
    </w:tbl>
    <w:p w14:paraId="1312A238" w14:textId="77777777" w:rsidR="00F56D39" w:rsidRPr="004B6B7C" w:rsidRDefault="00F56D39" w:rsidP="00F56D39">
      <w:pPr>
        <w:pStyle w:val="NoSpacing"/>
        <w:rPr>
          <w:rFonts w:cstheme="minorHAnsi"/>
        </w:rPr>
      </w:pPr>
    </w:p>
    <w:tbl>
      <w:tblPr>
        <w:tblW w:w="989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4"/>
        <w:gridCol w:w="8058"/>
      </w:tblGrid>
      <w:tr w:rsidR="00F56D39" w:rsidRPr="00E94789" w14:paraId="53ACEC89" w14:textId="77777777" w:rsidTr="00F56D39">
        <w:trPr>
          <w:trHeight w:val="587"/>
          <w:tblCellSpacing w:w="15" w:type="dxa"/>
        </w:trPr>
        <w:tc>
          <w:tcPr>
            <w:tcW w:w="1789"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CE60946" w14:textId="77777777" w:rsidR="00F56D39" w:rsidRPr="006518A0" w:rsidRDefault="00F56D39" w:rsidP="0098181E">
            <w:pPr>
              <w:adjustRightInd w:val="0"/>
              <w:snapToGrid w:val="0"/>
              <w:spacing w:before="120" w:after="120"/>
              <w:ind w:left="142"/>
              <w:rPr>
                <w:rFonts w:cstheme="minorHAnsi"/>
                <w:b/>
                <w:color w:val="000000"/>
              </w:rPr>
            </w:pPr>
            <w:r w:rsidRPr="006518A0">
              <w:rPr>
                <w:rFonts w:cstheme="minorHAnsi"/>
                <w:b/>
                <w:bCs/>
                <w:color w:val="000000"/>
              </w:rPr>
              <w:t>Section</w:t>
            </w:r>
          </w:p>
        </w:tc>
        <w:tc>
          <w:tcPr>
            <w:tcW w:w="80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FFE8E7C" w14:textId="77777777" w:rsidR="00F56D39" w:rsidRPr="006518A0" w:rsidRDefault="00F56D39" w:rsidP="0098181E">
            <w:pPr>
              <w:adjustRightInd w:val="0"/>
              <w:snapToGrid w:val="0"/>
              <w:spacing w:before="120" w:after="120"/>
              <w:jc w:val="center"/>
              <w:rPr>
                <w:rFonts w:cstheme="minorHAnsi"/>
                <w:b/>
                <w:color w:val="000000"/>
              </w:rPr>
            </w:pPr>
            <w:r w:rsidRPr="006518A0">
              <w:rPr>
                <w:rFonts w:cstheme="minorHAnsi"/>
                <w:b/>
                <w:bCs/>
                <w:color w:val="000000"/>
              </w:rPr>
              <w:t>Contenu</w:t>
            </w:r>
          </w:p>
        </w:tc>
      </w:tr>
      <w:tr w:rsidR="00F56D39" w:rsidRPr="00F56D39" w14:paraId="1B09A31A" w14:textId="77777777" w:rsidTr="00F56D39">
        <w:trPr>
          <w:trHeight w:val="2853"/>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2BFB142B" w14:textId="77777777" w:rsidR="00F56D39" w:rsidRPr="00840FA4" w:rsidRDefault="00F56D39" w:rsidP="0098181E">
            <w:pPr>
              <w:adjustRightInd w:val="0"/>
              <w:snapToGrid w:val="0"/>
              <w:ind w:left="142"/>
              <w:rPr>
                <w:rFonts w:cstheme="minorHAnsi"/>
                <w:b/>
                <w:color w:val="000000"/>
              </w:rPr>
            </w:pPr>
            <w:r w:rsidRPr="00840FA4">
              <w:rPr>
                <w:rFonts w:cstheme="minorHAnsi"/>
                <w:b/>
                <w:color w:val="000000"/>
              </w:rPr>
              <w:t>Contexte</w:t>
            </w:r>
          </w:p>
        </w:tc>
        <w:tc>
          <w:tcPr>
            <w:tcW w:w="8013" w:type="dxa"/>
            <w:tcBorders>
              <w:top w:val="outset" w:sz="6" w:space="0" w:color="auto"/>
              <w:left w:val="outset" w:sz="6" w:space="0" w:color="auto"/>
              <w:bottom w:val="outset" w:sz="6" w:space="0" w:color="auto"/>
              <w:right w:val="outset" w:sz="6" w:space="0" w:color="auto"/>
            </w:tcBorders>
            <w:hideMark/>
          </w:tcPr>
          <w:p w14:paraId="5A418BA3" w14:textId="77777777" w:rsidR="00F56D39" w:rsidRPr="00840FA4" w:rsidRDefault="00F56D39" w:rsidP="0098181E">
            <w:pPr>
              <w:spacing w:after="60"/>
              <w:jc w:val="both"/>
              <w:rPr>
                <w:lang w:val="fr-FR"/>
              </w:rPr>
            </w:pPr>
            <w:r w:rsidRPr="00840FA4">
              <w:rPr>
                <w:lang w:val="fr-FR"/>
              </w:rPr>
              <w:t xml:space="preserve">La région africaine est certifiée exempte du poliovirus sauvage depuis le 25 août 2020. Cependant en 2022, le continent Africain fait face à des cas de poliovirus sauvage importés au Malawi et en Mozambique en plus des multiples foyers épidémiques de PVDVc2 dans plusieurs pays d’Afrique dont la République démocratique du Congo. En RDC, cette épidémie de cVDPV2 a débuté le 08 mai 2017 et se poursuit jusqu’à ce jour faisant au total </w:t>
            </w:r>
            <w:r>
              <w:rPr>
                <w:lang w:val="fr-FR"/>
              </w:rPr>
              <w:t>447</w:t>
            </w:r>
            <w:r w:rsidRPr="00840FA4">
              <w:rPr>
                <w:lang w:val="fr-FR"/>
              </w:rPr>
              <w:t xml:space="preserve"> cas confirmés et 1</w:t>
            </w:r>
            <w:r>
              <w:rPr>
                <w:lang w:val="fr-FR"/>
              </w:rPr>
              <w:t>6</w:t>
            </w:r>
            <w:r w:rsidRPr="00840FA4">
              <w:rPr>
                <w:lang w:val="fr-FR"/>
              </w:rPr>
              <w:t xml:space="preserve"> foyers endémiques dont 1</w:t>
            </w:r>
            <w:r>
              <w:rPr>
                <w:lang w:val="fr-FR"/>
              </w:rPr>
              <w:t>1</w:t>
            </w:r>
            <w:r w:rsidRPr="00840FA4">
              <w:rPr>
                <w:lang w:val="fr-FR"/>
              </w:rPr>
              <w:t xml:space="preserve"> clôturés. </w:t>
            </w:r>
          </w:p>
          <w:p w14:paraId="1F96DA23" w14:textId="77777777" w:rsidR="00F56D39" w:rsidRPr="004B6B7C" w:rsidRDefault="00F56D39" w:rsidP="0098181E">
            <w:pPr>
              <w:rPr>
                <w:lang w:val="fr-FR"/>
              </w:rPr>
            </w:pPr>
            <w:r w:rsidRPr="00133F7F">
              <w:rPr>
                <w:lang w:val="fr-FR"/>
              </w:rPr>
              <w:t xml:space="preserve">En 2022, </w:t>
            </w:r>
            <w:r>
              <w:rPr>
                <w:lang w:val="fr-FR"/>
              </w:rPr>
              <w:t>180</w:t>
            </w:r>
            <w:r w:rsidRPr="00133F7F">
              <w:rPr>
                <w:lang w:val="fr-FR"/>
              </w:rPr>
              <w:t xml:space="preserve"> cas de cVDPV2 sont confirmés dans les provinces </w:t>
            </w:r>
            <w:r w:rsidRPr="004B6B7C">
              <w:rPr>
                <w:lang w:val="fr-FR"/>
              </w:rPr>
              <w:t>de Maniema (63 cas), Nord Kivu (3), Sud Kivu (8), Tanganyika (84 Cas), Bas-Uele (2), Haut-Katanga (4), Lualaba (3), Haut-Lomami (12) et Tshopo (1)</w:t>
            </w:r>
          </w:p>
          <w:p w14:paraId="793B3618" w14:textId="77777777" w:rsidR="00F56D39" w:rsidRPr="00133F7F" w:rsidRDefault="00F56D39" w:rsidP="0098181E">
            <w:pPr>
              <w:rPr>
                <w:lang w:val="fr-FR"/>
              </w:rPr>
            </w:pPr>
            <w:r w:rsidRPr="00133F7F">
              <w:rPr>
                <w:lang w:val="fr-FR"/>
              </w:rPr>
              <w:t>Par ailleurs en septembre 2022 une co-circulation du PVDVc1 et du PVDVc2 dans les provinces du Haut Lomami et du Tanganyika avec 4</w:t>
            </w:r>
            <w:r>
              <w:rPr>
                <w:lang w:val="fr-FR"/>
              </w:rPr>
              <w:t>5</w:t>
            </w:r>
            <w:r w:rsidRPr="00133F7F">
              <w:rPr>
                <w:lang w:val="fr-FR"/>
              </w:rPr>
              <w:t xml:space="preserve"> cas de PVDVc1 cas confirmés. A ces deux provinces, s’ajoute le Maniema dans la liste des provinces qui sont pourvoyeuses des cas de PVDVc2 dans plusieurs pays de la sous-région dont le Botswana et la Zambie</w:t>
            </w:r>
          </w:p>
          <w:p w14:paraId="6F973E90" w14:textId="77777777" w:rsidR="00F56D39" w:rsidRPr="00840FA4" w:rsidRDefault="00F56D39" w:rsidP="0098181E">
            <w:pPr>
              <w:spacing w:after="60"/>
              <w:jc w:val="both"/>
              <w:rPr>
                <w:lang w:val="fr-FR"/>
              </w:rPr>
            </w:pPr>
            <w:r w:rsidRPr="00840FA4">
              <w:rPr>
                <w:lang w:val="fr-FR"/>
              </w:rPr>
              <w:t xml:space="preserve">Dans le but d’apporter une réponse adéquate aux nouveaux foyers épidémiques n’ayant pas encore bénéficié de riposte vaccinale et conformément aux procédures opérationnelles standards (SOPs), le pays en collaboration avec les différents partenaires envisage d’organiser </w:t>
            </w:r>
            <w:r>
              <w:rPr>
                <w:lang w:val="fr-FR"/>
              </w:rPr>
              <w:t xml:space="preserve">des </w:t>
            </w:r>
            <w:r w:rsidRPr="00840FA4">
              <w:rPr>
                <w:lang w:val="fr-FR"/>
              </w:rPr>
              <w:t>riposte</w:t>
            </w:r>
            <w:r>
              <w:rPr>
                <w:lang w:val="fr-FR"/>
              </w:rPr>
              <w:t>s</w:t>
            </w:r>
            <w:r w:rsidRPr="00840FA4">
              <w:rPr>
                <w:lang w:val="fr-FR"/>
              </w:rPr>
              <w:t xml:space="preserve"> vaccinale</w:t>
            </w:r>
            <w:r>
              <w:rPr>
                <w:lang w:val="fr-FR"/>
              </w:rPr>
              <w:t>s</w:t>
            </w:r>
            <w:r w:rsidRPr="00840FA4">
              <w:rPr>
                <w:lang w:val="fr-FR"/>
              </w:rPr>
              <w:t xml:space="preserve"> de deux passages dans les</w:t>
            </w:r>
            <w:r>
              <w:rPr>
                <w:lang w:val="fr-FR"/>
              </w:rPr>
              <w:t xml:space="preserve"> </w:t>
            </w:r>
            <w:r w:rsidRPr="00840FA4">
              <w:rPr>
                <w:lang w:val="fr-FR"/>
              </w:rPr>
              <w:t>provinces à risque</w:t>
            </w:r>
            <w:r>
              <w:rPr>
                <w:lang w:val="fr-FR"/>
              </w:rPr>
              <w:t xml:space="preserve"> durant l’année 2023.</w:t>
            </w:r>
          </w:p>
          <w:p w14:paraId="1848004B" w14:textId="77777777" w:rsidR="00F56D39" w:rsidRDefault="00F56D39" w:rsidP="0098181E">
            <w:pPr>
              <w:jc w:val="both"/>
              <w:rPr>
                <w:lang w:val="fr-FR"/>
              </w:rPr>
            </w:pPr>
            <w:r w:rsidRPr="00840FA4">
              <w:rPr>
                <w:lang w:val="fr-FR"/>
              </w:rPr>
              <w:t xml:space="preserve">Vu que la gestion des vaccins nVPO2 nécessite une expertise spécifique suivant les normes et directives globales , domaine important pour l’atteinte des objectifs d’une campagne de vaccination pour lequel l’Unicef dispose d’une valeur comparative, le </w:t>
            </w:r>
            <w:r w:rsidRPr="00840FA4">
              <w:rPr>
                <w:lang w:val="fr-FR"/>
              </w:rPr>
              <w:lastRenderedPageBreak/>
              <w:t xml:space="preserve">bureau l’UNICEF RDC se propose d’accompagner les efforts du gouvernement  par une assistance technique dans la gestion logistique des vaccins et de la chaine du froid dans </w:t>
            </w:r>
            <w:r>
              <w:rPr>
                <w:lang w:val="fr-FR"/>
              </w:rPr>
              <w:t xml:space="preserve">ces provinces </w:t>
            </w:r>
            <w:r w:rsidRPr="00840FA4">
              <w:rPr>
                <w:lang w:val="fr-FR"/>
              </w:rPr>
              <w:t xml:space="preserve">ciblées afin d’appuyer les préparatifs, la mise en œuvre des activités de différentes campagnes de vaccination contre </w:t>
            </w:r>
            <w:r>
              <w:rPr>
                <w:lang w:val="fr-FR"/>
              </w:rPr>
              <w:t xml:space="preserve">la </w:t>
            </w:r>
            <w:r w:rsidRPr="00840FA4">
              <w:rPr>
                <w:lang w:val="fr-FR"/>
              </w:rPr>
              <w:t xml:space="preserve">poliomyélite à venir, le  renforcement de capacité des acteurs et appuyer la vaccination de routine et pour une durée </w:t>
            </w:r>
            <w:r>
              <w:rPr>
                <w:lang w:val="fr-FR"/>
              </w:rPr>
              <w:t xml:space="preserve">qui sera déterminée </w:t>
            </w:r>
            <w:r w:rsidRPr="00840FA4">
              <w:rPr>
                <w:lang w:val="fr-FR"/>
              </w:rPr>
              <w:t>.</w:t>
            </w:r>
          </w:p>
          <w:p w14:paraId="1D3FF8F7" w14:textId="77777777" w:rsidR="00F56D39" w:rsidRPr="00E449BF" w:rsidRDefault="00F56D39" w:rsidP="0098181E">
            <w:pPr>
              <w:jc w:val="both"/>
              <w:rPr>
                <w:lang w:val="fr-FR"/>
              </w:rPr>
            </w:pPr>
            <w:r w:rsidRPr="00E449BF">
              <w:rPr>
                <w:lang w:val="fr-FR"/>
              </w:rPr>
              <w:t>Tenant compte de ce qui précède, du temps de recrutement des appuis techniques, la mise en place d’un rooster pour identifier des gestionnaires des vaccins et de la chaine du froid compétents est important pour un appui de qualité aux différentes campagnes de vaccination.   C’est dans cette optique que ce roster est mis en place pour un déploiement à temps de nos appuis sur le terrain.</w:t>
            </w:r>
          </w:p>
          <w:p w14:paraId="3A3EECA7" w14:textId="77777777" w:rsidR="00F56D39" w:rsidRPr="00840FA4" w:rsidRDefault="00F56D39" w:rsidP="0098181E">
            <w:pPr>
              <w:jc w:val="both"/>
              <w:rPr>
                <w:rFonts w:eastAsia="MS Mincho" w:cstheme="minorHAnsi"/>
                <w:lang w:val="fr-FR" w:eastAsia="ja-JP"/>
              </w:rPr>
            </w:pPr>
          </w:p>
        </w:tc>
      </w:tr>
      <w:tr w:rsidR="00F56D39" w:rsidRPr="00F56D39" w14:paraId="56AE2683" w14:textId="77777777" w:rsidTr="00F56D39">
        <w:trPr>
          <w:trHeight w:val="144"/>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5BC2ED84" w14:textId="77777777" w:rsidR="00F56D39" w:rsidRPr="00840FA4" w:rsidRDefault="00F56D39" w:rsidP="0098181E">
            <w:pPr>
              <w:adjustRightInd w:val="0"/>
              <w:snapToGrid w:val="0"/>
              <w:ind w:left="142"/>
              <w:rPr>
                <w:rFonts w:cstheme="minorHAnsi"/>
                <w:b/>
                <w:color w:val="000000"/>
              </w:rPr>
            </w:pPr>
            <w:r w:rsidRPr="00840FA4">
              <w:rPr>
                <w:rFonts w:cstheme="minorHAnsi"/>
                <w:b/>
                <w:color w:val="000000"/>
              </w:rPr>
              <w:lastRenderedPageBreak/>
              <w:t xml:space="preserve">Objectifs, But &amp; résultats attendus </w:t>
            </w:r>
          </w:p>
        </w:tc>
        <w:tc>
          <w:tcPr>
            <w:tcW w:w="8013" w:type="dxa"/>
            <w:tcBorders>
              <w:top w:val="outset" w:sz="6" w:space="0" w:color="auto"/>
              <w:left w:val="outset" w:sz="6" w:space="0" w:color="auto"/>
              <w:bottom w:val="outset" w:sz="6" w:space="0" w:color="auto"/>
              <w:right w:val="outset" w:sz="6" w:space="0" w:color="auto"/>
            </w:tcBorders>
            <w:hideMark/>
          </w:tcPr>
          <w:p w14:paraId="601ECF52" w14:textId="728182A1" w:rsidR="00F56D39" w:rsidRPr="00840FA4" w:rsidRDefault="00F56D39" w:rsidP="0098181E">
            <w:pPr>
              <w:spacing w:after="60"/>
              <w:jc w:val="lowKashida"/>
              <w:rPr>
                <w:rFonts w:eastAsia="MS Mincho"/>
                <w:lang w:val="fr-FR" w:eastAsia="en-GB"/>
              </w:rPr>
            </w:pPr>
            <w:r w:rsidRPr="00840FA4">
              <w:rPr>
                <w:rFonts w:eastAsia="MS Mincho"/>
                <w:lang w:val="fr-FR" w:eastAsia="en-GB"/>
              </w:rPr>
              <w:t xml:space="preserve">L'objectif principal des </w:t>
            </w:r>
            <w:r w:rsidR="008D5639">
              <w:rPr>
                <w:rFonts w:eastAsia="MS Mincho"/>
                <w:lang w:val="fr-FR" w:eastAsia="en-GB"/>
              </w:rPr>
              <w:t>entrepreneurs individuels</w:t>
            </w:r>
            <w:r w:rsidRPr="00840FA4">
              <w:rPr>
                <w:rFonts w:eastAsia="MS Mincho"/>
                <w:lang w:val="fr-FR" w:eastAsia="en-GB"/>
              </w:rPr>
              <w:t xml:space="preserve"> </w:t>
            </w:r>
            <w:r w:rsidR="008D5639">
              <w:rPr>
                <w:rFonts w:eastAsia="MS Mincho"/>
                <w:lang w:val="fr-FR" w:eastAsia="en-GB"/>
              </w:rPr>
              <w:t>n</w:t>
            </w:r>
            <w:r w:rsidRPr="00840FA4">
              <w:rPr>
                <w:rFonts w:eastAsia="MS Mincho"/>
                <w:lang w:val="fr-FR" w:eastAsia="en-GB"/>
              </w:rPr>
              <w:t xml:space="preserve">ationaux </w:t>
            </w:r>
            <w:r w:rsidR="008D5639">
              <w:rPr>
                <w:color w:val="000000"/>
                <w:lang w:val="fr-FR"/>
              </w:rPr>
              <w:t>GV &amp; CFL</w:t>
            </w:r>
            <w:r w:rsidR="008D5639" w:rsidRPr="00840FA4">
              <w:rPr>
                <w:rFonts w:eastAsia="MS Mincho"/>
                <w:lang w:val="fr-FR" w:eastAsia="en-GB"/>
              </w:rPr>
              <w:t xml:space="preserve"> </w:t>
            </w:r>
            <w:r w:rsidRPr="00840FA4">
              <w:rPr>
                <w:rFonts w:eastAsia="MS Mincho"/>
                <w:lang w:val="fr-FR" w:eastAsia="en-GB"/>
              </w:rPr>
              <w:t xml:space="preserve">est d’appuyer les provinces d’affectation dans la capitalisation des acquis, transfert de compétence, préparation et mise en œuvre des activités logistiques de la réponse aux cVDPV2 afin d’assurer la disponibilité de vaccins et une récupération complète de la totalité des flacons de nOPV2 après les passages conformément aux SOPS. </w:t>
            </w:r>
            <w:r>
              <w:rPr>
                <w:rFonts w:eastAsia="MS Mincho"/>
                <w:lang w:val="fr-FR" w:eastAsia="en-GB"/>
              </w:rPr>
              <w:t xml:space="preserve"> Toutes ces activités seront placées dans l’objectif de renforcer la gestion des vaccins du PEV de façon intégrée. </w:t>
            </w:r>
          </w:p>
          <w:p w14:paraId="19046BFC" w14:textId="77777777" w:rsidR="00F56D39" w:rsidRPr="00840FA4" w:rsidRDefault="00F56D39" w:rsidP="0098181E">
            <w:pPr>
              <w:spacing w:after="60"/>
              <w:jc w:val="lowKashida"/>
              <w:rPr>
                <w:rFonts w:eastAsia="MS Mincho"/>
                <w:lang w:val="fr-FR" w:eastAsia="en-GB"/>
              </w:rPr>
            </w:pPr>
            <w:r w:rsidRPr="00840FA4">
              <w:rPr>
                <w:rFonts w:eastAsia="MS Mincho"/>
                <w:lang w:val="fr-FR" w:eastAsia="en-GB"/>
              </w:rPr>
              <w:t>Les résultats et activités attendus de la mission sont :</w:t>
            </w:r>
          </w:p>
          <w:p w14:paraId="59AF6B4D"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lang w:val="fr-FR"/>
              </w:rPr>
              <w:t>Appuyer la coordination, la planification et l’élaboration des différentes requêtes des divisions provinciales de la santé (Fiche technique)</w:t>
            </w:r>
          </w:p>
          <w:p w14:paraId="39B45120"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lang w:val="fr-FR"/>
              </w:rPr>
              <w:t>Appuyer efficacement la formation et la supervision des acteurs impliqués dans la gestion des vaccins</w:t>
            </w:r>
            <w:r>
              <w:rPr>
                <w:lang w:val="fr-FR"/>
              </w:rPr>
              <w:t xml:space="preserve"> non seulement nVPO2 mais aussi les vaccins de routine et les vaccins COVID 19</w:t>
            </w:r>
          </w:p>
          <w:p w14:paraId="5598FE88"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lang w:val="fr-FR"/>
              </w:rPr>
              <w:t>Assurer la planification et la distribution des vaccins et les autres intrants</w:t>
            </w:r>
            <w:r>
              <w:rPr>
                <w:lang w:val="fr-FR"/>
              </w:rPr>
              <w:t>, Polio et autres</w:t>
            </w:r>
          </w:p>
          <w:p w14:paraId="6969934D"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lang w:val="fr-FR"/>
              </w:rPr>
              <w:t>Appuyer la maintenance préventive des systèmes de la chaîne du froid ainsi que des conseils/assistance technique</w:t>
            </w:r>
          </w:p>
          <w:p w14:paraId="1244E065"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rFonts w:eastAsia="MS Mincho"/>
                <w:lang w:val="fr-FR" w:eastAsia="en-GB"/>
              </w:rPr>
              <w:t xml:space="preserve">Appuyer la mise à jour des inventaires d’équipement de la chaine du froid avant les campagnes </w:t>
            </w:r>
            <w:r>
              <w:rPr>
                <w:rFonts w:eastAsia="MS Mincho"/>
                <w:lang w:val="fr-FR" w:eastAsia="en-GB"/>
              </w:rPr>
              <w:t>(Polio et autres)</w:t>
            </w:r>
          </w:p>
          <w:p w14:paraId="776139FC"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rFonts w:eastAsia="MS Mincho"/>
                <w:lang w:val="fr-FR" w:eastAsia="en-GB"/>
              </w:rPr>
              <w:t>Contribuer à l’amélioration de la gestion des vaccins avant, pendant et après les campagnes de vaccination contre la polio (taux de perte en vaccins &lt;= 10%)</w:t>
            </w:r>
            <w:r>
              <w:rPr>
                <w:rFonts w:eastAsia="MS Mincho"/>
                <w:lang w:val="fr-FR" w:eastAsia="en-GB"/>
              </w:rPr>
              <w:t xml:space="preserve"> et les autres campagnes</w:t>
            </w:r>
            <w:r w:rsidRPr="00840FA4">
              <w:rPr>
                <w:rFonts w:eastAsia="MS Mincho"/>
                <w:lang w:val="fr-FR" w:eastAsia="en-GB"/>
              </w:rPr>
              <w:t xml:space="preserve"> ; </w:t>
            </w:r>
          </w:p>
          <w:p w14:paraId="67FA7AB2"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rFonts w:eastAsia="MS Mincho"/>
                <w:lang w:val="fr-FR" w:eastAsia="en-GB"/>
              </w:rPr>
              <w:t>Appuyer la collecte des flacons utilisables et inutilisables après la campagne et l’élaboration des formulaires A et fiches de synthèse de gestion des vaccins</w:t>
            </w:r>
          </w:p>
          <w:p w14:paraId="0F41EC23" w14:textId="77777777" w:rsidR="00F56D39" w:rsidRPr="00840FA4" w:rsidRDefault="00F56D39" w:rsidP="00F56D39">
            <w:pPr>
              <w:pStyle w:val="ListParagraph"/>
              <w:numPr>
                <w:ilvl w:val="0"/>
                <w:numId w:val="41"/>
              </w:numPr>
              <w:spacing w:after="60"/>
              <w:contextualSpacing/>
              <w:jc w:val="lowKashida"/>
              <w:rPr>
                <w:rFonts w:eastAsia="MS Mincho"/>
                <w:lang w:val="fr-FR" w:eastAsia="en-GB"/>
              </w:rPr>
            </w:pPr>
            <w:r w:rsidRPr="00840FA4">
              <w:rPr>
                <w:rFonts w:eastAsia="MS Mincho"/>
                <w:lang w:val="fr-FR" w:eastAsia="en-GB"/>
              </w:rPr>
              <w:t>Appuyer la destruction des flacons inutilisables et l’élaboration du PV de destruction</w:t>
            </w:r>
            <w:r>
              <w:rPr>
                <w:rFonts w:eastAsia="MS Mincho"/>
                <w:lang w:val="fr-FR" w:eastAsia="en-GB"/>
              </w:rPr>
              <w:t>, en respect des normes environnementales</w:t>
            </w:r>
          </w:p>
          <w:p w14:paraId="6F0CBCA6" w14:textId="77777777" w:rsidR="00F56D39" w:rsidRPr="00840FA4" w:rsidRDefault="00F56D39" w:rsidP="00F56D39">
            <w:pPr>
              <w:pStyle w:val="ListParagraph"/>
              <w:numPr>
                <w:ilvl w:val="0"/>
                <w:numId w:val="41"/>
              </w:numPr>
              <w:autoSpaceDE w:val="0"/>
              <w:autoSpaceDN w:val="0"/>
              <w:adjustRightInd w:val="0"/>
              <w:contextualSpacing/>
              <w:rPr>
                <w:rFonts w:cstheme="minorHAnsi"/>
                <w:b/>
                <w:bCs/>
                <w:color w:val="000000"/>
                <w:lang w:val="fr-FR"/>
              </w:rPr>
            </w:pPr>
            <w:r w:rsidRPr="00840FA4">
              <w:rPr>
                <w:rFonts w:eastAsia="MS Mincho"/>
                <w:lang w:val="fr-FR" w:eastAsia="en-GB"/>
              </w:rPr>
              <w:t>Assurer le suivi de la bonne conservation des vaccins de routine et des campagnes aux températures requises selon les normes.</w:t>
            </w:r>
          </w:p>
        </w:tc>
      </w:tr>
      <w:tr w:rsidR="00F56D39" w:rsidRPr="00F56D39" w14:paraId="0BB09198" w14:textId="77777777" w:rsidTr="00F56D39">
        <w:trPr>
          <w:trHeight w:val="1762"/>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72085351" w14:textId="77777777" w:rsidR="00F56D39" w:rsidRPr="00840FA4" w:rsidRDefault="00F56D39" w:rsidP="0098181E">
            <w:pPr>
              <w:adjustRightInd w:val="0"/>
              <w:snapToGrid w:val="0"/>
              <w:ind w:left="142"/>
              <w:rPr>
                <w:rFonts w:cstheme="minorHAnsi"/>
                <w:b/>
                <w:color w:val="000000"/>
              </w:rPr>
            </w:pPr>
            <w:r w:rsidRPr="00840FA4">
              <w:rPr>
                <w:rFonts w:cstheme="minorHAnsi"/>
                <w:b/>
                <w:color w:val="000000"/>
              </w:rPr>
              <w:lastRenderedPageBreak/>
              <w:t>Description de la mission</w:t>
            </w:r>
          </w:p>
        </w:tc>
        <w:tc>
          <w:tcPr>
            <w:tcW w:w="8013" w:type="dxa"/>
            <w:tcBorders>
              <w:top w:val="outset" w:sz="6" w:space="0" w:color="auto"/>
              <w:left w:val="outset" w:sz="6" w:space="0" w:color="auto"/>
              <w:bottom w:val="outset" w:sz="6" w:space="0" w:color="auto"/>
              <w:right w:val="outset" w:sz="6" w:space="0" w:color="auto"/>
            </w:tcBorders>
            <w:hideMark/>
          </w:tcPr>
          <w:p w14:paraId="44714190" w14:textId="77777777" w:rsidR="00F56D39" w:rsidRPr="00840FA4" w:rsidRDefault="00F56D39" w:rsidP="0098181E">
            <w:pPr>
              <w:spacing w:after="120"/>
              <w:jc w:val="both"/>
              <w:rPr>
                <w:rFonts w:eastAsia="Calibri"/>
                <w:snapToGrid w:val="0"/>
                <w:lang w:val="fr-FR"/>
              </w:rPr>
            </w:pPr>
            <w:r w:rsidRPr="00840FA4">
              <w:rPr>
                <w:rFonts w:eastAsia="Calibri"/>
                <w:b/>
                <w:bCs/>
                <w:snapToGrid w:val="0"/>
                <w:lang w:val="fr-FR"/>
              </w:rPr>
              <w:t>Coordination</w:t>
            </w:r>
            <w:r w:rsidRPr="00840FA4">
              <w:rPr>
                <w:rFonts w:eastAsia="Calibri"/>
                <w:snapToGrid w:val="0"/>
                <w:lang w:val="fr-FR"/>
              </w:rPr>
              <w:t xml:space="preserve"> : </w:t>
            </w:r>
          </w:p>
          <w:p w14:paraId="47ED03F5" w14:textId="77777777" w:rsidR="00F56D39" w:rsidRPr="00840FA4" w:rsidRDefault="00F56D39" w:rsidP="0098181E">
            <w:pPr>
              <w:spacing w:after="120"/>
              <w:jc w:val="both"/>
              <w:rPr>
                <w:rFonts w:eastAsia="Calibri"/>
                <w:snapToGrid w:val="0"/>
                <w:lang w:val="fr-FR"/>
              </w:rPr>
            </w:pPr>
            <w:r w:rsidRPr="00840FA4">
              <w:rPr>
                <w:rFonts w:eastAsia="Calibri"/>
                <w:snapToGrid w:val="0"/>
                <w:lang w:val="fr-FR"/>
              </w:rPr>
              <w:t xml:space="preserve">Collaborer avec les équipes partenaires du ministère de la santé, de l'OMS, de l'UNICEF, BMGF et les autres partenaires au niveau provincial et au niveau </w:t>
            </w:r>
            <w:r>
              <w:rPr>
                <w:rFonts w:eastAsia="Calibri"/>
                <w:snapToGrid w:val="0"/>
                <w:lang w:val="fr-FR"/>
              </w:rPr>
              <w:t xml:space="preserve">des </w:t>
            </w:r>
            <w:r w:rsidRPr="00840FA4">
              <w:rPr>
                <w:rFonts w:eastAsia="Calibri"/>
                <w:snapToGrid w:val="0"/>
                <w:lang w:val="fr-FR"/>
              </w:rPr>
              <w:t>zones de santé</w:t>
            </w:r>
          </w:p>
          <w:p w14:paraId="6ABDB541" w14:textId="77777777" w:rsidR="00F56D39" w:rsidRPr="00840FA4" w:rsidRDefault="00F56D39" w:rsidP="0098181E">
            <w:pPr>
              <w:spacing w:after="120"/>
              <w:jc w:val="both"/>
              <w:rPr>
                <w:rFonts w:eastAsia="Calibri"/>
                <w:snapToGrid w:val="0"/>
                <w:lang w:val="fr-FR"/>
              </w:rPr>
            </w:pPr>
            <w:r w:rsidRPr="00840FA4">
              <w:rPr>
                <w:rFonts w:eastAsia="Calibri"/>
                <w:snapToGrid w:val="0"/>
                <w:lang w:val="fr-FR"/>
              </w:rPr>
              <w:t>Appuyer la commission logistique dans l’organisation des réunions logistique</w:t>
            </w:r>
            <w:r>
              <w:rPr>
                <w:rFonts w:eastAsia="Calibri"/>
                <w:snapToGrid w:val="0"/>
                <w:lang w:val="fr-FR"/>
              </w:rPr>
              <w:t>s</w:t>
            </w:r>
            <w:r w:rsidRPr="00840FA4">
              <w:rPr>
                <w:rFonts w:eastAsia="Calibri"/>
                <w:snapToGrid w:val="0"/>
                <w:lang w:val="fr-FR"/>
              </w:rPr>
              <w:t>,</w:t>
            </w:r>
          </w:p>
          <w:p w14:paraId="0ADF63FF" w14:textId="77777777" w:rsidR="00F56D39" w:rsidRPr="00840FA4" w:rsidRDefault="00F56D39" w:rsidP="0098181E">
            <w:pPr>
              <w:spacing w:after="120"/>
              <w:jc w:val="both"/>
              <w:rPr>
                <w:rFonts w:eastAsia="Calibri"/>
                <w:snapToGrid w:val="0"/>
                <w:lang w:val="fr-FR"/>
              </w:rPr>
            </w:pPr>
            <w:r w:rsidRPr="00840FA4">
              <w:rPr>
                <w:rFonts w:eastAsia="Calibri"/>
                <w:snapToGrid w:val="0"/>
                <w:lang w:val="fr-FR"/>
              </w:rPr>
              <w:t>Apporter un appui technique au comité de coordination provinciale et le poste de commandement</w:t>
            </w:r>
          </w:p>
          <w:p w14:paraId="370BD7E6" w14:textId="77777777" w:rsidR="00F56D39" w:rsidRPr="00840FA4" w:rsidRDefault="00F56D39" w:rsidP="0098181E">
            <w:pPr>
              <w:contextualSpacing/>
              <w:jc w:val="both"/>
              <w:rPr>
                <w:rFonts w:eastAsia="Calibri"/>
                <w:snapToGrid w:val="0"/>
                <w:lang w:val="fr-FR"/>
              </w:rPr>
            </w:pPr>
            <w:r w:rsidRPr="00840FA4">
              <w:rPr>
                <w:rFonts w:eastAsia="Calibri"/>
                <w:b/>
                <w:bCs/>
                <w:snapToGrid w:val="0"/>
                <w:lang w:val="fr-FR"/>
              </w:rPr>
              <w:t>Gestion de la chaine de froid</w:t>
            </w:r>
            <w:r w:rsidRPr="00840FA4">
              <w:rPr>
                <w:rFonts w:eastAsia="Calibri"/>
                <w:snapToGrid w:val="0"/>
                <w:lang w:val="fr-FR"/>
              </w:rPr>
              <w:t> :</w:t>
            </w:r>
          </w:p>
          <w:p w14:paraId="5C66571D" w14:textId="77777777" w:rsidR="00F56D39" w:rsidRPr="00840FA4" w:rsidRDefault="00F56D39" w:rsidP="00F56D39">
            <w:pPr>
              <w:numPr>
                <w:ilvl w:val="0"/>
                <w:numId w:val="44"/>
              </w:numPr>
              <w:contextualSpacing/>
              <w:jc w:val="both"/>
              <w:rPr>
                <w:rFonts w:eastAsia="Calibri"/>
                <w:snapToGrid w:val="0"/>
                <w:lang w:val="fr-FR"/>
              </w:rPr>
            </w:pPr>
            <w:r w:rsidRPr="00840FA4">
              <w:rPr>
                <w:rFonts w:eastAsia="Calibri"/>
                <w:snapToGrid w:val="0"/>
                <w:lang w:val="fr-FR"/>
              </w:rPr>
              <w:t>Faciliter la mise en œuvre :</w:t>
            </w:r>
          </w:p>
          <w:p w14:paraId="5D28D517" w14:textId="77777777" w:rsidR="00F56D39" w:rsidRPr="00840FA4" w:rsidRDefault="00F56D39" w:rsidP="00F56D39">
            <w:pPr>
              <w:numPr>
                <w:ilvl w:val="1"/>
                <w:numId w:val="44"/>
              </w:numPr>
              <w:contextualSpacing/>
              <w:jc w:val="both"/>
              <w:rPr>
                <w:rFonts w:eastAsia="Calibri"/>
                <w:snapToGrid w:val="0"/>
                <w:lang w:val="fr-FR"/>
              </w:rPr>
            </w:pPr>
            <w:r w:rsidRPr="00840FA4">
              <w:rPr>
                <w:rFonts w:eastAsia="Calibri"/>
                <w:snapToGrid w:val="0"/>
                <w:lang w:val="fr-FR"/>
              </w:rPr>
              <w:t>Des procédures opérationnelles standard pour répondre à un événement ou à une flambée de poliovirus</w:t>
            </w:r>
            <w:r>
              <w:rPr>
                <w:rFonts w:eastAsia="Calibri"/>
                <w:snapToGrid w:val="0"/>
                <w:lang w:val="fr-FR"/>
              </w:rPr>
              <w:t>, ou toute autre épidémie de maladies évitables par la vaccination</w:t>
            </w:r>
            <w:r w:rsidRPr="00840FA4">
              <w:rPr>
                <w:rFonts w:eastAsia="Calibri"/>
                <w:snapToGrid w:val="0"/>
                <w:lang w:val="fr-FR"/>
              </w:rPr>
              <w:t xml:space="preserve"> ; </w:t>
            </w:r>
          </w:p>
          <w:p w14:paraId="0283C03B" w14:textId="77777777" w:rsidR="00F56D39" w:rsidRPr="00840FA4" w:rsidRDefault="00F56D39" w:rsidP="00F56D39">
            <w:pPr>
              <w:numPr>
                <w:ilvl w:val="1"/>
                <w:numId w:val="44"/>
              </w:numPr>
              <w:contextualSpacing/>
              <w:jc w:val="both"/>
              <w:rPr>
                <w:rFonts w:eastAsia="Calibri"/>
                <w:snapToGrid w:val="0"/>
                <w:lang w:val="fr-FR"/>
              </w:rPr>
            </w:pPr>
            <w:r w:rsidRPr="00840FA4">
              <w:rPr>
                <w:rFonts w:eastAsia="Calibri"/>
                <w:snapToGrid w:val="0"/>
                <w:lang w:val="fr-FR"/>
              </w:rPr>
              <w:t>Du guide pour la logistique, la chaîne du froid et la gestion des vaccins pendant les AVS ;</w:t>
            </w:r>
          </w:p>
          <w:p w14:paraId="137247FD" w14:textId="77777777" w:rsidR="00F56D39" w:rsidRPr="00840FA4" w:rsidRDefault="00F56D39" w:rsidP="00F56D39">
            <w:pPr>
              <w:numPr>
                <w:ilvl w:val="1"/>
                <w:numId w:val="44"/>
              </w:numPr>
              <w:contextualSpacing/>
              <w:jc w:val="both"/>
              <w:rPr>
                <w:rFonts w:eastAsia="Calibri"/>
                <w:snapToGrid w:val="0"/>
                <w:lang w:val="fr-FR"/>
              </w:rPr>
            </w:pPr>
            <w:r w:rsidRPr="00840FA4">
              <w:rPr>
                <w:rFonts w:eastAsia="Calibri"/>
                <w:snapToGrid w:val="0"/>
                <w:lang w:val="fr-FR"/>
              </w:rPr>
              <w:t>Du guide technique sur la gestion, le suivi, la collecte et l'élimination du vaccin nVPO2</w:t>
            </w:r>
            <w:r>
              <w:rPr>
                <w:rFonts w:eastAsia="Calibri"/>
                <w:snapToGrid w:val="0"/>
                <w:lang w:val="fr-FR"/>
              </w:rPr>
              <w:t>, et des autres vaccins en respect des normes environnementales</w:t>
            </w:r>
            <w:r w:rsidRPr="00840FA4">
              <w:rPr>
                <w:rFonts w:eastAsia="Calibri"/>
                <w:snapToGrid w:val="0"/>
                <w:lang w:val="fr-FR"/>
              </w:rPr>
              <w:t>.</w:t>
            </w:r>
          </w:p>
          <w:p w14:paraId="2240835D" w14:textId="77777777" w:rsidR="00F56D39" w:rsidRPr="00840FA4" w:rsidRDefault="00F56D39" w:rsidP="00F56D39">
            <w:pPr>
              <w:pStyle w:val="ListParagraph"/>
              <w:numPr>
                <w:ilvl w:val="0"/>
                <w:numId w:val="44"/>
              </w:numPr>
              <w:spacing w:after="120" w:line="276" w:lineRule="auto"/>
              <w:contextualSpacing/>
              <w:jc w:val="both"/>
              <w:rPr>
                <w:rFonts w:eastAsia="Calibri"/>
                <w:lang w:val="fr-FR"/>
              </w:rPr>
            </w:pPr>
            <w:r w:rsidRPr="00840FA4">
              <w:rPr>
                <w:rFonts w:eastAsia="Calibri"/>
                <w:lang w:val="fr-FR"/>
              </w:rPr>
              <w:t>S’assurer de la mise à jour de l'inventaire des équipements de la chaîne du froid actifs et passifs pour tous les centres de santé dans les zones de santé à haut risque de la province de responsabilité ;</w:t>
            </w:r>
          </w:p>
          <w:p w14:paraId="1FFC5816" w14:textId="77777777" w:rsidR="00F56D39" w:rsidRPr="00840FA4" w:rsidRDefault="00F56D39" w:rsidP="00F56D39">
            <w:pPr>
              <w:pStyle w:val="ListParagraph"/>
              <w:numPr>
                <w:ilvl w:val="0"/>
                <w:numId w:val="44"/>
              </w:numPr>
              <w:spacing w:after="120" w:line="276" w:lineRule="auto"/>
              <w:contextualSpacing/>
              <w:jc w:val="both"/>
              <w:rPr>
                <w:rFonts w:eastAsia="Calibri"/>
                <w:lang w:val="fr-FR"/>
              </w:rPr>
            </w:pPr>
            <w:r w:rsidRPr="00840FA4">
              <w:rPr>
                <w:rFonts w:eastAsia="Calibri"/>
                <w:lang w:val="fr-FR"/>
              </w:rPr>
              <w:t>S’assurer de la mise à jour de l’inventaire des équipements de chaine de froid actifs et passifs de la province ou zone de santé d’affectation</w:t>
            </w:r>
          </w:p>
          <w:p w14:paraId="2ECBFA8B" w14:textId="77777777" w:rsidR="00F56D39" w:rsidRPr="00840FA4" w:rsidRDefault="00F56D39" w:rsidP="00F56D39">
            <w:pPr>
              <w:pStyle w:val="ListParagraph"/>
              <w:numPr>
                <w:ilvl w:val="0"/>
                <w:numId w:val="44"/>
              </w:numPr>
              <w:spacing w:after="120" w:line="276" w:lineRule="auto"/>
              <w:contextualSpacing/>
              <w:jc w:val="both"/>
              <w:rPr>
                <w:rFonts w:eastAsia="Calibri"/>
                <w:lang w:val="fr-FR"/>
              </w:rPr>
            </w:pPr>
            <w:r w:rsidRPr="00840FA4">
              <w:rPr>
                <w:rFonts w:eastAsia="Calibri"/>
                <w:lang w:val="fr-FR"/>
              </w:rPr>
              <w:t>Faciliter l'optimisation des capacités de stockage en chaine du froid par un redéploiement interne</w:t>
            </w:r>
          </w:p>
          <w:p w14:paraId="625762F6" w14:textId="77777777" w:rsidR="00F56D39" w:rsidRPr="00840FA4" w:rsidRDefault="00F56D39" w:rsidP="00F56D39">
            <w:pPr>
              <w:pStyle w:val="ListParagraph"/>
              <w:numPr>
                <w:ilvl w:val="0"/>
                <w:numId w:val="44"/>
              </w:numPr>
              <w:spacing w:after="60"/>
              <w:contextualSpacing/>
              <w:jc w:val="both"/>
              <w:rPr>
                <w:rFonts w:eastAsia="Calibri"/>
                <w:lang w:val="fr-FR"/>
              </w:rPr>
            </w:pPr>
            <w:r w:rsidRPr="00840FA4">
              <w:rPr>
                <w:rFonts w:eastAsia="Calibri"/>
                <w:lang w:val="fr-FR"/>
              </w:rPr>
              <w:t>S’assurer de la disponibilité des besoins et le suivi de la distribution des consommables (pièces détachées, kérosène pour les réfrigérateurs à absorption et carburant pour les générateurs)</w:t>
            </w:r>
          </w:p>
          <w:p w14:paraId="4D7C679C" w14:textId="77777777" w:rsidR="00F56D39" w:rsidRPr="00840FA4" w:rsidRDefault="00F56D39" w:rsidP="00F56D39">
            <w:pPr>
              <w:pStyle w:val="ListParagraph"/>
              <w:numPr>
                <w:ilvl w:val="0"/>
                <w:numId w:val="44"/>
              </w:numPr>
              <w:spacing w:after="60"/>
              <w:contextualSpacing/>
              <w:jc w:val="both"/>
              <w:rPr>
                <w:rFonts w:eastAsia="Calibri"/>
                <w:lang w:val="fr-FR"/>
              </w:rPr>
            </w:pPr>
            <w:r w:rsidRPr="00840FA4">
              <w:rPr>
                <w:rFonts w:eastAsia="Calibri"/>
                <w:lang w:val="fr-FR"/>
              </w:rPr>
              <w:t>S’assurer du bon fonctionnement de la chambre froide de la province et des groupes frigorifiques : relevé des températures, préparation des accumulateurs, conditionnement des vaccins, etc.</w:t>
            </w:r>
          </w:p>
          <w:p w14:paraId="389FA942" w14:textId="33F923A9" w:rsidR="00F56D39" w:rsidRPr="00840FA4" w:rsidRDefault="00F56D39" w:rsidP="0098181E">
            <w:pPr>
              <w:spacing w:after="60"/>
              <w:jc w:val="both"/>
              <w:rPr>
                <w:rFonts w:eastAsia="Calibri"/>
                <w:b/>
                <w:bCs/>
                <w:lang w:val="fr-FR"/>
              </w:rPr>
            </w:pPr>
            <w:r w:rsidRPr="00840FA4">
              <w:rPr>
                <w:rFonts w:eastAsia="Calibri"/>
                <w:b/>
                <w:bCs/>
                <w:lang w:val="fr-FR"/>
              </w:rPr>
              <w:t xml:space="preserve">En termes de gestion des vaccins, </w:t>
            </w:r>
            <w:r w:rsidR="008D5639" w:rsidRPr="00840FA4">
              <w:rPr>
                <w:rFonts w:eastAsia="Calibri"/>
                <w:b/>
                <w:bCs/>
                <w:lang w:val="fr-FR"/>
              </w:rPr>
              <w:t>l</w:t>
            </w:r>
            <w:r w:rsidR="008D5639">
              <w:rPr>
                <w:rFonts w:eastAsia="Calibri"/>
                <w:b/>
                <w:bCs/>
                <w:lang w:val="fr-FR"/>
              </w:rPr>
              <w:t>’entrepreneur individuel</w:t>
            </w:r>
            <w:r w:rsidR="008D5639" w:rsidRPr="00840FA4">
              <w:rPr>
                <w:rFonts w:eastAsia="Calibri"/>
                <w:b/>
                <w:bCs/>
                <w:lang w:val="fr-FR"/>
              </w:rPr>
              <w:t xml:space="preserve"> </w:t>
            </w:r>
            <w:r w:rsidRPr="00840FA4">
              <w:rPr>
                <w:rFonts w:eastAsia="Calibri"/>
                <w:b/>
                <w:bCs/>
                <w:lang w:val="fr-FR"/>
              </w:rPr>
              <w:t>aura pour tâche de :</w:t>
            </w:r>
          </w:p>
          <w:p w14:paraId="602D1DCB" w14:textId="77777777" w:rsidR="00F56D39" w:rsidRPr="00840FA4" w:rsidRDefault="00F56D39" w:rsidP="00F56D39">
            <w:pPr>
              <w:pStyle w:val="ListParagraph"/>
              <w:numPr>
                <w:ilvl w:val="0"/>
                <w:numId w:val="42"/>
              </w:numPr>
              <w:spacing w:after="60"/>
              <w:contextualSpacing/>
              <w:jc w:val="both"/>
              <w:rPr>
                <w:rFonts w:eastAsia="Calibri"/>
                <w:lang w:val="fr-FR"/>
              </w:rPr>
            </w:pPr>
            <w:r w:rsidRPr="00840FA4">
              <w:rPr>
                <w:rFonts w:eastAsia="Calibri"/>
                <w:lang w:val="fr-FR"/>
              </w:rPr>
              <w:t xml:space="preserve">S’assurer de la formation des acteurs provinciaux à la gestion de tous les vaccins et à la spécificité de la gestion de nVPO2 selon le protocole de gestion du nVPO2 y compris l’utilisation des outils de gestion </w:t>
            </w:r>
            <w:r>
              <w:rPr>
                <w:rFonts w:eastAsia="Calibri"/>
                <w:lang w:val="fr-FR"/>
              </w:rPr>
              <w:t>pour le vaccin nVPO2 et pour les autres vaccins du PEV</w:t>
            </w:r>
            <w:r w:rsidRPr="00840FA4">
              <w:rPr>
                <w:rFonts w:eastAsia="Calibri"/>
                <w:lang w:val="fr-FR"/>
              </w:rPr>
              <w:t>;</w:t>
            </w:r>
          </w:p>
          <w:p w14:paraId="3DDCE643" w14:textId="77777777" w:rsidR="00F56D39" w:rsidRPr="00840FA4" w:rsidRDefault="00F56D39" w:rsidP="00F56D39">
            <w:pPr>
              <w:pStyle w:val="ListParagraph"/>
              <w:numPr>
                <w:ilvl w:val="0"/>
                <w:numId w:val="42"/>
              </w:numPr>
              <w:spacing w:after="60"/>
              <w:contextualSpacing/>
              <w:jc w:val="both"/>
              <w:rPr>
                <w:rFonts w:eastAsia="Calibri"/>
                <w:lang w:val="fr-FR"/>
              </w:rPr>
            </w:pPr>
            <w:r w:rsidRPr="00840FA4">
              <w:rPr>
                <w:rFonts w:eastAsia="Calibri"/>
                <w:lang w:val="fr-FR"/>
              </w:rPr>
              <w:t>Prévoir les besoins en vaccins en tenant compte de la population cible à atteindre, des consommations des campagnes passées, des stocks disponibles et élaborer les plans de distribution approprié</w:t>
            </w:r>
          </w:p>
          <w:p w14:paraId="5E7A794C" w14:textId="77777777" w:rsidR="00F56D39" w:rsidRPr="00840FA4" w:rsidRDefault="00F56D39" w:rsidP="00F56D39">
            <w:pPr>
              <w:pStyle w:val="ListParagraph"/>
              <w:numPr>
                <w:ilvl w:val="0"/>
                <w:numId w:val="42"/>
              </w:numPr>
              <w:spacing w:after="60"/>
              <w:contextualSpacing/>
              <w:jc w:val="both"/>
              <w:rPr>
                <w:rFonts w:eastAsia="Calibri"/>
                <w:lang w:val="fr-FR"/>
              </w:rPr>
            </w:pPr>
            <w:r w:rsidRPr="00840FA4">
              <w:rPr>
                <w:rFonts w:eastAsia="Calibri"/>
                <w:lang w:val="fr-FR"/>
              </w:rPr>
              <w:lastRenderedPageBreak/>
              <w:t xml:space="preserve">Coordonner la distribution, la gestion administrative, le suivi des stocks et la pleine disponibilité des vaccins nVPO2 et ceux de la routine à tous les niveaux </w:t>
            </w:r>
          </w:p>
          <w:p w14:paraId="1B8C3419" w14:textId="77777777" w:rsidR="00F56D39" w:rsidRPr="00840FA4" w:rsidRDefault="00F56D39" w:rsidP="00F56D39">
            <w:pPr>
              <w:pStyle w:val="ListParagraph"/>
              <w:numPr>
                <w:ilvl w:val="0"/>
                <w:numId w:val="42"/>
              </w:numPr>
              <w:spacing w:after="60"/>
              <w:contextualSpacing/>
              <w:jc w:val="both"/>
              <w:rPr>
                <w:rFonts w:eastAsia="Calibri"/>
                <w:lang w:val="fr-FR"/>
              </w:rPr>
            </w:pPr>
            <w:r w:rsidRPr="00840FA4">
              <w:rPr>
                <w:rFonts w:eastAsia="Calibri"/>
                <w:lang w:val="fr-FR"/>
              </w:rPr>
              <w:t>Assurer la collecte des flacons utilisables et inutilisables pour le nVPO2 après la campagne</w:t>
            </w:r>
          </w:p>
          <w:p w14:paraId="6CB7749A" w14:textId="77777777" w:rsidR="00F56D39" w:rsidRPr="00840FA4" w:rsidRDefault="00F56D39" w:rsidP="00F56D39">
            <w:pPr>
              <w:pStyle w:val="ListParagraph"/>
              <w:numPr>
                <w:ilvl w:val="0"/>
                <w:numId w:val="42"/>
              </w:numPr>
              <w:spacing w:after="60"/>
              <w:contextualSpacing/>
              <w:jc w:val="both"/>
              <w:rPr>
                <w:rFonts w:eastAsia="Calibri"/>
                <w:lang w:val="fr-FR"/>
              </w:rPr>
            </w:pPr>
            <w:r w:rsidRPr="00840FA4">
              <w:rPr>
                <w:rFonts w:eastAsia="Calibri"/>
                <w:lang w:val="fr-FR"/>
              </w:rPr>
              <w:t>Développer des mécanismes pour accélérer la collecte et la compilation des rapports (rapports d'utilisation des vaccins nVPO2 et formulaires A) et leur approbation par le Comité provincial de Certification ;</w:t>
            </w:r>
          </w:p>
          <w:p w14:paraId="550129C3" w14:textId="77777777" w:rsidR="00F56D39" w:rsidRPr="00840FA4" w:rsidRDefault="00F56D39" w:rsidP="00F56D39">
            <w:pPr>
              <w:pStyle w:val="ListParagraph"/>
              <w:numPr>
                <w:ilvl w:val="0"/>
                <w:numId w:val="42"/>
              </w:numPr>
              <w:spacing w:after="60"/>
              <w:contextualSpacing/>
              <w:jc w:val="both"/>
              <w:rPr>
                <w:rFonts w:eastAsia="Calibri"/>
                <w:lang w:val="fr-FR"/>
              </w:rPr>
            </w:pPr>
            <w:r w:rsidRPr="00840FA4">
              <w:rPr>
                <w:rFonts w:eastAsia="Calibri"/>
                <w:lang w:val="fr-FR"/>
              </w:rPr>
              <w:t xml:space="preserve">Assurer une gestion efficace des déchets après les activités de vaccination </w:t>
            </w:r>
            <w:r>
              <w:rPr>
                <w:rFonts w:eastAsia="Calibri"/>
                <w:lang w:val="fr-FR"/>
              </w:rPr>
              <w:t xml:space="preserve">en respect des normes environnementales </w:t>
            </w:r>
            <w:r w:rsidRPr="00840FA4">
              <w:rPr>
                <w:rFonts w:eastAsia="Calibri"/>
                <w:lang w:val="fr-FR"/>
              </w:rPr>
              <w:t>;</w:t>
            </w:r>
          </w:p>
          <w:p w14:paraId="28ABF462" w14:textId="4C96FC83" w:rsidR="00F56D39" w:rsidRPr="00840FA4" w:rsidRDefault="00F56D39" w:rsidP="0098181E">
            <w:pPr>
              <w:spacing w:after="60"/>
              <w:jc w:val="both"/>
              <w:rPr>
                <w:rFonts w:eastAsia="Calibri"/>
                <w:b/>
                <w:bCs/>
                <w:lang w:val="fr-FR"/>
              </w:rPr>
            </w:pPr>
            <w:r w:rsidRPr="00840FA4">
              <w:rPr>
                <w:rFonts w:eastAsia="Calibri"/>
                <w:b/>
                <w:bCs/>
                <w:lang w:val="fr-FR"/>
              </w:rPr>
              <w:t>En termes de management, l</w:t>
            </w:r>
            <w:r w:rsidR="008D5639">
              <w:rPr>
                <w:rFonts w:eastAsia="Calibri"/>
                <w:b/>
                <w:bCs/>
                <w:lang w:val="fr-FR"/>
              </w:rPr>
              <w:t>’entrepreneur individuel</w:t>
            </w:r>
            <w:r w:rsidRPr="00840FA4">
              <w:rPr>
                <w:rFonts w:eastAsia="Calibri"/>
                <w:b/>
                <w:bCs/>
                <w:lang w:val="fr-FR"/>
              </w:rPr>
              <w:t xml:space="preserve"> aura pour tâche de :</w:t>
            </w:r>
          </w:p>
          <w:p w14:paraId="67CB2592" w14:textId="77777777" w:rsidR="00F56D39" w:rsidRPr="00840FA4" w:rsidRDefault="00F56D39" w:rsidP="00F56D39">
            <w:pPr>
              <w:pStyle w:val="ListParagraph"/>
              <w:numPr>
                <w:ilvl w:val="0"/>
                <w:numId w:val="43"/>
              </w:numPr>
              <w:spacing w:after="60"/>
              <w:contextualSpacing/>
              <w:jc w:val="both"/>
              <w:rPr>
                <w:iCs/>
                <w:lang w:val="fr-FR"/>
              </w:rPr>
            </w:pPr>
            <w:r w:rsidRPr="00840FA4">
              <w:rPr>
                <w:iCs/>
                <w:lang w:val="fr-FR"/>
              </w:rPr>
              <w:t>Former les acteurs de la provinces et Zones de santé à la gestion des vaccins nVPO2</w:t>
            </w:r>
            <w:r>
              <w:rPr>
                <w:iCs/>
                <w:lang w:val="fr-FR"/>
              </w:rPr>
              <w:t xml:space="preserve"> et des autres vaccins du PEV</w:t>
            </w:r>
            <w:r w:rsidRPr="00840FA4">
              <w:rPr>
                <w:iCs/>
                <w:lang w:val="fr-FR"/>
              </w:rPr>
              <w:t xml:space="preserve"> ;</w:t>
            </w:r>
          </w:p>
          <w:p w14:paraId="776D474C" w14:textId="77777777" w:rsidR="00F56D39" w:rsidRPr="00840FA4" w:rsidRDefault="00F56D39" w:rsidP="00F56D39">
            <w:pPr>
              <w:pStyle w:val="ListParagraph"/>
              <w:numPr>
                <w:ilvl w:val="0"/>
                <w:numId w:val="43"/>
              </w:numPr>
              <w:spacing w:after="60"/>
              <w:contextualSpacing/>
              <w:jc w:val="both"/>
              <w:rPr>
                <w:iCs/>
                <w:lang w:val="fr-FR"/>
              </w:rPr>
            </w:pPr>
            <w:r w:rsidRPr="00840FA4">
              <w:rPr>
                <w:iCs/>
                <w:lang w:val="fr-FR"/>
              </w:rPr>
              <w:t>Animer les sous-comités logistiques provincial et participer aux réunions de coordination et de restitution organisées quotidiennement et en fin de riposte</w:t>
            </w:r>
          </w:p>
          <w:p w14:paraId="36553914" w14:textId="77777777" w:rsidR="00F56D39" w:rsidRPr="00840FA4" w:rsidRDefault="00F56D39" w:rsidP="00F56D39">
            <w:pPr>
              <w:pStyle w:val="ListParagraph"/>
              <w:numPr>
                <w:ilvl w:val="0"/>
                <w:numId w:val="43"/>
              </w:numPr>
              <w:spacing w:after="60"/>
              <w:contextualSpacing/>
              <w:jc w:val="both"/>
              <w:rPr>
                <w:iCs/>
                <w:lang w:val="fr-FR"/>
              </w:rPr>
            </w:pPr>
            <w:r w:rsidRPr="00840FA4">
              <w:rPr>
                <w:iCs/>
                <w:lang w:val="fr-FR"/>
              </w:rPr>
              <w:t>Effectuer des visites de terrain pour contrôler le niveau de préparation des aires et des zones de santé, pour vérifier la bonne gestion des vaccins et pour renforcer les capacités</w:t>
            </w:r>
          </w:p>
          <w:p w14:paraId="7E7B8183" w14:textId="77777777" w:rsidR="00F56D39" w:rsidRPr="00840FA4" w:rsidRDefault="00F56D39" w:rsidP="00F56D39">
            <w:pPr>
              <w:pStyle w:val="ListParagraph"/>
              <w:numPr>
                <w:ilvl w:val="0"/>
                <w:numId w:val="43"/>
              </w:numPr>
              <w:spacing w:after="60"/>
              <w:contextualSpacing/>
              <w:jc w:val="both"/>
              <w:rPr>
                <w:iCs/>
                <w:lang w:val="fr-FR"/>
              </w:rPr>
            </w:pPr>
            <w:r w:rsidRPr="00840FA4">
              <w:rPr>
                <w:iCs/>
                <w:lang w:val="fr-FR"/>
              </w:rPr>
              <w:t>Assurer la coordination des activités de Monitorage Indépendant de la gestion des vaccins ; formation des superviseurs, des coordinateurs et des moniteurs, supervision, compilation des données de monitorage et transmission des rapports</w:t>
            </w:r>
          </w:p>
          <w:p w14:paraId="63248935" w14:textId="77777777" w:rsidR="00F56D39" w:rsidRPr="00840FA4" w:rsidRDefault="00F56D39" w:rsidP="0098181E">
            <w:pPr>
              <w:jc w:val="both"/>
              <w:rPr>
                <w:rFonts w:eastAsia="Calibri" w:cstheme="minorHAnsi"/>
                <w:color w:val="000000" w:themeColor="text1"/>
                <w:lang w:val="fr-FR"/>
              </w:rPr>
            </w:pPr>
            <w:r w:rsidRPr="00840FA4">
              <w:rPr>
                <w:iCs/>
                <w:lang w:val="fr-FR"/>
              </w:rPr>
              <w:t>Monitorer les indicateurs de performances de l’antenne, des aires et des zones de santé et prendre les actions correctives pour optimiser les résultats</w:t>
            </w:r>
          </w:p>
        </w:tc>
      </w:tr>
      <w:tr w:rsidR="00F56D39" w:rsidRPr="00840FA4" w14:paraId="73D20234" w14:textId="77777777" w:rsidTr="00F56D39">
        <w:trPr>
          <w:trHeight w:val="144"/>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0FCE37CF" w14:textId="77777777" w:rsidR="00F56D39" w:rsidRPr="00840FA4" w:rsidRDefault="00F56D39" w:rsidP="0098181E">
            <w:pPr>
              <w:adjustRightInd w:val="0"/>
              <w:snapToGrid w:val="0"/>
              <w:ind w:left="142"/>
              <w:rPr>
                <w:rFonts w:cstheme="minorHAnsi"/>
                <w:b/>
                <w:color w:val="000000"/>
              </w:rPr>
            </w:pPr>
            <w:r w:rsidRPr="00840FA4">
              <w:rPr>
                <w:rFonts w:cstheme="minorHAnsi"/>
                <w:b/>
                <w:color w:val="000000"/>
              </w:rPr>
              <w:lastRenderedPageBreak/>
              <w:t>Produits livrables</w:t>
            </w:r>
          </w:p>
        </w:tc>
        <w:tc>
          <w:tcPr>
            <w:tcW w:w="8013" w:type="dxa"/>
            <w:tcBorders>
              <w:top w:val="outset" w:sz="6" w:space="0" w:color="auto"/>
              <w:left w:val="outset" w:sz="6" w:space="0" w:color="auto"/>
              <w:bottom w:val="outset" w:sz="6" w:space="0" w:color="auto"/>
              <w:right w:val="outset" w:sz="6" w:space="0" w:color="auto"/>
            </w:tcBorders>
            <w:hideMark/>
          </w:tcPr>
          <w:tbl>
            <w:tblPr>
              <w:tblW w:w="7645" w:type="dxa"/>
              <w:tblCellMar>
                <w:left w:w="70" w:type="dxa"/>
                <w:right w:w="70" w:type="dxa"/>
              </w:tblCellMar>
              <w:tblLook w:val="04A0" w:firstRow="1" w:lastRow="0" w:firstColumn="1" w:lastColumn="0" w:noHBand="0" w:noVBand="1"/>
            </w:tblPr>
            <w:tblGrid>
              <w:gridCol w:w="384"/>
              <w:gridCol w:w="2902"/>
              <w:gridCol w:w="4359"/>
            </w:tblGrid>
            <w:tr w:rsidR="00F56D39" w:rsidRPr="00840FA4" w14:paraId="09F0355B" w14:textId="77777777" w:rsidTr="00F56D39">
              <w:trPr>
                <w:trHeight w:val="583"/>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FAD87" w14:textId="77777777" w:rsidR="00F56D39" w:rsidRPr="00840FA4" w:rsidRDefault="00F56D39" w:rsidP="0098181E">
                  <w:pPr>
                    <w:rPr>
                      <w:rFonts w:ascii="Calibri" w:hAnsi="Calibri" w:cs="Calibri"/>
                      <w:b/>
                      <w:bCs/>
                      <w:color w:val="000000"/>
                      <w:lang w:val="fr-FR" w:eastAsia="fr-FR"/>
                    </w:rPr>
                  </w:pPr>
                  <w:r w:rsidRPr="00840FA4">
                    <w:rPr>
                      <w:rFonts w:ascii="Calibri" w:hAnsi="Calibri" w:cs="Calibri"/>
                      <w:b/>
                      <w:bCs/>
                      <w:color w:val="000000"/>
                      <w:lang w:val="fr-FR" w:eastAsia="fr-FR"/>
                    </w:rPr>
                    <w:t>#</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26F11020" w14:textId="77777777" w:rsidR="00F56D39" w:rsidRPr="00840FA4" w:rsidRDefault="00F56D39" w:rsidP="0098181E">
                  <w:pPr>
                    <w:rPr>
                      <w:rFonts w:ascii="Calibri" w:hAnsi="Calibri" w:cs="Calibri"/>
                      <w:b/>
                      <w:bCs/>
                      <w:color w:val="000000"/>
                      <w:lang w:val="fr-FR" w:eastAsia="fr-FR"/>
                    </w:rPr>
                  </w:pPr>
                  <w:r w:rsidRPr="00840FA4">
                    <w:rPr>
                      <w:rFonts w:ascii="Calibri" w:hAnsi="Calibri" w:cs="Calibri"/>
                      <w:b/>
                      <w:bCs/>
                      <w:color w:val="000000"/>
                      <w:lang w:val="fr-FR" w:eastAsia="fr-FR"/>
                    </w:rPr>
                    <w:t>Tâches/Jalon</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09046DAD" w14:textId="77777777" w:rsidR="00F56D39" w:rsidRPr="00840FA4" w:rsidRDefault="00F56D39" w:rsidP="0098181E">
                  <w:pPr>
                    <w:rPr>
                      <w:rFonts w:ascii="Calibri" w:hAnsi="Calibri" w:cs="Calibri"/>
                      <w:b/>
                      <w:bCs/>
                      <w:color w:val="000000"/>
                      <w:lang w:val="fr-FR" w:eastAsia="fr-FR"/>
                    </w:rPr>
                  </w:pPr>
                  <w:r w:rsidRPr="00840FA4">
                    <w:rPr>
                      <w:rFonts w:ascii="Calibri" w:hAnsi="Calibri" w:cs="Calibri"/>
                      <w:b/>
                      <w:bCs/>
                      <w:color w:val="000000"/>
                      <w:lang w:val="fr-FR" w:eastAsia="fr-FR"/>
                    </w:rPr>
                    <w:t>Livrables/Résultats</w:t>
                  </w:r>
                </w:p>
              </w:tc>
            </w:tr>
            <w:tr w:rsidR="00F56D39" w:rsidRPr="00F56D39" w14:paraId="2DC34502" w14:textId="77777777" w:rsidTr="00F56D39">
              <w:trPr>
                <w:trHeight w:val="1715"/>
              </w:trPr>
              <w:tc>
                <w:tcPr>
                  <w:tcW w:w="384" w:type="dxa"/>
                  <w:tcBorders>
                    <w:top w:val="nil"/>
                    <w:left w:val="single" w:sz="4" w:space="0" w:color="auto"/>
                    <w:bottom w:val="single" w:sz="4" w:space="0" w:color="auto"/>
                    <w:right w:val="single" w:sz="4" w:space="0" w:color="auto"/>
                  </w:tcBorders>
                  <w:shd w:val="clear" w:color="auto" w:fill="auto"/>
                  <w:vAlign w:val="center"/>
                </w:tcPr>
                <w:p w14:paraId="5F3B9DAD" w14:textId="77777777" w:rsidR="00F56D39" w:rsidRPr="00840FA4" w:rsidRDefault="00F56D39" w:rsidP="0098181E">
                  <w:pPr>
                    <w:jc w:val="center"/>
                    <w:rPr>
                      <w:rFonts w:ascii="Calibri" w:hAnsi="Calibri" w:cs="Calibri"/>
                      <w:color w:val="000000"/>
                      <w:lang w:val="fr-FR" w:eastAsia="fr-FR"/>
                    </w:rPr>
                  </w:pPr>
                  <w:r w:rsidRPr="00840FA4">
                    <w:rPr>
                      <w:rFonts w:ascii="Calibri" w:hAnsi="Calibri" w:cs="Calibri"/>
                      <w:color w:val="000000"/>
                      <w:lang w:val="fr-FR" w:eastAsia="fr-FR"/>
                    </w:rPr>
                    <w:t>1</w:t>
                  </w:r>
                </w:p>
              </w:tc>
              <w:tc>
                <w:tcPr>
                  <w:tcW w:w="2902" w:type="dxa"/>
                  <w:tcBorders>
                    <w:top w:val="nil"/>
                    <w:left w:val="nil"/>
                    <w:bottom w:val="single" w:sz="4" w:space="0" w:color="auto"/>
                    <w:right w:val="single" w:sz="4" w:space="0" w:color="auto"/>
                  </w:tcBorders>
                  <w:shd w:val="clear" w:color="auto" w:fill="auto"/>
                  <w:vAlign w:val="center"/>
                </w:tcPr>
                <w:p w14:paraId="0D1CE9D7" w14:textId="77777777" w:rsidR="00F56D39" w:rsidRPr="00840FA4" w:rsidRDefault="00F56D39" w:rsidP="0098181E">
                  <w:pPr>
                    <w:contextualSpacing/>
                    <w:jc w:val="both"/>
                    <w:rPr>
                      <w:rFonts w:eastAsia="Calibri"/>
                      <w:lang w:val="fr-FR"/>
                    </w:rPr>
                  </w:pPr>
                  <w:r w:rsidRPr="00840FA4">
                    <w:rPr>
                      <w:rFonts w:eastAsia="Calibri"/>
                      <w:lang w:val="fr-FR"/>
                    </w:rPr>
                    <w:t>S’assurer que les réunions de la commission logistique sont régulièrement tenues,</w:t>
                  </w:r>
                </w:p>
                <w:p w14:paraId="2943977A" w14:textId="77777777" w:rsidR="00F56D39" w:rsidRPr="00840FA4" w:rsidRDefault="00F56D39" w:rsidP="0098181E">
                  <w:pPr>
                    <w:contextualSpacing/>
                    <w:jc w:val="both"/>
                    <w:rPr>
                      <w:rFonts w:eastAsia="Calibri"/>
                      <w:lang w:val="fr-FR"/>
                    </w:rPr>
                  </w:pPr>
                  <w:r w:rsidRPr="00840FA4">
                    <w:rPr>
                      <w:rFonts w:eastAsia="Calibri"/>
                      <w:lang w:val="fr-FR"/>
                    </w:rPr>
                    <w:t>Appuyer l’élaboration des SitReps au niveau de la province/Zone de sante et s’assurer de la transmission au niveau supérieur</w:t>
                  </w:r>
                </w:p>
                <w:p w14:paraId="2116E9E8" w14:textId="77777777" w:rsidR="00F56D39" w:rsidRPr="00840FA4" w:rsidRDefault="00F56D39" w:rsidP="0098181E">
                  <w:pPr>
                    <w:contextualSpacing/>
                    <w:jc w:val="both"/>
                    <w:rPr>
                      <w:rFonts w:ascii="Calibri" w:eastAsia="Calibri" w:hAnsi="Calibri" w:cs="Calibri"/>
                      <w:color w:val="000000"/>
                      <w:lang w:val="fr-FR"/>
                    </w:rPr>
                  </w:pPr>
                  <w:r w:rsidRPr="00840FA4">
                    <w:rPr>
                      <w:rFonts w:eastAsia="Calibri"/>
                      <w:lang w:val="fr-FR"/>
                    </w:rPr>
                    <w:t>Faire un rapport journalier pendant et après la campagne de la gestion des vaccins nOPV2 sur la plateforme gestion des vaccins en ligne ODK</w:t>
                  </w:r>
                </w:p>
              </w:tc>
              <w:tc>
                <w:tcPr>
                  <w:tcW w:w="4359" w:type="dxa"/>
                  <w:tcBorders>
                    <w:top w:val="nil"/>
                    <w:left w:val="nil"/>
                    <w:bottom w:val="single" w:sz="4" w:space="0" w:color="auto"/>
                    <w:right w:val="single" w:sz="4" w:space="0" w:color="auto"/>
                  </w:tcBorders>
                  <w:shd w:val="clear" w:color="auto" w:fill="auto"/>
                  <w:vAlign w:val="center"/>
                </w:tcPr>
                <w:p w14:paraId="071820CF" w14:textId="77777777" w:rsidR="00F56D39" w:rsidRPr="00840FA4" w:rsidRDefault="00F56D39" w:rsidP="0098181E">
                  <w:pPr>
                    <w:contextualSpacing/>
                    <w:jc w:val="both"/>
                    <w:rPr>
                      <w:rFonts w:eastAsia="Calibri"/>
                      <w:lang w:val="fr-FR"/>
                    </w:rPr>
                  </w:pPr>
                  <w:r w:rsidRPr="00840FA4">
                    <w:rPr>
                      <w:rFonts w:eastAsia="Calibri"/>
                      <w:lang w:val="fr-FR"/>
                    </w:rPr>
                    <w:t>Compte rendu des réunions et partage de SitRep</w:t>
                  </w:r>
                </w:p>
                <w:p w14:paraId="43AF492A" w14:textId="77777777" w:rsidR="00F56D39" w:rsidRPr="00840FA4" w:rsidRDefault="00F56D39" w:rsidP="0098181E">
                  <w:pPr>
                    <w:contextualSpacing/>
                    <w:jc w:val="both"/>
                    <w:rPr>
                      <w:rFonts w:eastAsia="Calibri"/>
                      <w:lang w:val="fr-FR"/>
                    </w:rPr>
                  </w:pPr>
                </w:p>
                <w:p w14:paraId="3696B14A" w14:textId="77777777" w:rsidR="00F56D39" w:rsidRPr="00840FA4" w:rsidRDefault="00F56D39" w:rsidP="0098181E">
                  <w:pPr>
                    <w:contextualSpacing/>
                    <w:jc w:val="both"/>
                    <w:rPr>
                      <w:rFonts w:eastAsia="Calibri"/>
                      <w:lang w:val="fr-FR"/>
                    </w:rPr>
                  </w:pPr>
                </w:p>
                <w:p w14:paraId="4E1C4657" w14:textId="77777777" w:rsidR="00F56D39" w:rsidRPr="00840FA4" w:rsidRDefault="00F56D39" w:rsidP="0098181E">
                  <w:pPr>
                    <w:contextualSpacing/>
                    <w:jc w:val="both"/>
                    <w:rPr>
                      <w:rFonts w:ascii="Calibri" w:hAnsi="Calibri" w:cs="Calibri"/>
                      <w:color w:val="000000"/>
                      <w:lang w:val="fr-FR" w:eastAsia="fr-FR"/>
                    </w:rPr>
                  </w:pPr>
                  <w:r w:rsidRPr="00840FA4">
                    <w:rPr>
                      <w:rFonts w:eastAsia="Calibri"/>
                      <w:lang w:val="fr-FR"/>
                    </w:rPr>
                    <w:t>Nombre formulaire renseigné sur la gestion du nOPV2 et soumis en ligne sur ODK</w:t>
                  </w:r>
                </w:p>
              </w:tc>
            </w:tr>
            <w:tr w:rsidR="00F56D39" w:rsidRPr="00F56D39" w14:paraId="063070D2" w14:textId="77777777" w:rsidTr="00F56D39">
              <w:trPr>
                <w:trHeight w:val="1191"/>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373B298E" w14:textId="77777777" w:rsidR="00F56D39" w:rsidRPr="00840FA4" w:rsidRDefault="00F56D39" w:rsidP="0098181E">
                  <w:pPr>
                    <w:jc w:val="center"/>
                    <w:rPr>
                      <w:rFonts w:ascii="Calibri" w:hAnsi="Calibri" w:cs="Calibri"/>
                      <w:color w:val="000000"/>
                      <w:lang w:val="fr-FR" w:eastAsia="fr-FR"/>
                    </w:rPr>
                  </w:pPr>
                  <w:r w:rsidRPr="00840FA4">
                    <w:rPr>
                      <w:rFonts w:ascii="Calibri" w:hAnsi="Calibri" w:cs="Calibri"/>
                      <w:color w:val="000000"/>
                      <w:lang w:val="fr-FR" w:eastAsia="fr-FR"/>
                    </w:rPr>
                    <w:lastRenderedPageBreak/>
                    <w:t>2</w:t>
                  </w:r>
                </w:p>
              </w:tc>
              <w:tc>
                <w:tcPr>
                  <w:tcW w:w="2902" w:type="dxa"/>
                  <w:tcBorders>
                    <w:top w:val="nil"/>
                    <w:left w:val="nil"/>
                    <w:bottom w:val="single" w:sz="4" w:space="0" w:color="auto"/>
                    <w:right w:val="single" w:sz="4" w:space="0" w:color="auto"/>
                  </w:tcBorders>
                  <w:shd w:val="clear" w:color="auto" w:fill="auto"/>
                  <w:vAlign w:val="center"/>
                  <w:hideMark/>
                </w:tcPr>
                <w:p w14:paraId="73B5FF87" w14:textId="77777777" w:rsidR="00F56D39" w:rsidRPr="00840FA4" w:rsidRDefault="00F56D39" w:rsidP="0098181E">
                  <w:pPr>
                    <w:contextualSpacing/>
                    <w:jc w:val="both"/>
                    <w:rPr>
                      <w:rFonts w:eastAsia="Calibri"/>
                      <w:lang w:val="fr-FR"/>
                    </w:rPr>
                  </w:pPr>
                  <w:r w:rsidRPr="00840FA4">
                    <w:rPr>
                      <w:rFonts w:eastAsia="Calibri"/>
                      <w:lang w:val="fr-FR"/>
                    </w:rPr>
                    <w:t>S’assurer que les informations et analyses sur la gestion logistique et gestion des vaccins soient transmises à temps au niveau de la coordination national</w:t>
                  </w:r>
                </w:p>
                <w:p w14:paraId="2818E12B" w14:textId="77777777" w:rsidR="00F56D39" w:rsidRPr="00840FA4" w:rsidRDefault="00F56D39" w:rsidP="0098181E">
                  <w:pPr>
                    <w:contextualSpacing/>
                    <w:jc w:val="both"/>
                    <w:rPr>
                      <w:rFonts w:eastAsia="Calibri"/>
                      <w:lang w:val="fr-FR"/>
                    </w:rPr>
                  </w:pPr>
                </w:p>
              </w:tc>
              <w:tc>
                <w:tcPr>
                  <w:tcW w:w="4359" w:type="dxa"/>
                  <w:tcBorders>
                    <w:top w:val="nil"/>
                    <w:left w:val="nil"/>
                    <w:bottom w:val="single" w:sz="4" w:space="0" w:color="auto"/>
                    <w:right w:val="single" w:sz="4" w:space="0" w:color="auto"/>
                  </w:tcBorders>
                  <w:shd w:val="clear" w:color="auto" w:fill="auto"/>
                  <w:vAlign w:val="center"/>
                  <w:hideMark/>
                </w:tcPr>
                <w:p w14:paraId="5D8303AA" w14:textId="77777777" w:rsidR="00F56D39" w:rsidRPr="00840FA4" w:rsidRDefault="00F56D39" w:rsidP="0098181E">
                  <w:pPr>
                    <w:contextualSpacing/>
                    <w:rPr>
                      <w:rFonts w:eastAsia="Calibri"/>
                      <w:lang w:val="fr-FR"/>
                    </w:rPr>
                  </w:pPr>
                  <w:r w:rsidRPr="00840FA4">
                    <w:rPr>
                      <w:rFonts w:eastAsia="Calibri"/>
                      <w:lang w:val="fr-FR"/>
                    </w:rPr>
                    <w:t>Situation de la logistique et gestion des vaccins bien reflétée dans le SITREP national, newsletter de la riposte</w:t>
                  </w:r>
                </w:p>
              </w:tc>
            </w:tr>
            <w:tr w:rsidR="00F56D39" w:rsidRPr="00F56D39" w14:paraId="4684B83C" w14:textId="77777777" w:rsidTr="00F56D39">
              <w:trPr>
                <w:trHeight w:val="1083"/>
              </w:trPr>
              <w:tc>
                <w:tcPr>
                  <w:tcW w:w="384" w:type="dxa"/>
                  <w:tcBorders>
                    <w:top w:val="nil"/>
                    <w:left w:val="single" w:sz="4" w:space="0" w:color="auto"/>
                    <w:bottom w:val="single" w:sz="4" w:space="0" w:color="auto"/>
                    <w:right w:val="single" w:sz="4" w:space="0" w:color="auto"/>
                  </w:tcBorders>
                  <w:shd w:val="clear" w:color="auto" w:fill="auto"/>
                  <w:vAlign w:val="center"/>
                </w:tcPr>
                <w:p w14:paraId="0B64D686" w14:textId="77777777" w:rsidR="00F56D39" w:rsidRPr="00840FA4" w:rsidRDefault="00F56D39" w:rsidP="0098181E">
                  <w:pPr>
                    <w:jc w:val="center"/>
                    <w:rPr>
                      <w:rFonts w:ascii="Calibri" w:hAnsi="Calibri" w:cs="Calibri"/>
                      <w:color w:val="000000"/>
                      <w:lang w:val="fr-FR" w:eastAsia="fr-FR"/>
                    </w:rPr>
                  </w:pPr>
                  <w:r w:rsidRPr="00840FA4">
                    <w:rPr>
                      <w:rFonts w:ascii="Calibri" w:hAnsi="Calibri" w:cs="Calibri"/>
                      <w:color w:val="000000"/>
                      <w:lang w:val="fr-FR" w:eastAsia="fr-FR"/>
                    </w:rPr>
                    <w:t>3</w:t>
                  </w:r>
                </w:p>
              </w:tc>
              <w:tc>
                <w:tcPr>
                  <w:tcW w:w="2902" w:type="dxa"/>
                  <w:tcBorders>
                    <w:top w:val="nil"/>
                    <w:left w:val="nil"/>
                    <w:bottom w:val="single" w:sz="4" w:space="0" w:color="auto"/>
                    <w:right w:val="single" w:sz="4" w:space="0" w:color="auto"/>
                  </w:tcBorders>
                  <w:shd w:val="clear" w:color="auto" w:fill="auto"/>
                  <w:vAlign w:val="center"/>
                </w:tcPr>
                <w:p w14:paraId="368688EE" w14:textId="77777777" w:rsidR="00F56D39" w:rsidRPr="00840FA4" w:rsidRDefault="00F56D39" w:rsidP="0098181E">
                  <w:pPr>
                    <w:contextualSpacing/>
                    <w:jc w:val="both"/>
                    <w:rPr>
                      <w:rFonts w:eastAsia="Calibri"/>
                      <w:lang w:val="fr-FR"/>
                    </w:rPr>
                  </w:pPr>
                  <w:r w:rsidRPr="00840FA4">
                    <w:rPr>
                      <w:rFonts w:eastAsia="Calibri"/>
                      <w:lang w:val="fr-FR"/>
                    </w:rPr>
                    <w:t>S’assurer de la mise à jour de l’inventaire des équipements actifs et passifs de chaine de froid de la province ou zone de sante d’affectation</w:t>
                  </w:r>
                </w:p>
              </w:tc>
              <w:tc>
                <w:tcPr>
                  <w:tcW w:w="4359" w:type="dxa"/>
                  <w:tcBorders>
                    <w:top w:val="nil"/>
                    <w:left w:val="nil"/>
                    <w:bottom w:val="single" w:sz="4" w:space="0" w:color="auto"/>
                    <w:right w:val="single" w:sz="4" w:space="0" w:color="auto"/>
                  </w:tcBorders>
                  <w:shd w:val="clear" w:color="auto" w:fill="auto"/>
                  <w:vAlign w:val="center"/>
                </w:tcPr>
                <w:p w14:paraId="623FD96B" w14:textId="77777777" w:rsidR="00F56D39" w:rsidRPr="00840FA4" w:rsidRDefault="00F56D39" w:rsidP="0098181E">
                  <w:pPr>
                    <w:contextualSpacing/>
                    <w:rPr>
                      <w:rFonts w:eastAsia="Calibri"/>
                      <w:lang w:val="fr-FR"/>
                    </w:rPr>
                  </w:pPr>
                  <w:r w:rsidRPr="00840FA4">
                    <w:rPr>
                      <w:rFonts w:eastAsia="Calibri"/>
                      <w:lang w:val="fr-FR"/>
                    </w:rPr>
                    <w:t>Rapport ou fichier d’inventaire des matériels de chaine du froid</w:t>
                  </w:r>
                </w:p>
              </w:tc>
            </w:tr>
            <w:tr w:rsidR="00F56D39" w:rsidRPr="00F56D39" w14:paraId="28BE67DE" w14:textId="77777777" w:rsidTr="00F56D39">
              <w:trPr>
                <w:trHeight w:val="1276"/>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6C9CB1E2" w14:textId="77777777" w:rsidR="00F56D39" w:rsidRPr="00840FA4" w:rsidRDefault="00F56D39" w:rsidP="0098181E">
                  <w:pPr>
                    <w:jc w:val="center"/>
                    <w:rPr>
                      <w:rFonts w:ascii="Calibri" w:hAnsi="Calibri" w:cs="Calibri"/>
                      <w:color w:val="000000"/>
                      <w:lang w:val="fr-FR" w:eastAsia="fr-FR"/>
                    </w:rPr>
                  </w:pPr>
                  <w:r w:rsidRPr="00840FA4">
                    <w:rPr>
                      <w:rFonts w:ascii="Calibri" w:hAnsi="Calibri" w:cs="Calibri"/>
                      <w:color w:val="000000"/>
                      <w:lang w:val="fr-FR" w:eastAsia="fr-FR"/>
                    </w:rPr>
                    <w:t>4</w:t>
                  </w:r>
                </w:p>
              </w:tc>
              <w:tc>
                <w:tcPr>
                  <w:tcW w:w="2902" w:type="dxa"/>
                  <w:tcBorders>
                    <w:top w:val="nil"/>
                    <w:left w:val="nil"/>
                    <w:bottom w:val="single" w:sz="4" w:space="0" w:color="auto"/>
                    <w:right w:val="single" w:sz="4" w:space="0" w:color="auto"/>
                  </w:tcBorders>
                  <w:shd w:val="clear" w:color="auto" w:fill="auto"/>
                  <w:vAlign w:val="center"/>
                  <w:hideMark/>
                </w:tcPr>
                <w:p w14:paraId="52610E02" w14:textId="77777777" w:rsidR="00F56D39" w:rsidRPr="00840FA4" w:rsidRDefault="00F56D39" w:rsidP="0098181E">
                  <w:pPr>
                    <w:contextualSpacing/>
                    <w:jc w:val="both"/>
                    <w:rPr>
                      <w:rFonts w:eastAsia="Calibri"/>
                      <w:lang w:val="fr-FR"/>
                    </w:rPr>
                  </w:pPr>
                  <w:r w:rsidRPr="00840FA4">
                    <w:rPr>
                      <w:rFonts w:eastAsia="Calibri"/>
                      <w:lang w:val="fr-FR"/>
                    </w:rPr>
                    <w:t>Assurer le bon fonctionnement de la chaîne du froid : relevés de température, recyclage des accumulateurs de froid, conditionnement des vaccins, etc.</w:t>
                  </w:r>
                </w:p>
              </w:tc>
              <w:tc>
                <w:tcPr>
                  <w:tcW w:w="4359" w:type="dxa"/>
                  <w:tcBorders>
                    <w:top w:val="nil"/>
                    <w:left w:val="nil"/>
                    <w:bottom w:val="single" w:sz="4" w:space="0" w:color="auto"/>
                    <w:right w:val="single" w:sz="4" w:space="0" w:color="auto"/>
                  </w:tcBorders>
                  <w:shd w:val="clear" w:color="auto" w:fill="auto"/>
                  <w:vAlign w:val="center"/>
                  <w:hideMark/>
                </w:tcPr>
                <w:p w14:paraId="70633392" w14:textId="77777777" w:rsidR="00F56D39" w:rsidRPr="00840FA4" w:rsidRDefault="00F56D39" w:rsidP="0098181E">
                  <w:pPr>
                    <w:contextualSpacing/>
                    <w:jc w:val="both"/>
                    <w:rPr>
                      <w:rFonts w:eastAsia="Calibri"/>
                      <w:lang w:val="fr-FR"/>
                    </w:rPr>
                  </w:pPr>
                  <w:r w:rsidRPr="00840FA4">
                    <w:rPr>
                      <w:rFonts w:eastAsia="Calibri"/>
                      <w:lang w:val="fr-FR"/>
                    </w:rPr>
                    <w:t>Rapport hebdomadaire sur l'état de la chaîne du froid (problèmes, pénurie, etc.).</w:t>
                  </w:r>
                </w:p>
              </w:tc>
            </w:tr>
            <w:tr w:rsidR="00F56D39" w:rsidRPr="00F56D39" w14:paraId="5BECC6E0" w14:textId="77777777" w:rsidTr="00F56D39">
              <w:trPr>
                <w:trHeight w:val="1470"/>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2BA384FE" w14:textId="77777777" w:rsidR="00F56D39" w:rsidRPr="00840FA4" w:rsidRDefault="00F56D39" w:rsidP="0098181E">
                  <w:pPr>
                    <w:jc w:val="center"/>
                    <w:rPr>
                      <w:rFonts w:ascii="Calibri" w:hAnsi="Calibri" w:cs="Calibri"/>
                      <w:color w:val="000000"/>
                      <w:lang w:val="fr-FR" w:eastAsia="fr-FR"/>
                    </w:rPr>
                  </w:pPr>
                  <w:r w:rsidRPr="00840FA4">
                    <w:rPr>
                      <w:rFonts w:ascii="Calibri" w:hAnsi="Calibri" w:cs="Calibri"/>
                      <w:color w:val="000000"/>
                      <w:lang w:val="fr-FR" w:eastAsia="fr-FR"/>
                    </w:rPr>
                    <w:t>5</w:t>
                  </w:r>
                </w:p>
              </w:tc>
              <w:tc>
                <w:tcPr>
                  <w:tcW w:w="2902" w:type="dxa"/>
                  <w:tcBorders>
                    <w:top w:val="nil"/>
                    <w:left w:val="nil"/>
                    <w:bottom w:val="single" w:sz="4" w:space="0" w:color="auto"/>
                    <w:right w:val="single" w:sz="4" w:space="0" w:color="auto"/>
                  </w:tcBorders>
                  <w:shd w:val="clear" w:color="auto" w:fill="auto"/>
                  <w:vAlign w:val="center"/>
                  <w:hideMark/>
                </w:tcPr>
                <w:p w14:paraId="3B31D9D8" w14:textId="77777777" w:rsidR="00F56D39" w:rsidRPr="00840FA4" w:rsidRDefault="00F56D39" w:rsidP="0098181E">
                  <w:pPr>
                    <w:contextualSpacing/>
                    <w:jc w:val="both"/>
                    <w:rPr>
                      <w:rFonts w:eastAsia="Calibri"/>
                      <w:lang w:val="fr-FR"/>
                    </w:rPr>
                  </w:pPr>
                  <w:r w:rsidRPr="00840FA4">
                    <w:rPr>
                      <w:rFonts w:eastAsia="Calibri"/>
                      <w:lang w:val="fr-FR"/>
                    </w:rPr>
                    <w:t xml:space="preserve">Planifier, recevoir, stocker, déployer et surveiller la logistique liée au nVPO2 (équipements, expéditeurs), </w:t>
                  </w:r>
                </w:p>
              </w:tc>
              <w:tc>
                <w:tcPr>
                  <w:tcW w:w="4359" w:type="dxa"/>
                  <w:tcBorders>
                    <w:top w:val="nil"/>
                    <w:left w:val="nil"/>
                    <w:bottom w:val="single" w:sz="4" w:space="0" w:color="auto"/>
                    <w:right w:val="single" w:sz="4" w:space="0" w:color="auto"/>
                  </w:tcBorders>
                  <w:shd w:val="clear" w:color="auto" w:fill="auto"/>
                  <w:vAlign w:val="center"/>
                  <w:hideMark/>
                </w:tcPr>
                <w:p w14:paraId="027EF795" w14:textId="77777777" w:rsidR="00F56D39" w:rsidRPr="00840FA4" w:rsidRDefault="00F56D39" w:rsidP="0098181E">
                  <w:pPr>
                    <w:contextualSpacing/>
                    <w:jc w:val="both"/>
                    <w:rPr>
                      <w:rFonts w:eastAsia="Calibri"/>
                      <w:lang w:val="fr-FR"/>
                    </w:rPr>
                  </w:pPr>
                  <w:r w:rsidRPr="00840FA4">
                    <w:rPr>
                      <w:rFonts w:eastAsia="Calibri"/>
                      <w:lang w:val="fr-FR"/>
                    </w:rPr>
                    <w:t xml:space="preserve">Plan de distribution des vaccins et équipement de la chaîne du froid </w:t>
                  </w:r>
                </w:p>
              </w:tc>
            </w:tr>
            <w:tr w:rsidR="00F56D39" w:rsidRPr="00F56D39" w14:paraId="500C7CB5" w14:textId="77777777" w:rsidTr="00F56D39">
              <w:trPr>
                <w:trHeight w:val="1252"/>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25965E9D" w14:textId="77777777" w:rsidR="00F56D39" w:rsidRPr="00840FA4" w:rsidRDefault="00F56D39" w:rsidP="0098181E">
                  <w:pPr>
                    <w:jc w:val="center"/>
                    <w:rPr>
                      <w:rFonts w:ascii="Calibri" w:hAnsi="Calibri" w:cs="Calibri"/>
                      <w:color w:val="000000"/>
                      <w:lang w:val="fr-FR" w:eastAsia="fr-FR"/>
                    </w:rPr>
                  </w:pPr>
                  <w:r w:rsidRPr="00840FA4">
                    <w:rPr>
                      <w:rFonts w:ascii="Calibri" w:hAnsi="Calibri" w:cs="Calibri"/>
                      <w:color w:val="000000"/>
                      <w:lang w:val="fr-FR" w:eastAsia="fr-FR"/>
                    </w:rPr>
                    <w:t>6</w:t>
                  </w:r>
                </w:p>
              </w:tc>
              <w:tc>
                <w:tcPr>
                  <w:tcW w:w="2902" w:type="dxa"/>
                  <w:tcBorders>
                    <w:top w:val="nil"/>
                    <w:left w:val="single" w:sz="4" w:space="0" w:color="auto"/>
                    <w:bottom w:val="single" w:sz="4" w:space="0" w:color="auto"/>
                    <w:right w:val="single" w:sz="4" w:space="0" w:color="auto"/>
                  </w:tcBorders>
                  <w:shd w:val="clear" w:color="auto" w:fill="auto"/>
                  <w:vAlign w:val="center"/>
                  <w:hideMark/>
                </w:tcPr>
                <w:p w14:paraId="14B87259" w14:textId="77777777" w:rsidR="00F56D39" w:rsidRPr="00840FA4" w:rsidRDefault="00F56D39" w:rsidP="0098181E">
                  <w:pPr>
                    <w:contextualSpacing/>
                    <w:jc w:val="both"/>
                    <w:rPr>
                      <w:rFonts w:eastAsia="Calibri"/>
                      <w:lang w:val="fr-FR"/>
                    </w:rPr>
                  </w:pPr>
                  <w:r w:rsidRPr="00840FA4">
                    <w:rPr>
                      <w:rFonts w:eastAsia="Calibri"/>
                      <w:lang w:val="fr-FR"/>
                    </w:rPr>
                    <w:t xml:space="preserve">Soutenir le groupe de travail provincial sur la logistique des vaccins pour gérer efficacement les arrivées, le stockage, la surveillance et le contrôle de la température pendant le stockage, la distribution et la redistribution, </w:t>
                  </w:r>
                </w:p>
              </w:tc>
              <w:tc>
                <w:tcPr>
                  <w:tcW w:w="4359" w:type="dxa"/>
                  <w:tcBorders>
                    <w:top w:val="nil"/>
                    <w:left w:val="nil"/>
                    <w:bottom w:val="single" w:sz="4" w:space="0" w:color="auto"/>
                    <w:right w:val="single" w:sz="4" w:space="0" w:color="auto"/>
                  </w:tcBorders>
                  <w:shd w:val="clear" w:color="auto" w:fill="auto"/>
                  <w:vAlign w:val="center"/>
                  <w:hideMark/>
                </w:tcPr>
                <w:p w14:paraId="0307747C" w14:textId="77777777" w:rsidR="00F56D39" w:rsidRPr="00840FA4" w:rsidRDefault="00F56D39" w:rsidP="0098181E">
                  <w:pPr>
                    <w:contextualSpacing/>
                    <w:jc w:val="both"/>
                    <w:rPr>
                      <w:rFonts w:eastAsia="Calibri"/>
                      <w:lang w:val="fr-FR"/>
                    </w:rPr>
                  </w:pPr>
                  <w:r w:rsidRPr="00840FA4">
                    <w:rPr>
                      <w:rFonts w:eastAsia="Calibri"/>
                      <w:lang w:val="fr-FR"/>
                    </w:rPr>
                    <w:t>Le plan de distribution des vaccins, les outils de gestion de vaccins et de la communication sont partagés à tous les niveaux sept jours avant le début de la campagne.</w:t>
                  </w:r>
                </w:p>
              </w:tc>
            </w:tr>
            <w:tr w:rsidR="00F56D39" w:rsidRPr="00F56D39" w14:paraId="3409864F" w14:textId="77777777" w:rsidTr="00F56D39">
              <w:trPr>
                <w:trHeight w:val="1312"/>
              </w:trPr>
              <w:tc>
                <w:tcPr>
                  <w:tcW w:w="384" w:type="dxa"/>
                  <w:tcBorders>
                    <w:top w:val="nil"/>
                    <w:left w:val="single" w:sz="4" w:space="0" w:color="auto"/>
                    <w:bottom w:val="single" w:sz="4" w:space="0" w:color="auto"/>
                    <w:right w:val="single" w:sz="4" w:space="0" w:color="auto"/>
                  </w:tcBorders>
                  <w:vAlign w:val="center"/>
                </w:tcPr>
                <w:p w14:paraId="0A19066C" w14:textId="77777777" w:rsidR="00F56D39" w:rsidRPr="00840FA4" w:rsidRDefault="00F56D39" w:rsidP="0098181E">
                  <w:pPr>
                    <w:rPr>
                      <w:rFonts w:ascii="Calibri" w:hAnsi="Calibri" w:cs="Calibri"/>
                      <w:color w:val="000000"/>
                      <w:lang w:val="fr-FR" w:eastAsia="fr-FR"/>
                    </w:rPr>
                  </w:pPr>
                  <w:r w:rsidRPr="00840FA4">
                    <w:rPr>
                      <w:rFonts w:ascii="Calibri" w:hAnsi="Calibri" w:cs="Calibri"/>
                      <w:color w:val="000000"/>
                      <w:lang w:val="fr-FR" w:eastAsia="fr-FR"/>
                    </w:rPr>
                    <w:t xml:space="preserve"> 7</w:t>
                  </w:r>
                </w:p>
              </w:tc>
              <w:tc>
                <w:tcPr>
                  <w:tcW w:w="2902" w:type="dxa"/>
                  <w:tcBorders>
                    <w:top w:val="nil"/>
                    <w:left w:val="single" w:sz="4" w:space="0" w:color="auto"/>
                    <w:bottom w:val="single" w:sz="4" w:space="0" w:color="auto"/>
                    <w:right w:val="single" w:sz="4" w:space="0" w:color="auto"/>
                  </w:tcBorders>
                  <w:vAlign w:val="center"/>
                </w:tcPr>
                <w:p w14:paraId="7D181F78" w14:textId="77777777" w:rsidR="00F56D39" w:rsidRPr="00840FA4" w:rsidRDefault="00F56D39" w:rsidP="0098181E">
                  <w:pPr>
                    <w:contextualSpacing/>
                    <w:jc w:val="both"/>
                    <w:rPr>
                      <w:rFonts w:eastAsia="Calibri"/>
                      <w:lang w:val="fr-FR"/>
                    </w:rPr>
                  </w:pPr>
                  <w:r w:rsidRPr="00840FA4">
                    <w:rPr>
                      <w:rFonts w:eastAsia="Calibri"/>
                      <w:lang w:val="fr-FR"/>
                    </w:rPr>
                    <w:t>Appuyer le groupe de travail provincial sur la logistique des vaccins pour gérer efficacement l'élimination et la gestion des déchets pour le nVPO2 et les vaccins de routine selon directives nationales</w:t>
                  </w:r>
                  <w:r>
                    <w:rPr>
                      <w:rFonts w:eastAsia="Calibri"/>
                      <w:lang w:val="fr-FR"/>
                    </w:rPr>
                    <w:t>, en respect des normes environnementales</w:t>
                  </w:r>
                </w:p>
              </w:tc>
              <w:tc>
                <w:tcPr>
                  <w:tcW w:w="4359" w:type="dxa"/>
                  <w:tcBorders>
                    <w:top w:val="nil"/>
                    <w:left w:val="nil"/>
                    <w:bottom w:val="single" w:sz="4" w:space="0" w:color="auto"/>
                    <w:right w:val="single" w:sz="4" w:space="0" w:color="auto"/>
                  </w:tcBorders>
                  <w:shd w:val="clear" w:color="auto" w:fill="auto"/>
                  <w:vAlign w:val="center"/>
                </w:tcPr>
                <w:p w14:paraId="217C2E50" w14:textId="77777777" w:rsidR="00F56D39" w:rsidRPr="00840FA4" w:rsidRDefault="00F56D39" w:rsidP="0098181E">
                  <w:pPr>
                    <w:contextualSpacing/>
                    <w:jc w:val="both"/>
                    <w:rPr>
                      <w:rFonts w:eastAsia="Calibri"/>
                      <w:lang w:val="fr-FR"/>
                    </w:rPr>
                  </w:pPr>
                  <w:r w:rsidRPr="00840FA4">
                    <w:rPr>
                      <w:rFonts w:eastAsia="Calibri"/>
                      <w:lang w:val="fr-FR"/>
                    </w:rPr>
                    <w:t>Rapport ou PV de destruction des flacons de nOPV2</w:t>
                  </w:r>
                  <w:r>
                    <w:rPr>
                      <w:rFonts w:eastAsia="Calibri"/>
                      <w:lang w:val="fr-FR"/>
                    </w:rPr>
                    <w:t>, en respect des normes environnementales</w:t>
                  </w:r>
                </w:p>
              </w:tc>
            </w:tr>
            <w:tr w:rsidR="00F56D39" w:rsidRPr="00F56D39" w14:paraId="64EA1FC2" w14:textId="77777777" w:rsidTr="00F56D39">
              <w:trPr>
                <w:trHeight w:val="893"/>
              </w:trPr>
              <w:tc>
                <w:tcPr>
                  <w:tcW w:w="384" w:type="dxa"/>
                  <w:tcBorders>
                    <w:top w:val="nil"/>
                    <w:left w:val="single" w:sz="4" w:space="0" w:color="auto"/>
                    <w:bottom w:val="single" w:sz="4" w:space="0" w:color="auto"/>
                    <w:right w:val="single" w:sz="4" w:space="0" w:color="auto"/>
                  </w:tcBorders>
                  <w:vAlign w:val="center"/>
                </w:tcPr>
                <w:p w14:paraId="6C7256F8" w14:textId="77777777" w:rsidR="00F56D39" w:rsidRPr="00840FA4" w:rsidRDefault="00F56D39" w:rsidP="0098181E">
                  <w:pPr>
                    <w:rPr>
                      <w:rFonts w:ascii="Calibri" w:hAnsi="Calibri" w:cs="Calibri"/>
                      <w:color w:val="000000"/>
                      <w:lang w:val="fr-FR" w:eastAsia="fr-FR"/>
                    </w:rPr>
                  </w:pPr>
                  <w:r w:rsidRPr="00840FA4">
                    <w:rPr>
                      <w:rFonts w:ascii="Calibri" w:hAnsi="Calibri" w:cs="Calibri"/>
                      <w:color w:val="000000"/>
                      <w:lang w:val="fr-FR" w:eastAsia="fr-FR"/>
                    </w:rPr>
                    <w:t xml:space="preserve">  8</w:t>
                  </w:r>
                </w:p>
              </w:tc>
              <w:tc>
                <w:tcPr>
                  <w:tcW w:w="2902" w:type="dxa"/>
                  <w:tcBorders>
                    <w:top w:val="nil"/>
                    <w:left w:val="single" w:sz="4" w:space="0" w:color="auto"/>
                    <w:bottom w:val="single" w:sz="4" w:space="0" w:color="auto"/>
                    <w:right w:val="single" w:sz="4" w:space="0" w:color="auto"/>
                  </w:tcBorders>
                  <w:vAlign w:val="center"/>
                </w:tcPr>
                <w:p w14:paraId="797F52DD" w14:textId="77777777" w:rsidR="00F56D39" w:rsidRPr="00840FA4" w:rsidRDefault="00F56D39" w:rsidP="0098181E">
                  <w:pPr>
                    <w:contextualSpacing/>
                    <w:jc w:val="both"/>
                    <w:rPr>
                      <w:rFonts w:eastAsia="Calibri"/>
                      <w:lang w:val="fr-FR"/>
                    </w:rPr>
                  </w:pPr>
                  <w:r w:rsidRPr="00840FA4">
                    <w:rPr>
                      <w:rFonts w:eastAsia="Calibri"/>
                      <w:lang w:val="fr-FR"/>
                    </w:rPr>
                    <w:t xml:space="preserve">Soutenir le point focal PEV Antenne/Zone de sante pour </w:t>
                  </w:r>
                  <w:r w:rsidRPr="00840FA4">
                    <w:rPr>
                      <w:rFonts w:eastAsia="Calibri"/>
                      <w:lang w:val="fr-FR"/>
                    </w:rPr>
                    <w:lastRenderedPageBreak/>
                    <w:t>mettre à jour les données de gestion des stocks</w:t>
                  </w:r>
                </w:p>
              </w:tc>
              <w:tc>
                <w:tcPr>
                  <w:tcW w:w="4359" w:type="dxa"/>
                  <w:tcBorders>
                    <w:top w:val="nil"/>
                    <w:left w:val="nil"/>
                    <w:bottom w:val="single" w:sz="4" w:space="0" w:color="auto"/>
                    <w:right w:val="single" w:sz="4" w:space="0" w:color="auto"/>
                  </w:tcBorders>
                  <w:shd w:val="clear" w:color="auto" w:fill="auto"/>
                  <w:vAlign w:val="center"/>
                </w:tcPr>
                <w:p w14:paraId="249AE258" w14:textId="77777777" w:rsidR="00F56D39" w:rsidRPr="00840FA4" w:rsidRDefault="00F56D39" w:rsidP="0098181E">
                  <w:pPr>
                    <w:contextualSpacing/>
                    <w:jc w:val="both"/>
                    <w:rPr>
                      <w:rFonts w:eastAsia="Calibri"/>
                      <w:lang w:val="fr-FR"/>
                    </w:rPr>
                  </w:pPr>
                  <w:r w:rsidRPr="00840FA4">
                    <w:rPr>
                      <w:rFonts w:eastAsia="Calibri"/>
                      <w:lang w:val="fr-FR"/>
                    </w:rPr>
                    <w:lastRenderedPageBreak/>
                    <w:t>Rapport de gestion des stocks en vaccins et intrants (inventaire des stocks de vaccins de routine et nOPV2) ou SMT à jour</w:t>
                  </w:r>
                </w:p>
              </w:tc>
            </w:tr>
            <w:tr w:rsidR="00F56D39" w:rsidRPr="00F56D39" w14:paraId="5C90C26F" w14:textId="77777777" w:rsidTr="00F56D39">
              <w:trPr>
                <w:trHeight w:val="1029"/>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04D154DC" w14:textId="77777777" w:rsidR="00F56D39" w:rsidRPr="00840FA4" w:rsidRDefault="00F56D39" w:rsidP="0098181E">
                  <w:pPr>
                    <w:rPr>
                      <w:rFonts w:ascii="Calibri" w:hAnsi="Calibri" w:cs="Calibri"/>
                      <w:color w:val="000000"/>
                      <w:lang w:val="fr-FR" w:eastAsia="fr-FR"/>
                    </w:rPr>
                  </w:pPr>
                  <w:r w:rsidRPr="00840FA4">
                    <w:rPr>
                      <w:rFonts w:ascii="Calibri" w:hAnsi="Calibri" w:cs="Calibri"/>
                      <w:color w:val="000000"/>
                      <w:lang w:val="fr-FR" w:eastAsia="fr-FR"/>
                    </w:rPr>
                    <w:t xml:space="preserve">  9</w:t>
                  </w:r>
                </w:p>
              </w:tc>
              <w:tc>
                <w:tcPr>
                  <w:tcW w:w="2902" w:type="dxa"/>
                  <w:tcBorders>
                    <w:top w:val="nil"/>
                    <w:left w:val="single" w:sz="4" w:space="0" w:color="auto"/>
                    <w:bottom w:val="single" w:sz="4" w:space="0" w:color="auto"/>
                    <w:right w:val="single" w:sz="4" w:space="0" w:color="auto"/>
                  </w:tcBorders>
                  <w:shd w:val="clear" w:color="auto" w:fill="auto"/>
                  <w:vAlign w:val="center"/>
                </w:tcPr>
                <w:p w14:paraId="6DB1274E" w14:textId="77777777" w:rsidR="00F56D39" w:rsidRPr="00840FA4" w:rsidRDefault="00F56D39" w:rsidP="0098181E">
                  <w:pPr>
                    <w:contextualSpacing/>
                    <w:jc w:val="both"/>
                    <w:rPr>
                      <w:rFonts w:eastAsia="Calibri"/>
                      <w:lang w:val="fr-FR"/>
                    </w:rPr>
                  </w:pPr>
                  <w:r w:rsidRPr="00840FA4">
                    <w:rPr>
                      <w:rFonts w:eastAsia="Calibri"/>
                      <w:lang w:val="fr-FR"/>
                    </w:rPr>
                    <w:t>Assurer la formation et la supervision des coordonnateurs, moniteurs de flacons nOPV2 et autres acteurs de la campagne sur la gestion du nOPV2 et le remplissage des formulaires ODK</w:t>
                  </w:r>
                </w:p>
              </w:tc>
              <w:tc>
                <w:tcPr>
                  <w:tcW w:w="4359" w:type="dxa"/>
                  <w:tcBorders>
                    <w:top w:val="nil"/>
                    <w:left w:val="nil"/>
                    <w:bottom w:val="single" w:sz="4" w:space="0" w:color="auto"/>
                    <w:right w:val="single" w:sz="4" w:space="0" w:color="auto"/>
                  </w:tcBorders>
                  <w:shd w:val="clear" w:color="auto" w:fill="auto"/>
                  <w:vAlign w:val="center"/>
                </w:tcPr>
                <w:p w14:paraId="403DBBB2" w14:textId="77777777" w:rsidR="00F56D39" w:rsidRPr="00840FA4" w:rsidRDefault="00F56D39" w:rsidP="0098181E">
                  <w:pPr>
                    <w:contextualSpacing/>
                    <w:jc w:val="both"/>
                    <w:rPr>
                      <w:rFonts w:eastAsia="Calibri"/>
                      <w:lang w:val="fr-FR"/>
                    </w:rPr>
                  </w:pPr>
                  <w:r w:rsidRPr="00840FA4">
                    <w:rPr>
                      <w:rFonts w:eastAsia="Calibri"/>
                      <w:lang w:val="fr-FR"/>
                    </w:rPr>
                    <w:t>Rapport de formation et liste des acteurs formés</w:t>
                  </w:r>
                </w:p>
                <w:p w14:paraId="1B5665EC" w14:textId="77777777" w:rsidR="00F56D39" w:rsidRPr="00840FA4" w:rsidRDefault="00F56D39" w:rsidP="0098181E">
                  <w:pPr>
                    <w:contextualSpacing/>
                    <w:jc w:val="both"/>
                    <w:rPr>
                      <w:rFonts w:eastAsia="Calibri"/>
                      <w:lang w:val="fr-FR"/>
                    </w:rPr>
                  </w:pPr>
                </w:p>
              </w:tc>
            </w:tr>
            <w:tr w:rsidR="00F56D39" w:rsidRPr="00F56D39" w14:paraId="76491CE3" w14:textId="77777777" w:rsidTr="00F56D39">
              <w:trPr>
                <w:trHeight w:val="1581"/>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388002E7" w14:textId="77777777" w:rsidR="00F56D39" w:rsidRPr="00840FA4" w:rsidRDefault="00F56D39" w:rsidP="0098181E">
                  <w:pPr>
                    <w:jc w:val="center"/>
                    <w:rPr>
                      <w:rFonts w:ascii="Calibri" w:hAnsi="Calibri" w:cs="Calibri"/>
                      <w:color w:val="000000"/>
                      <w:lang w:val="fr-FR" w:eastAsia="fr-FR"/>
                    </w:rPr>
                  </w:pPr>
                  <w:r w:rsidRPr="00840FA4">
                    <w:rPr>
                      <w:rFonts w:ascii="Calibri" w:hAnsi="Calibri" w:cs="Calibri"/>
                      <w:color w:val="000000"/>
                      <w:lang w:val="fr-FR" w:eastAsia="fr-FR"/>
                    </w:rPr>
                    <w:t>10</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21FC24F2" w14:textId="77777777" w:rsidR="00F56D39" w:rsidRPr="00840FA4" w:rsidRDefault="00F56D39" w:rsidP="0098181E">
                  <w:pPr>
                    <w:contextualSpacing/>
                    <w:jc w:val="both"/>
                    <w:rPr>
                      <w:rFonts w:eastAsia="Calibri"/>
                      <w:lang w:val="fr-FR"/>
                    </w:rPr>
                  </w:pPr>
                  <w:r w:rsidRPr="00840FA4">
                    <w:rPr>
                      <w:rFonts w:eastAsia="Calibri"/>
                      <w:lang w:val="fr-FR"/>
                    </w:rPr>
                    <w:t>Appuyer l'élaboration de rapports mensuels de la gestion des vaccins et leur transmission au niveau supérieur</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1222743" w14:textId="77777777" w:rsidR="00F56D39" w:rsidRPr="00840FA4" w:rsidRDefault="00F56D39" w:rsidP="0098181E">
                  <w:pPr>
                    <w:contextualSpacing/>
                    <w:jc w:val="both"/>
                    <w:rPr>
                      <w:rFonts w:eastAsia="Calibri"/>
                      <w:lang w:val="fr-FR"/>
                    </w:rPr>
                  </w:pPr>
                  <w:r w:rsidRPr="00840FA4">
                    <w:rPr>
                      <w:rFonts w:eastAsia="Calibri"/>
                      <w:lang w:val="fr-FR"/>
                    </w:rPr>
                    <w:t>Rapport mensuel de la gestion des vaccins au niveau régional (sur les entrées de stock, la distribution, l'utilisation et les taux de gaspillage.)</w:t>
                  </w:r>
                </w:p>
              </w:tc>
            </w:tr>
            <w:tr w:rsidR="00F56D39" w:rsidRPr="00F56D39" w14:paraId="38155890" w14:textId="77777777" w:rsidTr="00F56D39">
              <w:trPr>
                <w:trHeight w:val="929"/>
              </w:trPr>
              <w:tc>
                <w:tcPr>
                  <w:tcW w:w="384" w:type="dxa"/>
                  <w:tcBorders>
                    <w:top w:val="nil"/>
                    <w:left w:val="single" w:sz="4" w:space="0" w:color="auto"/>
                    <w:bottom w:val="single" w:sz="4" w:space="0" w:color="auto"/>
                    <w:right w:val="single" w:sz="4" w:space="0" w:color="auto"/>
                  </w:tcBorders>
                  <w:vAlign w:val="center"/>
                  <w:hideMark/>
                </w:tcPr>
                <w:p w14:paraId="6DE631B7" w14:textId="77777777" w:rsidR="00F56D39" w:rsidRPr="00840FA4" w:rsidRDefault="00F56D39" w:rsidP="0098181E">
                  <w:pPr>
                    <w:rPr>
                      <w:rFonts w:ascii="Calibri" w:hAnsi="Calibri" w:cs="Calibri"/>
                      <w:color w:val="000000"/>
                      <w:lang w:val="fr-FR" w:eastAsia="fr-FR"/>
                    </w:rPr>
                  </w:pPr>
                  <w:r w:rsidRPr="00840FA4">
                    <w:rPr>
                      <w:rFonts w:ascii="Calibri" w:hAnsi="Calibri" w:cs="Calibri"/>
                      <w:color w:val="000000"/>
                      <w:lang w:val="fr-FR" w:eastAsia="fr-FR"/>
                    </w:rPr>
                    <w:t xml:space="preserve"> 11</w:t>
                  </w:r>
                </w:p>
              </w:tc>
              <w:tc>
                <w:tcPr>
                  <w:tcW w:w="2902" w:type="dxa"/>
                  <w:tcBorders>
                    <w:top w:val="nil"/>
                    <w:left w:val="nil"/>
                    <w:bottom w:val="single" w:sz="4" w:space="0" w:color="auto"/>
                    <w:right w:val="single" w:sz="4" w:space="0" w:color="auto"/>
                  </w:tcBorders>
                  <w:shd w:val="clear" w:color="auto" w:fill="auto"/>
                  <w:vAlign w:val="center"/>
                  <w:hideMark/>
                </w:tcPr>
                <w:p w14:paraId="330E200F" w14:textId="77777777" w:rsidR="00F56D39" w:rsidRPr="00840FA4" w:rsidRDefault="00F56D39" w:rsidP="0098181E">
                  <w:pPr>
                    <w:contextualSpacing/>
                    <w:jc w:val="both"/>
                    <w:rPr>
                      <w:rFonts w:eastAsia="Calibri"/>
                      <w:lang w:val="fr-FR"/>
                    </w:rPr>
                  </w:pPr>
                  <w:r w:rsidRPr="00840FA4">
                    <w:rPr>
                      <w:rFonts w:eastAsia="Calibri"/>
                      <w:lang w:val="fr-FR"/>
                    </w:rPr>
                    <w:t>Faire un suivi régulier du comptage des flacons de nOPV2 pendant et après la campagne</w:t>
                  </w:r>
                </w:p>
                <w:p w14:paraId="3FF0AC8D" w14:textId="77777777" w:rsidR="00F56D39" w:rsidRPr="00840FA4" w:rsidRDefault="00F56D39" w:rsidP="0098181E">
                  <w:pPr>
                    <w:contextualSpacing/>
                    <w:jc w:val="both"/>
                    <w:rPr>
                      <w:rFonts w:eastAsia="Calibri"/>
                      <w:lang w:val="fr-FR"/>
                    </w:rPr>
                  </w:pPr>
                </w:p>
              </w:tc>
              <w:tc>
                <w:tcPr>
                  <w:tcW w:w="4359" w:type="dxa"/>
                  <w:tcBorders>
                    <w:top w:val="nil"/>
                    <w:left w:val="single" w:sz="4" w:space="0" w:color="auto"/>
                    <w:bottom w:val="single" w:sz="4" w:space="0" w:color="auto"/>
                    <w:right w:val="single" w:sz="4" w:space="0" w:color="auto"/>
                  </w:tcBorders>
                  <w:vAlign w:val="center"/>
                  <w:hideMark/>
                </w:tcPr>
                <w:p w14:paraId="0F18738B" w14:textId="77777777" w:rsidR="00F56D39" w:rsidRPr="00840FA4" w:rsidRDefault="00F56D39" w:rsidP="0098181E">
                  <w:pPr>
                    <w:contextualSpacing/>
                    <w:jc w:val="both"/>
                    <w:rPr>
                      <w:rFonts w:eastAsia="Calibri"/>
                      <w:lang w:val="fr-FR"/>
                    </w:rPr>
                  </w:pPr>
                  <w:r w:rsidRPr="00840FA4">
                    <w:rPr>
                      <w:rFonts w:eastAsia="Calibri"/>
                      <w:lang w:val="fr-FR"/>
                    </w:rPr>
                    <w:t xml:space="preserve">Rapport d’utilisation des flacons nVPO2, Formulaire A, </w:t>
                  </w:r>
                </w:p>
              </w:tc>
            </w:tr>
            <w:tr w:rsidR="00F56D39" w:rsidRPr="00840FA4" w14:paraId="008BA638" w14:textId="77777777" w:rsidTr="00F56D39">
              <w:trPr>
                <w:trHeight w:val="1033"/>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25F36794" w14:textId="77777777" w:rsidR="00F56D39" w:rsidRPr="00840FA4" w:rsidRDefault="00F56D39" w:rsidP="0098181E">
                  <w:pPr>
                    <w:jc w:val="right"/>
                    <w:rPr>
                      <w:rFonts w:ascii="Calibri" w:hAnsi="Calibri" w:cs="Calibri"/>
                      <w:color w:val="000000"/>
                      <w:lang w:val="fr-FR" w:eastAsia="fr-FR"/>
                    </w:rPr>
                  </w:pPr>
                  <w:r w:rsidRPr="00840FA4">
                    <w:rPr>
                      <w:rFonts w:ascii="Calibri" w:hAnsi="Calibri" w:cs="Calibri"/>
                      <w:color w:val="000000"/>
                      <w:lang w:val="fr-FR" w:eastAsia="fr-FR"/>
                    </w:rPr>
                    <w:t>12</w:t>
                  </w:r>
                </w:p>
              </w:tc>
              <w:tc>
                <w:tcPr>
                  <w:tcW w:w="2902" w:type="dxa"/>
                  <w:tcBorders>
                    <w:top w:val="nil"/>
                    <w:left w:val="nil"/>
                    <w:bottom w:val="single" w:sz="4" w:space="0" w:color="auto"/>
                    <w:right w:val="single" w:sz="4" w:space="0" w:color="auto"/>
                  </w:tcBorders>
                  <w:shd w:val="clear" w:color="auto" w:fill="auto"/>
                  <w:vAlign w:val="center"/>
                  <w:hideMark/>
                </w:tcPr>
                <w:p w14:paraId="05D95563" w14:textId="77777777" w:rsidR="00F56D39" w:rsidRPr="00840FA4" w:rsidRDefault="00F56D39" w:rsidP="0098181E">
                  <w:pPr>
                    <w:contextualSpacing/>
                    <w:jc w:val="both"/>
                    <w:rPr>
                      <w:rFonts w:eastAsia="Calibri"/>
                      <w:lang w:val="fr-FR"/>
                    </w:rPr>
                  </w:pPr>
                  <w:r w:rsidRPr="00840FA4">
                    <w:rPr>
                      <w:rFonts w:eastAsia="Calibri"/>
                      <w:lang w:val="fr-FR"/>
                    </w:rPr>
                    <w:t>Fournir un rapport mensuel avec une mise à jour sur l'état des activités et des recommandations susmentionnées.</w:t>
                  </w:r>
                </w:p>
              </w:tc>
              <w:tc>
                <w:tcPr>
                  <w:tcW w:w="4359" w:type="dxa"/>
                  <w:tcBorders>
                    <w:top w:val="nil"/>
                    <w:left w:val="nil"/>
                    <w:bottom w:val="single" w:sz="4" w:space="0" w:color="auto"/>
                    <w:right w:val="single" w:sz="4" w:space="0" w:color="auto"/>
                  </w:tcBorders>
                  <w:shd w:val="clear" w:color="auto" w:fill="auto"/>
                  <w:vAlign w:val="center"/>
                  <w:hideMark/>
                </w:tcPr>
                <w:p w14:paraId="7DAD686A" w14:textId="77777777" w:rsidR="00F56D39" w:rsidRPr="00840FA4" w:rsidRDefault="00F56D39" w:rsidP="0098181E">
                  <w:pPr>
                    <w:contextualSpacing/>
                    <w:jc w:val="both"/>
                    <w:rPr>
                      <w:rFonts w:eastAsia="Calibri"/>
                      <w:lang w:val="fr-FR"/>
                    </w:rPr>
                  </w:pPr>
                  <w:r w:rsidRPr="00840FA4">
                    <w:rPr>
                      <w:rFonts w:eastAsia="Calibri"/>
                      <w:lang w:val="fr-FR"/>
                    </w:rPr>
                    <w:t>Rapport mensuel</w:t>
                  </w:r>
                </w:p>
              </w:tc>
            </w:tr>
          </w:tbl>
          <w:p w14:paraId="087461A1" w14:textId="77777777" w:rsidR="00F56D39" w:rsidRPr="00840FA4" w:rsidRDefault="00F56D39" w:rsidP="0098181E">
            <w:pPr>
              <w:adjustRightInd w:val="0"/>
              <w:snapToGrid w:val="0"/>
              <w:ind w:left="88"/>
              <w:rPr>
                <w:rFonts w:cstheme="minorHAnsi"/>
                <w:color w:val="000000"/>
                <w:lang w:val="fr-FR"/>
              </w:rPr>
            </w:pPr>
          </w:p>
        </w:tc>
      </w:tr>
      <w:tr w:rsidR="00F56D39" w:rsidRPr="00F56D39" w14:paraId="5BA09E80" w14:textId="77777777" w:rsidTr="00F56D39">
        <w:trPr>
          <w:trHeight w:val="144"/>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5AAB6A61" w14:textId="77777777" w:rsidR="00F56D39" w:rsidRPr="00840FA4" w:rsidRDefault="00F56D39" w:rsidP="0098181E">
            <w:pPr>
              <w:adjustRightInd w:val="0"/>
              <w:snapToGrid w:val="0"/>
              <w:ind w:left="142"/>
              <w:rPr>
                <w:rFonts w:cstheme="minorHAnsi"/>
                <w:b/>
                <w:color w:val="000000"/>
                <w:lang w:val="fr-FR"/>
              </w:rPr>
            </w:pPr>
            <w:r w:rsidRPr="00840FA4">
              <w:rPr>
                <w:rFonts w:cstheme="minorHAnsi"/>
                <w:b/>
                <w:color w:val="000000"/>
                <w:lang w:val="fr-FR"/>
              </w:rPr>
              <w:lastRenderedPageBreak/>
              <w:t>Exigences en matière de rapports</w:t>
            </w:r>
          </w:p>
        </w:tc>
        <w:tc>
          <w:tcPr>
            <w:tcW w:w="8013" w:type="dxa"/>
            <w:tcBorders>
              <w:top w:val="outset" w:sz="6" w:space="0" w:color="auto"/>
              <w:left w:val="outset" w:sz="6" w:space="0" w:color="auto"/>
              <w:bottom w:val="outset" w:sz="6" w:space="0" w:color="auto"/>
              <w:right w:val="outset" w:sz="6" w:space="0" w:color="auto"/>
            </w:tcBorders>
            <w:hideMark/>
          </w:tcPr>
          <w:p w14:paraId="7D1CF99B" w14:textId="49A90467" w:rsidR="00F56D39" w:rsidRPr="00840FA4" w:rsidRDefault="00F56D39" w:rsidP="0098181E">
            <w:pPr>
              <w:autoSpaceDE w:val="0"/>
              <w:autoSpaceDN w:val="0"/>
              <w:adjustRightInd w:val="0"/>
              <w:jc w:val="both"/>
              <w:rPr>
                <w:rFonts w:cstheme="minorHAnsi"/>
                <w:color w:val="000000" w:themeColor="text1"/>
                <w:lang w:val="fr-FR"/>
              </w:rPr>
            </w:pPr>
            <w:r w:rsidRPr="00840FA4">
              <w:rPr>
                <w:lang w:val="fr-FR"/>
              </w:rPr>
              <w:t xml:space="preserve">Le Consultant national est placé sous la supervision technique du Consultant International </w:t>
            </w:r>
            <w:r w:rsidR="008D5639">
              <w:rPr>
                <w:color w:val="000000"/>
                <w:lang w:val="fr-FR"/>
              </w:rPr>
              <w:t>GV &amp; CFL</w:t>
            </w:r>
            <w:r w:rsidR="008D5639" w:rsidRPr="00840FA4">
              <w:rPr>
                <w:lang w:val="fr-FR"/>
              </w:rPr>
              <w:t xml:space="preserve"> </w:t>
            </w:r>
            <w:r w:rsidRPr="00840FA4">
              <w:rPr>
                <w:lang w:val="fr-FR"/>
              </w:rPr>
              <w:t>Polio et sous la supervision administrative du Coordonnateur de l’unité Polio. Le consultant national devra partager avec les superviseurs chaque fin de semaine son rapport hebdomadaire et à la fin du mois un rapport mensuel du déroulement des activités sur le terrain.</w:t>
            </w:r>
          </w:p>
        </w:tc>
      </w:tr>
      <w:tr w:rsidR="00F56D39" w:rsidRPr="00F56D39" w14:paraId="09BCE322" w14:textId="77777777" w:rsidTr="00F56D39">
        <w:trPr>
          <w:trHeight w:val="144"/>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3BED839F" w14:textId="77777777" w:rsidR="00F56D39" w:rsidRPr="00840FA4" w:rsidRDefault="00F56D39" w:rsidP="0098181E">
            <w:pPr>
              <w:adjustRightInd w:val="0"/>
              <w:snapToGrid w:val="0"/>
              <w:ind w:left="142"/>
              <w:rPr>
                <w:rFonts w:cstheme="minorHAnsi"/>
                <w:b/>
                <w:color w:val="000000"/>
              </w:rPr>
            </w:pPr>
            <w:r w:rsidRPr="00840FA4">
              <w:rPr>
                <w:rFonts w:cstheme="minorHAnsi"/>
                <w:b/>
                <w:color w:val="000000"/>
              </w:rPr>
              <w:t>Lieu et Durée</w:t>
            </w:r>
          </w:p>
        </w:tc>
        <w:tc>
          <w:tcPr>
            <w:tcW w:w="8013" w:type="dxa"/>
            <w:tcBorders>
              <w:top w:val="outset" w:sz="6" w:space="0" w:color="auto"/>
              <w:left w:val="outset" w:sz="6" w:space="0" w:color="auto"/>
              <w:bottom w:val="outset" w:sz="6" w:space="0" w:color="auto"/>
              <w:right w:val="outset" w:sz="6" w:space="0" w:color="auto"/>
            </w:tcBorders>
            <w:hideMark/>
          </w:tcPr>
          <w:p w14:paraId="21DF2C8D" w14:textId="77777777" w:rsidR="00F56D39" w:rsidRPr="00840FA4" w:rsidRDefault="00F56D39" w:rsidP="0098181E">
            <w:pPr>
              <w:autoSpaceDE w:val="0"/>
              <w:autoSpaceDN w:val="0"/>
              <w:adjustRightInd w:val="0"/>
              <w:rPr>
                <w:rFonts w:cstheme="minorHAnsi"/>
                <w:color w:val="000000"/>
                <w:lang w:val="fr-FR"/>
              </w:rPr>
            </w:pPr>
            <w:r w:rsidRPr="00840FA4">
              <w:rPr>
                <w:lang w:val="fr-FR"/>
              </w:rPr>
              <w:t xml:space="preserve">La consultation se déroulera </w:t>
            </w:r>
            <w:r>
              <w:rPr>
                <w:lang w:val="fr-FR"/>
              </w:rPr>
              <w:t>dans les lieux indiqués pour la mise en œuvre de la riposte pendant une période qui sera définie.</w:t>
            </w:r>
          </w:p>
        </w:tc>
      </w:tr>
      <w:tr w:rsidR="00F56D39" w:rsidRPr="00840FA4" w14:paraId="0B8E38A8" w14:textId="77777777" w:rsidTr="00F56D39">
        <w:trPr>
          <w:trHeight w:val="828"/>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2E6254E3" w14:textId="77777777" w:rsidR="00F56D39" w:rsidRPr="00840FA4" w:rsidRDefault="00F56D39" w:rsidP="0098181E">
            <w:pPr>
              <w:adjustRightInd w:val="0"/>
              <w:snapToGrid w:val="0"/>
              <w:ind w:left="142"/>
              <w:rPr>
                <w:rFonts w:cstheme="minorHAnsi"/>
                <w:b/>
                <w:color w:val="000000"/>
              </w:rPr>
            </w:pPr>
            <w:bookmarkStart w:id="1" w:name="_Hlk121674044"/>
            <w:r w:rsidRPr="00840FA4">
              <w:rPr>
                <w:rFonts w:cstheme="minorHAnsi"/>
                <w:b/>
                <w:color w:val="000000"/>
              </w:rPr>
              <w:t>Expérience professionnelle requise</w:t>
            </w:r>
          </w:p>
        </w:tc>
        <w:tc>
          <w:tcPr>
            <w:tcW w:w="8013" w:type="dxa"/>
            <w:tcBorders>
              <w:top w:val="outset" w:sz="6" w:space="0" w:color="auto"/>
              <w:left w:val="outset" w:sz="6" w:space="0" w:color="auto"/>
              <w:bottom w:val="outset" w:sz="6" w:space="0" w:color="auto"/>
              <w:right w:val="outset" w:sz="6" w:space="0" w:color="auto"/>
            </w:tcBorders>
            <w:hideMark/>
          </w:tcPr>
          <w:p w14:paraId="0D5F5186" w14:textId="513529A3" w:rsidR="00F56D39" w:rsidRPr="0017655D" w:rsidRDefault="00F56D39" w:rsidP="0098181E">
            <w:pPr>
              <w:jc w:val="both"/>
              <w:rPr>
                <w:rFonts w:eastAsia="Calibri"/>
                <w:lang w:val="fr-FR"/>
              </w:rPr>
            </w:pPr>
            <w:r w:rsidRPr="0017655D">
              <w:rPr>
                <w:rFonts w:eastAsia="Calibri"/>
                <w:lang w:val="fr-FR"/>
              </w:rPr>
              <w:t>-</w:t>
            </w:r>
            <w:r>
              <w:rPr>
                <w:rFonts w:eastAsia="Calibri"/>
                <w:lang w:val="fr-FR"/>
              </w:rPr>
              <w:t xml:space="preserve"> </w:t>
            </w:r>
            <w:r w:rsidRPr="0017655D">
              <w:rPr>
                <w:rFonts w:eastAsia="Calibri"/>
                <w:lang w:val="fr-FR"/>
              </w:rPr>
              <w:t>Un diplôme</w:t>
            </w:r>
            <w:r w:rsidR="005A7E04">
              <w:rPr>
                <w:rFonts w:eastAsia="Calibri"/>
                <w:lang w:val="fr-FR"/>
              </w:rPr>
              <w:t xml:space="preserve"> d’etudes</w:t>
            </w:r>
            <w:r w:rsidRPr="0017655D">
              <w:rPr>
                <w:rFonts w:eastAsia="Calibri"/>
                <w:lang w:val="fr-FR"/>
              </w:rPr>
              <w:t xml:space="preserve"> universitaire</w:t>
            </w:r>
            <w:r w:rsidR="005A7E04">
              <w:rPr>
                <w:rFonts w:eastAsia="Calibri"/>
                <w:lang w:val="fr-FR"/>
              </w:rPr>
              <w:t>s</w:t>
            </w:r>
            <w:r w:rsidR="00695ECA">
              <w:rPr>
                <w:rFonts w:eastAsia="Calibri"/>
                <w:lang w:val="fr-FR"/>
              </w:rPr>
              <w:t xml:space="preserve"> superieur</w:t>
            </w:r>
            <w:r w:rsidR="005A7E04">
              <w:rPr>
                <w:rFonts w:eastAsia="Calibri"/>
                <w:lang w:val="fr-FR"/>
              </w:rPr>
              <w:t>es</w:t>
            </w:r>
            <w:r w:rsidRPr="0017655D">
              <w:rPr>
                <w:rFonts w:eastAsia="Calibri"/>
                <w:lang w:val="fr-FR"/>
              </w:rPr>
              <w:t xml:space="preserve"> ou d’un Institut Universitaire dans un domaine pertinent (par exemple, planification d'entreprise, Sciences Médicales, gestion de la chaîne d'approvisionnement, économie, médecine, approvisionnement, logistique ou autre diplôme quantitatif. </w:t>
            </w:r>
          </w:p>
          <w:p w14:paraId="1CC738FB" w14:textId="77777777" w:rsidR="00F56D39" w:rsidRPr="00840FA4" w:rsidRDefault="00F56D39" w:rsidP="0098181E">
            <w:pPr>
              <w:contextualSpacing/>
              <w:jc w:val="both"/>
              <w:rPr>
                <w:rFonts w:eastAsia="Calibri"/>
                <w:lang w:val="fr-FR"/>
              </w:rPr>
            </w:pPr>
            <w:r>
              <w:rPr>
                <w:rFonts w:eastAsia="Calibri"/>
                <w:lang w:val="fr-FR"/>
              </w:rPr>
              <w:t xml:space="preserve">- </w:t>
            </w:r>
            <w:r w:rsidRPr="00840FA4">
              <w:rPr>
                <w:rFonts w:eastAsia="Calibri"/>
                <w:lang w:val="fr-FR"/>
              </w:rPr>
              <w:t>Connaître le système de santé du pays ; Familiarité avec les politiques d'inventaire, les stratégies d'allocation, de commande et de distribution et d'autres opérations de la chaîne d'approvisionnement</w:t>
            </w:r>
            <w:r>
              <w:rPr>
                <w:rFonts w:eastAsia="Calibri"/>
                <w:lang w:val="fr-FR"/>
              </w:rPr>
              <w:t>.</w:t>
            </w:r>
          </w:p>
          <w:p w14:paraId="21E1AA9C" w14:textId="77777777" w:rsidR="00F56D39" w:rsidRPr="00840FA4" w:rsidRDefault="00F56D39" w:rsidP="0098181E">
            <w:pPr>
              <w:contextualSpacing/>
              <w:jc w:val="both"/>
              <w:rPr>
                <w:rFonts w:eastAsia="Calibri"/>
                <w:lang w:val="fr-FR"/>
              </w:rPr>
            </w:pPr>
            <w:r>
              <w:rPr>
                <w:rFonts w:eastAsia="Calibri"/>
                <w:lang w:val="fr-FR"/>
              </w:rPr>
              <w:t xml:space="preserve">- </w:t>
            </w:r>
            <w:r w:rsidRPr="00840FA4">
              <w:rPr>
                <w:rFonts w:eastAsia="Calibri"/>
                <w:lang w:val="fr-FR"/>
              </w:rPr>
              <w:t>Connaissance des techniques de gestion informatique, y compris la navigation sur Internet.</w:t>
            </w:r>
          </w:p>
          <w:p w14:paraId="695AE9B4" w14:textId="77777777" w:rsidR="00F56D39" w:rsidRPr="00840FA4" w:rsidRDefault="00F56D39" w:rsidP="0098181E">
            <w:pPr>
              <w:contextualSpacing/>
              <w:jc w:val="both"/>
              <w:rPr>
                <w:rFonts w:eastAsia="Calibri"/>
                <w:b/>
                <w:bCs/>
                <w:lang w:val="fr-FR"/>
              </w:rPr>
            </w:pPr>
          </w:p>
          <w:p w14:paraId="5FC47FB9" w14:textId="77777777" w:rsidR="00F56D39" w:rsidRPr="00840FA4" w:rsidRDefault="00F56D39" w:rsidP="0098181E">
            <w:pPr>
              <w:contextualSpacing/>
              <w:jc w:val="both"/>
              <w:rPr>
                <w:rFonts w:eastAsia="Calibri"/>
                <w:lang w:val="fr-FR"/>
              </w:rPr>
            </w:pPr>
            <w:r w:rsidRPr="00840FA4">
              <w:rPr>
                <w:rFonts w:eastAsia="Calibri"/>
                <w:b/>
                <w:bCs/>
                <w:lang w:val="fr-FR"/>
              </w:rPr>
              <w:lastRenderedPageBreak/>
              <w:t>L'expérience professionnelle :</w:t>
            </w:r>
          </w:p>
          <w:p w14:paraId="1064B42D" w14:textId="524F37EA" w:rsidR="00F56D39" w:rsidRPr="00840FA4" w:rsidRDefault="00F56D39" w:rsidP="00F56D39">
            <w:pPr>
              <w:numPr>
                <w:ilvl w:val="0"/>
                <w:numId w:val="45"/>
              </w:numPr>
              <w:spacing w:line="259" w:lineRule="auto"/>
              <w:contextualSpacing/>
              <w:jc w:val="both"/>
              <w:rPr>
                <w:rFonts w:eastAsia="Calibri"/>
                <w:lang w:val="fr-FR"/>
              </w:rPr>
            </w:pPr>
            <w:r w:rsidRPr="00840FA4">
              <w:rPr>
                <w:rFonts w:eastAsia="Calibri"/>
                <w:lang w:val="fr-FR"/>
              </w:rPr>
              <w:t>Au moins (</w:t>
            </w:r>
            <w:r w:rsidR="00BD3FAB">
              <w:rPr>
                <w:rFonts w:eastAsia="Calibri"/>
                <w:lang w:val="fr-FR"/>
              </w:rPr>
              <w:t>5</w:t>
            </w:r>
            <w:r w:rsidRPr="00840FA4">
              <w:rPr>
                <w:rFonts w:eastAsia="Calibri"/>
                <w:lang w:val="fr-FR"/>
              </w:rPr>
              <w:t>) ans d'expérience dans la gestion de programmes de vaccination ;</w:t>
            </w:r>
          </w:p>
          <w:p w14:paraId="0260DF45" w14:textId="77777777" w:rsidR="00F56D39" w:rsidRPr="00840FA4" w:rsidRDefault="00F56D39" w:rsidP="00F56D39">
            <w:pPr>
              <w:numPr>
                <w:ilvl w:val="0"/>
                <w:numId w:val="45"/>
              </w:numPr>
              <w:spacing w:line="259" w:lineRule="auto"/>
              <w:contextualSpacing/>
              <w:jc w:val="both"/>
              <w:rPr>
                <w:rFonts w:eastAsia="Calibri"/>
                <w:lang w:val="fr-FR"/>
              </w:rPr>
            </w:pPr>
            <w:r w:rsidRPr="00840FA4">
              <w:rPr>
                <w:rFonts w:eastAsia="Calibri"/>
                <w:lang w:val="fr-FR"/>
              </w:rPr>
              <w:t>Expérience de travail avec UNICEF ;</w:t>
            </w:r>
          </w:p>
          <w:p w14:paraId="59620107" w14:textId="77777777" w:rsidR="00F56D39" w:rsidRPr="00840FA4" w:rsidRDefault="00F56D39" w:rsidP="00F56D39">
            <w:pPr>
              <w:numPr>
                <w:ilvl w:val="0"/>
                <w:numId w:val="45"/>
              </w:numPr>
              <w:spacing w:line="259" w:lineRule="auto"/>
              <w:contextualSpacing/>
              <w:jc w:val="both"/>
              <w:rPr>
                <w:rFonts w:eastAsia="Calibri"/>
                <w:lang w:val="fr-FR"/>
              </w:rPr>
            </w:pPr>
            <w:r w:rsidRPr="00840FA4">
              <w:rPr>
                <w:rFonts w:eastAsia="Calibri"/>
                <w:lang w:val="fr-FR"/>
              </w:rPr>
              <w:t xml:space="preserve">Avoir des compétences dans le travail d’équipe et la formation des adultes ;  </w:t>
            </w:r>
          </w:p>
          <w:p w14:paraId="1FCE54C5" w14:textId="77777777" w:rsidR="00F56D39" w:rsidRPr="00840FA4" w:rsidRDefault="00F56D39" w:rsidP="00F56D39">
            <w:pPr>
              <w:numPr>
                <w:ilvl w:val="0"/>
                <w:numId w:val="45"/>
              </w:numPr>
              <w:spacing w:line="259" w:lineRule="auto"/>
              <w:contextualSpacing/>
              <w:jc w:val="both"/>
              <w:rPr>
                <w:rFonts w:eastAsia="Calibri"/>
                <w:lang w:val="fr-FR"/>
              </w:rPr>
            </w:pPr>
            <w:r w:rsidRPr="00840FA4">
              <w:rPr>
                <w:rFonts w:eastAsia="Calibri"/>
                <w:lang w:val="fr-FR"/>
              </w:rPr>
              <w:t>Expérience dans la gestion de la logistique des campagnes de vaccination ;</w:t>
            </w:r>
          </w:p>
          <w:p w14:paraId="4996D146" w14:textId="77777777" w:rsidR="00F56D39" w:rsidRPr="00840FA4" w:rsidRDefault="00F56D39" w:rsidP="00F56D39">
            <w:pPr>
              <w:numPr>
                <w:ilvl w:val="0"/>
                <w:numId w:val="45"/>
              </w:numPr>
              <w:spacing w:line="259" w:lineRule="auto"/>
              <w:contextualSpacing/>
              <w:jc w:val="both"/>
              <w:rPr>
                <w:rFonts w:eastAsia="Calibri"/>
                <w:lang w:val="fr-FR"/>
              </w:rPr>
            </w:pPr>
            <w:r w:rsidRPr="00840FA4">
              <w:rPr>
                <w:rFonts w:eastAsia="Calibri"/>
                <w:lang w:val="fr-FR"/>
              </w:rPr>
              <w:t xml:space="preserve">Implication dans une campagne utilisant le VPOm2 ou nVPO2 sera un atout ; </w:t>
            </w:r>
          </w:p>
          <w:p w14:paraId="39E73DC0" w14:textId="77777777" w:rsidR="00F56D39" w:rsidRPr="00840FA4" w:rsidRDefault="00F56D39" w:rsidP="00F56D39">
            <w:pPr>
              <w:numPr>
                <w:ilvl w:val="0"/>
                <w:numId w:val="45"/>
              </w:numPr>
              <w:spacing w:line="259" w:lineRule="auto"/>
              <w:contextualSpacing/>
              <w:jc w:val="both"/>
              <w:rPr>
                <w:rFonts w:eastAsia="Calibri"/>
                <w:lang w:val="fr-FR"/>
              </w:rPr>
            </w:pPr>
            <w:r w:rsidRPr="00840FA4">
              <w:rPr>
                <w:rFonts w:eastAsia="Calibri"/>
                <w:lang w:val="fr-FR"/>
              </w:rPr>
              <w:t>Maîtriser l’outil informatique, notamment des logiciels Excel, Word et PowerPoint ;</w:t>
            </w:r>
          </w:p>
          <w:p w14:paraId="7738C7FD" w14:textId="77777777" w:rsidR="00F56D39" w:rsidRPr="00840FA4" w:rsidRDefault="00F56D39" w:rsidP="00F56D39">
            <w:pPr>
              <w:numPr>
                <w:ilvl w:val="0"/>
                <w:numId w:val="45"/>
              </w:numPr>
              <w:spacing w:line="259" w:lineRule="auto"/>
              <w:contextualSpacing/>
              <w:jc w:val="both"/>
              <w:rPr>
                <w:rFonts w:eastAsia="Calibri"/>
                <w:lang w:val="fr-FR"/>
              </w:rPr>
            </w:pPr>
            <w:r w:rsidRPr="00840FA4">
              <w:rPr>
                <w:rFonts w:eastAsia="Calibri"/>
                <w:lang w:val="fr-FR"/>
              </w:rPr>
              <w:t xml:space="preserve"> Maitrise des outils logistiques du PEV (SMT, DVDMT, outils d’Inventaire Chaine du froid)</w:t>
            </w:r>
          </w:p>
          <w:p w14:paraId="585D1B90" w14:textId="77777777" w:rsidR="00F56D39" w:rsidRPr="00840FA4" w:rsidRDefault="00F56D39" w:rsidP="00F56D39">
            <w:pPr>
              <w:numPr>
                <w:ilvl w:val="0"/>
                <w:numId w:val="45"/>
              </w:numPr>
              <w:spacing w:after="160" w:line="259" w:lineRule="auto"/>
              <w:contextualSpacing/>
              <w:rPr>
                <w:rFonts w:eastAsia="Calibri"/>
                <w:lang w:val="fr-FR"/>
              </w:rPr>
            </w:pPr>
            <w:r w:rsidRPr="00840FA4">
              <w:rPr>
                <w:rFonts w:eastAsia="Calibri"/>
                <w:lang w:val="fr-FR"/>
              </w:rPr>
              <w:t>Avoir une expérience avérée dans le domaine de la mise en œuvre des campagnes de vaccination de masse plus spécifiquement les JNV polio ;</w:t>
            </w:r>
          </w:p>
          <w:p w14:paraId="06F73776" w14:textId="77777777" w:rsidR="00F56D39" w:rsidRPr="00840FA4" w:rsidRDefault="00F56D39" w:rsidP="0098181E">
            <w:pPr>
              <w:contextualSpacing/>
              <w:jc w:val="both"/>
              <w:rPr>
                <w:rFonts w:eastAsia="Calibri"/>
                <w:lang w:val="fr-FR"/>
              </w:rPr>
            </w:pPr>
            <w:r w:rsidRPr="00840FA4">
              <w:rPr>
                <w:rFonts w:eastAsia="Calibri"/>
                <w:b/>
                <w:bCs/>
                <w:lang w:val="fr-FR"/>
              </w:rPr>
              <w:t>Compétences :</w:t>
            </w:r>
          </w:p>
          <w:p w14:paraId="55175CAB"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Solides compétences organisationnelles, de planification et d'analyse.</w:t>
            </w:r>
          </w:p>
          <w:p w14:paraId="7C4AEBCD"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Bon jugement, initiative, sens élevé des responsabilités, tact et discrétion.</w:t>
            </w:r>
          </w:p>
          <w:p w14:paraId="614515F3"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Avoir une très bonne capacité à rédiger des documents ;</w:t>
            </w:r>
          </w:p>
          <w:p w14:paraId="3267FC7F"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Avoir une capacité organisationnelle et managériale ;</w:t>
            </w:r>
          </w:p>
          <w:p w14:paraId="5A4E5938"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Savoir entretenir de bonnes relations avec tous les partenaires ;</w:t>
            </w:r>
          </w:p>
          <w:p w14:paraId="0AC1A552"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Soyez un joueur d’équipe ;</w:t>
            </w:r>
          </w:p>
          <w:p w14:paraId="41EFE473"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Capacité à travailler dans un environnement multiculturel ;</w:t>
            </w:r>
          </w:p>
          <w:p w14:paraId="2B1BE951" w14:textId="77777777" w:rsidR="00F56D39" w:rsidRPr="00840FA4" w:rsidRDefault="00F56D39" w:rsidP="00F56D39">
            <w:pPr>
              <w:numPr>
                <w:ilvl w:val="0"/>
                <w:numId w:val="46"/>
              </w:numPr>
              <w:spacing w:line="259" w:lineRule="auto"/>
              <w:contextualSpacing/>
              <w:jc w:val="both"/>
              <w:rPr>
                <w:rFonts w:eastAsia="Calibri"/>
                <w:lang w:val="fr-FR"/>
              </w:rPr>
            </w:pPr>
            <w:r w:rsidRPr="00840FA4">
              <w:rPr>
                <w:rFonts w:eastAsia="Calibri"/>
                <w:lang w:val="fr-FR"/>
              </w:rPr>
              <w:t>Avoir la capacité de communiquer et de s'entraîner</w:t>
            </w:r>
          </w:p>
          <w:p w14:paraId="68D2A496" w14:textId="77777777" w:rsidR="00F56D39" w:rsidRPr="00840FA4" w:rsidRDefault="00F56D39" w:rsidP="0098181E">
            <w:pPr>
              <w:contextualSpacing/>
              <w:jc w:val="both"/>
              <w:rPr>
                <w:rFonts w:eastAsia="Calibri"/>
                <w:lang w:val="fr-FR"/>
              </w:rPr>
            </w:pPr>
            <w:r w:rsidRPr="00840FA4">
              <w:rPr>
                <w:rFonts w:eastAsia="Calibri"/>
                <w:b/>
                <w:bCs/>
                <w:lang w:val="fr-FR"/>
              </w:rPr>
              <w:t>Langue :</w:t>
            </w:r>
          </w:p>
          <w:p w14:paraId="7400F85D" w14:textId="77777777" w:rsidR="00F56D39" w:rsidRPr="00840FA4" w:rsidRDefault="00F56D39" w:rsidP="00F56D39">
            <w:pPr>
              <w:numPr>
                <w:ilvl w:val="0"/>
                <w:numId w:val="47"/>
              </w:numPr>
              <w:spacing w:line="259" w:lineRule="auto"/>
              <w:contextualSpacing/>
              <w:jc w:val="both"/>
              <w:rPr>
                <w:rFonts w:eastAsia="Calibri"/>
                <w:lang w:val="fr-FR"/>
              </w:rPr>
            </w:pPr>
            <w:r w:rsidRPr="00840FA4">
              <w:rPr>
                <w:rFonts w:eastAsia="Calibri"/>
                <w:lang w:val="fr-FR"/>
              </w:rPr>
              <w:t>Excellente communication écrite et verbale en Français</w:t>
            </w:r>
          </w:p>
          <w:p w14:paraId="6444FAE0" w14:textId="77777777" w:rsidR="00F56D39" w:rsidRPr="00840FA4" w:rsidRDefault="00F56D39" w:rsidP="00F56D39">
            <w:pPr>
              <w:numPr>
                <w:ilvl w:val="0"/>
                <w:numId w:val="47"/>
              </w:numPr>
              <w:spacing w:line="259" w:lineRule="auto"/>
              <w:contextualSpacing/>
              <w:jc w:val="both"/>
              <w:rPr>
                <w:rFonts w:eastAsia="Calibri"/>
                <w:lang w:val="fr-FR"/>
              </w:rPr>
            </w:pPr>
            <w:r w:rsidRPr="00840FA4">
              <w:rPr>
                <w:rFonts w:eastAsia="Calibri"/>
                <w:lang w:val="fr-FR"/>
              </w:rPr>
              <w:t>Connaissance en langues locales</w:t>
            </w:r>
          </w:p>
          <w:p w14:paraId="45593D37" w14:textId="77777777" w:rsidR="00F56D39" w:rsidRPr="00840FA4" w:rsidRDefault="00F56D39" w:rsidP="0098181E">
            <w:pPr>
              <w:pStyle w:val="ListParagraph"/>
              <w:adjustRightInd w:val="0"/>
              <w:snapToGrid w:val="0"/>
              <w:ind w:left="448"/>
              <w:rPr>
                <w:rFonts w:cstheme="minorHAnsi"/>
                <w:color w:val="000000"/>
                <w:lang w:val="fr-FR"/>
              </w:rPr>
            </w:pPr>
          </w:p>
        </w:tc>
      </w:tr>
      <w:bookmarkEnd w:id="1"/>
      <w:tr w:rsidR="00F56D39" w:rsidRPr="00F56D39" w14:paraId="066B1175" w14:textId="77777777" w:rsidTr="00F56D39">
        <w:trPr>
          <w:trHeight w:val="3539"/>
          <w:tblCellSpacing w:w="15" w:type="dxa"/>
        </w:trPr>
        <w:tc>
          <w:tcPr>
            <w:tcW w:w="1789" w:type="dxa"/>
            <w:tcBorders>
              <w:top w:val="outset" w:sz="6" w:space="0" w:color="auto"/>
              <w:left w:val="outset" w:sz="6" w:space="0" w:color="auto"/>
              <w:bottom w:val="outset" w:sz="6" w:space="0" w:color="auto"/>
              <w:right w:val="outset" w:sz="6" w:space="0" w:color="auto"/>
            </w:tcBorders>
            <w:hideMark/>
          </w:tcPr>
          <w:p w14:paraId="6A20380E" w14:textId="77777777" w:rsidR="00F56D39" w:rsidRPr="00840FA4" w:rsidRDefault="00F56D39" w:rsidP="0098181E">
            <w:pPr>
              <w:adjustRightInd w:val="0"/>
              <w:snapToGrid w:val="0"/>
              <w:ind w:left="142"/>
              <w:rPr>
                <w:rFonts w:cstheme="minorHAnsi"/>
                <w:b/>
                <w:color w:val="000000"/>
              </w:rPr>
            </w:pPr>
            <w:r w:rsidRPr="00840FA4">
              <w:rPr>
                <w:rFonts w:cstheme="minorHAnsi"/>
                <w:b/>
                <w:color w:val="000000"/>
              </w:rPr>
              <w:lastRenderedPageBreak/>
              <w:t>Questions administratives</w:t>
            </w:r>
          </w:p>
        </w:tc>
        <w:tc>
          <w:tcPr>
            <w:tcW w:w="8013" w:type="dxa"/>
            <w:tcBorders>
              <w:top w:val="outset" w:sz="6" w:space="0" w:color="auto"/>
              <w:left w:val="outset" w:sz="6" w:space="0" w:color="auto"/>
              <w:bottom w:val="outset" w:sz="6" w:space="0" w:color="auto"/>
              <w:right w:val="outset" w:sz="6" w:space="0" w:color="auto"/>
            </w:tcBorders>
          </w:tcPr>
          <w:p w14:paraId="1030699A" w14:textId="77777777" w:rsidR="00F56D39" w:rsidRPr="00840FA4" w:rsidRDefault="00F56D39" w:rsidP="0098181E">
            <w:pPr>
              <w:contextualSpacing/>
              <w:jc w:val="both"/>
              <w:rPr>
                <w:rFonts w:eastAsia="Calibri"/>
                <w:lang w:val="fr-FR"/>
              </w:rPr>
            </w:pPr>
            <w:r w:rsidRPr="00840FA4">
              <w:rPr>
                <w:rFonts w:eastAsia="Calibri"/>
                <w:b/>
                <w:bCs/>
                <w:i/>
                <w:iCs/>
                <w:lang w:val="fr-FR"/>
              </w:rPr>
              <w:t>Les candidats qualifiés sont priés de soumettre :</w:t>
            </w:r>
          </w:p>
          <w:p w14:paraId="2C500500" w14:textId="5CF3CBA5" w:rsidR="00F56D39" w:rsidRPr="00840FA4" w:rsidRDefault="00F56D39" w:rsidP="00F56D39">
            <w:pPr>
              <w:numPr>
                <w:ilvl w:val="0"/>
                <w:numId w:val="48"/>
              </w:numPr>
              <w:spacing w:line="276" w:lineRule="auto"/>
              <w:contextualSpacing/>
              <w:jc w:val="both"/>
              <w:rPr>
                <w:lang w:val="fr-FR"/>
              </w:rPr>
            </w:pPr>
            <w:r w:rsidRPr="00840FA4">
              <w:rPr>
                <w:lang w:val="fr-FR"/>
              </w:rPr>
              <w:t>Lettre de motivation/candidature/CV</w:t>
            </w:r>
            <w:r w:rsidR="00651932">
              <w:rPr>
                <w:lang w:val="fr-FR"/>
              </w:rPr>
              <w:t>/P.11</w:t>
            </w:r>
            <w:r w:rsidRPr="00840FA4">
              <w:rPr>
                <w:lang w:val="fr-FR"/>
              </w:rPr>
              <w:t>.</w:t>
            </w:r>
          </w:p>
          <w:p w14:paraId="14DC927E" w14:textId="77777777" w:rsidR="00F56D39" w:rsidRPr="00840FA4" w:rsidRDefault="00F56D39" w:rsidP="00F56D39">
            <w:pPr>
              <w:numPr>
                <w:ilvl w:val="0"/>
                <w:numId w:val="48"/>
              </w:numPr>
              <w:spacing w:line="276" w:lineRule="auto"/>
              <w:contextualSpacing/>
              <w:jc w:val="both"/>
              <w:rPr>
                <w:lang w:val="fr-FR"/>
              </w:rPr>
            </w:pPr>
            <w:r w:rsidRPr="00840FA4">
              <w:rPr>
                <w:lang w:val="fr-FR"/>
              </w:rPr>
              <w:t>Une proposition technique avec la méthodologie/l'approche proposée pour la gestion du projet, montrant la compréhension des tâches.</w:t>
            </w:r>
          </w:p>
          <w:p w14:paraId="6CEC95CE" w14:textId="77777777" w:rsidR="00F56D39" w:rsidRPr="00840FA4" w:rsidRDefault="00F56D39" w:rsidP="00F56D39">
            <w:pPr>
              <w:numPr>
                <w:ilvl w:val="0"/>
                <w:numId w:val="48"/>
              </w:numPr>
              <w:spacing w:line="276" w:lineRule="auto"/>
              <w:contextualSpacing/>
              <w:jc w:val="both"/>
              <w:rPr>
                <w:lang w:val="fr-FR"/>
              </w:rPr>
            </w:pPr>
            <w:r w:rsidRPr="00840FA4">
              <w:rPr>
                <w:lang w:val="fr-FR"/>
              </w:rPr>
              <w:t>Copie des diplômes et attestations de travail antérieur</w:t>
            </w:r>
          </w:p>
          <w:p w14:paraId="4B3BFC37" w14:textId="77777777" w:rsidR="00F56D39" w:rsidRPr="00840FA4" w:rsidRDefault="00F56D39" w:rsidP="00F56D39">
            <w:pPr>
              <w:numPr>
                <w:ilvl w:val="0"/>
                <w:numId w:val="48"/>
              </w:numPr>
              <w:spacing w:line="276" w:lineRule="auto"/>
              <w:contextualSpacing/>
              <w:jc w:val="both"/>
              <w:rPr>
                <w:lang w:val="fr-FR"/>
              </w:rPr>
            </w:pPr>
            <w:r w:rsidRPr="00840FA4">
              <w:rPr>
                <w:lang w:val="fr-FR"/>
              </w:rPr>
              <w:t>Offre financière en dollars par mois, indiquant également le délai d'achèvement du livrable et/ou le tarif journalier (ainsi que les frais de déplacement et de séjour, le cas échéant).</w:t>
            </w:r>
          </w:p>
          <w:p w14:paraId="7566DE4C" w14:textId="7D89FF2C" w:rsidR="00F56D39" w:rsidRPr="00840FA4" w:rsidRDefault="00F56D39" w:rsidP="00651932">
            <w:pPr>
              <w:numPr>
                <w:ilvl w:val="0"/>
                <w:numId w:val="48"/>
              </w:numPr>
              <w:spacing w:line="276" w:lineRule="auto"/>
              <w:contextualSpacing/>
              <w:jc w:val="both"/>
              <w:rPr>
                <w:rFonts w:cstheme="minorHAnsi"/>
                <w:color w:val="000000"/>
                <w:lang w:val="fr-FR"/>
              </w:rPr>
            </w:pPr>
            <w:r w:rsidRPr="00840FA4">
              <w:rPr>
                <w:lang w:val="fr-FR"/>
              </w:rPr>
              <w:t>Exemples de travaux antérieurs pertinents liés aux livrables</w:t>
            </w:r>
            <w:r w:rsidR="00651932">
              <w:rPr>
                <w:lang w:val="fr-FR"/>
              </w:rPr>
              <w:t>.</w:t>
            </w:r>
          </w:p>
        </w:tc>
      </w:tr>
      <w:tr w:rsidR="00695ECA" w:rsidRPr="00F56D39" w14:paraId="2B0D4B3D" w14:textId="77777777" w:rsidTr="00F56D39">
        <w:trPr>
          <w:trHeight w:val="711"/>
          <w:tblCellSpacing w:w="15" w:type="dxa"/>
        </w:trPr>
        <w:tc>
          <w:tcPr>
            <w:tcW w:w="1789" w:type="dxa"/>
            <w:tcBorders>
              <w:top w:val="outset" w:sz="6" w:space="0" w:color="auto"/>
              <w:left w:val="outset" w:sz="6" w:space="0" w:color="auto"/>
              <w:bottom w:val="outset" w:sz="6" w:space="0" w:color="auto"/>
              <w:right w:val="outset" w:sz="6" w:space="0" w:color="auto"/>
            </w:tcBorders>
          </w:tcPr>
          <w:p w14:paraId="5489751E" w14:textId="153A22E0" w:rsidR="00695ECA" w:rsidRPr="00840FA4" w:rsidRDefault="00695ECA" w:rsidP="00695ECA">
            <w:pPr>
              <w:adjustRightInd w:val="0"/>
              <w:snapToGrid w:val="0"/>
              <w:ind w:left="142"/>
              <w:rPr>
                <w:rFonts w:cstheme="minorHAnsi"/>
                <w:b/>
                <w:color w:val="000000"/>
              </w:rPr>
            </w:pPr>
            <w:r w:rsidRPr="00E94789">
              <w:rPr>
                <w:rFonts w:cstheme="minorHAnsi"/>
                <w:b/>
                <w:color w:val="000000"/>
                <w:lang w:val="fr-FR"/>
              </w:rPr>
              <w:t>Processus et méthodes d'évaluation</w:t>
            </w:r>
          </w:p>
        </w:tc>
        <w:tc>
          <w:tcPr>
            <w:tcW w:w="8013" w:type="dxa"/>
            <w:tcBorders>
              <w:top w:val="outset" w:sz="6" w:space="0" w:color="auto"/>
              <w:left w:val="outset" w:sz="6" w:space="0" w:color="auto"/>
              <w:bottom w:val="outset" w:sz="6" w:space="0" w:color="auto"/>
              <w:right w:val="outset" w:sz="6" w:space="0" w:color="auto"/>
            </w:tcBorders>
          </w:tcPr>
          <w:p w14:paraId="7258A13F" w14:textId="77777777" w:rsidR="00695ECA" w:rsidRPr="00797723" w:rsidRDefault="00695ECA" w:rsidP="00695ECA">
            <w:pPr>
              <w:pStyle w:val="NormalWeb"/>
              <w:spacing w:before="0" w:beforeAutospacing="0" w:after="0" w:afterAutospacing="0" w:line="293" w:lineRule="atLeast"/>
              <w:jc w:val="both"/>
              <w:textAlignment w:val="baseline"/>
              <w:rPr>
                <w:rFonts w:ascii="New Times" w:hAnsi="New Times" w:cstheme="minorHAnsi"/>
                <w:lang w:val="fr-FR"/>
              </w:rPr>
            </w:pPr>
            <w:r>
              <w:rPr>
                <w:rFonts w:cstheme="minorHAnsi"/>
                <w:lang w:val="fr-FR"/>
              </w:rPr>
              <w:t xml:space="preserve"> </w:t>
            </w:r>
            <w:r w:rsidRPr="00797723">
              <w:rPr>
                <w:rFonts w:ascii="New Times" w:hAnsi="New Times" w:cstheme="minorHAnsi"/>
                <w:lang w:val="fr-FR"/>
              </w:rPr>
              <w:t xml:space="preserve">L'inclusion dans la liste d'experts sera offerte aux </w:t>
            </w:r>
            <w:r>
              <w:rPr>
                <w:rFonts w:ascii="New Times" w:hAnsi="New Times" w:cstheme="minorHAnsi"/>
                <w:lang w:val="fr-FR"/>
              </w:rPr>
              <w:t>Entrepreneurs Individuels</w:t>
            </w:r>
            <w:r w:rsidRPr="00797723">
              <w:rPr>
                <w:rFonts w:ascii="New Times" w:hAnsi="New Times" w:cstheme="minorHAnsi"/>
                <w:lang w:val="fr-FR"/>
              </w:rPr>
              <w:t xml:space="preserve">  dont les offres ont été évaluées et déterminées comme </w:t>
            </w:r>
          </w:p>
          <w:p w14:paraId="4D2EDEBA" w14:textId="77777777" w:rsidR="00695ECA" w:rsidRPr="00797723" w:rsidRDefault="00695ECA" w:rsidP="00695ECA">
            <w:pPr>
              <w:pStyle w:val="NormalWeb"/>
              <w:spacing w:before="0" w:beforeAutospacing="0" w:after="0" w:afterAutospacing="0" w:line="293" w:lineRule="atLeast"/>
              <w:ind w:left="720"/>
              <w:jc w:val="both"/>
              <w:textAlignment w:val="baseline"/>
              <w:rPr>
                <w:rFonts w:ascii="New Times" w:hAnsi="New Times" w:cstheme="minorHAnsi"/>
                <w:lang w:val="fr-FR"/>
              </w:rPr>
            </w:pPr>
            <w:r w:rsidRPr="00797723">
              <w:rPr>
                <w:rFonts w:ascii="New Times" w:hAnsi="New Times" w:cstheme="minorHAnsi"/>
                <w:lang w:val="fr-FR"/>
              </w:rPr>
              <w:t>(a) répondant aux compétences et à l'expérience</w:t>
            </w:r>
          </w:p>
          <w:p w14:paraId="1A2374B1" w14:textId="77777777" w:rsidR="00695ECA" w:rsidRPr="00797723" w:rsidRDefault="00695ECA" w:rsidP="00695ECA">
            <w:pPr>
              <w:pStyle w:val="NormalWeb"/>
              <w:spacing w:before="0" w:beforeAutospacing="0" w:after="0" w:afterAutospacing="0" w:line="293" w:lineRule="atLeast"/>
              <w:ind w:left="720"/>
              <w:jc w:val="both"/>
              <w:textAlignment w:val="baseline"/>
              <w:rPr>
                <w:rFonts w:ascii="New Times" w:hAnsi="New Times" w:cstheme="minorHAnsi"/>
                <w:lang w:val="fr-FR"/>
              </w:rPr>
            </w:pPr>
            <w:r w:rsidRPr="00797723">
              <w:rPr>
                <w:rFonts w:ascii="New Times" w:hAnsi="New Times" w:cstheme="minorHAnsi"/>
                <w:lang w:val="fr-FR"/>
              </w:rPr>
              <w:lastRenderedPageBreak/>
              <w:t xml:space="preserve">(b) ayant reçu des scores élevés par rapport aux critères d'évaluation, et </w:t>
            </w:r>
          </w:p>
          <w:p w14:paraId="5D406C16" w14:textId="77777777" w:rsidR="00695ECA" w:rsidRPr="00797723" w:rsidRDefault="00695ECA" w:rsidP="00695ECA">
            <w:pPr>
              <w:pStyle w:val="NormalWeb"/>
              <w:spacing w:before="0" w:beforeAutospacing="0" w:after="0" w:afterAutospacing="0" w:line="293" w:lineRule="atLeast"/>
              <w:ind w:left="720"/>
              <w:jc w:val="both"/>
              <w:textAlignment w:val="baseline"/>
              <w:rPr>
                <w:rFonts w:ascii="New Times" w:hAnsi="New Times" w:cstheme="minorHAnsi"/>
                <w:lang w:val="fr-FR"/>
              </w:rPr>
            </w:pPr>
            <w:r w:rsidRPr="00797723">
              <w:rPr>
                <w:rFonts w:ascii="New Times" w:hAnsi="New Times" w:cstheme="minorHAnsi"/>
                <w:lang w:val="fr-FR"/>
              </w:rPr>
              <w:t>(c) reçu de bonnes références.</w:t>
            </w:r>
          </w:p>
          <w:p w14:paraId="0B7F7444" w14:textId="77777777" w:rsidR="00695ECA" w:rsidRDefault="00695ECA" w:rsidP="00695ECA">
            <w:pPr>
              <w:rPr>
                <w:lang w:val="fr-FR"/>
              </w:rPr>
            </w:pPr>
          </w:p>
          <w:p w14:paraId="339C1A3D" w14:textId="5623AE22" w:rsidR="00695ECA" w:rsidRDefault="00695ECA" w:rsidP="00695ECA">
            <w:pPr>
              <w:rPr>
                <w:lang w:val="fr-FR"/>
              </w:rPr>
            </w:pPr>
            <w:r>
              <w:rPr>
                <w:lang w:val="fr-FR"/>
              </w:rPr>
              <w:t>Les candidats pourraient faire l’objet d’evaluations complementaires (test ecrit et</w:t>
            </w:r>
            <w:r w:rsidR="00D978DE">
              <w:rPr>
                <w:lang w:val="fr-FR"/>
              </w:rPr>
              <w:t>/ou</w:t>
            </w:r>
            <w:r>
              <w:rPr>
                <w:lang w:val="fr-FR"/>
              </w:rPr>
              <w:t xml:space="preserve"> interviews).</w:t>
            </w:r>
          </w:p>
          <w:p w14:paraId="06A75F38" w14:textId="77777777" w:rsidR="00695ECA" w:rsidRDefault="00695ECA" w:rsidP="00695ECA">
            <w:pPr>
              <w:rPr>
                <w:lang w:val="fr-FR"/>
              </w:rPr>
            </w:pPr>
          </w:p>
          <w:p w14:paraId="5DFC9EA4" w14:textId="77777777" w:rsidR="00695ECA" w:rsidRPr="00322DC3" w:rsidRDefault="00695ECA" w:rsidP="00695ECA">
            <w:pPr>
              <w:rPr>
                <w:lang w:val="fr-FR"/>
              </w:rPr>
            </w:pPr>
            <w:r>
              <w:rPr>
                <w:lang w:val="fr-FR"/>
              </w:rPr>
              <w:t xml:space="preserve">L’UNICEF ne contracte plus directement les entrepreneurs individuels. Aussi, en cas de sélection, le consultant sera contracté à travers </w:t>
            </w:r>
            <w:r>
              <w:rPr>
                <w:rFonts w:cstheme="minorHAnsi"/>
                <w:lang w:val="fr-FR"/>
              </w:rPr>
              <w:t>une agence de gestion de Ressources Humaines.</w:t>
            </w:r>
          </w:p>
          <w:p w14:paraId="385EE1E8" w14:textId="02A0D909" w:rsidR="00695ECA" w:rsidRPr="00840FA4" w:rsidRDefault="00695ECA" w:rsidP="00695ECA">
            <w:pPr>
              <w:autoSpaceDE w:val="0"/>
              <w:autoSpaceDN w:val="0"/>
              <w:adjustRightInd w:val="0"/>
              <w:jc w:val="both"/>
              <w:rPr>
                <w:rStyle w:val="CommentReference"/>
                <w:rFonts w:cstheme="minorHAnsi"/>
                <w:sz w:val="24"/>
                <w:szCs w:val="24"/>
                <w:lang w:val="fr-FR"/>
              </w:rPr>
            </w:pPr>
          </w:p>
        </w:tc>
      </w:tr>
    </w:tbl>
    <w:p w14:paraId="0412D1C9" w14:textId="77777777" w:rsidR="00F56D39" w:rsidRPr="00840FA4" w:rsidRDefault="00F56D39" w:rsidP="00F56D39">
      <w:pPr>
        <w:adjustRightInd w:val="0"/>
        <w:snapToGrid w:val="0"/>
        <w:rPr>
          <w:rFonts w:cstheme="minorHAnsi"/>
          <w:b/>
          <w:color w:val="000000"/>
          <w:lang w:val="fr-FR"/>
        </w:rPr>
      </w:pPr>
    </w:p>
    <w:p w14:paraId="0CFFD1A0" w14:textId="77777777" w:rsidR="00F56D39" w:rsidRPr="00695ECA" w:rsidRDefault="00F56D39" w:rsidP="00F56D39">
      <w:pPr>
        <w:adjustRightInd w:val="0"/>
        <w:snapToGrid w:val="0"/>
        <w:rPr>
          <w:rFonts w:cstheme="minorHAnsi"/>
          <w:b/>
          <w:color w:val="000000"/>
          <w:lang w:val="fr-FR"/>
        </w:rPr>
      </w:pPr>
    </w:p>
    <w:p w14:paraId="4D19B0C7" w14:textId="77777777" w:rsidR="00F56D39" w:rsidRPr="00695ECA" w:rsidRDefault="00F56D39" w:rsidP="00F56D39">
      <w:pPr>
        <w:pStyle w:val="ListParagraph"/>
        <w:adjustRightInd w:val="0"/>
        <w:snapToGrid w:val="0"/>
        <w:ind w:left="2160"/>
        <w:rPr>
          <w:rFonts w:cstheme="minorHAnsi"/>
          <w:color w:val="000000"/>
          <w:sz w:val="20"/>
          <w:szCs w:val="20"/>
          <w:lang w:val="fr-FR"/>
        </w:rPr>
      </w:pPr>
    </w:p>
    <w:p w14:paraId="20713680" w14:textId="77777777" w:rsidR="00F56D39" w:rsidRPr="00695ECA" w:rsidRDefault="00F56D39" w:rsidP="00BB3C69">
      <w:pPr>
        <w:spacing w:after="120"/>
        <w:jc w:val="center"/>
        <w:rPr>
          <w:rFonts w:ascii="Arial Narrow" w:hAnsi="Arial Narrow" w:cstheme="minorHAnsi"/>
          <w:b/>
          <w:color w:val="000000"/>
          <w:sz w:val="28"/>
          <w:szCs w:val="28"/>
          <w:lang w:val="fr-FR"/>
        </w:rPr>
      </w:pPr>
    </w:p>
    <w:sectPr w:rsidR="00F56D39" w:rsidRPr="00695ECA" w:rsidSect="00F909E5">
      <w:headerReference w:type="default" r:id="rId11"/>
      <w:footerReference w:type="default" r:id="rId12"/>
      <w:pgSz w:w="11907" w:h="16839" w:code="9"/>
      <w:pgMar w:top="135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612A3" w14:textId="77777777" w:rsidR="00520AA3" w:rsidRDefault="00520AA3" w:rsidP="00C274F9">
      <w:r>
        <w:separator/>
      </w:r>
    </w:p>
  </w:endnote>
  <w:endnote w:type="continuationSeparator" w:id="0">
    <w:p w14:paraId="785285CB" w14:textId="77777777" w:rsidR="00520AA3" w:rsidRDefault="00520AA3"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 Time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10495596"/>
      <w:docPartObj>
        <w:docPartGallery w:val="Page Numbers (Bottom of Page)"/>
        <w:docPartUnique/>
      </w:docPartObj>
    </w:sdtPr>
    <w:sdtEndPr>
      <w:rPr>
        <w:noProof/>
      </w:rPr>
    </w:sdtEndPr>
    <w:sdtContent>
      <w:p w14:paraId="1D9892FC" w14:textId="44DC79EF" w:rsidR="00AF7E9D" w:rsidRDefault="00BB1C08">
        <w:pPr>
          <w:pStyle w:val="Footer"/>
          <w:jc w:val="center"/>
        </w:pPr>
        <w:r>
          <w:fldChar w:fldCharType="begin"/>
        </w:r>
        <w:r>
          <w:instrText xml:space="preserve"> PAGE   \* MERGEFORMAT </w:instrText>
        </w:r>
        <w:r>
          <w:fldChar w:fldCharType="separate"/>
        </w:r>
        <w:r w:rsidR="00D22655">
          <w:t>1</w:t>
        </w:r>
        <w:r>
          <w:fldChar w:fldCharType="end"/>
        </w:r>
      </w:p>
    </w:sdtContent>
  </w:sdt>
  <w:p w14:paraId="014B8AB1" w14:textId="77777777" w:rsidR="00AF7E9D" w:rsidRDefault="00AF7E9D">
    <w:pPr>
      <w:pStyle w:val="Footer"/>
    </w:pPr>
  </w:p>
  <w:p w14:paraId="31B36AF7" w14:textId="77777777" w:rsidR="00F0101A" w:rsidRDefault="00F0101A"/>
  <w:p w14:paraId="356142B4" w14:textId="77777777" w:rsidR="00F0101A" w:rsidRDefault="00F0101A"/>
  <w:p w14:paraId="0473EE96" w14:textId="77777777" w:rsidR="00F0101A" w:rsidRDefault="00F0101A"/>
  <w:p w14:paraId="4D07D012" w14:textId="77777777" w:rsidR="006118BB" w:rsidRDefault="006118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DD201" w14:textId="77777777" w:rsidR="00520AA3" w:rsidRDefault="00520AA3" w:rsidP="00C274F9">
      <w:r>
        <w:separator/>
      </w:r>
    </w:p>
  </w:footnote>
  <w:footnote w:type="continuationSeparator" w:id="0">
    <w:p w14:paraId="40B4D069" w14:textId="77777777" w:rsidR="00520AA3" w:rsidRDefault="00520AA3" w:rsidP="00C2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01B" w14:textId="430D4879" w:rsidR="008F1CF6" w:rsidRPr="008F1CF6" w:rsidRDefault="008F1CF6" w:rsidP="008F1CF6">
    <w:pPr>
      <w:pStyle w:val="Header"/>
      <w:jc w:val="center"/>
    </w:pPr>
    <w:r w:rsidRPr="008F1CF6">
      <w:rPr>
        <w:b/>
        <w:sz w:val="22"/>
        <w:szCs w:val="22"/>
      </w:rPr>
      <w:drawing>
        <wp:inline distT="0" distB="0" distL="0" distR="0" wp14:anchorId="6FA22478" wp14:editId="3A5DF99E">
          <wp:extent cx="3899008" cy="615098"/>
          <wp:effectExtent l="0" t="0" r="6350" b="0"/>
          <wp:docPr id="2" name="Picture 2"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471712E"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90207"/>
    <w:multiLevelType w:val="hybridMultilevel"/>
    <w:tmpl w:val="C69AA1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A136C2"/>
    <w:multiLevelType w:val="hybridMultilevel"/>
    <w:tmpl w:val="C1BAA59C"/>
    <w:lvl w:ilvl="0" w:tplc="E8E075EA">
      <w:start w:val="1"/>
      <w:numFmt w:val="bullet"/>
      <w:lvlText w:val="•"/>
      <w:lvlJc w:val="left"/>
      <w:pPr>
        <w:tabs>
          <w:tab w:val="num" w:pos="720"/>
        </w:tabs>
        <w:ind w:left="720" w:hanging="360"/>
      </w:pPr>
      <w:rPr>
        <w:rFonts w:ascii="Arial" w:hAnsi="Arial" w:hint="default"/>
      </w:rPr>
    </w:lvl>
    <w:lvl w:ilvl="1" w:tplc="2AE4D40E">
      <w:numFmt w:val="bullet"/>
      <w:lvlText w:val="•"/>
      <w:lvlJc w:val="left"/>
      <w:pPr>
        <w:tabs>
          <w:tab w:val="num" w:pos="1440"/>
        </w:tabs>
        <w:ind w:left="1440" w:hanging="360"/>
      </w:pPr>
      <w:rPr>
        <w:rFonts w:ascii="Arial" w:hAnsi="Arial" w:hint="default"/>
      </w:rPr>
    </w:lvl>
    <w:lvl w:ilvl="2" w:tplc="A1A84C9C" w:tentative="1">
      <w:start w:val="1"/>
      <w:numFmt w:val="bullet"/>
      <w:lvlText w:val="•"/>
      <w:lvlJc w:val="left"/>
      <w:pPr>
        <w:tabs>
          <w:tab w:val="num" w:pos="2160"/>
        </w:tabs>
        <w:ind w:left="2160" w:hanging="360"/>
      </w:pPr>
      <w:rPr>
        <w:rFonts w:ascii="Arial" w:hAnsi="Arial" w:hint="default"/>
      </w:rPr>
    </w:lvl>
    <w:lvl w:ilvl="3" w:tplc="8174B088" w:tentative="1">
      <w:start w:val="1"/>
      <w:numFmt w:val="bullet"/>
      <w:lvlText w:val="•"/>
      <w:lvlJc w:val="left"/>
      <w:pPr>
        <w:tabs>
          <w:tab w:val="num" w:pos="2880"/>
        </w:tabs>
        <w:ind w:left="2880" w:hanging="360"/>
      </w:pPr>
      <w:rPr>
        <w:rFonts w:ascii="Arial" w:hAnsi="Arial" w:hint="default"/>
      </w:rPr>
    </w:lvl>
    <w:lvl w:ilvl="4" w:tplc="E9B8B6D4" w:tentative="1">
      <w:start w:val="1"/>
      <w:numFmt w:val="bullet"/>
      <w:lvlText w:val="•"/>
      <w:lvlJc w:val="left"/>
      <w:pPr>
        <w:tabs>
          <w:tab w:val="num" w:pos="3600"/>
        </w:tabs>
        <w:ind w:left="3600" w:hanging="360"/>
      </w:pPr>
      <w:rPr>
        <w:rFonts w:ascii="Arial" w:hAnsi="Arial" w:hint="default"/>
      </w:rPr>
    </w:lvl>
    <w:lvl w:ilvl="5" w:tplc="5198898C" w:tentative="1">
      <w:start w:val="1"/>
      <w:numFmt w:val="bullet"/>
      <w:lvlText w:val="•"/>
      <w:lvlJc w:val="left"/>
      <w:pPr>
        <w:tabs>
          <w:tab w:val="num" w:pos="4320"/>
        </w:tabs>
        <w:ind w:left="4320" w:hanging="360"/>
      </w:pPr>
      <w:rPr>
        <w:rFonts w:ascii="Arial" w:hAnsi="Arial" w:hint="default"/>
      </w:rPr>
    </w:lvl>
    <w:lvl w:ilvl="6" w:tplc="2AEA9BC6" w:tentative="1">
      <w:start w:val="1"/>
      <w:numFmt w:val="bullet"/>
      <w:lvlText w:val="•"/>
      <w:lvlJc w:val="left"/>
      <w:pPr>
        <w:tabs>
          <w:tab w:val="num" w:pos="5040"/>
        </w:tabs>
        <w:ind w:left="5040" w:hanging="360"/>
      </w:pPr>
      <w:rPr>
        <w:rFonts w:ascii="Arial" w:hAnsi="Arial" w:hint="default"/>
      </w:rPr>
    </w:lvl>
    <w:lvl w:ilvl="7" w:tplc="8900299A" w:tentative="1">
      <w:start w:val="1"/>
      <w:numFmt w:val="bullet"/>
      <w:lvlText w:val="•"/>
      <w:lvlJc w:val="left"/>
      <w:pPr>
        <w:tabs>
          <w:tab w:val="num" w:pos="5760"/>
        </w:tabs>
        <w:ind w:left="5760" w:hanging="360"/>
      </w:pPr>
      <w:rPr>
        <w:rFonts w:ascii="Arial" w:hAnsi="Arial" w:hint="default"/>
      </w:rPr>
    </w:lvl>
    <w:lvl w:ilvl="8" w:tplc="4AA05E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A57D36"/>
    <w:multiLevelType w:val="multilevel"/>
    <w:tmpl w:val="8B6C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F70F2"/>
    <w:multiLevelType w:val="hybridMultilevel"/>
    <w:tmpl w:val="86645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9044C"/>
    <w:multiLevelType w:val="hybridMultilevel"/>
    <w:tmpl w:val="79F64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E53E3"/>
    <w:multiLevelType w:val="hybridMultilevel"/>
    <w:tmpl w:val="F400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560134"/>
    <w:multiLevelType w:val="hybridMultilevel"/>
    <w:tmpl w:val="79C02E0E"/>
    <w:lvl w:ilvl="0" w:tplc="CBB0AD1E">
      <w:numFmt w:val="bullet"/>
      <w:lvlText w:val="-"/>
      <w:lvlJc w:val="left"/>
      <w:pPr>
        <w:ind w:left="540" w:hanging="360"/>
      </w:pPr>
      <w:rPr>
        <w:rFonts w:ascii="Calibri" w:eastAsia="Times New Roman" w:hAnsi="Calibri" w:cs="Calibri" w:hint="default"/>
        <w:sz w:val="18"/>
        <w:szCs w:val="1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23A07171"/>
    <w:multiLevelType w:val="hybridMultilevel"/>
    <w:tmpl w:val="95206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D43477"/>
    <w:multiLevelType w:val="hybridMultilevel"/>
    <w:tmpl w:val="ECBC9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93B93"/>
    <w:multiLevelType w:val="hybridMultilevel"/>
    <w:tmpl w:val="54A4A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5A3744B"/>
    <w:multiLevelType w:val="hybridMultilevel"/>
    <w:tmpl w:val="8A88F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8F4902"/>
    <w:multiLevelType w:val="multilevel"/>
    <w:tmpl w:val="4626AE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5772D8"/>
    <w:multiLevelType w:val="hybridMultilevel"/>
    <w:tmpl w:val="581EFA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536C2D"/>
    <w:multiLevelType w:val="multilevel"/>
    <w:tmpl w:val="82B8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41201C1E"/>
    <w:multiLevelType w:val="multilevel"/>
    <w:tmpl w:val="A848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FA24B4"/>
    <w:multiLevelType w:val="hybridMultilevel"/>
    <w:tmpl w:val="AB6011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91918"/>
    <w:multiLevelType w:val="hybridMultilevel"/>
    <w:tmpl w:val="A314D558"/>
    <w:lvl w:ilvl="0" w:tplc="0D3623A0">
      <w:start w:val="1"/>
      <w:numFmt w:val="bullet"/>
      <w:lvlText w:val=""/>
      <w:lvlJc w:val="left"/>
      <w:pPr>
        <w:tabs>
          <w:tab w:val="num" w:pos="502"/>
        </w:tabs>
        <w:ind w:left="502" w:hanging="360"/>
      </w:pPr>
      <w:rPr>
        <w:rFonts w:ascii="Symbol" w:hAnsi="Symbol" w:hint="default"/>
        <w:b/>
        <w:i w:val="0"/>
        <w:shadow/>
        <w:emboss w:val="0"/>
        <w:imprint w:val="0"/>
        <w:color w:val="auto"/>
        <w:sz w:val="18"/>
      </w:rPr>
    </w:lvl>
    <w:lvl w:ilvl="1" w:tplc="040C0003">
      <w:start w:val="1"/>
      <w:numFmt w:val="bullet"/>
      <w:lvlText w:val="o"/>
      <w:lvlJc w:val="left"/>
      <w:pPr>
        <w:tabs>
          <w:tab w:val="num" w:pos="1506"/>
        </w:tabs>
        <w:ind w:left="1506" w:hanging="360"/>
      </w:pPr>
      <w:rPr>
        <w:rFonts w:ascii="Courier New" w:hAnsi="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32" w15:restartNumberingAfterBreak="0">
    <w:nsid w:val="53F23E9B"/>
    <w:multiLevelType w:val="hybridMultilevel"/>
    <w:tmpl w:val="8A544D3E"/>
    <w:lvl w:ilvl="0" w:tplc="CBB0AD1E">
      <w:numFmt w:val="bullet"/>
      <w:lvlText w:val="-"/>
      <w:lvlJc w:val="left"/>
      <w:pPr>
        <w:ind w:left="360" w:hanging="360"/>
      </w:pPr>
      <w:rPr>
        <w:rFonts w:ascii="Calibri" w:eastAsia="Times New Roman" w:hAnsi="Calibri" w:cs="Calibri"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1A4596"/>
    <w:multiLevelType w:val="hybridMultilevel"/>
    <w:tmpl w:val="C034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6C11F1"/>
    <w:multiLevelType w:val="hybridMultilevel"/>
    <w:tmpl w:val="9B7C93A8"/>
    <w:lvl w:ilvl="0" w:tplc="CBB0AD1E">
      <w:numFmt w:val="bullet"/>
      <w:lvlText w:val="-"/>
      <w:lvlJc w:val="left"/>
      <w:pPr>
        <w:ind w:left="360" w:hanging="360"/>
      </w:pPr>
      <w:rPr>
        <w:rFonts w:ascii="Calibri" w:eastAsia="Times New Roman" w:hAnsi="Calibri" w:cs="Calibri"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3213871"/>
    <w:multiLevelType w:val="hybridMultilevel"/>
    <w:tmpl w:val="F3E063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7E87EB5"/>
    <w:multiLevelType w:val="hybridMultilevel"/>
    <w:tmpl w:val="8BF01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997DDE"/>
    <w:multiLevelType w:val="hybridMultilevel"/>
    <w:tmpl w:val="19288D56"/>
    <w:lvl w:ilvl="0" w:tplc="CBB0AD1E">
      <w:numFmt w:val="bullet"/>
      <w:lvlText w:val="-"/>
      <w:lvlJc w:val="left"/>
      <w:pPr>
        <w:ind w:left="360" w:hanging="360"/>
      </w:pPr>
      <w:rPr>
        <w:rFonts w:ascii="Calibri" w:eastAsia="Times New Roman" w:hAnsi="Calibri" w:cs="Calibri"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1B384E"/>
    <w:multiLevelType w:val="hybridMultilevel"/>
    <w:tmpl w:val="743C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4"/>
  </w:num>
  <w:num w:numId="4">
    <w:abstractNumId w:val="45"/>
  </w:num>
  <w:num w:numId="5">
    <w:abstractNumId w:val="27"/>
  </w:num>
  <w:num w:numId="6">
    <w:abstractNumId w:val="36"/>
  </w:num>
  <w:num w:numId="7">
    <w:abstractNumId w:val="4"/>
  </w:num>
  <w:num w:numId="8">
    <w:abstractNumId w:val="33"/>
  </w:num>
  <w:num w:numId="9">
    <w:abstractNumId w:val="34"/>
  </w:num>
  <w:num w:numId="10">
    <w:abstractNumId w:val="21"/>
  </w:num>
  <w:num w:numId="11">
    <w:abstractNumId w:val="42"/>
  </w:num>
  <w:num w:numId="12">
    <w:abstractNumId w:val="30"/>
  </w:num>
  <w:num w:numId="13">
    <w:abstractNumId w:val="22"/>
  </w:num>
  <w:num w:numId="14">
    <w:abstractNumId w:val="17"/>
  </w:num>
  <w:num w:numId="15">
    <w:abstractNumId w:val="46"/>
  </w:num>
  <w:num w:numId="16">
    <w:abstractNumId w:val="14"/>
  </w:num>
  <w:num w:numId="17">
    <w:abstractNumId w:val="7"/>
  </w:num>
  <w:num w:numId="18">
    <w:abstractNumId w:val="13"/>
  </w:num>
  <w:num w:numId="19">
    <w:abstractNumId w:val="40"/>
  </w:num>
  <w:num w:numId="20">
    <w:abstractNumId w:val="20"/>
  </w:num>
  <w:num w:numId="21">
    <w:abstractNumId w:val="11"/>
  </w:num>
  <w:num w:numId="22">
    <w:abstractNumId w:val="39"/>
  </w:num>
  <w:num w:numId="23">
    <w:abstractNumId w:val="1"/>
  </w:num>
  <w:num w:numId="24">
    <w:abstractNumId w:val="0"/>
  </w:num>
  <w:num w:numId="25">
    <w:abstractNumId w:val="12"/>
  </w:num>
  <w:num w:numId="26">
    <w:abstractNumId w:val="47"/>
  </w:num>
  <w:num w:numId="27">
    <w:abstractNumId w:val="6"/>
  </w:num>
  <w:num w:numId="28">
    <w:abstractNumId w:val="35"/>
  </w:num>
  <w:num w:numId="29">
    <w:abstractNumId w:val="41"/>
  </w:num>
  <w:num w:numId="30">
    <w:abstractNumId w:val="18"/>
  </w:num>
  <w:num w:numId="31">
    <w:abstractNumId w:val="19"/>
  </w:num>
  <w:num w:numId="32">
    <w:abstractNumId w:val="16"/>
  </w:num>
  <w:num w:numId="33">
    <w:abstractNumId w:val="32"/>
  </w:num>
  <w:num w:numId="34">
    <w:abstractNumId w:val="15"/>
  </w:num>
  <w:num w:numId="35">
    <w:abstractNumId w:val="25"/>
  </w:num>
  <w:num w:numId="36">
    <w:abstractNumId w:val="37"/>
  </w:num>
  <w:num w:numId="37">
    <w:abstractNumId w:val="29"/>
  </w:num>
  <w:num w:numId="38">
    <w:abstractNumId w:val="43"/>
  </w:num>
  <w:num w:numId="39">
    <w:abstractNumId w:val="31"/>
  </w:num>
  <w:num w:numId="40">
    <w:abstractNumId w:val="3"/>
  </w:num>
  <w:num w:numId="41">
    <w:abstractNumId w:val="8"/>
  </w:num>
  <w:num w:numId="42">
    <w:abstractNumId w:val="38"/>
  </w:num>
  <w:num w:numId="43">
    <w:abstractNumId w:val="23"/>
  </w:num>
  <w:num w:numId="44">
    <w:abstractNumId w:val="2"/>
  </w:num>
  <w:num w:numId="45">
    <w:abstractNumId w:val="26"/>
  </w:num>
  <w:num w:numId="46">
    <w:abstractNumId w:val="5"/>
  </w:num>
  <w:num w:numId="47">
    <w:abstractNumId w:val="28"/>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25D2E"/>
    <w:rsid w:val="000469FB"/>
    <w:rsid w:val="00047154"/>
    <w:rsid w:val="00076C97"/>
    <w:rsid w:val="00087A7A"/>
    <w:rsid w:val="000926F5"/>
    <w:rsid w:val="0009666B"/>
    <w:rsid w:val="000A3E1C"/>
    <w:rsid w:val="000A6ADF"/>
    <w:rsid w:val="000B311B"/>
    <w:rsid w:val="000B369D"/>
    <w:rsid w:val="000B51B1"/>
    <w:rsid w:val="000C2D81"/>
    <w:rsid w:val="000C61DD"/>
    <w:rsid w:val="000C67B2"/>
    <w:rsid w:val="000D0866"/>
    <w:rsid w:val="000D60EA"/>
    <w:rsid w:val="000E0F63"/>
    <w:rsid w:val="000E23F6"/>
    <w:rsid w:val="000E7B94"/>
    <w:rsid w:val="000F5834"/>
    <w:rsid w:val="0010145C"/>
    <w:rsid w:val="00102E44"/>
    <w:rsid w:val="001072FB"/>
    <w:rsid w:val="001105D4"/>
    <w:rsid w:val="00113F53"/>
    <w:rsid w:val="0013658F"/>
    <w:rsid w:val="0014294F"/>
    <w:rsid w:val="00157B60"/>
    <w:rsid w:val="00174D67"/>
    <w:rsid w:val="00185F5F"/>
    <w:rsid w:val="0019683E"/>
    <w:rsid w:val="00196A98"/>
    <w:rsid w:val="001A0459"/>
    <w:rsid w:val="001A3927"/>
    <w:rsid w:val="001A3A71"/>
    <w:rsid w:val="001A3B7D"/>
    <w:rsid w:val="001A5921"/>
    <w:rsid w:val="001D2E44"/>
    <w:rsid w:val="001E30FA"/>
    <w:rsid w:val="001E6F5F"/>
    <w:rsid w:val="001F6731"/>
    <w:rsid w:val="002205F4"/>
    <w:rsid w:val="00225E7E"/>
    <w:rsid w:val="0022688B"/>
    <w:rsid w:val="00232D3E"/>
    <w:rsid w:val="00234F00"/>
    <w:rsid w:val="0025067C"/>
    <w:rsid w:val="00257B79"/>
    <w:rsid w:val="00277D63"/>
    <w:rsid w:val="00285390"/>
    <w:rsid w:val="00297159"/>
    <w:rsid w:val="002A542C"/>
    <w:rsid w:val="002B1B0E"/>
    <w:rsid w:val="002B41E2"/>
    <w:rsid w:val="002B6A7F"/>
    <w:rsid w:val="002C00F8"/>
    <w:rsid w:val="002C2194"/>
    <w:rsid w:val="002C6F1F"/>
    <w:rsid w:val="002D7E2F"/>
    <w:rsid w:val="002F31AE"/>
    <w:rsid w:val="002F7326"/>
    <w:rsid w:val="003208EE"/>
    <w:rsid w:val="00343C7A"/>
    <w:rsid w:val="00351C5B"/>
    <w:rsid w:val="003644DB"/>
    <w:rsid w:val="00376814"/>
    <w:rsid w:val="00380B63"/>
    <w:rsid w:val="00386FD4"/>
    <w:rsid w:val="003929FF"/>
    <w:rsid w:val="003A6268"/>
    <w:rsid w:val="003C0301"/>
    <w:rsid w:val="003E28BC"/>
    <w:rsid w:val="003F1C91"/>
    <w:rsid w:val="003F1E2D"/>
    <w:rsid w:val="003F43C8"/>
    <w:rsid w:val="003F5436"/>
    <w:rsid w:val="0041546A"/>
    <w:rsid w:val="00417594"/>
    <w:rsid w:val="0042781F"/>
    <w:rsid w:val="00445C09"/>
    <w:rsid w:val="004567F3"/>
    <w:rsid w:val="00456B07"/>
    <w:rsid w:val="00462EA0"/>
    <w:rsid w:val="00463CD4"/>
    <w:rsid w:val="004803F6"/>
    <w:rsid w:val="00482ACA"/>
    <w:rsid w:val="004A0878"/>
    <w:rsid w:val="004A0E84"/>
    <w:rsid w:val="004A2290"/>
    <w:rsid w:val="004C070D"/>
    <w:rsid w:val="004C3193"/>
    <w:rsid w:val="004C5212"/>
    <w:rsid w:val="004C6721"/>
    <w:rsid w:val="004D23BA"/>
    <w:rsid w:val="004E1DE5"/>
    <w:rsid w:val="004E6518"/>
    <w:rsid w:val="004F018C"/>
    <w:rsid w:val="004F1040"/>
    <w:rsid w:val="004F5E38"/>
    <w:rsid w:val="00520AA3"/>
    <w:rsid w:val="00527E41"/>
    <w:rsid w:val="00534513"/>
    <w:rsid w:val="00535F34"/>
    <w:rsid w:val="00552843"/>
    <w:rsid w:val="005563DD"/>
    <w:rsid w:val="00557E0B"/>
    <w:rsid w:val="00560B5B"/>
    <w:rsid w:val="00567C7D"/>
    <w:rsid w:val="00570092"/>
    <w:rsid w:val="005742DE"/>
    <w:rsid w:val="00584866"/>
    <w:rsid w:val="00597335"/>
    <w:rsid w:val="005A4F14"/>
    <w:rsid w:val="005A7E04"/>
    <w:rsid w:val="005B0469"/>
    <w:rsid w:val="005B1F89"/>
    <w:rsid w:val="005B3A6C"/>
    <w:rsid w:val="005D34CA"/>
    <w:rsid w:val="005F2C00"/>
    <w:rsid w:val="0060676D"/>
    <w:rsid w:val="00611154"/>
    <w:rsid w:val="006118BB"/>
    <w:rsid w:val="00616C64"/>
    <w:rsid w:val="00626664"/>
    <w:rsid w:val="0063527D"/>
    <w:rsid w:val="00640983"/>
    <w:rsid w:val="00651932"/>
    <w:rsid w:val="0066154D"/>
    <w:rsid w:val="006619A3"/>
    <w:rsid w:val="0066272F"/>
    <w:rsid w:val="0068013E"/>
    <w:rsid w:val="006951DB"/>
    <w:rsid w:val="00695ECA"/>
    <w:rsid w:val="006A02A4"/>
    <w:rsid w:val="006A0F06"/>
    <w:rsid w:val="006A3B0D"/>
    <w:rsid w:val="006A670B"/>
    <w:rsid w:val="006C5177"/>
    <w:rsid w:val="006E6D07"/>
    <w:rsid w:val="006F6AF2"/>
    <w:rsid w:val="0073009B"/>
    <w:rsid w:val="00731693"/>
    <w:rsid w:val="007578FA"/>
    <w:rsid w:val="0076404E"/>
    <w:rsid w:val="00764B7A"/>
    <w:rsid w:val="00766F38"/>
    <w:rsid w:val="0077173A"/>
    <w:rsid w:val="00775135"/>
    <w:rsid w:val="00797723"/>
    <w:rsid w:val="007A0824"/>
    <w:rsid w:val="007B0B28"/>
    <w:rsid w:val="007B0DC0"/>
    <w:rsid w:val="007B34FA"/>
    <w:rsid w:val="007C00EF"/>
    <w:rsid w:val="007C27F3"/>
    <w:rsid w:val="007C59FC"/>
    <w:rsid w:val="007D0037"/>
    <w:rsid w:val="007D7507"/>
    <w:rsid w:val="007E730A"/>
    <w:rsid w:val="007F77D4"/>
    <w:rsid w:val="008048E9"/>
    <w:rsid w:val="008105A6"/>
    <w:rsid w:val="00814FF6"/>
    <w:rsid w:val="0081784E"/>
    <w:rsid w:val="00831B04"/>
    <w:rsid w:val="00832193"/>
    <w:rsid w:val="0083692F"/>
    <w:rsid w:val="00852EEE"/>
    <w:rsid w:val="00864139"/>
    <w:rsid w:val="0087517E"/>
    <w:rsid w:val="00876F6E"/>
    <w:rsid w:val="00891B78"/>
    <w:rsid w:val="00894E41"/>
    <w:rsid w:val="008A24FC"/>
    <w:rsid w:val="008A4C9C"/>
    <w:rsid w:val="008B0BA3"/>
    <w:rsid w:val="008B19CE"/>
    <w:rsid w:val="008C2DCE"/>
    <w:rsid w:val="008D207A"/>
    <w:rsid w:val="008D5639"/>
    <w:rsid w:val="008D6D34"/>
    <w:rsid w:val="008E14FB"/>
    <w:rsid w:val="008E79A9"/>
    <w:rsid w:val="008F1CF6"/>
    <w:rsid w:val="008F3F6C"/>
    <w:rsid w:val="008F42F1"/>
    <w:rsid w:val="00906FCB"/>
    <w:rsid w:val="00907E63"/>
    <w:rsid w:val="00911B0D"/>
    <w:rsid w:val="009121EB"/>
    <w:rsid w:val="009159E0"/>
    <w:rsid w:val="0091623B"/>
    <w:rsid w:val="00922F7D"/>
    <w:rsid w:val="009251D4"/>
    <w:rsid w:val="00927F99"/>
    <w:rsid w:val="00944EAA"/>
    <w:rsid w:val="00945EFA"/>
    <w:rsid w:val="00946F19"/>
    <w:rsid w:val="009508BC"/>
    <w:rsid w:val="00952535"/>
    <w:rsid w:val="009530CC"/>
    <w:rsid w:val="0095328E"/>
    <w:rsid w:val="00955E51"/>
    <w:rsid w:val="0096345F"/>
    <w:rsid w:val="00964639"/>
    <w:rsid w:val="00970E71"/>
    <w:rsid w:val="0097304C"/>
    <w:rsid w:val="00976113"/>
    <w:rsid w:val="009C0FF4"/>
    <w:rsid w:val="009C3313"/>
    <w:rsid w:val="009D163E"/>
    <w:rsid w:val="00A21A01"/>
    <w:rsid w:val="00A33CE9"/>
    <w:rsid w:val="00A3563E"/>
    <w:rsid w:val="00A4019B"/>
    <w:rsid w:val="00A60736"/>
    <w:rsid w:val="00A706FE"/>
    <w:rsid w:val="00A73E04"/>
    <w:rsid w:val="00A75289"/>
    <w:rsid w:val="00A7675E"/>
    <w:rsid w:val="00A82DB8"/>
    <w:rsid w:val="00A842B7"/>
    <w:rsid w:val="00A844FC"/>
    <w:rsid w:val="00A93A4F"/>
    <w:rsid w:val="00A94B20"/>
    <w:rsid w:val="00AB4C9A"/>
    <w:rsid w:val="00AC261C"/>
    <w:rsid w:val="00AD1D30"/>
    <w:rsid w:val="00AE024C"/>
    <w:rsid w:val="00AE0409"/>
    <w:rsid w:val="00AF7E9D"/>
    <w:rsid w:val="00B00DC5"/>
    <w:rsid w:val="00B117BA"/>
    <w:rsid w:val="00B2612B"/>
    <w:rsid w:val="00B301F1"/>
    <w:rsid w:val="00B478AC"/>
    <w:rsid w:val="00B56A44"/>
    <w:rsid w:val="00B603F1"/>
    <w:rsid w:val="00B61259"/>
    <w:rsid w:val="00B63F4F"/>
    <w:rsid w:val="00B6440D"/>
    <w:rsid w:val="00B70141"/>
    <w:rsid w:val="00B80DFF"/>
    <w:rsid w:val="00B85169"/>
    <w:rsid w:val="00B90990"/>
    <w:rsid w:val="00B93842"/>
    <w:rsid w:val="00B964E0"/>
    <w:rsid w:val="00BA1576"/>
    <w:rsid w:val="00BB1C08"/>
    <w:rsid w:val="00BB3C69"/>
    <w:rsid w:val="00BB70D4"/>
    <w:rsid w:val="00BC1448"/>
    <w:rsid w:val="00BD3EAC"/>
    <w:rsid w:val="00BD3FAB"/>
    <w:rsid w:val="00BD5ADD"/>
    <w:rsid w:val="00C01735"/>
    <w:rsid w:val="00C0366F"/>
    <w:rsid w:val="00C14EFE"/>
    <w:rsid w:val="00C274F9"/>
    <w:rsid w:val="00C319C7"/>
    <w:rsid w:val="00C33CC3"/>
    <w:rsid w:val="00C624AE"/>
    <w:rsid w:val="00C6366E"/>
    <w:rsid w:val="00C77FE2"/>
    <w:rsid w:val="00C82AE2"/>
    <w:rsid w:val="00C86021"/>
    <w:rsid w:val="00C9656B"/>
    <w:rsid w:val="00CB7B05"/>
    <w:rsid w:val="00CB7B1C"/>
    <w:rsid w:val="00CC2578"/>
    <w:rsid w:val="00CC7839"/>
    <w:rsid w:val="00CC7FD0"/>
    <w:rsid w:val="00CD2F97"/>
    <w:rsid w:val="00CD6FE9"/>
    <w:rsid w:val="00CE308E"/>
    <w:rsid w:val="00CE33F6"/>
    <w:rsid w:val="00CF1F3A"/>
    <w:rsid w:val="00D05716"/>
    <w:rsid w:val="00D07D75"/>
    <w:rsid w:val="00D125DF"/>
    <w:rsid w:val="00D22655"/>
    <w:rsid w:val="00D2676A"/>
    <w:rsid w:val="00D3256D"/>
    <w:rsid w:val="00D343DA"/>
    <w:rsid w:val="00D37D91"/>
    <w:rsid w:val="00D64FFD"/>
    <w:rsid w:val="00D7650D"/>
    <w:rsid w:val="00D81AA2"/>
    <w:rsid w:val="00D86BB4"/>
    <w:rsid w:val="00D87D7B"/>
    <w:rsid w:val="00D917F6"/>
    <w:rsid w:val="00D93D9D"/>
    <w:rsid w:val="00D95FFF"/>
    <w:rsid w:val="00D978DE"/>
    <w:rsid w:val="00D97AB4"/>
    <w:rsid w:val="00DA056A"/>
    <w:rsid w:val="00DA4556"/>
    <w:rsid w:val="00DA57D4"/>
    <w:rsid w:val="00DB623B"/>
    <w:rsid w:val="00DD1776"/>
    <w:rsid w:val="00DD65A8"/>
    <w:rsid w:val="00DE0C4C"/>
    <w:rsid w:val="00DE1901"/>
    <w:rsid w:val="00DF4FD8"/>
    <w:rsid w:val="00E01220"/>
    <w:rsid w:val="00E132B1"/>
    <w:rsid w:val="00E15826"/>
    <w:rsid w:val="00E15B3B"/>
    <w:rsid w:val="00E35DD7"/>
    <w:rsid w:val="00E51D78"/>
    <w:rsid w:val="00E55AE0"/>
    <w:rsid w:val="00E565B3"/>
    <w:rsid w:val="00E72C75"/>
    <w:rsid w:val="00E82C3F"/>
    <w:rsid w:val="00EA263A"/>
    <w:rsid w:val="00EA4959"/>
    <w:rsid w:val="00EB3B3D"/>
    <w:rsid w:val="00EC2AC4"/>
    <w:rsid w:val="00ED024E"/>
    <w:rsid w:val="00EE04A1"/>
    <w:rsid w:val="00EE1FB0"/>
    <w:rsid w:val="00EE3507"/>
    <w:rsid w:val="00EF719B"/>
    <w:rsid w:val="00F0101A"/>
    <w:rsid w:val="00F11F84"/>
    <w:rsid w:val="00F17F83"/>
    <w:rsid w:val="00F22D57"/>
    <w:rsid w:val="00F32D53"/>
    <w:rsid w:val="00F351F7"/>
    <w:rsid w:val="00F46521"/>
    <w:rsid w:val="00F51E0B"/>
    <w:rsid w:val="00F548EF"/>
    <w:rsid w:val="00F56D39"/>
    <w:rsid w:val="00F6338A"/>
    <w:rsid w:val="00F731CC"/>
    <w:rsid w:val="00F755EC"/>
    <w:rsid w:val="00F909E5"/>
    <w:rsid w:val="00F96FCE"/>
    <w:rsid w:val="00FA5756"/>
    <w:rsid w:val="00FC1472"/>
    <w:rsid w:val="00FC3ACD"/>
    <w:rsid w:val="00FC7051"/>
    <w:rsid w:val="00FE2310"/>
    <w:rsid w:val="00FF2EE2"/>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92F"/>
    <w:pPr>
      <w:spacing w:after="0" w:line="240" w:lineRule="auto"/>
    </w:pPr>
    <w:rPr>
      <w:rFonts w:ascii="Times New Roman" w:eastAsia="Times New Roman" w:hAnsi="Times New Roman" w:cs="Times New Roman"/>
      <w:noProof/>
      <w:sz w:val="24"/>
      <w:szCs w:val="24"/>
      <w:lang w:val="en-US"/>
    </w:rPr>
  </w:style>
  <w:style w:type="paragraph" w:styleId="Heading5">
    <w:name w:val="heading 5"/>
    <w:basedOn w:val="Normal"/>
    <w:link w:val="Heading5Char"/>
    <w:uiPriority w:val="9"/>
    <w:qFormat/>
    <w:rsid w:val="00025D2E"/>
    <w:pPr>
      <w:spacing w:before="100" w:beforeAutospacing="1" w:after="100" w:afterAutospacing="1"/>
      <w:outlineLvl w:val="4"/>
    </w:pPr>
    <w:rPr>
      <w:b/>
      <w:bCs/>
      <w:noProof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References"/>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qFormat/>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5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semiHidden/>
    <w:unhideWhenUsed/>
    <w:rsid w:val="00567C7D"/>
    <w:rPr>
      <w:sz w:val="20"/>
      <w:szCs w:val="20"/>
    </w:rPr>
  </w:style>
  <w:style w:type="character" w:customStyle="1" w:styleId="EndnoteTextChar">
    <w:name w:val="Endnote Text Char"/>
    <w:basedOn w:val="DefaultParagraphFont"/>
    <w:link w:val="EndnoteText"/>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basedOn w:val="DefaultParagraphFont"/>
    <w:uiPriority w:val="99"/>
    <w:semiHidden/>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uiPriority w:val="22"/>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customStyle="1" w:styleId="paragraph0">
    <w:name w:val="paragraph"/>
    <w:basedOn w:val="Normal"/>
    <w:rsid w:val="00EA4959"/>
    <w:pPr>
      <w:spacing w:before="100" w:beforeAutospacing="1" w:after="100" w:afterAutospacing="1"/>
    </w:pPr>
    <w:rPr>
      <w:noProof w:val="0"/>
    </w:rPr>
  </w:style>
  <w:style w:type="character" w:customStyle="1" w:styleId="normaltextrun">
    <w:name w:val="normaltextrun"/>
    <w:basedOn w:val="DefaultParagraphFont"/>
    <w:rsid w:val="00EA4959"/>
  </w:style>
  <w:style w:type="character" w:customStyle="1" w:styleId="eop">
    <w:name w:val="eop"/>
    <w:basedOn w:val="DefaultParagraphFont"/>
    <w:rsid w:val="00EA4959"/>
  </w:style>
  <w:style w:type="character" w:customStyle="1" w:styleId="Heading5Char">
    <w:name w:val="Heading 5 Char"/>
    <w:basedOn w:val="DefaultParagraphFont"/>
    <w:link w:val="Heading5"/>
    <w:uiPriority w:val="9"/>
    <w:rsid w:val="00025D2E"/>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2051E54E067B499455B317F184D1FA" ma:contentTypeVersion="12" ma:contentTypeDescription="Create a new document." ma:contentTypeScope="" ma:versionID="1f9f7219bab97f9c447b0c64666f2e1f">
  <xsd:schema xmlns:xsd="http://www.w3.org/2001/XMLSchema" xmlns:xs="http://www.w3.org/2001/XMLSchema" xmlns:p="http://schemas.microsoft.com/office/2006/metadata/properties" xmlns:ns2="4d9438a3-ca50-4a51-9e73-f29f25a2db20" xmlns:ns3="606671c2-ddba-4e1e-9974-730b9a7d0459" targetNamespace="http://schemas.microsoft.com/office/2006/metadata/properties" ma:root="true" ma:fieldsID="10342807f3d06d23858493b4212b499c" ns2:_="" ns3:_="">
    <xsd:import namespace="4d9438a3-ca50-4a51-9e73-f29f25a2db20"/>
    <xsd:import namespace="606671c2-ddba-4e1e-9974-730b9a7d04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9438a3-ca50-4a51-9e73-f29f25a2d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671c2-ddba-4e1e-9974-730b9a7d04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5A0AE-6F2E-4257-91D5-78BBB92DA843}">
  <ds:schemaRefs>
    <ds:schemaRef ds:uri="http://schemas.openxmlformats.org/officeDocument/2006/bibliography"/>
  </ds:schemaRefs>
</ds:datastoreItem>
</file>

<file path=customXml/itemProps2.xml><?xml version="1.0" encoding="utf-8"?>
<ds:datastoreItem xmlns:ds="http://schemas.openxmlformats.org/officeDocument/2006/customXml" ds:itemID="{4BE5839F-69D0-4E1B-9C2A-84599F01D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9438a3-ca50-4a51-9e73-f29f25a2db20"/>
    <ds:schemaRef ds:uri="606671c2-ddba-4e1e-9974-730b9a7d0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4F2F1E-99DA-4AFC-A995-AA411F5F67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94F47C-9EEB-404B-83BA-BAD4315F7D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Nyakanda, Brian</dc:creator>
  <cp:lastModifiedBy>Mirabelle De Souza</cp:lastModifiedBy>
  <cp:revision>12</cp:revision>
  <cp:lastPrinted>2022-12-11T15:49:00Z</cp:lastPrinted>
  <dcterms:created xsi:type="dcterms:W3CDTF">2022-12-11T12:33:00Z</dcterms:created>
  <dcterms:modified xsi:type="dcterms:W3CDTF">2022-12-12T05:41:00Z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0x010100522051E54E067B499455B317F184D1FA</vt:lpwstr>
  </property>
</Properties>
</file>