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4294123F" w:rsidR="00B14BE6" w:rsidRDefault="00B14BE6" w:rsidP="006C5265">
      <w:pPr>
        <w:spacing w:after="160"/>
        <w:jc w:val="center"/>
      </w:pPr>
      <w:r w:rsidRPr="00B63E76">
        <w:rPr>
          <w:rFonts w:ascii="Calibri" w:hAnsi="Calibri" w:cs="Calibri"/>
          <w:b/>
          <w:bCs/>
          <w:color w:val="00B0F0"/>
          <w:sz w:val="24"/>
          <w:szCs w:val="24"/>
          <w:u w:val="single"/>
        </w:rPr>
        <w:t>TERMS OF REFERENCE FOR INDIVIDUAL CONSULTANTS</w:t>
      </w: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763"/>
        <w:gridCol w:w="1201"/>
        <w:gridCol w:w="1134"/>
        <w:gridCol w:w="1032"/>
        <w:gridCol w:w="1803"/>
        <w:gridCol w:w="1842"/>
        <w:gridCol w:w="1111"/>
        <w:gridCol w:w="14"/>
      </w:tblGrid>
      <w:tr w:rsidR="007C167D" w:rsidRPr="007613B3" w14:paraId="523C54D2" w14:textId="77777777" w:rsidTr="007C167D">
        <w:trPr>
          <w:trHeight w:val="1205"/>
        </w:trPr>
        <w:tc>
          <w:tcPr>
            <w:tcW w:w="5130" w:type="dxa"/>
            <w:gridSpan w:val="4"/>
            <w:tcBorders>
              <w:bottom w:val="nil"/>
            </w:tcBorders>
            <w:shd w:val="clear" w:color="auto" w:fill="auto"/>
            <w:noWrap/>
            <w:hideMark/>
          </w:tcPr>
          <w:p w14:paraId="5B12A891" w14:textId="5BD1998C" w:rsidR="007C167D" w:rsidRDefault="007C167D" w:rsidP="00B23D6E">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r>
              <w:rPr>
                <w:rFonts w:ascii="Calibri" w:eastAsia="Arial Unicode MS" w:hAnsi="Calibri" w:cs="Calibri"/>
                <w:b/>
                <w:color w:val="auto"/>
                <w:lang w:val="en-AU"/>
              </w:rPr>
              <w:t>:</w:t>
            </w:r>
          </w:p>
          <w:p w14:paraId="7F9BDFD0" w14:textId="35A8A99B" w:rsidR="007C167D" w:rsidRDefault="007C167D" w:rsidP="000412A3">
            <w:pPr>
              <w:spacing w:before="100" w:beforeAutospacing="1" w:after="100" w:afterAutospacing="1" w:line="240" w:lineRule="auto"/>
              <w:jc w:val="both"/>
              <w:rPr>
                <w:rFonts w:ascii="Calibri" w:eastAsia="Arial Unicode MS" w:hAnsi="Calibri" w:cs="Calibri"/>
                <w:b/>
                <w:color w:val="auto"/>
                <w:lang w:val="en-AU"/>
              </w:rPr>
            </w:pPr>
            <w:r>
              <w:rPr>
                <w:rFonts w:ascii="Calibri" w:eastAsia="Arial Unicode MS" w:hAnsi="Calibri" w:cs="Calibri"/>
                <w:b/>
                <w:color w:val="auto"/>
                <w:lang w:val="en-AU"/>
              </w:rPr>
              <w:t>National Consultant for Integrated Sub-National Financing Framework (ISFF) for East Java</w:t>
            </w:r>
          </w:p>
          <w:p w14:paraId="75D9A581" w14:textId="30363048" w:rsidR="007C167D" w:rsidRPr="007613B3" w:rsidRDefault="007C167D" w:rsidP="00E15C6F">
            <w:pPr>
              <w:spacing w:before="100" w:beforeAutospacing="1" w:after="100" w:afterAutospacing="1" w:line="240" w:lineRule="auto"/>
              <w:rPr>
                <w:rFonts w:ascii="Calibri" w:eastAsia="Arial Unicode MS" w:hAnsi="Calibri" w:cs="Calibri"/>
                <w:color w:val="auto"/>
                <w:lang w:val="en-AU"/>
              </w:rPr>
            </w:pPr>
          </w:p>
        </w:tc>
        <w:tc>
          <w:tcPr>
            <w:tcW w:w="4770" w:type="dxa"/>
            <w:gridSpan w:val="4"/>
            <w:tcBorders>
              <w:bottom w:val="nil"/>
            </w:tcBorders>
            <w:shd w:val="clear" w:color="auto" w:fill="auto"/>
          </w:tcPr>
          <w:p w14:paraId="32071A65" w14:textId="77777777" w:rsidR="007C167D" w:rsidRDefault="007C167D" w:rsidP="00B23D6E">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2635A106" w:rsidR="007C167D" w:rsidRPr="00B03716" w:rsidRDefault="007C167D" w:rsidP="00F21AA1">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Home-Based with travel to Surabaya as required</w:t>
            </w:r>
            <w:r>
              <w:rPr>
                <w:rFonts w:ascii="Calibri" w:eastAsia="Arial Unicode MS" w:hAnsi="Calibri" w:cs="Calibri"/>
                <w:b/>
                <w:color w:val="auto"/>
                <w:lang w:val="en-AU"/>
              </w:rPr>
              <w:br/>
            </w:r>
            <w:r>
              <w:rPr>
                <w:rFonts w:ascii="Calibri" w:eastAsia="Arial Unicode MS" w:hAnsi="Calibri" w:cs="Calibri"/>
                <w:b/>
                <w:color w:val="auto"/>
                <w:lang w:val="en-AU"/>
              </w:rPr>
              <w:br/>
            </w:r>
          </w:p>
        </w:tc>
      </w:tr>
      <w:tr w:rsidR="007613B3" w:rsidRPr="007613B3" w14:paraId="2F971280" w14:textId="77777777" w:rsidTr="007C167D">
        <w:trPr>
          <w:gridAfter w:val="1"/>
          <w:wAfter w:w="14" w:type="dxa"/>
          <w:trHeight w:val="828"/>
        </w:trPr>
        <w:tc>
          <w:tcPr>
            <w:tcW w:w="9886" w:type="dxa"/>
            <w:gridSpan w:val="7"/>
            <w:tcBorders>
              <w:bottom w:val="nil"/>
            </w:tcBorders>
            <w:shd w:val="clear" w:color="auto" w:fill="auto"/>
            <w:noWrap/>
            <w:hideMark/>
          </w:tcPr>
          <w:p w14:paraId="087CCFE4" w14:textId="77777777" w:rsidR="007613B3" w:rsidRPr="00550F9D" w:rsidRDefault="007613B3" w:rsidP="00E56E67">
            <w:pPr>
              <w:spacing w:line="240" w:lineRule="auto"/>
              <w:rPr>
                <w:rFonts w:ascii="Calibri" w:eastAsia="Arial Unicode MS" w:hAnsi="Calibri" w:cs="Calibri"/>
                <w:b/>
                <w:color w:val="auto"/>
                <w:lang w:val="en-AU"/>
              </w:rPr>
            </w:pPr>
            <w:r w:rsidRPr="00550F9D">
              <w:rPr>
                <w:rFonts w:ascii="Calibri" w:eastAsia="Arial Unicode MS" w:hAnsi="Calibri" w:cs="Calibri"/>
                <w:b/>
                <w:color w:val="auto"/>
                <w:lang w:val="en-AU"/>
              </w:rPr>
              <w:t xml:space="preserve">Purpose of Activity/Assignment: </w:t>
            </w:r>
          </w:p>
          <w:p w14:paraId="04A656EC" w14:textId="77777777" w:rsidR="00F533AB" w:rsidRPr="00550F9D" w:rsidRDefault="00F533AB" w:rsidP="00E56E67">
            <w:pPr>
              <w:pStyle w:val="paragraph"/>
              <w:spacing w:before="0" w:beforeAutospacing="0" w:after="0" w:afterAutospacing="0"/>
              <w:jc w:val="both"/>
              <w:textAlignment w:val="baseline"/>
              <w:rPr>
                <w:rFonts w:ascii="Calibri" w:hAnsi="Calibri" w:cs="Calibri"/>
                <w:sz w:val="22"/>
                <w:szCs w:val="22"/>
                <w:lang w:val="en-ID"/>
              </w:rPr>
            </w:pPr>
          </w:p>
          <w:p w14:paraId="37400F48" w14:textId="5357EB5E" w:rsidR="007613B3" w:rsidRPr="00550F9D" w:rsidRDefault="00285B4C" w:rsidP="00285B4C">
            <w:pPr>
              <w:pStyle w:val="paragraph"/>
              <w:spacing w:before="0" w:beforeAutospacing="0" w:after="0" w:afterAutospacing="0" w:line="276" w:lineRule="auto"/>
              <w:jc w:val="both"/>
              <w:rPr>
                <w:rFonts w:ascii="Calibri" w:hAnsi="Calibri" w:cs="Calibri"/>
                <w:color w:val="000000" w:themeColor="text1"/>
                <w:sz w:val="20"/>
                <w:szCs w:val="20"/>
              </w:rPr>
            </w:pPr>
            <w:r w:rsidRPr="4C106497">
              <w:rPr>
                <w:rFonts w:ascii="Calibri" w:hAnsi="Calibri" w:cs="Calibri"/>
                <w:color w:val="000000" w:themeColor="text1"/>
                <w:sz w:val="20"/>
                <w:szCs w:val="20"/>
              </w:rPr>
              <w:t>UNICEF Indonesia seeks to hire a</w:t>
            </w:r>
            <w:r>
              <w:rPr>
                <w:rFonts w:ascii="Calibri" w:hAnsi="Calibri" w:cs="Calibri"/>
                <w:color w:val="000000" w:themeColor="text1"/>
                <w:sz w:val="20"/>
                <w:szCs w:val="20"/>
              </w:rPr>
              <w:t xml:space="preserve">n Individual Consultant </w:t>
            </w:r>
            <w:r w:rsidRPr="4C106497">
              <w:rPr>
                <w:rFonts w:ascii="Calibri" w:hAnsi="Calibri" w:cs="Calibri"/>
                <w:color w:val="000000" w:themeColor="text1"/>
                <w:sz w:val="20"/>
                <w:szCs w:val="20"/>
              </w:rPr>
              <w:t xml:space="preserve">to produce a report detailing untapped innovative financing opportunities at the sub-national level in East Java Province. The </w:t>
            </w:r>
            <w:r>
              <w:rPr>
                <w:rFonts w:ascii="Calibri" w:hAnsi="Calibri" w:cs="Calibri"/>
                <w:color w:val="000000" w:themeColor="text1"/>
                <w:sz w:val="20"/>
                <w:szCs w:val="20"/>
              </w:rPr>
              <w:t>Consultant</w:t>
            </w:r>
            <w:r w:rsidRPr="4C106497">
              <w:rPr>
                <w:rFonts w:ascii="Calibri" w:hAnsi="Calibri" w:cs="Calibri"/>
                <w:color w:val="000000" w:themeColor="text1"/>
                <w:sz w:val="20"/>
                <w:szCs w:val="20"/>
              </w:rPr>
              <w:t xml:space="preserve"> will work closely with the Social Policy Officer and Social Policy Specialist</w:t>
            </w:r>
            <w:r w:rsidR="00C85FFD">
              <w:rPr>
                <w:rFonts w:ascii="Calibri" w:hAnsi="Calibri" w:cs="Calibri"/>
                <w:color w:val="000000" w:themeColor="text1"/>
                <w:sz w:val="20"/>
                <w:szCs w:val="20"/>
              </w:rPr>
              <w:t>.</w:t>
            </w:r>
          </w:p>
        </w:tc>
      </w:tr>
      <w:tr w:rsidR="007613B3" w:rsidRPr="007613B3" w14:paraId="55B63C31" w14:textId="77777777" w:rsidTr="007C167D">
        <w:trPr>
          <w:gridAfter w:val="1"/>
          <w:wAfter w:w="14" w:type="dxa"/>
          <w:trHeight w:val="2510"/>
        </w:trPr>
        <w:tc>
          <w:tcPr>
            <w:tcW w:w="9886" w:type="dxa"/>
            <w:gridSpan w:val="7"/>
            <w:tcBorders>
              <w:bottom w:val="nil"/>
            </w:tcBorders>
            <w:shd w:val="clear" w:color="auto" w:fill="auto"/>
            <w:noWrap/>
          </w:tcPr>
          <w:p w14:paraId="0A250D20" w14:textId="6F4A0DDE" w:rsidR="00FD71FB" w:rsidRPr="00636394" w:rsidRDefault="00FD71FB" w:rsidP="00FD71FB">
            <w:pPr>
              <w:spacing w:line="240" w:lineRule="auto"/>
              <w:jc w:val="both"/>
              <w:rPr>
                <w:rFonts w:asciiTheme="minorHAnsi" w:hAnsiTheme="minorHAnsi" w:cstheme="minorHAnsi"/>
                <w:b/>
                <w:lang w:val="en-GB"/>
              </w:rPr>
            </w:pPr>
            <w:r w:rsidRPr="00636394">
              <w:rPr>
                <w:rFonts w:asciiTheme="minorHAnsi" w:hAnsiTheme="minorHAnsi" w:cstheme="minorHAnsi"/>
                <w:b/>
                <w:lang w:val="en-GB"/>
              </w:rPr>
              <w:t>B</w:t>
            </w:r>
            <w:r w:rsidR="00F533AB">
              <w:rPr>
                <w:rFonts w:asciiTheme="minorHAnsi" w:hAnsiTheme="minorHAnsi" w:cstheme="minorHAnsi"/>
                <w:b/>
                <w:lang w:val="en-GB"/>
              </w:rPr>
              <w:t>ackground</w:t>
            </w:r>
            <w:r w:rsidRPr="00636394">
              <w:rPr>
                <w:rFonts w:asciiTheme="minorHAnsi" w:hAnsiTheme="minorHAnsi" w:cstheme="minorHAnsi"/>
                <w:b/>
                <w:lang w:val="en-GB"/>
              </w:rPr>
              <w:t>:</w:t>
            </w:r>
          </w:p>
          <w:p w14:paraId="577DA4B8" w14:textId="15B809A4" w:rsidR="00FD71FB" w:rsidRDefault="00FD71FB" w:rsidP="00E56E67">
            <w:pPr>
              <w:spacing w:line="240" w:lineRule="auto"/>
              <w:rPr>
                <w:rFonts w:asciiTheme="minorHAnsi" w:eastAsia="Arial Unicode MS" w:hAnsiTheme="minorHAnsi" w:cstheme="minorHAnsi"/>
                <w:b/>
                <w:bCs/>
                <w:color w:val="auto"/>
                <w:lang w:val="en-AU"/>
              </w:rPr>
            </w:pPr>
          </w:p>
          <w:p w14:paraId="462F53A9" w14:textId="77777777" w:rsidR="000004A9" w:rsidRPr="000004A9" w:rsidRDefault="000004A9" w:rsidP="000004A9">
            <w:pPr>
              <w:tabs>
                <w:tab w:val="right" w:leader="dot" w:pos="9072"/>
              </w:tabs>
              <w:spacing w:after="120"/>
              <w:jc w:val="both"/>
              <w:rPr>
                <w:rFonts w:ascii="Calibri" w:hAnsi="Calibri" w:cs="Calibri"/>
              </w:rPr>
            </w:pPr>
            <w:r w:rsidRPr="000004A9">
              <w:rPr>
                <w:rFonts w:ascii="Calibri" w:hAnsi="Calibri" w:cs="Calibri"/>
              </w:rPr>
              <w:t xml:space="preserve">Protecting children’s rights requires the fulfilment of development plans that acknowledge children’s concerns. At least eight of the seventeen Sustainable Development Goals (SDGs) are tied to the rights of </w:t>
            </w:r>
            <w:bookmarkStart w:id="0" w:name="_Int_M1DBPX2p"/>
            <w:r w:rsidRPr="000004A9">
              <w:rPr>
                <w:rFonts w:ascii="Calibri" w:hAnsi="Calibri" w:cs="Calibri"/>
              </w:rPr>
              <w:t>children.</w:t>
            </w:r>
            <w:r w:rsidRPr="000004A9">
              <w:rPr>
                <w:rFonts w:ascii="Calibri" w:hAnsi="Calibri" w:cs="Calibri"/>
                <w:vertAlign w:val="superscript"/>
              </w:rPr>
              <w:footnoteReference w:id="2"/>
            </w:r>
            <w:bookmarkEnd w:id="0"/>
            <w:r w:rsidRPr="000004A9">
              <w:rPr>
                <w:rFonts w:ascii="Calibri" w:hAnsi="Calibri" w:cs="Calibri"/>
              </w:rPr>
              <w:t xml:space="preserve"> Nevertheless, the identification of targets must be accompanied by sufficient budget to finance the agenda. The OECD estimates that the SDG financing gap increased by more than 50 per cent following the COVID-19 pandemic.</w:t>
            </w:r>
            <w:r w:rsidRPr="000004A9">
              <w:rPr>
                <w:rFonts w:ascii="Calibri" w:hAnsi="Calibri" w:cs="Calibri"/>
                <w:vertAlign w:val="superscript"/>
              </w:rPr>
              <w:footnoteReference w:id="3"/>
            </w:r>
            <w:r w:rsidRPr="000004A9">
              <w:rPr>
                <w:rFonts w:ascii="Calibri" w:hAnsi="Calibri" w:cs="Calibri"/>
              </w:rPr>
              <w:t xml:space="preserve"> As a country whose financing capabilities to meet its development plans are also under distress, the Indonesian Government has since prepared the Indonesia Integrated National Financing Framework (INFF). The INFF report covers an assessment and diagnostic of SDG financing needs, financing strategies, monitoring and review process, and governance and coordination.</w:t>
            </w:r>
            <w:r w:rsidRPr="000004A9">
              <w:rPr>
                <w:rFonts w:ascii="Calibri" w:hAnsi="Calibri" w:cs="Calibri"/>
                <w:vertAlign w:val="superscript"/>
              </w:rPr>
              <w:footnoteReference w:id="4"/>
            </w:r>
            <w:r w:rsidRPr="000004A9">
              <w:rPr>
                <w:rFonts w:ascii="Calibri" w:hAnsi="Calibri" w:cs="Calibri"/>
              </w:rPr>
              <w:t xml:space="preserve"> Although the INFF has identified alternative financing sources at national level, a subnational level financing framework is needed. </w:t>
            </w:r>
          </w:p>
          <w:p w14:paraId="20A95715" w14:textId="77777777" w:rsidR="000004A9" w:rsidRPr="000004A9" w:rsidRDefault="000004A9" w:rsidP="000004A9">
            <w:pPr>
              <w:tabs>
                <w:tab w:val="right" w:leader="dot" w:pos="9072"/>
              </w:tabs>
              <w:spacing w:after="120"/>
              <w:jc w:val="both"/>
              <w:rPr>
                <w:rFonts w:ascii="Calibri" w:hAnsi="Calibri" w:cs="Calibri"/>
              </w:rPr>
            </w:pPr>
            <w:r w:rsidRPr="000004A9">
              <w:rPr>
                <w:rFonts w:ascii="Calibri" w:hAnsi="Calibri" w:cs="Calibri"/>
              </w:rPr>
              <w:t xml:space="preserve">Subnational Governments employ the 20-year development plan known as </w:t>
            </w:r>
            <w:r w:rsidRPr="000004A9">
              <w:rPr>
                <w:rFonts w:ascii="Calibri" w:hAnsi="Calibri" w:cs="Calibri"/>
                <w:i/>
                <w:iCs/>
              </w:rPr>
              <w:t xml:space="preserve">Rencana Pembangunan Jangka Panjang Daerah </w:t>
            </w:r>
            <w:r w:rsidRPr="000004A9">
              <w:rPr>
                <w:rFonts w:ascii="Calibri" w:hAnsi="Calibri" w:cs="Calibri"/>
              </w:rPr>
              <w:t xml:space="preserve">(RPJPD) in formulating its medium, five-year plan, known as </w:t>
            </w:r>
            <w:r w:rsidRPr="000004A9">
              <w:rPr>
                <w:rFonts w:ascii="Calibri" w:hAnsi="Calibri" w:cs="Calibri"/>
                <w:i/>
                <w:iCs/>
              </w:rPr>
              <w:t xml:space="preserve">Rencana Pembangunan Jangka Menengah Daerah </w:t>
            </w:r>
            <w:r w:rsidRPr="000004A9">
              <w:rPr>
                <w:rFonts w:ascii="Calibri" w:hAnsi="Calibri" w:cs="Calibri"/>
              </w:rPr>
              <w:t>(RPJMD). The 2025-2029 RPJMD will be the last to fall under the United Nations (UN)'s SDGs timeline, before it expires in 2030. It thus means that the 2025-2029 RPJMD carries the heaviest burden in meeting the SDGs target in the COVID-19 pandemic's aftermath.</w:t>
            </w:r>
          </w:p>
          <w:p w14:paraId="1B7E8E8F" w14:textId="15D712AB" w:rsidR="000004A9" w:rsidRPr="000004A9" w:rsidRDefault="000004A9" w:rsidP="000004A9">
            <w:pPr>
              <w:tabs>
                <w:tab w:val="right" w:leader="dot" w:pos="9072"/>
              </w:tabs>
              <w:spacing w:after="120"/>
              <w:jc w:val="both"/>
              <w:rPr>
                <w:rFonts w:ascii="Calibri" w:hAnsi="Calibri" w:cs="Calibri"/>
              </w:rPr>
            </w:pPr>
            <w:r w:rsidRPr="000004A9">
              <w:rPr>
                <w:rFonts w:ascii="Calibri" w:hAnsi="Calibri" w:cs="Calibri"/>
              </w:rPr>
              <w:t>East Java is the second most populous province in Indonesia, with its population nearing 42 million, close to 9 million of which are children under 15 years of age.</w:t>
            </w:r>
            <w:r w:rsidRPr="000004A9">
              <w:rPr>
                <w:rFonts w:ascii="Calibri" w:hAnsi="Calibri" w:cs="Calibri"/>
                <w:vertAlign w:val="superscript"/>
              </w:rPr>
              <w:footnoteReference w:id="5"/>
            </w:r>
            <w:r w:rsidRPr="000004A9">
              <w:rPr>
                <w:rFonts w:ascii="Calibri" w:hAnsi="Calibri" w:cs="Calibri"/>
              </w:rPr>
              <w:t xml:space="preserve"> The province is considered to possess a good level of fiscal independence (</w:t>
            </w:r>
            <w:r w:rsidRPr="3F3E2A46">
              <w:rPr>
                <w:rFonts w:ascii="Calibri" w:hAnsi="Calibri" w:cs="Calibri"/>
                <w:i/>
                <w:iCs/>
              </w:rPr>
              <w:t>kemandirian fiskal),</w:t>
            </w:r>
            <w:r w:rsidRPr="000004A9">
              <w:rPr>
                <w:rFonts w:ascii="Calibri" w:hAnsi="Calibri" w:cs="Calibri"/>
              </w:rPr>
              <w:t xml:space="preserve"> meaning that it can finance its planned activities and expenses with its own revenue.</w:t>
            </w:r>
            <w:r w:rsidRPr="000004A9">
              <w:rPr>
                <w:rFonts w:ascii="Calibri" w:hAnsi="Calibri" w:cs="Calibri"/>
                <w:vertAlign w:val="superscript"/>
              </w:rPr>
              <w:footnoteReference w:id="6"/>
            </w:r>
            <w:r w:rsidRPr="000004A9">
              <w:rPr>
                <w:rFonts w:ascii="Calibri" w:hAnsi="Calibri" w:cs="Calibri"/>
              </w:rPr>
              <w:t xml:space="preserve"> However, when it comes to fiscal space, the province </w:t>
            </w:r>
            <w:r w:rsidR="6DB0E6A6" w:rsidRPr="000004A9">
              <w:rPr>
                <w:rFonts w:ascii="Calibri" w:hAnsi="Calibri" w:cs="Calibri"/>
              </w:rPr>
              <w:t>ought to expand its current ability</w:t>
            </w:r>
            <w:r w:rsidRPr="000004A9">
              <w:rPr>
                <w:rFonts w:ascii="Calibri" w:hAnsi="Calibri" w:cs="Calibri"/>
              </w:rPr>
              <w:t xml:space="preserve"> to fully </w:t>
            </w:r>
            <w:r w:rsidR="7B666BA8" w:rsidRPr="000004A9">
              <w:rPr>
                <w:rFonts w:ascii="Calibri" w:hAnsi="Calibri" w:cs="Calibri"/>
              </w:rPr>
              <w:t>support development</w:t>
            </w:r>
            <w:r w:rsidRPr="000004A9">
              <w:rPr>
                <w:rFonts w:ascii="Calibri" w:hAnsi="Calibri" w:cs="Calibri"/>
              </w:rPr>
              <w:t xml:space="preserve"> programmes in achieving SDG, mid-, and long-term development targets. The realized local revenue of East Java amounted to IDR 127.5 trillion, the majority of which was used for personnel expenditure (IDR 40.9 trillion) and goods and capital expenditure (IDR 38.5 trillion).</w:t>
            </w:r>
            <w:r w:rsidRPr="000004A9">
              <w:rPr>
                <w:rFonts w:ascii="Calibri" w:hAnsi="Calibri" w:cs="Calibri"/>
                <w:vertAlign w:val="superscript"/>
              </w:rPr>
              <w:footnoteReference w:id="7"/>
            </w:r>
            <w:r w:rsidRPr="000004A9">
              <w:rPr>
                <w:rFonts w:ascii="Calibri" w:hAnsi="Calibri" w:cs="Calibri"/>
              </w:rPr>
              <w:t xml:space="preserve"> The lack of fiscal space is especially problematic given that East Java is still behind in meeting the SDG targets. For instance, its poverty rate is at 10.35 per cent in 2023, whereas its stunting rate stands at 19.2 per cent in 2022.</w:t>
            </w:r>
            <w:r w:rsidRPr="000004A9">
              <w:rPr>
                <w:rFonts w:ascii="Calibri" w:hAnsi="Calibri" w:cs="Calibri"/>
                <w:vertAlign w:val="superscript"/>
              </w:rPr>
              <w:footnoteReference w:id="8"/>
            </w:r>
            <w:r w:rsidRPr="000004A9">
              <w:rPr>
                <w:rFonts w:ascii="Calibri" w:hAnsi="Calibri" w:cs="Calibri"/>
                <w:vertAlign w:val="superscript"/>
              </w:rPr>
              <w:t xml:space="preserve"> </w:t>
            </w:r>
            <w:r w:rsidRPr="000004A9">
              <w:rPr>
                <w:rFonts w:ascii="Calibri" w:hAnsi="Calibri" w:cs="Calibri"/>
                <w:vertAlign w:val="superscript"/>
              </w:rPr>
              <w:footnoteReference w:id="9"/>
            </w:r>
          </w:p>
          <w:p w14:paraId="612FB3D4" w14:textId="77777777" w:rsidR="000004A9" w:rsidRPr="000004A9" w:rsidRDefault="000004A9" w:rsidP="000004A9">
            <w:pPr>
              <w:tabs>
                <w:tab w:val="right" w:leader="dot" w:pos="9072"/>
              </w:tabs>
              <w:spacing w:after="120"/>
              <w:jc w:val="both"/>
              <w:rPr>
                <w:rFonts w:ascii="Calibri" w:hAnsi="Calibri" w:cs="Calibri"/>
              </w:rPr>
            </w:pPr>
            <w:r w:rsidRPr="000004A9">
              <w:rPr>
                <w:rFonts w:ascii="Calibri" w:hAnsi="Calibri" w:cs="Calibri"/>
              </w:rPr>
              <w:lastRenderedPageBreak/>
              <w:t xml:space="preserve">Realizing subnational development plans requires comprehensive financing strategies. While East Java also uses subnational financing to cover its deficits and finance extra activities, as with other provinces, it </w:t>
            </w:r>
            <w:bookmarkStart w:id="1" w:name="_Int_Cz9ywBoJ"/>
            <w:r w:rsidRPr="000004A9">
              <w:rPr>
                <w:rFonts w:ascii="Calibri" w:hAnsi="Calibri" w:cs="Calibri"/>
              </w:rPr>
              <w:t>mainly comes</w:t>
            </w:r>
            <w:bookmarkEnd w:id="1"/>
            <w:r w:rsidRPr="000004A9">
              <w:rPr>
                <w:rFonts w:ascii="Calibri" w:hAnsi="Calibri" w:cs="Calibri"/>
              </w:rPr>
              <w:t xml:space="preserve"> from unspent funds at the end of the fiscal year (SiLPA). The Indonesian Government has issued several regulations that permit the utilization of alternative sources of financing to support development programmes and plans. To name a few, Law Number 1 Year 2022 concerning financial relations between national and subnational governments and Government Regulation Number 1 Year 2024 allow subnational Governments to utilize subnational loan, municipal bonds and municipal sukuk to finance development programmes. The said regulations also encourage the quality improvement of subnational spending. </w:t>
            </w:r>
          </w:p>
          <w:p w14:paraId="7E12A879" w14:textId="77777777" w:rsidR="000004A9" w:rsidRPr="000004A9" w:rsidRDefault="000004A9" w:rsidP="000004A9">
            <w:pPr>
              <w:tabs>
                <w:tab w:val="right" w:leader="dot" w:pos="9072"/>
              </w:tabs>
              <w:spacing w:after="120"/>
              <w:jc w:val="both"/>
              <w:rPr>
                <w:rFonts w:ascii="Calibri" w:hAnsi="Calibri" w:cs="Calibri"/>
              </w:rPr>
            </w:pPr>
            <w:r w:rsidRPr="000004A9">
              <w:rPr>
                <w:rFonts w:ascii="Calibri" w:hAnsi="Calibri" w:cs="Calibri"/>
              </w:rPr>
              <w:t>An assessment of Indonesia’s municipal bond landscape finds that East Java is eligible to be a pilot province for the issuance of municipal bond.</w:t>
            </w:r>
            <w:r w:rsidRPr="000004A9">
              <w:rPr>
                <w:rFonts w:ascii="Calibri" w:hAnsi="Calibri" w:cs="Calibri"/>
                <w:vertAlign w:val="superscript"/>
              </w:rPr>
              <w:footnoteReference w:id="10"/>
            </w:r>
            <w:r w:rsidRPr="000004A9">
              <w:rPr>
                <w:rFonts w:ascii="Calibri" w:hAnsi="Calibri" w:cs="Calibri"/>
              </w:rPr>
              <w:t xml:space="preserve"> The assessment is based on the financial, social, and environmental aspects of Indonesian provinces. Despite considerable interest from the Subnational Government, approval from DPRD is considered a bottleneck of the issuance of municipal bonds and other forms of alternative financing – especially regarding the payback requirements.</w:t>
            </w:r>
          </w:p>
          <w:p w14:paraId="2CD62FB5" w14:textId="77777777" w:rsidR="000004A9" w:rsidRPr="000004A9" w:rsidRDefault="000004A9" w:rsidP="000004A9">
            <w:pPr>
              <w:tabs>
                <w:tab w:val="right" w:leader="dot" w:pos="9072"/>
              </w:tabs>
              <w:spacing w:after="120"/>
              <w:jc w:val="both"/>
              <w:rPr>
                <w:rFonts w:ascii="Calibri" w:hAnsi="Calibri" w:cs="Calibri"/>
              </w:rPr>
            </w:pPr>
            <w:r w:rsidRPr="000004A9">
              <w:rPr>
                <w:rFonts w:ascii="Calibri" w:hAnsi="Calibri" w:cs="Calibri"/>
              </w:rPr>
              <w:t>In the faith-based financing realm, Law Number 23 Year 2011 regarding zakat management permits the Subnational Government to support the operational expenditures of zakat institutions (e.g., BAZNAS and LAZ) through subnational state budget (</w:t>
            </w:r>
            <w:r w:rsidRPr="000004A9">
              <w:rPr>
                <w:rFonts w:ascii="Calibri" w:hAnsi="Calibri" w:cs="Calibri"/>
                <w:i/>
                <w:iCs/>
              </w:rPr>
              <w:t xml:space="preserve">Anggaran Pendapatan dan Belanja Daerah </w:t>
            </w:r>
            <w:r w:rsidRPr="000004A9">
              <w:rPr>
                <w:rFonts w:ascii="Calibri" w:hAnsi="Calibri" w:cs="Calibri"/>
              </w:rPr>
              <w:t xml:space="preserve">(APBD). BAZNAS and LAZ as non-structural Government Institutions have the mandate to collect and disburse </w:t>
            </w:r>
            <w:r w:rsidRPr="000004A9">
              <w:rPr>
                <w:rFonts w:ascii="Calibri" w:hAnsi="Calibri" w:cs="Calibri"/>
                <w:i/>
                <w:iCs/>
              </w:rPr>
              <w:t xml:space="preserve">zakat </w:t>
            </w:r>
            <w:r w:rsidRPr="000004A9">
              <w:rPr>
                <w:rFonts w:ascii="Calibri" w:hAnsi="Calibri" w:cs="Calibri"/>
              </w:rPr>
              <w:t>to eligible beneficiaries. There is room for further analysis regarding zakat, subnational development plans, and children’s rights. How, for example, zakat could help reduce child poverty and increase school enrolment at the subnational level requires a comprehensive analysis regarding the applicable financing schemes.</w:t>
            </w:r>
          </w:p>
          <w:p w14:paraId="2FF0EF13" w14:textId="77777777" w:rsidR="000004A9" w:rsidRPr="000004A9" w:rsidRDefault="000004A9" w:rsidP="000004A9">
            <w:pPr>
              <w:tabs>
                <w:tab w:val="right" w:leader="dot" w:pos="9072"/>
              </w:tabs>
              <w:spacing w:after="120"/>
              <w:jc w:val="both"/>
              <w:rPr>
                <w:rFonts w:ascii="Calibri" w:hAnsi="Calibri" w:cs="Calibri"/>
              </w:rPr>
            </w:pPr>
            <w:r w:rsidRPr="000004A9">
              <w:rPr>
                <w:rFonts w:ascii="Calibri" w:hAnsi="Calibri" w:cs="Calibri"/>
              </w:rPr>
              <w:t xml:space="preserve">The Indonesian policy ecosystem through Presidential Regulation Number 38 the Year 2015 and BAPPENAS Ministerial Regulation Number 7 Year 2023 also permits the employment of public-private partnership (PPP), also known as </w:t>
            </w:r>
            <w:r w:rsidRPr="000004A9">
              <w:rPr>
                <w:rFonts w:ascii="Calibri" w:hAnsi="Calibri" w:cs="Calibri"/>
                <w:i/>
                <w:iCs/>
              </w:rPr>
              <w:t xml:space="preserve">kerjasama pemerintah dengan Badan Usaha </w:t>
            </w:r>
            <w:r w:rsidRPr="000004A9">
              <w:rPr>
                <w:rFonts w:ascii="Calibri" w:hAnsi="Calibri" w:cs="Calibri"/>
              </w:rPr>
              <w:t>(KPBU) to finance infrastructure projects. To date, three PPP projects have been implemented in East Java, two of which are infrastructure projects, and one is supporting drinking water.</w:t>
            </w:r>
            <w:r w:rsidRPr="000004A9">
              <w:rPr>
                <w:rFonts w:ascii="Calibri" w:hAnsi="Calibri" w:cs="Calibri"/>
                <w:vertAlign w:val="superscript"/>
              </w:rPr>
              <w:footnoteReference w:id="11"/>
            </w:r>
            <w:r w:rsidRPr="000004A9">
              <w:rPr>
                <w:rFonts w:ascii="Calibri" w:hAnsi="Calibri" w:cs="Calibri"/>
              </w:rPr>
              <w:t xml:space="preserve"> The above-mentioned forms of alternative financing strategies could potentially improve the fiscal space of East Java in meeting its 2025-2029 RPJMD. Moreover, they might help ensure the rights of children through increasing public facilities for children. UNICEF Indonesia acknowledges the imperative of </w:t>
            </w:r>
            <w:bookmarkStart w:id="2" w:name="_Int_HzAyGIXN"/>
            <w:r w:rsidRPr="000004A9">
              <w:rPr>
                <w:rFonts w:ascii="Calibri" w:hAnsi="Calibri" w:cs="Calibri"/>
              </w:rPr>
              <w:t>assessing</w:t>
            </w:r>
            <w:bookmarkEnd w:id="2"/>
            <w:r w:rsidRPr="000004A9">
              <w:rPr>
                <w:rFonts w:ascii="Calibri" w:hAnsi="Calibri" w:cs="Calibri"/>
              </w:rPr>
              <w:t xml:space="preserve"> the subnational financing strategies, both from traditional and alternative sources, with specific consideration to be made regarding child-focused development programmes. In addition, UNICEF Indonesia aims to assist the Subnational Government of East Java in leveraging private sector support and other previously unidentified local, national, as well as regional sources of financing to help East Java in meeting its strategic development plans.</w:t>
            </w:r>
          </w:p>
          <w:p w14:paraId="491067D8" w14:textId="77777777" w:rsidR="000004A9" w:rsidRPr="000004A9" w:rsidRDefault="000004A9" w:rsidP="000004A9">
            <w:pPr>
              <w:tabs>
                <w:tab w:val="right" w:leader="dot" w:pos="9072"/>
              </w:tabs>
              <w:spacing w:after="120"/>
              <w:jc w:val="both"/>
              <w:rPr>
                <w:rFonts w:ascii="Calibri" w:hAnsi="Calibri" w:cs="Calibri"/>
              </w:rPr>
            </w:pPr>
            <w:r w:rsidRPr="000004A9">
              <w:rPr>
                <w:rFonts w:ascii="Calibri" w:hAnsi="Calibri" w:cs="Calibri"/>
              </w:rPr>
              <w:t xml:space="preserve">In response to this, UNICEF Indonesia seeks to hire </w:t>
            </w:r>
            <w:r w:rsidRPr="000004A9">
              <w:rPr>
                <w:rFonts w:ascii="Calibri" w:hAnsi="Calibri" w:cs="Calibri"/>
                <w:u w:val="single"/>
              </w:rPr>
              <w:t>an Individual Consultant</w:t>
            </w:r>
            <w:r w:rsidRPr="000004A9">
              <w:rPr>
                <w:rFonts w:ascii="Calibri" w:hAnsi="Calibri" w:cs="Calibri"/>
              </w:rPr>
              <w:t xml:space="preserve"> to develop an Integrated Subnational Financing Framework (ISFF) for East Java 2025-2029. The need for the ISFF for East Java can be summed up as follows:</w:t>
            </w:r>
          </w:p>
          <w:p w14:paraId="156CAF4D" w14:textId="77777777" w:rsidR="000004A9" w:rsidRPr="000004A9" w:rsidRDefault="000004A9" w:rsidP="0013195F">
            <w:pPr>
              <w:numPr>
                <w:ilvl w:val="0"/>
                <w:numId w:val="1"/>
              </w:numPr>
              <w:tabs>
                <w:tab w:val="right" w:leader="dot" w:pos="9072"/>
              </w:tabs>
              <w:spacing w:after="60" w:line="240" w:lineRule="auto"/>
              <w:ind w:left="714" w:hanging="357"/>
              <w:jc w:val="both"/>
              <w:rPr>
                <w:rFonts w:ascii="Calibri" w:hAnsi="Calibri" w:cs="Calibri"/>
              </w:rPr>
            </w:pPr>
            <w:r w:rsidRPr="000004A9">
              <w:rPr>
                <w:rFonts w:ascii="Calibri" w:hAnsi="Calibri" w:cs="Calibri"/>
              </w:rPr>
              <w:t>Whilst many regulations are supporting the utilization of alternative sources of financing, Government counterparts are yet to approve the implementation of such alternative financing strategies.</w:t>
            </w:r>
          </w:p>
          <w:p w14:paraId="058DCAAF" w14:textId="77777777" w:rsidR="000004A9" w:rsidRPr="000004A9" w:rsidRDefault="000004A9" w:rsidP="0013195F">
            <w:pPr>
              <w:numPr>
                <w:ilvl w:val="0"/>
                <w:numId w:val="1"/>
              </w:numPr>
              <w:tabs>
                <w:tab w:val="right" w:leader="dot" w:pos="9072"/>
              </w:tabs>
              <w:spacing w:after="60" w:line="240" w:lineRule="auto"/>
              <w:ind w:left="714" w:hanging="357"/>
              <w:jc w:val="both"/>
              <w:rPr>
                <w:rFonts w:ascii="Calibri" w:hAnsi="Calibri" w:cs="Calibri"/>
              </w:rPr>
            </w:pPr>
            <w:r w:rsidRPr="000004A9">
              <w:rPr>
                <w:rFonts w:ascii="Calibri" w:hAnsi="Calibri" w:cs="Calibri"/>
              </w:rPr>
              <w:t>A comprehensive analysis of alternative sources of financing available and feasible to be utilized in East Java is non-existent.</w:t>
            </w:r>
          </w:p>
          <w:p w14:paraId="2BA54769" w14:textId="77777777" w:rsidR="000004A9" w:rsidRPr="000004A9" w:rsidRDefault="000004A9" w:rsidP="0013195F">
            <w:pPr>
              <w:numPr>
                <w:ilvl w:val="0"/>
                <w:numId w:val="1"/>
              </w:numPr>
              <w:tabs>
                <w:tab w:val="right" w:leader="dot" w:pos="9072"/>
              </w:tabs>
              <w:spacing w:after="60" w:line="240" w:lineRule="auto"/>
              <w:ind w:left="714" w:hanging="357"/>
              <w:jc w:val="both"/>
              <w:rPr>
                <w:rFonts w:ascii="Calibri" w:hAnsi="Calibri" w:cs="Calibri"/>
              </w:rPr>
            </w:pPr>
            <w:r w:rsidRPr="000004A9">
              <w:rPr>
                <w:rFonts w:ascii="Calibri" w:hAnsi="Calibri" w:cs="Calibri"/>
              </w:rPr>
              <w:t>A detailed model of implementation, with case studies that cater to the needs and rights of children in East Java, is non-existent.</w:t>
            </w:r>
          </w:p>
          <w:p w14:paraId="7EB14495" w14:textId="77777777" w:rsidR="000004A9" w:rsidRPr="000004A9" w:rsidRDefault="000004A9" w:rsidP="0013195F">
            <w:pPr>
              <w:numPr>
                <w:ilvl w:val="0"/>
                <w:numId w:val="1"/>
              </w:numPr>
              <w:tabs>
                <w:tab w:val="right" w:leader="dot" w:pos="9072"/>
              </w:tabs>
              <w:spacing w:after="60" w:line="240" w:lineRule="auto"/>
              <w:ind w:left="714" w:hanging="357"/>
              <w:jc w:val="both"/>
              <w:rPr>
                <w:rFonts w:ascii="Calibri" w:hAnsi="Calibri" w:cs="Calibri"/>
              </w:rPr>
            </w:pPr>
            <w:r w:rsidRPr="000004A9">
              <w:rPr>
                <w:rFonts w:ascii="Calibri" w:hAnsi="Calibri" w:cs="Calibri"/>
              </w:rPr>
              <w:t>The subnational mapping of SDGs and financing strategies based on the needs of children is non-existent.</w:t>
            </w:r>
          </w:p>
          <w:p w14:paraId="6CCC45A2" w14:textId="77777777" w:rsidR="007C167D" w:rsidRDefault="007C167D" w:rsidP="0013195F">
            <w:pPr>
              <w:spacing w:after="60"/>
              <w:rPr>
                <w:rFonts w:asciiTheme="minorHAnsi" w:eastAsia="Arial Unicode MS" w:hAnsiTheme="minorHAnsi" w:cstheme="minorHAnsi"/>
                <w:b/>
                <w:bCs/>
                <w:color w:val="auto"/>
                <w:lang w:val="en-AU"/>
              </w:rPr>
            </w:pPr>
          </w:p>
          <w:p w14:paraId="2CD08F5F" w14:textId="1850BF6C" w:rsidR="004F516B" w:rsidRPr="00636394" w:rsidRDefault="007613B3" w:rsidP="0013195F">
            <w:pPr>
              <w:spacing w:after="60"/>
              <w:rPr>
                <w:rFonts w:asciiTheme="minorHAnsi" w:eastAsia="Arial Unicode MS" w:hAnsiTheme="minorHAnsi" w:cstheme="minorHAnsi"/>
                <w:b/>
                <w:bCs/>
                <w:color w:val="auto"/>
                <w:lang w:val="en-AU"/>
              </w:rPr>
            </w:pPr>
            <w:r w:rsidRPr="00636394">
              <w:rPr>
                <w:rFonts w:asciiTheme="minorHAnsi" w:eastAsia="Arial Unicode MS" w:hAnsiTheme="minorHAnsi" w:cstheme="minorHAnsi"/>
                <w:b/>
                <w:bCs/>
                <w:color w:val="auto"/>
                <w:lang w:val="en-AU"/>
              </w:rPr>
              <w:t>Scope of Work:</w:t>
            </w:r>
          </w:p>
          <w:p w14:paraId="7D76CDA5" w14:textId="06DF2FAF" w:rsidR="00CF1FE8" w:rsidRDefault="00CF1FE8" w:rsidP="0013195F">
            <w:pPr>
              <w:spacing w:after="60"/>
              <w:jc w:val="both"/>
              <w:rPr>
                <w:rFonts w:asciiTheme="minorHAnsi" w:hAnsiTheme="minorHAnsi" w:cstheme="minorHAnsi"/>
              </w:rPr>
            </w:pPr>
            <w:r>
              <w:rPr>
                <w:rFonts w:asciiTheme="minorHAnsi" w:hAnsiTheme="minorHAnsi" w:cstheme="minorHAnsi"/>
              </w:rPr>
              <w:t xml:space="preserve">The </w:t>
            </w:r>
            <w:r w:rsidR="009A5E8F">
              <w:rPr>
                <w:rFonts w:asciiTheme="minorHAnsi" w:hAnsiTheme="minorHAnsi" w:cstheme="minorHAnsi"/>
              </w:rPr>
              <w:t>Individual Consultant</w:t>
            </w:r>
            <w:r>
              <w:rPr>
                <w:rFonts w:asciiTheme="minorHAnsi" w:hAnsiTheme="minorHAnsi" w:cstheme="minorHAnsi"/>
              </w:rPr>
              <w:t xml:space="preserve"> is expected to:</w:t>
            </w:r>
          </w:p>
          <w:p w14:paraId="13BAD95D" w14:textId="77777777" w:rsidR="00987307" w:rsidRDefault="00987307" w:rsidP="0013195F">
            <w:pPr>
              <w:pStyle w:val="ListParagraph"/>
              <w:numPr>
                <w:ilvl w:val="0"/>
                <w:numId w:val="2"/>
              </w:numPr>
              <w:spacing w:after="60"/>
              <w:contextualSpacing w:val="0"/>
              <w:jc w:val="both"/>
              <w:rPr>
                <w:rFonts w:asciiTheme="minorHAnsi" w:hAnsiTheme="minorHAnsi" w:cstheme="minorBidi"/>
                <w:lang w:val="en-ID"/>
              </w:rPr>
            </w:pPr>
            <w:r w:rsidRPr="5F2FFEDD">
              <w:rPr>
                <w:rFonts w:asciiTheme="minorHAnsi" w:hAnsiTheme="minorHAnsi" w:cstheme="minorBidi"/>
                <w:b/>
                <w:bCs/>
                <w:u w:val="single"/>
              </w:rPr>
              <w:t>Produce the ISFF report</w:t>
            </w:r>
            <w:r w:rsidRPr="5F2FFEDD">
              <w:rPr>
                <w:rFonts w:asciiTheme="minorHAnsi" w:hAnsiTheme="minorHAnsi" w:cstheme="minorBidi"/>
              </w:rPr>
              <w:t xml:space="preserve"> in </w:t>
            </w:r>
            <w:r>
              <w:rPr>
                <w:rFonts w:asciiTheme="minorHAnsi" w:hAnsiTheme="minorHAnsi" w:cstheme="minorBidi"/>
              </w:rPr>
              <w:t>Bahasa Indonesia,</w:t>
            </w:r>
            <w:r w:rsidRPr="5F2FFEDD">
              <w:rPr>
                <w:rFonts w:asciiTheme="minorHAnsi" w:hAnsiTheme="minorHAnsi" w:cstheme="minorBidi"/>
              </w:rPr>
              <w:t xml:space="preserve"> which contains the following:</w:t>
            </w:r>
          </w:p>
          <w:p w14:paraId="023187C6" w14:textId="77777777" w:rsidR="00987307" w:rsidRPr="002C3386" w:rsidRDefault="00987307" w:rsidP="0013195F">
            <w:pPr>
              <w:numPr>
                <w:ilvl w:val="0"/>
                <w:numId w:val="3"/>
              </w:numPr>
              <w:spacing w:after="60"/>
              <w:ind w:left="1148"/>
              <w:jc w:val="both"/>
              <w:rPr>
                <w:rFonts w:asciiTheme="minorHAnsi" w:hAnsiTheme="minorHAnsi" w:cstheme="minorHAnsi"/>
                <w:lang w:val="en-ID"/>
              </w:rPr>
            </w:pPr>
            <w:r>
              <w:rPr>
                <w:rFonts w:asciiTheme="minorHAnsi" w:hAnsiTheme="minorHAnsi" w:cstheme="minorBidi"/>
                <w:lang w:val="en-ID"/>
              </w:rPr>
              <w:t>The evaluation of East Java’s development planning landscape towards meeting SDGs 2030.</w:t>
            </w:r>
          </w:p>
          <w:p w14:paraId="4132793E" w14:textId="77777777" w:rsidR="00987307" w:rsidRPr="00CF1FE8" w:rsidRDefault="00987307" w:rsidP="0013195F">
            <w:pPr>
              <w:numPr>
                <w:ilvl w:val="0"/>
                <w:numId w:val="3"/>
              </w:numPr>
              <w:spacing w:after="60"/>
              <w:ind w:left="1148"/>
              <w:jc w:val="both"/>
              <w:rPr>
                <w:rFonts w:asciiTheme="minorHAnsi" w:hAnsiTheme="minorHAnsi" w:cstheme="minorHAnsi"/>
                <w:lang w:val="en-ID"/>
              </w:rPr>
            </w:pPr>
            <w:r w:rsidRPr="5F2FFEDD">
              <w:rPr>
                <w:rFonts w:asciiTheme="minorHAnsi" w:hAnsiTheme="minorHAnsi" w:cstheme="minorBidi"/>
                <w:lang w:val="en-ID"/>
              </w:rPr>
              <w:t>The financial needs assessment and macroeconomic analysis of East Java’s APBD.</w:t>
            </w:r>
          </w:p>
          <w:p w14:paraId="48620FD9" w14:textId="77777777" w:rsidR="00987307" w:rsidRPr="00CF1FE8" w:rsidRDefault="00987307" w:rsidP="0013195F">
            <w:pPr>
              <w:numPr>
                <w:ilvl w:val="0"/>
                <w:numId w:val="3"/>
              </w:numPr>
              <w:spacing w:after="60"/>
              <w:ind w:left="1148"/>
              <w:jc w:val="both"/>
              <w:rPr>
                <w:rFonts w:asciiTheme="minorHAnsi" w:hAnsiTheme="minorHAnsi" w:cstheme="minorHAnsi"/>
                <w:lang w:val="en-ID"/>
              </w:rPr>
            </w:pPr>
            <w:r w:rsidRPr="5F2FFEDD">
              <w:rPr>
                <w:rFonts w:asciiTheme="minorHAnsi" w:hAnsiTheme="minorHAnsi" w:cstheme="minorBidi"/>
                <w:lang w:val="en-ID"/>
              </w:rPr>
              <w:t xml:space="preserve">The Identification of alternative financing opportunities in East Java Province for meeting RPJMD 2025-2029 and SDGs 2030, </w:t>
            </w:r>
            <w:r w:rsidRPr="5F2FFEDD">
              <w:rPr>
                <w:rFonts w:asciiTheme="minorHAnsi" w:hAnsiTheme="minorHAnsi" w:cstheme="minorBidi"/>
                <w:i/>
                <w:iCs/>
                <w:lang w:val="en-ID"/>
              </w:rPr>
              <w:t>with specific attention made to the unutilised and/or unidentified sources of alternative financing.</w:t>
            </w:r>
          </w:p>
          <w:p w14:paraId="09587626" w14:textId="77777777" w:rsidR="006214A0" w:rsidRPr="00CF1FE8" w:rsidRDefault="006214A0" w:rsidP="0013195F">
            <w:pPr>
              <w:numPr>
                <w:ilvl w:val="0"/>
                <w:numId w:val="3"/>
              </w:numPr>
              <w:spacing w:after="60"/>
              <w:ind w:left="1148"/>
              <w:jc w:val="both"/>
              <w:rPr>
                <w:rFonts w:asciiTheme="minorHAnsi" w:hAnsiTheme="minorHAnsi" w:cstheme="minorHAnsi"/>
                <w:lang w:val="en-ID"/>
              </w:rPr>
            </w:pPr>
            <w:r w:rsidRPr="5F2FFEDD">
              <w:rPr>
                <w:rFonts w:asciiTheme="minorHAnsi" w:hAnsiTheme="minorHAnsi" w:cstheme="minorBidi"/>
                <w:lang w:val="en-ID"/>
              </w:rPr>
              <w:t xml:space="preserve">The identification of alternative financing opportunities for child-focused development programmes in East Java Province in relation to meeting RPJMD 2025-2029 and SDGs 2030, </w:t>
            </w:r>
            <w:r w:rsidRPr="5F2FFEDD">
              <w:rPr>
                <w:rFonts w:asciiTheme="minorHAnsi" w:hAnsiTheme="minorHAnsi" w:cstheme="minorBidi"/>
                <w:i/>
                <w:iCs/>
                <w:lang w:val="en-ID"/>
              </w:rPr>
              <w:t xml:space="preserve">with specific attention made to </w:t>
            </w:r>
            <w:r>
              <w:rPr>
                <w:rFonts w:asciiTheme="minorHAnsi" w:hAnsiTheme="minorHAnsi" w:cstheme="minorBidi"/>
                <w:i/>
                <w:iCs/>
                <w:lang w:val="en-ID"/>
              </w:rPr>
              <w:t xml:space="preserve">i) </w:t>
            </w:r>
            <w:r w:rsidRPr="5F2FFEDD">
              <w:rPr>
                <w:rFonts w:asciiTheme="minorHAnsi" w:hAnsiTheme="minorHAnsi" w:cstheme="minorBidi"/>
                <w:i/>
                <w:iCs/>
                <w:lang w:val="en-ID"/>
              </w:rPr>
              <w:t>the unutilised and/or unidentified sources of alternative financing</w:t>
            </w:r>
            <w:r>
              <w:rPr>
                <w:rFonts w:asciiTheme="minorHAnsi" w:hAnsiTheme="minorHAnsi" w:cstheme="minorBidi"/>
                <w:i/>
                <w:iCs/>
                <w:lang w:val="en-ID"/>
              </w:rPr>
              <w:t xml:space="preserve"> and ii) the potential  impact of such alternative financing opportunities in addressing gender disparities in child-focused development programmes.</w:t>
            </w:r>
          </w:p>
          <w:p w14:paraId="237B1014" w14:textId="77777777" w:rsidR="00987307" w:rsidRPr="00CF1FE8" w:rsidRDefault="00987307" w:rsidP="0013195F">
            <w:pPr>
              <w:numPr>
                <w:ilvl w:val="0"/>
                <w:numId w:val="3"/>
              </w:numPr>
              <w:spacing w:after="60"/>
              <w:ind w:left="1148"/>
              <w:jc w:val="both"/>
              <w:rPr>
                <w:rFonts w:asciiTheme="minorHAnsi" w:hAnsiTheme="minorHAnsi" w:cstheme="minorHAnsi"/>
                <w:lang w:val="en-ID"/>
              </w:rPr>
            </w:pPr>
            <w:r w:rsidRPr="5F2FFEDD">
              <w:rPr>
                <w:rFonts w:asciiTheme="minorHAnsi" w:hAnsiTheme="minorHAnsi" w:cstheme="minorBidi"/>
                <w:lang w:val="en-ID"/>
              </w:rPr>
              <w:t>The investigation of the regulatory ecosystem of alternative financing in East Java.</w:t>
            </w:r>
          </w:p>
          <w:p w14:paraId="4324952D" w14:textId="77777777" w:rsidR="00987307" w:rsidRPr="00CF1FE8" w:rsidRDefault="00987307" w:rsidP="0013195F">
            <w:pPr>
              <w:numPr>
                <w:ilvl w:val="0"/>
                <w:numId w:val="3"/>
              </w:numPr>
              <w:spacing w:after="60"/>
              <w:ind w:left="1148"/>
              <w:jc w:val="both"/>
              <w:rPr>
                <w:rFonts w:asciiTheme="minorHAnsi" w:hAnsiTheme="minorHAnsi" w:cstheme="minorHAnsi"/>
                <w:lang w:val="en-ID"/>
              </w:rPr>
            </w:pPr>
            <w:r w:rsidRPr="5F2FFEDD">
              <w:rPr>
                <w:rFonts w:asciiTheme="minorHAnsi" w:hAnsiTheme="minorHAnsi" w:cstheme="minorBidi"/>
                <w:lang w:val="en-ID"/>
              </w:rPr>
              <w:t>The identification of monitoring and evaluation procedures.</w:t>
            </w:r>
          </w:p>
          <w:p w14:paraId="6D7BA4E1" w14:textId="77777777" w:rsidR="00987307" w:rsidRPr="00CF1FE8" w:rsidRDefault="00987307" w:rsidP="0013195F">
            <w:pPr>
              <w:numPr>
                <w:ilvl w:val="0"/>
                <w:numId w:val="3"/>
              </w:numPr>
              <w:spacing w:after="60"/>
              <w:ind w:left="1148"/>
              <w:jc w:val="both"/>
              <w:rPr>
                <w:rStyle w:val="normaltextrun"/>
                <w:rFonts w:asciiTheme="minorHAnsi" w:hAnsiTheme="minorHAnsi" w:cstheme="minorHAnsi"/>
                <w:lang w:val="en-ID"/>
              </w:rPr>
            </w:pPr>
            <w:r w:rsidRPr="5F2FFEDD">
              <w:rPr>
                <w:rFonts w:asciiTheme="minorHAnsi" w:hAnsiTheme="minorHAnsi" w:cstheme="minorBidi"/>
                <w:lang w:val="en-ID"/>
              </w:rPr>
              <w:t>The roadmap of ISFF.</w:t>
            </w:r>
          </w:p>
          <w:p w14:paraId="3B713B28" w14:textId="77777777" w:rsidR="00987307" w:rsidRDefault="00987307" w:rsidP="0013195F">
            <w:pPr>
              <w:pStyle w:val="paragraph"/>
              <w:numPr>
                <w:ilvl w:val="0"/>
                <w:numId w:val="2"/>
              </w:numPr>
              <w:spacing w:before="0" w:beforeAutospacing="0" w:after="60" w:afterAutospacing="0" w:line="276" w:lineRule="auto"/>
              <w:jc w:val="both"/>
              <w:textAlignment w:val="baseline"/>
              <w:rPr>
                <w:rStyle w:val="normaltextrun"/>
                <w:rFonts w:ascii="Calibri" w:hAnsi="Calibri" w:cs="Calibri"/>
                <w:color w:val="000000"/>
                <w:sz w:val="20"/>
                <w:szCs w:val="20"/>
              </w:rPr>
            </w:pPr>
            <w:r w:rsidRPr="00F52B4C">
              <w:rPr>
                <w:rStyle w:val="normaltextrun"/>
                <w:rFonts w:ascii="Calibri" w:hAnsi="Calibri" w:cs="Calibri"/>
                <w:b/>
                <w:bCs/>
                <w:color w:val="000000"/>
                <w:sz w:val="20"/>
                <w:szCs w:val="20"/>
                <w:u w:val="single"/>
              </w:rPr>
              <w:t>Hold Consultation Meetings</w:t>
            </w:r>
            <w:r>
              <w:rPr>
                <w:rStyle w:val="normaltextrun"/>
                <w:rFonts w:ascii="Calibri" w:hAnsi="Calibri" w:cs="Calibri"/>
                <w:color w:val="000000"/>
                <w:sz w:val="20"/>
                <w:szCs w:val="20"/>
              </w:rPr>
              <w:t xml:space="preserve"> with Related Government Stakeholders and Private Sectors in East Java Province to produce the report.</w:t>
            </w:r>
          </w:p>
          <w:p w14:paraId="1784EB26" w14:textId="4CFE54CF" w:rsidR="006724EF" w:rsidRDefault="006724EF" w:rsidP="0013195F">
            <w:pPr>
              <w:pStyle w:val="paragraph"/>
              <w:numPr>
                <w:ilvl w:val="0"/>
                <w:numId w:val="2"/>
              </w:numPr>
              <w:spacing w:before="0" w:beforeAutospacing="0" w:after="60" w:afterAutospacing="0" w:line="276" w:lineRule="auto"/>
              <w:jc w:val="both"/>
              <w:textAlignment w:val="baseline"/>
              <w:rPr>
                <w:rStyle w:val="normaltextrun"/>
                <w:rFonts w:ascii="Calibri" w:hAnsi="Calibri" w:cs="Calibri"/>
                <w:color w:val="000000"/>
                <w:sz w:val="20"/>
                <w:szCs w:val="20"/>
              </w:rPr>
            </w:pPr>
            <w:r>
              <w:rPr>
                <w:rStyle w:val="normaltextrun"/>
                <w:rFonts w:ascii="Calibri" w:hAnsi="Calibri" w:cs="Calibri"/>
                <w:b/>
                <w:bCs/>
                <w:color w:val="000000"/>
                <w:sz w:val="20"/>
                <w:szCs w:val="20"/>
                <w:u w:val="single"/>
              </w:rPr>
              <w:t xml:space="preserve">Present the </w:t>
            </w:r>
            <w:r w:rsidR="00EF13ED">
              <w:rPr>
                <w:rStyle w:val="normaltextrun"/>
                <w:rFonts w:ascii="Calibri" w:hAnsi="Calibri" w:cs="Calibri"/>
                <w:b/>
                <w:bCs/>
                <w:color w:val="000000"/>
                <w:sz w:val="20"/>
                <w:szCs w:val="20"/>
                <w:u w:val="single"/>
              </w:rPr>
              <w:t xml:space="preserve">Mid-Term Progress of the ISFF Report </w:t>
            </w:r>
            <w:r w:rsidR="00EF13ED">
              <w:rPr>
                <w:rStyle w:val="normaltextrun"/>
                <w:rFonts w:ascii="Calibri" w:hAnsi="Calibri" w:cs="Calibri"/>
                <w:color w:val="000000"/>
                <w:sz w:val="20"/>
                <w:szCs w:val="20"/>
              </w:rPr>
              <w:t>to UNICEF and Related Government Stakeholders</w:t>
            </w:r>
            <w:r w:rsidR="00960739">
              <w:rPr>
                <w:rStyle w:val="normaltextrun"/>
                <w:rFonts w:ascii="Calibri" w:hAnsi="Calibri" w:cs="Calibri"/>
                <w:color w:val="000000"/>
                <w:sz w:val="20"/>
                <w:szCs w:val="20"/>
              </w:rPr>
              <w:t>, with slide decks prepared in Bahasa Indonesia and English</w:t>
            </w:r>
            <w:r w:rsidR="00552451">
              <w:rPr>
                <w:rStyle w:val="normaltextrun"/>
                <w:rFonts w:ascii="Calibri" w:hAnsi="Calibri" w:cs="Calibri"/>
                <w:color w:val="000000"/>
                <w:sz w:val="20"/>
                <w:szCs w:val="20"/>
              </w:rPr>
              <w:t>.</w:t>
            </w:r>
          </w:p>
          <w:p w14:paraId="01F74B45" w14:textId="6361F66F" w:rsidR="00987307" w:rsidRPr="00552451" w:rsidRDefault="00987307" w:rsidP="0013195F">
            <w:pPr>
              <w:pStyle w:val="paragraph"/>
              <w:numPr>
                <w:ilvl w:val="0"/>
                <w:numId w:val="2"/>
              </w:numPr>
              <w:spacing w:before="0" w:beforeAutospacing="0" w:after="60" w:afterAutospacing="0" w:line="276" w:lineRule="auto"/>
              <w:jc w:val="both"/>
              <w:textAlignment w:val="baseline"/>
              <w:rPr>
                <w:rStyle w:val="normaltextrun"/>
                <w:rFonts w:ascii="Calibri" w:hAnsi="Calibri" w:cs="Calibri"/>
                <w:color w:val="000000"/>
                <w:sz w:val="20"/>
                <w:szCs w:val="20"/>
              </w:rPr>
            </w:pPr>
            <w:r w:rsidRPr="00B266EF">
              <w:rPr>
                <w:rStyle w:val="normaltextrun"/>
                <w:rFonts w:ascii="Calibri" w:hAnsi="Calibri" w:cs="Calibri"/>
                <w:b/>
                <w:bCs/>
                <w:color w:val="000000"/>
                <w:sz w:val="20"/>
                <w:szCs w:val="20"/>
                <w:u w:val="single"/>
              </w:rPr>
              <w:t>Validate the Report</w:t>
            </w:r>
            <w:r>
              <w:rPr>
                <w:rStyle w:val="normaltextrun"/>
                <w:rFonts w:ascii="Calibri" w:hAnsi="Calibri" w:cs="Calibri"/>
                <w:color w:val="000000"/>
                <w:sz w:val="20"/>
                <w:szCs w:val="20"/>
              </w:rPr>
              <w:t xml:space="preserve"> Through a validation meeting with UNICEF and related partners</w:t>
            </w:r>
            <w:r w:rsidR="00552451">
              <w:rPr>
                <w:rStyle w:val="normaltextrun"/>
                <w:rFonts w:ascii="Calibri" w:hAnsi="Calibri" w:cs="Calibri"/>
                <w:color w:val="000000"/>
                <w:sz w:val="20"/>
                <w:szCs w:val="20"/>
              </w:rPr>
              <w:t>, with slide decks prepared in Bahasa Indonesia and English.</w:t>
            </w:r>
          </w:p>
          <w:p w14:paraId="78C5C227" w14:textId="6045E069" w:rsidR="000B4AEC" w:rsidRPr="00CF1FE8" w:rsidRDefault="0004426E" w:rsidP="0013195F">
            <w:pPr>
              <w:pStyle w:val="paragraph"/>
              <w:numPr>
                <w:ilvl w:val="0"/>
                <w:numId w:val="2"/>
              </w:numPr>
              <w:spacing w:before="0" w:beforeAutospacing="0" w:after="60" w:afterAutospacing="0" w:line="276" w:lineRule="auto"/>
              <w:jc w:val="both"/>
              <w:textAlignment w:val="baseline"/>
              <w:rPr>
                <w:rFonts w:ascii="Calibri" w:hAnsi="Calibri" w:cs="Calibri"/>
                <w:color w:val="0070C0"/>
                <w:sz w:val="20"/>
                <w:szCs w:val="20"/>
              </w:rPr>
            </w:pPr>
            <w:r>
              <w:rPr>
                <w:rFonts w:ascii="Calibri" w:hAnsi="Calibri" w:cs="Calibri"/>
                <w:b/>
                <w:color w:val="000000" w:themeColor="text1"/>
                <w:sz w:val="20"/>
                <w:szCs w:val="20"/>
                <w:u w:val="single"/>
              </w:rPr>
              <w:t xml:space="preserve">Prepare Slide Decks </w:t>
            </w:r>
            <w:r w:rsidRPr="0004426E">
              <w:rPr>
                <w:rFonts w:ascii="Calibri" w:hAnsi="Calibri" w:cs="Calibri"/>
                <w:bCs/>
                <w:color w:val="000000" w:themeColor="text1"/>
                <w:sz w:val="20"/>
                <w:szCs w:val="20"/>
              </w:rPr>
              <w:t>for Public Seminar</w:t>
            </w:r>
            <w:r>
              <w:rPr>
                <w:rFonts w:ascii="Calibri" w:hAnsi="Calibri" w:cs="Calibri"/>
                <w:b/>
                <w:color w:val="000000" w:themeColor="text1"/>
                <w:sz w:val="20"/>
                <w:szCs w:val="20"/>
                <w:u w:val="single"/>
              </w:rPr>
              <w:t xml:space="preserve"> </w:t>
            </w:r>
            <w:r w:rsidRPr="0004426E">
              <w:rPr>
                <w:rFonts w:ascii="Calibri" w:hAnsi="Calibri" w:cs="Calibri"/>
                <w:bCs/>
                <w:color w:val="000000" w:themeColor="text1"/>
                <w:sz w:val="20"/>
                <w:szCs w:val="20"/>
              </w:rPr>
              <w:t xml:space="preserve">to be held for </w:t>
            </w:r>
            <w:r w:rsidR="00987307" w:rsidRPr="0A1C18C5">
              <w:rPr>
                <w:rFonts w:ascii="Calibri" w:hAnsi="Calibri" w:cs="Calibri"/>
                <w:color w:val="000000" w:themeColor="text1"/>
                <w:sz w:val="20"/>
                <w:szCs w:val="20"/>
              </w:rPr>
              <w:t>policymakers and general audience to discuss ISFF-related findings and themes</w:t>
            </w:r>
            <w:r w:rsidR="00552451">
              <w:rPr>
                <w:rFonts w:ascii="Calibri" w:hAnsi="Calibri" w:cs="Calibri"/>
                <w:color w:val="000000" w:themeColor="text1"/>
                <w:sz w:val="20"/>
                <w:szCs w:val="20"/>
              </w:rPr>
              <w:t xml:space="preserve"> </w:t>
            </w:r>
            <w:r w:rsidR="00552451" w:rsidRPr="006B68E4">
              <w:rPr>
                <w:rFonts w:ascii="Calibri" w:hAnsi="Calibri" w:cs="Calibri"/>
                <w:i/>
                <w:iCs/>
                <w:color w:val="000000" w:themeColor="text1"/>
                <w:sz w:val="20"/>
                <w:szCs w:val="20"/>
              </w:rPr>
              <w:t>(in Bahasa Indonesia and English).</w:t>
            </w:r>
          </w:p>
        </w:tc>
      </w:tr>
      <w:tr w:rsidR="007613B3" w:rsidRPr="007613B3" w14:paraId="0A300CA7" w14:textId="77777777" w:rsidTr="007C167D">
        <w:trPr>
          <w:gridAfter w:val="1"/>
          <w:wAfter w:w="14" w:type="dxa"/>
          <w:trHeight w:val="71"/>
        </w:trPr>
        <w:tc>
          <w:tcPr>
            <w:tcW w:w="9886" w:type="dxa"/>
            <w:gridSpan w:val="7"/>
            <w:tcBorders>
              <w:top w:val="nil"/>
            </w:tcBorders>
            <w:shd w:val="clear" w:color="auto" w:fill="auto"/>
            <w:noWrap/>
          </w:tcPr>
          <w:p w14:paraId="51AD8E11" w14:textId="399F2F99" w:rsidR="007613B3" w:rsidRPr="007613B3" w:rsidRDefault="007613B3" w:rsidP="00E56E67">
            <w:pPr>
              <w:spacing w:line="240" w:lineRule="auto"/>
              <w:rPr>
                <w:rFonts w:ascii="Calibri" w:eastAsia="Arial Unicode MS" w:hAnsi="Calibri" w:cs="Calibri"/>
                <w:i/>
                <w:color w:val="auto"/>
                <w:lang w:val="en-AU"/>
              </w:rPr>
            </w:pPr>
          </w:p>
        </w:tc>
      </w:tr>
      <w:tr w:rsidR="00C34C2B" w:rsidRPr="007613B3" w14:paraId="5B0B193F" w14:textId="77777777" w:rsidTr="007C167D">
        <w:trPr>
          <w:trHeight w:val="70"/>
        </w:trPr>
        <w:tc>
          <w:tcPr>
            <w:tcW w:w="1763" w:type="dxa"/>
            <w:tcBorders>
              <w:bottom w:val="nil"/>
            </w:tcBorders>
            <w:shd w:val="clear" w:color="auto" w:fill="auto"/>
            <w:noWrap/>
            <w:hideMark/>
          </w:tcPr>
          <w:p w14:paraId="0EDDC605" w14:textId="77777777" w:rsidR="00C34C2B" w:rsidRDefault="00C34C2B" w:rsidP="00B23D6E">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p w14:paraId="3DD90D03" w14:textId="3D74D517" w:rsidR="009F2D6C" w:rsidRPr="007613B3" w:rsidRDefault="009F2D6C" w:rsidP="00B23D6E">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2024</w:t>
            </w:r>
          </w:p>
        </w:tc>
        <w:tc>
          <w:tcPr>
            <w:tcW w:w="2335" w:type="dxa"/>
            <w:gridSpan w:val="2"/>
            <w:tcBorders>
              <w:bottom w:val="nil"/>
            </w:tcBorders>
            <w:shd w:val="clear" w:color="auto" w:fill="auto"/>
            <w:noWrap/>
            <w:hideMark/>
          </w:tcPr>
          <w:p w14:paraId="686F8EEA" w14:textId="77777777" w:rsidR="00C34C2B" w:rsidRDefault="00C34C2B" w:rsidP="00B23D6E">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p w14:paraId="4AD511EB" w14:textId="4AABD206" w:rsidR="009F2D6C" w:rsidRPr="007613B3" w:rsidRDefault="009F2D6C" w:rsidP="00B23D6E">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Social Policy</w:t>
            </w:r>
          </w:p>
        </w:tc>
        <w:tc>
          <w:tcPr>
            <w:tcW w:w="5801" w:type="dxa"/>
            <w:gridSpan w:val="5"/>
            <w:tcBorders>
              <w:bottom w:val="nil"/>
            </w:tcBorders>
            <w:shd w:val="clear" w:color="auto" w:fill="auto"/>
          </w:tcPr>
          <w:p w14:paraId="20284E64" w14:textId="77777777" w:rsidR="00C34C2B" w:rsidRDefault="00C34C2B" w:rsidP="00BF26BF">
            <w:pPr>
              <w:spacing w:before="100" w:beforeAutospacing="1" w:after="100" w:afterAutospacing="1" w:line="240" w:lineRule="auto"/>
              <w:jc w:val="both"/>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p w14:paraId="6B1D3870" w14:textId="326AE1F8" w:rsidR="009F2D6C" w:rsidRPr="007613B3" w:rsidRDefault="009F2D6C" w:rsidP="00BF26BF">
            <w:pPr>
              <w:spacing w:before="100" w:beforeAutospacing="1" w:after="100" w:afterAutospacing="1" w:line="240" w:lineRule="auto"/>
              <w:jc w:val="both"/>
              <w:rPr>
                <w:rFonts w:ascii="Calibri" w:eastAsia="Arial Unicode MS" w:hAnsi="Calibri" w:cs="Calibri"/>
                <w:b/>
                <w:color w:val="auto"/>
                <w:lang w:val="en-AU"/>
              </w:rPr>
            </w:pPr>
            <w:r>
              <w:rPr>
                <w:rFonts w:ascii="Calibri" w:eastAsia="Arial Unicode MS" w:hAnsi="Calibri" w:cs="Calibri"/>
                <w:b/>
                <w:color w:val="auto"/>
                <w:lang w:val="en-AU"/>
              </w:rPr>
              <w:t xml:space="preserve">The writing of the report requires a dedicated </w:t>
            </w:r>
            <w:r w:rsidR="004C09B1">
              <w:rPr>
                <w:rFonts w:ascii="Calibri" w:eastAsia="Arial Unicode MS" w:hAnsi="Calibri" w:cs="Calibri"/>
                <w:b/>
                <w:color w:val="auto"/>
                <w:lang w:val="en-AU"/>
              </w:rPr>
              <w:t xml:space="preserve">Consultant </w:t>
            </w:r>
            <w:r>
              <w:rPr>
                <w:rFonts w:ascii="Calibri" w:eastAsia="Arial Unicode MS" w:hAnsi="Calibri" w:cs="Calibri"/>
                <w:b/>
                <w:color w:val="auto"/>
                <w:lang w:val="en-AU"/>
              </w:rPr>
              <w:t>who specialize</w:t>
            </w:r>
            <w:r w:rsidR="004C09B1">
              <w:rPr>
                <w:rFonts w:ascii="Calibri" w:eastAsia="Arial Unicode MS" w:hAnsi="Calibri" w:cs="Calibri"/>
                <w:b/>
                <w:color w:val="auto"/>
                <w:lang w:val="en-AU"/>
              </w:rPr>
              <w:t>s</w:t>
            </w:r>
            <w:r>
              <w:rPr>
                <w:rFonts w:ascii="Calibri" w:eastAsia="Arial Unicode MS" w:hAnsi="Calibri" w:cs="Calibri"/>
                <w:b/>
                <w:color w:val="auto"/>
                <w:lang w:val="en-AU"/>
              </w:rPr>
              <w:t xml:space="preserve"> in development economics and finance with solid private sectors knowledge.</w:t>
            </w:r>
          </w:p>
        </w:tc>
      </w:tr>
      <w:tr w:rsidR="00C34C2B" w:rsidRPr="007613B3" w14:paraId="3C5C6567" w14:textId="77777777" w:rsidTr="007C167D">
        <w:trPr>
          <w:trHeight w:val="164"/>
        </w:trPr>
        <w:tc>
          <w:tcPr>
            <w:tcW w:w="1763" w:type="dxa"/>
            <w:tcBorders>
              <w:top w:val="nil"/>
            </w:tcBorders>
            <w:shd w:val="clear" w:color="auto" w:fill="auto"/>
            <w:noWrap/>
          </w:tcPr>
          <w:p w14:paraId="53D469C4" w14:textId="77777777" w:rsidR="00C34C2B" w:rsidRPr="00AE1A4F" w:rsidRDefault="00C34C2B" w:rsidP="00B23D6E">
            <w:pPr>
              <w:spacing w:before="60" w:after="60" w:line="240" w:lineRule="auto"/>
              <w:rPr>
                <w:rFonts w:ascii="Calibri" w:eastAsia="Arial Unicode MS" w:hAnsi="Calibri" w:cs="Calibri"/>
                <w:iCs/>
                <w:color w:val="auto"/>
              </w:rPr>
            </w:pPr>
          </w:p>
        </w:tc>
        <w:tc>
          <w:tcPr>
            <w:tcW w:w="2335" w:type="dxa"/>
            <w:gridSpan w:val="2"/>
            <w:tcBorders>
              <w:top w:val="nil"/>
            </w:tcBorders>
            <w:shd w:val="clear" w:color="auto" w:fill="auto"/>
            <w:noWrap/>
          </w:tcPr>
          <w:p w14:paraId="16EA62EA" w14:textId="77777777" w:rsidR="00C34C2B" w:rsidRPr="00AE1A4F" w:rsidRDefault="00C34C2B" w:rsidP="00B23D6E">
            <w:pPr>
              <w:spacing w:before="60" w:after="60" w:line="240" w:lineRule="auto"/>
              <w:rPr>
                <w:rFonts w:ascii="Calibri" w:eastAsia="Arial Unicode MS" w:hAnsi="Calibri" w:cs="Calibri"/>
                <w:iCs/>
                <w:color w:val="auto"/>
                <w:lang w:val="en-AU"/>
              </w:rPr>
            </w:pPr>
          </w:p>
        </w:tc>
        <w:tc>
          <w:tcPr>
            <w:tcW w:w="5801" w:type="dxa"/>
            <w:gridSpan w:val="5"/>
            <w:tcBorders>
              <w:top w:val="nil"/>
            </w:tcBorders>
            <w:shd w:val="clear" w:color="auto" w:fill="auto"/>
          </w:tcPr>
          <w:p w14:paraId="38E17543" w14:textId="77777777" w:rsidR="00C34C2B" w:rsidRPr="00AE1A4F" w:rsidRDefault="00C34C2B" w:rsidP="00B23D6E">
            <w:pPr>
              <w:spacing w:before="60" w:after="60" w:line="240" w:lineRule="auto"/>
              <w:rPr>
                <w:rFonts w:ascii="Calibri" w:eastAsia="Arial Unicode MS" w:hAnsi="Calibri" w:cs="Calibri"/>
                <w:iCs/>
                <w:color w:val="auto"/>
              </w:rPr>
            </w:pPr>
          </w:p>
        </w:tc>
      </w:tr>
      <w:tr w:rsidR="00C34C2B" w:rsidRPr="00E56480" w14:paraId="0E7A4B71" w14:textId="77777777" w:rsidTr="007C167D">
        <w:trPr>
          <w:trHeight w:val="72"/>
        </w:trPr>
        <w:tc>
          <w:tcPr>
            <w:tcW w:w="2964" w:type="dxa"/>
            <w:gridSpan w:val="2"/>
            <w:tcBorders>
              <w:top w:val="single" w:sz="4" w:space="0" w:color="auto"/>
              <w:bottom w:val="nil"/>
            </w:tcBorders>
            <w:shd w:val="clear" w:color="auto" w:fill="auto"/>
            <w:noWrap/>
            <w:hideMark/>
          </w:tcPr>
          <w:p w14:paraId="3252E991" w14:textId="77777777" w:rsidR="00AC0AF4" w:rsidRDefault="00C34C2B" w:rsidP="00AC0AF4">
            <w:pPr>
              <w:spacing w:line="240" w:lineRule="auto"/>
              <w:rPr>
                <w:rFonts w:asciiTheme="minorHAnsi" w:eastAsia="Arial Unicode MS" w:hAnsiTheme="minorHAnsi" w:cstheme="minorHAnsi"/>
                <w:b/>
                <w:color w:val="auto"/>
                <w:lang w:val="en-AU"/>
              </w:rPr>
            </w:pPr>
            <w:r w:rsidRPr="00E56480">
              <w:rPr>
                <w:rFonts w:asciiTheme="minorHAnsi" w:eastAsia="Arial Unicode MS" w:hAnsiTheme="minorHAnsi" w:cstheme="minorHAnsi"/>
                <w:b/>
                <w:color w:val="auto"/>
                <w:lang w:val="en-AU"/>
              </w:rPr>
              <w:t>Supervisor:</w:t>
            </w:r>
            <w:r w:rsidR="00AC0AF4">
              <w:rPr>
                <w:rFonts w:asciiTheme="minorHAnsi" w:eastAsia="Arial Unicode MS" w:hAnsiTheme="minorHAnsi" w:cstheme="minorHAnsi"/>
                <w:b/>
                <w:color w:val="auto"/>
                <w:lang w:val="en-AU"/>
              </w:rPr>
              <w:t xml:space="preserve"> </w:t>
            </w:r>
          </w:p>
          <w:p w14:paraId="17CF57B9" w14:textId="5D5871CD" w:rsidR="00E15C6F" w:rsidRPr="00AC0AF4" w:rsidRDefault="00AC0AF4" w:rsidP="00AC0AF4">
            <w:pPr>
              <w:spacing w:line="240" w:lineRule="auto"/>
              <w:rPr>
                <w:rFonts w:asciiTheme="minorHAnsi" w:eastAsia="Arial Unicode MS" w:hAnsiTheme="minorHAnsi" w:cstheme="minorHAnsi"/>
                <w:bCs/>
                <w:color w:val="auto"/>
                <w:lang w:val="en-AU"/>
              </w:rPr>
            </w:pPr>
            <w:r w:rsidRPr="00AC0AF4">
              <w:rPr>
                <w:rFonts w:asciiTheme="minorHAnsi" w:eastAsia="Arial Unicode MS" w:hAnsiTheme="minorHAnsi" w:cstheme="minorHAnsi"/>
                <w:bCs/>
                <w:color w:val="auto"/>
                <w:lang w:val="en-AU"/>
              </w:rPr>
              <w:t>Social Policy Specialist</w:t>
            </w:r>
          </w:p>
        </w:tc>
        <w:tc>
          <w:tcPr>
            <w:tcW w:w="3969" w:type="dxa"/>
            <w:gridSpan w:val="3"/>
            <w:tcBorders>
              <w:top w:val="single" w:sz="4" w:space="0" w:color="auto"/>
              <w:bottom w:val="nil"/>
            </w:tcBorders>
            <w:shd w:val="clear" w:color="auto" w:fill="auto"/>
            <w:noWrap/>
            <w:hideMark/>
          </w:tcPr>
          <w:p w14:paraId="77BA6058" w14:textId="77777777" w:rsidR="00C34C2B" w:rsidRDefault="00C34C2B" w:rsidP="00AC0AF4">
            <w:pPr>
              <w:spacing w:line="240" w:lineRule="auto"/>
              <w:rPr>
                <w:rFonts w:asciiTheme="minorHAnsi" w:eastAsia="Arial Unicode MS" w:hAnsiTheme="minorHAnsi" w:cstheme="minorHAnsi"/>
                <w:b/>
                <w:color w:val="auto"/>
                <w:lang w:val="en-AU"/>
              </w:rPr>
            </w:pPr>
            <w:r w:rsidRPr="00E56480">
              <w:rPr>
                <w:rFonts w:asciiTheme="minorHAnsi" w:eastAsia="Arial Unicode MS" w:hAnsiTheme="minorHAnsi" w:cstheme="minorHAnsi"/>
                <w:b/>
                <w:color w:val="auto"/>
                <w:lang w:val="en-AU"/>
              </w:rPr>
              <w:t>Start Date:</w:t>
            </w:r>
          </w:p>
          <w:p w14:paraId="5A7F6506" w14:textId="52AC0EA6" w:rsidR="00F63388" w:rsidRDefault="00055B2A" w:rsidP="6F85DDA0">
            <w:pPr>
              <w:spacing w:line="240" w:lineRule="auto"/>
              <w:rPr>
                <w:rFonts w:asciiTheme="minorHAnsi" w:eastAsia="Arial Unicode MS" w:hAnsiTheme="minorHAnsi" w:cstheme="minorBidi"/>
                <w:b/>
                <w:bCs/>
                <w:color w:val="auto"/>
                <w:lang w:val="en-AU"/>
              </w:rPr>
            </w:pPr>
            <w:r>
              <w:rPr>
                <w:rFonts w:asciiTheme="minorHAnsi" w:eastAsia="Arial Unicode MS" w:hAnsiTheme="minorHAnsi" w:cstheme="minorBidi"/>
                <w:b/>
                <w:bCs/>
                <w:color w:val="auto"/>
                <w:lang w:val="en-AU"/>
              </w:rPr>
              <w:t>1 July</w:t>
            </w:r>
            <w:r w:rsidR="1445D61E" w:rsidRPr="6F85DDA0">
              <w:rPr>
                <w:rFonts w:asciiTheme="minorHAnsi" w:eastAsia="Arial Unicode MS" w:hAnsiTheme="minorHAnsi" w:cstheme="minorBidi"/>
                <w:b/>
                <w:bCs/>
                <w:color w:val="auto"/>
                <w:lang w:val="en-AU"/>
              </w:rPr>
              <w:t xml:space="preserve"> 2024</w:t>
            </w:r>
          </w:p>
          <w:p w14:paraId="08650836" w14:textId="03EC3388" w:rsidR="00E56480" w:rsidRPr="00E56480" w:rsidRDefault="00E56480" w:rsidP="00AC0AF4">
            <w:pPr>
              <w:spacing w:line="240" w:lineRule="auto"/>
              <w:rPr>
                <w:rFonts w:asciiTheme="minorHAnsi" w:eastAsia="Arial Unicode MS" w:hAnsiTheme="minorHAnsi" w:cstheme="minorHAnsi"/>
                <w:bCs/>
                <w:color w:val="auto"/>
                <w:lang w:val="en-AU"/>
              </w:rPr>
            </w:pPr>
          </w:p>
        </w:tc>
        <w:tc>
          <w:tcPr>
            <w:tcW w:w="2966" w:type="dxa"/>
            <w:gridSpan w:val="3"/>
            <w:tcBorders>
              <w:top w:val="single" w:sz="4" w:space="0" w:color="auto"/>
              <w:bottom w:val="nil"/>
            </w:tcBorders>
            <w:shd w:val="clear" w:color="auto" w:fill="auto"/>
          </w:tcPr>
          <w:p w14:paraId="696CF1B3" w14:textId="77777777" w:rsidR="00BF7741" w:rsidRDefault="00BF7741" w:rsidP="00AC0AF4">
            <w:pPr>
              <w:spacing w:line="240" w:lineRule="auto"/>
              <w:rPr>
                <w:rFonts w:asciiTheme="minorHAnsi" w:eastAsia="Arial Unicode MS" w:hAnsiTheme="minorHAnsi" w:cstheme="minorHAnsi"/>
                <w:b/>
                <w:color w:val="auto"/>
                <w:lang w:val="en-AU"/>
              </w:rPr>
            </w:pPr>
            <w:r w:rsidRPr="00E56480">
              <w:rPr>
                <w:rFonts w:asciiTheme="minorHAnsi" w:eastAsia="Arial Unicode MS" w:hAnsiTheme="minorHAnsi" w:cstheme="minorHAnsi"/>
                <w:b/>
                <w:color w:val="auto"/>
                <w:lang w:val="en-AU"/>
              </w:rPr>
              <w:t>End Date:</w:t>
            </w:r>
          </w:p>
          <w:p w14:paraId="00F17087" w14:textId="2BA19FF1" w:rsidR="00F63388" w:rsidRDefault="00116635" w:rsidP="6F85DDA0">
            <w:pPr>
              <w:spacing w:line="240" w:lineRule="auto"/>
              <w:rPr>
                <w:rFonts w:asciiTheme="minorHAnsi" w:eastAsia="Arial Unicode MS" w:hAnsiTheme="minorHAnsi" w:cstheme="minorBidi"/>
                <w:b/>
                <w:bCs/>
                <w:color w:val="auto"/>
                <w:lang w:val="en-AU"/>
              </w:rPr>
            </w:pPr>
            <w:r>
              <w:rPr>
                <w:rFonts w:asciiTheme="minorHAnsi" w:eastAsia="Arial Unicode MS" w:hAnsiTheme="minorHAnsi" w:cstheme="minorBidi"/>
                <w:b/>
                <w:bCs/>
                <w:color w:val="auto"/>
                <w:lang w:val="en-AU"/>
              </w:rPr>
              <w:t>31</w:t>
            </w:r>
            <w:r w:rsidR="4BEB74A9" w:rsidRPr="6F85DDA0">
              <w:rPr>
                <w:rFonts w:asciiTheme="minorHAnsi" w:eastAsia="Arial Unicode MS" w:hAnsiTheme="minorHAnsi" w:cstheme="minorBidi"/>
                <w:b/>
                <w:bCs/>
                <w:color w:val="auto"/>
                <w:lang w:val="en-AU"/>
              </w:rPr>
              <w:t xml:space="preserve"> Dec</w:t>
            </w:r>
            <w:r w:rsidR="6BB21D0C" w:rsidRPr="6F85DDA0">
              <w:rPr>
                <w:rFonts w:asciiTheme="minorHAnsi" w:eastAsia="Arial Unicode MS" w:hAnsiTheme="minorHAnsi" w:cstheme="minorBidi"/>
                <w:b/>
                <w:bCs/>
                <w:color w:val="auto"/>
                <w:lang w:val="en-AU"/>
              </w:rPr>
              <w:t>em</w:t>
            </w:r>
            <w:r w:rsidR="7FC58121" w:rsidRPr="6F85DDA0">
              <w:rPr>
                <w:rFonts w:asciiTheme="minorHAnsi" w:eastAsia="Arial Unicode MS" w:hAnsiTheme="minorHAnsi" w:cstheme="minorBidi"/>
                <w:b/>
                <w:bCs/>
                <w:color w:val="auto"/>
                <w:lang w:val="en-AU"/>
              </w:rPr>
              <w:t xml:space="preserve">ber </w:t>
            </w:r>
            <w:r w:rsidR="1445D61E" w:rsidRPr="6F85DDA0">
              <w:rPr>
                <w:rFonts w:asciiTheme="minorHAnsi" w:eastAsia="Arial Unicode MS" w:hAnsiTheme="minorHAnsi" w:cstheme="minorBidi"/>
                <w:b/>
                <w:bCs/>
                <w:color w:val="auto"/>
                <w:lang w:val="en-AU"/>
              </w:rPr>
              <w:t>2024</w:t>
            </w:r>
            <w:r w:rsidR="00250D2C">
              <w:rPr>
                <w:rFonts w:asciiTheme="minorHAnsi" w:eastAsia="Arial Unicode MS" w:hAnsiTheme="minorHAnsi" w:cstheme="minorBidi"/>
                <w:b/>
                <w:bCs/>
                <w:color w:val="auto"/>
                <w:lang w:val="en-AU"/>
              </w:rPr>
              <w:t xml:space="preserve"> (60 working days)</w:t>
            </w:r>
          </w:p>
          <w:p w14:paraId="2E51AD83" w14:textId="0815E79A" w:rsidR="00F37E50" w:rsidRPr="00E56480" w:rsidRDefault="00F37E50" w:rsidP="00AC0AF4">
            <w:pPr>
              <w:spacing w:line="240" w:lineRule="auto"/>
              <w:rPr>
                <w:rFonts w:asciiTheme="minorHAnsi" w:eastAsia="Arial Unicode MS" w:hAnsiTheme="minorHAnsi" w:cstheme="minorHAnsi"/>
                <w:bCs/>
                <w:color w:val="auto"/>
                <w:lang w:val="en-AU"/>
              </w:rPr>
            </w:pPr>
          </w:p>
        </w:tc>
      </w:tr>
      <w:tr w:rsidR="00C34C2B" w:rsidRPr="0054592E" w14:paraId="052C4769" w14:textId="77777777" w:rsidTr="007C167D">
        <w:trPr>
          <w:trHeight w:val="220"/>
        </w:trPr>
        <w:tc>
          <w:tcPr>
            <w:tcW w:w="9899" w:type="dxa"/>
            <w:gridSpan w:val="8"/>
            <w:tcBorders>
              <w:bottom w:val="nil"/>
            </w:tcBorders>
            <w:shd w:val="clear" w:color="auto" w:fill="E7E6E6" w:themeFill="background2"/>
            <w:noWrap/>
            <w:hideMark/>
          </w:tcPr>
          <w:p w14:paraId="0810BCEB" w14:textId="0D4FB273" w:rsidR="00C34C2B" w:rsidRPr="0054592E" w:rsidRDefault="00C34C2B" w:rsidP="00B23D6E">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t>Work Assignment Overview</w:t>
            </w:r>
          </w:p>
        </w:tc>
      </w:tr>
      <w:tr w:rsidR="00C34C2B" w:rsidRPr="007613B3" w14:paraId="0057DA3A" w14:textId="77777777" w:rsidTr="007C167D">
        <w:trPr>
          <w:trHeight w:val="252"/>
        </w:trPr>
        <w:tc>
          <w:tcPr>
            <w:tcW w:w="2964" w:type="dxa"/>
            <w:gridSpan w:val="2"/>
            <w:tcBorders>
              <w:top w:val="nil"/>
              <w:left w:val="single" w:sz="4" w:space="0" w:color="auto"/>
              <w:bottom w:val="single" w:sz="8" w:space="0" w:color="6D6D6D"/>
              <w:right w:val="nil"/>
            </w:tcBorders>
            <w:shd w:val="clear" w:color="auto" w:fill="E7E6E6" w:themeFill="background2"/>
            <w:noWrap/>
            <w:vAlign w:val="center"/>
          </w:tcPr>
          <w:p w14:paraId="0EBC37ED" w14:textId="75FAB86A" w:rsidR="00C34C2B" w:rsidRPr="007613B3" w:rsidRDefault="00C34C2B" w:rsidP="005A7276">
            <w:pPr>
              <w:spacing w:before="60" w:after="60" w:line="240" w:lineRule="auto"/>
              <w:jc w:val="center"/>
              <w:rPr>
                <w:rFonts w:ascii="Calibri" w:eastAsia="Arial Unicode MS" w:hAnsi="Calibri" w:cs="Calibri"/>
                <w:i/>
                <w:color w:val="D1282E"/>
                <w:lang w:val="en-AU"/>
              </w:rPr>
            </w:pPr>
            <w:r w:rsidRPr="007613B3">
              <w:rPr>
                <w:rFonts w:ascii="Calibri" w:eastAsia="Arial Unicode MS" w:hAnsi="Calibri" w:cs="Calibri"/>
                <w:color w:val="auto"/>
                <w:lang w:val="en-AU"/>
              </w:rPr>
              <w:t>Tasks/Milestone</w:t>
            </w:r>
          </w:p>
        </w:tc>
        <w:tc>
          <w:tcPr>
            <w:tcW w:w="3969" w:type="dxa"/>
            <w:gridSpan w:val="3"/>
            <w:tcBorders>
              <w:top w:val="nil"/>
              <w:left w:val="nil"/>
              <w:bottom w:val="single" w:sz="8" w:space="0" w:color="6D6D6D"/>
              <w:right w:val="nil"/>
            </w:tcBorders>
            <w:shd w:val="clear" w:color="auto" w:fill="E7E6E6" w:themeFill="background2"/>
            <w:vAlign w:val="center"/>
          </w:tcPr>
          <w:p w14:paraId="65BA3C16" w14:textId="2E81B039" w:rsidR="00C34C2B" w:rsidRPr="007613B3" w:rsidRDefault="00C34C2B" w:rsidP="005A7276">
            <w:pPr>
              <w:spacing w:before="60" w:after="60" w:line="240" w:lineRule="auto"/>
              <w:jc w:val="center"/>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842" w:type="dxa"/>
            <w:tcBorders>
              <w:top w:val="nil"/>
              <w:left w:val="nil"/>
              <w:bottom w:val="single" w:sz="8" w:space="0" w:color="6D6D6D"/>
              <w:right w:val="nil"/>
            </w:tcBorders>
            <w:shd w:val="clear" w:color="auto" w:fill="E7E6E6" w:themeFill="background2"/>
            <w:vAlign w:val="center"/>
          </w:tcPr>
          <w:p w14:paraId="34A012A7" w14:textId="6829E74B" w:rsidR="00C34C2B" w:rsidRPr="007613B3" w:rsidRDefault="00C34C2B" w:rsidP="005A7276">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1124" w:type="dxa"/>
            <w:gridSpan w:val="2"/>
            <w:tcBorders>
              <w:top w:val="nil"/>
              <w:left w:val="nil"/>
              <w:bottom w:val="single" w:sz="8" w:space="0" w:color="6D6D6D"/>
              <w:right w:val="single" w:sz="4" w:space="0" w:color="auto"/>
            </w:tcBorders>
            <w:shd w:val="clear" w:color="auto" w:fill="E7E6E6" w:themeFill="background2"/>
            <w:vAlign w:val="center"/>
          </w:tcPr>
          <w:p w14:paraId="7BF85167" w14:textId="4F05F682" w:rsidR="00C34C2B" w:rsidRPr="007613B3" w:rsidRDefault="00EB2FC4" w:rsidP="005A7276">
            <w:pPr>
              <w:spacing w:before="60" w:after="60" w:line="240" w:lineRule="auto"/>
              <w:jc w:val="center"/>
              <w:rPr>
                <w:rFonts w:ascii="Calibri" w:eastAsia="Arial Unicode MS" w:hAnsi="Calibri" w:cs="Calibri"/>
                <w:color w:val="auto"/>
                <w:lang w:val="en-AU"/>
              </w:rPr>
            </w:pPr>
            <w:r>
              <w:rPr>
                <w:rFonts w:ascii="Calibri" w:eastAsia="Arial Unicode MS" w:hAnsi="Calibri" w:cs="Calibri"/>
                <w:color w:val="auto"/>
                <w:lang w:val="en-AU"/>
              </w:rPr>
              <w:t>Estimated Days</w:t>
            </w:r>
          </w:p>
        </w:tc>
      </w:tr>
      <w:tr w:rsidR="00696ED7" w:rsidRPr="00E56480" w14:paraId="6B51BF24" w14:textId="77777777" w:rsidTr="007C167D">
        <w:trPr>
          <w:trHeight w:val="792"/>
        </w:trPr>
        <w:tc>
          <w:tcPr>
            <w:tcW w:w="2964" w:type="dxa"/>
            <w:gridSpan w:val="2"/>
            <w:tcBorders>
              <w:top w:val="single" w:sz="8" w:space="0" w:color="6D6D6D"/>
              <w:left w:val="single" w:sz="8" w:space="0" w:color="6D6D6D"/>
              <w:bottom w:val="single" w:sz="8" w:space="0" w:color="6D6D6D"/>
              <w:right w:val="single" w:sz="8" w:space="0" w:color="6D6D6D"/>
            </w:tcBorders>
            <w:shd w:val="clear" w:color="auto" w:fill="auto"/>
            <w:noWrap/>
            <w:vAlign w:val="center"/>
          </w:tcPr>
          <w:p w14:paraId="5A58557A" w14:textId="661488E4" w:rsidR="00696ED7" w:rsidRDefault="00696ED7" w:rsidP="001F2AA0">
            <w:pPr>
              <w:pStyle w:val="ListParagraph"/>
              <w:ind w:left="0" w:right="-105"/>
              <w:textAlignment w:val="baseline"/>
              <w:rPr>
                <w:rFonts w:asciiTheme="minorHAnsi" w:eastAsia="Times New Roman" w:hAnsiTheme="minorHAnsi" w:cstheme="minorBidi"/>
              </w:rPr>
            </w:pPr>
            <w:r>
              <w:rPr>
                <w:rFonts w:asciiTheme="minorHAnsi" w:eastAsia="Times New Roman" w:hAnsiTheme="minorHAnsi" w:cstheme="minorBidi"/>
              </w:rPr>
              <w:t>Produce Inception Report and Hold Consulta</w:t>
            </w:r>
            <w:r w:rsidR="009B6DEE">
              <w:rPr>
                <w:rFonts w:asciiTheme="minorHAnsi" w:eastAsia="Times New Roman" w:hAnsiTheme="minorHAnsi" w:cstheme="minorBidi"/>
              </w:rPr>
              <w:t>tion</w:t>
            </w:r>
            <w:r>
              <w:rPr>
                <w:rFonts w:asciiTheme="minorHAnsi" w:eastAsia="Times New Roman" w:hAnsiTheme="minorHAnsi" w:cstheme="minorBidi"/>
              </w:rPr>
              <w:t xml:space="preserve"> Meetings</w:t>
            </w:r>
            <w:r w:rsidR="0013195F">
              <w:rPr>
                <w:rFonts w:asciiTheme="minorHAnsi" w:eastAsia="Times New Roman" w:hAnsiTheme="minorHAnsi" w:cstheme="minorBidi"/>
              </w:rPr>
              <w:t>.</w:t>
            </w:r>
          </w:p>
        </w:tc>
        <w:tc>
          <w:tcPr>
            <w:tcW w:w="3969" w:type="dxa"/>
            <w:gridSpan w:val="3"/>
            <w:tcBorders>
              <w:top w:val="single" w:sz="8" w:space="0" w:color="6D6D6D"/>
              <w:left w:val="single" w:sz="8" w:space="0" w:color="6D6D6D"/>
              <w:bottom w:val="single" w:sz="8" w:space="0" w:color="6D6D6D"/>
              <w:right w:val="single" w:sz="8" w:space="0" w:color="6D6D6D"/>
            </w:tcBorders>
            <w:shd w:val="clear" w:color="auto" w:fill="auto"/>
            <w:vAlign w:val="center"/>
          </w:tcPr>
          <w:p w14:paraId="57130D0F" w14:textId="53CC6835" w:rsidR="00696ED7" w:rsidRPr="00696ED7" w:rsidRDefault="00696ED7" w:rsidP="00696ED7">
            <w:pPr>
              <w:pStyle w:val="ListParagraph"/>
              <w:numPr>
                <w:ilvl w:val="0"/>
                <w:numId w:val="10"/>
              </w:numPr>
              <w:ind w:left="355" w:hanging="355"/>
              <w:jc w:val="both"/>
              <w:rPr>
                <w:rFonts w:asciiTheme="minorHAnsi" w:eastAsia="Arial Unicode MS" w:hAnsiTheme="minorHAnsi" w:cstheme="minorBidi"/>
                <w:color w:val="auto"/>
                <w:lang w:val="en-AU"/>
              </w:rPr>
            </w:pPr>
            <w:r w:rsidRPr="6F85DDA0">
              <w:rPr>
                <w:rFonts w:asciiTheme="minorHAnsi" w:eastAsia="Arial Unicode MS" w:hAnsiTheme="minorHAnsi" w:cstheme="minorBidi"/>
                <w:color w:val="auto"/>
                <w:lang w:val="en-AU"/>
              </w:rPr>
              <w:t xml:space="preserve">Inception Report is Completed </w:t>
            </w:r>
            <w:r w:rsidR="004D59FA" w:rsidRPr="004D59FA">
              <w:rPr>
                <w:rFonts w:asciiTheme="minorHAnsi" w:eastAsia="Arial Unicode MS" w:hAnsiTheme="minorHAnsi" w:cstheme="minorBidi"/>
                <w:i/>
                <w:iCs/>
                <w:color w:val="auto"/>
                <w:lang w:val="en-AU"/>
              </w:rPr>
              <w:t>(in Bahasa Indonesia and English)</w:t>
            </w:r>
            <w:r w:rsidR="004D59FA">
              <w:rPr>
                <w:rFonts w:asciiTheme="minorHAnsi" w:eastAsia="Arial Unicode MS" w:hAnsiTheme="minorHAnsi" w:cstheme="minorBidi"/>
                <w:color w:val="auto"/>
                <w:lang w:val="en-AU"/>
              </w:rPr>
              <w:t xml:space="preserve"> </w:t>
            </w:r>
            <w:r w:rsidRPr="6F85DDA0">
              <w:rPr>
                <w:rFonts w:asciiTheme="minorHAnsi" w:eastAsia="Arial Unicode MS" w:hAnsiTheme="minorHAnsi" w:cstheme="minorBidi"/>
                <w:color w:val="auto"/>
                <w:lang w:val="en-AU"/>
              </w:rPr>
              <w:t>(</w:t>
            </w:r>
            <w:r w:rsidR="004D59FA">
              <w:rPr>
                <w:rFonts w:asciiTheme="minorHAnsi" w:eastAsia="Arial Unicode MS" w:hAnsiTheme="minorHAnsi" w:cstheme="minorBidi"/>
                <w:color w:val="auto"/>
                <w:lang w:val="en-AU"/>
              </w:rPr>
              <w:t>4</w:t>
            </w:r>
            <w:r w:rsidRPr="6F85DDA0">
              <w:rPr>
                <w:rFonts w:asciiTheme="minorHAnsi" w:eastAsia="Arial Unicode MS" w:hAnsiTheme="minorHAnsi" w:cstheme="minorBidi"/>
                <w:color w:val="auto"/>
                <w:lang w:val="en-AU"/>
              </w:rPr>
              <w:t xml:space="preserve"> days, </w:t>
            </w:r>
            <w:r w:rsidR="0013195F">
              <w:rPr>
                <w:rFonts w:asciiTheme="minorHAnsi" w:hAnsiTheme="minorHAnsi" w:cstheme="minorBidi"/>
                <w:lang w:val="en-ID"/>
              </w:rPr>
              <w:t>completed</w:t>
            </w:r>
            <w:r w:rsidR="0013195F" w:rsidRPr="6F85DDA0">
              <w:rPr>
                <w:rFonts w:asciiTheme="minorHAnsi" w:eastAsia="Arial Unicode MS" w:hAnsiTheme="minorHAnsi" w:cstheme="minorBidi"/>
                <w:color w:val="auto"/>
                <w:lang w:val="en-AU"/>
              </w:rPr>
              <w:t xml:space="preserve"> </w:t>
            </w:r>
            <w:r w:rsidRPr="6F85DDA0">
              <w:rPr>
                <w:rFonts w:asciiTheme="minorHAnsi" w:eastAsia="Arial Unicode MS" w:hAnsiTheme="minorHAnsi" w:cstheme="minorBidi"/>
                <w:color w:val="auto"/>
                <w:lang w:val="en-AU"/>
              </w:rPr>
              <w:t xml:space="preserve">by </w:t>
            </w:r>
            <w:r w:rsidR="00055B2A">
              <w:rPr>
                <w:rFonts w:ascii="Calibri" w:eastAsia="Calibri" w:hAnsi="Calibri" w:cs="Calibri"/>
                <w:color w:val="000000" w:themeColor="text1"/>
              </w:rPr>
              <w:t xml:space="preserve">5 </w:t>
            </w:r>
            <w:r w:rsidRPr="6F85DDA0">
              <w:rPr>
                <w:rFonts w:ascii="Calibri" w:eastAsia="Calibri" w:hAnsi="Calibri" w:cs="Calibri"/>
                <w:color w:val="000000" w:themeColor="text1"/>
              </w:rPr>
              <w:t>J</w:t>
            </w:r>
            <w:r w:rsidR="00055B2A">
              <w:rPr>
                <w:rFonts w:ascii="Calibri" w:eastAsia="Calibri" w:hAnsi="Calibri" w:cs="Calibri"/>
                <w:color w:val="000000" w:themeColor="text1"/>
              </w:rPr>
              <w:t>uly</w:t>
            </w:r>
            <w:r w:rsidRPr="6F85DDA0">
              <w:rPr>
                <w:rFonts w:ascii="Calibri" w:eastAsia="Calibri" w:hAnsi="Calibri" w:cs="Calibri"/>
                <w:color w:val="000000" w:themeColor="text1"/>
              </w:rPr>
              <w:t xml:space="preserve"> 2024)</w:t>
            </w:r>
          </w:p>
          <w:p w14:paraId="09D40197" w14:textId="2716B343" w:rsidR="00696ED7" w:rsidRPr="00696ED7" w:rsidRDefault="00696ED7" w:rsidP="00696ED7">
            <w:pPr>
              <w:pStyle w:val="ListParagraph"/>
              <w:numPr>
                <w:ilvl w:val="0"/>
                <w:numId w:val="10"/>
              </w:numPr>
              <w:ind w:left="355" w:hanging="355"/>
              <w:jc w:val="both"/>
              <w:rPr>
                <w:rFonts w:asciiTheme="minorHAnsi" w:eastAsia="Arial Unicode MS" w:hAnsiTheme="minorHAnsi" w:cstheme="minorBidi"/>
                <w:color w:val="auto"/>
                <w:lang w:val="en-AU"/>
              </w:rPr>
            </w:pPr>
            <w:r w:rsidRPr="6F85DDA0">
              <w:rPr>
                <w:rFonts w:asciiTheme="minorHAnsi" w:eastAsia="Arial Unicode MS" w:hAnsiTheme="minorHAnsi" w:cstheme="minorBidi"/>
                <w:color w:val="auto"/>
                <w:lang w:val="en-AU"/>
              </w:rPr>
              <w:t>Meetings are held and Meeting Outcomes are delivered to UNICEF (</w:t>
            </w:r>
            <w:r w:rsidR="004D59FA">
              <w:rPr>
                <w:rFonts w:asciiTheme="minorHAnsi" w:eastAsia="Arial Unicode MS" w:hAnsiTheme="minorHAnsi" w:cstheme="minorBidi"/>
                <w:color w:val="auto"/>
                <w:lang w:val="en-AU"/>
              </w:rPr>
              <w:t>2</w:t>
            </w:r>
            <w:r w:rsidRPr="6F85DDA0">
              <w:rPr>
                <w:rFonts w:asciiTheme="minorHAnsi" w:eastAsia="Arial Unicode MS" w:hAnsiTheme="minorHAnsi" w:cstheme="minorBidi"/>
                <w:color w:val="auto"/>
                <w:lang w:val="en-AU"/>
              </w:rPr>
              <w:t xml:space="preserve"> days, </w:t>
            </w:r>
            <w:r w:rsidR="0013195F">
              <w:rPr>
                <w:rFonts w:asciiTheme="minorHAnsi" w:hAnsiTheme="minorHAnsi" w:cstheme="minorBidi"/>
                <w:lang w:val="en-ID"/>
              </w:rPr>
              <w:t>completed</w:t>
            </w:r>
            <w:r w:rsidR="0013195F" w:rsidRPr="6F85DDA0">
              <w:rPr>
                <w:rFonts w:asciiTheme="minorHAnsi" w:eastAsia="Arial Unicode MS" w:hAnsiTheme="minorHAnsi" w:cstheme="minorBidi"/>
                <w:color w:val="auto"/>
                <w:lang w:val="en-AU"/>
              </w:rPr>
              <w:t xml:space="preserve"> </w:t>
            </w:r>
            <w:r w:rsidRPr="6F85DDA0">
              <w:rPr>
                <w:rFonts w:asciiTheme="minorHAnsi" w:eastAsia="Arial Unicode MS" w:hAnsiTheme="minorHAnsi" w:cstheme="minorBidi"/>
                <w:color w:val="auto"/>
                <w:lang w:val="en-AU"/>
              </w:rPr>
              <w:t xml:space="preserve">by </w:t>
            </w:r>
            <w:r w:rsidR="00055B2A">
              <w:rPr>
                <w:rFonts w:asciiTheme="minorHAnsi" w:eastAsia="Arial Unicode MS" w:hAnsiTheme="minorHAnsi" w:cstheme="minorBidi"/>
                <w:color w:val="auto"/>
                <w:lang w:val="en-AU"/>
              </w:rPr>
              <w:t>19</w:t>
            </w:r>
            <w:r w:rsidRPr="6F85DDA0">
              <w:rPr>
                <w:rFonts w:asciiTheme="minorHAnsi" w:eastAsia="Arial Unicode MS" w:hAnsiTheme="minorHAnsi" w:cstheme="minorBidi"/>
                <w:color w:val="auto"/>
                <w:lang w:val="en-AU"/>
              </w:rPr>
              <w:t xml:space="preserve"> July 2024)</w:t>
            </w:r>
          </w:p>
        </w:tc>
        <w:tc>
          <w:tcPr>
            <w:tcW w:w="1842"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54DB049" w14:textId="0D645F24" w:rsidR="00696ED7" w:rsidRPr="6F85DDA0" w:rsidRDefault="00475B4B" w:rsidP="0078119E">
            <w:pPr>
              <w:jc w:val="center"/>
              <w:rPr>
                <w:rFonts w:ascii="Calibri" w:eastAsia="Calibri" w:hAnsi="Calibri" w:cs="Calibri"/>
                <w:color w:val="000000" w:themeColor="text1"/>
                <w:lang w:val="en-AU"/>
              </w:rPr>
            </w:pPr>
            <w:r>
              <w:rPr>
                <w:rFonts w:ascii="Calibri" w:eastAsia="Calibri" w:hAnsi="Calibri" w:cs="Calibri"/>
                <w:color w:val="000000" w:themeColor="text1"/>
                <w:lang w:val="en-AU"/>
              </w:rPr>
              <w:t>16</w:t>
            </w:r>
            <w:r w:rsidR="00696ED7">
              <w:rPr>
                <w:rFonts w:ascii="Calibri" w:eastAsia="Calibri" w:hAnsi="Calibri" w:cs="Calibri"/>
                <w:color w:val="000000" w:themeColor="text1"/>
                <w:lang w:val="en-AU"/>
              </w:rPr>
              <w:t xml:space="preserve"> </w:t>
            </w:r>
            <w:r>
              <w:rPr>
                <w:rFonts w:ascii="Calibri" w:eastAsia="Calibri" w:hAnsi="Calibri" w:cs="Calibri"/>
                <w:color w:val="000000" w:themeColor="text1"/>
                <w:lang w:val="en-AU"/>
              </w:rPr>
              <w:t>August</w:t>
            </w:r>
            <w:r w:rsidR="00696ED7">
              <w:rPr>
                <w:rFonts w:ascii="Calibri" w:eastAsia="Calibri" w:hAnsi="Calibri" w:cs="Calibri"/>
                <w:color w:val="000000" w:themeColor="text1"/>
                <w:lang w:val="en-AU"/>
              </w:rPr>
              <w:t xml:space="preserve"> 2024</w:t>
            </w:r>
          </w:p>
        </w:tc>
        <w:tc>
          <w:tcPr>
            <w:tcW w:w="1124" w:type="dxa"/>
            <w:gridSpan w:val="2"/>
            <w:tcBorders>
              <w:top w:val="single" w:sz="8" w:space="0" w:color="6D6D6D"/>
              <w:left w:val="single" w:sz="8" w:space="0" w:color="6D6D6D"/>
              <w:bottom w:val="single" w:sz="8" w:space="0" w:color="6D6D6D"/>
              <w:right w:val="single" w:sz="8" w:space="0" w:color="6D6D6D"/>
            </w:tcBorders>
            <w:shd w:val="clear" w:color="auto" w:fill="auto"/>
            <w:vAlign w:val="center"/>
          </w:tcPr>
          <w:p w14:paraId="30709D5D" w14:textId="03C94ADD" w:rsidR="00696ED7" w:rsidRDefault="00696ED7" w:rsidP="00117F2E">
            <w:pPr>
              <w:jc w:val="center"/>
              <w:textAlignment w:val="baseline"/>
              <w:rPr>
                <w:rFonts w:asciiTheme="minorHAnsi" w:eastAsia="Times New Roman" w:hAnsiTheme="minorHAnsi" w:cstheme="minorHAnsi"/>
              </w:rPr>
            </w:pPr>
            <w:r>
              <w:rPr>
                <w:rFonts w:asciiTheme="minorHAnsi" w:eastAsia="Times New Roman" w:hAnsiTheme="minorHAnsi" w:cstheme="minorHAnsi"/>
              </w:rPr>
              <w:t>6 days</w:t>
            </w:r>
          </w:p>
        </w:tc>
      </w:tr>
      <w:tr w:rsidR="001F2AA0" w:rsidRPr="00E56480" w14:paraId="3671DD93" w14:textId="77777777" w:rsidTr="007C167D">
        <w:trPr>
          <w:trHeight w:val="792"/>
        </w:trPr>
        <w:tc>
          <w:tcPr>
            <w:tcW w:w="2964" w:type="dxa"/>
            <w:gridSpan w:val="2"/>
            <w:tcBorders>
              <w:top w:val="single" w:sz="8" w:space="0" w:color="6D6D6D"/>
              <w:left w:val="single" w:sz="8" w:space="0" w:color="6D6D6D"/>
              <w:bottom w:val="single" w:sz="8" w:space="0" w:color="6D6D6D"/>
              <w:right w:val="single" w:sz="8" w:space="0" w:color="6D6D6D"/>
            </w:tcBorders>
            <w:shd w:val="clear" w:color="auto" w:fill="auto"/>
            <w:noWrap/>
            <w:vAlign w:val="center"/>
          </w:tcPr>
          <w:p w14:paraId="455B95A6" w14:textId="7BBEE999" w:rsidR="001F2AA0" w:rsidRPr="00E56480" w:rsidRDefault="000841DC" w:rsidP="001F2AA0">
            <w:pPr>
              <w:pStyle w:val="ListParagraph"/>
              <w:ind w:left="0" w:right="-105"/>
              <w:textAlignment w:val="baseline"/>
              <w:rPr>
                <w:rFonts w:asciiTheme="minorHAnsi" w:eastAsia="Times New Roman" w:hAnsiTheme="minorHAnsi" w:cstheme="minorHAnsi"/>
              </w:rPr>
            </w:pPr>
            <w:r>
              <w:rPr>
                <w:rFonts w:asciiTheme="minorHAnsi" w:eastAsia="Times New Roman" w:hAnsiTheme="minorHAnsi" w:cstheme="minorBidi"/>
              </w:rPr>
              <w:t xml:space="preserve">Produce Four </w:t>
            </w:r>
            <w:r w:rsidR="0013195F">
              <w:rPr>
                <w:rFonts w:asciiTheme="minorHAnsi" w:eastAsia="Times New Roman" w:hAnsiTheme="minorHAnsi" w:cstheme="minorBidi"/>
              </w:rPr>
              <w:t xml:space="preserve">ISFF </w:t>
            </w:r>
            <w:r>
              <w:rPr>
                <w:rFonts w:asciiTheme="minorHAnsi" w:eastAsia="Times New Roman" w:hAnsiTheme="minorHAnsi" w:cstheme="minorBidi"/>
              </w:rPr>
              <w:t>(4) Chapters</w:t>
            </w:r>
            <w:r w:rsidR="0013195F">
              <w:rPr>
                <w:rFonts w:asciiTheme="minorHAnsi" w:eastAsia="Times New Roman" w:hAnsiTheme="minorHAnsi" w:cstheme="minorBidi"/>
              </w:rPr>
              <w:t>.</w:t>
            </w:r>
          </w:p>
        </w:tc>
        <w:tc>
          <w:tcPr>
            <w:tcW w:w="3969" w:type="dxa"/>
            <w:gridSpan w:val="3"/>
            <w:tcBorders>
              <w:top w:val="single" w:sz="8" w:space="0" w:color="6D6D6D"/>
              <w:left w:val="single" w:sz="8" w:space="0" w:color="6D6D6D"/>
              <w:bottom w:val="single" w:sz="8" w:space="0" w:color="6D6D6D"/>
              <w:right w:val="single" w:sz="8" w:space="0" w:color="6D6D6D"/>
            </w:tcBorders>
            <w:shd w:val="clear" w:color="auto" w:fill="auto"/>
            <w:vAlign w:val="center"/>
          </w:tcPr>
          <w:p w14:paraId="614E35E6" w14:textId="7D47AE61" w:rsidR="000841DC" w:rsidRPr="00696ED7" w:rsidRDefault="000841DC" w:rsidP="00696ED7">
            <w:pPr>
              <w:jc w:val="both"/>
              <w:rPr>
                <w:rFonts w:asciiTheme="minorHAnsi" w:eastAsia="Arial Unicode MS" w:hAnsiTheme="minorHAnsi" w:cstheme="minorHAnsi"/>
                <w:color w:val="auto"/>
                <w:lang w:val="en-AU"/>
              </w:rPr>
            </w:pPr>
            <w:r w:rsidRPr="00696ED7">
              <w:rPr>
                <w:rFonts w:asciiTheme="minorHAnsi" w:eastAsia="Arial Unicode MS" w:hAnsiTheme="minorHAnsi" w:cstheme="minorHAnsi"/>
                <w:color w:val="auto"/>
                <w:lang w:val="en-AU"/>
              </w:rPr>
              <w:t>The following Chapters are completed</w:t>
            </w:r>
            <w:r w:rsidR="00493BF2" w:rsidRPr="00696ED7">
              <w:rPr>
                <w:rFonts w:asciiTheme="minorHAnsi" w:eastAsia="Arial Unicode MS" w:hAnsiTheme="minorHAnsi" w:cstheme="minorHAnsi"/>
                <w:color w:val="auto"/>
                <w:lang w:val="en-AU"/>
              </w:rPr>
              <w:t>:</w:t>
            </w:r>
          </w:p>
          <w:p w14:paraId="4E16771B" w14:textId="6EFDF3EF" w:rsidR="000841DC" w:rsidRPr="000841DC" w:rsidRDefault="507DB02C" w:rsidP="0013195F">
            <w:pPr>
              <w:pStyle w:val="ListParagraph"/>
              <w:numPr>
                <w:ilvl w:val="0"/>
                <w:numId w:val="11"/>
              </w:numPr>
              <w:ind w:left="174" w:hanging="174"/>
              <w:jc w:val="both"/>
              <w:rPr>
                <w:rFonts w:asciiTheme="minorHAnsi" w:eastAsia="Times New Roman" w:hAnsiTheme="minorHAnsi" w:cstheme="minorBidi"/>
                <w:lang w:val="en-ID"/>
              </w:rPr>
            </w:pPr>
            <w:r w:rsidRPr="6F85DDA0">
              <w:rPr>
                <w:rFonts w:asciiTheme="minorHAnsi" w:eastAsia="Arial Unicode MS" w:hAnsiTheme="minorHAnsi" w:cstheme="minorBidi"/>
                <w:color w:val="auto"/>
                <w:lang w:val="en-AU"/>
              </w:rPr>
              <w:t xml:space="preserve">Evaluation of East Java’s </w:t>
            </w:r>
            <w:r w:rsidRPr="6F85DDA0">
              <w:rPr>
                <w:rFonts w:asciiTheme="minorHAnsi" w:eastAsia="Times New Roman" w:hAnsiTheme="minorHAnsi" w:cstheme="minorBidi"/>
                <w:lang w:val="en-ID"/>
              </w:rPr>
              <w:t xml:space="preserve">development planning landscape towards meeting SDGs 2030 (6 days, </w:t>
            </w:r>
            <w:r w:rsidR="0013195F">
              <w:rPr>
                <w:rFonts w:asciiTheme="minorHAnsi" w:hAnsiTheme="minorHAnsi" w:cstheme="minorBidi"/>
                <w:lang w:val="en-ID"/>
              </w:rPr>
              <w:t>completed</w:t>
            </w:r>
            <w:r w:rsidR="0013195F" w:rsidRPr="6F85DDA0">
              <w:rPr>
                <w:rFonts w:asciiTheme="minorHAnsi" w:eastAsia="Times New Roman" w:hAnsiTheme="minorHAnsi" w:cstheme="minorBidi"/>
                <w:lang w:val="en-ID"/>
              </w:rPr>
              <w:t xml:space="preserve"> </w:t>
            </w:r>
            <w:r w:rsidRPr="6F85DDA0">
              <w:rPr>
                <w:rFonts w:asciiTheme="minorHAnsi" w:eastAsia="Times New Roman" w:hAnsiTheme="minorHAnsi" w:cstheme="minorBidi"/>
                <w:lang w:val="en-ID"/>
              </w:rPr>
              <w:t xml:space="preserve">by </w:t>
            </w:r>
            <w:r w:rsidR="00055B2A">
              <w:rPr>
                <w:rFonts w:asciiTheme="minorHAnsi" w:eastAsia="Times New Roman" w:hAnsiTheme="minorHAnsi" w:cstheme="minorBidi"/>
                <w:lang w:val="en-ID"/>
              </w:rPr>
              <w:t>31</w:t>
            </w:r>
            <w:r w:rsidRPr="6F85DDA0">
              <w:rPr>
                <w:rFonts w:asciiTheme="minorHAnsi" w:eastAsia="Times New Roman" w:hAnsiTheme="minorHAnsi" w:cstheme="minorBidi"/>
                <w:lang w:val="en-ID"/>
              </w:rPr>
              <w:t xml:space="preserve"> Ju</w:t>
            </w:r>
            <w:r w:rsidR="3A119648" w:rsidRPr="6F85DDA0">
              <w:rPr>
                <w:rFonts w:asciiTheme="minorHAnsi" w:eastAsia="Times New Roman" w:hAnsiTheme="minorHAnsi" w:cstheme="minorBidi"/>
                <w:lang w:val="en-ID"/>
              </w:rPr>
              <w:t>ly</w:t>
            </w:r>
            <w:r w:rsidRPr="6F85DDA0">
              <w:rPr>
                <w:rFonts w:asciiTheme="minorHAnsi" w:eastAsia="Times New Roman" w:hAnsiTheme="minorHAnsi" w:cstheme="minorBidi"/>
                <w:lang w:val="en-ID"/>
              </w:rPr>
              <w:t xml:space="preserve"> 2024)</w:t>
            </w:r>
          </w:p>
          <w:p w14:paraId="2A6B99C7" w14:textId="645F55B1" w:rsidR="000841DC" w:rsidRPr="000841DC" w:rsidRDefault="507DB02C" w:rsidP="0013195F">
            <w:pPr>
              <w:pStyle w:val="ListParagraph"/>
              <w:numPr>
                <w:ilvl w:val="0"/>
                <w:numId w:val="11"/>
              </w:numPr>
              <w:ind w:left="174" w:hanging="174"/>
              <w:jc w:val="both"/>
              <w:rPr>
                <w:rFonts w:asciiTheme="minorHAnsi" w:eastAsia="Times New Roman" w:hAnsiTheme="minorHAnsi" w:cstheme="minorBidi"/>
                <w:lang w:val="en-ID"/>
              </w:rPr>
            </w:pPr>
            <w:r w:rsidRPr="6F85DDA0">
              <w:rPr>
                <w:rFonts w:asciiTheme="minorHAnsi" w:eastAsia="Times New Roman" w:hAnsiTheme="minorHAnsi" w:cstheme="minorBidi"/>
                <w:lang w:val="en-ID"/>
              </w:rPr>
              <w:t xml:space="preserve">Financial needs assessment and macroeconomic analysis of East Java’s APBD (6 days, </w:t>
            </w:r>
            <w:r w:rsidR="0013195F">
              <w:rPr>
                <w:rFonts w:asciiTheme="minorHAnsi" w:hAnsiTheme="minorHAnsi" w:cstheme="minorBidi"/>
                <w:lang w:val="en-ID"/>
              </w:rPr>
              <w:t>completed</w:t>
            </w:r>
            <w:r w:rsidR="0013195F" w:rsidRPr="6F85DDA0">
              <w:rPr>
                <w:rFonts w:asciiTheme="minorHAnsi" w:eastAsia="Times New Roman" w:hAnsiTheme="minorHAnsi" w:cstheme="minorBidi"/>
                <w:lang w:val="en-ID"/>
              </w:rPr>
              <w:t xml:space="preserve"> </w:t>
            </w:r>
            <w:r w:rsidRPr="6F85DDA0">
              <w:rPr>
                <w:rFonts w:asciiTheme="minorHAnsi" w:eastAsia="Times New Roman" w:hAnsiTheme="minorHAnsi" w:cstheme="minorBidi"/>
                <w:lang w:val="en-ID"/>
              </w:rPr>
              <w:t xml:space="preserve">by </w:t>
            </w:r>
            <w:r w:rsidR="00055B2A">
              <w:rPr>
                <w:rFonts w:asciiTheme="minorHAnsi" w:eastAsia="Times New Roman" w:hAnsiTheme="minorHAnsi" w:cstheme="minorBidi"/>
                <w:lang w:val="en-ID"/>
              </w:rPr>
              <w:t>09 August</w:t>
            </w:r>
            <w:r w:rsidRPr="6F85DDA0">
              <w:rPr>
                <w:rFonts w:asciiTheme="minorHAnsi" w:eastAsia="Times New Roman" w:hAnsiTheme="minorHAnsi" w:cstheme="minorBidi"/>
                <w:lang w:val="en-ID"/>
              </w:rPr>
              <w:t xml:space="preserve"> 2024)</w:t>
            </w:r>
          </w:p>
          <w:p w14:paraId="43CE2310" w14:textId="60E42CFD" w:rsidR="000841DC" w:rsidRPr="000841DC" w:rsidRDefault="507DB02C" w:rsidP="0013195F">
            <w:pPr>
              <w:pStyle w:val="ListParagraph"/>
              <w:numPr>
                <w:ilvl w:val="0"/>
                <w:numId w:val="11"/>
              </w:numPr>
              <w:ind w:left="174" w:hanging="174"/>
              <w:jc w:val="both"/>
              <w:rPr>
                <w:rFonts w:asciiTheme="minorHAnsi" w:eastAsia="Times New Roman" w:hAnsiTheme="minorHAnsi" w:cstheme="minorBidi"/>
                <w:lang w:val="en-ID"/>
              </w:rPr>
            </w:pPr>
            <w:r w:rsidRPr="6F85DDA0">
              <w:rPr>
                <w:rFonts w:asciiTheme="minorHAnsi" w:eastAsia="Times New Roman" w:hAnsiTheme="minorHAnsi" w:cstheme="minorBidi"/>
                <w:lang w:val="en-ID"/>
              </w:rPr>
              <w:t xml:space="preserve">Identification of alternative financing opportunities in East Java Province (6 days, </w:t>
            </w:r>
            <w:r w:rsidR="0013195F">
              <w:rPr>
                <w:rFonts w:asciiTheme="minorHAnsi" w:hAnsiTheme="minorHAnsi" w:cstheme="minorBidi"/>
                <w:lang w:val="en-ID"/>
              </w:rPr>
              <w:t>completed</w:t>
            </w:r>
            <w:r w:rsidR="0013195F" w:rsidRPr="6F85DDA0">
              <w:rPr>
                <w:rFonts w:asciiTheme="minorHAnsi" w:eastAsia="Times New Roman" w:hAnsiTheme="minorHAnsi" w:cstheme="minorBidi"/>
                <w:lang w:val="en-ID"/>
              </w:rPr>
              <w:t xml:space="preserve"> </w:t>
            </w:r>
            <w:r w:rsidRPr="6F85DDA0">
              <w:rPr>
                <w:rFonts w:asciiTheme="minorHAnsi" w:eastAsia="Times New Roman" w:hAnsiTheme="minorHAnsi" w:cstheme="minorBidi"/>
                <w:lang w:val="en-ID"/>
              </w:rPr>
              <w:t xml:space="preserve">by </w:t>
            </w:r>
            <w:r w:rsidR="00055B2A">
              <w:rPr>
                <w:rFonts w:asciiTheme="minorHAnsi" w:eastAsia="Times New Roman" w:hAnsiTheme="minorHAnsi" w:cstheme="minorBidi"/>
                <w:lang w:val="en-ID"/>
              </w:rPr>
              <w:t>21</w:t>
            </w:r>
            <w:r w:rsidRPr="6F85DDA0">
              <w:rPr>
                <w:rFonts w:asciiTheme="minorHAnsi" w:eastAsia="Times New Roman" w:hAnsiTheme="minorHAnsi" w:cstheme="minorBidi"/>
                <w:lang w:val="en-ID"/>
              </w:rPr>
              <w:t xml:space="preserve"> </w:t>
            </w:r>
            <w:r w:rsidR="5F32841D" w:rsidRPr="6F85DDA0">
              <w:rPr>
                <w:rFonts w:asciiTheme="minorHAnsi" w:eastAsia="Times New Roman" w:hAnsiTheme="minorHAnsi" w:cstheme="minorBidi"/>
                <w:lang w:val="en-ID"/>
              </w:rPr>
              <w:t>August</w:t>
            </w:r>
            <w:r w:rsidRPr="6F85DDA0">
              <w:rPr>
                <w:rFonts w:asciiTheme="minorHAnsi" w:eastAsia="Times New Roman" w:hAnsiTheme="minorHAnsi" w:cstheme="minorBidi"/>
                <w:lang w:val="en-ID"/>
              </w:rPr>
              <w:t xml:space="preserve"> 2024)</w:t>
            </w:r>
          </w:p>
          <w:p w14:paraId="6588CC15" w14:textId="349098D2" w:rsidR="000841DC" w:rsidRPr="000841DC" w:rsidRDefault="507DB02C" w:rsidP="0013195F">
            <w:pPr>
              <w:pStyle w:val="ListParagraph"/>
              <w:numPr>
                <w:ilvl w:val="0"/>
                <w:numId w:val="11"/>
              </w:numPr>
              <w:ind w:left="174" w:hanging="174"/>
              <w:jc w:val="both"/>
              <w:rPr>
                <w:rFonts w:asciiTheme="minorHAnsi" w:hAnsiTheme="minorHAnsi" w:cstheme="minorBidi"/>
                <w:lang w:val="en-ID"/>
              </w:rPr>
            </w:pPr>
            <w:r w:rsidRPr="6F85DDA0">
              <w:rPr>
                <w:rFonts w:asciiTheme="minorHAnsi" w:eastAsia="Arial Unicode MS" w:hAnsiTheme="minorHAnsi" w:cstheme="minorBidi"/>
                <w:color w:val="auto"/>
                <w:lang w:val="en-AU"/>
              </w:rPr>
              <w:t xml:space="preserve">The </w:t>
            </w:r>
            <w:r w:rsidRPr="6F85DDA0">
              <w:rPr>
                <w:rFonts w:asciiTheme="minorHAnsi" w:hAnsiTheme="minorHAnsi" w:cstheme="minorBidi"/>
                <w:lang w:val="en-ID"/>
              </w:rPr>
              <w:t xml:space="preserve">identification of alternative financing opportunities for child-focused development programmes in East Java Province in relation to meeting RPJMD 2025-2029 and SDGs 2030 (6 days, </w:t>
            </w:r>
            <w:r w:rsidR="0013195F">
              <w:rPr>
                <w:rFonts w:asciiTheme="minorHAnsi" w:hAnsiTheme="minorHAnsi" w:cstheme="minorBidi"/>
                <w:lang w:val="en-ID"/>
              </w:rPr>
              <w:t xml:space="preserve">completed </w:t>
            </w:r>
            <w:r w:rsidRPr="6F85DDA0">
              <w:rPr>
                <w:rFonts w:asciiTheme="minorHAnsi" w:hAnsiTheme="minorHAnsi" w:cstheme="minorBidi"/>
                <w:lang w:val="en-ID"/>
              </w:rPr>
              <w:t xml:space="preserve">by </w:t>
            </w:r>
            <w:r w:rsidR="00055B2A">
              <w:rPr>
                <w:rFonts w:asciiTheme="minorHAnsi" w:hAnsiTheme="minorHAnsi" w:cstheme="minorBidi"/>
                <w:lang w:val="en-ID"/>
              </w:rPr>
              <w:t>30</w:t>
            </w:r>
            <w:r w:rsidRPr="6F85DDA0">
              <w:rPr>
                <w:rFonts w:asciiTheme="minorHAnsi" w:hAnsiTheme="minorHAnsi" w:cstheme="minorBidi"/>
                <w:lang w:val="en-ID"/>
              </w:rPr>
              <w:t xml:space="preserve"> </w:t>
            </w:r>
            <w:r w:rsidR="4CF69616" w:rsidRPr="6F85DDA0">
              <w:rPr>
                <w:rFonts w:asciiTheme="minorHAnsi" w:hAnsiTheme="minorHAnsi" w:cstheme="minorBidi"/>
                <w:lang w:val="en-ID"/>
              </w:rPr>
              <w:t>August</w:t>
            </w:r>
            <w:r w:rsidRPr="6F85DDA0">
              <w:rPr>
                <w:rFonts w:asciiTheme="minorHAnsi" w:hAnsiTheme="minorHAnsi" w:cstheme="minorBidi"/>
                <w:lang w:val="en-ID"/>
              </w:rPr>
              <w:t xml:space="preserve"> 2024)</w:t>
            </w:r>
          </w:p>
        </w:tc>
        <w:tc>
          <w:tcPr>
            <w:tcW w:w="1842"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06B16E2" w14:textId="21FD4858" w:rsidR="001F2AA0" w:rsidRDefault="6361152B" w:rsidP="0078119E">
            <w:pPr>
              <w:jc w:val="center"/>
              <w:rPr>
                <w:rFonts w:ascii="Calibri" w:eastAsia="Calibri" w:hAnsi="Calibri" w:cs="Calibri"/>
                <w:color w:val="000000" w:themeColor="text1"/>
              </w:rPr>
            </w:pPr>
            <w:r w:rsidRPr="6F85DDA0">
              <w:rPr>
                <w:rFonts w:ascii="Calibri" w:eastAsia="Calibri" w:hAnsi="Calibri" w:cs="Calibri"/>
                <w:color w:val="000000" w:themeColor="text1"/>
                <w:lang w:val="en-AU"/>
              </w:rPr>
              <w:t>30</w:t>
            </w:r>
            <w:r w:rsidR="714C82F8" w:rsidRPr="6F85DDA0">
              <w:rPr>
                <w:rFonts w:ascii="Calibri" w:eastAsia="Calibri" w:hAnsi="Calibri" w:cs="Calibri"/>
                <w:color w:val="000000" w:themeColor="text1"/>
                <w:lang w:val="en-AU"/>
              </w:rPr>
              <w:t xml:space="preserve"> September</w:t>
            </w:r>
            <w:r w:rsidR="5BB916B0" w:rsidRPr="6F85DDA0">
              <w:rPr>
                <w:rFonts w:ascii="Calibri" w:eastAsia="Calibri" w:hAnsi="Calibri" w:cs="Calibri"/>
                <w:color w:val="000000" w:themeColor="text1"/>
                <w:lang w:val="en-AU"/>
              </w:rPr>
              <w:t xml:space="preserve"> 2024</w:t>
            </w:r>
          </w:p>
        </w:tc>
        <w:tc>
          <w:tcPr>
            <w:tcW w:w="1124" w:type="dxa"/>
            <w:gridSpan w:val="2"/>
            <w:tcBorders>
              <w:top w:val="single" w:sz="8" w:space="0" w:color="6D6D6D"/>
              <w:left w:val="single" w:sz="8" w:space="0" w:color="6D6D6D"/>
              <w:bottom w:val="single" w:sz="8" w:space="0" w:color="6D6D6D"/>
              <w:right w:val="single" w:sz="8" w:space="0" w:color="6D6D6D"/>
            </w:tcBorders>
            <w:shd w:val="clear" w:color="auto" w:fill="auto"/>
            <w:vAlign w:val="center"/>
          </w:tcPr>
          <w:p w14:paraId="3E8CB112" w14:textId="521434C9" w:rsidR="001F2AA0" w:rsidRPr="00E56480" w:rsidRDefault="00696ED7" w:rsidP="00117F2E">
            <w:pPr>
              <w:jc w:val="center"/>
              <w:textAlignment w:val="baseline"/>
              <w:rPr>
                <w:rFonts w:asciiTheme="minorHAnsi" w:eastAsia="Times New Roman" w:hAnsiTheme="minorHAnsi" w:cstheme="minorHAnsi"/>
              </w:rPr>
            </w:pPr>
            <w:r>
              <w:rPr>
                <w:rFonts w:asciiTheme="minorHAnsi" w:eastAsia="Times New Roman" w:hAnsiTheme="minorHAnsi" w:cstheme="minorHAnsi"/>
              </w:rPr>
              <w:t>24</w:t>
            </w:r>
            <w:r w:rsidR="00EB2FC4">
              <w:rPr>
                <w:rFonts w:asciiTheme="minorHAnsi" w:eastAsia="Times New Roman" w:hAnsiTheme="minorHAnsi" w:cstheme="minorHAnsi"/>
              </w:rPr>
              <w:t xml:space="preserve"> days</w:t>
            </w:r>
          </w:p>
        </w:tc>
      </w:tr>
      <w:tr w:rsidR="001F2AA0" w:rsidRPr="00E56480" w14:paraId="6FA413F2" w14:textId="77777777" w:rsidTr="007C167D">
        <w:trPr>
          <w:trHeight w:val="792"/>
        </w:trPr>
        <w:tc>
          <w:tcPr>
            <w:tcW w:w="2964" w:type="dxa"/>
            <w:gridSpan w:val="2"/>
            <w:tcBorders>
              <w:top w:val="single" w:sz="8" w:space="0" w:color="6D6D6D"/>
              <w:left w:val="single" w:sz="8" w:space="0" w:color="6D6D6D"/>
              <w:bottom w:val="single" w:sz="8" w:space="0" w:color="6D6D6D"/>
              <w:right w:val="single" w:sz="8" w:space="0" w:color="6D6D6D"/>
            </w:tcBorders>
            <w:shd w:val="clear" w:color="auto" w:fill="auto"/>
            <w:noWrap/>
            <w:vAlign w:val="center"/>
          </w:tcPr>
          <w:p w14:paraId="52D122B6" w14:textId="2CA2C727" w:rsidR="001F2AA0" w:rsidRDefault="00117F2E" w:rsidP="001F2AA0">
            <w:pPr>
              <w:pStyle w:val="ListParagraph"/>
              <w:ind w:left="0"/>
              <w:textAlignment w:val="baseline"/>
              <w:rPr>
                <w:rFonts w:asciiTheme="minorHAnsi" w:hAnsiTheme="minorHAnsi" w:cstheme="minorHAnsi"/>
                <w:lang w:val="en-ID"/>
              </w:rPr>
            </w:pPr>
            <w:r>
              <w:rPr>
                <w:rFonts w:asciiTheme="minorHAnsi" w:hAnsiTheme="minorHAnsi" w:cstheme="minorHAnsi"/>
                <w:lang w:val="en-ID"/>
              </w:rPr>
              <w:t xml:space="preserve">Hold </w:t>
            </w:r>
            <w:r w:rsidR="001F2AA0">
              <w:rPr>
                <w:rFonts w:asciiTheme="minorHAnsi" w:hAnsiTheme="minorHAnsi" w:cstheme="minorHAnsi"/>
                <w:lang w:val="en-ID"/>
              </w:rPr>
              <w:t>Mid-Term Progress Report Meeting</w:t>
            </w:r>
            <w:r>
              <w:rPr>
                <w:rFonts w:asciiTheme="minorHAnsi" w:hAnsiTheme="minorHAnsi" w:cstheme="minorHAnsi"/>
                <w:lang w:val="en-ID"/>
              </w:rPr>
              <w:t xml:space="preserve">, Produce Three (3) </w:t>
            </w:r>
            <w:r w:rsidR="0013195F">
              <w:rPr>
                <w:rFonts w:asciiTheme="minorHAnsi" w:hAnsiTheme="minorHAnsi" w:cstheme="minorHAnsi"/>
                <w:lang w:val="en-ID"/>
              </w:rPr>
              <w:t xml:space="preserve">ISFF </w:t>
            </w:r>
            <w:r>
              <w:rPr>
                <w:rFonts w:asciiTheme="minorHAnsi" w:hAnsiTheme="minorHAnsi" w:cstheme="minorHAnsi"/>
                <w:lang w:val="en-ID"/>
              </w:rPr>
              <w:t>Chapter</w:t>
            </w:r>
            <w:r w:rsidR="0013195F">
              <w:rPr>
                <w:rFonts w:asciiTheme="minorHAnsi" w:hAnsiTheme="minorHAnsi" w:cstheme="minorHAnsi"/>
                <w:lang w:val="en-ID"/>
              </w:rPr>
              <w:t>s</w:t>
            </w:r>
            <w:r w:rsidR="00AC017D">
              <w:rPr>
                <w:rFonts w:asciiTheme="minorHAnsi" w:hAnsiTheme="minorHAnsi" w:cstheme="minorHAnsi"/>
                <w:lang w:val="en-ID"/>
              </w:rPr>
              <w:t>.</w:t>
            </w:r>
          </w:p>
        </w:tc>
        <w:tc>
          <w:tcPr>
            <w:tcW w:w="3969" w:type="dxa"/>
            <w:gridSpan w:val="3"/>
            <w:tcBorders>
              <w:top w:val="single" w:sz="8" w:space="0" w:color="6D6D6D"/>
              <w:left w:val="single" w:sz="8" w:space="0" w:color="6D6D6D"/>
              <w:bottom w:val="single" w:sz="8" w:space="0" w:color="6D6D6D"/>
              <w:right w:val="single" w:sz="8" w:space="0" w:color="6D6D6D"/>
            </w:tcBorders>
            <w:shd w:val="clear" w:color="auto" w:fill="auto"/>
            <w:vAlign w:val="center"/>
          </w:tcPr>
          <w:p w14:paraId="2DC4C441" w14:textId="11740BAD" w:rsidR="001F2AA0" w:rsidRDefault="0C4B2D0E" w:rsidP="6F85DDA0">
            <w:pPr>
              <w:pStyle w:val="ListParagraph"/>
              <w:numPr>
                <w:ilvl w:val="0"/>
                <w:numId w:val="13"/>
              </w:numPr>
              <w:ind w:left="317" w:hanging="317"/>
              <w:jc w:val="both"/>
              <w:rPr>
                <w:rFonts w:asciiTheme="minorHAnsi" w:eastAsia="Arial Unicode MS" w:hAnsiTheme="minorHAnsi" w:cstheme="minorBidi"/>
                <w:color w:val="auto"/>
                <w:lang w:val="en-AU"/>
              </w:rPr>
            </w:pPr>
            <w:r w:rsidRPr="6F85DDA0">
              <w:rPr>
                <w:rFonts w:asciiTheme="minorHAnsi" w:eastAsia="Arial Unicode MS" w:hAnsiTheme="minorHAnsi" w:cstheme="minorBidi"/>
                <w:color w:val="auto"/>
                <w:lang w:val="en-AU"/>
              </w:rPr>
              <w:t xml:space="preserve">Meeting </w:t>
            </w:r>
            <w:r w:rsidR="68466D7B" w:rsidRPr="6F85DDA0">
              <w:rPr>
                <w:rFonts w:asciiTheme="minorHAnsi" w:eastAsia="Arial Unicode MS" w:hAnsiTheme="minorHAnsi" w:cstheme="minorBidi"/>
                <w:color w:val="auto"/>
                <w:lang w:val="en-AU"/>
              </w:rPr>
              <w:t xml:space="preserve">is held </w:t>
            </w:r>
            <w:r w:rsidRPr="6F85DDA0">
              <w:rPr>
                <w:rFonts w:asciiTheme="minorHAnsi" w:eastAsia="Arial Unicode MS" w:hAnsiTheme="minorHAnsi" w:cstheme="minorBidi"/>
                <w:color w:val="auto"/>
                <w:lang w:val="en-AU"/>
              </w:rPr>
              <w:t>with UNICEF and Related Government Stakeholders to Present the Latest Progress on ISFF Report</w:t>
            </w:r>
            <w:r w:rsidR="68466D7B" w:rsidRPr="6F85DDA0">
              <w:rPr>
                <w:rFonts w:asciiTheme="minorHAnsi" w:eastAsia="Arial Unicode MS" w:hAnsiTheme="minorHAnsi" w:cstheme="minorBidi"/>
                <w:color w:val="auto"/>
                <w:lang w:val="en-AU"/>
              </w:rPr>
              <w:t xml:space="preserve"> (1 day, completed by </w:t>
            </w:r>
            <w:r w:rsidR="00055B2A">
              <w:rPr>
                <w:rFonts w:asciiTheme="minorHAnsi" w:eastAsia="Arial Unicode MS" w:hAnsiTheme="minorHAnsi" w:cstheme="minorBidi"/>
                <w:color w:val="auto"/>
                <w:lang w:val="en-AU"/>
              </w:rPr>
              <w:t>13</w:t>
            </w:r>
            <w:r w:rsidR="68466D7B" w:rsidRPr="6F85DDA0">
              <w:rPr>
                <w:rFonts w:asciiTheme="minorHAnsi" w:eastAsia="Arial Unicode MS" w:hAnsiTheme="minorHAnsi" w:cstheme="minorBidi"/>
                <w:color w:val="auto"/>
                <w:lang w:val="en-AU"/>
              </w:rPr>
              <w:t xml:space="preserve"> </w:t>
            </w:r>
            <w:r w:rsidR="0A0D54B5" w:rsidRPr="6F85DDA0">
              <w:rPr>
                <w:rFonts w:asciiTheme="minorHAnsi" w:eastAsia="Arial Unicode MS" w:hAnsiTheme="minorHAnsi" w:cstheme="minorBidi"/>
                <w:color w:val="auto"/>
                <w:lang w:val="en-AU"/>
              </w:rPr>
              <w:t>September</w:t>
            </w:r>
            <w:r w:rsidR="68466D7B" w:rsidRPr="6F85DDA0">
              <w:rPr>
                <w:rFonts w:asciiTheme="minorHAnsi" w:eastAsia="Arial Unicode MS" w:hAnsiTheme="minorHAnsi" w:cstheme="minorBidi"/>
                <w:color w:val="auto"/>
                <w:lang w:val="en-AU"/>
              </w:rPr>
              <w:t xml:space="preserve"> 2024)</w:t>
            </w:r>
          </w:p>
          <w:p w14:paraId="2DD141CF" w14:textId="76F25994" w:rsidR="00117F2E" w:rsidRDefault="00117F2E" w:rsidP="00117F2E">
            <w:pPr>
              <w:pStyle w:val="ListParagraph"/>
              <w:numPr>
                <w:ilvl w:val="0"/>
                <w:numId w:val="13"/>
              </w:numPr>
              <w:ind w:left="317" w:hanging="317"/>
              <w:jc w:val="both"/>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The following Chapters are completed:</w:t>
            </w:r>
          </w:p>
          <w:p w14:paraId="58D2642E" w14:textId="425A62C2" w:rsidR="00117F2E" w:rsidRPr="00117F2E" w:rsidRDefault="68466D7B" w:rsidP="0013195F">
            <w:pPr>
              <w:pStyle w:val="ListParagraph"/>
              <w:numPr>
                <w:ilvl w:val="0"/>
                <w:numId w:val="14"/>
              </w:numPr>
              <w:ind w:left="458" w:hanging="142"/>
              <w:jc w:val="both"/>
              <w:rPr>
                <w:rFonts w:asciiTheme="minorHAnsi" w:hAnsiTheme="minorHAnsi" w:cstheme="minorBidi"/>
                <w:lang w:val="en-ID"/>
              </w:rPr>
            </w:pPr>
            <w:r w:rsidRPr="6F85DDA0">
              <w:rPr>
                <w:rFonts w:asciiTheme="minorHAnsi" w:hAnsiTheme="minorHAnsi" w:cstheme="minorBidi"/>
                <w:lang w:val="en-ID"/>
              </w:rPr>
              <w:t xml:space="preserve">Investigation of the regulatory ecosystem of alternative financing in East Java (6 days, completed by </w:t>
            </w:r>
            <w:r w:rsidR="00055B2A">
              <w:rPr>
                <w:rFonts w:asciiTheme="minorHAnsi" w:hAnsiTheme="minorHAnsi" w:cstheme="minorBidi"/>
                <w:lang w:val="en-ID"/>
              </w:rPr>
              <w:t>23</w:t>
            </w:r>
            <w:r w:rsidR="7BD14C33" w:rsidRPr="6F85DDA0">
              <w:rPr>
                <w:rFonts w:asciiTheme="minorHAnsi" w:hAnsiTheme="minorHAnsi" w:cstheme="minorBidi"/>
                <w:lang w:val="en-ID"/>
              </w:rPr>
              <w:t xml:space="preserve"> </w:t>
            </w:r>
            <w:r w:rsidR="7B30EE05" w:rsidRPr="6F85DDA0">
              <w:rPr>
                <w:rFonts w:asciiTheme="minorHAnsi" w:hAnsiTheme="minorHAnsi" w:cstheme="minorBidi"/>
                <w:lang w:val="en-ID"/>
              </w:rPr>
              <w:t>September</w:t>
            </w:r>
            <w:r w:rsidR="6558F18B" w:rsidRPr="6F85DDA0">
              <w:rPr>
                <w:rFonts w:asciiTheme="minorHAnsi" w:hAnsiTheme="minorHAnsi" w:cstheme="minorBidi"/>
                <w:lang w:val="en-ID"/>
              </w:rPr>
              <w:t xml:space="preserve"> 2024</w:t>
            </w:r>
            <w:r w:rsidR="7BD14C33" w:rsidRPr="6F85DDA0">
              <w:rPr>
                <w:rFonts w:asciiTheme="minorHAnsi" w:hAnsiTheme="minorHAnsi" w:cstheme="minorBidi"/>
                <w:lang w:val="en-ID"/>
              </w:rPr>
              <w:t>)</w:t>
            </w:r>
          </w:p>
          <w:p w14:paraId="4F00D8E1" w14:textId="6664CC03" w:rsidR="00117F2E" w:rsidRPr="00117F2E" w:rsidRDefault="68466D7B" w:rsidP="0013195F">
            <w:pPr>
              <w:pStyle w:val="ListParagraph"/>
              <w:numPr>
                <w:ilvl w:val="0"/>
                <w:numId w:val="14"/>
              </w:numPr>
              <w:ind w:left="458" w:hanging="142"/>
              <w:jc w:val="both"/>
              <w:rPr>
                <w:rFonts w:asciiTheme="minorHAnsi" w:eastAsia="Arial Unicode MS" w:hAnsiTheme="minorHAnsi" w:cstheme="minorBidi"/>
                <w:color w:val="auto"/>
                <w:lang w:val="en-AU"/>
              </w:rPr>
            </w:pPr>
            <w:r w:rsidRPr="6F85DDA0">
              <w:rPr>
                <w:rFonts w:asciiTheme="minorHAnsi" w:hAnsiTheme="minorHAnsi" w:cstheme="minorBidi"/>
                <w:lang w:val="en-ID"/>
              </w:rPr>
              <w:t xml:space="preserve">Identification of monitoring and evaluation procedures (4 days, completed by </w:t>
            </w:r>
            <w:r w:rsidR="00055B2A">
              <w:rPr>
                <w:rFonts w:asciiTheme="minorHAnsi" w:hAnsiTheme="minorHAnsi" w:cstheme="minorBidi"/>
                <w:lang w:val="en-ID"/>
              </w:rPr>
              <w:t>30</w:t>
            </w:r>
            <w:r w:rsidR="5834DF1F" w:rsidRPr="6F85DDA0">
              <w:rPr>
                <w:rFonts w:asciiTheme="minorHAnsi" w:hAnsiTheme="minorHAnsi" w:cstheme="minorBidi"/>
                <w:lang w:val="en-ID"/>
              </w:rPr>
              <w:t xml:space="preserve"> September 2024</w:t>
            </w:r>
            <w:r w:rsidR="7BD14C33" w:rsidRPr="6F85DDA0">
              <w:rPr>
                <w:rFonts w:asciiTheme="minorHAnsi" w:hAnsiTheme="minorHAnsi" w:cstheme="minorBidi"/>
                <w:lang w:val="en-ID"/>
              </w:rPr>
              <w:t>)</w:t>
            </w:r>
          </w:p>
          <w:p w14:paraId="3C2D7383" w14:textId="778E76A5" w:rsidR="00117F2E" w:rsidRPr="00117F2E" w:rsidRDefault="68466D7B" w:rsidP="0013195F">
            <w:pPr>
              <w:pStyle w:val="ListParagraph"/>
              <w:numPr>
                <w:ilvl w:val="0"/>
                <w:numId w:val="14"/>
              </w:numPr>
              <w:ind w:left="458" w:hanging="142"/>
              <w:jc w:val="both"/>
              <w:rPr>
                <w:rFonts w:asciiTheme="minorHAnsi" w:eastAsia="Arial Unicode MS" w:hAnsiTheme="minorHAnsi" w:cstheme="minorBidi"/>
                <w:color w:val="auto"/>
                <w:lang w:val="en-AU"/>
              </w:rPr>
            </w:pPr>
            <w:r w:rsidRPr="6F85DDA0">
              <w:rPr>
                <w:rFonts w:asciiTheme="minorHAnsi" w:hAnsiTheme="minorHAnsi" w:cstheme="minorBidi"/>
                <w:lang w:val="en-ID"/>
              </w:rPr>
              <w:t>Roadmap of ISFF (</w:t>
            </w:r>
            <w:r w:rsidR="00116635">
              <w:rPr>
                <w:rFonts w:asciiTheme="minorHAnsi" w:hAnsiTheme="minorHAnsi" w:cstheme="minorBidi"/>
                <w:lang w:val="en-ID"/>
              </w:rPr>
              <w:t>4</w:t>
            </w:r>
            <w:r w:rsidRPr="6F85DDA0">
              <w:rPr>
                <w:rFonts w:asciiTheme="minorHAnsi" w:hAnsiTheme="minorHAnsi" w:cstheme="minorBidi"/>
                <w:lang w:val="en-ID"/>
              </w:rPr>
              <w:t xml:space="preserve"> days, completed by </w:t>
            </w:r>
            <w:r w:rsidR="00055B2A">
              <w:rPr>
                <w:rFonts w:asciiTheme="minorHAnsi" w:hAnsiTheme="minorHAnsi" w:cstheme="minorBidi"/>
                <w:lang w:val="en-ID"/>
              </w:rPr>
              <w:t>7</w:t>
            </w:r>
            <w:r w:rsidR="7FD6F237" w:rsidRPr="6F85DDA0">
              <w:rPr>
                <w:rFonts w:asciiTheme="minorHAnsi" w:hAnsiTheme="minorHAnsi" w:cstheme="minorBidi"/>
                <w:lang w:val="en-ID"/>
              </w:rPr>
              <w:t xml:space="preserve"> Octobe</w:t>
            </w:r>
            <w:r w:rsidR="7BD14C33" w:rsidRPr="6F85DDA0">
              <w:rPr>
                <w:rFonts w:asciiTheme="minorHAnsi" w:hAnsiTheme="minorHAnsi" w:cstheme="minorBidi"/>
                <w:lang w:val="en-ID"/>
              </w:rPr>
              <w:t>r</w:t>
            </w:r>
            <w:r w:rsidR="00851CD6">
              <w:rPr>
                <w:rFonts w:asciiTheme="minorHAnsi" w:hAnsiTheme="minorHAnsi" w:cstheme="minorBidi"/>
                <w:lang w:val="en-ID"/>
              </w:rPr>
              <w:t xml:space="preserve"> 2024</w:t>
            </w:r>
            <w:r w:rsidR="7BD14C33" w:rsidRPr="6F85DDA0">
              <w:rPr>
                <w:rFonts w:asciiTheme="minorHAnsi" w:hAnsiTheme="minorHAnsi" w:cstheme="minorBidi"/>
                <w:lang w:val="en-ID"/>
              </w:rPr>
              <w:t>)</w:t>
            </w:r>
          </w:p>
        </w:tc>
        <w:tc>
          <w:tcPr>
            <w:tcW w:w="1842"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6B548CC" w14:textId="511138CE" w:rsidR="001F2AA0" w:rsidRPr="2B8E33B3" w:rsidRDefault="64D8AE54" w:rsidP="6F85DDA0">
            <w:pPr>
              <w:spacing w:before="60" w:after="60" w:line="240" w:lineRule="auto"/>
              <w:jc w:val="center"/>
              <w:rPr>
                <w:rFonts w:ascii="Calibri" w:eastAsia="Calibri" w:hAnsi="Calibri" w:cs="Calibri"/>
                <w:color w:val="000000" w:themeColor="text1"/>
                <w:lang w:val="en-AU"/>
              </w:rPr>
            </w:pPr>
            <w:r w:rsidRPr="6F85DDA0">
              <w:rPr>
                <w:rFonts w:ascii="Calibri" w:eastAsia="Calibri" w:hAnsi="Calibri" w:cs="Calibri"/>
                <w:color w:val="000000" w:themeColor="text1"/>
                <w:lang w:val="en-AU"/>
              </w:rPr>
              <w:t>15 November 2024</w:t>
            </w:r>
          </w:p>
        </w:tc>
        <w:tc>
          <w:tcPr>
            <w:tcW w:w="1124" w:type="dxa"/>
            <w:gridSpan w:val="2"/>
            <w:tcBorders>
              <w:top w:val="single" w:sz="8" w:space="0" w:color="6D6D6D"/>
              <w:left w:val="single" w:sz="8" w:space="0" w:color="6D6D6D"/>
              <w:bottom w:val="single" w:sz="8" w:space="0" w:color="6D6D6D"/>
              <w:right w:val="single" w:sz="8" w:space="0" w:color="6D6D6D"/>
            </w:tcBorders>
            <w:shd w:val="clear" w:color="auto" w:fill="auto"/>
            <w:vAlign w:val="center"/>
          </w:tcPr>
          <w:p w14:paraId="63B69CA3" w14:textId="25FA423C" w:rsidR="001F2AA0" w:rsidRDefault="00EB2FC4" w:rsidP="00117F2E">
            <w:pPr>
              <w:jc w:val="center"/>
              <w:textAlignment w:val="baseline"/>
              <w:rPr>
                <w:rFonts w:asciiTheme="minorHAnsi" w:eastAsia="Times New Roman" w:hAnsiTheme="minorHAnsi" w:cstheme="minorHAnsi"/>
              </w:rPr>
            </w:pPr>
            <w:r>
              <w:rPr>
                <w:rFonts w:asciiTheme="minorHAnsi" w:eastAsia="Times New Roman" w:hAnsiTheme="minorHAnsi" w:cstheme="minorHAnsi"/>
              </w:rPr>
              <w:t>15 days</w:t>
            </w:r>
          </w:p>
        </w:tc>
      </w:tr>
      <w:tr w:rsidR="001F2AA0" w:rsidRPr="00E56480" w14:paraId="62FA913F" w14:textId="77777777" w:rsidTr="007C167D">
        <w:trPr>
          <w:trHeight w:val="792"/>
        </w:trPr>
        <w:tc>
          <w:tcPr>
            <w:tcW w:w="2964" w:type="dxa"/>
            <w:gridSpan w:val="2"/>
            <w:tcBorders>
              <w:top w:val="single" w:sz="8" w:space="0" w:color="6D6D6D"/>
              <w:left w:val="single" w:sz="8" w:space="0" w:color="6D6D6D"/>
              <w:bottom w:val="single" w:sz="8" w:space="0" w:color="6D6D6D"/>
              <w:right w:val="single" w:sz="8" w:space="0" w:color="6D6D6D"/>
            </w:tcBorders>
            <w:shd w:val="clear" w:color="auto" w:fill="auto"/>
            <w:noWrap/>
            <w:vAlign w:val="center"/>
          </w:tcPr>
          <w:p w14:paraId="035F3055" w14:textId="5542735F" w:rsidR="001F2AA0" w:rsidRDefault="00117F2E" w:rsidP="001F2AA0">
            <w:pPr>
              <w:pStyle w:val="ListParagraph"/>
              <w:ind w:left="0"/>
              <w:textAlignment w:val="baseline"/>
              <w:rPr>
                <w:rFonts w:asciiTheme="minorHAnsi" w:eastAsia="Times New Roman" w:hAnsiTheme="minorHAnsi" w:cstheme="minorHAnsi"/>
              </w:rPr>
            </w:pPr>
            <w:r>
              <w:rPr>
                <w:rFonts w:asciiTheme="minorHAnsi" w:eastAsia="Times New Roman" w:hAnsiTheme="minorHAnsi" w:cstheme="minorHAnsi"/>
              </w:rPr>
              <w:t xml:space="preserve">Submission of </w:t>
            </w:r>
            <w:r w:rsidR="001F2AA0">
              <w:rPr>
                <w:rFonts w:asciiTheme="minorHAnsi" w:eastAsia="Times New Roman" w:hAnsiTheme="minorHAnsi" w:cstheme="minorHAnsi"/>
              </w:rPr>
              <w:t>Penultimate Draft</w:t>
            </w:r>
            <w:r>
              <w:rPr>
                <w:rFonts w:asciiTheme="minorHAnsi" w:eastAsia="Times New Roman" w:hAnsiTheme="minorHAnsi" w:cstheme="minorHAnsi"/>
              </w:rPr>
              <w:t>, Hold Validation Meeting, Submission of Final Draft, and Slide Decks Preparation</w:t>
            </w:r>
            <w:r w:rsidR="00AC017D">
              <w:rPr>
                <w:rFonts w:asciiTheme="minorHAnsi" w:eastAsia="Times New Roman" w:hAnsiTheme="minorHAnsi" w:cstheme="minorHAnsi"/>
              </w:rPr>
              <w:t>.</w:t>
            </w:r>
          </w:p>
        </w:tc>
        <w:tc>
          <w:tcPr>
            <w:tcW w:w="3969" w:type="dxa"/>
            <w:gridSpan w:val="3"/>
            <w:tcBorders>
              <w:top w:val="single" w:sz="8" w:space="0" w:color="6D6D6D"/>
              <w:left w:val="single" w:sz="8" w:space="0" w:color="6D6D6D"/>
              <w:bottom w:val="single" w:sz="8" w:space="0" w:color="6D6D6D"/>
              <w:right w:val="single" w:sz="8" w:space="0" w:color="6D6D6D"/>
            </w:tcBorders>
            <w:shd w:val="clear" w:color="auto" w:fill="auto"/>
            <w:vAlign w:val="center"/>
          </w:tcPr>
          <w:p w14:paraId="18B24D1B" w14:textId="229485D4" w:rsidR="001F2AA0" w:rsidRDefault="0C4B2D0E" w:rsidP="6F85DDA0">
            <w:pPr>
              <w:pStyle w:val="ListParagraph"/>
              <w:numPr>
                <w:ilvl w:val="0"/>
                <w:numId w:val="15"/>
              </w:numPr>
              <w:ind w:left="313" w:hanging="313"/>
              <w:jc w:val="both"/>
              <w:rPr>
                <w:rFonts w:asciiTheme="minorHAnsi" w:eastAsia="Arial Unicode MS" w:hAnsiTheme="minorHAnsi" w:cstheme="minorBidi"/>
                <w:color w:val="auto"/>
                <w:lang w:val="en-AU"/>
              </w:rPr>
            </w:pPr>
            <w:r w:rsidRPr="6F85DDA0">
              <w:rPr>
                <w:rFonts w:asciiTheme="minorHAnsi" w:eastAsia="Arial Unicode MS" w:hAnsiTheme="minorHAnsi" w:cstheme="minorBidi"/>
                <w:color w:val="auto"/>
                <w:lang w:val="en-AU"/>
              </w:rPr>
              <w:t>Penultimate Draft</w:t>
            </w:r>
            <w:r w:rsidR="68466D7B" w:rsidRPr="6F85DDA0">
              <w:rPr>
                <w:rFonts w:asciiTheme="minorHAnsi" w:eastAsia="Arial Unicode MS" w:hAnsiTheme="minorHAnsi" w:cstheme="minorBidi"/>
                <w:color w:val="auto"/>
                <w:lang w:val="en-AU"/>
              </w:rPr>
              <w:t xml:space="preserve"> is submitted (6 days, completed by </w:t>
            </w:r>
            <w:r w:rsidR="7BD14C33" w:rsidRPr="6F85DDA0">
              <w:rPr>
                <w:rFonts w:asciiTheme="minorHAnsi" w:eastAsia="Arial Unicode MS" w:hAnsiTheme="minorHAnsi" w:cstheme="minorBidi"/>
                <w:color w:val="auto"/>
                <w:lang w:val="en-AU"/>
              </w:rPr>
              <w:t>1</w:t>
            </w:r>
            <w:r w:rsidR="00055B2A">
              <w:rPr>
                <w:rFonts w:asciiTheme="minorHAnsi" w:eastAsia="Arial Unicode MS" w:hAnsiTheme="minorHAnsi" w:cstheme="minorBidi"/>
                <w:color w:val="auto"/>
                <w:lang w:val="en-AU"/>
              </w:rPr>
              <w:t>8</w:t>
            </w:r>
            <w:r w:rsidR="7BD14C33" w:rsidRPr="6F85DDA0">
              <w:rPr>
                <w:rFonts w:asciiTheme="minorHAnsi" w:eastAsia="Arial Unicode MS" w:hAnsiTheme="minorHAnsi" w:cstheme="minorBidi"/>
                <w:color w:val="auto"/>
                <w:lang w:val="en-AU"/>
              </w:rPr>
              <w:t xml:space="preserve"> </w:t>
            </w:r>
            <w:r w:rsidR="1D0170BD" w:rsidRPr="6F85DDA0">
              <w:rPr>
                <w:rFonts w:asciiTheme="minorHAnsi" w:eastAsia="Arial Unicode MS" w:hAnsiTheme="minorHAnsi" w:cstheme="minorBidi"/>
                <w:color w:val="auto"/>
                <w:lang w:val="en-AU"/>
              </w:rPr>
              <w:t>Octobe</w:t>
            </w:r>
            <w:r w:rsidR="7BD14C33" w:rsidRPr="6F85DDA0">
              <w:rPr>
                <w:rFonts w:asciiTheme="minorHAnsi" w:eastAsia="Arial Unicode MS" w:hAnsiTheme="minorHAnsi" w:cstheme="minorBidi"/>
                <w:color w:val="auto"/>
                <w:lang w:val="en-AU"/>
              </w:rPr>
              <w:t>r</w:t>
            </w:r>
            <w:r w:rsidR="00851CD6">
              <w:rPr>
                <w:rFonts w:asciiTheme="minorHAnsi" w:eastAsia="Arial Unicode MS" w:hAnsiTheme="minorHAnsi" w:cstheme="minorBidi"/>
                <w:color w:val="auto"/>
                <w:lang w:val="en-AU"/>
              </w:rPr>
              <w:t xml:space="preserve"> 2024</w:t>
            </w:r>
            <w:r w:rsidR="7BD14C33" w:rsidRPr="6F85DDA0">
              <w:rPr>
                <w:rFonts w:asciiTheme="minorHAnsi" w:eastAsia="Arial Unicode MS" w:hAnsiTheme="minorHAnsi" w:cstheme="minorBidi"/>
                <w:color w:val="auto"/>
                <w:lang w:val="en-AU"/>
              </w:rPr>
              <w:t>)</w:t>
            </w:r>
          </w:p>
          <w:p w14:paraId="2AEA0485" w14:textId="2D350955" w:rsidR="00117F2E" w:rsidRDefault="68466D7B" w:rsidP="6F85DDA0">
            <w:pPr>
              <w:pStyle w:val="ListParagraph"/>
              <w:numPr>
                <w:ilvl w:val="0"/>
                <w:numId w:val="15"/>
              </w:numPr>
              <w:ind w:left="313" w:hanging="313"/>
              <w:jc w:val="both"/>
              <w:rPr>
                <w:rFonts w:asciiTheme="minorHAnsi" w:eastAsia="Arial Unicode MS" w:hAnsiTheme="minorHAnsi" w:cstheme="minorBidi"/>
                <w:color w:val="auto"/>
                <w:lang w:val="en-AU"/>
              </w:rPr>
            </w:pPr>
            <w:r w:rsidRPr="6F85DDA0">
              <w:rPr>
                <w:rFonts w:asciiTheme="minorHAnsi" w:eastAsia="Arial Unicode MS" w:hAnsiTheme="minorHAnsi" w:cstheme="minorBidi"/>
                <w:color w:val="auto"/>
                <w:lang w:val="en-AU"/>
              </w:rPr>
              <w:t xml:space="preserve">Meeting with UNICEF and related partners to validate the report is held (1 day, completed by </w:t>
            </w:r>
            <w:r w:rsidR="00055B2A">
              <w:rPr>
                <w:rFonts w:asciiTheme="minorHAnsi" w:eastAsia="Arial Unicode MS" w:hAnsiTheme="minorHAnsi" w:cstheme="minorBidi"/>
                <w:color w:val="auto"/>
                <w:lang w:val="en-AU"/>
              </w:rPr>
              <w:t>25</w:t>
            </w:r>
            <w:r w:rsidR="7BD14C33" w:rsidRPr="6F85DDA0">
              <w:rPr>
                <w:rFonts w:asciiTheme="minorHAnsi" w:eastAsia="Arial Unicode MS" w:hAnsiTheme="minorHAnsi" w:cstheme="minorBidi"/>
                <w:color w:val="auto"/>
                <w:lang w:val="en-AU"/>
              </w:rPr>
              <w:t xml:space="preserve"> </w:t>
            </w:r>
            <w:r w:rsidR="32F65080" w:rsidRPr="6F85DDA0">
              <w:rPr>
                <w:rFonts w:asciiTheme="minorHAnsi" w:eastAsia="Arial Unicode MS" w:hAnsiTheme="minorHAnsi" w:cstheme="minorBidi"/>
                <w:color w:val="auto"/>
                <w:lang w:val="en-AU"/>
              </w:rPr>
              <w:t>Octobe</w:t>
            </w:r>
            <w:r w:rsidR="7BD14C33" w:rsidRPr="6F85DDA0">
              <w:rPr>
                <w:rFonts w:asciiTheme="minorHAnsi" w:eastAsia="Arial Unicode MS" w:hAnsiTheme="minorHAnsi" w:cstheme="minorBidi"/>
                <w:color w:val="auto"/>
                <w:lang w:val="en-AU"/>
              </w:rPr>
              <w:t>r</w:t>
            </w:r>
            <w:r w:rsidR="00851CD6">
              <w:rPr>
                <w:rFonts w:asciiTheme="minorHAnsi" w:eastAsia="Arial Unicode MS" w:hAnsiTheme="minorHAnsi" w:cstheme="minorBidi"/>
                <w:color w:val="auto"/>
                <w:lang w:val="en-AU"/>
              </w:rPr>
              <w:t xml:space="preserve"> 2024</w:t>
            </w:r>
            <w:r w:rsidR="7BD14C33" w:rsidRPr="6F85DDA0">
              <w:rPr>
                <w:rFonts w:asciiTheme="minorHAnsi" w:eastAsia="Arial Unicode MS" w:hAnsiTheme="minorHAnsi" w:cstheme="minorBidi"/>
                <w:color w:val="auto"/>
                <w:lang w:val="en-AU"/>
              </w:rPr>
              <w:t>)</w:t>
            </w:r>
          </w:p>
          <w:p w14:paraId="5C4DAF0C" w14:textId="7EF3F0EC" w:rsidR="00117F2E" w:rsidRDefault="68466D7B" w:rsidP="6F85DDA0">
            <w:pPr>
              <w:pStyle w:val="ListParagraph"/>
              <w:numPr>
                <w:ilvl w:val="0"/>
                <w:numId w:val="15"/>
              </w:numPr>
              <w:ind w:left="313" w:hanging="313"/>
              <w:jc w:val="both"/>
              <w:rPr>
                <w:rFonts w:asciiTheme="minorHAnsi" w:eastAsia="Arial Unicode MS" w:hAnsiTheme="minorHAnsi" w:cstheme="minorBidi"/>
                <w:color w:val="auto"/>
                <w:lang w:val="en-AU"/>
              </w:rPr>
            </w:pPr>
            <w:r w:rsidRPr="6F85DDA0">
              <w:rPr>
                <w:rFonts w:asciiTheme="minorHAnsi" w:eastAsia="Arial Unicode MS" w:hAnsiTheme="minorHAnsi" w:cstheme="minorBidi"/>
                <w:color w:val="auto"/>
                <w:lang w:val="en-AU"/>
              </w:rPr>
              <w:t xml:space="preserve">Final Draft is submitted (6 days, completed by </w:t>
            </w:r>
            <w:r w:rsidR="78D2AF43" w:rsidRPr="6F85DDA0">
              <w:rPr>
                <w:rFonts w:asciiTheme="minorHAnsi" w:eastAsia="Arial Unicode MS" w:hAnsiTheme="minorHAnsi" w:cstheme="minorBidi"/>
                <w:color w:val="auto"/>
                <w:lang w:val="en-AU"/>
              </w:rPr>
              <w:t>0</w:t>
            </w:r>
            <w:r w:rsidR="65E3166A" w:rsidRPr="6F85DDA0">
              <w:rPr>
                <w:rFonts w:asciiTheme="minorHAnsi" w:eastAsia="Arial Unicode MS" w:hAnsiTheme="minorHAnsi" w:cstheme="minorBidi"/>
                <w:color w:val="auto"/>
                <w:lang w:val="en-AU"/>
              </w:rPr>
              <w:t>4</w:t>
            </w:r>
            <w:r w:rsidR="78D2AF43" w:rsidRPr="6F85DDA0">
              <w:rPr>
                <w:rFonts w:asciiTheme="minorHAnsi" w:eastAsia="Arial Unicode MS" w:hAnsiTheme="minorHAnsi" w:cstheme="minorBidi"/>
                <w:color w:val="auto"/>
                <w:lang w:val="en-AU"/>
              </w:rPr>
              <w:t xml:space="preserve"> November</w:t>
            </w:r>
            <w:r w:rsidR="7BD14C33" w:rsidRPr="6F85DDA0">
              <w:rPr>
                <w:rFonts w:asciiTheme="minorHAnsi" w:eastAsia="Arial Unicode MS" w:hAnsiTheme="minorHAnsi" w:cstheme="minorBidi"/>
                <w:color w:val="auto"/>
                <w:lang w:val="en-AU"/>
              </w:rPr>
              <w:t>)</w:t>
            </w:r>
          </w:p>
          <w:p w14:paraId="75CDD8EF" w14:textId="4BCB5260" w:rsidR="00117F2E" w:rsidRPr="00117F2E" w:rsidRDefault="68466D7B" w:rsidP="6F85DDA0">
            <w:pPr>
              <w:pStyle w:val="ListParagraph"/>
              <w:numPr>
                <w:ilvl w:val="0"/>
                <w:numId w:val="15"/>
              </w:numPr>
              <w:ind w:left="313" w:hanging="313"/>
              <w:jc w:val="both"/>
              <w:rPr>
                <w:rFonts w:asciiTheme="minorHAnsi" w:eastAsia="Arial Unicode MS" w:hAnsiTheme="minorHAnsi" w:cstheme="minorBidi"/>
                <w:color w:val="auto"/>
                <w:lang w:val="en-AU"/>
              </w:rPr>
            </w:pPr>
            <w:r w:rsidRPr="6F85DDA0">
              <w:rPr>
                <w:rFonts w:asciiTheme="minorHAnsi" w:eastAsia="Arial Unicode MS" w:hAnsiTheme="minorHAnsi" w:cstheme="minorBidi"/>
                <w:color w:val="auto"/>
                <w:lang w:val="en-AU"/>
              </w:rPr>
              <w:t>Slide Decks for ISFF Public Seminar are submitted</w:t>
            </w:r>
            <w:r w:rsidR="00960739">
              <w:rPr>
                <w:rFonts w:asciiTheme="minorHAnsi" w:eastAsia="Arial Unicode MS" w:hAnsiTheme="minorHAnsi" w:cstheme="minorBidi"/>
                <w:color w:val="auto"/>
                <w:lang w:val="en-AU"/>
              </w:rPr>
              <w:t xml:space="preserve"> </w:t>
            </w:r>
            <w:r w:rsidR="00960739" w:rsidRPr="00960739">
              <w:rPr>
                <w:rFonts w:asciiTheme="minorHAnsi" w:eastAsia="Arial Unicode MS" w:hAnsiTheme="minorHAnsi" w:cstheme="minorBidi"/>
                <w:i/>
                <w:iCs/>
                <w:color w:val="auto"/>
                <w:lang w:val="en-AU"/>
              </w:rPr>
              <w:t>(in Bahasa Indonesia and English)</w:t>
            </w:r>
            <w:r w:rsidRPr="6F85DDA0">
              <w:rPr>
                <w:rFonts w:asciiTheme="minorHAnsi" w:eastAsia="Arial Unicode MS" w:hAnsiTheme="minorHAnsi" w:cstheme="minorBidi"/>
                <w:color w:val="auto"/>
                <w:lang w:val="en-AU"/>
              </w:rPr>
              <w:t xml:space="preserve"> (</w:t>
            </w:r>
            <w:r w:rsidR="26D6F64C" w:rsidRPr="6F85DDA0">
              <w:rPr>
                <w:rFonts w:asciiTheme="minorHAnsi" w:eastAsia="Arial Unicode MS" w:hAnsiTheme="minorHAnsi" w:cstheme="minorBidi"/>
                <w:color w:val="auto"/>
                <w:lang w:val="en-AU"/>
              </w:rPr>
              <w:t>2</w:t>
            </w:r>
            <w:r w:rsidRPr="6F85DDA0">
              <w:rPr>
                <w:rFonts w:asciiTheme="minorHAnsi" w:eastAsia="Arial Unicode MS" w:hAnsiTheme="minorHAnsi" w:cstheme="minorBidi"/>
                <w:color w:val="auto"/>
                <w:lang w:val="en-AU"/>
              </w:rPr>
              <w:t xml:space="preserve"> days, completed by </w:t>
            </w:r>
            <w:r w:rsidR="0001147F">
              <w:rPr>
                <w:rFonts w:asciiTheme="minorHAnsi" w:eastAsia="Arial Unicode MS" w:hAnsiTheme="minorHAnsi" w:cstheme="minorBidi"/>
                <w:color w:val="auto"/>
                <w:lang w:val="en-AU"/>
              </w:rPr>
              <w:t>11</w:t>
            </w:r>
            <w:r w:rsidR="16251F7E" w:rsidRPr="6F85DDA0">
              <w:rPr>
                <w:rFonts w:asciiTheme="minorHAnsi" w:eastAsia="Arial Unicode MS" w:hAnsiTheme="minorHAnsi" w:cstheme="minorBidi"/>
                <w:color w:val="auto"/>
                <w:lang w:val="en-AU"/>
              </w:rPr>
              <w:t xml:space="preserve"> </w:t>
            </w:r>
            <w:r w:rsidR="1A4AD34E" w:rsidRPr="6F85DDA0">
              <w:rPr>
                <w:rFonts w:asciiTheme="minorHAnsi" w:eastAsia="Arial Unicode MS" w:hAnsiTheme="minorHAnsi" w:cstheme="minorBidi"/>
                <w:color w:val="auto"/>
                <w:lang w:val="en-AU"/>
              </w:rPr>
              <w:t>November</w:t>
            </w:r>
            <w:r w:rsidR="00851CD6">
              <w:rPr>
                <w:rFonts w:asciiTheme="minorHAnsi" w:eastAsia="Arial Unicode MS" w:hAnsiTheme="minorHAnsi" w:cstheme="minorBidi"/>
                <w:color w:val="auto"/>
                <w:lang w:val="en-AU"/>
              </w:rPr>
              <w:t xml:space="preserve"> 2024</w:t>
            </w:r>
            <w:r w:rsidR="16251F7E" w:rsidRPr="6F85DDA0">
              <w:rPr>
                <w:rFonts w:asciiTheme="minorHAnsi" w:eastAsia="Arial Unicode MS" w:hAnsiTheme="minorHAnsi" w:cstheme="minorBidi"/>
                <w:color w:val="auto"/>
                <w:lang w:val="en-AU"/>
              </w:rPr>
              <w:t>)</w:t>
            </w:r>
          </w:p>
        </w:tc>
        <w:tc>
          <w:tcPr>
            <w:tcW w:w="1842" w:type="dxa"/>
            <w:tcBorders>
              <w:top w:val="single" w:sz="8" w:space="0" w:color="6D6D6D"/>
              <w:left w:val="single" w:sz="8" w:space="0" w:color="6D6D6D"/>
              <w:bottom w:val="single" w:sz="8" w:space="0" w:color="6D6D6D"/>
              <w:right w:val="single" w:sz="8" w:space="0" w:color="6D6D6D"/>
            </w:tcBorders>
            <w:shd w:val="clear" w:color="auto" w:fill="auto"/>
            <w:vAlign w:val="center"/>
          </w:tcPr>
          <w:p w14:paraId="10BAC8C0" w14:textId="14E1940D" w:rsidR="001F2AA0" w:rsidRDefault="00116635" w:rsidP="6F85DDA0">
            <w:pPr>
              <w:spacing w:before="60" w:after="60" w:line="240" w:lineRule="auto"/>
              <w:jc w:val="center"/>
            </w:pPr>
            <w:r>
              <w:rPr>
                <w:rFonts w:ascii="Calibri" w:eastAsia="Calibri" w:hAnsi="Calibri" w:cs="Calibri"/>
                <w:color w:val="000000" w:themeColor="text1"/>
                <w:lang w:val="en-AU"/>
              </w:rPr>
              <w:t>31</w:t>
            </w:r>
            <w:r w:rsidR="14BA7312" w:rsidRPr="6F85DDA0">
              <w:rPr>
                <w:rFonts w:ascii="Calibri" w:eastAsia="Calibri" w:hAnsi="Calibri" w:cs="Calibri"/>
                <w:color w:val="000000" w:themeColor="text1"/>
                <w:lang w:val="en-AU"/>
              </w:rPr>
              <w:t xml:space="preserve"> December 2024</w:t>
            </w:r>
          </w:p>
        </w:tc>
        <w:tc>
          <w:tcPr>
            <w:tcW w:w="1124" w:type="dxa"/>
            <w:gridSpan w:val="2"/>
            <w:tcBorders>
              <w:top w:val="single" w:sz="8" w:space="0" w:color="6D6D6D"/>
              <w:left w:val="single" w:sz="8" w:space="0" w:color="6D6D6D"/>
              <w:bottom w:val="single" w:sz="8" w:space="0" w:color="6D6D6D"/>
              <w:right w:val="single" w:sz="8" w:space="0" w:color="6D6D6D"/>
            </w:tcBorders>
            <w:shd w:val="clear" w:color="auto" w:fill="auto"/>
            <w:vAlign w:val="center"/>
          </w:tcPr>
          <w:p w14:paraId="58C6F039" w14:textId="74C02451" w:rsidR="001F2AA0" w:rsidRDefault="00EB2FC4" w:rsidP="00117F2E">
            <w:pPr>
              <w:jc w:val="center"/>
              <w:textAlignment w:val="baseline"/>
              <w:rPr>
                <w:rFonts w:asciiTheme="minorHAnsi" w:eastAsia="Times New Roman" w:hAnsiTheme="minorHAnsi" w:cstheme="minorHAnsi"/>
              </w:rPr>
            </w:pPr>
            <w:r>
              <w:rPr>
                <w:rFonts w:asciiTheme="minorHAnsi" w:eastAsia="Times New Roman" w:hAnsiTheme="minorHAnsi" w:cstheme="minorHAnsi"/>
              </w:rPr>
              <w:t>15 days</w:t>
            </w:r>
          </w:p>
        </w:tc>
      </w:tr>
      <w:tr w:rsidR="007613B3" w:rsidRPr="007613B3" w14:paraId="048658EA" w14:textId="77777777" w:rsidTr="007C167D">
        <w:trPr>
          <w:trHeight w:val="429"/>
        </w:trPr>
        <w:tc>
          <w:tcPr>
            <w:tcW w:w="409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596D45B" w14:textId="77777777" w:rsidR="00695132" w:rsidRDefault="007613B3" w:rsidP="009C6061">
            <w:pPr>
              <w:spacing w:before="60" w:after="60" w:line="240" w:lineRule="auto"/>
              <w:rPr>
                <w:rFonts w:ascii="Calibri" w:eastAsia="Arial Unicode MS" w:hAnsi="Calibri" w:cs="Calibri"/>
                <w:color w:val="auto"/>
                <w:lang w:val="en-AU"/>
              </w:rPr>
            </w:pPr>
            <w:r w:rsidRPr="007613B3">
              <w:rPr>
                <w:rFonts w:ascii="Calibri" w:eastAsia="Arial Unicode MS" w:hAnsi="Calibri" w:cs="Calibri"/>
                <w:b/>
                <w:color w:val="auto"/>
                <w:lang w:val="en-AU"/>
              </w:rPr>
              <w:t>Minimum Qualifications required:</w:t>
            </w:r>
            <w:r w:rsidR="00695132" w:rsidRPr="007613B3">
              <w:rPr>
                <w:rFonts w:ascii="Calibri" w:eastAsia="Arial Unicode MS" w:hAnsi="Calibri" w:cs="Calibri"/>
                <w:color w:val="auto"/>
                <w:lang w:val="en-AU"/>
              </w:rPr>
              <w:t xml:space="preserve"> </w:t>
            </w:r>
          </w:p>
          <w:p w14:paraId="12984108" w14:textId="33C78B25" w:rsidR="00695132" w:rsidRPr="007613B3" w:rsidRDefault="00695132" w:rsidP="009C6061">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sidR="00971534">
              <w:rPr>
                <w:rFonts w:ascii="Calibri" w:eastAsia="Arial Unicode MS" w:hAnsi="Calibri" w:cs="Calibri"/>
                <w:color w:val="auto"/>
                <w:lang w:val="en-AU"/>
              </w:rPr>
              <w:fldChar w:fldCharType="begin">
                <w:ffData>
                  <w:name w:val="Check7"/>
                  <w:enabled/>
                  <w:calcOnExit w:val="0"/>
                  <w:checkBox>
                    <w:sizeAuto/>
                    <w:default w:val="1"/>
                  </w:checkBox>
                </w:ffData>
              </w:fldChar>
            </w:r>
            <w:bookmarkStart w:id="3" w:name="Check7"/>
            <w:r w:rsidR="00971534">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971534">
              <w:rPr>
                <w:rFonts w:ascii="Calibri" w:eastAsia="Arial Unicode MS" w:hAnsi="Calibri" w:cs="Calibri"/>
                <w:color w:val="auto"/>
                <w:lang w:val="en-AU"/>
              </w:rPr>
              <w:fldChar w:fldCharType="end"/>
            </w:r>
            <w:bookmarkEnd w:id="3"/>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w:t>
            </w:r>
          </w:p>
          <w:p w14:paraId="760383FA" w14:textId="77777777" w:rsidR="00695132" w:rsidRDefault="00695132" w:rsidP="009C6061">
            <w:pPr>
              <w:spacing w:before="60" w:after="60" w:line="240" w:lineRule="auto"/>
              <w:rPr>
                <w:rFonts w:ascii="Calibri" w:eastAsia="Arial Unicode MS" w:hAnsi="Calibri" w:cs="Calibri"/>
                <w:color w:val="auto"/>
                <w:lang w:val="en-AU"/>
              </w:rPr>
            </w:pPr>
          </w:p>
          <w:p w14:paraId="721A0C28" w14:textId="0F03F81F" w:rsidR="007613B3" w:rsidRPr="00E51C61" w:rsidRDefault="00E51C61" w:rsidP="009C6061">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Disciplines:</w:t>
            </w:r>
            <w:r w:rsidR="00A94B5F">
              <w:rPr>
                <w:rFonts w:ascii="Calibri" w:eastAsia="Arial Unicode MS" w:hAnsi="Calibri" w:cs="Calibri"/>
                <w:color w:val="auto"/>
                <w:lang w:val="en-AU"/>
              </w:rPr>
              <w:t xml:space="preserve"> Economics, Finance, Public Policy, Social Policy, Related Social Science Fields</w:t>
            </w:r>
          </w:p>
        </w:tc>
        <w:tc>
          <w:tcPr>
            <w:tcW w:w="5801"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526408E5" w14:textId="77777777" w:rsidR="007613B3" w:rsidRDefault="007613B3" w:rsidP="009C6061">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p w14:paraId="0F4A58E9" w14:textId="62336221" w:rsidR="003D3D8E" w:rsidRPr="002C503E" w:rsidRDefault="002C503E" w:rsidP="009C6061">
            <w:pPr>
              <w:pStyle w:val="ListParagraph"/>
              <w:numPr>
                <w:ilvl w:val="0"/>
                <w:numId w:val="4"/>
              </w:numPr>
              <w:spacing w:before="60" w:after="60" w:line="240" w:lineRule="auto"/>
              <w:ind w:left="174" w:hanging="174"/>
              <w:contextualSpacing w:val="0"/>
              <w:jc w:val="both"/>
              <w:rPr>
                <w:rFonts w:ascii="Calibri" w:eastAsia="Arial Unicode MS" w:hAnsi="Calibri" w:cs="Calibri"/>
                <w:bCs/>
                <w:color w:val="auto"/>
                <w:lang w:val="en-AU"/>
              </w:rPr>
            </w:pPr>
            <w:r w:rsidRPr="002C503E">
              <w:rPr>
                <w:rFonts w:ascii="Calibri" w:eastAsia="Arial Unicode MS" w:hAnsi="Calibri" w:cs="Calibri"/>
                <w:bCs/>
                <w:color w:val="auto"/>
                <w:lang w:val="en-AU"/>
              </w:rPr>
              <w:t>Master’s degree in economics</w:t>
            </w:r>
            <w:r w:rsidR="003D3D8E" w:rsidRPr="002C503E">
              <w:rPr>
                <w:rFonts w:ascii="Calibri" w:eastAsia="Arial Unicode MS" w:hAnsi="Calibri" w:cs="Calibri"/>
                <w:bCs/>
                <w:color w:val="auto"/>
                <w:lang w:val="en-AU"/>
              </w:rPr>
              <w:t>, Finance, Business, or related fields</w:t>
            </w:r>
            <w:r>
              <w:rPr>
                <w:rFonts w:ascii="Calibri" w:eastAsia="Arial Unicode MS" w:hAnsi="Calibri" w:cs="Calibri"/>
                <w:bCs/>
                <w:color w:val="auto"/>
                <w:lang w:val="en-AU"/>
              </w:rPr>
              <w:t>.</w:t>
            </w:r>
          </w:p>
          <w:p w14:paraId="1F83C370" w14:textId="5DC64281" w:rsidR="003D3D8E" w:rsidRPr="00666DC8" w:rsidRDefault="003D3D8E" w:rsidP="009C6061">
            <w:pPr>
              <w:pStyle w:val="ListParagraph"/>
              <w:numPr>
                <w:ilvl w:val="0"/>
                <w:numId w:val="4"/>
              </w:numPr>
              <w:spacing w:before="60" w:after="60" w:line="240" w:lineRule="auto"/>
              <w:ind w:left="174" w:hanging="174"/>
              <w:contextualSpacing w:val="0"/>
              <w:jc w:val="both"/>
              <w:rPr>
                <w:rFonts w:ascii="Calibri" w:eastAsia="Arial Unicode MS" w:hAnsi="Calibri" w:cs="Calibri"/>
                <w:bCs/>
                <w:color w:val="auto"/>
                <w:lang w:val="en-AU"/>
              </w:rPr>
            </w:pPr>
            <w:r w:rsidRPr="002C503E">
              <w:rPr>
                <w:rFonts w:ascii="Calibri" w:eastAsia="Arial Unicode MS" w:hAnsi="Calibri" w:cs="Calibri"/>
                <w:bCs/>
                <w:color w:val="auto"/>
                <w:lang w:val="en-AU"/>
              </w:rPr>
              <w:t xml:space="preserve">Minimum </w:t>
            </w:r>
            <w:r w:rsidR="00666DC8">
              <w:rPr>
                <w:rFonts w:ascii="Calibri" w:hAnsi="Calibri" w:cs="Calibri"/>
                <w:bCs/>
              </w:rPr>
              <w:t>seven</w:t>
            </w:r>
            <w:r w:rsidRPr="002C503E">
              <w:rPr>
                <w:rFonts w:ascii="Calibri" w:hAnsi="Calibri" w:cs="Calibri"/>
                <w:bCs/>
              </w:rPr>
              <w:t xml:space="preserve"> years of academic/research/professional work experience in </w:t>
            </w:r>
            <w:r w:rsidR="002C503E">
              <w:rPr>
                <w:rFonts w:ascii="Calibri" w:hAnsi="Calibri" w:cs="Calibri"/>
                <w:bCs/>
              </w:rPr>
              <w:t xml:space="preserve">economics, finance, </w:t>
            </w:r>
            <w:r w:rsidRPr="002C503E">
              <w:rPr>
                <w:rFonts w:ascii="Calibri" w:hAnsi="Calibri" w:cs="Calibri"/>
                <w:bCs/>
              </w:rPr>
              <w:t xml:space="preserve">public policy, social policy, </w:t>
            </w:r>
            <w:r w:rsidR="002C503E">
              <w:rPr>
                <w:rFonts w:ascii="Calibri" w:hAnsi="Calibri" w:cs="Calibri"/>
                <w:bCs/>
              </w:rPr>
              <w:t>or related fields.</w:t>
            </w:r>
          </w:p>
          <w:p w14:paraId="3E475A02" w14:textId="4960EBD7" w:rsidR="00666DC8" w:rsidRPr="00666DC8" w:rsidRDefault="00666DC8" w:rsidP="009C6061">
            <w:pPr>
              <w:pStyle w:val="ListParagraph"/>
              <w:numPr>
                <w:ilvl w:val="0"/>
                <w:numId w:val="4"/>
              </w:numPr>
              <w:spacing w:before="60" w:after="60" w:line="240" w:lineRule="auto"/>
              <w:ind w:left="174" w:hanging="174"/>
              <w:contextualSpacing w:val="0"/>
              <w:jc w:val="both"/>
              <w:rPr>
                <w:rFonts w:ascii="Calibri" w:eastAsia="Arial Unicode MS" w:hAnsi="Calibri" w:cs="Calibri"/>
                <w:bCs/>
                <w:color w:val="auto"/>
                <w:lang w:val="en-AU"/>
              </w:rPr>
            </w:pPr>
            <w:r>
              <w:rPr>
                <w:rFonts w:ascii="Calibri" w:hAnsi="Calibri" w:cs="Calibri"/>
                <w:bCs/>
              </w:rPr>
              <w:t xml:space="preserve">Strong understanding of </w:t>
            </w:r>
            <w:r w:rsidRPr="002C503E">
              <w:rPr>
                <w:rFonts w:ascii="Calibri" w:hAnsi="Calibri" w:cs="Calibri"/>
                <w:bCs/>
              </w:rPr>
              <w:t xml:space="preserve">national and subnational government planning and budgeting. </w:t>
            </w:r>
          </w:p>
          <w:p w14:paraId="6BB6BB58" w14:textId="77777777" w:rsidR="003D3D8E" w:rsidRPr="00837F59" w:rsidRDefault="003D3D8E" w:rsidP="009C6061">
            <w:pPr>
              <w:pStyle w:val="ListParagraph"/>
              <w:numPr>
                <w:ilvl w:val="0"/>
                <w:numId w:val="4"/>
              </w:numPr>
              <w:spacing w:before="60" w:after="60" w:line="240" w:lineRule="auto"/>
              <w:ind w:left="174" w:hanging="174"/>
              <w:contextualSpacing w:val="0"/>
              <w:jc w:val="both"/>
              <w:rPr>
                <w:rFonts w:ascii="Calibri" w:eastAsia="Arial Unicode MS" w:hAnsi="Calibri" w:cs="Calibri"/>
                <w:bCs/>
                <w:color w:val="auto"/>
                <w:lang w:val="en-AU"/>
              </w:rPr>
            </w:pPr>
            <w:r w:rsidRPr="002C503E">
              <w:rPr>
                <w:rFonts w:ascii="Calibri" w:hAnsi="Calibri" w:cs="Calibri"/>
                <w:bCs/>
              </w:rPr>
              <w:t xml:space="preserve">Familiarity with UNICEF programming and experience and working under UNICEF mandates </w:t>
            </w:r>
            <w:r w:rsidRPr="002C503E">
              <w:rPr>
                <w:rFonts w:ascii="Calibri" w:hAnsi="Calibri" w:cs="Calibri"/>
                <w:bCs/>
                <w:i/>
                <w:iCs/>
              </w:rPr>
              <w:t xml:space="preserve">(preferred). </w:t>
            </w:r>
          </w:p>
          <w:p w14:paraId="40167DE7" w14:textId="12DD0BA3" w:rsidR="00837F59" w:rsidRPr="002C503E" w:rsidRDefault="00837F59" w:rsidP="009C6061">
            <w:pPr>
              <w:pStyle w:val="ListParagraph"/>
              <w:numPr>
                <w:ilvl w:val="0"/>
                <w:numId w:val="4"/>
              </w:numPr>
              <w:spacing w:before="60" w:after="60" w:line="240" w:lineRule="auto"/>
              <w:ind w:left="174" w:hanging="174"/>
              <w:contextualSpacing w:val="0"/>
              <w:jc w:val="both"/>
              <w:rPr>
                <w:rFonts w:ascii="Calibri" w:eastAsia="Arial Unicode MS" w:hAnsi="Calibri" w:cs="Calibri"/>
                <w:bCs/>
                <w:color w:val="auto"/>
                <w:lang w:val="en-AU"/>
              </w:rPr>
            </w:pPr>
            <w:r>
              <w:rPr>
                <w:rFonts w:ascii="Calibri" w:hAnsi="Calibri" w:cs="Calibri"/>
                <w:bCs/>
              </w:rPr>
              <w:t>Strong experience in coordinating/collaborating with private sectors</w:t>
            </w:r>
            <w:r w:rsidR="005642A5">
              <w:rPr>
                <w:rFonts w:ascii="Calibri" w:hAnsi="Calibri" w:cs="Calibri"/>
                <w:bCs/>
              </w:rPr>
              <w:t xml:space="preserve"> (</w:t>
            </w:r>
            <w:r w:rsidR="005642A5">
              <w:rPr>
                <w:rFonts w:ascii="Calibri" w:hAnsi="Calibri" w:cs="Calibri"/>
                <w:bCs/>
                <w:i/>
                <w:iCs/>
              </w:rPr>
              <w:t>preferred).</w:t>
            </w:r>
          </w:p>
          <w:p w14:paraId="3EE61D9C" w14:textId="77777777" w:rsidR="003D3D8E" w:rsidRPr="00297443" w:rsidRDefault="003D3D8E" w:rsidP="009C6061">
            <w:pPr>
              <w:pStyle w:val="ListParagraph"/>
              <w:numPr>
                <w:ilvl w:val="0"/>
                <w:numId w:val="4"/>
              </w:numPr>
              <w:spacing w:before="60" w:after="60" w:line="240" w:lineRule="auto"/>
              <w:ind w:left="174" w:hanging="174"/>
              <w:contextualSpacing w:val="0"/>
              <w:jc w:val="both"/>
              <w:rPr>
                <w:rFonts w:ascii="Calibri" w:eastAsia="Arial Unicode MS" w:hAnsi="Calibri" w:cs="Calibri"/>
                <w:bCs/>
                <w:color w:val="auto"/>
                <w:lang w:val="en-AU"/>
              </w:rPr>
            </w:pPr>
            <w:r w:rsidRPr="002C503E">
              <w:rPr>
                <w:rFonts w:ascii="Calibri" w:hAnsi="Calibri" w:cs="Calibri"/>
                <w:bCs/>
              </w:rPr>
              <w:t xml:space="preserve">Strong experience in coordinating and liaising with various local/city government offices </w:t>
            </w:r>
            <w:r w:rsidRPr="002C503E">
              <w:rPr>
                <w:rFonts w:ascii="Calibri" w:hAnsi="Calibri" w:cs="Calibri"/>
                <w:bCs/>
                <w:i/>
                <w:iCs/>
              </w:rPr>
              <w:t xml:space="preserve">(preferred). </w:t>
            </w:r>
          </w:p>
          <w:p w14:paraId="6A7CCC62" w14:textId="0FA279CB" w:rsidR="00297443" w:rsidRPr="002C503E" w:rsidRDefault="00297443" w:rsidP="009C6061">
            <w:pPr>
              <w:pStyle w:val="ListParagraph"/>
              <w:numPr>
                <w:ilvl w:val="0"/>
                <w:numId w:val="4"/>
              </w:numPr>
              <w:spacing w:before="60" w:after="60" w:line="240" w:lineRule="auto"/>
              <w:ind w:left="174" w:hanging="174"/>
              <w:contextualSpacing w:val="0"/>
              <w:jc w:val="both"/>
              <w:rPr>
                <w:rFonts w:ascii="Calibri" w:eastAsia="Arial Unicode MS" w:hAnsi="Calibri" w:cs="Calibri"/>
                <w:bCs/>
                <w:color w:val="auto"/>
                <w:lang w:val="en-AU"/>
              </w:rPr>
            </w:pPr>
            <w:r>
              <w:rPr>
                <w:rFonts w:ascii="Calibri" w:hAnsi="Calibri" w:cs="Calibri"/>
                <w:bCs/>
              </w:rPr>
              <w:t xml:space="preserve">Exposure to </w:t>
            </w:r>
            <w:r w:rsidR="00600E8C">
              <w:rPr>
                <w:rFonts w:ascii="Calibri" w:hAnsi="Calibri" w:cs="Calibri"/>
                <w:bCs/>
              </w:rPr>
              <w:t xml:space="preserve">Research and/or Community Development Organizations </w:t>
            </w:r>
            <w:r w:rsidR="00600E8C">
              <w:rPr>
                <w:rFonts w:ascii="Calibri" w:hAnsi="Calibri" w:cs="Calibri"/>
                <w:bCs/>
                <w:i/>
                <w:iCs/>
              </w:rPr>
              <w:t>(preferred)</w:t>
            </w:r>
            <w:r w:rsidR="00600E8C">
              <w:rPr>
                <w:rFonts w:ascii="Calibri" w:hAnsi="Calibri" w:cs="Calibri"/>
                <w:bCs/>
              </w:rPr>
              <w:t>.</w:t>
            </w:r>
          </w:p>
          <w:p w14:paraId="2C860C3B" w14:textId="77777777" w:rsidR="003D3D8E" w:rsidRPr="002C503E" w:rsidRDefault="003D3D8E" w:rsidP="009C6061">
            <w:pPr>
              <w:pStyle w:val="ListParagraph"/>
              <w:numPr>
                <w:ilvl w:val="0"/>
                <w:numId w:val="4"/>
              </w:numPr>
              <w:spacing w:before="60" w:after="60" w:line="240" w:lineRule="auto"/>
              <w:ind w:left="174" w:hanging="174"/>
              <w:contextualSpacing w:val="0"/>
              <w:jc w:val="both"/>
              <w:rPr>
                <w:rFonts w:ascii="Calibri" w:eastAsia="Arial Unicode MS" w:hAnsi="Calibri" w:cs="Calibri"/>
                <w:bCs/>
                <w:color w:val="auto"/>
                <w:lang w:val="en-AU"/>
              </w:rPr>
            </w:pPr>
            <w:r w:rsidRPr="002C503E">
              <w:rPr>
                <w:rFonts w:ascii="Calibri" w:hAnsi="Calibri" w:cs="Calibri"/>
                <w:bCs/>
              </w:rPr>
              <w:t xml:space="preserve">Familiarity with national and subnational government planning and budgeting. </w:t>
            </w:r>
          </w:p>
          <w:p w14:paraId="7A862E8B" w14:textId="3B4505DB" w:rsidR="003D3D8E" w:rsidRPr="002C503E" w:rsidRDefault="003D3D8E" w:rsidP="009C6061">
            <w:pPr>
              <w:pStyle w:val="ListParagraph"/>
              <w:numPr>
                <w:ilvl w:val="0"/>
                <w:numId w:val="4"/>
              </w:numPr>
              <w:spacing w:before="60" w:after="60" w:line="240" w:lineRule="auto"/>
              <w:ind w:left="174" w:hanging="174"/>
              <w:contextualSpacing w:val="0"/>
              <w:jc w:val="both"/>
              <w:rPr>
                <w:rFonts w:ascii="Calibri" w:eastAsia="Arial Unicode MS" w:hAnsi="Calibri" w:cs="Calibri"/>
                <w:bCs/>
                <w:color w:val="auto"/>
                <w:lang w:val="en-AU"/>
              </w:rPr>
            </w:pPr>
            <w:r w:rsidRPr="002C503E">
              <w:rPr>
                <w:rFonts w:ascii="Calibri" w:hAnsi="Calibri" w:cs="Calibri"/>
                <w:bCs/>
              </w:rPr>
              <w:t>Excellent communication, writing, and speaking skills in Bahasa Indonesia</w:t>
            </w:r>
            <w:r w:rsidR="00850D6A">
              <w:rPr>
                <w:rFonts w:ascii="Calibri" w:hAnsi="Calibri" w:cs="Calibri"/>
                <w:bCs/>
              </w:rPr>
              <w:t xml:space="preserve"> and English.</w:t>
            </w:r>
          </w:p>
          <w:p w14:paraId="6C51430E" w14:textId="65974A46" w:rsidR="00E44417" w:rsidRPr="004849FD" w:rsidRDefault="003D3D8E" w:rsidP="009C6061">
            <w:pPr>
              <w:pStyle w:val="ListParagraph"/>
              <w:numPr>
                <w:ilvl w:val="0"/>
                <w:numId w:val="4"/>
              </w:numPr>
              <w:spacing w:before="60" w:after="60" w:line="240" w:lineRule="auto"/>
              <w:ind w:left="174" w:hanging="174"/>
              <w:contextualSpacing w:val="0"/>
              <w:jc w:val="both"/>
              <w:rPr>
                <w:rFonts w:ascii="Calibri" w:eastAsia="Arial Unicode MS" w:hAnsi="Calibri" w:cs="Calibri"/>
                <w:bCs/>
                <w:color w:val="auto"/>
                <w:lang w:val="en-AU"/>
              </w:rPr>
            </w:pPr>
            <w:r w:rsidRPr="002C503E">
              <w:rPr>
                <w:rFonts w:ascii="Calibri" w:hAnsi="Calibri" w:cs="Calibri"/>
                <w:bCs/>
              </w:rPr>
              <w:t xml:space="preserve">Computer skills, including internet navigation, teleconferencing, file sharing, and a variety of office applications. </w:t>
            </w:r>
          </w:p>
        </w:tc>
      </w:tr>
      <w:tr w:rsidR="007613B3" w:rsidRPr="007613B3" w14:paraId="7C881194" w14:textId="77777777" w:rsidTr="007C167D">
        <w:trPr>
          <w:trHeight w:hRule="exact" w:val="15"/>
        </w:trPr>
        <w:tc>
          <w:tcPr>
            <w:tcW w:w="9899" w:type="dxa"/>
            <w:gridSpan w:val="8"/>
            <w:tcBorders>
              <w:top w:val="nil"/>
              <w:left w:val="nil"/>
              <w:bottom w:val="single" w:sz="4" w:space="0" w:color="auto"/>
              <w:right w:val="nil"/>
            </w:tcBorders>
            <w:shd w:val="clear" w:color="auto" w:fill="auto"/>
            <w:noWrap/>
            <w:hideMark/>
          </w:tcPr>
          <w:p w14:paraId="558F7BAA" w14:textId="77777777" w:rsidR="007613B3" w:rsidRPr="007613B3" w:rsidRDefault="007613B3" w:rsidP="00876BD9">
            <w:pPr>
              <w:spacing w:line="240" w:lineRule="auto"/>
              <w:ind w:left="342" w:hanging="342"/>
              <w:rPr>
                <w:rFonts w:ascii="Calibri" w:eastAsia="Arial Unicode MS" w:hAnsi="Calibri" w:cs="Calibri"/>
                <w:color w:val="auto"/>
                <w:sz w:val="16"/>
                <w:szCs w:val="16"/>
                <w:lang w:val="en-AU"/>
              </w:rPr>
            </w:pPr>
          </w:p>
        </w:tc>
      </w:tr>
    </w:tbl>
    <w:p w14:paraId="2B7CC795" w14:textId="77777777" w:rsidR="007C167D" w:rsidRDefault="007C167D" w:rsidP="007C167D">
      <w:pPr>
        <w:spacing w:before="120" w:after="200"/>
        <w:rPr>
          <w:rFonts w:ascii="Calibri" w:eastAsia="Arial Unicode MS" w:hAnsi="Calibri" w:cs="Calibri"/>
        </w:rPr>
      </w:pPr>
    </w:p>
    <w:p w14:paraId="47113D8F" w14:textId="3AFA32D4" w:rsidR="007C167D" w:rsidRPr="007C167D" w:rsidRDefault="007C167D" w:rsidP="007C167D">
      <w:pPr>
        <w:spacing w:before="120" w:after="200"/>
        <w:rPr>
          <w:rFonts w:ascii="Calibri" w:eastAsia="Arial Unicode MS" w:hAnsi="Calibri" w:cs="Calibri"/>
        </w:rPr>
      </w:pPr>
      <w:r w:rsidRPr="007C167D">
        <w:rPr>
          <w:rFonts w:ascii="Calibri" w:eastAsia="Arial Unicode MS" w:hAnsi="Calibri" w:cs="Calibri"/>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7B7363E6" w14:textId="77777777" w:rsidR="007C167D" w:rsidRPr="007C167D" w:rsidRDefault="007C167D" w:rsidP="007C167D">
      <w:pPr>
        <w:spacing w:before="120" w:after="200"/>
        <w:rPr>
          <w:rFonts w:ascii="Calibri" w:eastAsia="Arial Unicode MS" w:hAnsi="Calibri" w:cs="Calibri"/>
          <w:lang w:val="en-GB"/>
        </w:rPr>
      </w:pPr>
      <w:r w:rsidRPr="007C167D">
        <w:rPr>
          <w:rFonts w:ascii="Calibri" w:eastAsia="Arial Unicode MS" w:hAnsi="Calibri" w:cs="Calibri"/>
          <w:lang w:val="en-GB"/>
        </w:rPr>
        <w:t>The selected candidate is solely responsible to ensure that the visa (applicable) and health insurance required to perform the duties of the contract are valid for the entire period of the contract. Selected candidates are subject to confirmation of fully-vaccinated status against SARS-CoV-2 (Covid-19)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w:t>
      </w:r>
    </w:p>
    <w:p w14:paraId="14CC5D4D" w14:textId="77777777" w:rsidR="007C167D" w:rsidRPr="007C167D" w:rsidRDefault="007C167D" w:rsidP="007C167D">
      <w:pPr>
        <w:spacing w:before="120" w:after="200"/>
        <w:rPr>
          <w:rFonts w:ascii="Calibri" w:eastAsia="Arial Unicode MS" w:hAnsi="Calibri" w:cs="Calibri"/>
          <w:lang w:val="en-GB"/>
        </w:rPr>
      </w:pPr>
      <w:r w:rsidRPr="007C167D">
        <w:rPr>
          <w:rFonts w:ascii="Calibri" w:eastAsia="Arial Unicode MS" w:hAnsi="Calibri" w:cs="Calibri"/>
          <w:lang w:val="en-GB"/>
        </w:rPr>
        <w:t xml:space="preserve">UNICEF offers </w:t>
      </w:r>
      <w:hyperlink r:id="rId14">
        <w:r w:rsidRPr="007C167D">
          <w:rPr>
            <w:rStyle w:val="Hyperlink"/>
            <w:rFonts w:ascii="Calibri" w:eastAsia="Arial Unicode MS" w:hAnsi="Calibri" w:cs="Calibri"/>
            <w:lang w:val="en-GB"/>
          </w:rPr>
          <w:t>reasonable accommodation</w:t>
        </w:r>
      </w:hyperlink>
      <w:r w:rsidRPr="007C167D">
        <w:rPr>
          <w:rFonts w:ascii="Calibri" w:eastAsia="Arial Unicode MS" w:hAnsi="Calibri" w:cs="Calibri"/>
          <w:lang w:val="en-GB"/>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0A6EE61C" w14:textId="77777777" w:rsidR="007C167D" w:rsidRPr="007613B3" w:rsidRDefault="007C167D" w:rsidP="009C6061">
      <w:pPr>
        <w:spacing w:before="120" w:after="200"/>
        <w:rPr>
          <w:rFonts w:ascii="Calibri" w:eastAsia="Arial Unicode MS" w:hAnsi="Calibri" w:cs="Calibri"/>
        </w:rPr>
      </w:pPr>
    </w:p>
    <w:sectPr w:rsidR="007C167D" w:rsidRPr="007613B3" w:rsidSect="00CF7A02">
      <w:headerReference w:type="default" r:id="rId15"/>
      <w:footerReference w:type="even" r:id="rId16"/>
      <w:footerReference w:type="default" r:id="rId17"/>
      <w:headerReference w:type="first" r:id="rId18"/>
      <w:footnotePr>
        <w:numFmt w:val="chicago"/>
      </w:footnotePr>
      <w:endnotePr>
        <w:numFmt w:val="chicago"/>
      </w:endnotePr>
      <w:pgSz w:w="11907" w:h="16839" w:code="9"/>
      <w:pgMar w:top="1800" w:right="1224" w:bottom="1440" w:left="122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CD787" w14:textId="77777777" w:rsidR="002C2FF4" w:rsidRDefault="002C2FF4" w:rsidP="000C3710">
      <w:r>
        <w:separator/>
      </w:r>
    </w:p>
  </w:endnote>
  <w:endnote w:type="continuationSeparator" w:id="0">
    <w:p w14:paraId="3DCF2856" w14:textId="77777777" w:rsidR="002C2FF4" w:rsidRDefault="002C2FF4" w:rsidP="000C3710">
      <w:r>
        <w:continuationSeparator/>
      </w:r>
    </w:p>
  </w:endnote>
  <w:endnote w:type="continuationNotice" w:id="1">
    <w:p w14:paraId="1364424C" w14:textId="77777777" w:rsidR="002C2FF4" w:rsidRDefault="002C2F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chin">
    <w:altName w:val="Calibri"/>
    <w:charset w:val="00"/>
    <w:family w:val="auto"/>
    <w:pitch w:val="variable"/>
    <w:sig w:usb0="800002FF" w:usb1="4000004A" w:usb2="00000000" w:usb3="00000000" w:csb0="00000007"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9F67" w14:textId="071A5560" w:rsidR="00765F63" w:rsidRPr="00765F63" w:rsidRDefault="00765F63" w:rsidP="001C21CF">
    <w:pPr>
      <w:pStyle w:val="Footer"/>
      <w:tabs>
        <w:tab w:val="clear" w:pos="4680"/>
        <w:tab w:val="clear" w:pos="9360"/>
        <w:tab w:val="left" w:pos="90"/>
        <w:tab w:val="left" w:pos="1236"/>
      </w:tabs>
      <w:rPr>
        <w:rFonts w:asciiTheme="majorHAnsi" w:hAnsiTheme="majorHAnsi" w:cstheme="majorHAnsi"/>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06A8D0EA" w:rsidR="003B7251" w:rsidRPr="00C64EDD" w:rsidRDefault="00765F63" w:rsidP="0077478F">
    <w:pPr>
      <w:pStyle w:val="Footer"/>
      <w:jc w:val="right"/>
      <w:rPr>
        <w:rFonts w:asciiTheme="majorHAnsi" w:hAnsiTheme="majorHAnsi" w:cstheme="majorHAnsi"/>
        <w:b/>
        <w:bCs/>
        <w:sz w:val="16"/>
        <w:szCs w:val="16"/>
      </w:rPr>
    </w:pPr>
    <w:r w:rsidRPr="00C64EDD">
      <w:rPr>
        <w:rFonts w:asciiTheme="majorHAnsi" w:hAnsiTheme="majorHAnsi" w:cstheme="majorHAnsi"/>
        <w:b/>
        <w:bCs/>
        <w:sz w:val="16"/>
        <w:szCs w:val="16"/>
      </w:rPr>
      <w:t>IC</w:t>
    </w:r>
    <w:r w:rsidR="00CD3C42" w:rsidRPr="00C64EDD">
      <w:rPr>
        <w:rFonts w:asciiTheme="majorHAnsi" w:hAnsiTheme="majorHAnsi" w:cstheme="majorHAnsi"/>
        <w:b/>
        <w:bCs/>
        <w:sz w:val="16"/>
        <w:szCs w:val="16"/>
      </w:rPr>
      <w:t>O Template</w:t>
    </w:r>
    <w:r w:rsidR="006C5265" w:rsidRPr="00C64EDD">
      <w:rPr>
        <w:rFonts w:asciiTheme="majorHAnsi" w:hAnsiTheme="majorHAnsi" w:cstheme="majorHAnsi"/>
        <w:b/>
        <w:bCs/>
        <w:sz w:val="16"/>
        <w:szCs w:val="16"/>
      </w:rPr>
      <w:t xml:space="preserve"> </w:t>
    </w:r>
    <w:r w:rsidR="0077478F" w:rsidRPr="00C64EDD">
      <w:rPr>
        <w:rFonts w:asciiTheme="majorHAnsi" w:hAnsiTheme="majorHAnsi" w:cstheme="majorHAnsi"/>
        <w:b/>
        <w:bCs/>
        <w:sz w:val="16"/>
        <w:szCs w:val="16"/>
      </w:rPr>
      <w:t>– Updated</w:t>
    </w:r>
    <w:r w:rsidRPr="00C64EDD">
      <w:rPr>
        <w:rFonts w:asciiTheme="majorHAnsi" w:hAnsiTheme="majorHAnsi" w:cstheme="majorHAnsi"/>
        <w:b/>
        <w:bCs/>
        <w:sz w:val="16"/>
        <w:szCs w:val="16"/>
      </w:rPr>
      <w:t xml:space="preserve"> </w:t>
    </w:r>
    <w:r w:rsidR="000E31FE">
      <w:rPr>
        <w:rFonts w:asciiTheme="majorHAnsi" w:hAnsiTheme="majorHAnsi" w:cstheme="majorHAnsi"/>
        <w:b/>
        <w:bCs/>
        <w:sz w:val="16"/>
        <w:szCs w:val="16"/>
      </w:rPr>
      <w:t xml:space="preserve">March </w:t>
    </w:r>
    <w:r w:rsidR="00C64EDD" w:rsidRPr="00C64EDD">
      <w:rPr>
        <w:rFonts w:asciiTheme="majorHAnsi" w:hAnsiTheme="majorHAnsi" w:cstheme="majorHAnsi"/>
        <w:b/>
        <w:bCs/>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B8515" w14:textId="77777777" w:rsidR="002C2FF4" w:rsidRDefault="002C2FF4" w:rsidP="000C3710">
      <w:r>
        <w:separator/>
      </w:r>
    </w:p>
  </w:footnote>
  <w:footnote w:type="continuationSeparator" w:id="0">
    <w:p w14:paraId="02F16A51" w14:textId="77777777" w:rsidR="002C2FF4" w:rsidRDefault="002C2FF4" w:rsidP="000C3710">
      <w:r>
        <w:continuationSeparator/>
      </w:r>
    </w:p>
  </w:footnote>
  <w:footnote w:type="continuationNotice" w:id="1">
    <w:p w14:paraId="41D8FDD6" w14:textId="77777777" w:rsidR="002C2FF4" w:rsidRDefault="002C2FF4">
      <w:pPr>
        <w:spacing w:line="240" w:lineRule="auto"/>
      </w:pPr>
    </w:p>
  </w:footnote>
  <w:footnote w:id="2">
    <w:p w14:paraId="71A1063B" w14:textId="77777777" w:rsidR="000004A9" w:rsidRPr="003354C4" w:rsidRDefault="000004A9" w:rsidP="000004A9">
      <w:pPr>
        <w:pStyle w:val="FootnoteText"/>
        <w:jc w:val="both"/>
        <w:rPr>
          <w:rFonts w:ascii="Calibri" w:hAnsi="Calibri" w:cs="Calibri"/>
          <w:color w:val="000000" w:themeColor="text1"/>
          <w:sz w:val="14"/>
          <w:szCs w:val="14"/>
        </w:rPr>
      </w:pPr>
      <w:r w:rsidRPr="003354C4">
        <w:rPr>
          <w:rStyle w:val="FootnoteReference"/>
          <w:rFonts w:ascii="Calibri" w:hAnsi="Calibri" w:cs="Calibri"/>
          <w:color w:val="000000" w:themeColor="text1"/>
          <w:sz w:val="14"/>
          <w:szCs w:val="14"/>
        </w:rPr>
        <w:footnoteRef/>
      </w:r>
      <w:r w:rsidRPr="003354C4">
        <w:rPr>
          <w:rFonts w:ascii="Calibri" w:hAnsi="Calibri" w:cs="Calibri"/>
          <w:color w:val="000000" w:themeColor="text1"/>
          <w:sz w:val="14"/>
          <w:szCs w:val="14"/>
        </w:rPr>
        <w:t xml:space="preserve"> These include: SDGs 1 (Zero Poverty); 2 (Zero Hunger); 3 (Good Health and Wellbeing); 4 (Quality Education); 5 (Gender Equality); 6 (Clean Water and Sanitation); 13 (Climate Action); 16 (Peace, Justice, and Strong Institutions).</w:t>
      </w:r>
    </w:p>
  </w:footnote>
  <w:footnote w:id="3">
    <w:p w14:paraId="4978FA3F" w14:textId="77777777" w:rsidR="000004A9" w:rsidRPr="003354C4" w:rsidRDefault="000004A9" w:rsidP="000004A9">
      <w:pPr>
        <w:pStyle w:val="FootnoteText"/>
        <w:rPr>
          <w:rFonts w:ascii="Calibri" w:eastAsia="Cochin" w:hAnsi="Calibri" w:cs="Calibri"/>
          <w:color w:val="000000" w:themeColor="text1"/>
          <w:sz w:val="14"/>
          <w:szCs w:val="14"/>
        </w:rPr>
      </w:pPr>
      <w:r w:rsidRPr="003354C4">
        <w:rPr>
          <w:rStyle w:val="FootnoteReference"/>
          <w:rFonts w:ascii="Calibri" w:eastAsia="Cochin" w:hAnsi="Calibri" w:cs="Calibri"/>
          <w:color w:val="000000" w:themeColor="text1"/>
          <w:sz w:val="14"/>
          <w:szCs w:val="14"/>
        </w:rPr>
        <w:footnoteRef/>
      </w:r>
      <w:r w:rsidRPr="003354C4">
        <w:rPr>
          <w:rFonts w:ascii="Calibri" w:eastAsia="Cochin" w:hAnsi="Calibri" w:cs="Calibri"/>
          <w:color w:val="000000" w:themeColor="text1"/>
          <w:sz w:val="14"/>
          <w:szCs w:val="14"/>
        </w:rPr>
        <w:t xml:space="preserve"> OECD (2023), Bottlenecks to Access Sustainable Development Goals Finance for Developing Countries, OECD, Paris, www.oecd.org/g20/oecd-g20-bottlenecks-sdg-finance-developing-countries.pdf</w:t>
      </w:r>
    </w:p>
  </w:footnote>
  <w:footnote w:id="4">
    <w:p w14:paraId="4125239F" w14:textId="77777777" w:rsidR="000004A9" w:rsidRPr="003354C4" w:rsidRDefault="000004A9" w:rsidP="000004A9">
      <w:pPr>
        <w:pStyle w:val="FootnoteText"/>
        <w:jc w:val="both"/>
        <w:rPr>
          <w:rStyle w:val="Hyperlink"/>
          <w:rFonts w:ascii="Calibri" w:eastAsia="Cochin" w:hAnsi="Calibri" w:cs="Calibri"/>
          <w:color w:val="000000" w:themeColor="text1"/>
          <w:sz w:val="14"/>
          <w:szCs w:val="14"/>
        </w:rPr>
      </w:pPr>
      <w:r w:rsidRPr="003354C4">
        <w:rPr>
          <w:rStyle w:val="FootnoteReference"/>
          <w:rFonts w:ascii="Calibri" w:eastAsia="Cochin" w:hAnsi="Calibri" w:cs="Calibri"/>
          <w:color w:val="000000" w:themeColor="text1"/>
          <w:sz w:val="14"/>
          <w:szCs w:val="14"/>
        </w:rPr>
        <w:footnoteRef/>
      </w:r>
      <w:r w:rsidRPr="003354C4">
        <w:rPr>
          <w:rFonts w:ascii="Calibri" w:eastAsia="Cochin" w:hAnsi="Calibri" w:cs="Calibri"/>
          <w:color w:val="000000" w:themeColor="text1"/>
          <w:sz w:val="14"/>
          <w:szCs w:val="14"/>
        </w:rPr>
        <w:t xml:space="preserve"> UNDP, United Nations Indonesia, and BAPPENAS (2022). (2022), Indonesia Integrated National Financing Framework, </w:t>
      </w:r>
      <w:hyperlink r:id="rId1" w:history="1">
        <w:r w:rsidRPr="003354C4">
          <w:rPr>
            <w:rStyle w:val="Hyperlink"/>
            <w:rFonts w:ascii="Calibri" w:hAnsi="Calibri" w:cs="Calibri"/>
            <w:color w:val="000000" w:themeColor="text1"/>
            <w:sz w:val="14"/>
            <w:szCs w:val="14"/>
          </w:rPr>
          <w:t>https://www.undp.org/sites/g/files/zskgke326/files/2022-09/INFF%202022%20-%20250822_Final.pdf</w:t>
        </w:r>
      </w:hyperlink>
    </w:p>
  </w:footnote>
  <w:footnote w:id="5">
    <w:p w14:paraId="48D45158" w14:textId="77777777" w:rsidR="000004A9" w:rsidRPr="003354C4" w:rsidRDefault="000004A9" w:rsidP="000004A9">
      <w:pPr>
        <w:pStyle w:val="FootnoteText"/>
        <w:spacing w:line="259" w:lineRule="auto"/>
        <w:jc w:val="both"/>
        <w:rPr>
          <w:rStyle w:val="Hyperlink"/>
          <w:rFonts w:ascii="Calibri" w:eastAsia="Cochin" w:hAnsi="Calibri" w:cs="Calibri"/>
          <w:color w:val="000000" w:themeColor="text1"/>
          <w:sz w:val="14"/>
          <w:szCs w:val="14"/>
        </w:rPr>
      </w:pPr>
      <w:r w:rsidRPr="003354C4">
        <w:rPr>
          <w:rStyle w:val="FootnoteReference"/>
          <w:rFonts w:ascii="Calibri" w:eastAsia="Cochin" w:hAnsi="Calibri" w:cs="Calibri"/>
          <w:color w:val="000000" w:themeColor="text1"/>
          <w:sz w:val="14"/>
          <w:szCs w:val="14"/>
        </w:rPr>
        <w:footnoteRef/>
      </w:r>
      <w:r w:rsidRPr="003354C4">
        <w:rPr>
          <w:rFonts w:ascii="Calibri" w:eastAsia="Cochin" w:hAnsi="Calibri" w:cs="Calibri"/>
          <w:color w:val="000000" w:themeColor="text1"/>
          <w:sz w:val="14"/>
          <w:szCs w:val="14"/>
        </w:rPr>
        <w:t xml:space="preserve"> BPS (2023), Jumlah Penduduk Menurut Kelompok Umur dan Jenis Kelamin di Provinsi Jawa Timur Berdasarkan Proyeksi Penduduk Interim, BPS, </w:t>
      </w:r>
      <w:hyperlink r:id="rId2" w:history="1">
        <w:r w:rsidRPr="003354C4">
          <w:rPr>
            <w:rStyle w:val="Hyperlink"/>
            <w:rFonts w:ascii="Calibri" w:hAnsi="Calibri" w:cs="Calibri"/>
            <w:color w:val="000000" w:themeColor="text1"/>
            <w:sz w:val="14"/>
            <w:szCs w:val="14"/>
          </w:rPr>
          <w:t>https://jatim.bps.go.id/statictable/2023/04/06/2639/jumlah-penduduk-menurut-kelompok-umur-dan-jenis-kelamin-di-provinsi-jawa-timur-jiwa-2022.html</w:t>
        </w:r>
      </w:hyperlink>
    </w:p>
  </w:footnote>
  <w:footnote w:id="6">
    <w:p w14:paraId="14417ADB" w14:textId="77777777" w:rsidR="000004A9" w:rsidRPr="003354C4" w:rsidRDefault="000004A9" w:rsidP="000004A9">
      <w:pPr>
        <w:pStyle w:val="FootnoteText"/>
        <w:spacing w:line="259" w:lineRule="auto"/>
        <w:jc w:val="both"/>
        <w:rPr>
          <w:rStyle w:val="Hyperlink"/>
          <w:rFonts w:ascii="Calibri" w:eastAsia="Cochin" w:hAnsi="Calibri" w:cs="Calibri"/>
          <w:color w:val="000000" w:themeColor="text1"/>
          <w:sz w:val="14"/>
          <w:szCs w:val="14"/>
        </w:rPr>
      </w:pPr>
      <w:r w:rsidRPr="003354C4">
        <w:rPr>
          <w:rStyle w:val="FootnoteReference"/>
          <w:rFonts w:ascii="Calibri" w:eastAsia="Cochin" w:hAnsi="Calibri" w:cs="Calibri"/>
          <w:color w:val="000000" w:themeColor="text1"/>
          <w:sz w:val="14"/>
          <w:szCs w:val="14"/>
        </w:rPr>
        <w:footnoteRef/>
      </w:r>
      <w:r w:rsidRPr="003354C4">
        <w:rPr>
          <w:rFonts w:ascii="Calibri" w:eastAsia="Cochin" w:hAnsi="Calibri" w:cs="Calibri"/>
          <w:color w:val="000000" w:themeColor="text1"/>
          <w:sz w:val="14"/>
          <w:szCs w:val="14"/>
        </w:rPr>
        <w:t xml:space="preserve"> Badan Pemeriksa Keuangan (BPK) Republik Indonesia (2021). Laporan Hasil Reviu Atas Kemandirian Fiskal Pemerintah Daerah 2020. </w:t>
      </w:r>
      <w:hyperlink r:id="rId3" w:history="1">
        <w:r w:rsidRPr="003354C4">
          <w:rPr>
            <w:rStyle w:val="Hyperlink"/>
            <w:rFonts w:ascii="Calibri" w:hAnsi="Calibri" w:cs="Calibri"/>
            <w:color w:val="000000" w:themeColor="text1"/>
            <w:sz w:val="14"/>
            <w:szCs w:val="14"/>
          </w:rPr>
          <w:t>https://www.bpk.go.id/assets/files/lkpp/2020/lkpp_2020_1624341245.pdf</w:t>
        </w:r>
      </w:hyperlink>
    </w:p>
  </w:footnote>
  <w:footnote w:id="7">
    <w:p w14:paraId="2F12EDE4" w14:textId="77777777" w:rsidR="000004A9" w:rsidRPr="003354C4" w:rsidRDefault="000004A9" w:rsidP="000004A9">
      <w:pPr>
        <w:pStyle w:val="FootnoteText"/>
        <w:jc w:val="both"/>
        <w:rPr>
          <w:rFonts w:ascii="Calibri" w:eastAsia="Cochin" w:hAnsi="Calibri" w:cs="Calibri"/>
          <w:color w:val="000000" w:themeColor="text1"/>
          <w:sz w:val="14"/>
          <w:szCs w:val="14"/>
        </w:rPr>
      </w:pPr>
      <w:r w:rsidRPr="003354C4">
        <w:rPr>
          <w:rStyle w:val="FootnoteReference"/>
          <w:rFonts w:ascii="Calibri" w:eastAsia="Cochin" w:hAnsi="Calibri" w:cs="Calibri"/>
          <w:color w:val="000000" w:themeColor="text1"/>
          <w:sz w:val="14"/>
          <w:szCs w:val="14"/>
        </w:rPr>
        <w:footnoteRef/>
      </w:r>
      <w:r w:rsidRPr="003354C4">
        <w:rPr>
          <w:rFonts w:ascii="Calibri" w:eastAsia="Cochin" w:hAnsi="Calibri" w:cs="Calibri"/>
          <w:color w:val="000000" w:themeColor="text1"/>
          <w:sz w:val="14"/>
          <w:szCs w:val="14"/>
        </w:rPr>
        <w:t xml:space="preserve"> Based on the data published by DJPK, the Ministry of Finance, in 2022, </w:t>
      </w:r>
      <w:hyperlink r:id="rId4" w:history="1">
        <w:r w:rsidRPr="003354C4">
          <w:rPr>
            <w:rStyle w:val="Hyperlink"/>
            <w:rFonts w:ascii="Calibri" w:hAnsi="Calibri" w:cs="Calibri"/>
            <w:color w:val="000000" w:themeColor="text1"/>
            <w:sz w:val="14"/>
            <w:szCs w:val="14"/>
          </w:rPr>
          <w:t>https://djpk.kemenkeu.go.id/portal/data/apbd</w:t>
        </w:r>
      </w:hyperlink>
    </w:p>
  </w:footnote>
  <w:footnote w:id="8">
    <w:p w14:paraId="043CFE80" w14:textId="77777777" w:rsidR="000004A9" w:rsidRPr="003354C4" w:rsidRDefault="000004A9" w:rsidP="000004A9">
      <w:pPr>
        <w:pStyle w:val="FootnoteText"/>
        <w:jc w:val="both"/>
        <w:rPr>
          <w:rFonts w:ascii="Calibri" w:eastAsia="Cochin" w:hAnsi="Calibri" w:cs="Calibri"/>
          <w:color w:val="000000" w:themeColor="text1"/>
          <w:sz w:val="14"/>
          <w:szCs w:val="14"/>
        </w:rPr>
      </w:pPr>
      <w:r w:rsidRPr="003354C4">
        <w:rPr>
          <w:rStyle w:val="FootnoteReference"/>
          <w:rFonts w:ascii="Calibri" w:eastAsia="Cochin" w:hAnsi="Calibri" w:cs="Calibri"/>
          <w:color w:val="000000" w:themeColor="text1"/>
          <w:sz w:val="14"/>
          <w:szCs w:val="14"/>
        </w:rPr>
        <w:footnoteRef/>
      </w:r>
      <w:r w:rsidRPr="003354C4">
        <w:rPr>
          <w:rFonts w:ascii="Calibri" w:eastAsia="Cochin" w:hAnsi="Calibri" w:cs="Calibri"/>
          <w:color w:val="000000" w:themeColor="text1"/>
          <w:sz w:val="14"/>
          <w:szCs w:val="14"/>
        </w:rPr>
        <w:t xml:space="preserve"> BPS (2023). Persentase Penduduk Miskin Maret 2023 Turun Menjadi 10,35 Persen. </w:t>
      </w:r>
      <w:hyperlink r:id="rId5" w:history="1">
        <w:r w:rsidRPr="003354C4">
          <w:rPr>
            <w:rStyle w:val="Hyperlink"/>
            <w:rFonts w:ascii="Calibri" w:hAnsi="Calibri" w:cs="Calibri"/>
            <w:color w:val="000000" w:themeColor="text1"/>
            <w:sz w:val="14"/>
            <w:szCs w:val="14"/>
          </w:rPr>
          <w:t>https://jatim.bps.go.id/pressrelease/2023/07/17/1381/persentase-penduduk-miskin-maret-2023-turun-menjadi-10-35-persen.html</w:t>
        </w:r>
      </w:hyperlink>
    </w:p>
  </w:footnote>
  <w:footnote w:id="9">
    <w:p w14:paraId="32FC3098" w14:textId="77777777" w:rsidR="000004A9" w:rsidRDefault="000004A9" w:rsidP="000004A9">
      <w:pPr>
        <w:pStyle w:val="FootnoteText"/>
        <w:jc w:val="both"/>
        <w:rPr>
          <w:rFonts w:ascii="Cochin" w:eastAsia="Cochin" w:hAnsi="Cochin" w:cs="Cochin"/>
          <w:sz w:val="18"/>
          <w:szCs w:val="18"/>
        </w:rPr>
      </w:pPr>
      <w:r w:rsidRPr="003354C4">
        <w:rPr>
          <w:rStyle w:val="FootnoteReference"/>
          <w:rFonts w:ascii="Calibri" w:eastAsia="Cochin" w:hAnsi="Calibri" w:cs="Calibri"/>
          <w:color w:val="000000" w:themeColor="text1"/>
          <w:sz w:val="14"/>
          <w:szCs w:val="14"/>
        </w:rPr>
        <w:footnoteRef/>
      </w:r>
      <w:r w:rsidRPr="003354C4">
        <w:rPr>
          <w:rFonts w:ascii="Calibri" w:eastAsia="Cochin" w:hAnsi="Calibri" w:cs="Calibri"/>
          <w:color w:val="000000" w:themeColor="text1"/>
          <w:sz w:val="14"/>
          <w:szCs w:val="14"/>
        </w:rPr>
        <w:t xml:space="preserve"> KataData (2023). Prevalensi Balita Stunting Provinsi Jawa Timur Menurut Kabupaten/Kota (2022). https://databoks.katadata.co.id/datapublish/2023/02/14/ini-rincian-angka-balita-stunting-di-wilayah-jawa-timur-pada-2022-kabupaten-jember-terbesar</w:t>
      </w:r>
    </w:p>
  </w:footnote>
  <w:footnote w:id="10">
    <w:p w14:paraId="0FE1049F" w14:textId="77777777" w:rsidR="000004A9" w:rsidRPr="003354C4" w:rsidRDefault="000004A9" w:rsidP="000004A9">
      <w:pPr>
        <w:pStyle w:val="FootnoteText"/>
        <w:jc w:val="both"/>
        <w:rPr>
          <w:rStyle w:val="Hyperlink"/>
          <w:rFonts w:ascii="Calibri" w:eastAsia="Cochin" w:hAnsi="Calibri" w:cs="Calibri"/>
          <w:color w:val="000000" w:themeColor="text1"/>
          <w:sz w:val="14"/>
          <w:szCs w:val="14"/>
        </w:rPr>
      </w:pPr>
      <w:r w:rsidRPr="003354C4">
        <w:rPr>
          <w:rStyle w:val="FootnoteReference"/>
          <w:rFonts w:ascii="Calibri" w:eastAsia="Cochin" w:hAnsi="Calibri" w:cs="Calibri"/>
          <w:color w:val="000000" w:themeColor="text1"/>
          <w:sz w:val="14"/>
          <w:szCs w:val="14"/>
        </w:rPr>
        <w:footnoteRef/>
      </w:r>
      <w:r w:rsidRPr="003354C4">
        <w:rPr>
          <w:rFonts w:ascii="Calibri" w:eastAsia="Cochin" w:hAnsi="Calibri" w:cs="Calibri"/>
          <w:color w:val="000000" w:themeColor="text1"/>
          <w:sz w:val="14"/>
          <w:szCs w:val="14"/>
        </w:rPr>
        <w:t xml:space="preserve"> UNDP Indonesia, UNICEF, Indonesia, Joint SDG Fund, Ministry of Finance of Republic of Indonesia. (2022). Assessment on Indonesia’s Municipal Bond Landscape. </w:t>
      </w:r>
      <w:hyperlink r:id="rId6" w:history="1">
        <w:r w:rsidRPr="003354C4">
          <w:rPr>
            <w:rStyle w:val="Hyperlink"/>
            <w:rFonts w:ascii="Calibri" w:hAnsi="Calibri" w:cs="Calibri"/>
            <w:color w:val="000000" w:themeColor="text1"/>
            <w:sz w:val="14"/>
            <w:szCs w:val="14"/>
          </w:rPr>
          <w:t>https://www.unicef.org/indonesia/social-policy/reports/assessment-indonesias-municipal-bond-landscape</w:t>
        </w:r>
      </w:hyperlink>
    </w:p>
  </w:footnote>
  <w:footnote w:id="11">
    <w:p w14:paraId="467B1397" w14:textId="77777777" w:rsidR="000004A9" w:rsidRPr="00AD5F90" w:rsidRDefault="000004A9" w:rsidP="000004A9">
      <w:pPr>
        <w:pStyle w:val="FootnoteText"/>
        <w:jc w:val="both"/>
        <w:rPr>
          <w:rFonts w:ascii="Cochin" w:eastAsia="Cochin" w:hAnsi="Cochin" w:cs="Cochin"/>
          <w:sz w:val="18"/>
          <w:szCs w:val="18"/>
        </w:rPr>
      </w:pPr>
      <w:r w:rsidRPr="003354C4">
        <w:rPr>
          <w:rStyle w:val="FootnoteReference"/>
          <w:rFonts w:ascii="Calibri" w:eastAsia="Cochin" w:hAnsi="Calibri" w:cs="Calibri"/>
          <w:color w:val="000000" w:themeColor="text1"/>
          <w:sz w:val="14"/>
          <w:szCs w:val="14"/>
        </w:rPr>
        <w:footnoteRef/>
      </w:r>
      <w:r w:rsidRPr="003354C4">
        <w:rPr>
          <w:rFonts w:ascii="Calibri" w:eastAsia="Cochin" w:hAnsi="Calibri" w:cs="Calibri"/>
          <w:color w:val="000000" w:themeColor="text1"/>
          <w:sz w:val="14"/>
          <w:szCs w:val="14"/>
        </w:rPr>
        <w:t xml:space="preserve">  Direktorat Pengelolaan Dukungan Pemerintah dan Pembiayaan Infrastruktur (PDPPI) &amp; Direktorat Jenderal Pengelolaan Pembiayaan dan Risiko, Kementerian Keuangan Republik Indonesia. (2023). Kerja Sama Pemerintah Dengan Badan Usaha. </w:t>
      </w:r>
      <w:hyperlink r:id="rId7" w:history="1">
        <w:r w:rsidRPr="003354C4">
          <w:rPr>
            <w:rStyle w:val="Hyperlink"/>
            <w:rFonts w:ascii="Calibri" w:hAnsi="Calibri" w:cs="Calibri"/>
            <w:color w:val="000000" w:themeColor="text1"/>
            <w:sz w:val="14"/>
            <w:szCs w:val="14"/>
          </w:rPr>
          <w:t>https://kpbu.kemenkeu.go.id/proyek/proyeklist?sektor=-1&amp;prov=-1&amp;kota=-1&amp;status=-1</w:t>
        </w:r>
      </w:hyperlink>
      <w:r w:rsidRPr="003354C4">
        <w:rPr>
          <w:rFonts w:ascii="Calibri" w:hAnsi="Calibri" w:cs="Calibri"/>
          <w:color w:val="000000" w:themeColor="text1"/>
          <w:sz w:val="14"/>
          <w:szCs w:val="14"/>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0F0AC0A9" w:rsidR="003B7251" w:rsidRDefault="008F5F2C" w:rsidP="0075490C">
    <w:pPr>
      <w:pStyle w:val="Heading3"/>
    </w:pPr>
    <w:r w:rsidRPr="0075490C">
      <w:rPr>
        <w:noProof/>
      </w:rPr>
      <mc:AlternateContent>
        <mc:Choice Requires="wps">
          <w:drawing>
            <wp:anchor distT="0" distB="0" distL="114300" distR="114300" simplePos="0" relativeHeight="251658245" behindDoc="0" locked="0" layoutInCell="1" allowOverlap="0" wp14:anchorId="2A8DC8E5" wp14:editId="3CF203F7">
              <wp:simplePos x="0" y="0"/>
              <wp:positionH relativeFrom="margin">
                <wp:align>left</wp:align>
              </wp:positionH>
              <wp:positionV relativeFrom="page">
                <wp:posOffset>848360</wp:posOffset>
              </wp:positionV>
              <wp:extent cx="2730500" cy="171450"/>
              <wp:effectExtent l="0" t="0" r="1270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033FC802" w14:textId="77777777" w:rsidR="008F5F2C" w:rsidRPr="001637C2" w:rsidRDefault="008F5F2C" w:rsidP="008F5F2C">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40E893F9" w14:textId="77777777" w:rsidR="008F5F2C" w:rsidRPr="00B02636" w:rsidRDefault="008F5F2C" w:rsidP="008F5F2C">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581877C" w14:textId="77777777" w:rsidR="008F5F2C" w:rsidRPr="00B02636" w:rsidRDefault="008F5F2C" w:rsidP="008F5F2C">
                          <w:pPr>
                            <w:pStyle w:val="AddressText"/>
                            <w:spacing w:line="240" w:lineRule="auto"/>
                            <w:jc w:val="both"/>
                            <w:rPr>
                              <w:color w:val="00B0F0"/>
                            </w:rPr>
                          </w:pPr>
                        </w:p>
                        <w:p w14:paraId="45376A3A" w14:textId="77777777" w:rsidR="008F5F2C" w:rsidRPr="00A0375D" w:rsidRDefault="008F5F2C" w:rsidP="008F5F2C">
                          <w:pPr>
                            <w:pStyle w:val="AddressText"/>
                            <w:spacing w:line="240" w:lineRule="auto"/>
                            <w:jc w:val="both"/>
                            <w:rPr>
                              <w:color w:val="000000"/>
                            </w:rPr>
                          </w:pPr>
                        </w:p>
                        <w:p w14:paraId="79F3062A" w14:textId="77777777" w:rsidR="008F5F2C" w:rsidRPr="00A0375D" w:rsidRDefault="008F5F2C" w:rsidP="008F5F2C">
                          <w:pPr>
                            <w:pStyle w:val="AddressText"/>
                            <w:spacing w:line="240" w:lineRule="auto"/>
                            <w:jc w:val="both"/>
                            <w:rPr>
                              <w:color w:val="000000"/>
                            </w:rPr>
                          </w:pPr>
                        </w:p>
                        <w:p w14:paraId="7B4063F4" w14:textId="77777777" w:rsidR="008F5F2C" w:rsidRPr="00A0375D" w:rsidRDefault="008F5F2C" w:rsidP="008F5F2C">
                          <w:pPr>
                            <w:pStyle w:val="AddressText"/>
                            <w:spacing w:line="240" w:lineRule="auto"/>
                            <w:jc w:val="both"/>
                            <w:rPr>
                              <w:color w:val="000000"/>
                            </w:rPr>
                          </w:pPr>
                        </w:p>
                        <w:p w14:paraId="70477AA7" w14:textId="77777777" w:rsidR="008F5F2C" w:rsidRPr="00A0375D" w:rsidRDefault="008F5F2C" w:rsidP="008F5F2C">
                          <w:pPr>
                            <w:pStyle w:val="AddressText"/>
                            <w:spacing w:line="240" w:lineRule="auto"/>
                            <w:jc w:val="both"/>
                            <w:rPr>
                              <w:color w:val="000000"/>
                            </w:rPr>
                          </w:pPr>
                        </w:p>
                        <w:p w14:paraId="013951FB" w14:textId="77777777" w:rsidR="008F5F2C" w:rsidRPr="00A0375D" w:rsidRDefault="008F5F2C" w:rsidP="008F5F2C">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8DC8E5" id="_x0000_t202" coordsize="21600,21600" o:spt="202" path="m,l,21600r21600,l21600,xe">
              <v:stroke joinstyle="miter"/>
              <v:path gradientshapeok="t" o:connecttype="rect"/>
            </v:shapetype>
            <v:shape id="Text Box 9" o:spid="_x0000_s1026" type="#_x0000_t202" style="position:absolute;left:0;text-align:left;margin-left:0;margin-top:66.8pt;width:215pt;height:13.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" o:allowoverlap="f" filled="f" stroked="f">
              <v:textbox inset="0,0,0,0">
                <w:txbxContent>
                  <w:p w14:paraId="033FC802" w14:textId="77777777" w:rsidR="008F5F2C" w:rsidRPr="001637C2" w:rsidRDefault="008F5F2C" w:rsidP="008F5F2C">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40E893F9" w14:textId="77777777" w:rsidR="008F5F2C" w:rsidRPr="00B02636" w:rsidRDefault="008F5F2C" w:rsidP="008F5F2C">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581877C" w14:textId="77777777" w:rsidR="008F5F2C" w:rsidRPr="00B02636" w:rsidRDefault="008F5F2C" w:rsidP="008F5F2C">
                    <w:pPr>
                      <w:pStyle w:val="AddressText"/>
                      <w:spacing w:line="240" w:lineRule="auto"/>
                      <w:jc w:val="both"/>
                      <w:rPr>
                        <w:color w:val="00B0F0"/>
                      </w:rPr>
                    </w:pPr>
                  </w:p>
                  <w:p w14:paraId="45376A3A" w14:textId="77777777" w:rsidR="008F5F2C" w:rsidRPr="00A0375D" w:rsidRDefault="008F5F2C" w:rsidP="008F5F2C">
                    <w:pPr>
                      <w:pStyle w:val="AddressText"/>
                      <w:spacing w:line="240" w:lineRule="auto"/>
                      <w:jc w:val="both"/>
                      <w:rPr>
                        <w:color w:val="000000"/>
                      </w:rPr>
                    </w:pPr>
                  </w:p>
                  <w:p w14:paraId="79F3062A" w14:textId="77777777" w:rsidR="008F5F2C" w:rsidRPr="00A0375D" w:rsidRDefault="008F5F2C" w:rsidP="008F5F2C">
                    <w:pPr>
                      <w:pStyle w:val="AddressText"/>
                      <w:spacing w:line="240" w:lineRule="auto"/>
                      <w:jc w:val="both"/>
                      <w:rPr>
                        <w:color w:val="000000"/>
                      </w:rPr>
                    </w:pPr>
                  </w:p>
                  <w:p w14:paraId="7B4063F4" w14:textId="77777777" w:rsidR="008F5F2C" w:rsidRPr="00A0375D" w:rsidRDefault="008F5F2C" w:rsidP="008F5F2C">
                    <w:pPr>
                      <w:pStyle w:val="AddressText"/>
                      <w:spacing w:line="240" w:lineRule="auto"/>
                      <w:jc w:val="both"/>
                      <w:rPr>
                        <w:color w:val="000000"/>
                      </w:rPr>
                    </w:pPr>
                  </w:p>
                  <w:p w14:paraId="70477AA7" w14:textId="77777777" w:rsidR="008F5F2C" w:rsidRPr="00A0375D" w:rsidRDefault="008F5F2C" w:rsidP="008F5F2C">
                    <w:pPr>
                      <w:pStyle w:val="AddressText"/>
                      <w:spacing w:line="240" w:lineRule="auto"/>
                      <w:jc w:val="both"/>
                      <w:rPr>
                        <w:color w:val="000000"/>
                      </w:rPr>
                    </w:pPr>
                  </w:p>
                  <w:p w14:paraId="013951FB" w14:textId="77777777" w:rsidR="008F5F2C" w:rsidRPr="00A0375D" w:rsidRDefault="008F5F2C" w:rsidP="008F5F2C">
                    <w:pPr>
                      <w:pStyle w:val="AddressText"/>
                      <w:spacing w:line="240" w:lineRule="auto"/>
                      <w:jc w:val="both"/>
                      <w:rPr>
                        <w:color w:val="000000"/>
                      </w:rPr>
                    </w:pPr>
                  </w:p>
                </w:txbxContent>
              </v:textbox>
              <w10:wrap type="topAndBottom" anchorx="margin" anchory="page"/>
            </v:shape>
          </w:pict>
        </mc:Fallback>
      </mc:AlternateContent>
    </w:r>
    <w:r w:rsidR="0060752D" w:rsidRPr="1B320F70">
      <w:rPr>
        <w:b w:val="0"/>
        <w:caps w:val="0"/>
        <w:color w:val="00B0F0"/>
        <w:sz w:val="20"/>
        <w:szCs w:val="20"/>
      </w:rPr>
      <w:t xml:space="preserve">Human Resources </w:t>
    </w:r>
    <w:r w:rsidR="0060752D" w:rsidRPr="0075490C">
      <w:rPr>
        <w:b w:val="0"/>
        <w:color w:val="00B0F0"/>
        <w:sz w:val="20"/>
        <w:szCs w:val="20"/>
      </w:rPr>
      <w:t xml:space="preserve"> </w:t>
    </w:r>
    <w:r w:rsidR="00213A86">
      <w:rPr>
        <w:noProof/>
      </w:rPr>
      <w:drawing>
        <wp:anchor distT="0" distB="0" distL="114300" distR="114300" simplePos="0" relativeHeight="25165824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1348A6DC">
            <v:line id="Straight Connector 3" style="position:absolute;z-index:2516387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B8BF3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3"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1"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1F113CD">
            <v:line id="Straight Connector 5" style="position:absolute;z-index:2516510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018B7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2"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OrtZNwJC/JiGrS" int2:id="nO9neec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C086A"/>
    <w:multiLevelType w:val="hybridMultilevel"/>
    <w:tmpl w:val="0F48A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F48F2"/>
    <w:multiLevelType w:val="hybridMultilevel"/>
    <w:tmpl w:val="A33C9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86AF9"/>
    <w:multiLevelType w:val="hybridMultilevel"/>
    <w:tmpl w:val="CEBA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D5652"/>
    <w:multiLevelType w:val="hybridMultilevel"/>
    <w:tmpl w:val="B11CF49A"/>
    <w:lvl w:ilvl="0" w:tplc="616853A8">
      <w:start w:val="1"/>
      <w:numFmt w:val="decimal"/>
      <w:lvlText w:val="1.%1)"/>
      <w:lvlJc w:val="left"/>
      <w:pPr>
        <w:ind w:left="1051" w:hanging="360"/>
      </w:pPr>
      <w:rPr>
        <w:rFonts w:hint="default"/>
        <w:b w:val="0"/>
        <w:bCs w:val="0"/>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4" w15:restartNumberingAfterBreak="0">
    <w:nsid w:val="3F9B633D"/>
    <w:multiLevelType w:val="hybridMultilevel"/>
    <w:tmpl w:val="C8528B3A"/>
    <w:lvl w:ilvl="0" w:tplc="04090005">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5" w15:restartNumberingAfterBreak="0">
    <w:nsid w:val="4511710F"/>
    <w:multiLevelType w:val="hybridMultilevel"/>
    <w:tmpl w:val="52701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F7668"/>
    <w:multiLevelType w:val="multilevel"/>
    <w:tmpl w:val="B11CF49A"/>
    <w:styleLink w:val="CurrentList1"/>
    <w:lvl w:ilvl="0">
      <w:start w:val="1"/>
      <w:numFmt w:val="decimal"/>
      <w:lvlText w:val="1.%1)"/>
      <w:lvlJc w:val="left"/>
      <w:pPr>
        <w:ind w:left="1051" w:hanging="360"/>
      </w:pPr>
      <w:rPr>
        <w:rFonts w:hint="default"/>
        <w:b w:val="0"/>
        <w:bCs w:val="0"/>
      </w:rPr>
    </w:lvl>
    <w:lvl w:ilvl="1">
      <w:start w:val="1"/>
      <w:numFmt w:val="lowerLetter"/>
      <w:lvlText w:val="%2."/>
      <w:lvlJc w:val="left"/>
      <w:pPr>
        <w:ind w:left="1771" w:hanging="360"/>
      </w:pPr>
    </w:lvl>
    <w:lvl w:ilvl="2">
      <w:start w:val="1"/>
      <w:numFmt w:val="lowerRoman"/>
      <w:lvlText w:val="%3."/>
      <w:lvlJc w:val="right"/>
      <w:pPr>
        <w:ind w:left="2491" w:hanging="180"/>
      </w:pPr>
    </w:lvl>
    <w:lvl w:ilvl="3">
      <w:start w:val="1"/>
      <w:numFmt w:val="decimal"/>
      <w:lvlText w:val="%4."/>
      <w:lvlJc w:val="left"/>
      <w:pPr>
        <w:ind w:left="3211" w:hanging="360"/>
      </w:pPr>
    </w:lvl>
    <w:lvl w:ilvl="4">
      <w:start w:val="1"/>
      <w:numFmt w:val="lowerLetter"/>
      <w:lvlText w:val="%5."/>
      <w:lvlJc w:val="left"/>
      <w:pPr>
        <w:ind w:left="3931" w:hanging="360"/>
      </w:pPr>
    </w:lvl>
    <w:lvl w:ilvl="5">
      <w:start w:val="1"/>
      <w:numFmt w:val="lowerRoman"/>
      <w:lvlText w:val="%6."/>
      <w:lvlJc w:val="right"/>
      <w:pPr>
        <w:ind w:left="4651" w:hanging="180"/>
      </w:pPr>
    </w:lvl>
    <w:lvl w:ilvl="6">
      <w:start w:val="1"/>
      <w:numFmt w:val="decimal"/>
      <w:lvlText w:val="%7."/>
      <w:lvlJc w:val="left"/>
      <w:pPr>
        <w:ind w:left="5371" w:hanging="360"/>
      </w:pPr>
    </w:lvl>
    <w:lvl w:ilvl="7">
      <w:start w:val="1"/>
      <w:numFmt w:val="lowerLetter"/>
      <w:lvlText w:val="%8."/>
      <w:lvlJc w:val="left"/>
      <w:pPr>
        <w:ind w:left="6091" w:hanging="360"/>
      </w:pPr>
    </w:lvl>
    <w:lvl w:ilvl="8">
      <w:start w:val="1"/>
      <w:numFmt w:val="lowerRoman"/>
      <w:lvlText w:val="%9."/>
      <w:lvlJc w:val="right"/>
      <w:pPr>
        <w:ind w:left="6811" w:hanging="180"/>
      </w:pPr>
    </w:lvl>
  </w:abstractNum>
  <w:abstractNum w:abstractNumId="7" w15:restartNumberingAfterBreak="0">
    <w:nsid w:val="4DAE4281"/>
    <w:multiLevelType w:val="hybridMultilevel"/>
    <w:tmpl w:val="527017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A3867DF"/>
    <w:multiLevelType w:val="hybridMultilevel"/>
    <w:tmpl w:val="4FDAB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9114B"/>
    <w:multiLevelType w:val="hybridMultilevel"/>
    <w:tmpl w:val="EA6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06709"/>
    <w:multiLevelType w:val="hybridMultilevel"/>
    <w:tmpl w:val="20583B7C"/>
    <w:lvl w:ilvl="0" w:tplc="04090005">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1" w15:restartNumberingAfterBreak="0">
    <w:nsid w:val="6A7140D6"/>
    <w:multiLevelType w:val="hybridMultilevel"/>
    <w:tmpl w:val="BF1E9690"/>
    <w:lvl w:ilvl="0" w:tplc="ABDCA2FC">
      <w:start w:val="1"/>
      <w:numFmt w:val="decimal"/>
      <w:lvlText w:val="2.%1)"/>
      <w:lvlJc w:val="left"/>
      <w:pPr>
        <w:ind w:left="720" w:hanging="360"/>
      </w:pPr>
      <w:rPr>
        <w:rFonts w:hint="default"/>
        <w:b w:val="0"/>
        <w:bCs w:val="0"/>
      </w:rPr>
    </w:lvl>
    <w:lvl w:ilvl="1" w:tplc="FFFFFFFF" w:tentative="1">
      <w:start w:val="1"/>
      <w:numFmt w:val="lowerLetter"/>
      <w:lvlText w:val="%2."/>
      <w:lvlJc w:val="left"/>
      <w:pPr>
        <w:ind w:left="1771" w:hanging="360"/>
      </w:pPr>
    </w:lvl>
    <w:lvl w:ilvl="2" w:tplc="FFFFFFFF" w:tentative="1">
      <w:start w:val="1"/>
      <w:numFmt w:val="lowerRoman"/>
      <w:lvlText w:val="%3."/>
      <w:lvlJc w:val="right"/>
      <w:pPr>
        <w:ind w:left="2491" w:hanging="180"/>
      </w:pPr>
    </w:lvl>
    <w:lvl w:ilvl="3" w:tplc="FFFFFFFF" w:tentative="1">
      <w:start w:val="1"/>
      <w:numFmt w:val="decimal"/>
      <w:lvlText w:val="%4."/>
      <w:lvlJc w:val="left"/>
      <w:pPr>
        <w:ind w:left="3211" w:hanging="360"/>
      </w:pPr>
    </w:lvl>
    <w:lvl w:ilvl="4" w:tplc="FFFFFFFF" w:tentative="1">
      <w:start w:val="1"/>
      <w:numFmt w:val="lowerLetter"/>
      <w:lvlText w:val="%5."/>
      <w:lvlJc w:val="left"/>
      <w:pPr>
        <w:ind w:left="3931" w:hanging="360"/>
      </w:pPr>
    </w:lvl>
    <w:lvl w:ilvl="5" w:tplc="FFFFFFFF" w:tentative="1">
      <w:start w:val="1"/>
      <w:numFmt w:val="lowerRoman"/>
      <w:lvlText w:val="%6."/>
      <w:lvlJc w:val="right"/>
      <w:pPr>
        <w:ind w:left="4651" w:hanging="180"/>
      </w:pPr>
    </w:lvl>
    <w:lvl w:ilvl="6" w:tplc="FFFFFFFF" w:tentative="1">
      <w:start w:val="1"/>
      <w:numFmt w:val="decimal"/>
      <w:lvlText w:val="%7."/>
      <w:lvlJc w:val="left"/>
      <w:pPr>
        <w:ind w:left="5371" w:hanging="360"/>
      </w:pPr>
    </w:lvl>
    <w:lvl w:ilvl="7" w:tplc="FFFFFFFF" w:tentative="1">
      <w:start w:val="1"/>
      <w:numFmt w:val="lowerLetter"/>
      <w:lvlText w:val="%8."/>
      <w:lvlJc w:val="left"/>
      <w:pPr>
        <w:ind w:left="6091" w:hanging="360"/>
      </w:pPr>
    </w:lvl>
    <w:lvl w:ilvl="8" w:tplc="FFFFFFFF" w:tentative="1">
      <w:start w:val="1"/>
      <w:numFmt w:val="lowerRoman"/>
      <w:lvlText w:val="%9."/>
      <w:lvlJc w:val="right"/>
      <w:pPr>
        <w:ind w:left="6811" w:hanging="180"/>
      </w:pPr>
    </w:lvl>
  </w:abstractNum>
  <w:abstractNum w:abstractNumId="12" w15:restartNumberingAfterBreak="0">
    <w:nsid w:val="6F0B44F9"/>
    <w:multiLevelType w:val="hybridMultilevel"/>
    <w:tmpl w:val="2596475C"/>
    <w:lvl w:ilvl="0" w:tplc="E00A827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19737E"/>
    <w:multiLevelType w:val="hybridMultilevel"/>
    <w:tmpl w:val="1D8621CA"/>
    <w:lvl w:ilvl="0" w:tplc="29D2CF22">
      <w:start w:val="1"/>
      <w:numFmt w:val="decimal"/>
      <w:lvlText w:val="%1)"/>
      <w:lvlJc w:val="left"/>
      <w:pPr>
        <w:ind w:left="720" w:hanging="360"/>
      </w:pPr>
      <w:rPr>
        <w:rFonts w:hint="default"/>
      </w:rPr>
    </w:lvl>
    <w:lvl w:ilvl="1" w:tplc="C930DAD8" w:tentative="1">
      <w:start w:val="1"/>
      <w:numFmt w:val="lowerLetter"/>
      <w:lvlText w:val="%2."/>
      <w:lvlJc w:val="left"/>
      <w:pPr>
        <w:ind w:left="1440" w:hanging="360"/>
      </w:pPr>
    </w:lvl>
    <w:lvl w:ilvl="2" w:tplc="29B8F540" w:tentative="1">
      <w:start w:val="1"/>
      <w:numFmt w:val="lowerRoman"/>
      <w:lvlText w:val="%3."/>
      <w:lvlJc w:val="right"/>
      <w:pPr>
        <w:ind w:left="2160" w:hanging="180"/>
      </w:pPr>
    </w:lvl>
    <w:lvl w:ilvl="3" w:tplc="39F257EC" w:tentative="1">
      <w:start w:val="1"/>
      <w:numFmt w:val="decimal"/>
      <w:lvlText w:val="%4."/>
      <w:lvlJc w:val="left"/>
      <w:pPr>
        <w:ind w:left="2880" w:hanging="360"/>
      </w:pPr>
    </w:lvl>
    <w:lvl w:ilvl="4" w:tplc="4E4C306E" w:tentative="1">
      <w:start w:val="1"/>
      <w:numFmt w:val="lowerLetter"/>
      <w:lvlText w:val="%5."/>
      <w:lvlJc w:val="left"/>
      <w:pPr>
        <w:ind w:left="3600" w:hanging="360"/>
      </w:pPr>
    </w:lvl>
    <w:lvl w:ilvl="5" w:tplc="447E010C" w:tentative="1">
      <w:start w:val="1"/>
      <w:numFmt w:val="lowerRoman"/>
      <w:lvlText w:val="%6."/>
      <w:lvlJc w:val="right"/>
      <w:pPr>
        <w:ind w:left="4320" w:hanging="180"/>
      </w:pPr>
    </w:lvl>
    <w:lvl w:ilvl="6" w:tplc="8BFA8AD6" w:tentative="1">
      <w:start w:val="1"/>
      <w:numFmt w:val="decimal"/>
      <w:lvlText w:val="%7."/>
      <w:lvlJc w:val="left"/>
      <w:pPr>
        <w:ind w:left="5040" w:hanging="360"/>
      </w:pPr>
    </w:lvl>
    <w:lvl w:ilvl="7" w:tplc="C0A2906E" w:tentative="1">
      <w:start w:val="1"/>
      <w:numFmt w:val="lowerLetter"/>
      <w:lvlText w:val="%8."/>
      <w:lvlJc w:val="left"/>
      <w:pPr>
        <w:ind w:left="5760" w:hanging="360"/>
      </w:pPr>
    </w:lvl>
    <w:lvl w:ilvl="8" w:tplc="342859EA" w:tentative="1">
      <w:start w:val="1"/>
      <w:numFmt w:val="lowerRoman"/>
      <w:lvlText w:val="%9."/>
      <w:lvlJc w:val="right"/>
      <w:pPr>
        <w:ind w:left="6480" w:hanging="180"/>
      </w:pPr>
    </w:lvl>
  </w:abstractNum>
  <w:abstractNum w:abstractNumId="14" w15:restartNumberingAfterBreak="0">
    <w:nsid w:val="7CF16CFB"/>
    <w:multiLevelType w:val="hybridMultilevel"/>
    <w:tmpl w:val="54FA89D2"/>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DDC22F0"/>
    <w:multiLevelType w:val="hybridMultilevel"/>
    <w:tmpl w:val="2BD61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6353023">
    <w:abstractNumId w:val="13"/>
  </w:num>
  <w:num w:numId="2" w16cid:durableId="236521120">
    <w:abstractNumId w:val="12"/>
  </w:num>
  <w:num w:numId="3" w16cid:durableId="841630625">
    <w:abstractNumId w:val="14"/>
  </w:num>
  <w:num w:numId="4" w16cid:durableId="775448318">
    <w:abstractNumId w:val="8"/>
  </w:num>
  <w:num w:numId="5" w16cid:durableId="1337341806">
    <w:abstractNumId w:val="1"/>
  </w:num>
  <w:num w:numId="6" w16cid:durableId="427894390">
    <w:abstractNumId w:val="3"/>
  </w:num>
  <w:num w:numId="7" w16cid:durableId="195970721">
    <w:abstractNumId w:val="11"/>
  </w:num>
  <w:num w:numId="8" w16cid:durableId="1375928673">
    <w:abstractNumId w:val="6"/>
  </w:num>
  <w:num w:numId="9" w16cid:durableId="753864124">
    <w:abstractNumId w:val="0"/>
  </w:num>
  <w:num w:numId="10" w16cid:durableId="464855210">
    <w:abstractNumId w:val="5"/>
  </w:num>
  <w:num w:numId="11" w16cid:durableId="144401096">
    <w:abstractNumId w:val="10"/>
  </w:num>
  <w:num w:numId="12" w16cid:durableId="615257376">
    <w:abstractNumId w:val="15"/>
  </w:num>
  <w:num w:numId="13" w16cid:durableId="948123223">
    <w:abstractNumId w:val="2"/>
  </w:num>
  <w:num w:numId="14" w16cid:durableId="1382096999">
    <w:abstractNumId w:val="4"/>
  </w:num>
  <w:num w:numId="15" w16cid:durableId="1776099869">
    <w:abstractNumId w:val="9"/>
  </w:num>
  <w:num w:numId="16" w16cid:durableId="26385128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numFmt w:val="chicago"/>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4A9"/>
    <w:rsid w:val="00004269"/>
    <w:rsid w:val="00007E4A"/>
    <w:rsid w:val="0001147F"/>
    <w:rsid w:val="000137E7"/>
    <w:rsid w:val="000142D3"/>
    <w:rsid w:val="00016F7D"/>
    <w:rsid w:val="00022AE4"/>
    <w:rsid w:val="000241D1"/>
    <w:rsid w:val="00025911"/>
    <w:rsid w:val="00025F29"/>
    <w:rsid w:val="00030834"/>
    <w:rsid w:val="000310DE"/>
    <w:rsid w:val="00035ACC"/>
    <w:rsid w:val="000412A3"/>
    <w:rsid w:val="000415E9"/>
    <w:rsid w:val="0004426E"/>
    <w:rsid w:val="0004433C"/>
    <w:rsid w:val="00045168"/>
    <w:rsid w:val="000455ED"/>
    <w:rsid w:val="000460BA"/>
    <w:rsid w:val="00046100"/>
    <w:rsid w:val="00055B2A"/>
    <w:rsid w:val="00056A18"/>
    <w:rsid w:val="000576DC"/>
    <w:rsid w:val="000608C5"/>
    <w:rsid w:val="00063DC5"/>
    <w:rsid w:val="00066CAF"/>
    <w:rsid w:val="00073ED0"/>
    <w:rsid w:val="00073F01"/>
    <w:rsid w:val="00074A5F"/>
    <w:rsid w:val="00074CD7"/>
    <w:rsid w:val="00076437"/>
    <w:rsid w:val="0008205C"/>
    <w:rsid w:val="0008389C"/>
    <w:rsid w:val="000841DC"/>
    <w:rsid w:val="00091F44"/>
    <w:rsid w:val="0009310C"/>
    <w:rsid w:val="00094859"/>
    <w:rsid w:val="00095A08"/>
    <w:rsid w:val="00096574"/>
    <w:rsid w:val="000A2895"/>
    <w:rsid w:val="000A6F07"/>
    <w:rsid w:val="000A7045"/>
    <w:rsid w:val="000B0C4C"/>
    <w:rsid w:val="000B4AEC"/>
    <w:rsid w:val="000B5829"/>
    <w:rsid w:val="000B5EE9"/>
    <w:rsid w:val="000C3691"/>
    <w:rsid w:val="000C3710"/>
    <w:rsid w:val="000C61F2"/>
    <w:rsid w:val="000D00D4"/>
    <w:rsid w:val="000D6CA1"/>
    <w:rsid w:val="000D7E9A"/>
    <w:rsid w:val="000E1755"/>
    <w:rsid w:val="000E31FE"/>
    <w:rsid w:val="000E3253"/>
    <w:rsid w:val="000E414F"/>
    <w:rsid w:val="000E4D76"/>
    <w:rsid w:val="000E76DD"/>
    <w:rsid w:val="000F1C79"/>
    <w:rsid w:val="000F34E5"/>
    <w:rsid w:val="000F6440"/>
    <w:rsid w:val="000F6495"/>
    <w:rsid w:val="00107B7A"/>
    <w:rsid w:val="00111E16"/>
    <w:rsid w:val="00112DEE"/>
    <w:rsid w:val="00116635"/>
    <w:rsid w:val="00117F2E"/>
    <w:rsid w:val="0012299B"/>
    <w:rsid w:val="001236B6"/>
    <w:rsid w:val="00127685"/>
    <w:rsid w:val="0013195F"/>
    <w:rsid w:val="0013201A"/>
    <w:rsid w:val="00134EED"/>
    <w:rsid w:val="00135E7D"/>
    <w:rsid w:val="001376BC"/>
    <w:rsid w:val="00137812"/>
    <w:rsid w:val="00142B0A"/>
    <w:rsid w:val="0014706A"/>
    <w:rsid w:val="0014792D"/>
    <w:rsid w:val="001555CD"/>
    <w:rsid w:val="0015757A"/>
    <w:rsid w:val="001637C2"/>
    <w:rsid w:val="00164C95"/>
    <w:rsid w:val="00165C9B"/>
    <w:rsid w:val="00167AAA"/>
    <w:rsid w:val="00170A6C"/>
    <w:rsid w:val="00175E9C"/>
    <w:rsid w:val="00176711"/>
    <w:rsid w:val="00182C1C"/>
    <w:rsid w:val="00183FA9"/>
    <w:rsid w:val="00185877"/>
    <w:rsid w:val="00186E13"/>
    <w:rsid w:val="00193CCD"/>
    <w:rsid w:val="00194A7D"/>
    <w:rsid w:val="00194FDB"/>
    <w:rsid w:val="001A0035"/>
    <w:rsid w:val="001A1497"/>
    <w:rsid w:val="001A4B63"/>
    <w:rsid w:val="001A56A6"/>
    <w:rsid w:val="001B0177"/>
    <w:rsid w:val="001B0D66"/>
    <w:rsid w:val="001B190C"/>
    <w:rsid w:val="001B3BD8"/>
    <w:rsid w:val="001B4072"/>
    <w:rsid w:val="001B5D66"/>
    <w:rsid w:val="001C21CF"/>
    <w:rsid w:val="001C64C6"/>
    <w:rsid w:val="001E112E"/>
    <w:rsid w:val="001E3AE1"/>
    <w:rsid w:val="001E4CC4"/>
    <w:rsid w:val="001E7405"/>
    <w:rsid w:val="001F259B"/>
    <w:rsid w:val="001F2AA0"/>
    <w:rsid w:val="001F4602"/>
    <w:rsid w:val="001F651F"/>
    <w:rsid w:val="00206786"/>
    <w:rsid w:val="002072D5"/>
    <w:rsid w:val="00211157"/>
    <w:rsid w:val="00213A86"/>
    <w:rsid w:val="00215E5E"/>
    <w:rsid w:val="0022123C"/>
    <w:rsid w:val="00222F56"/>
    <w:rsid w:val="00234AD4"/>
    <w:rsid w:val="002442C3"/>
    <w:rsid w:val="002460BE"/>
    <w:rsid w:val="00247353"/>
    <w:rsid w:val="00250418"/>
    <w:rsid w:val="00250D2C"/>
    <w:rsid w:val="00250DBB"/>
    <w:rsid w:val="00255E73"/>
    <w:rsid w:val="0025628C"/>
    <w:rsid w:val="00257BD7"/>
    <w:rsid w:val="002659AE"/>
    <w:rsid w:val="0026644B"/>
    <w:rsid w:val="0027015A"/>
    <w:rsid w:val="002728C3"/>
    <w:rsid w:val="002756C1"/>
    <w:rsid w:val="00275921"/>
    <w:rsid w:val="002844FA"/>
    <w:rsid w:val="00285811"/>
    <w:rsid w:val="00285B4C"/>
    <w:rsid w:val="00286205"/>
    <w:rsid w:val="0029182B"/>
    <w:rsid w:val="00293255"/>
    <w:rsid w:val="0029424D"/>
    <w:rsid w:val="0029512A"/>
    <w:rsid w:val="002952E4"/>
    <w:rsid w:val="00295A94"/>
    <w:rsid w:val="00297443"/>
    <w:rsid w:val="002A103A"/>
    <w:rsid w:val="002A16CE"/>
    <w:rsid w:val="002B2447"/>
    <w:rsid w:val="002B2A26"/>
    <w:rsid w:val="002B6832"/>
    <w:rsid w:val="002B7647"/>
    <w:rsid w:val="002B7E57"/>
    <w:rsid w:val="002C2FF4"/>
    <w:rsid w:val="002C503E"/>
    <w:rsid w:val="002C5AA6"/>
    <w:rsid w:val="002C7B8B"/>
    <w:rsid w:val="002D06FA"/>
    <w:rsid w:val="002D0C54"/>
    <w:rsid w:val="002D16CD"/>
    <w:rsid w:val="002D233A"/>
    <w:rsid w:val="002D38E9"/>
    <w:rsid w:val="002D4DEF"/>
    <w:rsid w:val="002D62E4"/>
    <w:rsid w:val="002D7D3A"/>
    <w:rsid w:val="002E443D"/>
    <w:rsid w:val="002E520F"/>
    <w:rsid w:val="002F2367"/>
    <w:rsid w:val="002F2C4E"/>
    <w:rsid w:val="002F6540"/>
    <w:rsid w:val="002F67DE"/>
    <w:rsid w:val="00304408"/>
    <w:rsid w:val="0030664E"/>
    <w:rsid w:val="00306E1E"/>
    <w:rsid w:val="003117C2"/>
    <w:rsid w:val="003133C3"/>
    <w:rsid w:val="0032072E"/>
    <w:rsid w:val="00320886"/>
    <w:rsid w:val="0032151B"/>
    <w:rsid w:val="00327801"/>
    <w:rsid w:val="00334B02"/>
    <w:rsid w:val="003354C4"/>
    <w:rsid w:val="00342C50"/>
    <w:rsid w:val="0034354C"/>
    <w:rsid w:val="00353547"/>
    <w:rsid w:val="003616AC"/>
    <w:rsid w:val="00361834"/>
    <w:rsid w:val="00363C24"/>
    <w:rsid w:val="003655B8"/>
    <w:rsid w:val="00366287"/>
    <w:rsid w:val="00367335"/>
    <w:rsid w:val="0037152D"/>
    <w:rsid w:val="00371DEE"/>
    <w:rsid w:val="00372E4B"/>
    <w:rsid w:val="00373453"/>
    <w:rsid w:val="00373EDE"/>
    <w:rsid w:val="0037425C"/>
    <w:rsid w:val="00374687"/>
    <w:rsid w:val="00375AF1"/>
    <w:rsid w:val="00377BF5"/>
    <w:rsid w:val="00377E69"/>
    <w:rsid w:val="003804B9"/>
    <w:rsid w:val="0038200F"/>
    <w:rsid w:val="00382C02"/>
    <w:rsid w:val="00391D5F"/>
    <w:rsid w:val="00396BF0"/>
    <w:rsid w:val="003A00B6"/>
    <w:rsid w:val="003B11CF"/>
    <w:rsid w:val="003B3F83"/>
    <w:rsid w:val="003B52AA"/>
    <w:rsid w:val="003B7251"/>
    <w:rsid w:val="003C052A"/>
    <w:rsid w:val="003C1BC1"/>
    <w:rsid w:val="003C1F10"/>
    <w:rsid w:val="003C4672"/>
    <w:rsid w:val="003C48FF"/>
    <w:rsid w:val="003D04D3"/>
    <w:rsid w:val="003D0F6C"/>
    <w:rsid w:val="003D2BCF"/>
    <w:rsid w:val="003D3D8E"/>
    <w:rsid w:val="003D42F1"/>
    <w:rsid w:val="003E21E7"/>
    <w:rsid w:val="003E4220"/>
    <w:rsid w:val="003E479C"/>
    <w:rsid w:val="003E7E75"/>
    <w:rsid w:val="003F308C"/>
    <w:rsid w:val="003F561C"/>
    <w:rsid w:val="003F5AE3"/>
    <w:rsid w:val="0040245D"/>
    <w:rsid w:val="00403BC2"/>
    <w:rsid w:val="00404B36"/>
    <w:rsid w:val="00406101"/>
    <w:rsid w:val="00407258"/>
    <w:rsid w:val="00407853"/>
    <w:rsid w:val="00411F46"/>
    <w:rsid w:val="004160E9"/>
    <w:rsid w:val="00416141"/>
    <w:rsid w:val="00421A62"/>
    <w:rsid w:val="00422305"/>
    <w:rsid w:val="00424A60"/>
    <w:rsid w:val="00433821"/>
    <w:rsid w:val="00435AB0"/>
    <w:rsid w:val="0043646D"/>
    <w:rsid w:val="00437F8C"/>
    <w:rsid w:val="004429D6"/>
    <w:rsid w:val="00445412"/>
    <w:rsid w:val="00445CFF"/>
    <w:rsid w:val="004466B3"/>
    <w:rsid w:val="004645F9"/>
    <w:rsid w:val="00470354"/>
    <w:rsid w:val="00471FD2"/>
    <w:rsid w:val="00472BBD"/>
    <w:rsid w:val="00475B4B"/>
    <w:rsid w:val="004765D8"/>
    <w:rsid w:val="004809D8"/>
    <w:rsid w:val="00481ACB"/>
    <w:rsid w:val="00481D11"/>
    <w:rsid w:val="004849FD"/>
    <w:rsid w:val="00493BF2"/>
    <w:rsid w:val="00494116"/>
    <w:rsid w:val="004955CF"/>
    <w:rsid w:val="00497886"/>
    <w:rsid w:val="004A0ECE"/>
    <w:rsid w:val="004A3739"/>
    <w:rsid w:val="004A3AE9"/>
    <w:rsid w:val="004A64C8"/>
    <w:rsid w:val="004A6CA6"/>
    <w:rsid w:val="004B276A"/>
    <w:rsid w:val="004B3871"/>
    <w:rsid w:val="004B6F07"/>
    <w:rsid w:val="004C09B1"/>
    <w:rsid w:val="004C1AAD"/>
    <w:rsid w:val="004C63FF"/>
    <w:rsid w:val="004C7A32"/>
    <w:rsid w:val="004D08C1"/>
    <w:rsid w:val="004D1271"/>
    <w:rsid w:val="004D2245"/>
    <w:rsid w:val="004D59FA"/>
    <w:rsid w:val="004D5D35"/>
    <w:rsid w:val="004E1115"/>
    <w:rsid w:val="004E21DC"/>
    <w:rsid w:val="004E22FF"/>
    <w:rsid w:val="004E2D0B"/>
    <w:rsid w:val="004E67BE"/>
    <w:rsid w:val="004F1966"/>
    <w:rsid w:val="004F1A27"/>
    <w:rsid w:val="004F516B"/>
    <w:rsid w:val="00501AAF"/>
    <w:rsid w:val="005032F9"/>
    <w:rsid w:val="005075C6"/>
    <w:rsid w:val="00511A6E"/>
    <w:rsid w:val="00521C9F"/>
    <w:rsid w:val="00523923"/>
    <w:rsid w:val="005246DC"/>
    <w:rsid w:val="00524EC0"/>
    <w:rsid w:val="00530652"/>
    <w:rsid w:val="0053159E"/>
    <w:rsid w:val="00532871"/>
    <w:rsid w:val="00535373"/>
    <w:rsid w:val="005356FF"/>
    <w:rsid w:val="00535C49"/>
    <w:rsid w:val="00544027"/>
    <w:rsid w:val="00544A89"/>
    <w:rsid w:val="0054592E"/>
    <w:rsid w:val="00546EF9"/>
    <w:rsid w:val="00550F9D"/>
    <w:rsid w:val="00552451"/>
    <w:rsid w:val="00556676"/>
    <w:rsid w:val="00562FB7"/>
    <w:rsid w:val="0056405A"/>
    <w:rsid w:val="005642A5"/>
    <w:rsid w:val="00572C6B"/>
    <w:rsid w:val="005737A2"/>
    <w:rsid w:val="005741A4"/>
    <w:rsid w:val="005808DB"/>
    <w:rsid w:val="005817B7"/>
    <w:rsid w:val="00582DAC"/>
    <w:rsid w:val="00584BFD"/>
    <w:rsid w:val="00591246"/>
    <w:rsid w:val="00591B18"/>
    <w:rsid w:val="00591BAA"/>
    <w:rsid w:val="0059330A"/>
    <w:rsid w:val="00595039"/>
    <w:rsid w:val="005954C9"/>
    <w:rsid w:val="0059671E"/>
    <w:rsid w:val="0059762B"/>
    <w:rsid w:val="005A497E"/>
    <w:rsid w:val="005A643C"/>
    <w:rsid w:val="005A7276"/>
    <w:rsid w:val="005B3739"/>
    <w:rsid w:val="005B4938"/>
    <w:rsid w:val="005B4F7B"/>
    <w:rsid w:val="005C13FE"/>
    <w:rsid w:val="005C5492"/>
    <w:rsid w:val="005D0BBF"/>
    <w:rsid w:val="005D255C"/>
    <w:rsid w:val="005D6774"/>
    <w:rsid w:val="005D71AB"/>
    <w:rsid w:val="005E1B85"/>
    <w:rsid w:val="005E1E7C"/>
    <w:rsid w:val="005E629A"/>
    <w:rsid w:val="005E6FE1"/>
    <w:rsid w:val="005F192E"/>
    <w:rsid w:val="005F2E2E"/>
    <w:rsid w:val="005F350C"/>
    <w:rsid w:val="005F3AFC"/>
    <w:rsid w:val="006007DA"/>
    <w:rsid w:val="00600E8C"/>
    <w:rsid w:val="00601C17"/>
    <w:rsid w:val="0060752D"/>
    <w:rsid w:val="0061100C"/>
    <w:rsid w:val="006137FC"/>
    <w:rsid w:val="00615F51"/>
    <w:rsid w:val="006214A0"/>
    <w:rsid w:val="006215FB"/>
    <w:rsid w:val="00623481"/>
    <w:rsid w:val="006264F8"/>
    <w:rsid w:val="00626681"/>
    <w:rsid w:val="00632D59"/>
    <w:rsid w:val="00636394"/>
    <w:rsid w:val="006407AD"/>
    <w:rsid w:val="006527AA"/>
    <w:rsid w:val="00653E0C"/>
    <w:rsid w:val="0065727E"/>
    <w:rsid w:val="006579B7"/>
    <w:rsid w:val="00661BE1"/>
    <w:rsid w:val="006642C4"/>
    <w:rsid w:val="00665FE6"/>
    <w:rsid w:val="00666DC8"/>
    <w:rsid w:val="0066741E"/>
    <w:rsid w:val="006712C6"/>
    <w:rsid w:val="006724EF"/>
    <w:rsid w:val="00674FCB"/>
    <w:rsid w:val="0068655C"/>
    <w:rsid w:val="0068762E"/>
    <w:rsid w:val="006907A6"/>
    <w:rsid w:val="00691EBF"/>
    <w:rsid w:val="006921D1"/>
    <w:rsid w:val="00694B1C"/>
    <w:rsid w:val="00695132"/>
    <w:rsid w:val="006968C1"/>
    <w:rsid w:val="00696ED7"/>
    <w:rsid w:val="006A074E"/>
    <w:rsid w:val="006A52D1"/>
    <w:rsid w:val="006A5CFB"/>
    <w:rsid w:val="006A678F"/>
    <w:rsid w:val="006B4298"/>
    <w:rsid w:val="006B509A"/>
    <w:rsid w:val="006B65AD"/>
    <w:rsid w:val="006B68E4"/>
    <w:rsid w:val="006B7F68"/>
    <w:rsid w:val="006C1B41"/>
    <w:rsid w:val="006C5265"/>
    <w:rsid w:val="006C5703"/>
    <w:rsid w:val="006C688F"/>
    <w:rsid w:val="006C6C90"/>
    <w:rsid w:val="006C7D5A"/>
    <w:rsid w:val="006D006D"/>
    <w:rsid w:val="006D1BD7"/>
    <w:rsid w:val="006D657A"/>
    <w:rsid w:val="006D6C69"/>
    <w:rsid w:val="006E22B3"/>
    <w:rsid w:val="006E3839"/>
    <w:rsid w:val="006E55FA"/>
    <w:rsid w:val="006F3357"/>
    <w:rsid w:val="006F7DE1"/>
    <w:rsid w:val="007001DA"/>
    <w:rsid w:val="00700C0E"/>
    <w:rsid w:val="0070263C"/>
    <w:rsid w:val="007051B0"/>
    <w:rsid w:val="00711C06"/>
    <w:rsid w:val="0071297F"/>
    <w:rsid w:val="00713A37"/>
    <w:rsid w:val="0071527B"/>
    <w:rsid w:val="00717076"/>
    <w:rsid w:val="007232A7"/>
    <w:rsid w:val="00735D41"/>
    <w:rsid w:val="007425FC"/>
    <w:rsid w:val="00743644"/>
    <w:rsid w:val="007443FF"/>
    <w:rsid w:val="00746FD9"/>
    <w:rsid w:val="007470B7"/>
    <w:rsid w:val="00752300"/>
    <w:rsid w:val="00753762"/>
    <w:rsid w:val="0075490C"/>
    <w:rsid w:val="007551D5"/>
    <w:rsid w:val="00756755"/>
    <w:rsid w:val="007613B3"/>
    <w:rsid w:val="00764BF0"/>
    <w:rsid w:val="00765F63"/>
    <w:rsid w:val="0077170F"/>
    <w:rsid w:val="00774438"/>
    <w:rsid w:val="0077478F"/>
    <w:rsid w:val="0077511D"/>
    <w:rsid w:val="0078018C"/>
    <w:rsid w:val="00780594"/>
    <w:rsid w:val="0078119E"/>
    <w:rsid w:val="007826F8"/>
    <w:rsid w:val="00791EB3"/>
    <w:rsid w:val="00792B6B"/>
    <w:rsid w:val="00796314"/>
    <w:rsid w:val="007A6DB4"/>
    <w:rsid w:val="007A7BCD"/>
    <w:rsid w:val="007B1DCA"/>
    <w:rsid w:val="007B56ED"/>
    <w:rsid w:val="007B6BF8"/>
    <w:rsid w:val="007C167D"/>
    <w:rsid w:val="007C329C"/>
    <w:rsid w:val="007C7F78"/>
    <w:rsid w:val="007D194C"/>
    <w:rsid w:val="007D23A5"/>
    <w:rsid w:val="007D4326"/>
    <w:rsid w:val="007D5968"/>
    <w:rsid w:val="007D7750"/>
    <w:rsid w:val="007E0214"/>
    <w:rsid w:val="007E0B01"/>
    <w:rsid w:val="007E73F5"/>
    <w:rsid w:val="007F2903"/>
    <w:rsid w:val="007F2E5C"/>
    <w:rsid w:val="007F3553"/>
    <w:rsid w:val="007F3DCB"/>
    <w:rsid w:val="00800CC3"/>
    <w:rsid w:val="00801C3E"/>
    <w:rsid w:val="008021B5"/>
    <w:rsid w:val="0080449A"/>
    <w:rsid w:val="0080451F"/>
    <w:rsid w:val="0080603F"/>
    <w:rsid w:val="00806AF3"/>
    <w:rsid w:val="00811D1A"/>
    <w:rsid w:val="00812FFA"/>
    <w:rsid w:val="00813D3A"/>
    <w:rsid w:val="00816435"/>
    <w:rsid w:val="008228C9"/>
    <w:rsid w:val="00834CF1"/>
    <w:rsid w:val="00835EF6"/>
    <w:rsid w:val="008374B2"/>
    <w:rsid w:val="00837F59"/>
    <w:rsid w:val="00840ECF"/>
    <w:rsid w:val="00843706"/>
    <w:rsid w:val="00845125"/>
    <w:rsid w:val="008458C7"/>
    <w:rsid w:val="00845EF9"/>
    <w:rsid w:val="00850D6A"/>
    <w:rsid w:val="00851CD6"/>
    <w:rsid w:val="00852830"/>
    <w:rsid w:val="00861563"/>
    <w:rsid w:val="008669F5"/>
    <w:rsid w:val="00871495"/>
    <w:rsid w:val="00873C12"/>
    <w:rsid w:val="00876BD9"/>
    <w:rsid w:val="00883D70"/>
    <w:rsid w:val="00884F21"/>
    <w:rsid w:val="00886B75"/>
    <w:rsid w:val="0088772E"/>
    <w:rsid w:val="0089645C"/>
    <w:rsid w:val="00896E1F"/>
    <w:rsid w:val="008B0A0B"/>
    <w:rsid w:val="008B1A10"/>
    <w:rsid w:val="008B3BDE"/>
    <w:rsid w:val="008B4B9A"/>
    <w:rsid w:val="008B4CC2"/>
    <w:rsid w:val="008C2B6E"/>
    <w:rsid w:val="008C32E4"/>
    <w:rsid w:val="008C38D5"/>
    <w:rsid w:val="008C5761"/>
    <w:rsid w:val="008D4056"/>
    <w:rsid w:val="008D62C4"/>
    <w:rsid w:val="008D79DD"/>
    <w:rsid w:val="008E375E"/>
    <w:rsid w:val="008F5F2C"/>
    <w:rsid w:val="0090065A"/>
    <w:rsid w:val="00903ABA"/>
    <w:rsid w:val="00903E9D"/>
    <w:rsid w:val="00904DF3"/>
    <w:rsid w:val="00905953"/>
    <w:rsid w:val="00906E2A"/>
    <w:rsid w:val="0091382D"/>
    <w:rsid w:val="00914F5E"/>
    <w:rsid w:val="0091728C"/>
    <w:rsid w:val="009203FF"/>
    <w:rsid w:val="00920612"/>
    <w:rsid w:val="00922852"/>
    <w:rsid w:val="009228D4"/>
    <w:rsid w:val="00923150"/>
    <w:rsid w:val="0092329C"/>
    <w:rsid w:val="00924271"/>
    <w:rsid w:val="009247BD"/>
    <w:rsid w:val="009512AC"/>
    <w:rsid w:val="0095309F"/>
    <w:rsid w:val="00960715"/>
    <w:rsid w:val="00960739"/>
    <w:rsid w:val="0096249B"/>
    <w:rsid w:val="00962F0B"/>
    <w:rsid w:val="009637FF"/>
    <w:rsid w:val="00963A2B"/>
    <w:rsid w:val="00963C52"/>
    <w:rsid w:val="009657AF"/>
    <w:rsid w:val="00970B3D"/>
    <w:rsid w:val="00970EBD"/>
    <w:rsid w:val="00971534"/>
    <w:rsid w:val="00975550"/>
    <w:rsid w:val="00987307"/>
    <w:rsid w:val="009A1C63"/>
    <w:rsid w:val="009A5597"/>
    <w:rsid w:val="009A5E8F"/>
    <w:rsid w:val="009A5EB0"/>
    <w:rsid w:val="009B3C84"/>
    <w:rsid w:val="009B41D4"/>
    <w:rsid w:val="009B6606"/>
    <w:rsid w:val="009B6BAC"/>
    <w:rsid w:val="009B6DEE"/>
    <w:rsid w:val="009C2C56"/>
    <w:rsid w:val="009C594F"/>
    <w:rsid w:val="009C6061"/>
    <w:rsid w:val="009C763A"/>
    <w:rsid w:val="009D5ED5"/>
    <w:rsid w:val="009D7FBB"/>
    <w:rsid w:val="009E46F5"/>
    <w:rsid w:val="009E758D"/>
    <w:rsid w:val="009F199F"/>
    <w:rsid w:val="009F1AE1"/>
    <w:rsid w:val="009F2D6C"/>
    <w:rsid w:val="00A0375D"/>
    <w:rsid w:val="00A046B4"/>
    <w:rsid w:val="00A056B8"/>
    <w:rsid w:val="00A05CC2"/>
    <w:rsid w:val="00A064D4"/>
    <w:rsid w:val="00A11FA1"/>
    <w:rsid w:val="00A15D12"/>
    <w:rsid w:val="00A24EF9"/>
    <w:rsid w:val="00A26DA6"/>
    <w:rsid w:val="00A2744C"/>
    <w:rsid w:val="00A31BEC"/>
    <w:rsid w:val="00A3477D"/>
    <w:rsid w:val="00A35D1E"/>
    <w:rsid w:val="00A41532"/>
    <w:rsid w:val="00A4177B"/>
    <w:rsid w:val="00A47111"/>
    <w:rsid w:val="00A52F12"/>
    <w:rsid w:val="00A56EC7"/>
    <w:rsid w:val="00A572D8"/>
    <w:rsid w:val="00A71AB3"/>
    <w:rsid w:val="00A733A0"/>
    <w:rsid w:val="00A73543"/>
    <w:rsid w:val="00A76763"/>
    <w:rsid w:val="00A7722C"/>
    <w:rsid w:val="00A80C16"/>
    <w:rsid w:val="00A8354D"/>
    <w:rsid w:val="00A86517"/>
    <w:rsid w:val="00A92CAB"/>
    <w:rsid w:val="00A94248"/>
    <w:rsid w:val="00A94B5F"/>
    <w:rsid w:val="00A9666D"/>
    <w:rsid w:val="00A978A1"/>
    <w:rsid w:val="00AA56B8"/>
    <w:rsid w:val="00AA74E8"/>
    <w:rsid w:val="00AB55AA"/>
    <w:rsid w:val="00AB7AF0"/>
    <w:rsid w:val="00AC017D"/>
    <w:rsid w:val="00AC083A"/>
    <w:rsid w:val="00AC0AF4"/>
    <w:rsid w:val="00AC78AC"/>
    <w:rsid w:val="00AC7FC0"/>
    <w:rsid w:val="00AD4EC9"/>
    <w:rsid w:val="00AE17D2"/>
    <w:rsid w:val="00AE1A4F"/>
    <w:rsid w:val="00AE48C4"/>
    <w:rsid w:val="00AE48DA"/>
    <w:rsid w:val="00AF077A"/>
    <w:rsid w:val="00AF0AAD"/>
    <w:rsid w:val="00AF3B0E"/>
    <w:rsid w:val="00AF61D1"/>
    <w:rsid w:val="00AF6606"/>
    <w:rsid w:val="00B02636"/>
    <w:rsid w:val="00B03716"/>
    <w:rsid w:val="00B04BC1"/>
    <w:rsid w:val="00B05ABF"/>
    <w:rsid w:val="00B14BE6"/>
    <w:rsid w:val="00B22FF0"/>
    <w:rsid w:val="00B23D6E"/>
    <w:rsid w:val="00B254E8"/>
    <w:rsid w:val="00B25923"/>
    <w:rsid w:val="00B266EF"/>
    <w:rsid w:val="00B27E4B"/>
    <w:rsid w:val="00B35723"/>
    <w:rsid w:val="00B37562"/>
    <w:rsid w:val="00B40EA9"/>
    <w:rsid w:val="00B4127F"/>
    <w:rsid w:val="00B415E7"/>
    <w:rsid w:val="00B520B0"/>
    <w:rsid w:val="00B551A2"/>
    <w:rsid w:val="00B56384"/>
    <w:rsid w:val="00B63E76"/>
    <w:rsid w:val="00B65252"/>
    <w:rsid w:val="00B656B8"/>
    <w:rsid w:val="00B66698"/>
    <w:rsid w:val="00B677D8"/>
    <w:rsid w:val="00B754F0"/>
    <w:rsid w:val="00B814B7"/>
    <w:rsid w:val="00B84938"/>
    <w:rsid w:val="00B858FF"/>
    <w:rsid w:val="00B9179C"/>
    <w:rsid w:val="00B92595"/>
    <w:rsid w:val="00B96221"/>
    <w:rsid w:val="00B96CAE"/>
    <w:rsid w:val="00BA02BF"/>
    <w:rsid w:val="00BA3A11"/>
    <w:rsid w:val="00BA66CE"/>
    <w:rsid w:val="00BA79CE"/>
    <w:rsid w:val="00BB1006"/>
    <w:rsid w:val="00BB4A6F"/>
    <w:rsid w:val="00BC0092"/>
    <w:rsid w:val="00BC06E9"/>
    <w:rsid w:val="00BC1F32"/>
    <w:rsid w:val="00BD0360"/>
    <w:rsid w:val="00BD6031"/>
    <w:rsid w:val="00BF1A4A"/>
    <w:rsid w:val="00BF207A"/>
    <w:rsid w:val="00BF26BF"/>
    <w:rsid w:val="00BF605F"/>
    <w:rsid w:val="00BF7741"/>
    <w:rsid w:val="00C0107A"/>
    <w:rsid w:val="00C037EF"/>
    <w:rsid w:val="00C046B2"/>
    <w:rsid w:val="00C04A6C"/>
    <w:rsid w:val="00C0720E"/>
    <w:rsid w:val="00C128C5"/>
    <w:rsid w:val="00C1438C"/>
    <w:rsid w:val="00C14A4B"/>
    <w:rsid w:val="00C14A56"/>
    <w:rsid w:val="00C22473"/>
    <w:rsid w:val="00C25DC0"/>
    <w:rsid w:val="00C27E48"/>
    <w:rsid w:val="00C33F6F"/>
    <w:rsid w:val="00C34C2B"/>
    <w:rsid w:val="00C401E7"/>
    <w:rsid w:val="00C413BD"/>
    <w:rsid w:val="00C448ED"/>
    <w:rsid w:val="00C526FF"/>
    <w:rsid w:val="00C55459"/>
    <w:rsid w:val="00C56391"/>
    <w:rsid w:val="00C60DF3"/>
    <w:rsid w:val="00C61741"/>
    <w:rsid w:val="00C62EFB"/>
    <w:rsid w:val="00C64EDD"/>
    <w:rsid w:val="00C67879"/>
    <w:rsid w:val="00C756A2"/>
    <w:rsid w:val="00C77B32"/>
    <w:rsid w:val="00C80C16"/>
    <w:rsid w:val="00C85FFD"/>
    <w:rsid w:val="00C901C7"/>
    <w:rsid w:val="00C913F0"/>
    <w:rsid w:val="00C92726"/>
    <w:rsid w:val="00C972F8"/>
    <w:rsid w:val="00CA126C"/>
    <w:rsid w:val="00CA48A4"/>
    <w:rsid w:val="00CB18CA"/>
    <w:rsid w:val="00CB34D7"/>
    <w:rsid w:val="00CB3A47"/>
    <w:rsid w:val="00CB6A70"/>
    <w:rsid w:val="00CC7958"/>
    <w:rsid w:val="00CD3149"/>
    <w:rsid w:val="00CD3AE0"/>
    <w:rsid w:val="00CD3C42"/>
    <w:rsid w:val="00CD3E5C"/>
    <w:rsid w:val="00CE13D7"/>
    <w:rsid w:val="00CE46A7"/>
    <w:rsid w:val="00CE769B"/>
    <w:rsid w:val="00CF1FE8"/>
    <w:rsid w:val="00CF488A"/>
    <w:rsid w:val="00CF7A02"/>
    <w:rsid w:val="00CF7E65"/>
    <w:rsid w:val="00D03797"/>
    <w:rsid w:val="00D042EF"/>
    <w:rsid w:val="00D05933"/>
    <w:rsid w:val="00D10A78"/>
    <w:rsid w:val="00D14FBD"/>
    <w:rsid w:val="00D21A8B"/>
    <w:rsid w:val="00D24E21"/>
    <w:rsid w:val="00D26336"/>
    <w:rsid w:val="00D32612"/>
    <w:rsid w:val="00D3303B"/>
    <w:rsid w:val="00D33136"/>
    <w:rsid w:val="00D346E3"/>
    <w:rsid w:val="00D35998"/>
    <w:rsid w:val="00D361A9"/>
    <w:rsid w:val="00D36429"/>
    <w:rsid w:val="00D40EB6"/>
    <w:rsid w:val="00D429D8"/>
    <w:rsid w:val="00D43ACA"/>
    <w:rsid w:val="00D460BE"/>
    <w:rsid w:val="00D505DE"/>
    <w:rsid w:val="00D5258E"/>
    <w:rsid w:val="00D541BC"/>
    <w:rsid w:val="00D602F0"/>
    <w:rsid w:val="00D60BCD"/>
    <w:rsid w:val="00D61A9A"/>
    <w:rsid w:val="00D64897"/>
    <w:rsid w:val="00D66564"/>
    <w:rsid w:val="00D67170"/>
    <w:rsid w:val="00D67207"/>
    <w:rsid w:val="00D675C4"/>
    <w:rsid w:val="00D72E5E"/>
    <w:rsid w:val="00D73400"/>
    <w:rsid w:val="00D7408E"/>
    <w:rsid w:val="00D80981"/>
    <w:rsid w:val="00D84097"/>
    <w:rsid w:val="00D86D91"/>
    <w:rsid w:val="00D92AE1"/>
    <w:rsid w:val="00D96F83"/>
    <w:rsid w:val="00DA012F"/>
    <w:rsid w:val="00DA187C"/>
    <w:rsid w:val="00DA4492"/>
    <w:rsid w:val="00DB32E0"/>
    <w:rsid w:val="00DB61D0"/>
    <w:rsid w:val="00DC17E2"/>
    <w:rsid w:val="00DC5517"/>
    <w:rsid w:val="00DE08B7"/>
    <w:rsid w:val="00DE098B"/>
    <w:rsid w:val="00DE14EB"/>
    <w:rsid w:val="00DE2BF6"/>
    <w:rsid w:val="00DE40E3"/>
    <w:rsid w:val="00DF26E3"/>
    <w:rsid w:val="00DF45F6"/>
    <w:rsid w:val="00E0095C"/>
    <w:rsid w:val="00E00B53"/>
    <w:rsid w:val="00E01040"/>
    <w:rsid w:val="00E13740"/>
    <w:rsid w:val="00E15C6F"/>
    <w:rsid w:val="00E15DF2"/>
    <w:rsid w:val="00E200D3"/>
    <w:rsid w:val="00E2153C"/>
    <w:rsid w:val="00E224C3"/>
    <w:rsid w:val="00E241EE"/>
    <w:rsid w:val="00E24709"/>
    <w:rsid w:val="00E26A8F"/>
    <w:rsid w:val="00E31F39"/>
    <w:rsid w:val="00E43383"/>
    <w:rsid w:val="00E44417"/>
    <w:rsid w:val="00E464F4"/>
    <w:rsid w:val="00E5163F"/>
    <w:rsid w:val="00E51AE5"/>
    <w:rsid w:val="00E51C61"/>
    <w:rsid w:val="00E53D35"/>
    <w:rsid w:val="00E54A5D"/>
    <w:rsid w:val="00E55B2F"/>
    <w:rsid w:val="00E56480"/>
    <w:rsid w:val="00E56E67"/>
    <w:rsid w:val="00E612AA"/>
    <w:rsid w:val="00E61D56"/>
    <w:rsid w:val="00E630F3"/>
    <w:rsid w:val="00E654DC"/>
    <w:rsid w:val="00E659DD"/>
    <w:rsid w:val="00E65C5E"/>
    <w:rsid w:val="00E671E7"/>
    <w:rsid w:val="00E71B75"/>
    <w:rsid w:val="00E74A7E"/>
    <w:rsid w:val="00E77216"/>
    <w:rsid w:val="00E82A93"/>
    <w:rsid w:val="00E836CB"/>
    <w:rsid w:val="00E85B90"/>
    <w:rsid w:val="00E94199"/>
    <w:rsid w:val="00E946B1"/>
    <w:rsid w:val="00E95747"/>
    <w:rsid w:val="00EA6D4D"/>
    <w:rsid w:val="00EB2FC4"/>
    <w:rsid w:val="00EB76A6"/>
    <w:rsid w:val="00EC4745"/>
    <w:rsid w:val="00EC5E3A"/>
    <w:rsid w:val="00ED4D8F"/>
    <w:rsid w:val="00ED5855"/>
    <w:rsid w:val="00ED68B7"/>
    <w:rsid w:val="00ED6F57"/>
    <w:rsid w:val="00EE3A60"/>
    <w:rsid w:val="00EE7747"/>
    <w:rsid w:val="00EF1137"/>
    <w:rsid w:val="00EF13ED"/>
    <w:rsid w:val="00EF333D"/>
    <w:rsid w:val="00EF37FF"/>
    <w:rsid w:val="00EF5A83"/>
    <w:rsid w:val="00F022F0"/>
    <w:rsid w:val="00F027D0"/>
    <w:rsid w:val="00F0285E"/>
    <w:rsid w:val="00F04D5E"/>
    <w:rsid w:val="00F21AA1"/>
    <w:rsid w:val="00F2296D"/>
    <w:rsid w:val="00F22D56"/>
    <w:rsid w:val="00F2300E"/>
    <w:rsid w:val="00F24528"/>
    <w:rsid w:val="00F246C3"/>
    <w:rsid w:val="00F31886"/>
    <w:rsid w:val="00F349B0"/>
    <w:rsid w:val="00F35E74"/>
    <w:rsid w:val="00F37E50"/>
    <w:rsid w:val="00F509A4"/>
    <w:rsid w:val="00F52B4C"/>
    <w:rsid w:val="00F533AB"/>
    <w:rsid w:val="00F537A3"/>
    <w:rsid w:val="00F57457"/>
    <w:rsid w:val="00F57962"/>
    <w:rsid w:val="00F61248"/>
    <w:rsid w:val="00F63388"/>
    <w:rsid w:val="00F636C6"/>
    <w:rsid w:val="00F66CAB"/>
    <w:rsid w:val="00F7484C"/>
    <w:rsid w:val="00F766E4"/>
    <w:rsid w:val="00F822E7"/>
    <w:rsid w:val="00F834BF"/>
    <w:rsid w:val="00F839B0"/>
    <w:rsid w:val="00F8439C"/>
    <w:rsid w:val="00F87119"/>
    <w:rsid w:val="00F90618"/>
    <w:rsid w:val="00F97B64"/>
    <w:rsid w:val="00FA55CB"/>
    <w:rsid w:val="00FA73EB"/>
    <w:rsid w:val="00FB4A4D"/>
    <w:rsid w:val="00FB6F21"/>
    <w:rsid w:val="00FC1ABD"/>
    <w:rsid w:val="00FC370F"/>
    <w:rsid w:val="00FC3886"/>
    <w:rsid w:val="00FC6BF7"/>
    <w:rsid w:val="00FD71FB"/>
    <w:rsid w:val="00FE0682"/>
    <w:rsid w:val="00FE1530"/>
    <w:rsid w:val="00FE3848"/>
    <w:rsid w:val="00FE46C7"/>
    <w:rsid w:val="00FF011E"/>
    <w:rsid w:val="00FF1B7D"/>
    <w:rsid w:val="00FF694F"/>
    <w:rsid w:val="00FF713E"/>
    <w:rsid w:val="01B6DDC7"/>
    <w:rsid w:val="08ED4D67"/>
    <w:rsid w:val="0A0D54B5"/>
    <w:rsid w:val="0A1C18C5"/>
    <w:rsid w:val="0BB48704"/>
    <w:rsid w:val="0C4B2D0E"/>
    <w:rsid w:val="0D17C5D2"/>
    <w:rsid w:val="12297930"/>
    <w:rsid w:val="126BBECC"/>
    <w:rsid w:val="13F61C70"/>
    <w:rsid w:val="1445D61E"/>
    <w:rsid w:val="14573BDB"/>
    <w:rsid w:val="147CE641"/>
    <w:rsid w:val="14BA7312"/>
    <w:rsid w:val="15245675"/>
    <w:rsid w:val="155581DC"/>
    <w:rsid w:val="159C48EB"/>
    <w:rsid w:val="16251F7E"/>
    <w:rsid w:val="16F1523D"/>
    <w:rsid w:val="189E3557"/>
    <w:rsid w:val="1A4AD34E"/>
    <w:rsid w:val="1D0170BD"/>
    <w:rsid w:val="1D7734CA"/>
    <w:rsid w:val="1D937BB5"/>
    <w:rsid w:val="1E653B6D"/>
    <w:rsid w:val="2586ADCE"/>
    <w:rsid w:val="26D6F64C"/>
    <w:rsid w:val="2B8E33B3"/>
    <w:rsid w:val="2D7EA511"/>
    <w:rsid w:val="2F1A7572"/>
    <w:rsid w:val="30B645D3"/>
    <w:rsid w:val="32F65080"/>
    <w:rsid w:val="37007341"/>
    <w:rsid w:val="3907E6B1"/>
    <w:rsid w:val="39788DCD"/>
    <w:rsid w:val="3A119648"/>
    <w:rsid w:val="3E60EB21"/>
    <w:rsid w:val="3F3E2A46"/>
    <w:rsid w:val="3FFCBB82"/>
    <w:rsid w:val="41988BE3"/>
    <w:rsid w:val="42F70212"/>
    <w:rsid w:val="45686002"/>
    <w:rsid w:val="4590D777"/>
    <w:rsid w:val="45C02B9A"/>
    <w:rsid w:val="45EC838D"/>
    <w:rsid w:val="461EF52A"/>
    <w:rsid w:val="465A8706"/>
    <w:rsid w:val="47EEA50A"/>
    <w:rsid w:val="481015BE"/>
    <w:rsid w:val="483A9C2B"/>
    <w:rsid w:val="4A2C3DEB"/>
    <w:rsid w:val="4B299FCB"/>
    <w:rsid w:val="4BEB74A9"/>
    <w:rsid w:val="4C106497"/>
    <w:rsid w:val="4CF69616"/>
    <w:rsid w:val="4D655BE5"/>
    <w:rsid w:val="507DB02C"/>
    <w:rsid w:val="513A447C"/>
    <w:rsid w:val="51605AFD"/>
    <w:rsid w:val="535FE040"/>
    <w:rsid w:val="53D03561"/>
    <w:rsid w:val="5834DF1F"/>
    <w:rsid w:val="597A9387"/>
    <w:rsid w:val="5AA2D478"/>
    <w:rsid w:val="5BB916B0"/>
    <w:rsid w:val="5D8EA2B8"/>
    <w:rsid w:val="5DCA64BE"/>
    <w:rsid w:val="5F2D5398"/>
    <w:rsid w:val="5F32841D"/>
    <w:rsid w:val="6361152B"/>
    <w:rsid w:val="64D8AE54"/>
    <w:rsid w:val="6558F18B"/>
    <w:rsid w:val="65E3166A"/>
    <w:rsid w:val="66C0D09B"/>
    <w:rsid w:val="6772DF30"/>
    <w:rsid w:val="68466D7B"/>
    <w:rsid w:val="6A8B6C46"/>
    <w:rsid w:val="6BB21D0C"/>
    <w:rsid w:val="6DB0E6A6"/>
    <w:rsid w:val="6F85DDA0"/>
    <w:rsid w:val="70344EB5"/>
    <w:rsid w:val="707412D4"/>
    <w:rsid w:val="714C82F8"/>
    <w:rsid w:val="71B9E259"/>
    <w:rsid w:val="72788A9A"/>
    <w:rsid w:val="7488BAA5"/>
    <w:rsid w:val="748A576A"/>
    <w:rsid w:val="752BFCCE"/>
    <w:rsid w:val="78C1C3BA"/>
    <w:rsid w:val="78D2AF43"/>
    <w:rsid w:val="792210D4"/>
    <w:rsid w:val="7B30EE05"/>
    <w:rsid w:val="7B666BA8"/>
    <w:rsid w:val="7BD14C33"/>
    <w:rsid w:val="7CF8297E"/>
    <w:rsid w:val="7E1530B2"/>
    <w:rsid w:val="7EC6A27C"/>
    <w:rsid w:val="7F2FCEDE"/>
    <w:rsid w:val="7FC58121"/>
    <w:rsid w:val="7FD6F2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0D0EECEE-45BC-41E6-9346-A5FF4E41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C21CF"/>
    <w:pPr>
      <w:spacing w:line="240" w:lineRule="auto"/>
    </w:pPr>
  </w:style>
  <w:style w:type="character" w:customStyle="1" w:styleId="FootnoteTextChar">
    <w:name w:val="Footnote Text Char"/>
    <w:basedOn w:val="DefaultParagraphFont"/>
    <w:link w:val="FootnoteText"/>
    <w:uiPriority w:val="99"/>
    <w:rsid w:val="001C21CF"/>
    <w:rPr>
      <w:rFonts w:ascii="Arial" w:eastAsia="MS PGothic" w:hAnsi="Arial"/>
      <w:color w:val="000000"/>
    </w:rPr>
  </w:style>
  <w:style w:type="character" w:styleId="FootnoteReference">
    <w:name w:val="footnote reference"/>
    <w:basedOn w:val="DefaultParagraphFont"/>
    <w:uiPriority w:val="99"/>
    <w:semiHidden/>
    <w:unhideWhenUsed/>
    <w:rsid w:val="001C21CF"/>
    <w:rPr>
      <w:vertAlign w:val="superscript"/>
    </w:rPr>
  </w:style>
  <w:style w:type="character" w:styleId="CommentReference">
    <w:name w:val="annotation reference"/>
    <w:basedOn w:val="DefaultParagraphFont"/>
    <w:semiHidden/>
    <w:unhideWhenUsed/>
    <w:rsid w:val="00636394"/>
    <w:rPr>
      <w:sz w:val="16"/>
      <w:szCs w:val="16"/>
    </w:rPr>
  </w:style>
  <w:style w:type="paragraph" w:styleId="CommentSubject">
    <w:name w:val="annotation subject"/>
    <w:basedOn w:val="CommentText"/>
    <w:next w:val="CommentText"/>
    <w:link w:val="CommentSubjectChar"/>
    <w:semiHidden/>
    <w:unhideWhenUsed/>
    <w:rsid w:val="0063639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636394"/>
    <w:rPr>
      <w:rFonts w:ascii="Arial" w:eastAsia="MS PGothic" w:hAnsi="Arial"/>
      <w:b/>
      <w:bCs/>
      <w:color w:val="000000"/>
      <w:lang w:val="en-GB"/>
    </w:rPr>
  </w:style>
  <w:style w:type="character" w:styleId="FollowedHyperlink">
    <w:name w:val="FollowedHyperlink"/>
    <w:basedOn w:val="DefaultParagraphFont"/>
    <w:rsid w:val="000455ED"/>
    <w:rPr>
      <w:color w:val="954F72" w:themeColor="followedHyperlink"/>
      <w:u w:val="single"/>
    </w:rPr>
  </w:style>
  <w:style w:type="numbering" w:customStyle="1" w:styleId="CurrentList1">
    <w:name w:val="Current List1"/>
    <w:uiPriority w:val="99"/>
    <w:rsid w:val="000F34E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398526639">
      <w:bodyDiv w:val="1"/>
      <w:marLeft w:val="0"/>
      <w:marRight w:val="0"/>
      <w:marTop w:val="0"/>
      <w:marBottom w:val="0"/>
      <w:divBdr>
        <w:top w:val="none" w:sz="0" w:space="0" w:color="auto"/>
        <w:left w:val="none" w:sz="0" w:space="0" w:color="auto"/>
        <w:bottom w:val="none" w:sz="0" w:space="0" w:color="auto"/>
        <w:right w:val="none" w:sz="0" w:space="0" w:color="auto"/>
      </w:divBdr>
      <w:divsChild>
        <w:div w:id="1766075251">
          <w:marLeft w:val="0"/>
          <w:marRight w:val="0"/>
          <w:marTop w:val="0"/>
          <w:marBottom w:val="0"/>
          <w:divBdr>
            <w:top w:val="none" w:sz="0" w:space="0" w:color="auto"/>
            <w:left w:val="none" w:sz="0" w:space="0" w:color="auto"/>
            <w:bottom w:val="none" w:sz="0" w:space="0" w:color="auto"/>
            <w:right w:val="none" w:sz="0" w:space="0" w:color="auto"/>
          </w:divBdr>
        </w:div>
        <w:div w:id="1580367199">
          <w:marLeft w:val="0"/>
          <w:marRight w:val="0"/>
          <w:marTop w:val="0"/>
          <w:marBottom w:val="0"/>
          <w:divBdr>
            <w:top w:val="none" w:sz="0" w:space="0" w:color="auto"/>
            <w:left w:val="none" w:sz="0" w:space="0" w:color="auto"/>
            <w:bottom w:val="none" w:sz="0" w:space="0" w:color="auto"/>
            <w:right w:val="none" w:sz="0" w:space="0" w:color="auto"/>
          </w:divBdr>
        </w:div>
        <w:div w:id="1381130189">
          <w:marLeft w:val="0"/>
          <w:marRight w:val="0"/>
          <w:marTop w:val="0"/>
          <w:marBottom w:val="0"/>
          <w:divBdr>
            <w:top w:val="none" w:sz="0" w:space="0" w:color="auto"/>
            <w:left w:val="none" w:sz="0" w:space="0" w:color="auto"/>
            <w:bottom w:val="none" w:sz="0" w:space="0" w:color="auto"/>
            <w:right w:val="none" w:sz="0" w:space="0" w:color="auto"/>
          </w:divBdr>
        </w:div>
        <w:div w:id="1554805349">
          <w:marLeft w:val="0"/>
          <w:marRight w:val="0"/>
          <w:marTop w:val="0"/>
          <w:marBottom w:val="0"/>
          <w:divBdr>
            <w:top w:val="none" w:sz="0" w:space="0" w:color="auto"/>
            <w:left w:val="none" w:sz="0" w:space="0" w:color="auto"/>
            <w:bottom w:val="none" w:sz="0" w:space="0" w:color="auto"/>
            <w:right w:val="none" w:sz="0" w:space="0" w:color="auto"/>
          </w:divBdr>
        </w:div>
        <w:div w:id="739405087">
          <w:marLeft w:val="0"/>
          <w:marRight w:val="0"/>
          <w:marTop w:val="0"/>
          <w:marBottom w:val="0"/>
          <w:divBdr>
            <w:top w:val="none" w:sz="0" w:space="0" w:color="auto"/>
            <w:left w:val="none" w:sz="0" w:space="0" w:color="auto"/>
            <w:bottom w:val="none" w:sz="0" w:space="0" w:color="auto"/>
            <w:right w:val="none" w:sz="0" w:space="0" w:color="auto"/>
          </w:divBdr>
        </w:div>
        <w:div w:id="1650552886">
          <w:marLeft w:val="0"/>
          <w:marRight w:val="0"/>
          <w:marTop w:val="0"/>
          <w:marBottom w:val="0"/>
          <w:divBdr>
            <w:top w:val="none" w:sz="0" w:space="0" w:color="auto"/>
            <w:left w:val="none" w:sz="0" w:space="0" w:color="auto"/>
            <w:bottom w:val="none" w:sz="0" w:space="0" w:color="auto"/>
            <w:right w:val="none" w:sz="0" w:space="0" w:color="auto"/>
          </w:divBdr>
        </w:div>
        <w:div w:id="2110081486">
          <w:marLeft w:val="0"/>
          <w:marRight w:val="0"/>
          <w:marTop w:val="0"/>
          <w:marBottom w:val="0"/>
          <w:divBdr>
            <w:top w:val="none" w:sz="0" w:space="0" w:color="auto"/>
            <w:left w:val="none" w:sz="0" w:space="0" w:color="auto"/>
            <w:bottom w:val="none" w:sz="0" w:space="0" w:color="auto"/>
            <w:right w:val="none" w:sz="0" w:space="0" w:color="auto"/>
          </w:divBdr>
        </w:div>
        <w:div w:id="2060859382">
          <w:marLeft w:val="0"/>
          <w:marRight w:val="0"/>
          <w:marTop w:val="0"/>
          <w:marBottom w:val="0"/>
          <w:divBdr>
            <w:top w:val="none" w:sz="0" w:space="0" w:color="auto"/>
            <w:left w:val="none" w:sz="0" w:space="0" w:color="auto"/>
            <w:bottom w:val="none" w:sz="0" w:space="0" w:color="auto"/>
            <w:right w:val="none" w:sz="0" w:space="0" w:color="auto"/>
          </w:divBdr>
        </w:div>
        <w:div w:id="2062821533">
          <w:marLeft w:val="0"/>
          <w:marRight w:val="0"/>
          <w:marTop w:val="0"/>
          <w:marBottom w:val="0"/>
          <w:divBdr>
            <w:top w:val="none" w:sz="0" w:space="0" w:color="auto"/>
            <w:left w:val="none" w:sz="0" w:space="0" w:color="auto"/>
            <w:bottom w:val="none" w:sz="0" w:space="0" w:color="auto"/>
            <w:right w:val="none" w:sz="0" w:space="0" w:color="auto"/>
          </w:divBdr>
        </w:div>
        <w:div w:id="372077664">
          <w:marLeft w:val="0"/>
          <w:marRight w:val="0"/>
          <w:marTop w:val="0"/>
          <w:marBottom w:val="0"/>
          <w:divBdr>
            <w:top w:val="none" w:sz="0" w:space="0" w:color="auto"/>
            <w:left w:val="none" w:sz="0" w:space="0" w:color="auto"/>
            <w:bottom w:val="none" w:sz="0" w:space="0" w:color="auto"/>
            <w:right w:val="none" w:sz="0" w:space="0" w:color="auto"/>
          </w:divBdr>
        </w:div>
        <w:div w:id="1806315867">
          <w:marLeft w:val="0"/>
          <w:marRight w:val="0"/>
          <w:marTop w:val="0"/>
          <w:marBottom w:val="0"/>
          <w:divBdr>
            <w:top w:val="none" w:sz="0" w:space="0" w:color="auto"/>
            <w:left w:val="none" w:sz="0" w:space="0" w:color="auto"/>
            <w:bottom w:val="none" w:sz="0" w:space="0" w:color="auto"/>
            <w:right w:val="none" w:sz="0" w:space="0" w:color="auto"/>
          </w:divBdr>
        </w:div>
        <w:div w:id="438574710">
          <w:marLeft w:val="0"/>
          <w:marRight w:val="0"/>
          <w:marTop w:val="0"/>
          <w:marBottom w:val="0"/>
          <w:divBdr>
            <w:top w:val="none" w:sz="0" w:space="0" w:color="auto"/>
            <w:left w:val="none" w:sz="0" w:space="0" w:color="auto"/>
            <w:bottom w:val="none" w:sz="0" w:space="0" w:color="auto"/>
            <w:right w:val="none" w:sz="0" w:space="0" w:color="auto"/>
          </w:divBdr>
        </w:div>
      </w:divsChild>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944313724">
      <w:bodyDiv w:val="1"/>
      <w:marLeft w:val="0"/>
      <w:marRight w:val="0"/>
      <w:marTop w:val="0"/>
      <w:marBottom w:val="0"/>
      <w:divBdr>
        <w:top w:val="none" w:sz="0" w:space="0" w:color="auto"/>
        <w:left w:val="none" w:sz="0" w:space="0" w:color="auto"/>
        <w:bottom w:val="none" w:sz="0" w:space="0" w:color="auto"/>
        <w:right w:val="none" w:sz="0" w:space="0" w:color="auto"/>
      </w:divBdr>
      <w:divsChild>
        <w:div w:id="877859609">
          <w:marLeft w:val="0"/>
          <w:marRight w:val="0"/>
          <w:marTop w:val="0"/>
          <w:marBottom w:val="0"/>
          <w:divBdr>
            <w:top w:val="none" w:sz="0" w:space="0" w:color="auto"/>
            <w:left w:val="none" w:sz="0" w:space="0" w:color="auto"/>
            <w:bottom w:val="none" w:sz="0" w:space="0" w:color="auto"/>
            <w:right w:val="none" w:sz="0" w:space="0" w:color="auto"/>
          </w:divBdr>
        </w:div>
        <w:div w:id="619848034">
          <w:marLeft w:val="0"/>
          <w:marRight w:val="0"/>
          <w:marTop w:val="0"/>
          <w:marBottom w:val="0"/>
          <w:divBdr>
            <w:top w:val="none" w:sz="0" w:space="0" w:color="auto"/>
            <w:left w:val="none" w:sz="0" w:space="0" w:color="auto"/>
            <w:bottom w:val="none" w:sz="0" w:space="0" w:color="auto"/>
            <w:right w:val="none" w:sz="0" w:space="0" w:color="auto"/>
          </w:divBdr>
        </w:div>
        <w:div w:id="836383621">
          <w:marLeft w:val="0"/>
          <w:marRight w:val="0"/>
          <w:marTop w:val="0"/>
          <w:marBottom w:val="0"/>
          <w:divBdr>
            <w:top w:val="none" w:sz="0" w:space="0" w:color="auto"/>
            <w:left w:val="none" w:sz="0" w:space="0" w:color="auto"/>
            <w:bottom w:val="none" w:sz="0" w:space="0" w:color="auto"/>
            <w:right w:val="none" w:sz="0" w:space="0" w:color="auto"/>
          </w:divBdr>
        </w:div>
        <w:div w:id="156000441">
          <w:marLeft w:val="0"/>
          <w:marRight w:val="0"/>
          <w:marTop w:val="0"/>
          <w:marBottom w:val="0"/>
          <w:divBdr>
            <w:top w:val="none" w:sz="0" w:space="0" w:color="auto"/>
            <w:left w:val="none" w:sz="0" w:space="0" w:color="auto"/>
            <w:bottom w:val="none" w:sz="0" w:space="0" w:color="auto"/>
            <w:right w:val="none" w:sz="0" w:space="0" w:color="auto"/>
          </w:divBdr>
        </w:div>
        <w:div w:id="865023473">
          <w:marLeft w:val="0"/>
          <w:marRight w:val="0"/>
          <w:marTop w:val="0"/>
          <w:marBottom w:val="0"/>
          <w:divBdr>
            <w:top w:val="none" w:sz="0" w:space="0" w:color="auto"/>
            <w:left w:val="none" w:sz="0" w:space="0" w:color="auto"/>
            <w:bottom w:val="none" w:sz="0" w:space="0" w:color="auto"/>
            <w:right w:val="none" w:sz="0" w:space="0" w:color="auto"/>
          </w:divBdr>
        </w:div>
        <w:div w:id="43255626">
          <w:marLeft w:val="0"/>
          <w:marRight w:val="0"/>
          <w:marTop w:val="0"/>
          <w:marBottom w:val="0"/>
          <w:divBdr>
            <w:top w:val="none" w:sz="0" w:space="0" w:color="auto"/>
            <w:left w:val="none" w:sz="0" w:space="0" w:color="auto"/>
            <w:bottom w:val="none" w:sz="0" w:space="0" w:color="auto"/>
            <w:right w:val="none" w:sz="0" w:space="0" w:color="auto"/>
          </w:divBdr>
        </w:div>
        <w:div w:id="507064665">
          <w:marLeft w:val="0"/>
          <w:marRight w:val="0"/>
          <w:marTop w:val="0"/>
          <w:marBottom w:val="0"/>
          <w:divBdr>
            <w:top w:val="none" w:sz="0" w:space="0" w:color="auto"/>
            <w:left w:val="none" w:sz="0" w:space="0" w:color="auto"/>
            <w:bottom w:val="none" w:sz="0" w:space="0" w:color="auto"/>
            <w:right w:val="none" w:sz="0" w:space="0" w:color="auto"/>
          </w:divBdr>
        </w:div>
        <w:div w:id="828835294">
          <w:marLeft w:val="0"/>
          <w:marRight w:val="0"/>
          <w:marTop w:val="0"/>
          <w:marBottom w:val="0"/>
          <w:divBdr>
            <w:top w:val="none" w:sz="0" w:space="0" w:color="auto"/>
            <w:left w:val="none" w:sz="0" w:space="0" w:color="auto"/>
            <w:bottom w:val="none" w:sz="0" w:space="0" w:color="auto"/>
            <w:right w:val="none" w:sz="0" w:space="0" w:color="auto"/>
          </w:divBdr>
        </w:div>
        <w:div w:id="2042969913">
          <w:marLeft w:val="0"/>
          <w:marRight w:val="0"/>
          <w:marTop w:val="0"/>
          <w:marBottom w:val="0"/>
          <w:divBdr>
            <w:top w:val="none" w:sz="0" w:space="0" w:color="auto"/>
            <w:left w:val="none" w:sz="0" w:space="0" w:color="auto"/>
            <w:bottom w:val="none" w:sz="0" w:space="0" w:color="auto"/>
            <w:right w:val="none" w:sz="0" w:space="0" w:color="auto"/>
          </w:divBdr>
        </w:div>
        <w:div w:id="1462650116">
          <w:marLeft w:val="0"/>
          <w:marRight w:val="0"/>
          <w:marTop w:val="0"/>
          <w:marBottom w:val="0"/>
          <w:divBdr>
            <w:top w:val="none" w:sz="0" w:space="0" w:color="auto"/>
            <w:left w:val="none" w:sz="0" w:space="0" w:color="auto"/>
            <w:bottom w:val="none" w:sz="0" w:space="0" w:color="auto"/>
            <w:right w:val="none" w:sz="0" w:space="0" w:color="auto"/>
          </w:divBdr>
        </w:div>
        <w:div w:id="1639993107">
          <w:marLeft w:val="0"/>
          <w:marRight w:val="0"/>
          <w:marTop w:val="0"/>
          <w:marBottom w:val="0"/>
          <w:divBdr>
            <w:top w:val="none" w:sz="0" w:space="0" w:color="auto"/>
            <w:left w:val="none" w:sz="0" w:space="0" w:color="auto"/>
            <w:bottom w:val="none" w:sz="0" w:space="0" w:color="auto"/>
            <w:right w:val="none" w:sz="0" w:space="0" w:color="auto"/>
          </w:divBdr>
        </w:div>
        <w:div w:id="281889742">
          <w:marLeft w:val="0"/>
          <w:marRight w:val="0"/>
          <w:marTop w:val="0"/>
          <w:marBottom w:val="0"/>
          <w:divBdr>
            <w:top w:val="none" w:sz="0" w:space="0" w:color="auto"/>
            <w:left w:val="none" w:sz="0" w:space="0" w:color="auto"/>
            <w:bottom w:val="none" w:sz="0" w:space="0" w:color="auto"/>
            <w:right w:val="none" w:sz="0" w:space="0" w:color="auto"/>
          </w:divBdr>
        </w:div>
      </w:divsChild>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488596251">
      <w:bodyDiv w:val="1"/>
      <w:marLeft w:val="0"/>
      <w:marRight w:val="0"/>
      <w:marTop w:val="0"/>
      <w:marBottom w:val="0"/>
      <w:divBdr>
        <w:top w:val="none" w:sz="0" w:space="0" w:color="auto"/>
        <w:left w:val="none" w:sz="0" w:space="0" w:color="auto"/>
        <w:bottom w:val="none" w:sz="0" w:space="0" w:color="auto"/>
        <w:right w:val="none" w:sz="0" w:space="0" w:color="auto"/>
      </w:divBdr>
      <w:divsChild>
        <w:div w:id="2076930125">
          <w:marLeft w:val="0"/>
          <w:marRight w:val="0"/>
          <w:marTop w:val="0"/>
          <w:marBottom w:val="0"/>
          <w:divBdr>
            <w:top w:val="none" w:sz="0" w:space="0" w:color="auto"/>
            <w:left w:val="none" w:sz="0" w:space="0" w:color="auto"/>
            <w:bottom w:val="none" w:sz="0" w:space="0" w:color="auto"/>
            <w:right w:val="none" w:sz="0" w:space="0" w:color="auto"/>
          </w:divBdr>
        </w:div>
        <w:div w:id="1966697493">
          <w:marLeft w:val="0"/>
          <w:marRight w:val="0"/>
          <w:marTop w:val="0"/>
          <w:marBottom w:val="0"/>
          <w:divBdr>
            <w:top w:val="none" w:sz="0" w:space="0" w:color="auto"/>
            <w:left w:val="none" w:sz="0" w:space="0" w:color="auto"/>
            <w:bottom w:val="none" w:sz="0" w:space="0" w:color="auto"/>
            <w:right w:val="none" w:sz="0" w:space="0" w:color="auto"/>
          </w:divBdr>
        </w:div>
        <w:div w:id="18167710">
          <w:marLeft w:val="0"/>
          <w:marRight w:val="0"/>
          <w:marTop w:val="0"/>
          <w:marBottom w:val="0"/>
          <w:divBdr>
            <w:top w:val="none" w:sz="0" w:space="0" w:color="auto"/>
            <w:left w:val="none" w:sz="0" w:space="0" w:color="auto"/>
            <w:bottom w:val="none" w:sz="0" w:space="0" w:color="auto"/>
            <w:right w:val="none" w:sz="0" w:space="0" w:color="auto"/>
          </w:divBdr>
        </w:div>
        <w:div w:id="1292129967">
          <w:marLeft w:val="0"/>
          <w:marRight w:val="0"/>
          <w:marTop w:val="0"/>
          <w:marBottom w:val="0"/>
          <w:divBdr>
            <w:top w:val="none" w:sz="0" w:space="0" w:color="auto"/>
            <w:left w:val="none" w:sz="0" w:space="0" w:color="auto"/>
            <w:bottom w:val="none" w:sz="0" w:space="0" w:color="auto"/>
            <w:right w:val="none" w:sz="0" w:space="0" w:color="auto"/>
          </w:divBdr>
        </w:div>
        <w:div w:id="291518569">
          <w:marLeft w:val="0"/>
          <w:marRight w:val="0"/>
          <w:marTop w:val="0"/>
          <w:marBottom w:val="0"/>
          <w:divBdr>
            <w:top w:val="none" w:sz="0" w:space="0" w:color="auto"/>
            <w:left w:val="none" w:sz="0" w:space="0" w:color="auto"/>
            <w:bottom w:val="none" w:sz="0" w:space="0" w:color="auto"/>
            <w:right w:val="none" w:sz="0" w:space="0" w:color="auto"/>
          </w:divBdr>
        </w:div>
        <w:div w:id="518087283">
          <w:marLeft w:val="0"/>
          <w:marRight w:val="0"/>
          <w:marTop w:val="0"/>
          <w:marBottom w:val="0"/>
          <w:divBdr>
            <w:top w:val="none" w:sz="0" w:space="0" w:color="auto"/>
            <w:left w:val="none" w:sz="0" w:space="0" w:color="auto"/>
            <w:bottom w:val="none" w:sz="0" w:space="0" w:color="auto"/>
            <w:right w:val="none" w:sz="0" w:space="0" w:color="auto"/>
          </w:divBdr>
        </w:div>
        <w:div w:id="2035107035">
          <w:marLeft w:val="0"/>
          <w:marRight w:val="0"/>
          <w:marTop w:val="0"/>
          <w:marBottom w:val="0"/>
          <w:divBdr>
            <w:top w:val="none" w:sz="0" w:space="0" w:color="auto"/>
            <w:left w:val="none" w:sz="0" w:space="0" w:color="auto"/>
            <w:bottom w:val="none" w:sz="0" w:space="0" w:color="auto"/>
            <w:right w:val="none" w:sz="0" w:space="0" w:color="auto"/>
          </w:divBdr>
        </w:div>
        <w:div w:id="387461228">
          <w:marLeft w:val="0"/>
          <w:marRight w:val="0"/>
          <w:marTop w:val="0"/>
          <w:marBottom w:val="0"/>
          <w:divBdr>
            <w:top w:val="none" w:sz="0" w:space="0" w:color="auto"/>
            <w:left w:val="none" w:sz="0" w:space="0" w:color="auto"/>
            <w:bottom w:val="none" w:sz="0" w:space="0" w:color="auto"/>
            <w:right w:val="none" w:sz="0" w:space="0" w:color="auto"/>
          </w:divBdr>
        </w:div>
        <w:div w:id="561327819">
          <w:marLeft w:val="0"/>
          <w:marRight w:val="0"/>
          <w:marTop w:val="0"/>
          <w:marBottom w:val="0"/>
          <w:divBdr>
            <w:top w:val="none" w:sz="0" w:space="0" w:color="auto"/>
            <w:left w:val="none" w:sz="0" w:space="0" w:color="auto"/>
            <w:bottom w:val="none" w:sz="0" w:space="0" w:color="auto"/>
            <w:right w:val="none" w:sz="0" w:space="0" w:color="auto"/>
          </w:divBdr>
        </w:div>
        <w:div w:id="1041398488">
          <w:marLeft w:val="0"/>
          <w:marRight w:val="0"/>
          <w:marTop w:val="0"/>
          <w:marBottom w:val="0"/>
          <w:divBdr>
            <w:top w:val="none" w:sz="0" w:space="0" w:color="auto"/>
            <w:left w:val="none" w:sz="0" w:space="0" w:color="auto"/>
            <w:bottom w:val="none" w:sz="0" w:space="0" w:color="auto"/>
            <w:right w:val="none" w:sz="0" w:space="0" w:color="auto"/>
          </w:divBdr>
        </w:div>
        <w:div w:id="1101728855">
          <w:marLeft w:val="0"/>
          <w:marRight w:val="0"/>
          <w:marTop w:val="0"/>
          <w:marBottom w:val="0"/>
          <w:divBdr>
            <w:top w:val="none" w:sz="0" w:space="0" w:color="auto"/>
            <w:left w:val="none" w:sz="0" w:space="0" w:color="auto"/>
            <w:bottom w:val="none" w:sz="0" w:space="0" w:color="auto"/>
            <w:right w:val="none" w:sz="0" w:space="0" w:color="auto"/>
          </w:divBdr>
        </w:div>
        <w:div w:id="1179008707">
          <w:marLeft w:val="0"/>
          <w:marRight w:val="0"/>
          <w:marTop w:val="0"/>
          <w:marBottom w:val="0"/>
          <w:divBdr>
            <w:top w:val="none" w:sz="0" w:space="0" w:color="auto"/>
            <w:left w:val="none" w:sz="0" w:space="0" w:color="auto"/>
            <w:bottom w:val="none" w:sz="0" w:space="0" w:color="auto"/>
            <w:right w:val="none" w:sz="0" w:space="0" w:color="auto"/>
          </w:divBdr>
        </w:div>
      </w:divsChild>
    </w:div>
    <w:div w:id="1523860080">
      <w:bodyDiv w:val="1"/>
      <w:marLeft w:val="0"/>
      <w:marRight w:val="0"/>
      <w:marTop w:val="0"/>
      <w:marBottom w:val="0"/>
      <w:divBdr>
        <w:top w:val="none" w:sz="0" w:space="0" w:color="auto"/>
        <w:left w:val="none" w:sz="0" w:space="0" w:color="auto"/>
        <w:bottom w:val="none" w:sz="0" w:space="0" w:color="auto"/>
        <w:right w:val="none" w:sz="0" w:space="0" w:color="auto"/>
      </w:divBdr>
      <w:divsChild>
        <w:div w:id="1082139556">
          <w:marLeft w:val="0"/>
          <w:marRight w:val="0"/>
          <w:marTop w:val="0"/>
          <w:marBottom w:val="0"/>
          <w:divBdr>
            <w:top w:val="none" w:sz="0" w:space="0" w:color="auto"/>
            <w:left w:val="none" w:sz="0" w:space="0" w:color="auto"/>
            <w:bottom w:val="none" w:sz="0" w:space="0" w:color="auto"/>
            <w:right w:val="none" w:sz="0" w:space="0" w:color="auto"/>
          </w:divBdr>
        </w:div>
        <w:div w:id="1419018219">
          <w:marLeft w:val="0"/>
          <w:marRight w:val="0"/>
          <w:marTop w:val="0"/>
          <w:marBottom w:val="0"/>
          <w:divBdr>
            <w:top w:val="none" w:sz="0" w:space="0" w:color="auto"/>
            <w:left w:val="none" w:sz="0" w:space="0" w:color="auto"/>
            <w:bottom w:val="none" w:sz="0" w:space="0" w:color="auto"/>
            <w:right w:val="none" w:sz="0" w:space="0" w:color="auto"/>
          </w:divBdr>
        </w:div>
        <w:div w:id="4865179">
          <w:marLeft w:val="0"/>
          <w:marRight w:val="0"/>
          <w:marTop w:val="0"/>
          <w:marBottom w:val="0"/>
          <w:divBdr>
            <w:top w:val="none" w:sz="0" w:space="0" w:color="auto"/>
            <w:left w:val="none" w:sz="0" w:space="0" w:color="auto"/>
            <w:bottom w:val="none" w:sz="0" w:space="0" w:color="auto"/>
            <w:right w:val="none" w:sz="0" w:space="0" w:color="auto"/>
          </w:divBdr>
        </w:div>
        <w:div w:id="665211617">
          <w:marLeft w:val="0"/>
          <w:marRight w:val="0"/>
          <w:marTop w:val="0"/>
          <w:marBottom w:val="0"/>
          <w:divBdr>
            <w:top w:val="none" w:sz="0" w:space="0" w:color="auto"/>
            <w:left w:val="none" w:sz="0" w:space="0" w:color="auto"/>
            <w:bottom w:val="none" w:sz="0" w:space="0" w:color="auto"/>
            <w:right w:val="none" w:sz="0" w:space="0" w:color="auto"/>
          </w:divBdr>
        </w:div>
        <w:div w:id="282537209">
          <w:marLeft w:val="0"/>
          <w:marRight w:val="0"/>
          <w:marTop w:val="0"/>
          <w:marBottom w:val="0"/>
          <w:divBdr>
            <w:top w:val="none" w:sz="0" w:space="0" w:color="auto"/>
            <w:left w:val="none" w:sz="0" w:space="0" w:color="auto"/>
            <w:bottom w:val="none" w:sz="0" w:space="0" w:color="auto"/>
            <w:right w:val="none" w:sz="0" w:space="0" w:color="auto"/>
          </w:divBdr>
        </w:div>
        <w:div w:id="1489327610">
          <w:marLeft w:val="0"/>
          <w:marRight w:val="0"/>
          <w:marTop w:val="0"/>
          <w:marBottom w:val="0"/>
          <w:divBdr>
            <w:top w:val="none" w:sz="0" w:space="0" w:color="auto"/>
            <w:left w:val="none" w:sz="0" w:space="0" w:color="auto"/>
            <w:bottom w:val="none" w:sz="0" w:space="0" w:color="auto"/>
            <w:right w:val="none" w:sz="0" w:space="0" w:color="auto"/>
          </w:divBdr>
        </w:div>
        <w:div w:id="42023972">
          <w:marLeft w:val="0"/>
          <w:marRight w:val="0"/>
          <w:marTop w:val="0"/>
          <w:marBottom w:val="0"/>
          <w:divBdr>
            <w:top w:val="none" w:sz="0" w:space="0" w:color="auto"/>
            <w:left w:val="none" w:sz="0" w:space="0" w:color="auto"/>
            <w:bottom w:val="none" w:sz="0" w:space="0" w:color="auto"/>
            <w:right w:val="none" w:sz="0" w:space="0" w:color="auto"/>
          </w:divBdr>
        </w:div>
        <w:div w:id="945505888">
          <w:marLeft w:val="0"/>
          <w:marRight w:val="0"/>
          <w:marTop w:val="0"/>
          <w:marBottom w:val="0"/>
          <w:divBdr>
            <w:top w:val="none" w:sz="0" w:space="0" w:color="auto"/>
            <w:left w:val="none" w:sz="0" w:space="0" w:color="auto"/>
            <w:bottom w:val="none" w:sz="0" w:space="0" w:color="auto"/>
            <w:right w:val="none" w:sz="0" w:space="0" w:color="auto"/>
          </w:divBdr>
        </w:div>
        <w:div w:id="1923710552">
          <w:marLeft w:val="0"/>
          <w:marRight w:val="0"/>
          <w:marTop w:val="0"/>
          <w:marBottom w:val="0"/>
          <w:divBdr>
            <w:top w:val="none" w:sz="0" w:space="0" w:color="auto"/>
            <w:left w:val="none" w:sz="0" w:space="0" w:color="auto"/>
            <w:bottom w:val="none" w:sz="0" w:space="0" w:color="auto"/>
            <w:right w:val="none" w:sz="0" w:space="0" w:color="auto"/>
          </w:divBdr>
        </w:div>
        <w:div w:id="1087458920">
          <w:marLeft w:val="0"/>
          <w:marRight w:val="0"/>
          <w:marTop w:val="0"/>
          <w:marBottom w:val="0"/>
          <w:divBdr>
            <w:top w:val="none" w:sz="0" w:space="0" w:color="auto"/>
            <w:left w:val="none" w:sz="0" w:space="0" w:color="auto"/>
            <w:bottom w:val="none" w:sz="0" w:space="0" w:color="auto"/>
            <w:right w:val="none" w:sz="0" w:space="0" w:color="auto"/>
          </w:divBdr>
        </w:div>
        <w:div w:id="1286742056">
          <w:marLeft w:val="0"/>
          <w:marRight w:val="0"/>
          <w:marTop w:val="0"/>
          <w:marBottom w:val="0"/>
          <w:divBdr>
            <w:top w:val="none" w:sz="0" w:space="0" w:color="auto"/>
            <w:left w:val="none" w:sz="0" w:space="0" w:color="auto"/>
            <w:bottom w:val="none" w:sz="0" w:space="0" w:color="auto"/>
            <w:right w:val="none" w:sz="0" w:space="0" w:color="auto"/>
          </w:divBdr>
        </w:div>
        <w:div w:id="1277448887">
          <w:marLeft w:val="0"/>
          <w:marRight w:val="0"/>
          <w:marTop w:val="0"/>
          <w:marBottom w:val="0"/>
          <w:divBdr>
            <w:top w:val="none" w:sz="0" w:space="0" w:color="auto"/>
            <w:left w:val="none" w:sz="0" w:space="0" w:color="auto"/>
            <w:bottom w:val="none" w:sz="0" w:space="0" w:color="auto"/>
            <w:right w:val="none" w:sz="0" w:space="0" w:color="auto"/>
          </w:divBdr>
        </w:div>
      </w:divsChild>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unicef.org/careers/unicef-provides-reasonable-accommodation-job-candidates-and-personnel-disabiliti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pk.go.id/assets/files/lkpp/2020/lkpp_2020_1624341245.pdf" TargetMode="External"/><Relationship Id="rId7" Type="http://schemas.openxmlformats.org/officeDocument/2006/relationships/hyperlink" Target="https://kpbu.kemenkeu.go.id/proyek/proyeklist?sektor=-1&amp;prov=-1&amp;kota=-1&amp;status=-1" TargetMode="External"/><Relationship Id="rId2" Type="http://schemas.openxmlformats.org/officeDocument/2006/relationships/hyperlink" Target="https://jatim.bps.go.id/statictable/2023/04/06/2639/jumlah-penduduk-menurut-kelompok-umur-dan-jenis-kelamin-di-provinsi-jawa-timur-jiwa-2022.html" TargetMode="External"/><Relationship Id="rId1" Type="http://schemas.openxmlformats.org/officeDocument/2006/relationships/hyperlink" Target="https://www.undp.org/sites/g/files/zskgke326/files/2022-09/INFF%202022%20-%20250822_Final.pdf" TargetMode="External"/><Relationship Id="rId6" Type="http://schemas.openxmlformats.org/officeDocument/2006/relationships/hyperlink" Target="https://www.unicef.org/indonesia/social-policy/reports/assessment-indonesias-municipal-bond-landscape" TargetMode="External"/><Relationship Id="rId5" Type="http://schemas.openxmlformats.org/officeDocument/2006/relationships/hyperlink" Target="https://jatim.bps.go.id/pressrelease/2023/07/17/1381/persentase-penduduk-miskin-maret-2023-turun-menjadi-10-35-persen.html" TargetMode="External"/><Relationship Id="rId4" Type="http://schemas.openxmlformats.org/officeDocument/2006/relationships/hyperlink" Target="https://djpk.kemenkeu.go.id/portal/data/ap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0A74B6079A7CD34D9CA1F9C8420FD409" ma:contentTypeVersion="32" ma:contentTypeDescription="" ma:contentTypeScope="" ma:versionID="bd45b91983c9ff7891929292d2da0ecc">
  <xsd:schema xmlns:xsd="http://www.w3.org/2001/XMLSchema" xmlns:xs="http://www.w3.org/2001/XMLSchema" xmlns:p="http://schemas.microsoft.com/office/2006/metadata/properties" xmlns:ns1="http://schemas.microsoft.com/sharepoint/v3" xmlns:ns2="ca283e0b-db31-4043-a2ef-b80661bf084a" xmlns:ns3="http://schemas.microsoft.com/sharepoint.v3" xmlns:ns4="e2d5ab07-a70f-4f5f-b468-4a3acb326ad1" xmlns:ns5="http://schemas.microsoft.com/sharepoint/v4" xmlns:ns6="a6ddbe9d-33cd-4118-abe1-254542dfdc9d" targetNamespace="http://schemas.microsoft.com/office/2006/metadata/properties" ma:root="true" ma:fieldsID="86f172095e75d1bf75a4b8c33ee0ec2b" ns1:_="" ns2:_="" ns3:_="" ns4:_="" ns5:_="" ns6:_="">
    <xsd:import namespace="http://schemas.microsoft.com/sharepoint/v3"/>
    <xsd:import namespace="ca283e0b-db31-4043-a2ef-b80661bf084a"/>
    <xsd:import namespace="http://schemas.microsoft.com/sharepoint.v3"/>
    <xsd:import namespace="e2d5ab07-a70f-4f5f-b468-4a3acb326ad1"/>
    <xsd:import namespace="http://schemas.microsoft.com/sharepoint/v4"/>
    <xsd:import namespace="a6ddbe9d-33cd-4118-abe1-254542dfdc9d"/>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6:MediaServiceMetadata" minOccurs="0"/>
                <xsd:element ref="ns6:MediaServiceFastMetadata" minOccurs="0"/>
                <xsd:element ref="ns6:MediaServiceObjectDetectorVersions" minOccurs="0"/>
                <xsd:element ref="ns6:MediaLengthInSeconds" minOccurs="0"/>
                <xsd:element ref="ns6:MediaServiceDateTaken" minOccurs="0"/>
                <xsd:element ref="ns4:SharedWithUsers" minOccurs="0"/>
                <xsd:element ref="ns4:SharedWithDetails" minOccurs="0"/>
                <xsd:element ref="ns6:lcf76f155ced4ddcb4097134ff3c332f" minOccurs="0"/>
                <xsd:element ref="ns6:MediaServiceOCR" minOccurs="0"/>
                <xsd:element ref="ns6:MediaServiceGenerationTime" minOccurs="0"/>
                <xsd:element ref="ns6:MediaServiceEventHashCode" minOccurs="0"/>
                <xsd:element ref="ns6:MediaServiceLocation"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element name="_vti_ItemDeclaredRecord" ma:index="33"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65cb391-9078-4a62-8a45-4b2434cbca57}" ma:internalName="TaxCatchAllLabel" ma:readOnly="true" ma:showField="CatchAllDataLabel" ma:web="e2d5ab07-a70f-4f5f-b468-4a3acb326ad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65cb391-9078-4a62-8a45-4b2434cbca57}" ma:internalName="TaxCatchAll" ma:showField="CatchAllData" ma:web="e2d5ab07-a70f-4f5f-b468-4a3acb326ad1">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d5ab07-a70f-4f5f-b468-4a3acb326ad1" elementFormDefault="qualified">
    <xsd:import namespace="http://schemas.microsoft.com/office/2006/documentManagement/types"/>
    <xsd:import namespace="http://schemas.microsoft.com/office/infopath/2007/PartnerControls"/>
    <xsd:element name="TaxKeywordTaxHTField" ma:index="3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ddbe9d-33cd-4118-abe1-254542dfdc9d"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MediaServiceDateTaken" ma:index="42" nillable="true" ma:displayName="MediaServiceDateTaken" ma:hidden="true" ma:indexed="true" ma:internalName="MediaServiceDateTaken" ma:readOnly="true">
      <xsd:simpleType>
        <xsd:restriction base="dms:Text"/>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CR" ma:index="47" nillable="true" ma:displayName="Extracted Text" ma:internalName="MediaServiceOCR" ma:readOnly="true">
      <xsd:simpleType>
        <xsd:restriction base="dms:Note">
          <xsd:maxLength value="255"/>
        </xsd:restriction>
      </xsd:simpleType>
    </xsd:element>
    <xsd:element name="MediaServiceGenerationTime" ma:index="48" nillable="true" ma:displayName="MediaServiceGenerationTime" ma:hidden="true" ma:internalName="MediaServiceGenerationTime" ma:readOnly="true">
      <xsd:simpleType>
        <xsd:restriction base="dms:Text"/>
      </xsd:simpleType>
    </xsd:element>
    <xsd:element name="MediaServiceEventHashCode" ma:index="49" nillable="true" ma:displayName="MediaServiceEventHashCode" ma:hidden="true" ma:internalName="MediaServiceEventHashCode" ma:readOnly="true">
      <xsd:simpleType>
        <xsd:restriction base="dms:Text"/>
      </xsd:simpleType>
    </xsd:element>
    <xsd:element name="MediaServiceLocation" ma:index="50" nillable="true" ma:displayName="Location" ma:description="" ma:indexed="true" ma:internalName="MediaServiceLocation" ma:readOnly="true">
      <xsd:simpleType>
        <xsd:restriction base="dms:Text"/>
      </xsd:simpleType>
    </xsd:element>
    <xsd:element name="MediaServiceSearchProperties" ma:index="5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Value>
      <Value>80</Value>
      <Value>79</Value>
    </TaxCatchAll>
    <ga975397408f43e4b84ec8e5a598e523 xmlns="ca283e0b-db31-4043-a2ef-b80661bf084a">
      <Terms xmlns="http://schemas.microsoft.com/office/infopath/2007/PartnerControl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haredWithUsers xmlns="e2d5ab07-a70f-4f5f-b468-4a3acb326ad1">
      <UserInfo>
        <DisplayName>Vrishali Narkar</DisplayName>
        <AccountId>18</AccountId>
        <AccountType/>
      </UserInfo>
      <UserInfo>
        <DisplayName>Deborah Barber</DisplayName>
        <AccountId>20</AccountId>
        <AccountType/>
      </UserInfo>
      <UserInfo>
        <DisplayName>Tajudeen Oyewale</DisplayName>
        <AccountId>30</AccountId>
        <AccountType/>
      </UserInfo>
      <UserInfo>
        <DisplayName>Benjamin Meyer</DisplayName>
        <AccountId>29</AccountId>
        <AccountType/>
      </UserInfo>
      <UserInfo>
        <DisplayName>Donny Putra</DisplayName>
        <AccountId>2840</AccountId>
        <AccountType/>
      </UserInfo>
      <UserInfo>
        <DisplayName>Juna Wauran</DisplayName>
        <AccountId>1357</AccountId>
        <AccountType/>
      </UserInfo>
    </SharedWithUsers>
    <_dlc_DocId xmlns="e2d5ab07-a70f-4f5f-b468-4a3acb326ad1">XPMHCF4M7FPR-1122297441-376842</_dlc_DocId>
    <_dlc_DocIdUrl xmlns="e2d5ab07-a70f-4f5f-b468-4a3acb326ad1">
      <Url>https://unicef.sharepoint.com/teams/IDN-HR/_layouts/15/DocIdRedir.aspx?ID=XPMHCF4M7FPR-1122297441-376842</Url>
      <Description>XPMHCF4M7FPR-1122297441-376842</Description>
    </_dlc_DocIdUrl>
    <lcf76f155ced4ddcb4097134ff3c332f xmlns="a6ddbe9d-33cd-4118-abe1-254542dfdc9d">
      <Terms xmlns="http://schemas.microsoft.com/office/infopath/2007/PartnerControls"/>
    </lcf76f155ced4ddcb4097134ff3c332f>
    <MediaLengthInSeconds xmlns="a6ddbe9d-33cd-4118-abe1-254542dfdc9d" xsi:nil="true"/>
    <_dlc_DocIdPersistId xmlns="e2d5ab07-a70f-4f5f-b468-4a3acb326ad1">false</_dlc_DocIdPersistId>
    <TaxKeywordTaxHTField xmlns="e2d5ab07-a70f-4f5f-b468-4a3acb326ad1">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11111111-1111-1111-1111-111111111111</TermId>
        </TermInfo>
        <TermInfo xmlns="http://schemas.microsoft.com/office/infopath/2007/PartnerControls">
          <TermName xmlns="http://schemas.microsoft.com/office/infopath/2007/PartnerControls">staff)</TermName>
          <TermId xmlns="http://schemas.microsoft.com/office/infopath/2007/PartnerControls">25c256cd-86bc-46a6-8d8b-50b6c612e0f3</TermId>
        </TermInfo>
        <TermInfo xmlns="http://schemas.microsoft.com/office/infopath/2007/PartnerControls">
          <TermName xmlns="http://schemas.microsoft.com/office/infopath/2007/PartnerControls">Separation letters (draft</TermName>
          <TermId xmlns="http://schemas.microsoft.com/office/infopath/2007/PartnerControls">47f1e20d-6dba-4e50-9c62-6045a12adfd4</TermId>
        </TermInfo>
      </Terms>
    </TaxKeywordTaxHTField>
  </documentManagement>
</p:properti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03126B0-5F3D-4ECF-A0D3-F9A1D6A9B163}"/>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03aba595-bc08-4bc6-a067-44fa0d6fce4c"/>
    <ds:schemaRef ds:uri="fbe93874-2c00-4179-8df0-8527b935a5db"/>
  </ds:schemaRefs>
</ds:datastoreItem>
</file>

<file path=customXml/itemProps3.xml><?xml version="1.0" encoding="utf-8"?>
<ds:datastoreItem xmlns:ds="http://schemas.openxmlformats.org/officeDocument/2006/customXml" ds:itemID="{E01E7356-88CF-462B-BBD3-19470EC662CF}">
  <ds:schemaRefs>
    <ds:schemaRef ds:uri="Microsoft.SharePoint.Taxonomy.ContentTypeSync"/>
  </ds:schemaRefs>
</ds:datastoreItem>
</file>

<file path=customXml/itemProps4.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5.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6.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7.xml><?xml version="1.0" encoding="utf-8"?>
<ds:datastoreItem xmlns:ds="http://schemas.openxmlformats.org/officeDocument/2006/customXml" ds:itemID="{5013806B-ED11-42AE-B0B1-443A2AB58AB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3</TotalTime>
  <Pages>5</Pages>
  <Words>2121</Words>
  <Characters>12091</Characters>
  <Application>Microsoft Office Word</Application>
  <DocSecurity>0</DocSecurity>
  <Lines>100</Lines>
  <Paragraphs>28</Paragraphs>
  <ScaleCrop>false</ScaleCrop>
  <Company>UNICEF</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Separation letters (draft, staff)</cp:keywords>
  <dc:description/>
  <cp:lastModifiedBy>Rima Kesuma</cp:lastModifiedBy>
  <cp:revision>3</cp:revision>
  <cp:lastPrinted>2017-01-07T13:20:00Z</cp:lastPrinted>
  <dcterms:created xsi:type="dcterms:W3CDTF">2024-06-04T03:12:00Z</dcterms:created>
  <dcterms:modified xsi:type="dcterms:W3CDTF">2024-06-04T03:17:00Z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0x0101009BA85F8052A6DA4FA3E31FF9F74C6970000A74B6079A7CD34D9CA1F9C8420FD409</vt:lpwstr>
  </property>
  <property fmtid="{D5CDD505-2E9C-101B-9397-08002B2CF9AE}" pid="3" name="TaxKeyword">
    <vt:lpwstr>4;#Consultant|11111111-1111-1111-1111-111111111111;#80;#staff)|25c256cd-86bc-46a6-8d8b-50b6c612e0f3;#79;#Separation letters (draft|47f1e20d-6dba-4e50-9c62-6045a12adfd4</vt:lpwstr>
  </property>
  <property fmtid="{D5CDD505-2E9C-101B-9397-08002B2CF9AE}" pid="4" name="Topic">
    <vt:lpwstr/>
  </property>
  <property fmtid="{D5CDD505-2E9C-101B-9397-08002B2CF9AE}" pid="5" name="OfficeDivision">
    <vt:lpwstr/>
  </property>
  <property fmtid="{D5CDD505-2E9C-101B-9397-08002B2CF9AE}" pid="6" name="_dlc_DocIdItemGuid">
    <vt:lpwstr>a4d9339f-bbb7-4f84-a34a-c4436a107c9f</vt:lpwstr>
  </property>
  <property fmtid="{D5CDD505-2E9C-101B-9397-08002B2CF9AE}" pid="7" name="DocumentType">
    <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ies>
</file>