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D7D0" w14:textId="77777777" w:rsidR="0019401C" w:rsidRPr="0019401C" w:rsidRDefault="0019401C" w:rsidP="0019401C">
      <w:pPr>
        <w:pStyle w:val="NormalWeb"/>
        <w:rPr>
          <w:lang w:val="fr-FR"/>
        </w:rPr>
      </w:pPr>
      <w:r w:rsidRPr="0019401C">
        <w:rPr>
          <w:lang w:val="fr-FR"/>
        </w:rPr>
        <w:t>L'UNICEF travaille dans certains des endroits les plus difficiles du monde, pour atteindre les enfants les plus défavorisés du monde. Pour sauver leur vie. Pour défendre leurs droits. Pour les aider à réaliser leur potentiel.</w:t>
      </w:r>
    </w:p>
    <w:p w14:paraId="69E84C88" w14:textId="77777777" w:rsidR="0019401C" w:rsidRPr="0019401C" w:rsidRDefault="0019401C" w:rsidP="0019401C">
      <w:pPr>
        <w:pStyle w:val="NormalWeb"/>
        <w:rPr>
          <w:lang w:val="fr-FR"/>
        </w:rPr>
      </w:pPr>
      <w:r w:rsidRPr="0019401C">
        <w:rPr>
          <w:lang w:val="fr-FR"/>
        </w:rPr>
        <w:t>Dans 190 pays et territoires, nous travaillons pour chaque enfant, partout, tous les jours, afin de construire un monde meilleur pour tous.</w:t>
      </w:r>
    </w:p>
    <w:p w14:paraId="0FCCF4EC" w14:textId="77777777" w:rsidR="0019401C" w:rsidRPr="0019401C" w:rsidRDefault="0019401C" w:rsidP="0019401C">
      <w:pPr>
        <w:pStyle w:val="NormalWeb"/>
        <w:rPr>
          <w:lang w:val="fr-FR"/>
        </w:rPr>
      </w:pPr>
      <w:r w:rsidRPr="0019401C">
        <w:rPr>
          <w:rStyle w:val="Emphasis"/>
          <w:b/>
          <w:bCs/>
          <w:lang w:val="fr-FR"/>
        </w:rPr>
        <w:t>Et nous n'abandonnons jamais.</w:t>
      </w:r>
    </w:p>
    <w:p w14:paraId="44DCAA58" w14:textId="77777777" w:rsidR="0019401C" w:rsidRPr="0019401C" w:rsidRDefault="0019401C" w:rsidP="0019401C">
      <w:pPr>
        <w:pStyle w:val="NormalWeb"/>
        <w:rPr>
          <w:lang w:val="fr-FR"/>
        </w:rPr>
      </w:pPr>
      <w:r w:rsidRPr="0019401C">
        <w:rPr>
          <w:rStyle w:val="Strong"/>
          <w:color w:val="000000"/>
          <w:lang w:val="fr-FR"/>
        </w:rPr>
        <w:t>Pour chaque enfant, une Vision</w:t>
      </w:r>
    </w:p>
    <w:p w14:paraId="73201F7C" w14:textId="77777777" w:rsidR="002E789C" w:rsidRPr="0019401C" w:rsidRDefault="002E789C" w:rsidP="00172E8B">
      <w:pPr>
        <w:pStyle w:val="Title"/>
        <w:jc w:val="left"/>
        <w:rPr>
          <w:rFonts w:eastAsia="Arial"/>
          <w:b/>
          <w:bCs/>
          <w:snapToGrid/>
          <w:sz w:val="22"/>
          <w:szCs w:val="22"/>
          <w:lang w:val="fr-FR"/>
        </w:rPr>
      </w:pPr>
    </w:p>
    <w:p w14:paraId="780FDEB7" w14:textId="0F11AB84" w:rsidR="00172E8B" w:rsidRPr="0019401C" w:rsidRDefault="00172E8B" w:rsidP="0019401C">
      <w:pPr>
        <w:pStyle w:val="Heading1"/>
        <w:jc w:val="left"/>
        <w:rPr>
          <w:rFonts w:eastAsia="Arial"/>
          <w:b/>
          <w:sz w:val="22"/>
          <w:szCs w:val="22"/>
          <w:lang w:val="fr-FR"/>
        </w:rPr>
      </w:pPr>
      <w:r w:rsidRPr="0019401C">
        <w:rPr>
          <w:rFonts w:eastAsia="Arial"/>
          <w:b/>
          <w:sz w:val="22"/>
          <w:szCs w:val="22"/>
          <w:lang w:val="fr-FR"/>
        </w:rPr>
        <w:t>Contexte</w:t>
      </w:r>
    </w:p>
    <w:p w14:paraId="13E0044D" w14:textId="77777777" w:rsidR="00172E8B" w:rsidRPr="0019401C" w:rsidRDefault="00172E8B" w:rsidP="00172E8B">
      <w:pPr>
        <w:pStyle w:val="Title"/>
        <w:jc w:val="left"/>
        <w:rPr>
          <w:bCs/>
          <w:sz w:val="22"/>
          <w:szCs w:val="22"/>
          <w:lang w:val="fr-FR"/>
        </w:rPr>
      </w:pPr>
    </w:p>
    <w:p w14:paraId="2362E77C"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sz w:val="22"/>
          <w:szCs w:val="22"/>
          <w:lang w:val="fr-FR" w:eastAsia="ja-JP"/>
        </w:rPr>
        <w:t xml:space="preserve">Dans le cadre de </w:t>
      </w:r>
      <w:r w:rsidRPr="0019401C">
        <w:rPr>
          <w:rFonts w:eastAsiaTheme="minorHAnsi"/>
          <w:bCs/>
          <w:sz w:val="22"/>
          <w:szCs w:val="22"/>
          <w:lang w:val="fr-FR" w:eastAsia="ja-JP"/>
        </w:rPr>
        <w:t>l’appui</w:t>
      </w:r>
      <w:r w:rsidRPr="0019401C">
        <w:rPr>
          <w:sz w:val="22"/>
          <w:szCs w:val="22"/>
          <w:lang w:val="fr-FR" w:eastAsia="ja-JP"/>
        </w:rPr>
        <w:t xml:space="preserve"> de l’UNICEF a la Direction de l’hydraulique rural (DHR), il est prévu de renforcer la capacité du personnel technique en charge de la maintenance et de l’entretien des équipements </w:t>
      </w:r>
      <w:r w:rsidRPr="0019401C">
        <w:rPr>
          <w:rFonts w:eastAsiaTheme="minorHAnsi"/>
          <w:bCs/>
          <w:sz w:val="22"/>
          <w:szCs w:val="22"/>
          <w:lang w:val="fr-FR" w:eastAsia="ja-JP"/>
        </w:rPr>
        <w:t xml:space="preserve">électromécaniques et solaires des stations de pompage en milieu rural.  Ce type de renforcement des capacités permet à la DHR d’optimiser ses actions de maintenance et par ricochet de renforcer son action en faveur de l’accès à l’eau en milieu rural.   </w:t>
      </w:r>
    </w:p>
    <w:p w14:paraId="245741E9"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Actuellement, La DHR dispose d’un personnel technique diplômé et formé à l’université et dans les lycées techniques de la capitale et elle assure actuellement la gestion et la maintenance de 140 ouvrages hydrauliques. Le pompage de l’eau s’effectue grâce aux équipements de pompage (Pompe immergée, Groupe Electrogène, Panneaux solaires, coffrets de commande, etc.).</w:t>
      </w:r>
    </w:p>
    <w:p w14:paraId="42885485" w14:textId="77777777" w:rsidR="001E0A6A" w:rsidRPr="0019401C" w:rsidRDefault="001E0A6A" w:rsidP="001E0A6A">
      <w:pPr>
        <w:spacing w:after="200" w:line="276" w:lineRule="auto"/>
        <w:jc w:val="both"/>
        <w:rPr>
          <w:sz w:val="22"/>
          <w:szCs w:val="22"/>
          <w:lang w:val="fr-FR" w:eastAsia="ja-JP"/>
        </w:rPr>
      </w:pPr>
      <w:r w:rsidRPr="0019401C">
        <w:rPr>
          <w:rFonts w:eastAsiaTheme="minorHAnsi"/>
          <w:bCs/>
          <w:sz w:val="22"/>
          <w:szCs w:val="22"/>
          <w:lang w:val="fr-FR" w:eastAsia="ja-JP"/>
        </w:rPr>
        <w:t>Dans le contexte</w:t>
      </w:r>
      <w:r w:rsidRPr="0019401C">
        <w:rPr>
          <w:sz w:val="22"/>
          <w:szCs w:val="22"/>
          <w:lang w:val="fr-FR" w:eastAsia="ja-JP"/>
        </w:rPr>
        <w:t xml:space="preserve"> actuel, les forages profonds et les puits à grand diamètre et de faible profondeur constituent les principaux ouvrages permettant de capter les eaux souterraines en milieu rural et qui forment l’essentiel du parc hydraulique du pays. Chaque région est dotée d’une dizaine de ces ouvrages qui en assure l’alimentation en eau des populations, du cheptel et à un moindre degré de l’agriculture.</w:t>
      </w:r>
    </w:p>
    <w:p w14:paraId="031F5A19" w14:textId="77777777" w:rsidR="001E0A6A" w:rsidRPr="0019401C" w:rsidRDefault="001E0A6A" w:rsidP="001E0A6A">
      <w:pPr>
        <w:spacing w:after="200" w:line="276" w:lineRule="auto"/>
        <w:jc w:val="both"/>
        <w:rPr>
          <w:sz w:val="22"/>
          <w:szCs w:val="22"/>
          <w:lang w:val="fr-FR" w:eastAsia="ja-JP"/>
        </w:rPr>
      </w:pPr>
      <w:r w:rsidRPr="0019401C">
        <w:rPr>
          <w:sz w:val="22"/>
          <w:szCs w:val="22"/>
          <w:lang w:val="fr-FR" w:eastAsia="ja-JP"/>
        </w:rPr>
        <w:t xml:space="preserve">Cependant, le </w:t>
      </w:r>
      <w:r w:rsidRPr="0019401C">
        <w:rPr>
          <w:rFonts w:eastAsiaTheme="minorHAnsi"/>
          <w:bCs/>
          <w:sz w:val="22"/>
          <w:szCs w:val="22"/>
          <w:lang w:val="fr-FR" w:eastAsia="ja-JP"/>
        </w:rPr>
        <w:t>caractère</w:t>
      </w:r>
      <w:r w:rsidRPr="0019401C">
        <w:rPr>
          <w:sz w:val="22"/>
          <w:szCs w:val="22"/>
          <w:lang w:val="fr-FR" w:eastAsia="ja-JP"/>
        </w:rPr>
        <w:t xml:space="preserve"> évolutif des technologies de pompage des eaux souterraines implique des mises à niveaux régulières des aptitudes et des connaissances des techniciens et des formations spécifiques sur la maitrise des équipements électromécaniques. Le maniement ou le réglage des coffrets de commande et de protection des pompes immergées fait appel à des connaissances spécifiques notamment sur la configuration de son schéma et le câblage.  </w:t>
      </w:r>
    </w:p>
    <w:p w14:paraId="01306F12" w14:textId="77777777" w:rsidR="001E0A6A" w:rsidRPr="0019401C" w:rsidRDefault="001E0A6A" w:rsidP="001E0A6A">
      <w:pPr>
        <w:pStyle w:val="Title"/>
        <w:jc w:val="left"/>
        <w:rPr>
          <w:bCs/>
          <w:sz w:val="22"/>
          <w:szCs w:val="22"/>
          <w:lang w:val="fr-FR"/>
        </w:rPr>
      </w:pPr>
    </w:p>
    <w:p w14:paraId="576D93FA" w14:textId="77777777" w:rsidR="00172E8B" w:rsidRPr="0019401C" w:rsidRDefault="00172E8B" w:rsidP="0019401C">
      <w:pPr>
        <w:pStyle w:val="Heading1"/>
        <w:jc w:val="left"/>
        <w:rPr>
          <w:rFonts w:eastAsia="Arial"/>
          <w:b/>
          <w:sz w:val="22"/>
          <w:szCs w:val="22"/>
          <w:lang w:val="fr-FR"/>
        </w:rPr>
      </w:pPr>
      <w:r w:rsidRPr="0019401C">
        <w:rPr>
          <w:rFonts w:eastAsia="Arial"/>
          <w:b/>
          <w:sz w:val="22"/>
          <w:szCs w:val="22"/>
          <w:lang w:val="fr-FR"/>
        </w:rPr>
        <w:t>Justification</w:t>
      </w:r>
    </w:p>
    <w:p w14:paraId="72891D65" w14:textId="77777777" w:rsidR="001620C4" w:rsidRPr="0019401C" w:rsidRDefault="001620C4" w:rsidP="00172E8B">
      <w:pPr>
        <w:pStyle w:val="Title"/>
        <w:jc w:val="left"/>
        <w:rPr>
          <w:bCs/>
          <w:sz w:val="22"/>
          <w:szCs w:val="22"/>
          <w:lang w:val="fr-FR"/>
        </w:rPr>
      </w:pPr>
    </w:p>
    <w:p w14:paraId="523E70F6" w14:textId="0E5AF9B8" w:rsidR="001E0A6A" w:rsidRPr="0019401C" w:rsidRDefault="001E0A6A" w:rsidP="001E0A6A">
      <w:pPr>
        <w:spacing w:after="200" w:line="276" w:lineRule="auto"/>
        <w:jc w:val="both"/>
        <w:rPr>
          <w:sz w:val="22"/>
          <w:szCs w:val="22"/>
          <w:lang w:val="fr-FR" w:eastAsia="ja-JP"/>
        </w:rPr>
      </w:pPr>
      <w:r w:rsidRPr="0019401C">
        <w:rPr>
          <w:sz w:val="22"/>
          <w:szCs w:val="22"/>
          <w:lang w:val="fr-FR" w:eastAsia="ja-JP"/>
        </w:rPr>
        <w:t xml:space="preserve">La maintenance des équipements solaires auquel la DHR a eu massivement recours ces dernières décennies pour le pompage de l’eau (70% du parc hydraulique du milieu rural en est équipé) est aussi un défi qui se pose </w:t>
      </w:r>
      <w:r w:rsidRPr="0019401C">
        <w:rPr>
          <w:rFonts w:eastAsiaTheme="minorHAnsi"/>
          <w:bCs/>
          <w:sz w:val="22"/>
          <w:szCs w:val="22"/>
          <w:lang w:val="fr-FR" w:eastAsia="ja-JP"/>
        </w:rPr>
        <w:t>avec</w:t>
      </w:r>
      <w:r w:rsidRPr="0019401C">
        <w:rPr>
          <w:sz w:val="22"/>
          <w:szCs w:val="22"/>
          <w:lang w:val="fr-FR" w:eastAsia="ja-JP"/>
        </w:rPr>
        <w:t xml:space="preserve"> beaucoup d’acuité. </w:t>
      </w:r>
      <w:r w:rsidR="006C112C" w:rsidRPr="0019401C">
        <w:rPr>
          <w:sz w:val="22"/>
          <w:szCs w:val="22"/>
          <w:lang w:val="fr-FR" w:eastAsia="ja-JP"/>
        </w:rPr>
        <w:t xml:space="preserve"> Etant donne que le</w:t>
      </w:r>
      <w:r w:rsidRPr="0019401C">
        <w:rPr>
          <w:sz w:val="22"/>
          <w:szCs w:val="22"/>
          <w:lang w:val="fr-FR" w:eastAsia="ja-JP"/>
        </w:rPr>
        <w:t>s profils actuels de techniciens de la DHR ne sont pas adaptés</w:t>
      </w:r>
      <w:r w:rsidR="006C112C" w:rsidRPr="0019401C">
        <w:rPr>
          <w:sz w:val="22"/>
          <w:szCs w:val="22"/>
          <w:lang w:val="fr-FR" w:eastAsia="ja-JP"/>
        </w:rPr>
        <w:t xml:space="preserve">, UNICEF donne son appui </w:t>
      </w:r>
      <w:proofErr w:type="spellStart"/>
      <w:r w:rsidR="006C112C" w:rsidRPr="0019401C">
        <w:rPr>
          <w:sz w:val="22"/>
          <w:szCs w:val="22"/>
          <w:lang w:val="fr-FR" w:eastAsia="ja-JP"/>
        </w:rPr>
        <w:t>a</w:t>
      </w:r>
      <w:proofErr w:type="spellEnd"/>
      <w:r w:rsidR="006C112C" w:rsidRPr="0019401C">
        <w:rPr>
          <w:sz w:val="22"/>
          <w:szCs w:val="22"/>
          <w:lang w:val="fr-FR" w:eastAsia="ja-JP"/>
        </w:rPr>
        <w:t xml:space="preserve"> la DHR pour renforcer les capacités techniques de son </w:t>
      </w:r>
      <w:r w:rsidR="00FD168A" w:rsidRPr="0019401C">
        <w:rPr>
          <w:sz w:val="22"/>
          <w:szCs w:val="22"/>
          <w:lang w:val="fr-FR" w:eastAsia="ja-JP"/>
        </w:rPr>
        <w:t>équipe</w:t>
      </w:r>
      <w:r w:rsidR="006C112C" w:rsidRPr="0019401C">
        <w:rPr>
          <w:sz w:val="22"/>
          <w:szCs w:val="22"/>
          <w:lang w:val="fr-FR" w:eastAsia="ja-JP"/>
        </w:rPr>
        <w:t xml:space="preserve"> dans ce domaine.</w:t>
      </w:r>
    </w:p>
    <w:p w14:paraId="2D0BEC2A" w14:textId="63E2D665" w:rsidR="0079789F" w:rsidRPr="0019401C" w:rsidRDefault="00FB3D14" w:rsidP="001E0A6A">
      <w:pPr>
        <w:spacing w:after="200" w:line="276" w:lineRule="auto"/>
        <w:jc w:val="both"/>
        <w:rPr>
          <w:sz w:val="22"/>
          <w:szCs w:val="22"/>
          <w:lang w:val="fr-FR" w:eastAsia="ja-JP"/>
        </w:rPr>
      </w:pPr>
      <w:r w:rsidRPr="0019401C">
        <w:rPr>
          <w:sz w:val="22"/>
          <w:szCs w:val="22"/>
          <w:lang w:val="fr-FR" w:eastAsia="ja-JP"/>
        </w:rPr>
        <w:t>L</w:t>
      </w:r>
      <w:r w:rsidR="0079789F" w:rsidRPr="0019401C">
        <w:rPr>
          <w:sz w:val="22"/>
          <w:szCs w:val="22"/>
          <w:lang w:val="fr-FR" w:eastAsia="ja-JP"/>
        </w:rPr>
        <w:t>’assurance de l’accès universel et équitable à l’eau potable à un coût abordable</w:t>
      </w:r>
      <w:r w:rsidRPr="0019401C">
        <w:rPr>
          <w:sz w:val="22"/>
          <w:szCs w:val="22"/>
          <w:lang w:val="fr-FR" w:eastAsia="ja-JP"/>
        </w:rPr>
        <w:t xml:space="preserve"> est parmi les priorités de l’UNICEF et priorités matière d’eau, d’assainissement et d’hygiène pour le cycle 2018-2022. </w:t>
      </w:r>
      <w:r w:rsidR="0079789F" w:rsidRPr="0019401C">
        <w:rPr>
          <w:sz w:val="22"/>
          <w:szCs w:val="22"/>
          <w:lang w:val="fr-FR" w:eastAsia="ja-JP"/>
        </w:rPr>
        <w:t xml:space="preserve">Au niveau </w:t>
      </w:r>
      <w:r w:rsidR="0079789F" w:rsidRPr="0019401C">
        <w:rPr>
          <w:sz w:val="22"/>
          <w:szCs w:val="22"/>
          <w:lang w:val="fr-FR" w:eastAsia="ja-JP"/>
        </w:rPr>
        <w:lastRenderedPageBreak/>
        <w:t>national, la vision ambitionne d’assurer l’accès universel à l’eau potable pour le milieu rural d’ici fin 2035</w:t>
      </w:r>
      <w:r w:rsidRPr="0019401C">
        <w:rPr>
          <w:sz w:val="22"/>
          <w:szCs w:val="22"/>
          <w:lang w:val="fr-FR" w:eastAsia="ja-JP"/>
        </w:rPr>
        <w:t xml:space="preserve">. Cette priorité est ciblée par plusieurs activités dans le domaine de l’amélioration de l’accès </w:t>
      </w:r>
      <w:proofErr w:type="spellStart"/>
      <w:r w:rsidRPr="0019401C">
        <w:rPr>
          <w:sz w:val="22"/>
          <w:szCs w:val="22"/>
          <w:lang w:val="fr-FR" w:eastAsia="ja-JP"/>
        </w:rPr>
        <w:t>a</w:t>
      </w:r>
      <w:proofErr w:type="spellEnd"/>
      <w:r w:rsidRPr="0019401C">
        <w:rPr>
          <w:sz w:val="22"/>
          <w:szCs w:val="22"/>
          <w:lang w:val="fr-FR" w:eastAsia="ja-JP"/>
        </w:rPr>
        <w:t xml:space="preserve"> l’eau dans le programme de coopération signe avec la Ministère de l’Agriculture et l’UNICEF pour 2021. La formation des cadres de la DR fait partie des activités du tel accord.</w:t>
      </w:r>
    </w:p>
    <w:p w14:paraId="2FD674A4" w14:textId="5E4B0B5B" w:rsidR="001620C4" w:rsidRPr="0019401C" w:rsidRDefault="00FB3D14" w:rsidP="00172E8B">
      <w:pPr>
        <w:pStyle w:val="Title"/>
        <w:jc w:val="left"/>
        <w:rPr>
          <w:rFonts w:eastAsia="Arial"/>
          <w:sz w:val="22"/>
          <w:szCs w:val="22"/>
          <w:lang w:val="fr-FR"/>
        </w:rPr>
      </w:pPr>
      <w:r w:rsidRPr="0019401C">
        <w:rPr>
          <w:rFonts w:eastAsia="Arial"/>
          <w:sz w:val="22"/>
          <w:szCs w:val="22"/>
          <w:lang w:val="fr-FR"/>
        </w:rPr>
        <w:t>La formation se déroulera dans le bureau de la DHR qui a au niveau de Djibouti ville et quelques séances pratiques sont prévues et qui nécessitent d’un déplacement sur le terrain.</w:t>
      </w:r>
    </w:p>
    <w:p w14:paraId="733F1AAE" w14:textId="77777777" w:rsidR="001620C4" w:rsidRPr="0019401C" w:rsidRDefault="001620C4" w:rsidP="00172E8B">
      <w:pPr>
        <w:pStyle w:val="Title"/>
        <w:jc w:val="left"/>
        <w:rPr>
          <w:rFonts w:eastAsia="Arial"/>
          <w:sz w:val="22"/>
          <w:szCs w:val="22"/>
          <w:lang w:val="fr-FR"/>
        </w:rPr>
      </w:pPr>
    </w:p>
    <w:p w14:paraId="4DA43096" w14:textId="79E92A59" w:rsidR="00DB0826" w:rsidRDefault="0019401C" w:rsidP="00172E8B">
      <w:pPr>
        <w:pStyle w:val="Title"/>
        <w:jc w:val="left"/>
        <w:rPr>
          <w:rStyle w:val="Strong"/>
          <w:lang w:val="fr-FR"/>
        </w:rPr>
      </w:pPr>
      <w:r w:rsidRPr="0019401C">
        <w:rPr>
          <w:rStyle w:val="Strong"/>
          <w:lang w:val="fr-FR"/>
        </w:rPr>
        <w:t>Comment pouvez-vous faire une différence ?  </w:t>
      </w:r>
    </w:p>
    <w:p w14:paraId="010A9C0F" w14:textId="77777777" w:rsidR="0019401C" w:rsidRPr="0019401C" w:rsidRDefault="0019401C" w:rsidP="00172E8B">
      <w:pPr>
        <w:pStyle w:val="Title"/>
        <w:jc w:val="left"/>
        <w:rPr>
          <w:bCs/>
          <w:sz w:val="22"/>
          <w:szCs w:val="22"/>
          <w:lang w:val="fr-FR"/>
        </w:rPr>
      </w:pPr>
    </w:p>
    <w:p w14:paraId="2EE8C5AE" w14:textId="77777777" w:rsidR="00172E8B" w:rsidRPr="0019401C" w:rsidRDefault="00172E8B" w:rsidP="0019401C">
      <w:pPr>
        <w:pStyle w:val="Heading1"/>
        <w:jc w:val="left"/>
        <w:rPr>
          <w:rFonts w:eastAsia="Arial"/>
          <w:b/>
          <w:sz w:val="22"/>
          <w:szCs w:val="22"/>
          <w:lang w:val="fr-FR"/>
        </w:rPr>
      </w:pPr>
      <w:r w:rsidRPr="0019401C">
        <w:rPr>
          <w:rFonts w:eastAsia="Arial"/>
          <w:b/>
          <w:sz w:val="22"/>
          <w:szCs w:val="22"/>
          <w:lang w:val="fr-FR"/>
        </w:rPr>
        <w:t>Objectif</w:t>
      </w:r>
    </w:p>
    <w:p w14:paraId="32F48039" w14:textId="77777777" w:rsidR="00DB0826" w:rsidRPr="0019401C" w:rsidRDefault="00DB0826" w:rsidP="00172E8B">
      <w:pPr>
        <w:pStyle w:val="Title"/>
        <w:jc w:val="left"/>
        <w:rPr>
          <w:bCs/>
          <w:sz w:val="22"/>
          <w:szCs w:val="22"/>
        </w:rPr>
      </w:pPr>
    </w:p>
    <w:p w14:paraId="485B42A2"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L’objectif principal est d’optimiser la maintenance des équipements de pompage des ouvrages hydrauliques en vue de pérenniser le fonctionnement des stations de pompage, en milieu rural.</w:t>
      </w:r>
    </w:p>
    <w:p w14:paraId="70181F42"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De façon spécifique, le but de la consultation est de renforcer les capacités des techniciens de la DHR, dans l’entretien et la maintenance des équipements électromécaniques et solaires qui assurent le pompage des eaux souterraines. Ce renforcement sera adressé à travers :</w:t>
      </w:r>
    </w:p>
    <w:p w14:paraId="68742215"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L’acquisition des nouvelles connaissances en théorie et pratiques sur la configuration, le maniement et la maintenance des équipements électriques et solaires des stations de pompage des infrastructures hydrauliques (coffret de sécurité, groupe électrogène, panneau solaire).</w:t>
      </w:r>
    </w:p>
    <w:p w14:paraId="4A4C6A40"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L’amélioration des capacités pour établir les diagnostics des pannes et ensuite de les réparer,</w:t>
      </w:r>
    </w:p>
    <w:p w14:paraId="7095054B"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 xml:space="preserve">Une fois que les techniciens de la DHR aient amélioré ses capacités techniques, l’exploitation pérenne et régulière des ouvrages sera effective sur les sites. </w:t>
      </w:r>
    </w:p>
    <w:p w14:paraId="12E6E01E" w14:textId="77777777" w:rsidR="001E0A6A" w:rsidRPr="0019401C" w:rsidRDefault="00172E8B"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 xml:space="preserve"> </w:t>
      </w:r>
      <w:r w:rsidR="001E0A6A" w:rsidRPr="0019401C">
        <w:rPr>
          <w:rFonts w:eastAsiaTheme="minorHAnsi"/>
          <w:bCs/>
          <w:sz w:val="22"/>
          <w:szCs w:val="22"/>
          <w:lang w:val="fr-FR" w:eastAsia="ja-JP"/>
        </w:rPr>
        <w:t>Les résultats attendus de la consultation sont les suivants :</w:t>
      </w:r>
    </w:p>
    <w:p w14:paraId="3E308DBB"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Un manuel d’entretien et maintenance des ouvrages avec des schémas bien précis sont élaboré et validé.</w:t>
      </w:r>
    </w:p>
    <w:p w14:paraId="67BA0690"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Les techniciens de la DHR ont acquis des connaissances suffisantes sur les entretiens et maintenance des ouvrages hydrauliques en théorie et pratique.</w:t>
      </w:r>
    </w:p>
    <w:p w14:paraId="669AB507"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Elaboration d’un rapport sur la situation initiale et acquis de la formation en incluant l’évaluation des performances des participants à l’issue de la formation. </w:t>
      </w:r>
    </w:p>
    <w:p w14:paraId="581FAAE7"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Un modèle de rapport de mission est élaboré,</w:t>
      </w:r>
    </w:p>
    <w:p w14:paraId="51EC4632"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 xml:space="preserve">Un modèle check </w:t>
      </w:r>
      <w:proofErr w:type="spellStart"/>
      <w:r w:rsidRPr="0019401C">
        <w:rPr>
          <w:rFonts w:ascii="Times New Roman" w:hAnsi="Times New Roman" w:cs="Times New Roman"/>
          <w:bCs/>
          <w:lang w:val="fr-FR" w:eastAsia="ja-JP"/>
        </w:rPr>
        <w:t>list</w:t>
      </w:r>
      <w:proofErr w:type="spellEnd"/>
      <w:r w:rsidRPr="0019401C">
        <w:rPr>
          <w:rFonts w:ascii="Times New Roman" w:hAnsi="Times New Roman" w:cs="Times New Roman"/>
          <w:bCs/>
          <w:lang w:val="fr-FR" w:eastAsia="ja-JP"/>
        </w:rPr>
        <w:t xml:space="preserve"> pour le dépannage des forages solaires est élaboré,</w:t>
      </w:r>
    </w:p>
    <w:p w14:paraId="704DC3AD"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 xml:space="preserve">Un modèle check </w:t>
      </w:r>
      <w:proofErr w:type="spellStart"/>
      <w:r w:rsidRPr="0019401C">
        <w:rPr>
          <w:rFonts w:ascii="Times New Roman" w:hAnsi="Times New Roman" w:cs="Times New Roman"/>
          <w:bCs/>
          <w:lang w:val="fr-FR" w:eastAsia="ja-JP"/>
        </w:rPr>
        <w:t>list</w:t>
      </w:r>
      <w:proofErr w:type="spellEnd"/>
      <w:r w:rsidRPr="0019401C">
        <w:rPr>
          <w:rFonts w:ascii="Times New Roman" w:hAnsi="Times New Roman" w:cs="Times New Roman"/>
          <w:bCs/>
          <w:lang w:val="fr-FR" w:eastAsia="ja-JP"/>
        </w:rPr>
        <w:t xml:space="preserve"> pour le dépannage des forages thermiques et électriques est élaboré,</w:t>
      </w:r>
    </w:p>
    <w:p w14:paraId="58FED803" w14:textId="77777777" w:rsidR="00172E8B" w:rsidRPr="0019401C" w:rsidRDefault="00172E8B" w:rsidP="00172E8B">
      <w:pPr>
        <w:pStyle w:val="Title"/>
        <w:jc w:val="left"/>
        <w:rPr>
          <w:bCs/>
          <w:sz w:val="22"/>
          <w:szCs w:val="22"/>
          <w:lang w:val="fr-FR"/>
        </w:rPr>
      </w:pPr>
    </w:p>
    <w:p w14:paraId="43B1C754" w14:textId="77777777"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Méthodologie</w:t>
      </w:r>
    </w:p>
    <w:p w14:paraId="1638ABFF" w14:textId="77777777" w:rsidR="00172E8B" w:rsidRPr="0019401C" w:rsidRDefault="00172E8B" w:rsidP="00172E8B">
      <w:pPr>
        <w:pStyle w:val="Title"/>
        <w:jc w:val="left"/>
        <w:rPr>
          <w:bCs/>
          <w:sz w:val="22"/>
          <w:szCs w:val="22"/>
          <w:lang w:val="fr-FR"/>
        </w:rPr>
      </w:pPr>
    </w:p>
    <w:p w14:paraId="3E50F134"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 xml:space="preserve">L’intervention du consultant à la DHR vise à terme, d’optimiser la maintenance et entretien des équipements de pompage des ouvrages hydrauliques en vue de pérenniser le fonctionnement des stations de pompage, en milieu rural </w:t>
      </w:r>
    </w:p>
    <w:p w14:paraId="424224D8"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lastRenderedPageBreak/>
        <w:t>A cet effet, il est fortement recommandé au consultant qui sera retenu de développer des stratégies et outils méthodologiques pouvant permettre d’assurer un renforcement de capacités en matière de pérennisation maintenance et entretien des ouvrages aux techniciens de la DHR. Dans le cadre de cette mission, le consultant :</w:t>
      </w:r>
    </w:p>
    <w:p w14:paraId="7E8C3AD9"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 xml:space="preserve">Procèdera à une analyse de référence sur la compétence actuelle des techniciens de la DHR pour mettre l’action pendant la séance formation sur la lacune observée en matière de compétence. </w:t>
      </w:r>
    </w:p>
    <w:p w14:paraId="64BA8281" w14:textId="77777777" w:rsidR="001E0A6A" w:rsidRPr="0019401C" w:rsidRDefault="001E0A6A" w:rsidP="001E0A6A">
      <w:pPr>
        <w:pStyle w:val="ListParagraph"/>
        <w:numPr>
          <w:ilvl w:val="0"/>
          <w:numId w:val="4"/>
        </w:numPr>
        <w:jc w:val="both"/>
        <w:rPr>
          <w:rFonts w:ascii="Times New Roman" w:hAnsi="Times New Roman" w:cs="Times New Roman"/>
          <w:bCs/>
          <w:lang w:val="fr-FR" w:eastAsia="ja-JP"/>
        </w:rPr>
      </w:pPr>
      <w:r w:rsidRPr="0019401C">
        <w:rPr>
          <w:rFonts w:ascii="Times New Roman" w:hAnsi="Times New Roman" w:cs="Times New Roman"/>
          <w:bCs/>
          <w:lang w:val="fr-FR" w:eastAsia="ja-JP"/>
        </w:rPr>
        <w:t>Appuiera à établir la situation de diagnostic des ouvrages sur les terrains lors des séances des pratiques. Pour cela, le consultant développera un outil de collecte de données sur la situation des ouvrages lors de la panne.</w:t>
      </w:r>
    </w:p>
    <w:p w14:paraId="622D6973"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Ainsi, en début d’intervention, le consultant devra s’assurer de l’entière disponibilité des techniciens de la DHR pour respecter l’assiduité pendant la séance de formation. A cet effet, la DHR établira une note de service de mise à disposition des techniciens durant la période des formations.</w:t>
      </w:r>
    </w:p>
    <w:p w14:paraId="033351C6" w14:textId="77777777" w:rsidR="001E0A6A" w:rsidRPr="0019401C" w:rsidRDefault="001E0A6A" w:rsidP="001E0A6A">
      <w:pPr>
        <w:spacing w:after="200" w:line="276" w:lineRule="auto"/>
        <w:jc w:val="both"/>
        <w:rPr>
          <w:sz w:val="22"/>
          <w:szCs w:val="22"/>
          <w:lang w:val="fr-FR"/>
        </w:rPr>
      </w:pPr>
      <w:r w:rsidRPr="0019401C">
        <w:rPr>
          <w:rFonts w:eastAsiaTheme="minorHAnsi"/>
          <w:bCs/>
          <w:sz w:val="22"/>
          <w:szCs w:val="22"/>
          <w:lang w:val="fr-FR" w:eastAsia="ja-JP"/>
        </w:rPr>
        <w:t>Le consultant doit s’assurer que les spécifications techniques minimales des matériels et équipements nécessaires sollicités pour le bon déroulement de la formation soient disponible et mis en place avant le démarrage de la formation</w:t>
      </w:r>
      <w:r w:rsidRPr="0019401C">
        <w:rPr>
          <w:sz w:val="22"/>
          <w:szCs w:val="22"/>
          <w:lang w:val="fr-FR"/>
        </w:rPr>
        <w:t>.</w:t>
      </w:r>
    </w:p>
    <w:p w14:paraId="238CC2D0" w14:textId="77777777"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Livrables</w:t>
      </w:r>
    </w:p>
    <w:p w14:paraId="6A1A6A6B" w14:textId="77777777" w:rsidR="00172E8B" w:rsidRPr="0019401C" w:rsidRDefault="00172E8B" w:rsidP="00172E8B">
      <w:pPr>
        <w:pStyle w:val="Title"/>
        <w:jc w:val="left"/>
        <w:rPr>
          <w:bCs/>
          <w:sz w:val="22"/>
          <w:szCs w:val="22"/>
          <w:lang w:val="fr-FR"/>
        </w:rPr>
      </w:pPr>
    </w:p>
    <w:p w14:paraId="417E1658" w14:textId="77777777" w:rsidR="001E0A6A" w:rsidRPr="0019401C" w:rsidRDefault="001E0A6A" w:rsidP="001E0A6A">
      <w:pPr>
        <w:spacing w:after="200" w:line="276" w:lineRule="auto"/>
        <w:jc w:val="both"/>
        <w:rPr>
          <w:rFonts w:eastAsiaTheme="minorHAnsi"/>
          <w:bCs/>
          <w:sz w:val="22"/>
          <w:szCs w:val="22"/>
          <w:lang w:val="fr-FR" w:eastAsia="ja-JP"/>
        </w:rPr>
      </w:pPr>
      <w:r w:rsidRPr="0019401C">
        <w:rPr>
          <w:rFonts w:eastAsiaTheme="minorHAnsi"/>
          <w:bCs/>
          <w:sz w:val="22"/>
          <w:szCs w:val="22"/>
          <w:lang w:val="fr-FR" w:eastAsia="ja-JP"/>
        </w:rPr>
        <w:t>Les principaux livrables attendus au terme de cette mission se présentent ainsi qu’il suit :</w:t>
      </w:r>
    </w:p>
    <w:p w14:paraId="1D2C1380" w14:textId="77777777" w:rsidR="001E0A6A" w:rsidRPr="0019401C" w:rsidRDefault="001E0A6A" w:rsidP="00D14236">
      <w:pPr>
        <w:pStyle w:val="ListParagraph"/>
        <w:numPr>
          <w:ilvl w:val="0"/>
          <w:numId w:val="16"/>
        </w:numPr>
        <w:jc w:val="both"/>
        <w:rPr>
          <w:rFonts w:ascii="Times New Roman" w:hAnsi="Times New Roman" w:cs="Times New Roman"/>
          <w:bCs/>
          <w:lang w:val="fr-FR" w:eastAsia="ja-JP"/>
        </w:rPr>
      </w:pPr>
      <w:r w:rsidRPr="0019401C">
        <w:rPr>
          <w:rFonts w:ascii="Times New Roman" w:hAnsi="Times New Roman" w:cs="Times New Roman"/>
          <w:bCs/>
          <w:lang w:val="fr-FR" w:eastAsia="ja-JP"/>
        </w:rPr>
        <w:t>Un rapport de démarrage de la mission d’accompagnement ;</w:t>
      </w:r>
    </w:p>
    <w:p w14:paraId="3EF4CDB2" w14:textId="77777777" w:rsidR="001E0A6A" w:rsidRPr="0019401C" w:rsidRDefault="001E0A6A" w:rsidP="00D14236">
      <w:pPr>
        <w:pStyle w:val="ListParagraph"/>
        <w:numPr>
          <w:ilvl w:val="0"/>
          <w:numId w:val="16"/>
        </w:numPr>
        <w:jc w:val="both"/>
        <w:rPr>
          <w:rFonts w:ascii="Times New Roman" w:hAnsi="Times New Roman" w:cs="Times New Roman"/>
          <w:bCs/>
          <w:lang w:val="fr-FR" w:eastAsia="ja-JP"/>
        </w:rPr>
      </w:pPr>
      <w:r w:rsidRPr="0019401C">
        <w:rPr>
          <w:rFonts w:ascii="Times New Roman" w:hAnsi="Times New Roman" w:cs="Times New Roman"/>
          <w:bCs/>
          <w:lang w:val="fr-FR" w:eastAsia="ja-JP"/>
        </w:rPr>
        <w:t>Un manuel d’entretien et maintenance des ouvrages avec des schémas bien précis sont élaboré et validé.</w:t>
      </w:r>
    </w:p>
    <w:p w14:paraId="50840858" w14:textId="77777777" w:rsidR="001E0A6A" w:rsidRPr="0019401C" w:rsidRDefault="001E0A6A" w:rsidP="00D14236">
      <w:pPr>
        <w:pStyle w:val="ListParagraph"/>
        <w:numPr>
          <w:ilvl w:val="0"/>
          <w:numId w:val="16"/>
        </w:numPr>
        <w:jc w:val="both"/>
        <w:rPr>
          <w:rFonts w:ascii="Times New Roman" w:hAnsi="Times New Roman" w:cs="Times New Roman"/>
          <w:bCs/>
          <w:lang w:val="fr-FR" w:eastAsia="ja-JP"/>
        </w:rPr>
      </w:pPr>
      <w:r w:rsidRPr="0019401C">
        <w:rPr>
          <w:rFonts w:ascii="Times New Roman" w:hAnsi="Times New Roman" w:cs="Times New Roman"/>
          <w:bCs/>
          <w:lang w:val="fr-FR" w:eastAsia="ja-JP"/>
        </w:rPr>
        <w:t>Un rapport global de fin de formation d’accompagnement, incluant d’évaluation initial et post formation et celui des acquis de la formation sur la maintenance de plateforme</w:t>
      </w:r>
    </w:p>
    <w:p w14:paraId="2C329D15" w14:textId="77777777" w:rsidR="00C00E33" w:rsidRPr="0019401C" w:rsidRDefault="00C00E33" w:rsidP="00C00E33">
      <w:pPr>
        <w:rPr>
          <w:rFonts w:eastAsia="Arial"/>
          <w:sz w:val="22"/>
          <w:szCs w:val="22"/>
          <w:lang w:val="fr-FR"/>
        </w:rPr>
      </w:pPr>
    </w:p>
    <w:p w14:paraId="56A777D6" w14:textId="77777777" w:rsidR="00172E8B" w:rsidRPr="0019401C" w:rsidRDefault="00172E8B" w:rsidP="00DB0826">
      <w:pPr>
        <w:pStyle w:val="Heading1"/>
        <w:numPr>
          <w:ilvl w:val="0"/>
          <w:numId w:val="1"/>
        </w:numPr>
        <w:jc w:val="left"/>
        <w:rPr>
          <w:rFonts w:eastAsia="Arial"/>
          <w:b/>
          <w:sz w:val="22"/>
          <w:szCs w:val="22"/>
        </w:rPr>
      </w:pPr>
      <w:proofErr w:type="spellStart"/>
      <w:r w:rsidRPr="0019401C">
        <w:rPr>
          <w:rFonts w:eastAsia="Arial"/>
          <w:b/>
          <w:sz w:val="22"/>
          <w:szCs w:val="22"/>
        </w:rPr>
        <w:t>Calendrier</w:t>
      </w:r>
      <w:proofErr w:type="spellEnd"/>
      <w:r w:rsidRPr="0019401C">
        <w:rPr>
          <w:rFonts w:eastAsia="Arial"/>
          <w:b/>
          <w:sz w:val="22"/>
          <w:szCs w:val="22"/>
        </w:rPr>
        <w:t xml:space="preserve"> des </w:t>
      </w:r>
      <w:proofErr w:type="spellStart"/>
      <w:r w:rsidRPr="0019401C">
        <w:rPr>
          <w:rFonts w:eastAsia="Arial"/>
          <w:b/>
          <w:sz w:val="22"/>
          <w:szCs w:val="22"/>
        </w:rPr>
        <w:t>activités</w:t>
      </w:r>
      <w:proofErr w:type="spellEnd"/>
    </w:p>
    <w:p w14:paraId="71AD3377" w14:textId="77777777" w:rsidR="00172E8B" w:rsidRPr="0019401C" w:rsidRDefault="00172E8B" w:rsidP="00172E8B">
      <w:pPr>
        <w:pStyle w:val="Title"/>
        <w:jc w:val="left"/>
        <w:rPr>
          <w:bCs/>
          <w:sz w:val="22"/>
          <w:szCs w:val="22"/>
        </w:rPr>
      </w:pPr>
    </w:p>
    <w:p w14:paraId="5C9AD8B5" w14:textId="77777777" w:rsidR="00D14236" w:rsidRPr="0019401C" w:rsidRDefault="00D14236" w:rsidP="00D14236">
      <w:pPr>
        <w:spacing w:after="200" w:line="276" w:lineRule="auto"/>
        <w:jc w:val="both"/>
        <w:rPr>
          <w:sz w:val="22"/>
          <w:szCs w:val="22"/>
          <w:lang w:val="fr-FR" w:eastAsia="ja-JP"/>
        </w:rPr>
      </w:pPr>
      <w:r w:rsidRPr="0019401C">
        <w:rPr>
          <w:sz w:val="22"/>
          <w:szCs w:val="22"/>
          <w:lang w:val="fr-FR" w:eastAsia="ja-JP"/>
        </w:rPr>
        <w:t xml:space="preserve">Les mises en situation de cette formation sont réalisées par les participants à partir des objectifs opérationnels décrits dans ce document sur un banc hydraulique permettant de caractériser un circuit de pompage : </w:t>
      </w:r>
      <w:r w:rsidRPr="0019401C">
        <w:rPr>
          <w:rFonts w:eastAsiaTheme="minorHAnsi"/>
          <w:bCs/>
          <w:sz w:val="22"/>
          <w:szCs w:val="22"/>
          <w:lang w:val="fr-FR" w:eastAsia="ja-JP"/>
        </w:rPr>
        <w:t>hauteur</w:t>
      </w:r>
      <w:r w:rsidRPr="0019401C">
        <w:rPr>
          <w:sz w:val="22"/>
          <w:szCs w:val="22"/>
          <w:lang w:val="fr-FR" w:eastAsia="ja-JP"/>
        </w:rPr>
        <w:t xml:space="preserve"> en fonction du débit, cavitation, influence de la température du liquide, pertes de charge, pompes en parallèle et en série, circuit fermé, puissance absorbée...</w:t>
      </w:r>
    </w:p>
    <w:p w14:paraId="3B787890" w14:textId="77777777" w:rsidR="00D14236" w:rsidRPr="0019401C" w:rsidRDefault="00D14236" w:rsidP="00D14236">
      <w:pPr>
        <w:spacing w:after="200" w:line="276" w:lineRule="auto"/>
        <w:jc w:val="both"/>
        <w:rPr>
          <w:sz w:val="22"/>
          <w:szCs w:val="22"/>
          <w:lang w:val="fr-FR" w:eastAsia="ja-JP"/>
        </w:rPr>
      </w:pPr>
      <w:r w:rsidRPr="0019401C">
        <w:rPr>
          <w:sz w:val="22"/>
          <w:szCs w:val="22"/>
          <w:lang w:val="fr-FR" w:eastAsia="ja-JP"/>
        </w:rPr>
        <w:t xml:space="preserve">Des installations spécifiques peuvent être étudiées. Dans ce cas, il est nécessaire d'en fournir les éléments au formateur moins de deux semaines avant le démarrage </w:t>
      </w:r>
      <w:r w:rsidRPr="0019401C">
        <w:rPr>
          <w:rFonts w:eastAsiaTheme="minorHAnsi"/>
          <w:bCs/>
          <w:sz w:val="22"/>
          <w:szCs w:val="22"/>
          <w:lang w:val="fr-FR" w:eastAsia="ja-JP"/>
        </w:rPr>
        <w:t>du</w:t>
      </w:r>
      <w:r w:rsidRPr="0019401C">
        <w:rPr>
          <w:sz w:val="22"/>
          <w:szCs w:val="22"/>
          <w:lang w:val="fr-FR" w:eastAsia="ja-JP"/>
        </w:rPr>
        <w:t xml:space="preserve"> stage.</w:t>
      </w:r>
    </w:p>
    <w:p w14:paraId="17B5F9DE" w14:textId="77777777" w:rsidR="00D14236" w:rsidRPr="0019401C" w:rsidRDefault="00D14236" w:rsidP="00D14236">
      <w:pPr>
        <w:ind w:left="720"/>
        <w:jc w:val="both"/>
        <w:rPr>
          <w:b/>
          <w:bCs/>
          <w:sz w:val="22"/>
          <w:szCs w:val="22"/>
          <w:lang w:val="fr-FR" w:eastAsia="ja-JP"/>
        </w:rPr>
      </w:pPr>
      <w:r w:rsidRPr="0019401C">
        <w:rPr>
          <w:b/>
          <w:bCs/>
          <w:sz w:val="22"/>
          <w:szCs w:val="22"/>
          <w:lang w:val="fr-FR" w:eastAsia="ja-JP"/>
        </w:rPr>
        <w:t>MATERIELS DE FORMATION</w:t>
      </w:r>
    </w:p>
    <w:p w14:paraId="3B3F6D0D" w14:textId="77777777" w:rsidR="00D14236" w:rsidRPr="0019401C" w:rsidRDefault="00D14236" w:rsidP="00D14236">
      <w:pPr>
        <w:numPr>
          <w:ilvl w:val="0"/>
          <w:numId w:val="12"/>
        </w:numPr>
        <w:spacing w:line="276" w:lineRule="auto"/>
        <w:jc w:val="both"/>
        <w:rPr>
          <w:sz w:val="22"/>
          <w:szCs w:val="22"/>
          <w:lang w:val="fr-FR" w:eastAsia="ja-JP"/>
        </w:rPr>
      </w:pPr>
      <w:r w:rsidRPr="0019401C">
        <w:rPr>
          <w:sz w:val="22"/>
          <w:szCs w:val="22"/>
          <w:lang w:val="fr-FR" w:eastAsia="ja-JP"/>
        </w:rPr>
        <w:t>Appareil de contrôle vibratoire</w:t>
      </w:r>
    </w:p>
    <w:p w14:paraId="0B47566E" w14:textId="77777777" w:rsidR="00D14236" w:rsidRPr="0019401C" w:rsidRDefault="00D14236" w:rsidP="00D14236">
      <w:pPr>
        <w:numPr>
          <w:ilvl w:val="0"/>
          <w:numId w:val="12"/>
        </w:numPr>
        <w:spacing w:line="276" w:lineRule="auto"/>
        <w:jc w:val="both"/>
        <w:rPr>
          <w:sz w:val="22"/>
          <w:szCs w:val="22"/>
          <w:lang w:val="fr-FR" w:eastAsia="ja-JP"/>
        </w:rPr>
      </w:pPr>
      <w:r w:rsidRPr="0019401C">
        <w:rPr>
          <w:sz w:val="22"/>
          <w:szCs w:val="22"/>
          <w:lang w:val="fr-FR" w:eastAsia="ja-JP"/>
        </w:rPr>
        <w:t>Bancs hydrauliques</w:t>
      </w:r>
    </w:p>
    <w:p w14:paraId="4ACB711C" w14:textId="77777777" w:rsidR="00D14236" w:rsidRPr="0019401C" w:rsidRDefault="00D14236" w:rsidP="00D14236">
      <w:pPr>
        <w:numPr>
          <w:ilvl w:val="0"/>
          <w:numId w:val="12"/>
        </w:numPr>
        <w:spacing w:line="276" w:lineRule="auto"/>
        <w:jc w:val="both"/>
        <w:rPr>
          <w:sz w:val="22"/>
          <w:szCs w:val="22"/>
          <w:lang w:val="fr-FR" w:eastAsia="ja-JP"/>
        </w:rPr>
      </w:pPr>
      <w:r w:rsidRPr="0019401C">
        <w:rPr>
          <w:sz w:val="22"/>
          <w:szCs w:val="22"/>
          <w:lang w:val="fr-FR" w:eastAsia="ja-JP"/>
        </w:rPr>
        <w:t>Diverses pompes centrifuges</w:t>
      </w:r>
    </w:p>
    <w:p w14:paraId="79BF0D05" w14:textId="77777777" w:rsidR="00D14236" w:rsidRPr="0019401C" w:rsidRDefault="00D14236" w:rsidP="00D14236">
      <w:pPr>
        <w:numPr>
          <w:ilvl w:val="0"/>
          <w:numId w:val="12"/>
        </w:numPr>
        <w:spacing w:line="276" w:lineRule="auto"/>
        <w:jc w:val="both"/>
        <w:rPr>
          <w:sz w:val="22"/>
          <w:szCs w:val="22"/>
          <w:lang w:val="fr-FR" w:eastAsia="ja-JP"/>
        </w:rPr>
      </w:pPr>
      <w:r w:rsidRPr="0019401C">
        <w:rPr>
          <w:sz w:val="22"/>
          <w:szCs w:val="22"/>
          <w:lang w:val="fr-FR" w:eastAsia="ja-JP"/>
        </w:rPr>
        <w:t>Mallette de présentation de garnitures.</w:t>
      </w:r>
    </w:p>
    <w:p w14:paraId="31636E74" w14:textId="77777777" w:rsidR="00D14236" w:rsidRPr="0019401C" w:rsidRDefault="00D14236" w:rsidP="00D14236">
      <w:pPr>
        <w:ind w:left="720"/>
        <w:jc w:val="both"/>
        <w:rPr>
          <w:sz w:val="22"/>
          <w:szCs w:val="22"/>
          <w:lang w:val="fr-FR" w:eastAsia="ja-JP"/>
        </w:rPr>
      </w:pPr>
    </w:p>
    <w:p w14:paraId="4E9138DF" w14:textId="77777777" w:rsidR="00D14236" w:rsidRPr="0019401C" w:rsidRDefault="00D14236" w:rsidP="00D14236">
      <w:pPr>
        <w:spacing w:after="200" w:line="276" w:lineRule="auto"/>
        <w:jc w:val="both"/>
        <w:rPr>
          <w:sz w:val="22"/>
          <w:szCs w:val="22"/>
          <w:lang w:val="fr-FR" w:eastAsia="ja-JP"/>
        </w:rPr>
      </w:pPr>
      <w:r w:rsidRPr="0019401C">
        <w:rPr>
          <w:sz w:val="22"/>
          <w:szCs w:val="22"/>
          <w:lang w:val="fr-FR" w:eastAsia="ja-JP"/>
        </w:rPr>
        <w:t xml:space="preserve">La formation se déroulera sur </w:t>
      </w:r>
      <w:proofErr w:type="gramStart"/>
      <w:r w:rsidRPr="0019401C">
        <w:rPr>
          <w:sz w:val="22"/>
          <w:szCs w:val="22"/>
          <w:lang w:val="fr-FR" w:eastAsia="ja-JP"/>
        </w:rPr>
        <w:t>une période de 15 jours ouvrables</w:t>
      </w:r>
      <w:proofErr w:type="gramEnd"/>
      <w:r w:rsidRPr="0019401C">
        <w:rPr>
          <w:sz w:val="22"/>
          <w:szCs w:val="22"/>
          <w:lang w:val="fr-FR" w:eastAsia="ja-JP"/>
        </w:rPr>
        <w:t>, programmé comme suit :</w:t>
      </w:r>
    </w:p>
    <w:p w14:paraId="343FAFF5" w14:textId="77777777" w:rsidR="00D14236" w:rsidRPr="0019401C" w:rsidRDefault="00D14236" w:rsidP="00D14236">
      <w:pPr>
        <w:pStyle w:val="ListParagraph"/>
        <w:numPr>
          <w:ilvl w:val="0"/>
          <w:numId w:val="13"/>
        </w:numPr>
        <w:spacing w:after="0"/>
        <w:jc w:val="both"/>
        <w:rPr>
          <w:rFonts w:ascii="Times New Roman" w:hAnsi="Times New Roman" w:cs="Times New Roman"/>
          <w:u w:val="single"/>
          <w:lang w:val="fr-FR" w:eastAsia="ja-JP"/>
        </w:rPr>
      </w:pPr>
      <w:bookmarkStart w:id="0" w:name="_Hlk72006003"/>
      <w:r w:rsidRPr="0019401C">
        <w:rPr>
          <w:rFonts w:ascii="Times New Roman" w:hAnsi="Times New Roman" w:cs="Times New Roman"/>
          <w:u w:val="single"/>
          <w:lang w:val="fr-FR" w:eastAsia="ja-JP"/>
        </w:rPr>
        <w:lastRenderedPageBreak/>
        <w:t xml:space="preserve">Cours théorique </w:t>
      </w:r>
    </w:p>
    <w:p w14:paraId="0A4E27E5" w14:textId="77777777" w:rsidR="00D14236" w:rsidRPr="0019401C" w:rsidRDefault="00D14236" w:rsidP="00D14236">
      <w:pPr>
        <w:ind w:left="360" w:firstLine="360"/>
        <w:jc w:val="both"/>
        <w:rPr>
          <w:sz w:val="22"/>
          <w:szCs w:val="22"/>
          <w:lang w:val="fr-FR" w:eastAsia="ja-JP"/>
        </w:rPr>
      </w:pPr>
      <w:r w:rsidRPr="0019401C">
        <w:rPr>
          <w:sz w:val="22"/>
          <w:szCs w:val="22"/>
          <w:lang w:val="fr-FR" w:eastAsia="ja-JP"/>
        </w:rPr>
        <w:t>Durée : 9 jours</w:t>
      </w:r>
    </w:p>
    <w:p w14:paraId="2B8222ED" w14:textId="77777777" w:rsidR="0019401C" w:rsidRPr="0019401C" w:rsidRDefault="00D14236" w:rsidP="0019401C">
      <w:pPr>
        <w:ind w:left="360" w:firstLine="360"/>
        <w:jc w:val="both"/>
        <w:rPr>
          <w:sz w:val="22"/>
          <w:szCs w:val="22"/>
          <w:lang w:val="fr-FR"/>
        </w:rPr>
      </w:pPr>
      <w:r w:rsidRPr="0019401C">
        <w:rPr>
          <w:sz w:val="22"/>
          <w:szCs w:val="22"/>
          <w:lang w:val="fr-FR" w:eastAsia="ja-JP"/>
        </w:rPr>
        <w:t xml:space="preserve">Lieu : </w:t>
      </w:r>
      <w:bookmarkEnd w:id="0"/>
      <w:r w:rsidR="0019401C" w:rsidRPr="0019401C">
        <w:rPr>
          <w:sz w:val="22"/>
          <w:szCs w:val="22"/>
          <w:lang w:val="fr-FR"/>
        </w:rPr>
        <w:t>bureau central de la DHR</w:t>
      </w:r>
    </w:p>
    <w:p w14:paraId="401CEECC" w14:textId="77777777" w:rsidR="0019401C" w:rsidRPr="0019401C" w:rsidRDefault="0019401C" w:rsidP="0019401C">
      <w:pPr>
        <w:ind w:left="360" w:firstLine="360"/>
        <w:jc w:val="both"/>
        <w:rPr>
          <w:sz w:val="22"/>
          <w:szCs w:val="22"/>
          <w:lang w:val="fr-FR"/>
        </w:rPr>
      </w:pPr>
    </w:p>
    <w:p w14:paraId="2E464FF8" w14:textId="77777777" w:rsidR="0019401C" w:rsidRPr="0019401C" w:rsidRDefault="0019401C" w:rsidP="0019401C">
      <w:pPr>
        <w:ind w:left="360" w:firstLine="360"/>
        <w:jc w:val="both"/>
        <w:rPr>
          <w:sz w:val="22"/>
          <w:szCs w:val="22"/>
          <w:lang w:val="fr-FR"/>
        </w:rPr>
      </w:pPr>
    </w:p>
    <w:p w14:paraId="32AE4AF6" w14:textId="3101D49D" w:rsidR="00D14236" w:rsidRPr="0019401C" w:rsidRDefault="00D14236" w:rsidP="0019401C">
      <w:pPr>
        <w:ind w:left="360" w:firstLine="360"/>
        <w:jc w:val="both"/>
        <w:rPr>
          <w:b/>
          <w:bCs/>
          <w:sz w:val="22"/>
          <w:szCs w:val="22"/>
          <w:lang w:val="fr-FR" w:eastAsia="ja-JP"/>
        </w:rPr>
      </w:pPr>
      <w:r w:rsidRPr="0019401C">
        <w:rPr>
          <w:b/>
          <w:bCs/>
          <w:sz w:val="22"/>
          <w:szCs w:val="22"/>
          <w:lang w:val="fr-FR" w:eastAsia="ja-JP"/>
        </w:rPr>
        <w:t>PROGRAMME DE FORMATION</w:t>
      </w:r>
    </w:p>
    <w:p w14:paraId="637EA09F" w14:textId="77777777" w:rsidR="00D14236" w:rsidRPr="0019401C" w:rsidRDefault="00D14236" w:rsidP="00D14236">
      <w:pPr>
        <w:ind w:firstLine="720"/>
        <w:jc w:val="both"/>
        <w:rPr>
          <w:b/>
          <w:bCs/>
          <w:sz w:val="22"/>
          <w:szCs w:val="22"/>
          <w:lang w:val="fr-FR" w:eastAsia="ja-JP"/>
        </w:rPr>
      </w:pPr>
    </w:p>
    <w:p w14:paraId="0BE4EB20" w14:textId="77777777" w:rsidR="00D14236" w:rsidRPr="0019401C" w:rsidRDefault="00D14236" w:rsidP="00D14236">
      <w:pPr>
        <w:ind w:left="720" w:firstLine="360"/>
        <w:jc w:val="both"/>
        <w:rPr>
          <w:b/>
          <w:bCs/>
          <w:sz w:val="22"/>
          <w:szCs w:val="22"/>
          <w:lang w:val="fr-FR" w:eastAsia="ja-JP"/>
        </w:rPr>
      </w:pPr>
      <w:r w:rsidRPr="0019401C">
        <w:rPr>
          <w:b/>
          <w:bCs/>
          <w:sz w:val="22"/>
          <w:szCs w:val="22"/>
          <w:lang w:val="fr-FR" w:eastAsia="ja-JP"/>
        </w:rPr>
        <w:t> Rappel de la technologie des pompes centrifuges</w:t>
      </w:r>
    </w:p>
    <w:p w14:paraId="681CEBA9" w14:textId="77777777" w:rsidR="00D14236" w:rsidRPr="0019401C" w:rsidRDefault="00D14236" w:rsidP="00D14236">
      <w:pPr>
        <w:numPr>
          <w:ilvl w:val="0"/>
          <w:numId w:val="8"/>
        </w:numPr>
        <w:tabs>
          <w:tab w:val="clear" w:pos="720"/>
          <w:tab w:val="num" w:pos="1080"/>
        </w:tabs>
        <w:spacing w:line="276" w:lineRule="auto"/>
        <w:ind w:left="1080"/>
        <w:jc w:val="both"/>
        <w:rPr>
          <w:sz w:val="22"/>
          <w:szCs w:val="22"/>
          <w:lang w:val="fr-FR" w:eastAsia="ja-JP"/>
        </w:rPr>
      </w:pPr>
      <w:r w:rsidRPr="0019401C">
        <w:rPr>
          <w:sz w:val="22"/>
          <w:szCs w:val="22"/>
          <w:lang w:val="fr-FR" w:eastAsia="ja-JP"/>
        </w:rPr>
        <w:t>Les pressions (relative, absolue, statique, dynamique)</w:t>
      </w:r>
    </w:p>
    <w:p w14:paraId="3889A5B6" w14:textId="77777777" w:rsidR="00D14236" w:rsidRPr="0019401C" w:rsidRDefault="00D14236" w:rsidP="00D14236">
      <w:pPr>
        <w:numPr>
          <w:ilvl w:val="0"/>
          <w:numId w:val="8"/>
        </w:numPr>
        <w:tabs>
          <w:tab w:val="clear" w:pos="720"/>
          <w:tab w:val="num" w:pos="1080"/>
        </w:tabs>
        <w:spacing w:line="276" w:lineRule="auto"/>
        <w:ind w:left="1080"/>
        <w:jc w:val="both"/>
        <w:rPr>
          <w:sz w:val="22"/>
          <w:szCs w:val="22"/>
          <w:lang w:val="fr-FR" w:eastAsia="ja-JP"/>
        </w:rPr>
      </w:pPr>
      <w:r w:rsidRPr="0019401C">
        <w:rPr>
          <w:sz w:val="22"/>
          <w:szCs w:val="22"/>
          <w:lang w:val="fr-FR" w:eastAsia="ja-JP"/>
        </w:rPr>
        <w:t>La viscosité (dynamique, cinématique)</w:t>
      </w:r>
    </w:p>
    <w:p w14:paraId="13A6FF80" w14:textId="77777777" w:rsidR="00D14236" w:rsidRPr="0019401C" w:rsidRDefault="00D14236" w:rsidP="00D14236">
      <w:pPr>
        <w:numPr>
          <w:ilvl w:val="0"/>
          <w:numId w:val="8"/>
        </w:numPr>
        <w:tabs>
          <w:tab w:val="clear" w:pos="720"/>
          <w:tab w:val="num" w:pos="1080"/>
        </w:tabs>
        <w:spacing w:line="276" w:lineRule="auto"/>
        <w:ind w:left="1080"/>
        <w:jc w:val="both"/>
        <w:rPr>
          <w:sz w:val="22"/>
          <w:szCs w:val="22"/>
          <w:lang w:val="fr-FR" w:eastAsia="ja-JP"/>
        </w:rPr>
      </w:pPr>
      <w:r w:rsidRPr="0019401C">
        <w:rPr>
          <w:sz w:val="22"/>
          <w:szCs w:val="22"/>
          <w:lang w:val="fr-FR" w:eastAsia="ja-JP"/>
        </w:rPr>
        <w:t>La pression hydrostatique</w:t>
      </w:r>
    </w:p>
    <w:p w14:paraId="08A496D0" w14:textId="77777777" w:rsidR="00D14236" w:rsidRPr="0019401C" w:rsidRDefault="00D14236" w:rsidP="00D14236">
      <w:pPr>
        <w:numPr>
          <w:ilvl w:val="0"/>
          <w:numId w:val="8"/>
        </w:numPr>
        <w:tabs>
          <w:tab w:val="clear" w:pos="720"/>
          <w:tab w:val="num" w:pos="1080"/>
        </w:tabs>
        <w:spacing w:line="276" w:lineRule="auto"/>
        <w:ind w:left="1080"/>
        <w:jc w:val="both"/>
        <w:rPr>
          <w:sz w:val="22"/>
          <w:szCs w:val="22"/>
          <w:lang w:val="fr-FR" w:eastAsia="ja-JP"/>
        </w:rPr>
      </w:pPr>
      <w:r w:rsidRPr="0019401C">
        <w:rPr>
          <w:sz w:val="22"/>
          <w:szCs w:val="22"/>
          <w:lang w:val="fr-FR" w:eastAsia="ja-JP"/>
        </w:rPr>
        <w:t>Influence sur l'aspiration des pompes</w:t>
      </w:r>
    </w:p>
    <w:p w14:paraId="2D3A5DB7"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NSPH requis et disponible</w:t>
      </w:r>
    </w:p>
    <w:p w14:paraId="3329F924"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Pertes de charge, tension vapeur</w:t>
      </w:r>
    </w:p>
    <w:p w14:paraId="6C47B4BD"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Hauteur géométrique</w:t>
      </w:r>
    </w:p>
    <w:p w14:paraId="15EDAEA0"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Cavitation</w:t>
      </w:r>
    </w:p>
    <w:p w14:paraId="5A50DC42" w14:textId="77777777" w:rsidR="00D14236" w:rsidRPr="0019401C" w:rsidRDefault="00D14236" w:rsidP="00D14236">
      <w:pPr>
        <w:numPr>
          <w:ilvl w:val="0"/>
          <w:numId w:val="8"/>
        </w:numPr>
        <w:tabs>
          <w:tab w:val="clear" w:pos="720"/>
          <w:tab w:val="num" w:pos="1080"/>
        </w:tabs>
        <w:spacing w:line="276" w:lineRule="auto"/>
        <w:ind w:left="1080"/>
        <w:jc w:val="both"/>
        <w:rPr>
          <w:sz w:val="22"/>
          <w:szCs w:val="22"/>
          <w:lang w:val="fr-FR" w:eastAsia="ja-JP"/>
        </w:rPr>
      </w:pPr>
      <w:r w:rsidRPr="0019401C">
        <w:rPr>
          <w:sz w:val="22"/>
          <w:szCs w:val="22"/>
          <w:lang w:val="fr-FR" w:eastAsia="ja-JP"/>
        </w:rPr>
        <w:t>Technologie des pompes monocellulaires, multicellulaires, immergées</w:t>
      </w:r>
    </w:p>
    <w:p w14:paraId="6B1EA94A" w14:textId="77777777" w:rsidR="00D14236" w:rsidRPr="0019401C" w:rsidRDefault="00D14236" w:rsidP="00D14236">
      <w:pPr>
        <w:numPr>
          <w:ilvl w:val="0"/>
          <w:numId w:val="8"/>
        </w:numPr>
        <w:tabs>
          <w:tab w:val="clear" w:pos="720"/>
          <w:tab w:val="num" w:pos="1080"/>
        </w:tabs>
        <w:spacing w:line="276" w:lineRule="auto"/>
        <w:ind w:left="1080"/>
        <w:jc w:val="both"/>
        <w:rPr>
          <w:sz w:val="22"/>
          <w:szCs w:val="22"/>
          <w:lang w:val="fr-FR" w:eastAsia="ja-JP"/>
        </w:rPr>
      </w:pPr>
      <w:r w:rsidRPr="0019401C">
        <w:rPr>
          <w:sz w:val="22"/>
          <w:szCs w:val="22"/>
          <w:lang w:val="fr-FR" w:eastAsia="ja-JP"/>
        </w:rPr>
        <w:t>Courbes caractéristiques</w:t>
      </w:r>
    </w:p>
    <w:p w14:paraId="12516982"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HMT, Débit</w:t>
      </w:r>
    </w:p>
    <w:p w14:paraId="584949D0" w14:textId="77777777" w:rsidR="00D14236" w:rsidRPr="0019401C" w:rsidRDefault="00D14236" w:rsidP="00D14236">
      <w:pPr>
        <w:ind w:left="720" w:firstLine="360"/>
        <w:jc w:val="both"/>
        <w:rPr>
          <w:b/>
          <w:bCs/>
          <w:sz w:val="22"/>
          <w:szCs w:val="22"/>
          <w:lang w:val="fr-FR" w:eastAsia="ja-JP"/>
        </w:rPr>
      </w:pPr>
      <w:r w:rsidRPr="0019401C">
        <w:rPr>
          <w:b/>
          <w:bCs/>
          <w:sz w:val="22"/>
          <w:szCs w:val="22"/>
          <w:lang w:val="fr-FR" w:eastAsia="ja-JP"/>
        </w:rPr>
        <w:t> La maintenance préventive d’un système de pompage</w:t>
      </w:r>
    </w:p>
    <w:p w14:paraId="0EA18323" w14:textId="77777777" w:rsidR="00D14236" w:rsidRPr="0019401C" w:rsidRDefault="00D14236" w:rsidP="00D14236">
      <w:pPr>
        <w:numPr>
          <w:ilvl w:val="0"/>
          <w:numId w:val="9"/>
        </w:numPr>
        <w:tabs>
          <w:tab w:val="clear" w:pos="720"/>
          <w:tab w:val="num" w:pos="1080"/>
        </w:tabs>
        <w:spacing w:line="276" w:lineRule="auto"/>
        <w:ind w:left="1080"/>
        <w:jc w:val="both"/>
        <w:rPr>
          <w:sz w:val="22"/>
          <w:szCs w:val="22"/>
          <w:lang w:val="fr-FR" w:eastAsia="ja-JP"/>
        </w:rPr>
      </w:pPr>
      <w:r w:rsidRPr="0019401C">
        <w:rPr>
          <w:sz w:val="22"/>
          <w:szCs w:val="22"/>
          <w:lang w:val="fr-FR" w:eastAsia="ja-JP"/>
        </w:rPr>
        <w:t>Le lignage</w:t>
      </w:r>
    </w:p>
    <w:p w14:paraId="65308FA2" w14:textId="77777777" w:rsidR="00D14236" w:rsidRPr="0019401C" w:rsidRDefault="00D14236" w:rsidP="00D14236">
      <w:pPr>
        <w:numPr>
          <w:ilvl w:val="0"/>
          <w:numId w:val="9"/>
        </w:numPr>
        <w:tabs>
          <w:tab w:val="clear" w:pos="720"/>
          <w:tab w:val="num" w:pos="1080"/>
        </w:tabs>
        <w:spacing w:line="276" w:lineRule="auto"/>
        <w:ind w:left="1080"/>
        <w:jc w:val="both"/>
        <w:rPr>
          <w:sz w:val="22"/>
          <w:szCs w:val="22"/>
          <w:lang w:val="fr-FR" w:eastAsia="ja-JP"/>
        </w:rPr>
      </w:pPr>
      <w:r w:rsidRPr="0019401C">
        <w:rPr>
          <w:sz w:val="22"/>
          <w:szCs w:val="22"/>
          <w:lang w:val="fr-FR" w:eastAsia="ja-JP"/>
        </w:rPr>
        <w:t>La température des paliers</w:t>
      </w:r>
    </w:p>
    <w:p w14:paraId="1303235B" w14:textId="77777777" w:rsidR="00D14236" w:rsidRPr="0019401C" w:rsidRDefault="00D14236" w:rsidP="00D14236">
      <w:pPr>
        <w:numPr>
          <w:ilvl w:val="0"/>
          <w:numId w:val="9"/>
        </w:numPr>
        <w:tabs>
          <w:tab w:val="clear" w:pos="720"/>
          <w:tab w:val="num" w:pos="1080"/>
        </w:tabs>
        <w:spacing w:line="276" w:lineRule="auto"/>
        <w:ind w:left="1080"/>
        <w:jc w:val="both"/>
        <w:rPr>
          <w:sz w:val="22"/>
          <w:szCs w:val="22"/>
          <w:lang w:val="fr-FR" w:eastAsia="ja-JP"/>
        </w:rPr>
      </w:pPr>
      <w:r w:rsidRPr="0019401C">
        <w:rPr>
          <w:sz w:val="22"/>
          <w:szCs w:val="22"/>
          <w:lang w:val="fr-FR" w:eastAsia="ja-JP"/>
        </w:rPr>
        <w:t>La vibration, contrôle vibratoire d'après données constructeurs</w:t>
      </w:r>
    </w:p>
    <w:p w14:paraId="7A7003F1" w14:textId="77777777" w:rsidR="00D14236" w:rsidRPr="0019401C" w:rsidRDefault="00D14236" w:rsidP="00D14236">
      <w:pPr>
        <w:numPr>
          <w:ilvl w:val="0"/>
          <w:numId w:val="9"/>
        </w:numPr>
        <w:tabs>
          <w:tab w:val="clear" w:pos="720"/>
          <w:tab w:val="num" w:pos="1080"/>
        </w:tabs>
        <w:spacing w:line="276" w:lineRule="auto"/>
        <w:ind w:left="1080"/>
        <w:jc w:val="both"/>
        <w:rPr>
          <w:sz w:val="22"/>
          <w:szCs w:val="22"/>
          <w:lang w:val="fr-FR" w:eastAsia="ja-JP"/>
        </w:rPr>
      </w:pPr>
      <w:r w:rsidRPr="0019401C">
        <w:rPr>
          <w:sz w:val="22"/>
          <w:szCs w:val="22"/>
          <w:lang w:val="fr-FR" w:eastAsia="ja-JP"/>
        </w:rPr>
        <w:t>Contrôle ultrason (cavitation)</w:t>
      </w:r>
    </w:p>
    <w:p w14:paraId="365422FF" w14:textId="77777777" w:rsidR="00D14236" w:rsidRPr="0019401C" w:rsidRDefault="00D14236" w:rsidP="00D14236">
      <w:pPr>
        <w:numPr>
          <w:ilvl w:val="0"/>
          <w:numId w:val="9"/>
        </w:numPr>
        <w:tabs>
          <w:tab w:val="clear" w:pos="720"/>
          <w:tab w:val="num" w:pos="1080"/>
        </w:tabs>
        <w:spacing w:line="276" w:lineRule="auto"/>
        <w:ind w:left="1080"/>
        <w:jc w:val="both"/>
        <w:rPr>
          <w:sz w:val="22"/>
          <w:szCs w:val="22"/>
          <w:lang w:val="fr-FR" w:eastAsia="ja-JP"/>
        </w:rPr>
      </w:pPr>
      <w:r w:rsidRPr="0019401C">
        <w:rPr>
          <w:sz w:val="22"/>
          <w:szCs w:val="22"/>
          <w:lang w:val="fr-FR" w:eastAsia="ja-JP"/>
        </w:rPr>
        <w:t>Le graissage</w:t>
      </w:r>
    </w:p>
    <w:p w14:paraId="54CF6096" w14:textId="77777777" w:rsidR="00D14236" w:rsidRPr="0019401C" w:rsidRDefault="00D14236" w:rsidP="00D14236">
      <w:pPr>
        <w:ind w:left="1080"/>
        <w:jc w:val="both"/>
        <w:rPr>
          <w:sz w:val="22"/>
          <w:szCs w:val="22"/>
          <w:lang w:val="fr-FR" w:eastAsia="ja-JP"/>
        </w:rPr>
      </w:pPr>
    </w:p>
    <w:p w14:paraId="32B92D10" w14:textId="77777777" w:rsidR="00D14236" w:rsidRPr="0019401C" w:rsidRDefault="00D14236" w:rsidP="00D14236">
      <w:pPr>
        <w:ind w:left="720" w:firstLine="360"/>
        <w:jc w:val="both"/>
        <w:rPr>
          <w:b/>
          <w:bCs/>
          <w:sz w:val="22"/>
          <w:szCs w:val="22"/>
          <w:lang w:val="fr-FR" w:eastAsia="ja-JP"/>
        </w:rPr>
      </w:pPr>
      <w:r w:rsidRPr="0019401C">
        <w:rPr>
          <w:b/>
          <w:bCs/>
          <w:sz w:val="22"/>
          <w:szCs w:val="22"/>
          <w:lang w:val="fr-FR" w:eastAsia="ja-JP"/>
        </w:rPr>
        <w:t> La maintenance corrective d’un système de pompage</w:t>
      </w:r>
    </w:p>
    <w:p w14:paraId="05029F19"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Diagnostic sur un système de pompage</w:t>
      </w:r>
    </w:p>
    <w:p w14:paraId="509E4538"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Recherche de l’élément défaillant suivant l’effet constaté sur l’installation (baisse de pression, débit, pas d’amorçage etc.)</w:t>
      </w:r>
    </w:p>
    <w:p w14:paraId="62D24597"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Outils d’aide au diagnostic (Effets/causes/remèdes, ordinogramme).</w:t>
      </w:r>
    </w:p>
    <w:p w14:paraId="37C4A04D"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Contrôle des paramètres hydrauliques et électriques</w:t>
      </w:r>
    </w:p>
    <w:p w14:paraId="0D4679C6"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Cavitation</w:t>
      </w:r>
    </w:p>
    <w:p w14:paraId="63BA6590"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Causes, détection</w:t>
      </w:r>
    </w:p>
    <w:p w14:paraId="00D72DD7"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Remèdes</w:t>
      </w:r>
    </w:p>
    <w:p w14:paraId="5A06537E"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Influence de l’usure d’une roue</w:t>
      </w:r>
    </w:p>
    <w:p w14:paraId="3FBDE011" w14:textId="77777777" w:rsidR="00D14236" w:rsidRPr="0019401C" w:rsidRDefault="00D14236" w:rsidP="00D14236">
      <w:pPr>
        <w:pStyle w:val="ListParagraph"/>
        <w:numPr>
          <w:ilvl w:val="1"/>
          <w:numId w:val="4"/>
        </w:numPr>
        <w:spacing w:after="0"/>
        <w:jc w:val="both"/>
        <w:rPr>
          <w:rFonts w:ascii="Times New Roman" w:hAnsi="Times New Roman" w:cs="Times New Roman"/>
          <w:lang w:val="fr-FR" w:eastAsia="ja-JP"/>
        </w:rPr>
      </w:pPr>
      <w:r w:rsidRPr="0019401C">
        <w:rPr>
          <w:rFonts w:ascii="Times New Roman" w:hAnsi="Times New Roman" w:cs="Times New Roman"/>
          <w:lang w:val="fr-FR" w:eastAsia="ja-JP"/>
        </w:rPr>
        <w:t>Perte des débits sous pression</w:t>
      </w:r>
    </w:p>
    <w:p w14:paraId="7249C291"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Usure des paliers</w:t>
      </w:r>
    </w:p>
    <w:p w14:paraId="12BA1F14"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Intervention sur une pompe centrifuge</w:t>
      </w:r>
    </w:p>
    <w:p w14:paraId="0946F30C"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Démontage.</w:t>
      </w:r>
    </w:p>
    <w:p w14:paraId="01E6D05B"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Mesure des joints hydrauliques</w:t>
      </w:r>
    </w:p>
    <w:p w14:paraId="0ED3E0FE"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Contrôle de l’usure des paliers.</w:t>
      </w:r>
    </w:p>
    <w:p w14:paraId="716B3103"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lastRenderedPageBreak/>
        <w:t>Changement de l’étanchéité statique et dynamique : les joints (ordre de montage, serrage au couple), les tresses (le matriçage, la fuite contrôlée), les garnitures mécaniques (Précautions au montage, réglage de la compression « cote L3 »).</w:t>
      </w:r>
    </w:p>
    <w:p w14:paraId="38442E89"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Instructions de mise en route et de surveillance</w:t>
      </w:r>
    </w:p>
    <w:p w14:paraId="2ABA0DB8"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Gavage d’une pompe, ordre d’ouverture des vannes</w:t>
      </w:r>
    </w:p>
    <w:p w14:paraId="3EAD1E6A" w14:textId="77777777" w:rsidR="00D14236" w:rsidRPr="0019401C" w:rsidRDefault="00D14236" w:rsidP="00D14236">
      <w:pPr>
        <w:numPr>
          <w:ilvl w:val="0"/>
          <w:numId w:val="10"/>
        </w:numPr>
        <w:tabs>
          <w:tab w:val="clear" w:pos="720"/>
          <w:tab w:val="num" w:pos="1080"/>
        </w:tabs>
        <w:spacing w:line="276" w:lineRule="auto"/>
        <w:ind w:left="1080"/>
        <w:jc w:val="both"/>
        <w:rPr>
          <w:sz w:val="22"/>
          <w:szCs w:val="22"/>
          <w:lang w:val="fr-FR" w:eastAsia="ja-JP"/>
        </w:rPr>
      </w:pPr>
      <w:r w:rsidRPr="0019401C">
        <w:rPr>
          <w:sz w:val="22"/>
          <w:szCs w:val="22"/>
          <w:lang w:val="fr-FR" w:eastAsia="ja-JP"/>
        </w:rPr>
        <w:t>Mise en sécurité lors de l'intervention</w:t>
      </w:r>
    </w:p>
    <w:p w14:paraId="1274A8CB" w14:textId="77777777" w:rsidR="00D14236" w:rsidRPr="0019401C" w:rsidRDefault="00D14236" w:rsidP="00D14236">
      <w:pPr>
        <w:ind w:left="720"/>
        <w:jc w:val="both"/>
        <w:rPr>
          <w:b/>
          <w:bCs/>
          <w:sz w:val="22"/>
          <w:szCs w:val="22"/>
          <w:lang w:val="fr-FR" w:eastAsia="ja-JP"/>
        </w:rPr>
      </w:pPr>
    </w:p>
    <w:p w14:paraId="207C36E2" w14:textId="77777777" w:rsidR="00D14236" w:rsidRPr="0019401C" w:rsidRDefault="00D14236" w:rsidP="00D14236">
      <w:pPr>
        <w:ind w:left="720"/>
        <w:jc w:val="both"/>
        <w:rPr>
          <w:b/>
          <w:bCs/>
          <w:sz w:val="22"/>
          <w:szCs w:val="22"/>
          <w:lang w:val="fr-FR" w:eastAsia="ja-JP"/>
        </w:rPr>
      </w:pPr>
      <w:r w:rsidRPr="0019401C">
        <w:rPr>
          <w:b/>
          <w:bCs/>
          <w:sz w:val="22"/>
          <w:szCs w:val="22"/>
          <w:lang w:val="fr-FR" w:eastAsia="ja-JP"/>
        </w:rPr>
        <w:t>TRAVAUX PRATIQUES</w:t>
      </w:r>
    </w:p>
    <w:p w14:paraId="58524C59" w14:textId="77777777" w:rsidR="00D14236" w:rsidRPr="0019401C" w:rsidRDefault="00D14236" w:rsidP="00D14236">
      <w:pPr>
        <w:ind w:left="720" w:firstLine="360"/>
        <w:jc w:val="both"/>
        <w:rPr>
          <w:sz w:val="22"/>
          <w:szCs w:val="22"/>
          <w:lang w:val="fr-FR" w:eastAsia="ja-JP"/>
        </w:rPr>
      </w:pPr>
      <w:r w:rsidRPr="0019401C">
        <w:rPr>
          <w:sz w:val="22"/>
          <w:szCs w:val="22"/>
          <w:lang w:val="fr-FR" w:eastAsia="ja-JP"/>
        </w:rPr>
        <w:t xml:space="preserve">Les participants auront à </w:t>
      </w:r>
      <w:proofErr w:type="gramStart"/>
      <w:r w:rsidRPr="0019401C">
        <w:rPr>
          <w:sz w:val="22"/>
          <w:szCs w:val="22"/>
          <w:lang w:val="fr-FR" w:eastAsia="ja-JP"/>
        </w:rPr>
        <w:t>effectuer:</w:t>
      </w:r>
      <w:proofErr w:type="gramEnd"/>
    </w:p>
    <w:p w14:paraId="6847E0C6" w14:textId="77777777" w:rsidR="00D14236" w:rsidRPr="0019401C" w:rsidRDefault="00D14236" w:rsidP="00D14236">
      <w:pPr>
        <w:numPr>
          <w:ilvl w:val="0"/>
          <w:numId w:val="11"/>
        </w:numPr>
        <w:tabs>
          <w:tab w:val="clear" w:pos="720"/>
          <w:tab w:val="num" w:pos="1080"/>
        </w:tabs>
        <w:spacing w:line="276" w:lineRule="auto"/>
        <w:ind w:left="1080"/>
        <w:jc w:val="both"/>
        <w:rPr>
          <w:sz w:val="22"/>
          <w:szCs w:val="22"/>
          <w:lang w:val="fr-FR" w:eastAsia="ja-JP"/>
        </w:rPr>
      </w:pPr>
      <w:r w:rsidRPr="0019401C">
        <w:rPr>
          <w:sz w:val="22"/>
          <w:szCs w:val="22"/>
          <w:lang w:val="fr-FR" w:eastAsia="ja-JP"/>
        </w:rPr>
        <w:t>Des mesures pour définir la courbe d’une pompe centrifuge.</w:t>
      </w:r>
    </w:p>
    <w:p w14:paraId="28870218" w14:textId="77777777" w:rsidR="00D14236" w:rsidRPr="0019401C" w:rsidRDefault="00D14236" w:rsidP="00D14236">
      <w:pPr>
        <w:numPr>
          <w:ilvl w:val="0"/>
          <w:numId w:val="11"/>
        </w:numPr>
        <w:tabs>
          <w:tab w:val="clear" w:pos="720"/>
          <w:tab w:val="num" w:pos="1080"/>
        </w:tabs>
        <w:spacing w:line="276" w:lineRule="auto"/>
        <w:ind w:left="1080"/>
        <w:jc w:val="both"/>
        <w:rPr>
          <w:sz w:val="22"/>
          <w:szCs w:val="22"/>
          <w:lang w:val="fr-FR" w:eastAsia="ja-JP"/>
        </w:rPr>
      </w:pPr>
      <w:r w:rsidRPr="0019401C">
        <w:rPr>
          <w:sz w:val="22"/>
          <w:szCs w:val="22"/>
          <w:lang w:val="fr-FR" w:eastAsia="ja-JP"/>
        </w:rPr>
        <w:t>La recherche du point de fonctionnement d’une pompe centrifuge.</w:t>
      </w:r>
    </w:p>
    <w:p w14:paraId="5E68175A" w14:textId="77777777" w:rsidR="00D14236" w:rsidRPr="0019401C" w:rsidRDefault="00D14236" w:rsidP="00D14236">
      <w:pPr>
        <w:numPr>
          <w:ilvl w:val="0"/>
          <w:numId w:val="11"/>
        </w:numPr>
        <w:tabs>
          <w:tab w:val="clear" w:pos="720"/>
          <w:tab w:val="num" w:pos="1080"/>
        </w:tabs>
        <w:spacing w:line="276" w:lineRule="auto"/>
        <w:ind w:left="1080"/>
        <w:jc w:val="both"/>
        <w:rPr>
          <w:sz w:val="22"/>
          <w:szCs w:val="22"/>
          <w:lang w:val="fr-FR" w:eastAsia="ja-JP"/>
        </w:rPr>
      </w:pPr>
      <w:r w:rsidRPr="0019401C">
        <w:rPr>
          <w:sz w:val="22"/>
          <w:szCs w:val="22"/>
          <w:lang w:val="fr-FR" w:eastAsia="ja-JP"/>
        </w:rPr>
        <w:t>Plusieurs types de montage (parallèle et série).</w:t>
      </w:r>
    </w:p>
    <w:p w14:paraId="5A54C038" w14:textId="77777777" w:rsidR="00D14236" w:rsidRPr="0019401C" w:rsidRDefault="00D14236" w:rsidP="00D14236">
      <w:pPr>
        <w:numPr>
          <w:ilvl w:val="0"/>
          <w:numId w:val="11"/>
        </w:numPr>
        <w:tabs>
          <w:tab w:val="clear" w:pos="720"/>
          <w:tab w:val="num" w:pos="1080"/>
        </w:tabs>
        <w:spacing w:line="276" w:lineRule="auto"/>
        <w:ind w:left="1080"/>
        <w:jc w:val="both"/>
        <w:rPr>
          <w:sz w:val="22"/>
          <w:szCs w:val="22"/>
          <w:lang w:val="fr-FR" w:eastAsia="ja-JP"/>
        </w:rPr>
      </w:pPr>
      <w:r w:rsidRPr="0019401C">
        <w:rPr>
          <w:sz w:val="22"/>
          <w:szCs w:val="22"/>
          <w:lang w:val="fr-FR" w:eastAsia="ja-JP"/>
        </w:rPr>
        <w:t>A partir de pompes spécifiques, ils devront démonter et expliquer leurs fonctionnements. Ils assisteront au lignage d’une pompe centrifuge ainsi qu’à la réfection de son étanchéité (garniture mécanique et tresse).</w:t>
      </w:r>
    </w:p>
    <w:p w14:paraId="005F0D19" w14:textId="77777777" w:rsidR="00D14236" w:rsidRPr="0019401C" w:rsidRDefault="00D14236" w:rsidP="00D14236">
      <w:pPr>
        <w:numPr>
          <w:ilvl w:val="0"/>
          <w:numId w:val="11"/>
        </w:numPr>
        <w:tabs>
          <w:tab w:val="clear" w:pos="720"/>
          <w:tab w:val="num" w:pos="1080"/>
        </w:tabs>
        <w:spacing w:line="276" w:lineRule="auto"/>
        <w:ind w:left="1080"/>
        <w:jc w:val="both"/>
        <w:rPr>
          <w:sz w:val="22"/>
          <w:szCs w:val="22"/>
          <w:lang w:val="fr-FR" w:eastAsia="ja-JP"/>
        </w:rPr>
      </w:pPr>
      <w:r w:rsidRPr="0019401C">
        <w:rPr>
          <w:sz w:val="22"/>
          <w:szCs w:val="22"/>
          <w:lang w:val="fr-FR" w:eastAsia="ja-JP"/>
        </w:rPr>
        <w:t>Etude de cas pratiques sur un banc hydraulique</w:t>
      </w:r>
    </w:p>
    <w:p w14:paraId="59862902"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 xml:space="preserve">Configuration du coffret de commande de la pompe immergée, installation, montage et maintenance </w:t>
      </w:r>
    </w:p>
    <w:p w14:paraId="0AE02306"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Configuration et maintenance de la pompe immergée</w:t>
      </w:r>
    </w:p>
    <w:p w14:paraId="53AC5141" w14:textId="77777777" w:rsidR="00D14236" w:rsidRPr="0019401C" w:rsidRDefault="00D14236" w:rsidP="00D14236">
      <w:pPr>
        <w:pStyle w:val="ListParagraph"/>
        <w:numPr>
          <w:ilvl w:val="1"/>
          <w:numId w:val="4"/>
        </w:numPr>
        <w:jc w:val="both"/>
        <w:rPr>
          <w:rFonts w:ascii="Times New Roman" w:hAnsi="Times New Roman" w:cs="Times New Roman"/>
          <w:lang w:val="fr-FR" w:eastAsia="ja-JP"/>
        </w:rPr>
      </w:pPr>
      <w:r w:rsidRPr="0019401C">
        <w:rPr>
          <w:rFonts w:ascii="Times New Roman" w:hAnsi="Times New Roman" w:cs="Times New Roman"/>
          <w:lang w:val="fr-FR" w:eastAsia="ja-JP"/>
        </w:rPr>
        <w:t>Configuration et maintenance des systèmes d’alimentation solaire</w:t>
      </w:r>
    </w:p>
    <w:p w14:paraId="14B60DAC" w14:textId="77777777" w:rsidR="00D14236" w:rsidRPr="0019401C" w:rsidRDefault="00D14236" w:rsidP="00D14236">
      <w:pPr>
        <w:pStyle w:val="ListParagraph"/>
        <w:ind w:left="1440"/>
        <w:jc w:val="both"/>
        <w:rPr>
          <w:rFonts w:ascii="Times New Roman" w:hAnsi="Times New Roman" w:cs="Times New Roman"/>
          <w:lang w:val="fr-FR" w:eastAsia="ja-JP"/>
        </w:rPr>
      </w:pPr>
    </w:p>
    <w:p w14:paraId="273737E8" w14:textId="77777777" w:rsidR="00D14236" w:rsidRPr="0019401C" w:rsidRDefault="00D14236" w:rsidP="00D14236">
      <w:pPr>
        <w:pStyle w:val="ListParagraph"/>
        <w:numPr>
          <w:ilvl w:val="0"/>
          <w:numId w:val="13"/>
        </w:numPr>
        <w:spacing w:after="0"/>
        <w:jc w:val="both"/>
        <w:rPr>
          <w:rFonts w:ascii="Times New Roman" w:hAnsi="Times New Roman" w:cs="Times New Roman"/>
          <w:u w:val="single"/>
          <w:lang w:val="fr-FR" w:eastAsia="ja-JP"/>
        </w:rPr>
      </w:pPr>
      <w:r w:rsidRPr="0019401C">
        <w:rPr>
          <w:rFonts w:ascii="Times New Roman" w:hAnsi="Times New Roman" w:cs="Times New Roman"/>
          <w:u w:val="single"/>
          <w:lang w:val="fr-FR" w:eastAsia="ja-JP"/>
        </w:rPr>
        <w:t xml:space="preserve">Mise en pratique des travaux </w:t>
      </w:r>
    </w:p>
    <w:p w14:paraId="0C689082" w14:textId="77777777" w:rsidR="00D14236" w:rsidRPr="0019401C" w:rsidRDefault="00D14236" w:rsidP="00D14236">
      <w:pPr>
        <w:ind w:left="360" w:firstLine="360"/>
        <w:jc w:val="both"/>
        <w:rPr>
          <w:sz w:val="22"/>
          <w:szCs w:val="22"/>
          <w:lang w:val="fr-FR" w:eastAsia="ja-JP"/>
        </w:rPr>
      </w:pPr>
      <w:r w:rsidRPr="0019401C">
        <w:rPr>
          <w:sz w:val="22"/>
          <w:szCs w:val="22"/>
          <w:lang w:val="fr-FR" w:eastAsia="ja-JP"/>
        </w:rPr>
        <w:t>Durée : 4 jours</w:t>
      </w:r>
    </w:p>
    <w:p w14:paraId="227C7ACF" w14:textId="77777777" w:rsidR="00D14236" w:rsidRPr="0019401C" w:rsidRDefault="00D14236" w:rsidP="00D14236">
      <w:pPr>
        <w:ind w:left="360" w:firstLine="360"/>
        <w:jc w:val="both"/>
        <w:rPr>
          <w:sz w:val="22"/>
          <w:szCs w:val="22"/>
          <w:lang w:val="fr-FR" w:eastAsia="ja-JP"/>
        </w:rPr>
      </w:pPr>
      <w:r w:rsidRPr="0019401C">
        <w:rPr>
          <w:sz w:val="22"/>
          <w:szCs w:val="22"/>
          <w:lang w:val="fr-FR" w:eastAsia="ja-JP"/>
        </w:rPr>
        <w:t>Site :au niveau de 3 ou 4 forages à choisir</w:t>
      </w:r>
    </w:p>
    <w:p w14:paraId="1C8017CA" w14:textId="77777777" w:rsidR="00D14236" w:rsidRPr="0019401C" w:rsidRDefault="00D14236" w:rsidP="00D14236">
      <w:pPr>
        <w:jc w:val="both"/>
        <w:rPr>
          <w:sz w:val="22"/>
          <w:szCs w:val="22"/>
          <w:lang w:val="fr-FR" w:eastAsia="ja-JP"/>
        </w:rPr>
      </w:pPr>
    </w:p>
    <w:p w14:paraId="791D69E2" w14:textId="77777777" w:rsidR="00D14236" w:rsidRPr="0019401C" w:rsidRDefault="00D14236" w:rsidP="00D14236">
      <w:pPr>
        <w:pStyle w:val="ListParagraph"/>
        <w:numPr>
          <w:ilvl w:val="0"/>
          <w:numId w:val="13"/>
        </w:numPr>
        <w:spacing w:after="0"/>
        <w:jc w:val="both"/>
        <w:rPr>
          <w:rFonts w:ascii="Times New Roman" w:hAnsi="Times New Roman" w:cs="Times New Roman"/>
          <w:u w:val="single"/>
          <w:lang w:val="fr-FR" w:eastAsia="ja-JP"/>
        </w:rPr>
      </w:pPr>
      <w:r w:rsidRPr="0019401C">
        <w:rPr>
          <w:rFonts w:ascii="Times New Roman" w:hAnsi="Times New Roman" w:cs="Times New Roman"/>
          <w:u w:val="single"/>
          <w:lang w:val="fr-FR" w:eastAsia="ja-JP"/>
        </w:rPr>
        <w:t xml:space="preserve">Synthèse et restitution à la DHR </w:t>
      </w:r>
    </w:p>
    <w:p w14:paraId="78740A92" w14:textId="77777777" w:rsidR="00D14236" w:rsidRPr="0019401C" w:rsidRDefault="00D14236" w:rsidP="00D14236">
      <w:pPr>
        <w:ind w:left="360" w:firstLine="360"/>
        <w:jc w:val="both"/>
        <w:rPr>
          <w:sz w:val="22"/>
          <w:szCs w:val="22"/>
          <w:lang w:val="fr-FR" w:eastAsia="ja-JP"/>
        </w:rPr>
      </w:pPr>
      <w:r w:rsidRPr="0019401C">
        <w:rPr>
          <w:sz w:val="22"/>
          <w:szCs w:val="22"/>
          <w:lang w:val="fr-FR" w:eastAsia="ja-JP"/>
        </w:rPr>
        <w:t>Durée : 2 jours</w:t>
      </w:r>
    </w:p>
    <w:p w14:paraId="16C66C77" w14:textId="77777777" w:rsidR="00D14236" w:rsidRPr="0019401C" w:rsidRDefault="00D14236" w:rsidP="00D14236">
      <w:pPr>
        <w:ind w:left="360" w:firstLine="360"/>
        <w:jc w:val="both"/>
        <w:rPr>
          <w:sz w:val="22"/>
          <w:szCs w:val="22"/>
          <w:lang w:val="fr-FR" w:eastAsia="ja-JP"/>
        </w:rPr>
      </w:pPr>
      <w:r w:rsidRPr="0019401C">
        <w:rPr>
          <w:sz w:val="22"/>
          <w:szCs w:val="22"/>
          <w:lang w:val="fr-FR" w:eastAsia="ja-JP"/>
        </w:rPr>
        <w:t xml:space="preserve">Site : bureau de la DHR </w:t>
      </w:r>
    </w:p>
    <w:p w14:paraId="6836E1C1" w14:textId="49287BCF" w:rsidR="008F6177" w:rsidRPr="0019401C" w:rsidRDefault="008F6177" w:rsidP="00172E8B">
      <w:pPr>
        <w:pStyle w:val="Title"/>
        <w:jc w:val="left"/>
        <w:rPr>
          <w:rFonts w:eastAsia="Arial"/>
          <w:sz w:val="22"/>
          <w:szCs w:val="22"/>
          <w:lang w:val="fr-FR"/>
        </w:rPr>
      </w:pPr>
    </w:p>
    <w:p w14:paraId="59C1DDAD" w14:textId="77777777" w:rsidR="00D14236" w:rsidRPr="0019401C" w:rsidRDefault="00D14236" w:rsidP="00172E8B">
      <w:pPr>
        <w:pStyle w:val="Title"/>
        <w:jc w:val="left"/>
        <w:rPr>
          <w:rFonts w:eastAsia="Arial"/>
          <w:b/>
          <w:bCs/>
          <w:sz w:val="22"/>
          <w:szCs w:val="22"/>
          <w:lang w:val="fr-FR"/>
        </w:rPr>
      </w:pPr>
    </w:p>
    <w:tbl>
      <w:tblPr>
        <w:tblStyle w:val="TableGrid"/>
        <w:tblW w:w="0" w:type="auto"/>
        <w:tblLook w:val="04A0" w:firstRow="1" w:lastRow="0" w:firstColumn="1" w:lastColumn="0" w:noHBand="0" w:noVBand="1"/>
      </w:tblPr>
      <w:tblGrid>
        <w:gridCol w:w="715"/>
        <w:gridCol w:w="3150"/>
        <w:gridCol w:w="1792"/>
        <w:gridCol w:w="1544"/>
        <w:gridCol w:w="1873"/>
      </w:tblGrid>
      <w:tr w:rsidR="00172E8B" w:rsidRPr="0019401C" w14:paraId="4DE1859D" w14:textId="77777777" w:rsidTr="00172E8B">
        <w:tc>
          <w:tcPr>
            <w:tcW w:w="715" w:type="dxa"/>
          </w:tcPr>
          <w:p w14:paraId="54CE0720" w14:textId="77777777" w:rsidR="00172E8B" w:rsidRPr="0019401C" w:rsidRDefault="00172E8B" w:rsidP="00FE3F86">
            <w:pPr>
              <w:pStyle w:val="Title"/>
              <w:rPr>
                <w:rFonts w:eastAsia="Arial"/>
                <w:b/>
                <w:sz w:val="22"/>
                <w:szCs w:val="22"/>
              </w:rPr>
            </w:pPr>
            <w:r w:rsidRPr="0019401C">
              <w:rPr>
                <w:rFonts w:eastAsia="Arial"/>
                <w:b/>
                <w:sz w:val="22"/>
                <w:szCs w:val="22"/>
              </w:rPr>
              <w:t>No</w:t>
            </w:r>
          </w:p>
        </w:tc>
        <w:tc>
          <w:tcPr>
            <w:tcW w:w="3150" w:type="dxa"/>
          </w:tcPr>
          <w:p w14:paraId="7EF44896" w14:textId="77777777" w:rsidR="00172E8B" w:rsidRPr="0019401C" w:rsidRDefault="00172E8B" w:rsidP="00FE3F86">
            <w:pPr>
              <w:pStyle w:val="Title"/>
              <w:rPr>
                <w:rFonts w:eastAsia="Arial"/>
                <w:b/>
                <w:sz w:val="22"/>
                <w:szCs w:val="22"/>
              </w:rPr>
            </w:pPr>
            <w:proofErr w:type="spellStart"/>
            <w:r w:rsidRPr="0019401C">
              <w:rPr>
                <w:rFonts w:eastAsia="Arial"/>
                <w:b/>
                <w:sz w:val="22"/>
                <w:szCs w:val="22"/>
              </w:rPr>
              <w:t>Activité</w:t>
            </w:r>
            <w:proofErr w:type="spellEnd"/>
          </w:p>
        </w:tc>
        <w:tc>
          <w:tcPr>
            <w:tcW w:w="1792" w:type="dxa"/>
          </w:tcPr>
          <w:p w14:paraId="7C91AD42" w14:textId="77777777" w:rsidR="00172E8B" w:rsidRPr="0019401C" w:rsidRDefault="00172E8B" w:rsidP="00FE3F86">
            <w:pPr>
              <w:pStyle w:val="Title"/>
              <w:rPr>
                <w:rFonts w:eastAsia="Arial"/>
                <w:b/>
                <w:sz w:val="22"/>
                <w:szCs w:val="22"/>
              </w:rPr>
            </w:pPr>
            <w:proofErr w:type="spellStart"/>
            <w:r w:rsidRPr="0019401C">
              <w:rPr>
                <w:rFonts w:eastAsia="Arial"/>
                <w:b/>
                <w:sz w:val="22"/>
                <w:szCs w:val="22"/>
              </w:rPr>
              <w:t>Livrable</w:t>
            </w:r>
            <w:proofErr w:type="spellEnd"/>
          </w:p>
        </w:tc>
        <w:tc>
          <w:tcPr>
            <w:tcW w:w="1544" w:type="dxa"/>
          </w:tcPr>
          <w:p w14:paraId="7BB0A619" w14:textId="77777777" w:rsidR="00172E8B" w:rsidRPr="0019401C" w:rsidRDefault="00172E8B" w:rsidP="00FE3F86">
            <w:pPr>
              <w:pStyle w:val="Title"/>
              <w:rPr>
                <w:rFonts w:eastAsia="Arial"/>
                <w:b/>
                <w:sz w:val="22"/>
                <w:szCs w:val="22"/>
              </w:rPr>
            </w:pPr>
            <w:proofErr w:type="spellStart"/>
            <w:r w:rsidRPr="0019401C">
              <w:rPr>
                <w:rFonts w:eastAsia="Arial"/>
                <w:b/>
                <w:sz w:val="22"/>
                <w:szCs w:val="22"/>
              </w:rPr>
              <w:t>Echéance</w:t>
            </w:r>
            <w:proofErr w:type="spellEnd"/>
          </w:p>
        </w:tc>
        <w:tc>
          <w:tcPr>
            <w:tcW w:w="1873" w:type="dxa"/>
          </w:tcPr>
          <w:p w14:paraId="42E1074A" w14:textId="77777777" w:rsidR="00172E8B" w:rsidRPr="0019401C" w:rsidRDefault="00172E8B" w:rsidP="00FE3F86">
            <w:pPr>
              <w:pStyle w:val="Title"/>
              <w:rPr>
                <w:rFonts w:eastAsia="Arial"/>
                <w:b/>
                <w:sz w:val="22"/>
                <w:szCs w:val="22"/>
              </w:rPr>
            </w:pPr>
            <w:proofErr w:type="spellStart"/>
            <w:r w:rsidRPr="0019401C">
              <w:rPr>
                <w:rFonts w:eastAsia="Arial"/>
                <w:b/>
                <w:sz w:val="22"/>
                <w:szCs w:val="22"/>
              </w:rPr>
              <w:t>Nombre</w:t>
            </w:r>
            <w:proofErr w:type="spellEnd"/>
            <w:r w:rsidRPr="0019401C">
              <w:rPr>
                <w:rFonts w:eastAsia="Arial"/>
                <w:b/>
                <w:sz w:val="22"/>
                <w:szCs w:val="22"/>
              </w:rPr>
              <w:t xml:space="preserve"> de </w:t>
            </w:r>
            <w:proofErr w:type="spellStart"/>
            <w:r w:rsidRPr="0019401C">
              <w:rPr>
                <w:rFonts w:eastAsia="Arial"/>
                <w:b/>
                <w:sz w:val="22"/>
                <w:szCs w:val="22"/>
              </w:rPr>
              <w:t>jours</w:t>
            </w:r>
            <w:proofErr w:type="spellEnd"/>
            <w:r w:rsidRPr="0019401C">
              <w:rPr>
                <w:rFonts w:eastAsia="Arial"/>
                <w:b/>
                <w:sz w:val="22"/>
                <w:szCs w:val="22"/>
              </w:rPr>
              <w:t xml:space="preserve"> </w:t>
            </w:r>
            <w:proofErr w:type="spellStart"/>
            <w:r w:rsidRPr="0019401C">
              <w:rPr>
                <w:rFonts w:eastAsia="Arial"/>
                <w:b/>
                <w:sz w:val="22"/>
                <w:szCs w:val="22"/>
              </w:rPr>
              <w:t>ouvrables</w:t>
            </w:r>
            <w:proofErr w:type="spellEnd"/>
          </w:p>
        </w:tc>
      </w:tr>
      <w:tr w:rsidR="00172E8B" w:rsidRPr="0019401C" w14:paraId="4EFC6EA7" w14:textId="77777777" w:rsidTr="00172E8B">
        <w:tc>
          <w:tcPr>
            <w:tcW w:w="715" w:type="dxa"/>
          </w:tcPr>
          <w:p w14:paraId="5FCFA8CE" w14:textId="77777777" w:rsidR="00172E8B" w:rsidRPr="0019401C" w:rsidRDefault="00172E8B" w:rsidP="00FE3F86">
            <w:pPr>
              <w:pStyle w:val="Title"/>
              <w:jc w:val="left"/>
              <w:rPr>
                <w:bCs/>
                <w:sz w:val="22"/>
                <w:szCs w:val="22"/>
              </w:rPr>
            </w:pPr>
            <w:r w:rsidRPr="0019401C">
              <w:rPr>
                <w:bCs/>
                <w:sz w:val="22"/>
                <w:szCs w:val="22"/>
              </w:rPr>
              <w:t>1</w:t>
            </w:r>
          </w:p>
        </w:tc>
        <w:tc>
          <w:tcPr>
            <w:tcW w:w="3150" w:type="dxa"/>
          </w:tcPr>
          <w:p w14:paraId="5D1188FA" w14:textId="63CD8A34" w:rsidR="00172E8B" w:rsidRPr="0019401C" w:rsidRDefault="00D14236" w:rsidP="00FE3F86">
            <w:pPr>
              <w:pStyle w:val="Title"/>
              <w:jc w:val="left"/>
              <w:rPr>
                <w:bCs/>
                <w:sz w:val="22"/>
                <w:szCs w:val="22"/>
                <w:lang w:val="fr-FR"/>
              </w:rPr>
            </w:pPr>
            <w:r w:rsidRPr="0019401C">
              <w:rPr>
                <w:sz w:val="22"/>
                <w:szCs w:val="22"/>
                <w:lang w:val="fr-FR" w:eastAsia="ja-JP"/>
              </w:rPr>
              <w:t>Cours théorique</w:t>
            </w:r>
            <w:r w:rsidRPr="0019401C">
              <w:rPr>
                <w:bCs/>
                <w:sz w:val="22"/>
                <w:szCs w:val="22"/>
                <w:lang w:val="fr-FR"/>
              </w:rPr>
              <w:t xml:space="preserve"> </w:t>
            </w:r>
          </w:p>
        </w:tc>
        <w:tc>
          <w:tcPr>
            <w:tcW w:w="1792" w:type="dxa"/>
          </w:tcPr>
          <w:p w14:paraId="04C0CC72" w14:textId="70C56BE0" w:rsidR="00172E8B" w:rsidRPr="0019401C" w:rsidRDefault="00D14236" w:rsidP="00172E8B">
            <w:pPr>
              <w:pStyle w:val="Title"/>
              <w:jc w:val="left"/>
              <w:rPr>
                <w:bCs/>
                <w:sz w:val="22"/>
                <w:szCs w:val="22"/>
                <w:lang w:val="fr-FR"/>
              </w:rPr>
            </w:pPr>
            <w:r w:rsidRPr="0019401C">
              <w:rPr>
                <w:rFonts w:eastAsia="Arial"/>
                <w:b/>
                <w:bCs/>
                <w:sz w:val="22"/>
                <w:szCs w:val="22"/>
                <w:lang w:val="fr-FR"/>
              </w:rPr>
              <w:t>-</w:t>
            </w:r>
          </w:p>
          <w:p w14:paraId="736FDAEC" w14:textId="77777777" w:rsidR="00172E8B" w:rsidRPr="0019401C" w:rsidRDefault="00172E8B" w:rsidP="00FE3F86">
            <w:pPr>
              <w:pStyle w:val="Title"/>
              <w:jc w:val="left"/>
              <w:rPr>
                <w:bCs/>
                <w:sz w:val="22"/>
                <w:szCs w:val="22"/>
                <w:lang w:val="fr-FR"/>
              </w:rPr>
            </w:pPr>
          </w:p>
        </w:tc>
        <w:tc>
          <w:tcPr>
            <w:tcW w:w="1544" w:type="dxa"/>
          </w:tcPr>
          <w:p w14:paraId="04329483" w14:textId="759DBCCF" w:rsidR="00172E8B" w:rsidRPr="0019401C" w:rsidRDefault="00D14236" w:rsidP="00D14236">
            <w:pPr>
              <w:pStyle w:val="Title"/>
              <w:jc w:val="left"/>
              <w:rPr>
                <w:sz w:val="22"/>
                <w:szCs w:val="22"/>
                <w:lang w:val="fr-FR"/>
              </w:rPr>
            </w:pPr>
            <w:r w:rsidRPr="0019401C">
              <w:rPr>
                <w:rFonts w:eastAsia="Arial"/>
                <w:sz w:val="22"/>
                <w:szCs w:val="22"/>
                <w:lang w:val="fr-FR"/>
              </w:rPr>
              <w:t>16 mai – 26 mai</w:t>
            </w:r>
          </w:p>
        </w:tc>
        <w:tc>
          <w:tcPr>
            <w:tcW w:w="1873" w:type="dxa"/>
          </w:tcPr>
          <w:p w14:paraId="237808F5" w14:textId="1800CF08" w:rsidR="00172E8B" w:rsidRPr="0019401C" w:rsidRDefault="00D14236" w:rsidP="00FE3F86">
            <w:pPr>
              <w:pStyle w:val="Title"/>
              <w:rPr>
                <w:sz w:val="22"/>
                <w:szCs w:val="22"/>
                <w:lang w:val="fr-FR"/>
              </w:rPr>
            </w:pPr>
            <w:r w:rsidRPr="0019401C">
              <w:rPr>
                <w:sz w:val="22"/>
                <w:szCs w:val="22"/>
                <w:lang w:val="fr-FR"/>
              </w:rPr>
              <w:t>9</w:t>
            </w:r>
          </w:p>
        </w:tc>
      </w:tr>
      <w:tr w:rsidR="00172E8B" w:rsidRPr="0019401C" w14:paraId="09DC407D" w14:textId="77777777" w:rsidTr="00172E8B">
        <w:tc>
          <w:tcPr>
            <w:tcW w:w="715" w:type="dxa"/>
          </w:tcPr>
          <w:p w14:paraId="452DD9BB" w14:textId="77777777" w:rsidR="00172E8B" w:rsidRPr="0019401C" w:rsidRDefault="00172E8B" w:rsidP="00FE3F86">
            <w:pPr>
              <w:pStyle w:val="Title"/>
              <w:jc w:val="left"/>
              <w:rPr>
                <w:bCs/>
                <w:sz w:val="22"/>
                <w:szCs w:val="22"/>
                <w:lang w:val="fr-FR"/>
              </w:rPr>
            </w:pPr>
            <w:r w:rsidRPr="0019401C">
              <w:rPr>
                <w:bCs/>
                <w:sz w:val="22"/>
                <w:szCs w:val="22"/>
                <w:lang w:val="fr-FR"/>
              </w:rPr>
              <w:t>2</w:t>
            </w:r>
          </w:p>
        </w:tc>
        <w:tc>
          <w:tcPr>
            <w:tcW w:w="3150" w:type="dxa"/>
          </w:tcPr>
          <w:p w14:paraId="1719D03C" w14:textId="77777777" w:rsidR="00D14236" w:rsidRPr="0019401C" w:rsidRDefault="00D14236" w:rsidP="00D14236">
            <w:pPr>
              <w:jc w:val="both"/>
              <w:rPr>
                <w:sz w:val="22"/>
                <w:szCs w:val="22"/>
                <w:lang w:val="fr-FR" w:eastAsia="ja-JP"/>
              </w:rPr>
            </w:pPr>
            <w:r w:rsidRPr="0019401C">
              <w:rPr>
                <w:sz w:val="22"/>
                <w:szCs w:val="22"/>
                <w:lang w:val="fr-FR" w:eastAsia="ja-JP"/>
              </w:rPr>
              <w:t xml:space="preserve">Mise en pratique des travaux </w:t>
            </w:r>
          </w:p>
          <w:p w14:paraId="0B06A557" w14:textId="77777777" w:rsidR="00172E8B" w:rsidRPr="0019401C" w:rsidRDefault="00172E8B" w:rsidP="00FE3F86">
            <w:pPr>
              <w:pStyle w:val="Title"/>
              <w:jc w:val="left"/>
              <w:rPr>
                <w:bCs/>
                <w:sz w:val="22"/>
                <w:szCs w:val="22"/>
                <w:lang w:val="fr-FR"/>
              </w:rPr>
            </w:pPr>
          </w:p>
        </w:tc>
        <w:tc>
          <w:tcPr>
            <w:tcW w:w="1792" w:type="dxa"/>
          </w:tcPr>
          <w:p w14:paraId="1901BC3F" w14:textId="60C85F7E" w:rsidR="00172E8B" w:rsidRPr="0019401C" w:rsidRDefault="00D14236" w:rsidP="00FE3F86">
            <w:pPr>
              <w:pStyle w:val="Title"/>
              <w:jc w:val="left"/>
              <w:rPr>
                <w:bCs/>
                <w:sz w:val="22"/>
                <w:szCs w:val="22"/>
                <w:lang w:val="fr-FR"/>
              </w:rPr>
            </w:pPr>
            <w:r w:rsidRPr="0019401C">
              <w:rPr>
                <w:bCs/>
                <w:sz w:val="22"/>
                <w:szCs w:val="22"/>
                <w:lang w:val="fr-FR"/>
              </w:rPr>
              <w:t>-</w:t>
            </w:r>
          </w:p>
        </w:tc>
        <w:tc>
          <w:tcPr>
            <w:tcW w:w="1544" w:type="dxa"/>
          </w:tcPr>
          <w:p w14:paraId="729F74DB" w14:textId="593EFC28" w:rsidR="00172E8B" w:rsidRPr="0019401C" w:rsidRDefault="00D14236" w:rsidP="00FE3F86">
            <w:pPr>
              <w:pStyle w:val="Title"/>
              <w:rPr>
                <w:sz w:val="22"/>
                <w:szCs w:val="22"/>
                <w:lang w:val="fr-FR"/>
              </w:rPr>
            </w:pPr>
            <w:r w:rsidRPr="0019401C">
              <w:rPr>
                <w:sz w:val="22"/>
                <w:szCs w:val="22"/>
                <w:lang w:val="fr-FR"/>
              </w:rPr>
              <w:t>27 mai-1 juin</w:t>
            </w:r>
          </w:p>
        </w:tc>
        <w:tc>
          <w:tcPr>
            <w:tcW w:w="1873" w:type="dxa"/>
          </w:tcPr>
          <w:p w14:paraId="6A52E9B2" w14:textId="00FA3A6A" w:rsidR="00172E8B" w:rsidRPr="0019401C" w:rsidRDefault="00D14236" w:rsidP="00FE3F86">
            <w:pPr>
              <w:pStyle w:val="Title"/>
              <w:rPr>
                <w:sz w:val="22"/>
                <w:szCs w:val="22"/>
                <w:lang w:val="fr-FR"/>
              </w:rPr>
            </w:pPr>
            <w:r w:rsidRPr="0019401C">
              <w:rPr>
                <w:sz w:val="22"/>
                <w:szCs w:val="22"/>
                <w:lang w:val="fr-FR"/>
              </w:rPr>
              <w:t>4</w:t>
            </w:r>
          </w:p>
        </w:tc>
      </w:tr>
      <w:tr w:rsidR="00172E8B" w:rsidRPr="0019401C" w14:paraId="0A634318" w14:textId="77777777" w:rsidTr="00172E8B">
        <w:tc>
          <w:tcPr>
            <w:tcW w:w="715" w:type="dxa"/>
          </w:tcPr>
          <w:p w14:paraId="61A2A152" w14:textId="77777777" w:rsidR="00172E8B" w:rsidRPr="0019401C" w:rsidRDefault="00172E8B" w:rsidP="00FE3F86">
            <w:pPr>
              <w:pStyle w:val="Title"/>
              <w:jc w:val="left"/>
              <w:rPr>
                <w:bCs/>
                <w:sz w:val="22"/>
                <w:szCs w:val="22"/>
                <w:lang w:val="fr-FR"/>
              </w:rPr>
            </w:pPr>
            <w:r w:rsidRPr="0019401C">
              <w:rPr>
                <w:bCs/>
                <w:sz w:val="22"/>
                <w:szCs w:val="22"/>
                <w:lang w:val="fr-FR"/>
              </w:rPr>
              <w:t>3</w:t>
            </w:r>
          </w:p>
        </w:tc>
        <w:tc>
          <w:tcPr>
            <w:tcW w:w="3150" w:type="dxa"/>
          </w:tcPr>
          <w:p w14:paraId="6BA35A9F" w14:textId="77777777" w:rsidR="00D14236" w:rsidRPr="0019401C" w:rsidRDefault="00D14236" w:rsidP="00D14236">
            <w:pPr>
              <w:jc w:val="both"/>
              <w:rPr>
                <w:sz w:val="22"/>
                <w:szCs w:val="22"/>
                <w:lang w:val="fr-FR" w:eastAsia="ja-JP"/>
              </w:rPr>
            </w:pPr>
            <w:r w:rsidRPr="0019401C">
              <w:rPr>
                <w:sz w:val="22"/>
                <w:szCs w:val="22"/>
                <w:lang w:val="fr-FR" w:eastAsia="ja-JP"/>
              </w:rPr>
              <w:t xml:space="preserve">Synthèse et restitution à la DHR </w:t>
            </w:r>
          </w:p>
          <w:p w14:paraId="3713C38C" w14:textId="77777777" w:rsidR="00172E8B" w:rsidRPr="0019401C" w:rsidRDefault="00172E8B" w:rsidP="00FE3F86">
            <w:pPr>
              <w:pStyle w:val="Title"/>
              <w:jc w:val="left"/>
              <w:rPr>
                <w:bCs/>
                <w:sz w:val="22"/>
                <w:szCs w:val="22"/>
                <w:lang w:val="fr-FR"/>
              </w:rPr>
            </w:pPr>
          </w:p>
        </w:tc>
        <w:tc>
          <w:tcPr>
            <w:tcW w:w="1792" w:type="dxa"/>
          </w:tcPr>
          <w:p w14:paraId="0C4195E6" w14:textId="02C257F8" w:rsidR="00172E8B" w:rsidRPr="0019401C" w:rsidRDefault="00D14236" w:rsidP="00FE3F86">
            <w:pPr>
              <w:pStyle w:val="Title"/>
              <w:jc w:val="left"/>
              <w:rPr>
                <w:bCs/>
                <w:sz w:val="22"/>
                <w:szCs w:val="22"/>
                <w:lang w:val="fr-FR"/>
              </w:rPr>
            </w:pPr>
            <w:r w:rsidRPr="0019401C">
              <w:rPr>
                <w:bCs/>
                <w:sz w:val="22"/>
                <w:szCs w:val="22"/>
                <w:lang w:val="fr-FR"/>
              </w:rPr>
              <w:t>1, 2 et 3</w:t>
            </w:r>
          </w:p>
        </w:tc>
        <w:tc>
          <w:tcPr>
            <w:tcW w:w="1544" w:type="dxa"/>
          </w:tcPr>
          <w:p w14:paraId="4B204955" w14:textId="5FFC4191" w:rsidR="00172E8B" w:rsidRPr="0019401C" w:rsidRDefault="00D14236" w:rsidP="00FE3F86">
            <w:pPr>
              <w:pStyle w:val="Title"/>
              <w:rPr>
                <w:sz w:val="22"/>
                <w:szCs w:val="22"/>
                <w:lang w:val="fr-FR"/>
              </w:rPr>
            </w:pPr>
            <w:r w:rsidRPr="0019401C">
              <w:rPr>
                <w:sz w:val="22"/>
                <w:szCs w:val="22"/>
                <w:lang w:val="fr-FR"/>
              </w:rPr>
              <w:t>2 juin – 3 juin</w:t>
            </w:r>
          </w:p>
        </w:tc>
        <w:tc>
          <w:tcPr>
            <w:tcW w:w="1873" w:type="dxa"/>
          </w:tcPr>
          <w:p w14:paraId="30AA253C" w14:textId="1A9FB2A0" w:rsidR="00172E8B" w:rsidRPr="0019401C" w:rsidRDefault="00D14236" w:rsidP="00FE3F86">
            <w:pPr>
              <w:pStyle w:val="Title"/>
              <w:rPr>
                <w:sz w:val="22"/>
                <w:szCs w:val="22"/>
                <w:lang w:val="fr-FR"/>
              </w:rPr>
            </w:pPr>
            <w:r w:rsidRPr="0019401C">
              <w:rPr>
                <w:sz w:val="22"/>
                <w:szCs w:val="22"/>
                <w:lang w:val="fr-FR"/>
              </w:rPr>
              <w:t>2</w:t>
            </w:r>
          </w:p>
        </w:tc>
      </w:tr>
      <w:tr w:rsidR="00172E8B" w:rsidRPr="0019401C" w14:paraId="673904BB" w14:textId="77777777" w:rsidTr="00D14236">
        <w:trPr>
          <w:trHeight w:val="332"/>
        </w:trPr>
        <w:tc>
          <w:tcPr>
            <w:tcW w:w="715" w:type="dxa"/>
          </w:tcPr>
          <w:p w14:paraId="1D11B076" w14:textId="77777777" w:rsidR="00172E8B" w:rsidRPr="0019401C" w:rsidRDefault="00172E8B" w:rsidP="00FE3F86">
            <w:pPr>
              <w:pStyle w:val="Title"/>
              <w:jc w:val="left"/>
              <w:rPr>
                <w:bCs/>
                <w:sz w:val="22"/>
                <w:szCs w:val="22"/>
                <w:lang w:val="fr-FR"/>
              </w:rPr>
            </w:pPr>
          </w:p>
        </w:tc>
        <w:tc>
          <w:tcPr>
            <w:tcW w:w="3150" w:type="dxa"/>
          </w:tcPr>
          <w:p w14:paraId="4AAB4FF2" w14:textId="77777777" w:rsidR="00172E8B" w:rsidRPr="0019401C" w:rsidRDefault="00172E8B" w:rsidP="00FE3F86">
            <w:pPr>
              <w:pStyle w:val="Title"/>
              <w:jc w:val="left"/>
              <w:rPr>
                <w:b/>
                <w:bCs/>
                <w:sz w:val="22"/>
                <w:szCs w:val="22"/>
                <w:lang w:val="fr-FR"/>
              </w:rPr>
            </w:pPr>
            <w:r w:rsidRPr="0019401C">
              <w:rPr>
                <w:b/>
                <w:bCs/>
                <w:sz w:val="22"/>
                <w:szCs w:val="22"/>
                <w:lang w:val="fr-FR"/>
              </w:rPr>
              <w:t>Total</w:t>
            </w:r>
          </w:p>
        </w:tc>
        <w:tc>
          <w:tcPr>
            <w:tcW w:w="1792" w:type="dxa"/>
          </w:tcPr>
          <w:p w14:paraId="2926CFC8" w14:textId="77777777" w:rsidR="00172E8B" w:rsidRPr="0019401C" w:rsidRDefault="00172E8B" w:rsidP="00FE3F86">
            <w:pPr>
              <w:pStyle w:val="Title"/>
              <w:jc w:val="left"/>
              <w:rPr>
                <w:bCs/>
                <w:sz w:val="22"/>
                <w:szCs w:val="22"/>
                <w:lang w:val="fr-FR"/>
              </w:rPr>
            </w:pPr>
          </w:p>
        </w:tc>
        <w:tc>
          <w:tcPr>
            <w:tcW w:w="1544" w:type="dxa"/>
          </w:tcPr>
          <w:p w14:paraId="50FDEF77" w14:textId="77777777" w:rsidR="00172E8B" w:rsidRPr="0019401C" w:rsidRDefault="00172E8B" w:rsidP="00FE3F86">
            <w:pPr>
              <w:pStyle w:val="Title"/>
              <w:rPr>
                <w:sz w:val="22"/>
                <w:szCs w:val="22"/>
                <w:lang w:val="fr-FR"/>
              </w:rPr>
            </w:pPr>
          </w:p>
        </w:tc>
        <w:tc>
          <w:tcPr>
            <w:tcW w:w="1873" w:type="dxa"/>
          </w:tcPr>
          <w:p w14:paraId="38D890D5" w14:textId="03371BDB" w:rsidR="00172E8B" w:rsidRPr="0019401C" w:rsidRDefault="00D14236" w:rsidP="00FE3F86">
            <w:pPr>
              <w:pStyle w:val="Title"/>
              <w:rPr>
                <w:sz w:val="22"/>
                <w:szCs w:val="22"/>
                <w:lang w:val="fr-FR"/>
              </w:rPr>
            </w:pPr>
            <w:r w:rsidRPr="0019401C">
              <w:rPr>
                <w:sz w:val="22"/>
                <w:szCs w:val="22"/>
                <w:lang w:val="fr-FR"/>
              </w:rPr>
              <w:t>15</w:t>
            </w:r>
          </w:p>
        </w:tc>
      </w:tr>
    </w:tbl>
    <w:p w14:paraId="11777378" w14:textId="77777777" w:rsidR="00172E8B" w:rsidRPr="0019401C" w:rsidRDefault="00172E8B" w:rsidP="00172E8B">
      <w:pPr>
        <w:pStyle w:val="Title"/>
        <w:jc w:val="left"/>
        <w:rPr>
          <w:bCs/>
          <w:sz w:val="22"/>
          <w:szCs w:val="22"/>
          <w:lang w:val="fr-FR"/>
        </w:rPr>
      </w:pPr>
    </w:p>
    <w:p w14:paraId="2E958DE6" w14:textId="77777777" w:rsidR="00172E8B" w:rsidRPr="0019401C" w:rsidRDefault="00172E8B" w:rsidP="00172E8B">
      <w:pPr>
        <w:jc w:val="both"/>
        <w:rPr>
          <w:sz w:val="22"/>
          <w:szCs w:val="22"/>
          <w:lang w:val="fr-FR" w:eastAsia="fr-FR"/>
        </w:rPr>
      </w:pPr>
    </w:p>
    <w:p w14:paraId="3A717916" w14:textId="5C2236B4"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Supervision</w:t>
      </w:r>
      <w:r w:rsidR="00C20C9B" w:rsidRPr="0019401C">
        <w:rPr>
          <w:rFonts w:eastAsia="Arial"/>
          <w:b/>
          <w:sz w:val="22"/>
          <w:szCs w:val="22"/>
          <w:lang w:val="fr-FR"/>
        </w:rPr>
        <w:t xml:space="preserve"> </w:t>
      </w:r>
    </w:p>
    <w:p w14:paraId="3D2C3FB1" w14:textId="77777777" w:rsidR="00C00E33" w:rsidRPr="0019401C" w:rsidRDefault="00C00E33" w:rsidP="00C20C9B">
      <w:pPr>
        <w:pStyle w:val="Title"/>
        <w:jc w:val="left"/>
        <w:rPr>
          <w:bCs/>
          <w:sz w:val="22"/>
          <w:szCs w:val="22"/>
          <w:lang w:val="fr-FR"/>
        </w:rPr>
      </w:pPr>
    </w:p>
    <w:p w14:paraId="245983F1" w14:textId="77777777" w:rsidR="00D14236" w:rsidRPr="0019401C" w:rsidRDefault="00D14236" w:rsidP="00D14236">
      <w:pPr>
        <w:spacing w:after="200" w:line="276" w:lineRule="auto"/>
        <w:jc w:val="both"/>
        <w:rPr>
          <w:sz w:val="22"/>
          <w:szCs w:val="22"/>
          <w:lang w:val="fr-FR" w:eastAsia="ja-JP"/>
        </w:rPr>
      </w:pPr>
      <w:r w:rsidRPr="0019401C">
        <w:rPr>
          <w:sz w:val="22"/>
          <w:szCs w:val="22"/>
          <w:lang w:val="fr-FR" w:eastAsia="ja-JP"/>
        </w:rPr>
        <w:t>La relation contractuelle et donc la supervision administrative de la consultation sera assurée par l‘UNICEF a travers du Programme Eau- Hygiène-Assainissement de la Section Survie et Développement de l’Enfant.</w:t>
      </w:r>
    </w:p>
    <w:p w14:paraId="19277AFC" w14:textId="77777777" w:rsidR="00D14236" w:rsidRPr="0019401C" w:rsidRDefault="00D14236" w:rsidP="00D14236">
      <w:pPr>
        <w:spacing w:after="200" w:line="276" w:lineRule="auto"/>
        <w:jc w:val="both"/>
        <w:rPr>
          <w:sz w:val="22"/>
          <w:szCs w:val="22"/>
          <w:lang w:val="fr-FR" w:eastAsia="ja-JP"/>
        </w:rPr>
      </w:pPr>
      <w:r w:rsidRPr="0019401C">
        <w:rPr>
          <w:sz w:val="22"/>
          <w:szCs w:val="22"/>
          <w:lang w:val="fr-FR" w:eastAsia="ja-JP"/>
        </w:rPr>
        <w:lastRenderedPageBreak/>
        <w:t>La supervision technique sera assurée conjointement entre l‘UNICEF et la Direction de l’Hydraulique Rurale (DHR) du Ministère de l’Agriculture, de la Pêche de l’Elevage de l’Eau, chargé des Ressources Halieutiques (MAPEE-RH).</w:t>
      </w:r>
    </w:p>
    <w:p w14:paraId="01E678BD" w14:textId="77777777" w:rsidR="00DB0826" w:rsidRPr="0019401C" w:rsidRDefault="00DB0826" w:rsidP="00DB0826">
      <w:pPr>
        <w:pStyle w:val="Heading1"/>
        <w:ind w:left="720"/>
        <w:jc w:val="left"/>
        <w:rPr>
          <w:rFonts w:eastAsia="Arial"/>
          <w:b/>
          <w:sz w:val="22"/>
          <w:szCs w:val="22"/>
          <w:lang w:val="fr-FR"/>
        </w:rPr>
      </w:pPr>
    </w:p>
    <w:p w14:paraId="05C09828" w14:textId="6D7FD52E" w:rsidR="00C00E33"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Lieu de consultation</w:t>
      </w:r>
      <w:r w:rsidR="00C667C9" w:rsidRPr="0019401C">
        <w:rPr>
          <w:rFonts w:eastAsia="Arial"/>
          <w:b/>
          <w:sz w:val="22"/>
          <w:szCs w:val="22"/>
          <w:lang w:val="fr-FR"/>
        </w:rPr>
        <w:t xml:space="preserve"> et conditions de travail</w:t>
      </w:r>
    </w:p>
    <w:p w14:paraId="3B7AE120" w14:textId="7167FF09" w:rsidR="0081657E" w:rsidRPr="0019401C" w:rsidRDefault="0081657E">
      <w:pPr>
        <w:rPr>
          <w:sz w:val="22"/>
          <w:szCs w:val="22"/>
          <w:lang w:val="fr-FR"/>
        </w:rPr>
      </w:pPr>
    </w:p>
    <w:p w14:paraId="200E86D1" w14:textId="0656C7A6" w:rsidR="00D14236" w:rsidRPr="0019401C" w:rsidRDefault="00D14236" w:rsidP="00D14236">
      <w:pPr>
        <w:spacing w:after="200" w:line="276" w:lineRule="auto"/>
        <w:jc w:val="both"/>
        <w:rPr>
          <w:sz w:val="22"/>
          <w:szCs w:val="22"/>
          <w:lang w:val="fr-FR" w:eastAsia="ja-JP"/>
        </w:rPr>
      </w:pPr>
      <w:r w:rsidRPr="0019401C">
        <w:rPr>
          <w:sz w:val="22"/>
          <w:szCs w:val="22"/>
          <w:lang w:val="fr-FR" w:eastAsia="ja-JP"/>
        </w:rPr>
        <w:t>Le lieu de la consultation sera le bureau de la DHR ou un espace de travail sera aménagé par la Direction durant le séjour du consultant.</w:t>
      </w:r>
    </w:p>
    <w:p w14:paraId="21FBDFA9" w14:textId="1877BB54" w:rsidR="00C667C9" w:rsidRPr="0019401C" w:rsidRDefault="00C667C9" w:rsidP="001C75FF">
      <w:pPr>
        <w:spacing w:after="200" w:line="276" w:lineRule="auto"/>
        <w:jc w:val="both"/>
        <w:rPr>
          <w:sz w:val="22"/>
          <w:szCs w:val="22"/>
          <w:lang w:val="fr-FR" w:eastAsia="ja-JP"/>
        </w:rPr>
      </w:pPr>
      <w:r w:rsidRPr="0019401C">
        <w:rPr>
          <w:sz w:val="22"/>
          <w:szCs w:val="22"/>
          <w:lang w:val="fr-FR" w:eastAsia="ja-JP"/>
        </w:rPr>
        <w:t xml:space="preserve">Le consultant devra disposer de ses propres équipements de travail. Le consultant utilisera les moyens logistiques de l’UNICEF uniquement pour les trajets en ville accompagnés du staff de l’UNICEF et pour les besoins de la consultation y compris pour les déplacements à l’intérieur du pays. </w:t>
      </w:r>
    </w:p>
    <w:p w14:paraId="7924534B" w14:textId="77777777" w:rsidR="00172E8B" w:rsidRPr="0019401C" w:rsidRDefault="00172E8B">
      <w:pPr>
        <w:rPr>
          <w:sz w:val="22"/>
          <w:szCs w:val="22"/>
          <w:lang w:val="fr-FR"/>
        </w:rPr>
      </w:pPr>
    </w:p>
    <w:p w14:paraId="019C5A6A" w14:textId="77777777"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Rémunération</w:t>
      </w:r>
    </w:p>
    <w:p w14:paraId="664532DA" w14:textId="77777777" w:rsidR="00172E8B" w:rsidRPr="0019401C" w:rsidRDefault="00172E8B" w:rsidP="00172E8B">
      <w:pPr>
        <w:pStyle w:val="Title"/>
        <w:jc w:val="left"/>
        <w:rPr>
          <w:rFonts w:eastAsia="Arial"/>
          <w:b/>
          <w:bCs/>
          <w:sz w:val="22"/>
          <w:szCs w:val="22"/>
          <w:highlight w:val="yellow"/>
          <w:lang w:val="fr-FR"/>
        </w:rPr>
      </w:pPr>
    </w:p>
    <w:p w14:paraId="07BCC4B2" w14:textId="77777777" w:rsidR="00172E8B" w:rsidRPr="0019401C" w:rsidRDefault="00172E8B" w:rsidP="00172E8B">
      <w:pPr>
        <w:pStyle w:val="Title"/>
        <w:jc w:val="left"/>
        <w:rPr>
          <w:bCs/>
          <w:sz w:val="22"/>
          <w:szCs w:val="22"/>
          <w:lang w:val="fr-FR"/>
        </w:rPr>
      </w:pPr>
      <w:r w:rsidRPr="0019401C">
        <w:rPr>
          <w:bCs/>
          <w:sz w:val="22"/>
          <w:szCs w:val="22"/>
          <w:lang w:val="fr-FR"/>
        </w:rPr>
        <w:t>L’offre financière couvrira les dépenses suivantes :</w:t>
      </w:r>
    </w:p>
    <w:p w14:paraId="6FD28407" w14:textId="77777777" w:rsidR="00172E8B" w:rsidRPr="0019401C" w:rsidRDefault="00172E8B" w:rsidP="00172E8B">
      <w:pPr>
        <w:pStyle w:val="Title"/>
        <w:numPr>
          <w:ilvl w:val="0"/>
          <w:numId w:val="2"/>
        </w:numPr>
        <w:jc w:val="left"/>
        <w:rPr>
          <w:bCs/>
          <w:sz w:val="22"/>
          <w:szCs w:val="22"/>
          <w:lang w:val="fr-FR"/>
        </w:rPr>
      </w:pPr>
      <w:r w:rsidRPr="0019401C">
        <w:rPr>
          <w:bCs/>
          <w:sz w:val="22"/>
          <w:szCs w:val="22"/>
          <w:lang w:val="fr-FR"/>
        </w:rPr>
        <w:t xml:space="preserve">Les honoraires, </w:t>
      </w:r>
    </w:p>
    <w:p w14:paraId="7A1FF68D" w14:textId="77777777" w:rsidR="00172E8B" w:rsidRPr="0019401C" w:rsidRDefault="00172E8B" w:rsidP="00172E8B">
      <w:pPr>
        <w:pStyle w:val="Title"/>
        <w:numPr>
          <w:ilvl w:val="0"/>
          <w:numId w:val="2"/>
        </w:numPr>
        <w:jc w:val="left"/>
        <w:rPr>
          <w:bCs/>
          <w:sz w:val="22"/>
          <w:szCs w:val="22"/>
          <w:lang w:val="fr-FR"/>
        </w:rPr>
      </w:pPr>
      <w:r w:rsidRPr="0019401C">
        <w:rPr>
          <w:bCs/>
          <w:sz w:val="22"/>
          <w:szCs w:val="22"/>
          <w:lang w:val="fr-FR"/>
        </w:rPr>
        <w:t xml:space="preserve">Les indemnités journalières pour le séjour à Djibouti (incluant les frais de subsistance, hébergement, communications, déplacements dans la ville et sur le terrain, autres frais de reproduction). Le montant total dépendra du nombre de jours effectifs sur le terrain. </w:t>
      </w:r>
    </w:p>
    <w:p w14:paraId="374282B9" w14:textId="77777777" w:rsidR="00172E8B" w:rsidRPr="0019401C" w:rsidRDefault="00172E8B" w:rsidP="00172E8B">
      <w:pPr>
        <w:pStyle w:val="Title"/>
        <w:numPr>
          <w:ilvl w:val="0"/>
          <w:numId w:val="2"/>
        </w:numPr>
        <w:jc w:val="left"/>
        <w:rPr>
          <w:bCs/>
          <w:sz w:val="22"/>
          <w:szCs w:val="22"/>
          <w:lang w:val="fr-FR"/>
        </w:rPr>
      </w:pPr>
      <w:r w:rsidRPr="0019401C">
        <w:rPr>
          <w:bCs/>
          <w:sz w:val="22"/>
          <w:szCs w:val="22"/>
          <w:lang w:val="fr-FR"/>
        </w:rPr>
        <w:t>Les billets aller-retour en classe économique sera à inclure dans la proposition du consultant. UNICEF s’assurera que le tarif donné est raisonnable par rapport au trajet.</w:t>
      </w:r>
    </w:p>
    <w:p w14:paraId="0D9DC4A8" w14:textId="77777777" w:rsidR="00172E8B" w:rsidRPr="0019401C" w:rsidRDefault="00172E8B" w:rsidP="00172E8B">
      <w:pPr>
        <w:pStyle w:val="Title"/>
        <w:jc w:val="left"/>
        <w:rPr>
          <w:bCs/>
          <w:sz w:val="22"/>
          <w:szCs w:val="22"/>
          <w:lang w:val="fr-FR"/>
        </w:rPr>
      </w:pPr>
    </w:p>
    <w:p w14:paraId="788E2583" w14:textId="77777777" w:rsidR="00172E8B" w:rsidRPr="0019401C" w:rsidRDefault="00172E8B" w:rsidP="00172E8B">
      <w:pPr>
        <w:pStyle w:val="Title"/>
        <w:jc w:val="left"/>
        <w:rPr>
          <w:bCs/>
          <w:sz w:val="22"/>
          <w:szCs w:val="22"/>
          <w:lang w:val="fr-FR"/>
        </w:rPr>
      </w:pPr>
      <w:r w:rsidRPr="0019401C">
        <w:rPr>
          <w:bCs/>
          <w:sz w:val="22"/>
          <w:szCs w:val="22"/>
          <w:lang w:val="fr-FR"/>
        </w:rPr>
        <w:t xml:space="preserve">Tout autre frais sera à la charge du consultant, notamment visa et vaccins. Le consultant devra fournir une preuve de sa couverture médicale le couvrant durant la mission. </w:t>
      </w:r>
    </w:p>
    <w:p w14:paraId="0042138C" w14:textId="77777777" w:rsidR="00172E8B" w:rsidRPr="0019401C" w:rsidRDefault="00172E8B" w:rsidP="00172E8B">
      <w:pPr>
        <w:pStyle w:val="Title"/>
        <w:jc w:val="left"/>
        <w:rPr>
          <w:bCs/>
          <w:sz w:val="22"/>
          <w:szCs w:val="22"/>
          <w:lang w:val="fr-FR"/>
        </w:rPr>
      </w:pPr>
    </w:p>
    <w:p w14:paraId="01F48634" w14:textId="77777777" w:rsidR="00172E8B" w:rsidRPr="0019401C" w:rsidRDefault="00172E8B">
      <w:pPr>
        <w:rPr>
          <w:sz w:val="22"/>
          <w:szCs w:val="22"/>
          <w:lang w:val="fr-FR"/>
        </w:rPr>
      </w:pPr>
    </w:p>
    <w:p w14:paraId="1CCD300B" w14:textId="77777777"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Termes de paiement</w:t>
      </w:r>
    </w:p>
    <w:p w14:paraId="06B8CBDD" w14:textId="77777777" w:rsidR="00172E8B" w:rsidRPr="0019401C" w:rsidRDefault="00172E8B" w:rsidP="00172E8B">
      <w:pPr>
        <w:rPr>
          <w:rFonts w:eastAsia="Arial"/>
          <w:sz w:val="22"/>
          <w:szCs w:val="22"/>
          <w:lang w:val="fr-FR"/>
        </w:rPr>
      </w:pPr>
    </w:p>
    <w:p w14:paraId="7A718182" w14:textId="77777777" w:rsidR="00172E8B" w:rsidRPr="0019401C" w:rsidRDefault="00172E8B" w:rsidP="00172E8B">
      <w:pPr>
        <w:pStyle w:val="Title"/>
        <w:jc w:val="left"/>
        <w:rPr>
          <w:bCs/>
          <w:sz w:val="22"/>
          <w:szCs w:val="22"/>
          <w:lang w:val="fr-FR"/>
        </w:rPr>
      </w:pPr>
      <w:r w:rsidRPr="0019401C">
        <w:rPr>
          <w:bCs/>
          <w:sz w:val="22"/>
          <w:szCs w:val="22"/>
          <w:lang w:val="fr-FR"/>
        </w:rPr>
        <w:t xml:space="preserve">Le consultant sera payé à la soumission de factures relatives aux différents livrables, sous réserve de validation par le superviseur de la consultation. </w:t>
      </w:r>
    </w:p>
    <w:p w14:paraId="6F8264D4" w14:textId="33EDA60C" w:rsidR="00172E8B" w:rsidRDefault="00172E8B">
      <w:pPr>
        <w:rPr>
          <w:sz w:val="22"/>
          <w:szCs w:val="22"/>
          <w:lang w:val="fr-FR"/>
        </w:rPr>
      </w:pPr>
    </w:p>
    <w:p w14:paraId="70F5E482" w14:textId="244C43F8" w:rsidR="0019401C" w:rsidRPr="0019401C" w:rsidRDefault="0019401C" w:rsidP="0019401C">
      <w:pPr>
        <w:pStyle w:val="Heading5"/>
        <w:rPr>
          <w:rFonts w:ascii="Times New Roman" w:hAnsi="Times New Roman" w:cs="Times New Roman"/>
          <w:b/>
          <w:bCs/>
          <w:lang w:val="fr-FR"/>
        </w:rPr>
      </w:pPr>
      <w:r w:rsidRPr="0019401C">
        <w:rPr>
          <w:rFonts w:ascii="Times New Roman" w:hAnsi="Times New Roman" w:cs="Times New Roman"/>
          <w:b/>
          <w:bCs/>
          <w:color w:val="000000"/>
          <w:sz w:val="22"/>
          <w:szCs w:val="22"/>
          <w:lang w:val="fr-FR"/>
        </w:rPr>
        <w:t>P</w:t>
      </w:r>
      <w:r w:rsidRPr="0019401C">
        <w:rPr>
          <w:rFonts w:ascii="Times New Roman" w:hAnsi="Times New Roman" w:cs="Times New Roman"/>
          <w:b/>
          <w:bCs/>
          <w:color w:val="000000"/>
          <w:sz w:val="22"/>
          <w:szCs w:val="22"/>
          <w:lang w:val="fr-FR"/>
        </w:rPr>
        <w:t>our se qualifier comme un champion pour chaque enfant, vous devrez avoir :</w:t>
      </w:r>
    </w:p>
    <w:p w14:paraId="3F07D717" w14:textId="77777777" w:rsidR="0019401C" w:rsidRPr="0019401C" w:rsidRDefault="0019401C">
      <w:pPr>
        <w:rPr>
          <w:sz w:val="22"/>
          <w:szCs w:val="22"/>
          <w:lang w:val="fr-FR"/>
        </w:rPr>
      </w:pPr>
    </w:p>
    <w:p w14:paraId="78630057" w14:textId="77777777"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 xml:space="preserve">Qualifications </w:t>
      </w:r>
    </w:p>
    <w:p w14:paraId="0812AE18" w14:textId="6E0D10A0" w:rsidR="004C2053" w:rsidRPr="0019401C" w:rsidRDefault="004C2053">
      <w:pPr>
        <w:rPr>
          <w:sz w:val="22"/>
          <w:szCs w:val="22"/>
        </w:rPr>
      </w:pPr>
    </w:p>
    <w:p w14:paraId="1F41E0A9" w14:textId="77777777" w:rsidR="001C75FF" w:rsidRPr="0019401C" w:rsidRDefault="001C75FF" w:rsidP="001C75FF">
      <w:pPr>
        <w:pStyle w:val="Title"/>
        <w:jc w:val="left"/>
        <w:rPr>
          <w:bCs/>
          <w:sz w:val="22"/>
          <w:szCs w:val="22"/>
          <w:lang w:val="fr-FR"/>
        </w:rPr>
      </w:pPr>
      <w:r w:rsidRPr="0019401C">
        <w:rPr>
          <w:bCs/>
          <w:sz w:val="22"/>
          <w:szCs w:val="22"/>
          <w:lang w:val="fr-FR"/>
        </w:rPr>
        <w:t>Le consultant doit avoir l'expérience et les compétences suivantes :</w:t>
      </w:r>
    </w:p>
    <w:p w14:paraId="2ABCB24E" w14:textId="4A2ECA32" w:rsidR="002B32A1" w:rsidRPr="0019401C" w:rsidRDefault="002B32A1">
      <w:pPr>
        <w:rPr>
          <w:sz w:val="22"/>
          <w:szCs w:val="22"/>
          <w:lang w:val="fr-FR"/>
        </w:rPr>
      </w:pPr>
    </w:p>
    <w:p w14:paraId="73EFC619" w14:textId="77777777" w:rsidR="001C75FF" w:rsidRPr="0019401C" w:rsidRDefault="001C75FF" w:rsidP="001C75FF">
      <w:pPr>
        <w:pStyle w:val="Title"/>
        <w:numPr>
          <w:ilvl w:val="0"/>
          <w:numId w:val="2"/>
        </w:numPr>
        <w:jc w:val="left"/>
        <w:rPr>
          <w:bCs/>
          <w:sz w:val="22"/>
          <w:szCs w:val="22"/>
          <w:lang w:val="fr-FR"/>
        </w:rPr>
      </w:pPr>
      <w:r w:rsidRPr="0019401C">
        <w:rPr>
          <w:bCs/>
          <w:sz w:val="22"/>
          <w:szCs w:val="22"/>
          <w:lang w:val="fr-FR"/>
        </w:rPr>
        <w:t>Niveau d’étude universitaire minimum : avoir un diplôme de Master en électromécanique et hydraulique ;</w:t>
      </w:r>
    </w:p>
    <w:p w14:paraId="508F9263" w14:textId="77777777" w:rsidR="001C75FF" w:rsidRPr="0019401C" w:rsidRDefault="001C75FF" w:rsidP="001C75FF">
      <w:pPr>
        <w:pStyle w:val="Title"/>
        <w:numPr>
          <w:ilvl w:val="0"/>
          <w:numId w:val="2"/>
        </w:numPr>
        <w:jc w:val="left"/>
        <w:rPr>
          <w:bCs/>
          <w:sz w:val="22"/>
          <w:szCs w:val="22"/>
          <w:lang w:val="fr-FR"/>
        </w:rPr>
      </w:pPr>
      <w:r w:rsidRPr="0019401C">
        <w:rPr>
          <w:bCs/>
          <w:sz w:val="22"/>
          <w:szCs w:val="22"/>
          <w:lang w:val="fr-FR"/>
        </w:rPr>
        <w:t>Au moins 10 années d'expérience en tant que formateur ;</w:t>
      </w:r>
    </w:p>
    <w:p w14:paraId="2EEFB768" w14:textId="77777777" w:rsidR="001C75FF" w:rsidRPr="0019401C" w:rsidRDefault="001C75FF" w:rsidP="001C75FF">
      <w:pPr>
        <w:pStyle w:val="Title"/>
        <w:numPr>
          <w:ilvl w:val="0"/>
          <w:numId w:val="2"/>
        </w:numPr>
        <w:jc w:val="left"/>
        <w:rPr>
          <w:bCs/>
          <w:sz w:val="22"/>
          <w:szCs w:val="22"/>
          <w:lang w:val="fr-FR"/>
        </w:rPr>
      </w:pPr>
      <w:r w:rsidRPr="0019401C">
        <w:rPr>
          <w:bCs/>
          <w:sz w:val="22"/>
          <w:szCs w:val="22"/>
          <w:lang w:val="fr-FR"/>
        </w:rPr>
        <w:t>Maîtrise du français parlé et écrit ;</w:t>
      </w:r>
    </w:p>
    <w:p w14:paraId="3D5BE9A6" w14:textId="77777777" w:rsidR="001C75FF" w:rsidRPr="0019401C" w:rsidRDefault="001C75FF" w:rsidP="001C75FF">
      <w:pPr>
        <w:pStyle w:val="Title"/>
        <w:numPr>
          <w:ilvl w:val="0"/>
          <w:numId w:val="2"/>
        </w:numPr>
        <w:jc w:val="left"/>
        <w:rPr>
          <w:bCs/>
          <w:sz w:val="22"/>
          <w:szCs w:val="22"/>
          <w:lang w:val="fr-FR"/>
        </w:rPr>
      </w:pPr>
      <w:r w:rsidRPr="0019401C">
        <w:rPr>
          <w:bCs/>
          <w:sz w:val="22"/>
          <w:szCs w:val="22"/>
          <w:lang w:val="fr-FR"/>
        </w:rPr>
        <w:t>Expérience et connaissance approfondi au contexte du pays sub-saharien et aride.</w:t>
      </w:r>
    </w:p>
    <w:p w14:paraId="000FA9BF" w14:textId="77777777" w:rsidR="001C75FF" w:rsidRPr="0019401C" w:rsidRDefault="001C75FF">
      <w:pPr>
        <w:rPr>
          <w:sz w:val="22"/>
          <w:szCs w:val="22"/>
          <w:lang w:val="fr-FR"/>
        </w:rPr>
      </w:pPr>
    </w:p>
    <w:p w14:paraId="6ABB3E16" w14:textId="260412CA" w:rsidR="00172E8B" w:rsidRPr="0019401C" w:rsidRDefault="00172E8B" w:rsidP="00172E8B">
      <w:pPr>
        <w:pStyle w:val="Heading1"/>
        <w:numPr>
          <w:ilvl w:val="0"/>
          <w:numId w:val="1"/>
        </w:numPr>
        <w:jc w:val="left"/>
        <w:rPr>
          <w:rFonts w:eastAsia="Arial"/>
          <w:b/>
          <w:sz w:val="22"/>
          <w:szCs w:val="22"/>
          <w:lang w:val="fr-FR"/>
        </w:rPr>
      </w:pPr>
      <w:r w:rsidRPr="0019401C">
        <w:rPr>
          <w:rFonts w:eastAsia="Arial"/>
          <w:b/>
          <w:sz w:val="22"/>
          <w:szCs w:val="22"/>
          <w:lang w:val="fr-FR"/>
        </w:rPr>
        <w:t xml:space="preserve">Processus de soumission </w:t>
      </w:r>
    </w:p>
    <w:p w14:paraId="2C49C023" w14:textId="77777777" w:rsidR="00172E8B" w:rsidRPr="0019401C" w:rsidRDefault="00172E8B">
      <w:pPr>
        <w:rPr>
          <w:sz w:val="22"/>
          <w:szCs w:val="22"/>
          <w:lang w:val="fr-FR"/>
        </w:rPr>
      </w:pPr>
    </w:p>
    <w:p w14:paraId="245CD901" w14:textId="77777777" w:rsidR="00172E8B" w:rsidRPr="0019401C" w:rsidRDefault="00172E8B" w:rsidP="00172E8B">
      <w:pPr>
        <w:pStyle w:val="Title"/>
        <w:jc w:val="left"/>
        <w:rPr>
          <w:bCs/>
          <w:sz w:val="22"/>
          <w:szCs w:val="22"/>
          <w:lang w:val="fr-FR"/>
        </w:rPr>
      </w:pPr>
      <w:r w:rsidRPr="0019401C">
        <w:rPr>
          <w:bCs/>
          <w:sz w:val="22"/>
          <w:szCs w:val="22"/>
          <w:lang w:val="fr-FR"/>
        </w:rPr>
        <w:t xml:space="preserve">Les candidats intéressés devront postuler directement sur le site internet de l’UNICEF </w:t>
      </w:r>
      <w:hyperlink r:id="rId11" w:history="1">
        <w:r w:rsidRPr="0019401C">
          <w:rPr>
            <w:rStyle w:val="Hyperlink"/>
            <w:sz w:val="22"/>
            <w:szCs w:val="22"/>
            <w:lang w:val="fr-FR"/>
          </w:rPr>
          <w:t>www.unicef.org/employ</w:t>
        </w:r>
      </w:hyperlink>
      <w:r w:rsidRPr="0019401C">
        <w:rPr>
          <w:bCs/>
          <w:sz w:val="22"/>
          <w:szCs w:val="22"/>
          <w:lang w:val="fr-FR"/>
        </w:rPr>
        <w:t xml:space="preserve"> en incluant les documents suivants : </w:t>
      </w:r>
    </w:p>
    <w:p w14:paraId="18FDD07C" w14:textId="77777777" w:rsidR="00172E8B" w:rsidRPr="0019401C" w:rsidRDefault="00172E8B" w:rsidP="00172E8B">
      <w:pPr>
        <w:pStyle w:val="Title"/>
        <w:jc w:val="left"/>
        <w:rPr>
          <w:bCs/>
          <w:sz w:val="22"/>
          <w:szCs w:val="22"/>
          <w:lang w:val="fr-FR"/>
        </w:rPr>
      </w:pPr>
      <w:r w:rsidRPr="0019401C">
        <w:rPr>
          <w:bCs/>
          <w:sz w:val="22"/>
          <w:szCs w:val="22"/>
          <w:lang w:val="fr-FR"/>
        </w:rPr>
        <w:lastRenderedPageBreak/>
        <w:t>-</w:t>
      </w:r>
      <w:r w:rsidRPr="0019401C">
        <w:rPr>
          <w:bCs/>
          <w:sz w:val="22"/>
          <w:szCs w:val="22"/>
          <w:lang w:val="fr-FR"/>
        </w:rPr>
        <w:tab/>
        <w:t>Le formulaire de soumission</w:t>
      </w:r>
    </w:p>
    <w:p w14:paraId="5C33E5B5" w14:textId="77777777" w:rsidR="00172E8B" w:rsidRPr="0019401C" w:rsidRDefault="00172E8B" w:rsidP="00172E8B">
      <w:pPr>
        <w:pStyle w:val="Title"/>
        <w:jc w:val="left"/>
        <w:rPr>
          <w:bCs/>
          <w:sz w:val="22"/>
          <w:szCs w:val="22"/>
          <w:lang w:val="fr-FR"/>
        </w:rPr>
      </w:pPr>
      <w:r w:rsidRPr="0019401C">
        <w:rPr>
          <w:bCs/>
          <w:sz w:val="22"/>
          <w:szCs w:val="22"/>
          <w:lang w:val="fr-FR"/>
        </w:rPr>
        <w:t>-</w:t>
      </w:r>
      <w:r w:rsidRPr="0019401C">
        <w:rPr>
          <w:bCs/>
          <w:sz w:val="22"/>
          <w:szCs w:val="22"/>
          <w:lang w:val="fr-FR"/>
        </w:rPr>
        <w:tab/>
        <w:t>Un CV à jour et une lettre de couverture</w:t>
      </w:r>
    </w:p>
    <w:p w14:paraId="4E004797" w14:textId="77777777" w:rsidR="00172E8B" w:rsidRPr="0019401C" w:rsidRDefault="00172E8B" w:rsidP="00172E8B">
      <w:pPr>
        <w:pStyle w:val="Title"/>
        <w:jc w:val="left"/>
        <w:rPr>
          <w:bCs/>
          <w:sz w:val="22"/>
          <w:szCs w:val="22"/>
          <w:lang w:val="fr-FR"/>
        </w:rPr>
      </w:pPr>
      <w:r w:rsidRPr="0019401C">
        <w:rPr>
          <w:bCs/>
          <w:sz w:val="22"/>
          <w:szCs w:val="22"/>
          <w:lang w:val="fr-FR"/>
        </w:rPr>
        <w:t>-</w:t>
      </w:r>
      <w:r w:rsidRPr="0019401C">
        <w:rPr>
          <w:bCs/>
          <w:sz w:val="22"/>
          <w:szCs w:val="22"/>
          <w:lang w:val="fr-FR"/>
        </w:rPr>
        <w:tab/>
        <w:t>La proposition techniques et financière indiquant les dates de disponibilités</w:t>
      </w:r>
    </w:p>
    <w:p w14:paraId="7BC748D7" w14:textId="77777777" w:rsidR="00172E8B" w:rsidRPr="0019401C" w:rsidRDefault="00172E8B" w:rsidP="00172E8B">
      <w:pPr>
        <w:pStyle w:val="Title"/>
        <w:jc w:val="left"/>
        <w:rPr>
          <w:bCs/>
          <w:sz w:val="22"/>
          <w:szCs w:val="22"/>
          <w:lang w:val="fr-FR"/>
        </w:rPr>
      </w:pPr>
    </w:p>
    <w:p w14:paraId="274249E8" w14:textId="77777777" w:rsidR="00172E8B" w:rsidRPr="0019401C" w:rsidRDefault="00172E8B" w:rsidP="00172E8B">
      <w:pPr>
        <w:pStyle w:val="Title"/>
        <w:jc w:val="left"/>
        <w:rPr>
          <w:bCs/>
          <w:sz w:val="22"/>
          <w:szCs w:val="22"/>
          <w:lang w:val="fr-FR"/>
        </w:rPr>
      </w:pPr>
      <w:r w:rsidRPr="0019401C">
        <w:rPr>
          <w:bCs/>
          <w:sz w:val="22"/>
          <w:szCs w:val="22"/>
          <w:lang w:val="fr-FR"/>
        </w:rPr>
        <w:t xml:space="preserve">Chaque soumission devra inclure le taux journalier des honoraires ainsi que les autres frais conformément à la section 9.  </w:t>
      </w:r>
    </w:p>
    <w:p w14:paraId="351A0F0A" w14:textId="77777777" w:rsidR="00172E8B" w:rsidRPr="0019401C" w:rsidRDefault="00172E8B" w:rsidP="00172E8B">
      <w:pPr>
        <w:pStyle w:val="Title"/>
        <w:jc w:val="left"/>
        <w:rPr>
          <w:bCs/>
          <w:sz w:val="22"/>
          <w:szCs w:val="22"/>
          <w:lang w:val="fr-FR"/>
        </w:rPr>
      </w:pPr>
    </w:p>
    <w:p w14:paraId="6A70E889" w14:textId="77777777" w:rsidR="0019401C" w:rsidRPr="0019401C" w:rsidRDefault="00172E8B" w:rsidP="0019401C">
      <w:pPr>
        <w:pStyle w:val="NormalWeb"/>
        <w:rPr>
          <w:lang w:val="fr-FR"/>
        </w:rPr>
      </w:pPr>
      <w:r w:rsidRPr="0019401C">
        <w:rPr>
          <w:bCs/>
          <w:sz w:val="22"/>
          <w:szCs w:val="22"/>
          <w:lang w:val="fr-FR"/>
        </w:rPr>
        <w:t> </w:t>
      </w:r>
      <w:r w:rsidR="0019401C" w:rsidRPr="0019401C">
        <w:rPr>
          <w:rStyle w:val="Strong"/>
          <w:lang w:val="fr-FR"/>
        </w:rPr>
        <w:t>Pour chaque enfant, vous devez démontrer...</w:t>
      </w:r>
    </w:p>
    <w:p w14:paraId="0895B4DA" w14:textId="77777777" w:rsidR="0019401C" w:rsidRPr="0019401C" w:rsidRDefault="0019401C" w:rsidP="0019401C">
      <w:pPr>
        <w:pStyle w:val="NormalWeb"/>
        <w:rPr>
          <w:lang w:val="fr-FR"/>
        </w:rPr>
      </w:pPr>
      <w:r w:rsidRPr="0019401C">
        <w:rPr>
          <w:lang w:val="fr-FR"/>
        </w:rPr>
        <w:t>Les valeurs de l’UNICEF en matière de Soins, de Respect, d’Intégrité, de Confiance et de Responsabilité (</w:t>
      </w:r>
      <w:r w:rsidRPr="0019401C">
        <w:rPr>
          <w:rStyle w:val="Strong"/>
          <w:lang w:val="fr-FR"/>
        </w:rPr>
        <w:t>CRITA</w:t>
      </w:r>
      <w:r w:rsidRPr="0019401C">
        <w:rPr>
          <w:lang w:val="fr-FR"/>
        </w:rPr>
        <w:t>) et de compétences de base en Communication, en Collaboration avec les gens et en matière de recherche de résultats.</w:t>
      </w:r>
    </w:p>
    <w:p w14:paraId="7247C3F1" w14:textId="77777777" w:rsidR="0019401C" w:rsidRPr="0019401C" w:rsidRDefault="0019401C" w:rsidP="0019401C">
      <w:pPr>
        <w:pStyle w:val="NormalWeb"/>
        <w:rPr>
          <w:lang w:val="fr-FR"/>
        </w:rPr>
      </w:pPr>
      <w:r w:rsidRPr="0019401C">
        <w:rPr>
          <w:lang w:val="fr-FR"/>
        </w:rPr>
        <w:t>Les compétences techniques requises pour ce poste sont : </w:t>
      </w:r>
    </w:p>
    <w:p w14:paraId="4634EFF5" w14:textId="77777777" w:rsidR="0019401C" w:rsidRPr="0019401C" w:rsidRDefault="0019401C" w:rsidP="0019401C">
      <w:pPr>
        <w:pStyle w:val="NormalWeb"/>
        <w:rPr>
          <w:lang w:val="fr-FR"/>
        </w:rPr>
      </w:pPr>
      <w:hyperlink r:id="rId12" w:history="1">
        <w:r w:rsidRPr="0019401C">
          <w:rPr>
            <w:rStyle w:val="Hyperlink"/>
            <w:color w:val="3366FF"/>
            <w:lang w:val="fr-FR"/>
          </w:rPr>
          <w:t>http://www.unicef.org/about/employ/files/UNICEF_Competencies.pdf</w:t>
        </w:r>
      </w:hyperlink>
    </w:p>
    <w:p w14:paraId="77E66A22" w14:textId="77777777" w:rsidR="0019401C" w:rsidRPr="0019401C" w:rsidRDefault="0019401C" w:rsidP="0019401C">
      <w:pPr>
        <w:pStyle w:val="NormalWeb"/>
        <w:rPr>
          <w:lang w:val="fr-FR"/>
        </w:rPr>
      </w:pPr>
      <w:r w:rsidRPr="0019401C">
        <w:rPr>
          <w:lang w:val="fr-FR"/>
        </w:rPr>
        <w:t>UNICEF promeut la diversité et l'inclusion au sein de son personnel et encourage les candidats qualifiés, hommes et femmes de toutes les nationalités, religions et origines ethniques, y compris les personnes vivant avec handicap à postuler afin de devenir membre de l'Organisation.</w:t>
      </w:r>
    </w:p>
    <w:p w14:paraId="5D829C47" w14:textId="77777777" w:rsidR="0019401C" w:rsidRPr="0019401C" w:rsidRDefault="0019401C" w:rsidP="0019401C">
      <w:pPr>
        <w:pStyle w:val="NormalWeb"/>
        <w:rPr>
          <w:lang w:val="fr-FR"/>
        </w:rPr>
      </w:pPr>
      <w:r w:rsidRPr="0019401C">
        <w:rPr>
          <w:lang w:val="fr-FR"/>
        </w:rPr>
        <w:t xml:space="preserve">L'UNICEF a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des enfants. Tous les candidats sélectionnés devront respecter ces normes et principes et subiront donc des références rigoureuses et des vérifications des antécédents. La vérification des antécédents comprendra la vérification des titres académiques et des antécédents professionnels. Les candidats sélectionnés peuvent être tenus de fournir des </w:t>
      </w:r>
      <w:proofErr w:type="gramStart"/>
      <w:r w:rsidRPr="0019401C">
        <w:rPr>
          <w:lang w:val="fr-FR"/>
        </w:rPr>
        <w:t>informations</w:t>
      </w:r>
      <w:proofErr w:type="gramEnd"/>
      <w:r w:rsidRPr="0019401C">
        <w:rPr>
          <w:lang w:val="fr-FR"/>
        </w:rPr>
        <w:t xml:space="preserve"> supplémentaires pour effectuer une vérification des antécédents.</w:t>
      </w:r>
    </w:p>
    <w:p w14:paraId="76B2286E" w14:textId="77777777" w:rsidR="0019401C" w:rsidRPr="0019401C" w:rsidRDefault="0019401C" w:rsidP="0019401C">
      <w:pPr>
        <w:pStyle w:val="NormalWeb"/>
        <w:rPr>
          <w:lang w:val="fr-FR"/>
        </w:rPr>
      </w:pPr>
      <w:r w:rsidRPr="0019401C">
        <w:rPr>
          <w:lang w:val="fr-FR"/>
        </w:rPr>
        <w:t> </w:t>
      </w:r>
    </w:p>
    <w:p w14:paraId="2BC5FF98" w14:textId="77777777" w:rsidR="0019401C" w:rsidRPr="0019401C" w:rsidRDefault="0019401C" w:rsidP="0019401C">
      <w:pPr>
        <w:pStyle w:val="NormalWeb"/>
        <w:rPr>
          <w:lang w:val="fr-FR"/>
        </w:rPr>
      </w:pPr>
      <w:r w:rsidRPr="0019401C">
        <w:rPr>
          <w:lang w:val="fr-FR"/>
        </w:rPr>
        <w:t> </w:t>
      </w:r>
    </w:p>
    <w:p w14:paraId="65EB38F7" w14:textId="77777777" w:rsidR="0019401C" w:rsidRPr="0019401C" w:rsidRDefault="0019401C" w:rsidP="0019401C">
      <w:pPr>
        <w:pStyle w:val="NormalWeb"/>
        <w:rPr>
          <w:lang w:val="fr-FR"/>
        </w:rPr>
      </w:pPr>
      <w:r w:rsidRPr="0019401C">
        <w:rPr>
          <w:lang w:val="fr-FR"/>
        </w:rPr>
        <w:t> </w:t>
      </w:r>
    </w:p>
    <w:p w14:paraId="3802988F" w14:textId="0BF55844" w:rsidR="00172E8B" w:rsidRPr="0019401C" w:rsidRDefault="00172E8B" w:rsidP="00172E8B">
      <w:pPr>
        <w:pStyle w:val="Title"/>
        <w:jc w:val="left"/>
        <w:rPr>
          <w:bCs/>
          <w:sz w:val="22"/>
          <w:szCs w:val="22"/>
          <w:lang w:val="fr-FR"/>
        </w:rPr>
      </w:pPr>
    </w:p>
    <w:sectPr w:rsidR="00172E8B" w:rsidRPr="0019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43C5"/>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7F3D"/>
    <w:multiLevelType w:val="hybridMultilevel"/>
    <w:tmpl w:val="24567DC0"/>
    <w:lvl w:ilvl="0" w:tplc="D5ACC42A">
      <w:start w:val="1"/>
      <w:numFmt w:val="low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97ECB"/>
    <w:multiLevelType w:val="hybridMultilevel"/>
    <w:tmpl w:val="234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30C78"/>
    <w:multiLevelType w:val="hybridMultilevel"/>
    <w:tmpl w:val="3F3687D8"/>
    <w:lvl w:ilvl="0" w:tplc="7450942E">
      <w:start w:val="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4991"/>
    <w:multiLevelType w:val="hybridMultilevel"/>
    <w:tmpl w:val="227A0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7368D"/>
    <w:multiLevelType w:val="multilevel"/>
    <w:tmpl w:val="FC3E7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B7D4C"/>
    <w:multiLevelType w:val="multilevel"/>
    <w:tmpl w:val="61B8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1A34B7"/>
    <w:multiLevelType w:val="hybridMultilevel"/>
    <w:tmpl w:val="234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33AA3"/>
    <w:multiLevelType w:val="multilevel"/>
    <w:tmpl w:val="696CD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875F4"/>
    <w:multiLevelType w:val="multilevel"/>
    <w:tmpl w:val="CFE6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26597F"/>
    <w:multiLevelType w:val="hybridMultilevel"/>
    <w:tmpl w:val="C330AEE0"/>
    <w:lvl w:ilvl="0" w:tplc="737855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E163C"/>
    <w:multiLevelType w:val="hybridMultilevel"/>
    <w:tmpl w:val="5E566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26D2"/>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8261B"/>
    <w:multiLevelType w:val="multilevel"/>
    <w:tmpl w:val="08502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D72D8C"/>
    <w:multiLevelType w:val="hybridMultilevel"/>
    <w:tmpl w:val="234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D48D9"/>
    <w:multiLevelType w:val="hybridMultilevel"/>
    <w:tmpl w:val="E36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6"/>
  </w:num>
  <w:num w:numId="5">
    <w:abstractNumId w:val="11"/>
  </w:num>
  <w:num w:numId="6">
    <w:abstractNumId w:val="3"/>
  </w:num>
  <w:num w:numId="7">
    <w:abstractNumId w:val="1"/>
  </w:num>
  <w:num w:numId="8">
    <w:abstractNumId w:val="14"/>
  </w:num>
  <w:num w:numId="9">
    <w:abstractNumId w:val="9"/>
  </w:num>
  <w:num w:numId="10">
    <w:abstractNumId w:val="8"/>
  </w:num>
  <w:num w:numId="11">
    <w:abstractNumId w:val="5"/>
  </w:num>
  <w:num w:numId="12">
    <w:abstractNumId w:val="6"/>
  </w:num>
  <w:num w:numId="13">
    <w:abstractNumId w:val="2"/>
  </w:num>
  <w:num w:numId="14">
    <w:abstractNumId w:val="7"/>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8B"/>
    <w:rsid w:val="00020740"/>
    <w:rsid w:val="000E6DCC"/>
    <w:rsid w:val="001620C4"/>
    <w:rsid w:val="00172E8B"/>
    <w:rsid w:val="00181971"/>
    <w:rsid w:val="0019401C"/>
    <w:rsid w:val="001C75FF"/>
    <w:rsid w:val="001E0A6A"/>
    <w:rsid w:val="002B32A1"/>
    <w:rsid w:val="002E789C"/>
    <w:rsid w:val="0035358D"/>
    <w:rsid w:val="003715F0"/>
    <w:rsid w:val="0045310D"/>
    <w:rsid w:val="0046643D"/>
    <w:rsid w:val="004C2053"/>
    <w:rsid w:val="00587006"/>
    <w:rsid w:val="0063632E"/>
    <w:rsid w:val="006C112C"/>
    <w:rsid w:val="0079789F"/>
    <w:rsid w:val="0081657E"/>
    <w:rsid w:val="00897842"/>
    <w:rsid w:val="008F6177"/>
    <w:rsid w:val="009849A2"/>
    <w:rsid w:val="009D16C7"/>
    <w:rsid w:val="00A32181"/>
    <w:rsid w:val="00B108D4"/>
    <w:rsid w:val="00C00E33"/>
    <w:rsid w:val="00C20C9B"/>
    <w:rsid w:val="00C667C9"/>
    <w:rsid w:val="00CD1626"/>
    <w:rsid w:val="00D02DB3"/>
    <w:rsid w:val="00D14236"/>
    <w:rsid w:val="00DB0826"/>
    <w:rsid w:val="00DD0890"/>
    <w:rsid w:val="00E23A51"/>
    <w:rsid w:val="00E313B8"/>
    <w:rsid w:val="00F84380"/>
    <w:rsid w:val="00FB3D14"/>
    <w:rsid w:val="00FD168A"/>
    <w:rsid w:val="00FE3F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5216"/>
  <w15:chartTrackingRefBased/>
  <w15:docId w15:val="{53E6F6FA-1F2F-43BD-819F-60EFF66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E8B"/>
    <w:pPr>
      <w:keepNext/>
      <w:widowControl w:val="0"/>
      <w:jc w:val="center"/>
      <w:outlineLvl w:val="0"/>
    </w:pPr>
    <w:rPr>
      <w:snapToGrid w:val="0"/>
      <w:sz w:val="24"/>
    </w:rPr>
  </w:style>
  <w:style w:type="paragraph" w:styleId="Heading5">
    <w:name w:val="heading 5"/>
    <w:basedOn w:val="Normal"/>
    <w:next w:val="Normal"/>
    <w:link w:val="Heading5Char"/>
    <w:uiPriority w:val="9"/>
    <w:semiHidden/>
    <w:unhideWhenUsed/>
    <w:qFormat/>
    <w:rsid w:val="001940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8B"/>
    <w:rPr>
      <w:rFonts w:ascii="Times New Roman" w:eastAsia="Times New Roman" w:hAnsi="Times New Roman" w:cs="Times New Roman"/>
      <w:snapToGrid w:val="0"/>
      <w:sz w:val="24"/>
      <w:szCs w:val="20"/>
    </w:rPr>
  </w:style>
  <w:style w:type="paragraph" w:styleId="Title">
    <w:name w:val="Title"/>
    <w:basedOn w:val="Normal"/>
    <w:link w:val="TitleChar"/>
    <w:qFormat/>
    <w:rsid w:val="00172E8B"/>
    <w:pPr>
      <w:widowControl w:val="0"/>
      <w:jc w:val="center"/>
    </w:pPr>
    <w:rPr>
      <w:snapToGrid w:val="0"/>
      <w:sz w:val="24"/>
    </w:rPr>
  </w:style>
  <w:style w:type="character" w:customStyle="1" w:styleId="TitleChar">
    <w:name w:val="Title Char"/>
    <w:basedOn w:val="DefaultParagraphFont"/>
    <w:link w:val="Title"/>
    <w:rsid w:val="00172E8B"/>
    <w:rPr>
      <w:rFonts w:ascii="Times New Roman" w:eastAsia="Times New Roman" w:hAnsi="Times New Roman" w:cs="Times New Roman"/>
      <w:snapToGrid w:val="0"/>
      <w:sz w:val="24"/>
      <w:szCs w:val="20"/>
    </w:rPr>
  </w:style>
  <w:style w:type="table" w:styleId="TableGrid">
    <w:name w:val="Table Grid"/>
    <w:basedOn w:val="TableNormal"/>
    <w:uiPriority w:val="59"/>
    <w:rsid w:val="00172E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2E8B"/>
    <w:rPr>
      <w:sz w:val="16"/>
      <w:szCs w:val="16"/>
    </w:rPr>
  </w:style>
  <w:style w:type="paragraph" w:styleId="CommentText">
    <w:name w:val="annotation text"/>
    <w:basedOn w:val="Normal"/>
    <w:link w:val="CommentTextChar"/>
    <w:uiPriority w:val="99"/>
    <w:semiHidden/>
    <w:unhideWhenUsed/>
    <w:rsid w:val="00172E8B"/>
  </w:style>
  <w:style w:type="character" w:customStyle="1" w:styleId="CommentTextChar">
    <w:name w:val="Comment Text Char"/>
    <w:basedOn w:val="DefaultParagraphFont"/>
    <w:link w:val="CommentText"/>
    <w:uiPriority w:val="99"/>
    <w:semiHidden/>
    <w:rsid w:val="00172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E8B"/>
    <w:rPr>
      <w:b/>
      <w:bCs/>
    </w:rPr>
  </w:style>
  <w:style w:type="character" w:customStyle="1" w:styleId="CommentSubjectChar">
    <w:name w:val="Comment Subject Char"/>
    <w:basedOn w:val="CommentTextChar"/>
    <w:link w:val="CommentSubject"/>
    <w:uiPriority w:val="99"/>
    <w:semiHidden/>
    <w:rsid w:val="00172E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2E8B"/>
    <w:rPr>
      <w:color w:val="0563C1" w:themeColor="hyperlink"/>
      <w:u w:val="single"/>
    </w:rPr>
  </w:style>
  <w:style w:type="character" w:styleId="Mention">
    <w:name w:val="Mention"/>
    <w:basedOn w:val="DefaultParagraphFont"/>
    <w:uiPriority w:val="99"/>
    <w:semiHidden/>
    <w:unhideWhenUsed/>
    <w:rsid w:val="00172E8B"/>
    <w:rPr>
      <w:color w:val="2B579A"/>
      <w:shd w:val="clear" w:color="auto" w:fill="E6E6E6"/>
    </w:rPr>
  </w:style>
  <w:style w:type="paragraph" w:styleId="ListParagraph">
    <w:name w:val="List Paragraph"/>
    <w:aliases w:val="Resume Title,Citation List,heading 4,Evidence on Demand bullet points,Premier,Tableau Adere,Liste 1,Bullets,References,Medium Grid 1 - Accent 21,List Paragraph (numbered (a)),List Paragraph nowy,Titre1,List Tables,Objectifs,- List t"/>
    <w:basedOn w:val="Normal"/>
    <w:link w:val="ListParagraphChar"/>
    <w:uiPriority w:val="34"/>
    <w:qFormat/>
    <w:rsid w:val="001E0A6A"/>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aliases w:val="Resume Title Char,Citation List Char,heading 4 Char,Evidence on Demand bullet points Char,Premier Char,Tableau Adere Char,Liste 1 Char,Bullets Char,References Char,Medium Grid 1 - Accent 21 Char,List Paragraph (numbered (a)) Char"/>
    <w:link w:val="ListParagraph"/>
    <w:uiPriority w:val="34"/>
    <w:qFormat/>
    <w:rsid w:val="001E0A6A"/>
    <w:rPr>
      <w:lang w:val="en-GB"/>
    </w:rPr>
  </w:style>
  <w:style w:type="paragraph" w:styleId="NormalWeb">
    <w:name w:val="Normal (Web)"/>
    <w:basedOn w:val="Normal"/>
    <w:uiPriority w:val="99"/>
    <w:semiHidden/>
    <w:unhideWhenUsed/>
    <w:rsid w:val="0019401C"/>
    <w:pPr>
      <w:spacing w:before="100" w:beforeAutospacing="1" w:after="100" w:afterAutospacing="1"/>
    </w:pPr>
    <w:rPr>
      <w:sz w:val="24"/>
      <w:szCs w:val="24"/>
    </w:rPr>
  </w:style>
  <w:style w:type="character" w:styleId="Strong">
    <w:name w:val="Strong"/>
    <w:basedOn w:val="DefaultParagraphFont"/>
    <w:uiPriority w:val="22"/>
    <w:qFormat/>
    <w:rsid w:val="0019401C"/>
    <w:rPr>
      <w:b/>
      <w:bCs/>
    </w:rPr>
  </w:style>
  <w:style w:type="character" w:styleId="Emphasis">
    <w:name w:val="Emphasis"/>
    <w:basedOn w:val="DefaultParagraphFont"/>
    <w:uiPriority w:val="20"/>
    <w:qFormat/>
    <w:rsid w:val="0019401C"/>
    <w:rPr>
      <w:i/>
      <w:iCs/>
    </w:rPr>
  </w:style>
  <w:style w:type="character" w:customStyle="1" w:styleId="Heading5Char">
    <w:name w:val="Heading 5 Char"/>
    <w:basedOn w:val="DefaultParagraphFont"/>
    <w:link w:val="Heading5"/>
    <w:uiPriority w:val="9"/>
    <w:semiHidden/>
    <w:rsid w:val="0019401C"/>
    <w:rPr>
      <w:rFonts w:asciiTheme="majorHAnsi" w:eastAsiaTheme="majorEastAsia" w:hAnsiTheme="majorHAnsi" w:cstheme="majorBidi"/>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374606">
      <w:bodyDiv w:val="1"/>
      <w:marLeft w:val="0"/>
      <w:marRight w:val="0"/>
      <w:marTop w:val="0"/>
      <w:marBottom w:val="0"/>
      <w:divBdr>
        <w:top w:val="none" w:sz="0" w:space="0" w:color="auto"/>
        <w:left w:val="none" w:sz="0" w:space="0" w:color="auto"/>
        <w:bottom w:val="none" w:sz="0" w:space="0" w:color="auto"/>
        <w:right w:val="none" w:sz="0" w:space="0" w:color="auto"/>
      </w:divBdr>
    </w:div>
    <w:div w:id="741879548">
      <w:bodyDiv w:val="1"/>
      <w:marLeft w:val="0"/>
      <w:marRight w:val="0"/>
      <w:marTop w:val="0"/>
      <w:marBottom w:val="0"/>
      <w:divBdr>
        <w:top w:val="none" w:sz="0" w:space="0" w:color="auto"/>
        <w:left w:val="none" w:sz="0" w:space="0" w:color="auto"/>
        <w:bottom w:val="none" w:sz="0" w:space="0" w:color="auto"/>
        <w:right w:val="none" w:sz="0" w:space="0" w:color="auto"/>
      </w:divBdr>
    </w:div>
    <w:div w:id="8192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unicef.org/about/employ/files/UNICEF_Competenc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unicef.org/employ"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2A0A263205C245924DED10261C6604" ma:contentTypeVersion="45" ma:contentTypeDescription="" ma:contentTypeScope="" ma:versionID="90154c66d2f318defdb5bb28595ccbca">
  <xsd:schema xmlns:xsd="http://www.w3.org/2001/XMLSchema" xmlns:xs="http://www.w3.org/2001/XMLSchema" xmlns:p="http://schemas.microsoft.com/office/2006/metadata/properties" xmlns:ns1="http://schemas.microsoft.com/sharepoint/v3" xmlns:ns2="ca283e0b-db31-4043-a2ef-b80661bf084a" xmlns:ns3="http://schemas.microsoft.com/sharepoint.v3" xmlns:ns4="d81c298a-f64e-4a80-a74f-23099e26fe08" xmlns:ns5="83740188-bf36-47a0-97ad-ff75247a7b96" xmlns:ns6="http://schemas.microsoft.com/sharepoint/v4" targetNamespace="http://schemas.microsoft.com/office/2006/metadata/properties" ma:root="true" ma:fieldsID="f194696a32b32987a892426b28a59475" ns1:_="" ns2:_="" ns3:_="" ns4:_="" ns5:_="" ns6:_="">
    <xsd:import namespace="http://schemas.microsoft.com/sharepoint/v3"/>
    <xsd:import namespace="ca283e0b-db31-4043-a2ef-b80661bf084a"/>
    <xsd:import namespace="http://schemas.microsoft.com/sharepoint.v3"/>
    <xsd:import namespace="d81c298a-f64e-4a80-a74f-23099e26fe08"/>
    <xsd:import namespace="83740188-bf36-47a0-97ad-ff75247a7b9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HRmetadat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9;#Djibouti-6690|aa9334b6-95c3-4313-9536-148003f60c5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805e139-e55a-442e-95a2-1ec896bd6e6d}"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805e139-e55a-442e-95a2-1ec896bd6e6d}"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740188-bf36-47a0-97ad-ff75247a7b96" elementFormDefault="qualified">
    <xsd:import namespace="http://schemas.microsoft.com/office/2006/documentManagement/types"/>
    <xsd:import namespace="http://schemas.microsoft.com/office/infopath/2007/PartnerControls"/>
    <xsd:element name="HRmetadata" ma:index="31" nillable="true" ma:displayName="HR metadata" ma:format="Dropdown" ma:internalName="HRmetadata">
      <xsd:simpleType>
        <xsd:union memberTypes="dms:Text">
          <xsd:simpleType>
            <xsd:restriction base="dms:Choice">
              <xsd:enumeration value="choix"/>
            </xsd:restriction>
          </xsd:simpleType>
        </xsd:un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Djibouti-6690</TermName>
          <TermId xmlns="http://schemas.microsoft.com/office/infopath/2007/PartnerControls">aa9334b6-95c3-4313-9536-148003f60c54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Rmetadata xmlns="83740188-bf36-47a0-97ad-ff75247a7b96" xsi:nil="true"/>
    <ContentLanguage xmlns="ca283e0b-db31-4043-a2ef-b80661bf084a">English</ContentLanguage>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d81c298a-f64e-4a80-a74f-23099e26fe08">DJIOPS-1569638550-115</_dlc_DocId>
    <_dlc_DocIdUrl xmlns="d81c298a-f64e-4a80-a74f-23099e26fe08">
      <Url>https://unicef.sharepoint.com/teams/DJI-Operations/_layouts/15/DocIdRedir.aspx?ID=DJIOPS-1569638550-115</Url>
      <Description>DJIOPS-1569638550-115</Description>
    </_dlc_DocIdUrl>
    <SemaphoreItemMetadata xmlns="d81c298a-f64e-4a80-a74f-23099e26fe08"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ECE4F7-A96D-4A95-873D-0F773657FA18}">
  <ds:schemaRefs>
    <ds:schemaRef ds:uri="Microsoft.SharePoint.Taxonomy.ContentTypeSync"/>
  </ds:schemaRefs>
</ds:datastoreItem>
</file>

<file path=customXml/itemProps2.xml><?xml version="1.0" encoding="utf-8"?>
<ds:datastoreItem xmlns:ds="http://schemas.openxmlformats.org/officeDocument/2006/customXml" ds:itemID="{61905570-53DF-4361-8427-81B975862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81c298a-f64e-4a80-a74f-23099e26fe08"/>
    <ds:schemaRef ds:uri="83740188-bf36-47a0-97ad-ff75247a7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4EFC1-70C5-416B-8CD4-BA3249773ED3}">
  <ds:schemaRefs>
    <ds:schemaRef ds:uri="http://schemas.microsoft.com/sharepoint/v3/contenttype/forms"/>
  </ds:schemaRefs>
</ds:datastoreItem>
</file>

<file path=customXml/itemProps4.xml><?xml version="1.0" encoding="utf-8"?>
<ds:datastoreItem xmlns:ds="http://schemas.openxmlformats.org/officeDocument/2006/customXml" ds:itemID="{EB10B428-79FC-47AF-BFD6-D02730455A27}">
  <ds:schemaRefs>
    <ds:schemaRef ds:uri="http://schemas.microsoft.com/office/2006/metadata/customXsn"/>
  </ds:schemaRefs>
</ds:datastoreItem>
</file>

<file path=customXml/itemProps5.xml><?xml version="1.0" encoding="utf-8"?>
<ds:datastoreItem xmlns:ds="http://schemas.openxmlformats.org/officeDocument/2006/customXml" ds:itemID="{A9650037-EB0E-4A00-83A2-CB96D1292BE0}">
  <ds:schemaRefs>
    <ds:schemaRef ds:uri="http://schemas.microsoft.com/office/2006/metadata/properties"/>
    <ds:schemaRef ds:uri="http://schemas.microsoft.com/office/infopath/2007/PartnerControls"/>
    <ds:schemaRef ds:uri="ca283e0b-db31-4043-a2ef-b80661bf084a"/>
    <ds:schemaRef ds:uri="http://schemas.microsoft.com/sharepoint/v4"/>
    <ds:schemaRef ds:uri="83740188-bf36-47a0-97ad-ff75247a7b96"/>
    <ds:schemaRef ds:uri="d81c298a-f64e-4a80-a74f-23099e26fe08"/>
    <ds:schemaRef ds:uri="http://schemas.microsoft.com/sharepoint.v3"/>
  </ds:schemaRefs>
</ds:datastoreItem>
</file>

<file path=customXml/itemProps6.xml><?xml version="1.0" encoding="utf-8"?>
<ds:datastoreItem xmlns:ds="http://schemas.openxmlformats.org/officeDocument/2006/customXml" ds:itemID="{E652914D-72E7-4FF7-B114-71FA8AC7FC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Maimouna Male</dc:creator>
  <cp:keywords/>
  <dc:description/>
  <cp:lastModifiedBy>Fatouma Salem</cp:lastModifiedBy>
  <cp:revision>2</cp:revision>
  <cp:lastPrinted>2018-04-03T13:33:00Z</cp:lastPrinted>
  <dcterms:created xsi:type="dcterms:W3CDTF">2021-05-19T12:23:00Z</dcterms:created>
  <dcterms:modified xsi:type="dcterms:W3CDTF">2021-05-19T12:23:00Z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0x0101009BA85F8052A6DA4FA3E31FF9F74C697000C42A0A263205C245924DED10261C6604</vt:lpwstr>
  </property>
  <property fmtid="{D5CDD505-2E9C-101B-9397-08002B2CF9AE}" pid="3" name="OfficeDivision">
    <vt:lpwstr>8;#Djibouti-6690|aa9334b6-95c3-4313-9536-148003f60c54</vt:lpwstr>
  </property>
  <property fmtid="{D5CDD505-2E9C-101B-9397-08002B2CF9AE}" pid="4" name="_dlc_DocIdItemGuid">
    <vt:lpwstr>6e5878ca-a9ad-4ed7-b58d-0b90ddb1cf77</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