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9F" w:rsidRDefault="0035209F" w:rsidP="0035209F">
      <w:pPr>
        <w:jc w:val="both"/>
        <w:rPr>
          <w:rFonts w:ascii="Calibri" w:eastAsia="Calibri" w:hAnsi="Calibri" w:cs="Calibri"/>
          <w:b/>
          <w:i/>
          <w:lang w:val="en-GB"/>
        </w:rPr>
      </w:pPr>
      <w:r w:rsidRPr="00983128">
        <w:rPr>
          <w:rFonts w:cstheme="minorHAnsi"/>
          <w:b/>
          <w:i/>
          <w:lang w:val="en-GB"/>
        </w:rPr>
        <w:t xml:space="preserve">ANNEX A - </w:t>
      </w:r>
      <w:r w:rsidRPr="00446F40">
        <w:rPr>
          <w:rFonts w:ascii="Calibri" w:eastAsia="Calibri" w:hAnsi="Calibri" w:cs="Calibri"/>
          <w:b/>
          <w:i/>
          <w:lang w:val="en-GB"/>
        </w:rPr>
        <w:t>- Technical Experience</w:t>
      </w:r>
    </w:p>
    <w:p w:rsidR="0035209F" w:rsidRPr="0002789E" w:rsidRDefault="0035209F" w:rsidP="003520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789E">
        <w:rPr>
          <w:rFonts w:ascii="Times New Roman" w:hAnsi="Times New Roman" w:cs="Times New Roman"/>
          <w:b/>
        </w:rPr>
        <w:t xml:space="preserve">Please tick the appropriate boxes to indicate the states you will be willing to work in </w:t>
      </w:r>
      <w:r w:rsidR="004412C5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35209F" w:rsidRPr="0002789E" w:rsidRDefault="0035209F" w:rsidP="0035209F">
      <w:pPr>
        <w:spacing w:after="0" w:line="240" w:lineRule="auto"/>
        <w:rPr>
          <w:rFonts w:ascii="Times New Roman" w:hAnsi="Times New Roman" w:cs="Times New Roman"/>
        </w:rPr>
      </w:pPr>
    </w:p>
    <w:p w:rsidR="0035209F" w:rsidRPr="004714C4" w:rsidRDefault="004412C5" w:rsidP="003520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155796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714C4">
        <w:rPr>
          <w:rFonts w:ascii="Times New Roman" w:hAnsi="Times New Roman" w:cs="Times New Roman"/>
          <w:sz w:val="28"/>
          <w:szCs w:val="28"/>
          <w:lang w:val="en-GB"/>
        </w:rPr>
        <w:t xml:space="preserve">New Delhi  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15915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>Bhopal</w:t>
      </w:r>
      <w:r w:rsidR="0035209F" w:rsidRPr="004D4C85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17598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>Bhubaneshwar</w:t>
      </w:r>
      <w:r w:rsidR="0035209F" w:rsidRPr="004D4C85"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</w:t>
      </w:r>
    </w:p>
    <w:p w:rsidR="0035209F" w:rsidRPr="004D4C85" w:rsidRDefault="004412C5" w:rsidP="0035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201313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Chennai </w:t>
      </w:r>
    </w:p>
    <w:p w:rsidR="0035209F" w:rsidRPr="004D4C85" w:rsidRDefault="004412C5" w:rsidP="0035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1261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>Guwahati</w:t>
      </w:r>
    </w:p>
    <w:p w:rsidR="0035209F" w:rsidRPr="004D4C85" w:rsidRDefault="004412C5" w:rsidP="003520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963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Hyderabad/Telangana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45794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Jaipur,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5365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Kolkata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39608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Gandhinagar  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7857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Lucknow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132431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Mumbai 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16271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Patna 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18387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 xml:space="preserve">Raipur </w:t>
      </w:r>
    </w:p>
    <w:p w:rsidR="0035209F" w:rsidRPr="004D4C85" w:rsidRDefault="004412C5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sdt>
        <w:sdtPr>
          <w:rPr>
            <w:rFonts w:ascii="Times New Roman" w:hAnsi="Times New Roman" w:cs="Times New Roman"/>
            <w:sz w:val="28"/>
            <w:szCs w:val="28"/>
            <w:lang w:val="en-GB"/>
          </w:rPr>
          <w:id w:val="-13541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9F">
            <w:rPr>
              <w:rFonts w:ascii="MS Gothic" w:eastAsia="MS Gothic" w:hAnsi="MS Gothic" w:cs="Times New Roman" w:hint="eastAsia"/>
              <w:sz w:val="28"/>
              <w:szCs w:val="28"/>
              <w:lang w:val="en-GB"/>
            </w:rPr>
            <w:t>☐</w:t>
          </w:r>
        </w:sdtContent>
      </w:sdt>
      <w:r w:rsidR="0035209F" w:rsidRPr="004D4C85">
        <w:rPr>
          <w:rFonts w:ascii="Times New Roman" w:hAnsi="Times New Roman" w:cs="Times New Roman"/>
          <w:sz w:val="28"/>
          <w:szCs w:val="28"/>
          <w:lang w:val="en-GB"/>
        </w:rPr>
        <w:t>Ranchi.</w:t>
      </w:r>
    </w:p>
    <w:p w:rsidR="0035209F" w:rsidRPr="004D4C85" w:rsidRDefault="0035209F" w:rsidP="00352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5209F" w:rsidRPr="00446F40" w:rsidRDefault="0035209F" w:rsidP="0035209F">
      <w:pPr>
        <w:jc w:val="both"/>
        <w:rPr>
          <w:rFonts w:ascii="Calibri" w:eastAsia="Calibri" w:hAnsi="Calibri" w:cs="Calibri"/>
          <w:b/>
          <w:i/>
          <w:lang w:val="en-GB"/>
        </w:rPr>
      </w:pPr>
    </w:p>
    <w:tbl>
      <w:tblPr>
        <w:tblStyle w:val="TableGrid"/>
        <w:tblW w:w="549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983"/>
        <w:gridCol w:w="673"/>
        <w:gridCol w:w="3521"/>
        <w:gridCol w:w="468"/>
        <w:gridCol w:w="470"/>
        <w:gridCol w:w="468"/>
        <w:gridCol w:w="470"/>
        <w:gridCol w:w="470"/>
        <w:gridCol w:w="731"/>
        <w:gridCol w:w="565"/>
      </w:tblGrid>
      <w:tr w:rsidR="0035209F" w:rsidRPr="00446F40" w:rsidTr="009E7DF8">
        <w:trPr>
          <w:trHeight w:val="377"/>
        </w:trPr>
        <w:tc>
          <w:tcPr>
            <w:tcW w:w="217" w:type="pct"/>
            <w:vMerge w:val="restar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No.</w:t>
            </w:r>
          </w:p>
        </w:tc>
        <w:tc>
          <w:tcPr>
            <w:tcW w:w="966" w:type="pct"/>
            <w:vMerge w:val="restar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Major category</w:t>
            </w:r>
          </w:p>
        </w:tc>
        <w:tc>
          <w:tcPr>
            <w:tcW w:w="328" w:type="pct"/>
            <w:vMerge w:val="restar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5" w:type="pct"/>
            <w:vMerge w:val="restar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  <w:r w:rsidRPr="00446F40">
              <w:rPr>
                <w:rFonts w:ascii="Calibri" w:hAnsi="Calibri" w:cs="Calibri"/>
                <w:b/>
              </w:rPr>
              <w:t xml:space="preserve">Themes </w:t>
            </w:r>
          </w:p>
        </w:tc>
        <w:tc>
          <w:tcPr>
            <w:tcW w:w="1143" w:type="pct"/>
            <w:gridSpan w:val="5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>Duration of experience (pls tick)</w:t>
            </w: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>Nature of experience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46F40">
              <w:rPr>
                <w:rFonts w:ascii="Calibri" w:hAnsi="Calibri" w:cs="Calibri"/>
                <w:b/>
                <w:sz w:val="18"/>
                <w:szCs w:val="18"/>
              </w:rPr>
              <w:t xml:space="preserve">Small brief </w:t>
            </w:r>
          </w:p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  <w:vMerge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966" w:type="pct"/>
            <w:vMerge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  <w:vMerge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15" w:type="pct"/>
            <w:vMerge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Less than 1 yr  </w:t>
            </w: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1-2 years 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3-4 yrs </w:t>
            </w: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 xml:space="preserve">5-6 yrs </w:t>
            </w: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446F40">
              <w:rPr>
                <w:rFonts w:ascii="Calibri" w:hAnsi="Calibri" w:cs="Calibri"/>
                <w:sz w:val="18"/>
                <w:szCs w:val="18"/>
              </w:rPr>
              <w:t>&gt; 6 yrs</w:t>
            </w: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35209F" w:rsidRPr="00975B49" w:rsidRDefault="0035209F" w:rsidP="009E7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Sanitation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Open Defecation Elimination Plan Preparation including Post ODEP sustainability and ODF+ planning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Toilet Construction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Toilet technologies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446F40" w:rsidRDefault="0035209F" w:rsidP="009E7DF8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</w:rPr>
              <w:t>Hygiene Interventions including handwashing with soap and Menstrual Hygiene Management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446F40" w:rsidRDefault="0035209F" w:rsidP="009E7DF8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Solid Liquid Waste Management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975B49" w:rsidRDefault="0035209F" w:rsidP="009E7DF8">
            <w:pPr>
              <w:pStyle w:val="ListParagraph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66" w:type="pct"/>
          </w:tcPr>
          <w:p w:rsidR="0035209F" w:rsidRPr="00975B49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Working with CSOs and NGOs supporting implementation of SBM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975B49" w:rsidRDefault="0035209F" w:rsidP="009E7DF8">
            <w:pPr>
              <w:rPr>
                <w:rFonts w:ascii="Calibri" w:hAnsi="Calibri" w:cs="Calibri"/>
              </w:rPr>
            </w:pPr>
            <w:r w:rsidRPr="00975B49">
              <w:rPr>
                <w:rFonts w:ascii="Calibri" w:hAnsi="Calibri" w:cs="Calibri"/>
              </w:rPr>
              <w:lastRenderedPageBreak/>
              <w:t xml:space="preserve">      2</w:t>
            </w:r>
          </w:p>
        </w:tc>
        <w:tc>
          <w:tcPr>
            <w:tcW w:w="966" w:type="pct"/>
          </w:tcPr>
          <w:p w:rsidR="0035209F" w:rsidRPr="00975B49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975B49">
              <w:rPr>
                <w:rFonts w:ascii="Calibri" w:hAnsi="Calibri" w:cs="Calibri"/>
                <w:b/>
              </w:rPr>
              <w:t>Water Supply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Water safety planning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975B49" w:rsidRDefault="0035209F" w:rsidP="009E7DF8">
            <w:pPr>
              <w:pStyle w:val="ListParagraph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66" w:type="pct"/>
          </w:tcPr>
          <w:p w:rsidR="0035209F" w:rsidRPr="00975B49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Water quality monitoring and surveillance including laboratory work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975B49" w:rsidRDefault="0035209F" w:rsidP="009E7DF8">
            <w:pPr>
              <w:pStyle w:val="ListParagraph"/>
              <w:ind w:left="36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966" w:type="pct"/>
          </w:tcPr>
          <w:p w:rsidR="0035209F" w:rsidRPr="00975B49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Operation and maintenance of Water supply schemes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683"/>
        </w:trPr>
        <w:tc>
          <w:tcPr>
            <w:tcW w:w="217" w:type="pct"/>
          </w:tcPr>
          <w:p w:rsidR="0035209F" w:rsidRPr="00975B49" w:rsidRDefault="0035209F" w:rsidP="0035209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966" w:type="pct"/>
          </w:tcPr>
          <w:p w:rsidR="0035209F" w:rsidRPr="00975B49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975B49">
              <w:rPr>
                <w:rFonts w:ascii="Calibri" w:hAnsi="Calibri" w:cs="Calibri"/>
                <w:b/>
              </w:rPr>
              <w:t>WASH in Institutions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Schools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446F40" w:rsidRDefault="0035209F" w:rsidP="009E7DF8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Anganwadis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Pr="00446F40" w:rsidRDefault="0035209F" w:rsidP="009E7DF8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WASH in Health Centres/ and other Public places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7"/>
        </w:trPr>
        <w:tc>
          <w:tcPr>
            <w:tcW w:w="217" w:type="pct"/>
          </w:tcPr>
          <w:p w:rsidR="0035209F" w:rsidRDefault="0035209F" w:rsidP="009E7DF8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35209F" w:rsidRPr="00975B49" w:rsidRDefault="0035209F" w:rsidP="009E7DF8">
            <w:r>
              <w:t>4</w:t>
            </w: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Social and behaviour Change Communication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Training on Community processes like CAS/CLTS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Implementation of Community Processes like CAS/CLTS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62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Development of SBCC Plans at national or state level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Development of SBCC Plans at district level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170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Community Mobilization for WASH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Knowledge management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Documentation – report preparation on WASH related activities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Documentation – Film making on WASH related activities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Knowledge Management on WASH/ Surveys/Studies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WASH in Emergencies</w:t>
            </w:r>
          </w:p>
        </w:tc>
        <w:tc>
          <w:tcPr>
            <w:tcW w:w="328" w:type="pct"/>
          </w:tcPr>
          <w:p w:rsidR="0035209F" w:rsidRPr="00F95243" w:rsidRDefault="0035209F" w:rsidP="003520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 xml:space="preserve">WASH in Emergencies and Disasters / Disaster Risk reduction 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6" w:type="pct"/>
          </w:tcPr>
          <w:p w:rsidR="0035209F" w:rsidRPr="00F95243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  <w:b/>
              </w:rPr>
            </w:pPr>
            <w:r w:rsidRPr="00F95243">
              <w:rPr>
                <w:rFonts w:ascii="Calibri" w:hAnsi="Calibri" w:cs="Calibri"/>
                <w:b/>
              </w:rPr>
              <w:t>Other expertise</w:t>
            </w: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</w:rPr>
              <w:t>Partnerships on WASH – Media, legislatures; faith leaders etc.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1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446F40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 xml:space="preserve">System strengthening </w:t>
            </w:r>
          </w:p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</w:rPr>
              <w:t>SBM, NRDWP, SBSV, SVP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446F40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8" w:type="pct"/>
          </w:tcPr>
          <w:p w:rsidR="0035209F" w:rsidRPr="00446F40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(iii)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</w:rPr>
            </w:pPr>
            <w:r w:rsidRPr="00446F40">
              <w:rPr>
                <w:rFonts w:ascii="Calibri" w:hAnsi="Calibri" w:cs="Calibri"/>
                <w:iCs/>
                <w:color w:val="000000"/>
              </w:rPr>
              <w:t>Data Management and Analysis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  <w:tr w:rsidR="0035209F" w:rsidRPr="00446F40" w:rsidTr="009E7DF8">
        <w:trPr>
          <w:trHeight w:val="281"/>
        </w:trPr>
        <w:tc>
          <w:tcPr>
            <w:tcW w:w="217" w:type="pct"/>
          </w:tcPr>
          <w:p w:rsidR="0035209F" w:rsidRPr="00446F40" w:rsidRDefault="0035209F" w:rsidP="009E7DF8">
            <w:pPr>
              <w:ind w:left="360"/>
              <w:contextualSpacing/>
              <w:rPr>
                <w:rFonts w:ascii="Calibri" w:hAnsi="Calibri" w:cs="Calibri"/>
              </w:rPr>
            </w:pPr>
          </w:p>
        </w:tc>
        <w:tc>
          <w:tcPr>
            <w:tcW w:w="966" w:type="pct"/>
          </w:tcPr>
          <w:p w:rsidR="0035209F" w:rsidRPr="00446F40" w:rsidRDefault="0035209F" w:rsidP="009E7DF8">
            <w:pPr>
              <w:ind w:left="14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28" w:type="pct"/>
          </w:tcPr>
          <w:p w:rsidR="0035209F" w:rsidRDefault="0035209F" w:rsidP="009E7DF8">
            <w:pPr>
              <w:ind w:right="-3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(iv)</w:t>
            </w:r>
          </w:p>
        </w:tc>
        <w:tc>
          <w:tcPr>
            <w:tcW w:w="1715" w:type="pct"/>
          </w:tcPr>
          <w:p w:rsidR="0035209F" w:rsidRPr="00446F40" w:rsidRDefault="0035209F" w:rsidP="009E7DF8">
            <w:pPr>
              <w:contextualSpacing/>
              <w:rPr>
                <w:rFonts w:ascii="Calibri" w:hAnsi="Calibri" w:cs="Calibri"/>
                <w:iCs/>
                <w:color w:val="000000"/>
              </w:rPr>
            </w:pPr>
            <w:r w:rsidRPr="00F95243">
              <w:rPr>
                <w:rFonts w:ascii="Calibri" w:hAnsi="Calibri" w:cs="Calibri"/>
                <w:iCs/>
                <w:color w:val="000000"/>
              </w:rPr>
              <w:t>Monitoring and Evaluation</w:t>
            </w: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8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9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5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76" w:type="pct"/>
          </w:tcPr>
          <w:p w:rsidR="0035209F" w:rsidRPr="00446F40" w:rsidRDefault="0035209F" w:rsidP="009E7DF8">
            <w:pPr>
              <w:contextualSpacing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35209F" w:rsidRDefault="0035209F" w:rsidP="0035209F"/>
    <w:p w:rsidR="0035209F" w:rsidRPr="00983128" w:rsidRDefault="0035209F" w:rsidP="0035209F">
      <w:pPr>
        <w:jc w:val="both"/>
        <w:rPr>
          <w:rFonts w:cstheme="minorHAnsi"/>
          <w:b/>
          <w:i/>
          <w:color w:val="0070C0"/>
          <w:lang w:val="en-GB"/>
        </w:rPr>
      </w:pPr>
    </w:p>
    <w:p w:rsidR="00B43743" w:rsidRDefault="00B43743"/>
    <w:sectPr w:rsidR="00B43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5B6"/>
    <w:multiLevelType w:val="hybridMultilevel"/>
    <w:tmpl w:val="DE587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A03E2"/>
    <w:multiLevelType w:val="hybridMultilevel"/>
    <w:tmpl w:val="9D74E0DE"/>
    <w:lvl w:ilvl="0" w:tplc="41BE71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9F"/>
    <w:rsid w:val="0035209F"/>
    <w:rsid w:val="004412C5"/>
    <w:rsid w:val="00B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4977"/>
  <w15:chartTrackingRefBased/>
  <w15:docId w15:val="{9AAB4002-47B5-4494-8066-87401845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0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List Square,TOC style,Resume Title,Bullet Style,Bullet List,FooterText,Colorful List Accent 1,numbered,Paragraphe de liste1,列出段落,列出段落1,Bulletr List Paragraph,List Paragraph2,List Paragraph21,Párrafo de lista1,リスト段落1"/>
    <w:basedOn w:val="Normal"/>
    <w:link w:val="ListParagraphChar"/>
    <w:uiPriority w:val="34"/>
    <w:qFormat/>
    <w:rsid w:val="0035209F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35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GLText List Paragraph Char,List Square Char,TOC style Char,Resume Title Char,Bullet Style Char,Bullet List Char,FooterText Char,Colorful List Accent 1 Char,numbered Char,Paragraphe de liste1 Char,列出段落 Char,列出段落1 Char,リスト段落1 Char"/>
    <w:link w:val="ListParagraph"/>
    <w:uiPriority w:val="34"/>
    <w:qFormat/>
    <w:locked/>
    <w:rsid w:val="0035209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Neha Agnihotri</cp:lastModifiedBy>
  <cp:revision>2</cp:revision>
  <dcterms:created xsi:type="dcterms:W3CDTF">2019-04-24T12:23:00Z</dcterms:created>
  <dcterms:modified xsi:type="dcterms:W3CDTF">2019-04-25T10:31:00Z</dcterms:modified>
</cp:coreProperties>
</file>