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E342" w14:textId="77777777" w:rsidR="00B234F1" w:rsidRDefault="00B234F1" w:rsidP="00B234F1">
      <w:pPr>
        <w:rPr>
          <w:rFonts w:cs="Arial"/>
          <w:vanish/>
          <w:szCs w:val="20"/>
        </w:rPr>
      </w:pPr>
    </w:p>
    <w:p w14:paraId="6CD2654A" w14:textId="77777777" w:rsidR="00B34FD1" w:rsidRDefault="00B34FD1" w:rsidP="00C972F7">
      <w:pPr>
        <w:pStyle w:val="Title"/>
        <w:tabs>
          <w:tab w:val="left" w:pos="2070"/>
        </w:tabs>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047"/>
      </w:tblGrid>
      <w:tr w:rsidR="00B466A4" w14:paraId="40F338F1" w14:textId="77777777" w:rsidTr="007902F0">
        <w:trPr>
          <w:cantSplit/>
          <w:trHeight w:val="1485"/>
        </w:trPr>
        <w:tc>
          <w:tcPr>
            <w:tcW w:w="1458" w:type="dxa"/>
            <w:shd w:val="clear" w:color="auto" w:fill="FFFFFF"/>
            <w:vAlign w:val="center"/>
          </w:tcPr>
          <w:p w14:paraId="5597CA4A" w14:textId="77777777" w:rsidR="00B466A4" w:rsidRPr="00C87D05" w:rsidRDefault="000E0266">
            <w:pPr>
              <w:jc w:val="center"/>
              <w:rPr>
                <w:b/>
                <w:color w:val="FF0000"/>
                <w:sz w:val="22"/>
              </w:rPr>
            </w:pPr>
            <w:r>
              <w:rPr>
                <w:noProof/>
              </w:rPr>
              <w:drawing>
                <wp:inline distT="0" distB="0" distL="0" distR="0" wp14:anchorId="54E6448C" wp14:editId="20E0A4E0">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047" w:type="dxa"/>
            <w:shd w:val="clear" w:color="auto" w:fill="FFFFFF"/>
          </w:tcPr>
          <w:p w14:paraId="3B385BB7" w14:textId="77777777" w:rsidR="00B466A4" w:rsidRDefault="00B466A4" w:rsidP="00B466A4">
            <w:pPr>
              <w:jc w:val="center"/>
              <w:rPr>
                <w:b/>
                <w:sz w:val="22"/>
              </w:rPr>
            </w:pPr>
          </w:p>
          <w:p w14:paraId="7C23455B" w14:textId="77777777" w:rsidR="00B466A4" w:rsidRDefault="00B466A4" w:rsidP="00B466A4">
            <w:pPr>
              <w:jc w:val="center"/>
              <w:rPr>
                <w:b/>
                <w:sz w:val="22"/>
              </w:rPr>
            </w:pPr>
          </w:p>
          <w:p w14:paraId="7028B801" w14:textId="77777777" w:rsidR="00B466A4" w:rsidRDefault="00B466A4" w:rsidP="00B466A4">
            <w:pPr>
              <w:jc w:val="center"/>
              <w:rPr>
                <w:b/>
                <w:sz w:val="22"/>
              </w:rPr>
            </w:pPr>
          </w:p>
          <w:p w14:paraId="49A01AF5" w14:textId="1C62D5CA" w:rsidR="00B466A4" w:rsidRDefault="00AA6252" w:rsidP="00B466A4">
            <w:pPr>
              <w:jc w:val="center"/>
              <w:rPr>
                <w:b/>
                <w:sz w:val="22"/>
              </w:rPr>
            </w:pPr>
            <w:r>
              <w:rPr>
                <w:b/>
                <w:sz w:val="22"/>
              </w:rPr>
              <w:t xml:space="preserve">SPECIFIC </w:t>
            </w:r>
            <w:r w:rsidR="00B466A4">
              <w:rPr>
                <w:b/>
                <w:sz w:val="22"/>
              </w:rPr>
              <w:t>JOB PROFILE</w:t>
            </w:r>
          </w:p>
          <w:p w14:paraId="1E370CD0" w14:textId="77777777" w:rsidR="00B466A4" w:rsidRDefault="00B466A4" w:rsidP="00B466A4">
            <w:pPr>
              <w:jc w:val="center"/>
            </w:pPr>
          </w:p>
        </w:tc>
      </w:tr>
    </w:tbl>
    <w:p w14:paraId="4DDC43ED" w14:textId="490AB88C" w:rsidR="00B466A4"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7"/>
        <w:gridCol w:w="4303"/>
      </w:tblGrid>
      <w:tr w:rsidR="00B466A4" w14:paraId="5D81A3E1" w14:textId="77777777">
        <w:tc>
          <w:tcPr>
            <w:tcW w:w="8856" w:type="dxa"/>
            <w:gridSpan w:val="2"/>
            <w:shd w:val="clear" w:color="auto" w:fill="E0E0E0"/>
          </w:tcPr>
          <w:p w14:paraId="1626B4CA" w14:textId="77777777" w:rsidR="00B466A4" w:rsidRDefault="00B466A4"/>
          <w:p w14:paraId="65F26D1E" w14:textId="77777777" w:rsidR="00B466A4" w:rsidRDefault="00B466A4">
            <w:pPr>
              <w:rPr>
                <w:b/>
                <w:bCs/>
                <w:sz w:val="24"/>
              </w:rPr>
            </w:pPr>
            <w:r>
              <w:rPr>
                <w:b/>
                <w:bCs/>
                <w:sz w:val="24"/>
              </w:rPr>
              <w:t>I. Post Information</w:t>
            </w:r>
          </w:p>
          <w:p w14:paraId="2050F988" w14:textId="77777777" w:rsidR="00B466A4" w:rsidRDefault="00B466A4">
            <w:pPr>
              <w:rPr>
                <w:b/>
                <w:bCs/>
                <w:sz w:val="24"/>
              </w:rPr>
            </w:pPr>
          </w:p>
        </w:tc>
      </w:tr>
      <w:tr w:rsidR="00B466A4" w14:paraId="6FE0F83B" w14:textId="77777777">
        <w:tc>
          <w:tcPr>
            <w:tcW w:w="4428" w:type="dxa"/>
          </w:tcPr>
          <w:p w14:paraId="4FC1E8C2" w14:textId="75907B6D" w:rsidR="00C95841" w:rsidRPr="003F6196" w:rsidRDefault="00C95841" w:rsidP="002E43D0">
            <w:pPr>
              <w:rPr>
                <w:rFonts w:cs="Arial"/>
              </w:rPr>
            </w:pPr>
          </w:p>
          <w:p w14:paraId="5D0B366A" w14:textId="3445D094" w:rsidR="00C95841" w:rsidRPr="003F6196" w:rsidRDefault="00C95841" w:rsidP="00C95841">
            <w:pPr>
              <w:rPr>
                <w:rFonts w:cs="Arial"/>
              </w:rPr>
            </w:pPr>
            <w:r w:rsidRPr="00B07ABB">
              <w:rPr>
                <w:rFonts w:cs="Arial"/>
                <w:b/>
                <w:bCs/>
              </w:rPr>
              <w:t xml:space="preserve">REGION/DIVISION: </w:t>
            </w:r>
            <w:r w:rsidR="003F6196" w:rsidRPr="003F6196">
              <w:rPr>
                <w:rFonts w:cs="Arial"/>
              </w:rPr>
              <w:t>MENA</w:t>
            </w:r>
          </w:p>
          <w:p w14:paraId="1233557B" w14:textId="78DB9ACB" w:rsidR="00C95841" w:rsidRPr="00B07ABB" w:rsidRDefault="00C95841" w:rsidP="00C95841">
            <w:pPr>
              <w:rPr>
                <w:rFonts w:cs="Arial"/>
              </w:rPr>
            </w:pPr>
            <w:r w:rsidRPr="00B07ABB">
              <w:rPr>
                <w:rFonts w:cs="Arial"/>
                <w:b/>
                <w:bCs/>
              </w:rPr>
              <w:t xml:space="preserve">COUNTRY: </w:t>
            </w:r>
            <w:r w:rsidR="003F6196" w:rsidRPr="003F6196">
              <w:rPr>
                <w:rFonts w:cs="Arial"/>
              </w:rPr>
              <w:t>Sudan</w:t>
            </w:r>
          </w:p>
          <w:p w14:paraId="6960C34E" w14:textId="77777777" w:rsidR="004B73A5" w:rsidRPr="004B73A5" w:rsidRDefault="00C95841" w:rsidP="00C95841">
            <w:pPr>
              <w:rPr>
                <w:rFonts w:cs="Arial"/>
              </w:rPr>
            </w:pPr>
            <w:r w:rsidRPr="00B07ABB">
              <w:rPr>
                <w:rFonts w:cs="Arial"/>
                <w:b/>
                <w:bCs/>
              </w:rPr>
              <w:t>DUTY STATION</w:t>
            </w:r>
            <w:r>
              <w:rPr>
                <w:rFonts w:cs="Arial"/>
                <w:b/>
                <w:bCs/>
              </w:rPr>
              <w:t>:</w:t>
            </w:r>
            <w:r w:rsidR="003F6196">
              <w:rPr>
                <w:rFonts w:cs="Arial"/>
                <w:b/>
                <w:bCs/>
              </w:rPr>
              <w:t xml:space="preserve"> </w:t>
            </w:r>
            <w:r w:rsidR="004B73A5" w:rsidRPr="004B73A5">
              <w:rPr>
                <w:rFonts w:cs="Arial"/>
              </w:rPr>
              <w:t xml:space="preserve">El </w:t>
            </w:r>
            <w:proofErr w:type="spellStart"/>
            <w:r w:rsidR="004B73A5" w:rsidRPr="004B73A5">
              <w:rPr>
                <w:rFonts w:cs="Arial"/>
              </w:rPr>
              <w:t>Gedaref</w:t>
            </w:r>
            <w:proofErr w:type="spellEnd"/>
          </w:p>
          <w:p w14:paraId="2F604EDC" w14:textId="5CCE174D" w:rsidR="00C95841" w:rsidRPr="00B07ABB" w:rsidRDefault="00C95841" w:rsidP="00C95841">
            <w:pPr>
              <w:rPr>
                <w:rFonts w:cs="Arial"/>
                <w:b/>
                <w:bCs/>
              </w:rPr>
            </w:pPr>
            <w:r w:rsidRPr="00B07ABB">
              <w:rPr>
                <w:rFonts w:cs="Arial"/>
                <w:b/>
                <w:bCs/>
              </w:rPr>
              <w:t xml:space="preserve">OFFICE: </w:t>
            </w:r>
          </w:p>
          <w:p w14:paraId="078DF041" w14:textId="77777777" w:rsidR="00B466A4" w:rsidRDefault="00C95841" w:rsidP="002E43D0">
            <w:pPr>
              <w:rPr>
                <w:rFonts w:cs="Arial"/>
              </w:rPr>
            </w:pPr>
            <w:r w:rsidRPr="00B07ABB">
              <w:rPr>
                <w:rFonts w:cs="Arial"/>
                <w:b/>
                <w:bCs/>
              </w:rPr>
              <w:t>SECTION:</w:t>
            </w:r>
            <w:r w:rsidR="003F6196">
              <w:rPr>
                <w:rFonts w:cs="Arial"/>
                <w:b/>
                <w:bCs/>
              </w:rPr>
              <w:t xml:space="preserve"> </w:t>
            </w:r>
            <w:r w:rsidR="003F6196">
              <w:rPr>
                <w:rFonts w:cs="Arial"/>
              </w:rPr>
              <w:t>Child Protection</w:t>
            </w:r>
          </w:p>
          <w:p w14:paraId="4BC343C4" w14:textId="379C7053" w:rsidR="002E43D0" w:rsidRPr="002E43D0" w:rsidRDefault="002E43D0" w:rsidP="002E43D0">
            <w:pPr>
              <w:rPr>
                <w:rFonts w:cs="Arial"/>
              </w:rPr>
            </w:pPr>
          </w:p>
        </w:tc>
        <w:tc>
          <w:tcPr>
            <w:tcW w:w="4428" w:type="dxa"/>
          </w:tcPr>
          <w:p w14:paraId="1D0B94FD" w14:textId="6EB76CE7" w:rsidR="00B466A4" w:rsidRDefault="00B466A4"/>
          <w:p w14:paraId="62F99742" w14:textId="2F58D2C0" w:rsidR="00C95841" w:rsidRPr="00B07ABB" w:rsidRDefault="00C95841" w:rsidP="00C95841">
            <w:pPr>
              <w:rPr>
                <w:rFonts w:cs="Arial"/>
              </w:rPr>
            </w:pPr>
            <w:r w:rsidRPr="00B07ABB">
              <w:rPr>
                <w:rFonts w:cs="Arial"/>
                <w:b/>
                <w:bCs/>
              </w:rPr>
              <w:t>CATEGORY:</w:t>
            </w:r>
            <w:r w:rsidRPr="00B07ABB">
              <w:rPr>
                <w:rFonts w:cs="Arial"/>
              </w:rPr>
              <w:t xml:space="preserve"> </w:t>
            </w:r>
            <w:r w:rsidR="003F6196">
              <w:rPr>
                <w:rFonts w:cs="Arial"/>
              </w:rPr>
              <w:t>IP</w:t>
            </w:r>
          </w:p>
          <w:p w14:paraId="1C2CB0B8" w14:textId="7569B462" w:rsidR="00C95841" w:rsidRDefault="00C95841" w:rsidP="00C95841">
            <w:pPr>
              <w:rPr>
                <w:rFonts w:cs="Arial"/>
              </w:rPr>
            </w:pPr>
            <w:r w:rsidRPr="00B07ABB">
              <w:rPr>
                <w:rFonts w:cs="Arial"/>
                <w:b/>
                <w:bCs/>
              </w:rPr>
              <w:t>PROPOSED LEVEL:</w:t>
            </w:r>
            <w:r w:rsidR="003F6196">
              <w:rPr>
                <w:rFonts w:cs="Arial"/>
                <w:b/>
                <w:bCs/>
              </w:rPr>
              <w:t xml:space="preserve"> </w:t>
            </w:r>
            <w:r w:rsidR="003F6196">
              <w:rPr>
                <w:rFonts w:cs="Arial"/>
              </w:rPr>
              <w:t>P4</w:t>
            </w:r>
          </w:p>
          <w:p w14:paraId="262EB7C1" w14:textId="14A8A7D7" w:rsidR="003F6196" w:rsidRDefault="00C95841" w:rsidP="003F6196">
            <w:pPr>
              <w:rPr>
                <w:rFonts w:cs="Arial"/>
              </w:rPr>
            </w:pPr>
            <w:r w:rsidRPr="00B07ABB">
              <w:rPr>
                <w:rFonts w:cs="Arial"/>
                <w:b/>
                <w:bCs/>
              </w:rPr>
              <w:t>JOB TITLE:</w:t>
            </w:r>
            <w:r w:rsidRPr="003F6196">
              <w:rPr>
                <w:rFonts w:cs="Arial"/>
                <w:b/>
                <w:bCs/>
              </w:rPr>
              <w:t xml:space="preserve"> </w:t>
            </w:r>
            <w:r w:rsidR="003F6196" w:rsidRPr="003F6196">
              <w:rPr>
                <w:rFonts w:cs="Arial"/>
              </w:rPr>
              <w:t xml:space="preserve">Child Protection </w:t>
            </w:r>
            <w:r w:rsidR="0089115F">
              <w:rPr>
                <w:rFonts w:cs="Arial"/>
              </w:rPr>
              <w:t xml:space="preserve">Specialist </w:t>
            </w:r>
            <w:r w:rsidR="003F6196" w:rsidRPr="003F6196">
              <w:rPr>
                <w:rFonts w:cs="Arial"/>
              </w:rPr>
              <w:t>GBV</w:t>
            </w:r>
          </w:p>
          <w:p w14:paraId="3C0D9384" w14:textId="77777777" w:rsidR="00B466A4" w:rsidRDefault="00B466A4" w:rsidP="002E43D0"/>
        </w:tc>
      </w:tr>
    </w:tbl>
    <w:p w14:paraId="249FE200" w14:textId="43E11FAB"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3B24BAD1" w14:textId="77777777">
        <w:tc>
          <w:tcPr>
            <w:tcW w:w="8856" w:type="dxa"/>
            <w:tcBorders>
              <w:bottom w:val="single" w:sz="4" w:space="0" w:color="auto"/>
            </w:tcBorders>
            <w:shd w:val="clear" w:color="auto" w:fill="E0E0E0"/>
          </w:tcPr>
          <w:p w14:paraId="24ADE980" w14:textId="77777777" w:rsidR="00B466A4" w:rsidRDefault="00B466A4">
            <w:pPr>
              <w:pStyle w:val="Heading1"/>
            </w:pPr>
          </w:p>
          <w:p w14:paraId="3EE3A2A0" w14:textId="6419ADFE" w:rsidR="00B466A4" w:rsidRDefault="00B466A4">
            <w:pPr>
              <w:pStyle w:val="Heading1"/>
            </w:pPr>
            <w:r>
              <w:t xml:space="preserve">II. </w:t>
            </w:r>
            <w:r w:rsidR="00AA6252">
              <w:t>Strategic Office Context and</w:t>
            </w:r>
            <w:r w:rsidR="0097359A">
              <w:t xml:space="preserve"> p</w:t>
            </w:r>
            <w:r>
              <w:t>urpose for the job</w:t>
            </w:r>
          </w:p>
          <w:p w14:paraId="3DE2A6C5" w14:textId="77777777" w:rsidR="00B466A4" w:rsidRDefault="00B466A4">
            <w:pPr>
              <w:pStyle w:val="Heading1"/>
              <w:rPr>
                <w:b w:val="0"/>
                <w:bCs w:val="0"/>
                <w:i/>
                <w:iCs/>
                <w:sz w:val="18"/>
              </w:rPr>
            </w:pPr>
          </w:p>
        </w:tc>
      </w:tr>
      <w:tr w:rsidR="00B466A4" w14:paraId="15B702F1" w14:textId="77777777">
        <w:tc>
          <w:tcPr>
            <w:tcW w:w="8856" w:type="dxa"/>
          </w:tcPr>
          <w:p w14:paraId="5D7A85F5" w14:textId="3A2DB10A" w:rsidR="00B466A4" w:rsidRPr="009A5A1E" w:rsidRDefault="00B466A4" w:rsidP="00B466A4">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Pr>
                <w:rFonts w:cs="Cambria"/>
                <w:bCs/>
                <w:szCs w:val="32"/>
              </w:rPr>
              <w:t>s</w:t>
            </w:r>
            <w:r w:rsidRPr="00163786">
              <w:rPr>
                <w:rFonts w:cs="Arial"/>
                <w:szCs w:val="26"/>
              </w:rPr>
              <w:t>.</w:t>
            </w:r>
          </w:p>
          <w:p w14:paraId="4071F2ED" w14:textId="2D7D9350" w:rsidR="00B466A4" w:rsidRDefault="00B466A4" w:rsidP="00B466A4">
            <w:pPr>
              <w:jc w:val="both"/>
              <w:rPr>
                <w:rFonts w:cs="Arial"/>
                <w:szCs w:val="26"/>
              </w:rPr>
            </w:pPr>
          </w:p>
          <w:p w14:paraId="45892F71" w14:textId="77777777" w:rsidR="00AE6189" w:rsidRDefault="00AE6189" w:rsidP="00B466A4">
            <w:pPr>
              <w:jc w:val="both"/>
              <w:rPr>
                <w:rFonts w:cs="Arial"/>
                <w:szCs w:val="26"/>
              </w:rPr>
            </w:pPr>
          </w:p>
          <w:p w14:paraId="260CF052" w14:textId="596C4B62" w:rsidR="00AE6189" w:rsidRDefault="00771269" w:rsidP="00AE6189">
            <w:pPr>
              <w:jc w:val="both"/>
              <w:rPr>
                <w:rFonts w:cs="Arial"/>
                <w:szCs w:val="26"/>
              </w:rPr>
            </w:pPr>
            <w:r>
              <w:rPr>
                <w:rFonts w:cs="Arial"/>
                <w:b/>
                <w:szCs w:val="26"/>
                <w:u w:val="single"/>
              </w:rPr>
              <w:t>Strategic</w:t>
            </w:r>
            <w:r w:rsidR="00B466A4" w:rsidRPr="00DC15B7">
              <w:rPr>
                <w:rFonts w:cs="Arial"/>
                <w:b/>
                <w:szCs w:val="26"/>
                <w:u w:val="single"/>
              </w:rPr>
              <w:t xml:space="preserve"> </w:t>
            </w:r>
            <w:r>
              <w:rPr>
                <w:rFonts w:cs="Arial"/>
                <w:b/>
                <w:szCs w:val="26"/>
                <w:u w:val="single"/>
              </w:rPr>
              <w:t>office</w:t>
            </w:r>
            <w:r w:rsidR="00B466A4" w:rsidRPr="00DC15B7">
              <w:rPr>
                <w:rFonts w:cs="Arial"/>
                <w:b/>
                <w:szCs w:val="26"/>
                <w:u w:val="single"/>
              </w:rPr>
              <w:t xml:space="preserve"> context</w:t>
            </w:r>
            <w:r w:rsidR="00223E02">
              <w:rPr>
                <w:rFonts w:cs="Arial"/>
                <w:szCs w:val="26"/>
              </w:rPr>
              <w:t>:</w:t>
            </w:r>
            <w:r w:rsidR="00905BF1">
              <w:rPr>
                <w:rFonts w:cs="Arial"/>
                <w:szCs w:val="26"/>
              </w:rPr>
              <w:t xml:space="preserve"> </w:t>
            </w:r>
          </w:p>
          <w:p w14:paraId="2A94E763" w14:textId="77777777" w:rsidR="00AE6189" w:rsidRDefault="00AE6189" w:rsidP="00AE6189">
            <w:pPr>
              <w:jc w:val="both"/>
              <w:rPr>
                <w:rFonts w:cs="Arial"/>
                <w:szCs w:val="26"/>
              </w:rPr>
            </w:pPr>
          </w:p>
          <w:p w14:paraId="35324239" w14:textId="77777777" w:rsidR="00BC6D32" w:rsidRDefault="000064F5" w:rsidP="00AE6189">
            <w:pPr>
              <w:jc w:val="both"/>
              <w:rPr>
                <w:rFonts w:eastAsia="Cambria" w:cs="Arial"/>
                <w:szCs w:val="20"/>
              </w:rPr>
            </w:pPr>
            <w:r>
              <w:rPr>
                <w:rFonts w:eastAsia="Cambria" w:cs="Arial"/>
                <w:szCs w:val="20"/>
              </w:rPr>
              <w:t xml:space="preserve">Positioned </w:t>
            </w:r>
            <w:r w:rsidR="00BC6D32">
              <w:rPr>
                <w:rFonts w:eastAsia="Cambria" w:cs="Arial"/>
                <w:szCs w:val="20"/>
              </w:rPr>
              <w:t xml:space="preserve">among </w:t>
            </w:r>
            <w:r>
              <w:rPr>
                <w:rFonts w:eastAsia="Cambria" w:cs="Arial"/>
                <w:szCs w:val="20"/>
              </w:rPr>
              <w:t xml:space="preserve">East, West, and North Africa, </w:t>
            </w:r>
            <w:r w:rsidR="00BC6D32">
              <w:rPr>
                <w:rFonts w:eastAsia="Cambria" w:cs="Arial"/>
                <w:szCs w:val="20"/>
              </w:rPr>
              <w:t xml:space="preserve">and close to the Middle East, </w:t>
            </w:r>
            <w:r w:rsidR="00AE6189">
              <w:rPr>
                <w:rFonts w:eastAsia="Cambria" w:cs="Arial"/>
                <w:szCs w:val="20"/>
              </w:rPr>
              <w:t>Sudan</w:t>
            </w:r>
            <w:r w:rsidR="00094D13">
              <w:rPr>
                <w:rFonts w:eastAsia="Cambria" w:cs="Arial"/>
                <w:szCs w:val="20"/>
              </w:rPr>
              <w:t xml:space="preserve"> is</w:t>
            </w:r>
            <w:r>
              <w:rPr>
                <w:rFonts w:eastAsia="Cambria" w:cs="Arial"/>
                <w:szCs w:val="20"/>
              </w:rPr>
              <w:t xml:space="preserve"> </w:t>
            </w:r>
            <w:r w:rsidR="00AE6189">
              <w:rPr>
                <w:rFonts w:eastAsia="Cambria" w:cs="Arial"/>
                <w:szCs w:val="20"/>
              </w:rPr>
              <w:t xml:space="preserve">surrounded </w:t>
            </w:r>
            <w:r>
              <w:rPr>
                <w:rFonts w:eastAsia="Cambria" w:cs="Arial"/>
                <w:szCs w:val="20"/>
              </w:rPr>
              <w:t xml:space="preserve">by pre-existing crisis and complex emergencies </w:t>
            </w:r>
            <w:r w:rsidR="00AE6189">
              <w:rPr>
                <w:rFonts w:eastAsia="Cambria" w:cs="Arial"/>
                <w:szCs w:val="20"/>
              </w:rPr>
              <w:t xml:space="preserve">in an unpredictable, </w:t>
            </w:r>
            <w:proofErr w:type="gramStart"/>
            <w:r w:rsidR="00AE6189">
              <w:rPr>
                <w:rFonts w:eastAsia="Cambria" w:cs="Arial"/>
                <w:szCs w:val="20"/>
              </w:rPr>
              <w:t>volatile</w:t>
            </w:r>
            <w:proofErr w:type="gramEnd"/>
            <w:r w:rsidR="00AE6189">
              <w:rPr>
                <w:rFonts w:eastAsia="Cambria" w:cs="Arial"/>
                <w:szCs w:val="20"/>
              </w:rPr>
              <w:t xml:space="preserve"> and rapidly evolving region. </w:t>
            </w:r>
            <w:r w:rsidR="00BC6D32">
              <w:rPr>
                <w:rFonts w:eastAsia="Cambria" w:cs="Arial"/>
                <w:szCs w:val="20"/>
              </w:rPr>
              <w:t>B</w:t>
            </w:r>
            <w:r w:rsidR="00AE6189">
              <w:rPr>
                <w:rFonts w:eastAsia="Cambria" w:cs="Arial"/>
                <w:szCs w:val="20"/>
              </w:rPr>
              <w:t xml:space="preserve">y size the third biggest country in Africa, with a diverse population of around 42 million people. Sudan's children make up half of the total population, and the past two decades have seen their lives significantly improve: fewer girls and boys are dying before their fifth birthday, primary school attendance is increasing, immunization coverage is </w:t>
            </w:r>
            <w:proofErr w:type="gramStart"/>
            <w:r w:rsidR="00AE6189">
              <w:rPr>
                <w:rFonts w:eastAsia="Cambria" w:cs="Arial"/>
                <w:szCs w:val="20"/>
              </w:rPr>
              <w:t>high</w:t>
            </w:r>
            <w:proofErr w:type="gramEnd"/>
            <w:r w:rsidR="00AE6189">
              <w:rPr>
                <w:rFonts w:eastAsia="Cambria" w:cs="Arial"/>
                <w:szCs w:val="20"/>
              </w:rPr>
              <w:t xml:space="preserve"> and the country remains polio free. </w:t>
            </w:r>
          </w:p>
          <w:p w14:paraId="37BEC2C5" w14:textId="77777777" w:rsidR="00BC6D32" w:rsidRDefault="00BC6D32" w:rsidP="00AE6189">
            <w:pPr>
              <w:jc w:val="both"/>
              <w:rPr>
                <w:rFonts w:eastAsia="Cambria" w:cs="Arial"/>
                <w:szCs w:val="20"/>
              </w:rPr>
            </w:pPr>
          </w:p>
          <w:p w14:paraId="5B42DAC2" w14:textId="308E72D0" w:rsidR="0089115F" w:rsidRPr="0089115F" w:rsidRDefault="0089115F" w:rsidP="0089115F">
            <w:pPr>
              <w:jc w:val="both"/>
              <w:rPr>
                <w:rFonts w:eastAsia="Cambria" w:cs="Arial"/>
                <w:szCs w:val="20"/>
              </w:rPr>
            </w:pPr>
            <w:r>
              <w:rPr>
                <w:szCs w:val="20"/>
                <w:lang w:val="en-AU"/>
              </w:rPr>
              <w:t>R</w:t>
            </w:r>
            <w:proofErr w:type="spellStart"/>
            <w:r w:rsidRPr="0089115F">
              <w:rPr>
                <w:rFonts w:eastAsia="Cambria" w:cs="Arial"/>
                <w:szCs w:val="20"/>
              </w:rPr>
              <w:t>ecent</w:t>
            </w:r>
            <w:proofErr w:type="spellEnd"/>
            <w:r w:rsidRPr="0089115F">
              <w:rPr>
                <w:rFonts w:eastAsia="Cambria" w:cs="Arial"/>
                <w:szCs w:val="20"/>
              </w:rPr>
              <w:t xml:space="preserve"> developments, such as the 2019 revolution, the global Covid-19-pandemic, created new challenges and opportunities. The space for civic engagement including notably for youth and women’s groups, widened and presented a space for new types of engagement. In addition, following the ousting of the previous regime, strides were made for legal reform and policy development providing a stronger framework for realizing the rights of girls and women. </w:t>
            </w:r>
          </w:p>
          <w:p w14:paraId="2ECF3B8A" w14:textId="77777777" w:rsidR="0089115F" w:rsidRPr="0089115F" w:rsidRDefault="0089115F" w:rsidP="0089115F">
            <w:pPr>
              <w:jc w:val="both"/>
              <w:rPr>
                <w:rFonts w:eastAsia="Cambria" w:cs="Arial"/>
                <w:szCs w:val="20"/>
              </w:rPr>
            </w:pPr>
          </w:p>
          <w:p w14:paraId="5F2BE8A9" w14:textId="77777777" w:rsidR="0089115F" w:rsidRPr="0089115F" w:rsidRDefault="0089115F" w:rsidP="0089115F">
            <w:pPr>
              <w:jc w:val="both"/>
              <w:rPr>
                <w:rFonts w:eastAsia="Cambria" w:cs="Arial"/>
                <w:szCs w:val="20"/>
              </w:rPr>
            </w:pPr>
            <w:r w:rsidRPr="0089115F">
              <w:rPr>
                <w:rFonts w:eastAsia="Cambria" w:cs="Arial"/>
                <w:szCs w:val="20"/>
              </w:rPr>
              <w:t>The military coup of 25 October 2021 brought about a more fluid environment with uncertainties in the implementation landscape.</w:t>
            </w:r>
          </w:p>
          <w:p w14:paraId="328978D5" w14:textId="77777777" w:rsidR="0089115F" w:rsidRPr="0089115F" w:rsidRDefault="0089115F" w:rsidP="0089115F">
            <w:pPr>
              <w:jc w:val="both"/>
              <w:rPr>
                <w:rFonts w:eastAsia="Cambria" w:cs="Arial"/>
                <w:szCs w:val="20"/>
              </w:rPr>
            </w:pPr>
          </w:p>
          <w:p w14:paraId="5EED4A42" w14:textId="77777777" w:rsidR="0089115F" w:rsidRPr="0089115F" w:rsidRDefault="0089115F" w:rsidP="0089115F">
            <w:pPr>
              <w:jc w:val="both"/>
              <w:rPr>
                <w:rFonts w:eastAsia="Cambria" w:cs="Arial"/>
                <w:szCs w:val="20"/>
              </w:rPr>
            </w:pPr>
            <w:r w:rsidRPr="0089115F">
              <w:rPr>
                <w:rFonts w:eastAsia="Cambria" w:cs="Arial"/>
                <w:szCs w:val="20"/>
              </w:rPr>
              <w:lastRenderedPageBreak/>
              <w:t xml:space="preserve">Heavy fighting between the Sudanese Armed Forces (SAF) and the Rapid Support Forces (RSF) erupted on 15 April 2023, displacing more than 2.6 million people within Sudan, and an additional 757,000 people to neighboring countries. Millions of the most vulnerable children and families are caught in the crossfire with no or limited access to essential services including water, food, healthcare, and safety. </w:t>
            </w:r>
          </w:p>
          <w:p w14:paraId="6741488B" w14:textId="77777777" w:rsidR="0089115F" w:rsidRPr="0089115F" w:rsidRDefault="0089115F" w:rsidP="0089115F">
            <w:pPr>
              <w:jc w:val="both"/>
              <w:rPr>
                <w:rFonts w:eastAsia="Cambria" w:cs="Arial"/>
                <w:szCs w:val="20"/>
              </w:rPr>
            </w:pPr>
          </w:p>
          <w:p w14:paraId="486009E2" w14:textId="4D19ED95" w:rsidR="0089115F" w:rsidRPr="0089115F" w:rsidRDefault="0089115F" w:rsidP="0089115F">
            <w:pPr>
              <w:jc w:val="both"/>
              <w:rPr>
                <w:rFonts w:eastAsia="Cambria" w:cs="Arial"/>
                <w:szCs w:val="20"/>
              </w:rPr>
            </w:pPr>
            <w:r w:rsidRPr="0089115F">
              <w:rPr>
                <w:rFonts w:eastAsia="Cambria" w:cs="Arial"/>
                <w:szCs w:val="20"/>
              </w:rPr>
              <w:t>The first 10 months of 2023 has witnessed a four-fold increase in the number of grave child rights violations verified in Sudan, as compared to 2022 figures reported in the 2022 UN Secretary-General’s Annual Report on Children and Armed Conflict</w:t>
            </w:r>
            <w:r w:rsidR="00BC6D32">
              <w:rPr>
                <w:rFonts w:eastAsia="Cambria" w:cs="Arial"/>
                <w:szCs w:val="20"/>
              </w:rPr>
              <w:t xml:space="preserve">, </w:t>
            </w:r>
            <w:r w:rsidRPr="0089115F">
              <w:rPr>
                <w:rFonts w:eastAsia="Cambria" w:cs="Arial"/>
                <w:szCs w:val="20"/>
              </w:rPr>
              <w:t>inclu</w:t>
            </w:r>
            <w:r w:rsidR="00BC6D32">
              <w:rPr>
                <w:rFonts w:eastAsia="Cambria" w:cs="Arial"/>
                <w:szCs w:val="20"/>
              </w:rPr>
              <w:t>ding</w:t>
            </w:r>
            <w:r w:rsidRPr="0089115F">
              <w:rPr>
                <w:rFonts w:eastAsia="Cambria" w:cs="Arial"/>
                <w:szCs w:val="20"/>
              </w:rPr>
              <w:t xml:space="preserve"> sexual violence</w:t>
            </w:r>
          </w:p>
          <w:p w14:paraId="360DBF38" w14:textId="77777777" w:rsidR="0089115F" w:rsidRDefault="0089115F" w:rsidP="0089115F">
            <w:pPr>
              <w:jc w:val="both"/>
              <w:rPr>
                <w:rFonts w:eastAsia="Cambria" w:cs="Arial"/>
                <w:szCs w:val="20"/>
              </w:rPr>
            </w:pPr>
          </w:p>
          <w:p w14:paraId="37C29924" w14:textId="06D2D813" w:rsidR="00AE6189" w:rsidRDefault="00AE6189" w:rsidP="0089115F">
            <w:pPr>
              <w:jc w:val="both"/>
              <w:rPr>
                <w:rFonts w:eastAsia="Cambria" w:cs="Arial"/>
                <w:szCs w:val="20"/>
              </w:rPr>
            </w:pPr>
            <w:r>
              <w:rPr>
                <w:rFonts w:eastAsia="Cambria" w:cs="Arial"/>
                <w:szCs w:val="20"/>
              </w:rPr>
              <w:t>UNICEF is implementing interventions to address response,</w:t>
            </w:r>
            <w:r w:rsidR="00BC6D32">
              <w:rPr>
                <w:rFonts w:eastAsia="Cambria" w:cs="Arial"/>
                <w:szCs w:val="20"/>
              </w:rPr>
              <w:t xml:space="preserve"> </w:t>
            </w:r>
            <w:r>
              <w:rPr>
                <w:rFonts w:eastAsia="Cambria" w:cs="Arial"/>
                <w:szCs w:val="20"/>
              </w:rPr>
              <w:t>mitigation, and prevention of gender-based violence</w:t>
            </w:r>
            <w:r w:rsidR="0089115F">
              <w:rPr>
                <w:rFonts w:eastAsia="Cambria" w:cs="Arial"/>
                <w:szCs w:val="20"/>
              </w:rPr>
              <w:t>, alongside the nexus humanitarian-peace-development</w:t>
            </w:r>
            <w:r w:rsidR="00BC6D32">
              <w:rPr>
                <w:rFonts w:eastAsia="Cambria" w:cs="Arial"/>
                <w:szCs w:val="20"/>
              </w:rPr>
              <w:t>.</w:t>
            </w:r>
          </w:p>
          <w:p w14:paraId="05689002" w14:textId="7C0A74CF" w:rsidR="00DC4A55" w:rsidRDefault="00DC4A55" w:rsidP="00C5029E">
            <w:pPr>
              <w:jc w:val="both"/>
              <w:rPr>
                <w:rFonts w:cs="Arial"/>
                <w:szCs w:val="26"/>
              </w:rPr>
            </w:pPr>
          </w:p>
          <w:p w14:paraId="3830158C" w14:textId="77777777" w:rsidR="00AE6189" w:rsidRDefault="00AE6189" w:rsidP="00C5029E">
            <w:pPr>
              <w:jc w:val="both"/>
              <w:rPr>
                <w:rFonts w:cs="Arial"/>
                <w:szCs w:val="26"/>
              </w:rPr>
            </w:pPr>
          </w:p>
          <w:p w14:paraId="4705BF5D" w14:textId="226C7668" w:rsidR="00B466A4" w:rsidRDefault="00B466A4" w:rsidP="00C5029E">
            <w:pPr>
              <w:jc w:val="both"/>
              <w:rPr>
                <w:b/>
                <w:u w:val="single"/>
              </w:rPr>
            </w:pPr>
            <w:r w:rsidRPr="00AA6252">
              <w:rPr>
                <w:b/>
                <w:u w:val="single"/>
              </w:rPr>
              <w:t>Purpose for the job</w:t>
            </w:r>
            <w:r w:rsidR="00AA6252" w:rsidRPr="00AA6252">
              <w:rPr>
                <w:b/>
                <w:u w:val="single"/>
              </w:rPr>
              <w:t>:</w:t>
            </w:r>
          </w:p>
          <w:p w14:paraId="36072F20" w14:textId="4CA7B312" w:rsidR="00C04AB9" w:rsidRDefault="00C04AB9" w:rsidP="00C5029E">
            <w:pPr>
              <w:jc w:val="both"/>
              <w:rPr>
                <w:b/>
                <w:u w:val="single"/>
              </w:rPr>
            </w:pPr>
          </w:p>
          <w:p w14:paraId="13B665B5" w14:textId="11A5203F" w:rsidR="00C04AB9" w:rsidRPr="00BC6D32" w:rsidRDefault="00C04AB9" w:rsidP="00BC6D32">
            <w:pPr>
              <w:jc w:val="both"/>
              <w:rPr>
                <w:rFonts w:eastAsia="Cambria" w:cs="Arial"/>
                <w:szCs w:val="20"/>
              </w:rPr>
            </w:pPr>
            <w:r w:rsidRPr="00BC6D32">
              <w:rPr>
                <w:rFonts w:eastAsia="Cambria" w:cs="Arial"/>
                <w:szCs w:val="20"/>
              </w:rPr>
              <w:t xml:space="preserve">As part of UNICEF’s Core Commitment for Children in Humanitarian Action, the Country office is expected to </w:t>
            </w:r>
            <w:r w:rsidR="00BC6D32">
              <w:rPr>
                <w:rFonts w:eastAsia="Cambria" w:cs="Arial"/>
                <w:szCs w:val="20"/>
              </w:rPr>
              <w:t>actively contribute to</w:t>
            </w:r>
            <w:r w:rsidRPr="00BC6D32">
              <w:rPr>
                <w:rFonts w:eastAsia="Cambria" w:cs="Arial"/>
                <w:szCs w:val="20"/>
              </w:rPr>
              <w:t xml:space="preserve"> GBV coordination structures within the Humanitarian Cluster approach as well as address GBV from a programming perspective, within the child protection system strengthening approach. </w:t>
            </w:r>
          </w:p>
          <w:p w14:paraId="588D8836" w14:textId="77777777" w:rsidR="00C04AB9" w:rsidRPr="00BC6D32" w:rsidRDefault="00C04AB9" w:rsidP="00C5029E">
            <w:pPr>
              <w:jc w:val="both"/>
              <w:rPr>
                <w:rFonts w:eastAsia="Cambria" w:cs="Arial"/>
                <w:szCs w:val="20"/>
              </w:rPr>
            </w:pPr>
          </w:p>
          <w:p w14:paraId="61BE8D6A" w14:textId="246DA2D0" w:rsidR="00AE6189" w:rsidRPr="00BC6D32" w:rsidRDefault="00C04AB9" w:rsidP="00AE6189">
            <w:pPr>
              <w:jc w:val="both"/>
              <w:rPr>
                <w:rFonts w:eastAsia="Cambria" w:cs="Arial"/>
                <w:szCs w:val="20"/>
              </w:rPr>
            </w:pPr>
            <w:r w:rsidRPr="00BC6D32">
              <w:rPr>
                <w:rFonts w:eastAsia="Cambria" w:cs="Arial"/>
                <w:szCs w:val="20"/>
              </w:rPr>
              <w:t xml:space="preserve">To fulfill this function, under the overall guidance and the supervision of the Chief of Child protection the UNICEF GBV Specialist will be responsible </w:t>
            </w:r>
            <w:r w:rsidR="004849A1" w:rsidRPr="00BC6D32">
              <w:rPr>
                <w:rFonts w:eastAsia="Cambria" w:cs="Arial"/>
                <w:szCs w:val="20"/>
              </w:rPr>
              <w:t xml:space="preserve">to strengthen planning, implementation, monitoring and coordination, of GBV </w:t>
            </w:r>
            <w:r w:rsidRPr="00BC6D32">
              <w:rPr>
                <w:rFonts w:eastAsia="Cambria" w:cs="Arial"/>
                <w:szCs w:val="20"/>
              </w:rPr>
              <w:t xml:space="preserve">mitigation, </w:t>
            </w:r>
            <w:proofErr w:type="gramStart"/>
            <w:r w:rsidRPr="00BC6D32">
              <w:rPr>
                <w:rFonts w:eastAsia="Cambria" w:cs="Arial"/>
                <w:szCs w:val="20"/>
              </w:rPr>
              <w:t>prevention</w:t>
            </w:r>
            <w:proofErr w:type="gramEnd"/>
            <w:r w:rsidRPr="00BC6D32">
              <w:rPr>
                <w:rFonts w:eastAsia="Cambria" w:cs="Arial"/>
                <w:szCs w:val="20"/>
              </w:rPr>
              <w:t xml:space="preserve"> and response alongside the nexus humanitarian</w:t>
            </w:r>
            <w:r w:rsidR="00BC6D32">
              <w:rPr>
                <w:rFonts w:eastAsia="Cambria" w:cs="Arial"/>
                <w:szCs w:val="20"/>
              </w:rPr>
              <w:t>-</w:t>
            </w:r>
            <w:r w:rsidRPr="00BC6D32">
              <w:rPr>
                <w:rFonts w:eastAsia="Cambria" w:cs="Arial"/>
                <w:szCs w:val="20"/>
              </w:rPr>
              <w:t>peace</w:t>
            </w:r>
            <w:r w:rsidR="00BC6D32">
              <w:rPr>
                <w:rFonts w:eastAsia="Cambria" w:cs="Arial"/>
                <w:szCs w:val="20"/>
              </w:rPr>
              <w:t xml:space="preserve">- </w:t>
            </w:r>
            <w:r w:rsidRPr="00BC6D32">
              <w:rPr>
                <w:rFonts w:eastAsia="Cambria" w:cs="Arial"/>
                <w:szCs w:val="20"/>
              </w:rPr>
              <w:t>development</w:t>
            </w:r>
            <w:r w:rsidR="004849A1" w:rsidRPr="00BC6D32">
              <w:rPr>
                <w:rFonts w:eastAsia="Cambria" w:cs="Arial"/>
                <w:szCs w:val="20"/>
              </w:rPr>
              <w:t>, throughout all stages of programming.</w:t>
            </w:r>
          </w:p>
          <w:p w14:paraId="445879DB" w14:textId="7CF84EAA" w:rsidR="00C04AB9" w:rsidRPr="00BC6D32" w:rsidRDefault="004849A1" w:rsidP="00C04AB9">
            <w:pPr>
              <w:jc w:val="both"/>
              <w:rPr>
                <w:rFonts w:eastAsia="Cambria" w:cs="Arial"/>
                <w:szCs w:val="20"/>
              </w:rPr>
            </w:pPr>
            <w:r w:rsidRPr="00BC6D32">
              <w:rPr>
                <w:rFonts w:eastAsia="Cambria" w:cs="Arial"/>
                <w:szCs w:val="20"/>
              </w:rPr>
              <w:t>This will include strengthening synergies with existing programs on GBV prevention, namely the joint initiative promoting abandonment of harmful practices</w:t>
            </w:r>
            <w:r w:rsidR="00C04AB9" w:rsidRPr="00BC6D32">
              <w:rPr>
                <w:rFonts w:eastAsia="Cambria" w:cs="Arial"/>
                <w:szCs w:val="20"/>
              </w:rPr>
              <w:t xml:space="preserve">, </w:t>
            </w:r>
            <w:r w:rsidRPr="00BC6D32">
              <w:rPr>
                <w:rFonts w:eastAsia="Cambria" w:cs="Arial"/>
                <w:szCs w:val="20"/>
              </w:rPr>
              <w:t xml:space="preserve">and </w:t>
            </w:r>
            <w:r w:rsidR="00BC6D32">
              <w:rPr>
                <w:rFonts w:eastAsia="Cambria" w:cs="Arial"/>
                <w:szCs w:val="20"/>
              </w:rPr>
              <w:t xml:space="preserve">with </w:t>
            </w:r>
            <w:r w:rsidRPr="00BC6D32">
              <w:rPr>
                <w:rFonts w:eastAsia="Cambria" w:cs="Arial"/>
                <w:szCs w:val="20"/>
              </w:rPr>
              <w:t>case management services for child and adolescent survivors.</w:t>
            </w:r>
            <w:r w:rsidR="00C04AB9" w:rsidRPr="00BC6D32">
              <w:rPr>
                <w:rFonts w:eastAsia="Cambria" w:cs="Arial"/>
                <w:szCs w:val="20"/>
              </w:rPr>
              <w:t xml:space="preserve"> </w:t>
            </w:r>
          </w:p>
          <w:p w14:paraId="28A3245E" w14:textId="059E70D5" w:rsidR="00C00C9F" w:rsidRDefault="00C00C9F" w:rsidP="00C04AB9">
            <w:pPr>
              <w:jc w:val="both"/>
            </w:pPr>
          </w:p>
        </w:tc>
      </w:tr>
    </w:tbl>
    <w:p w14:paraId="28F89465" w14:textId="77777777" w:rsidR="00B466A4" w:rsidRDefault="00B466A4"/>
    <w:p w14:paraId="6361AD0C"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713E79CA" w14:textId="77777777" w:rsidTr="00BD203E">
        <w:tc>
          <w:tcPr>
            <w:tcW w:w="8630" w:type="dxa"/>
            <w:shd w:val="clear" w:color="auto" w:fill="E0E0E0"/>
          </w:tcPr>
          <w:p w14:paraId="353894B4" w14:textId="77777777" w:rsidR="00B466A4" w:rsidRDefault="00B466A4">
            <w:pPr>
              <w:rPr>
                <w:b/>
                <w:bCs/>
                <w:sz w:val="24"/>
              </w:rPr>
            </w:pPr>
          </w:p>
          <w:p w14:paraId="56AD9415" w14:textId="55B0412C" w:rsidR="00B466A4" w:rsidRPr="004015C5" w:rsidRDefault="00B466A4">
            <w:pPr>
              <w:pStyle w:val="Heading1"/>
              <w:rPr>
                <w:i/>
                <w:sz w:val="22"/>
                <w:szCs w:val="22"/>
              </w:rPr>
            </w:pPr>
            <w:r>
              <w:t>III. Key function</w:t>
            </w:r>
            <w:r w:rsidR="004015C5">
              <w:t>s</w:t>
            </w:r>
            <w:r>
              <w:t>, accountabi</w:t>
            </w:r>
            <w:r w:rsidR="00DC4A55">
              <w:t>lities and related duties/tasks:</w:t>
            </w:r>
          </w:p>
          <w:p w14:paraId="5C16C989" w14:textId="77777777" w:rsidR="00B466A4" w:rsidRDefault="00B466A4">
            <w:pPr>
              <w:rPr>
                <w:i/>
                <w:iCs/>
                <w:sz w:val="18"/>
              </w:rPr>
            </w:pPr>
          </w:p>
        </w:tc>
      </w:tr>
      <w:tr w:rsidR="00B466A4" w14:paraId="3E7B7818" w14:textId="77777777" w:rsidTr="00BD203E">
        <w:tc>
          <w:tcPr>
            <w:tcW w:w="8630" w:type="dxa"/>
          </w:tcPr>
          <w:p w14:paraId="04D31F3E" w14:textId="591CC1AA" w:rsidR="00B466A4" w:rsidRDefault="00B466A4"/>
          <w:p w14:paraId="0F98E072" w14:textId="226A4AF1" w:rsidR="00AE6189" w:rsidRPr="00AE6189" w:rsidRDefault="00AE6189" w:rsidP="00BC6D32">
            <w:pPr>
              <w:pStyle w:val="ListParagraph"/>
              <w:numPr>
                <w:ilvl w:val="0"/>
                <w:numId w:val="33"/>
              </w:numPr>
              <w:rPr>
                <w:b/>
                <w:bCs/>
              </w:rPr>
            </w:pPr>
            <w:r w:rsidRPr="00AE6189">
              <w:rPr>
                <w:b/>
                <w:bCs/>
              </w:rPr>
              <w:t xml:space="preserve">Oversee and contribute to the </w:t>
            </w:r>
            <w:proofErr w:type="gramStart"/>
            <w:r w:rsidRPr="00AE6189">
              <w:rPr>
                <w:b/>
                <w:bCs/>
              </w:rPr>
              <w:t>gender based</w:t>
            </w:r>
            <w:proofErr w:type="gramEnd"/>
            <w:r w:rsidRPr="00AE6189">
              <w:rPr>
                <w:b/>
                <w:bCs/>
              </w:rPr>
              <w:t xml:space="preserve"> violence work stream of Child </w:t>
            </w:r>
            <w:r w:rsidR="00D1521A">
              <w:rPr>
                <w:b/>
                <w:bCs/>
              </w:rPr>
              <w:t>p</w:t>
            </w:r>
            <w:r w:rsidRPr="00AE6189">
              <w:rPr>
                <w:b/>
                <w:bCs/>
              </w:rPr>
              <w:t xml:space="preserve">rotection section including coordination and technical inputs to on-going </w:t>
            </w:r>
            <w:proofErr w:type="spellStart"/>
            <w:r w:rsidRPr="00AE6189">
              <w:rPr>
                <w:b/>
                <w:bCs/>
              </w:rPr>
              <w:t>programmes</w:t>
            </w:r>
            <w:proofErr w:type="spellEnd"/>
          </w:p>
          <w:p w14:paraId="76E7407D" w14:textId="63C425DB" w:rsidR="00AE6189" w:rsidRDefault="00AE6189" w:rsidP="002D6968">
            <w:pPr>
              <w:pStyle w:val="ListParagraph"/>
              <w:numPr>
                <w:ilvl w:val="0"/>
                <w:numId w:val="24"/>
              </w:numPr>
            </w:pPr>
            <w:r>
              <w:t>Contribute to regular section planning and programme management.</w:t>
            </w:r>
          </w:p>
          <w:p w14:paraId="20A1FBC4" w14:textId="797FCC6A" w:rsidR="00AE6189" w:rsidRDefault="00AE6189" w:rsidP="002D6968">
            <w:pPr>
              <w:pStyle w:val="ListParagraph"/>
              <w:numPr>
                <w:ilvl w:val="0"/>
                <w:numId w:val="24"/>
              </w:numPr>
            </w:pPr>
            <w:r>
              <w:t xml:space="preserve">Oversee the overall </w:t>
            </w:r>
            <w:proofErr w:type="gramStart"/>
            <w:r>
              <w:t>gender</w:t>
            </w:r>
            <w:r w:rsidR="002D6968">
              <w:t xml:space="preserve"> based</w:t>
            </w:r>
            <w:proofErr w:type="gramEnd"/>
            <w:r w:rsidR="002D6968">
              <w:t xml:space="preserve"> violence mitigation, prevention and response, </w:t>
            </w:r>
            <w:r>
              <w:t xml:space="preserve">portfolio, coordinating closely with </w:t>
            </w:r>
            <w:r w:rsidR="002D6968">
              <w:t>relevant colleague</w:t>
            </w:r>
            <w:r w:rsidR="00D1521A">
              <w:t>,</w:t>
            </w:r>
            <w:r w:rsidR="00BC6D32">
              <w:t xml:space="preserve"> from child protection a</w:t>
            </w:r>
            <w:r w:rsidR="00D1521A">
              <w:t>s well as</w:t>
            </w:r>
            <w:r w:rsidR="00BC6D32">
              <w:t xml:space="preserve"> other sectors, UN agencies and partners</w:t>
            </w:r>
          </w:p>
          <w:p w14:paraId="6EA9DC1B" w14:textId="26F0C958" w:rsidR="00AE6189" w:rsidRDefault="00AE6189" w:rsidP="002D6968">
            <w:pPr>
              <w:pStyle w:val="ListParagraph"/>
              <w:numPr>
                <w:ilvl w:val="0"/>
                <w:numId w:val="24"/>
              </w:numPr>
            </w:pPr>
            <w:r>
              <w:t xml:space="preserve">Ensure integration and synergy between the workstreams on harmful practices and GBV across Sudan Country Office to leverage learning and entry points. </w:t>
            </w:r>
          </w:p>
          <w:p w14:paraId="4284A630" w14:textId="77777777" w:rsidR="002D6968" w:rsidRDefault="002D6968" w:rsidP="002D6968">
            <w:pPr>
              <w:pStyle w:val="Default"/>
              <w:numPr>
                <w:ilvl w:val="0"/>
                <w:numId w:val="24"/>
              </w:numPr>
              <w:jc w:val="both"/>
              <w:rPr>
                <w:sz w:val="20"/>
                <w:szCs w:val="20"/>
              </w:rPr>
            </w:pPr>
            <w:r>
              <w:rPr>
                <w:sz w:val="20"/>
                <w:szCs w:val="20"/>
              </w:rPr>
              <w:t>Provide technical support for programming strategy, advocacy and policy documents to address violence against children, especially mitigation, prevention and response to GBV (</w:t>
            </w:r>
            <w:proofErr w:type="gramStart"/>
            <w:r>
              <w:rPr>
                <w:sz w:val="20"/>
                <w:szCs w:val="20"/>
              </w:rPr>
              <w:t>e.g.</w:t>
            </w:r>
            <w:proofErr w:type="gramEnd"/>
            <w:r>
              <w:rPr>
                <w:sz w:val="20"/>
                <w:szCs w:val="20"/>
              </w:rPr>
              <w:t xml:space="preserve"> ensuring distribution of supplies such as dignity kits).</w:t>
            </w:r>
          </w:p>
          <w:p w14:paraId="25DD28A0" w14:textId="77777777" w:rsidR="00AE6189" w:rsidRDefault="00AE6189" w:rsidP="00AE6189"/>
          <w:p w14:paraId="306C4BC8" w14:textId="6E99E137" w:rsidR="00AE6189" w:rsidRPr="00D91297" w:rsidRDefault="00AE6189" w:rsidP="00D1521A">
            <w:pPr>
              <w:pStyle w:val="ListParagraph"/>
              <w:numPr>
                <w:ilvl w:val="0"/>
                <w:numId w:val="33"/>
              </w:numPr>
              <w:rPr>
                <w:b/>
                <w:bCs/>
              </w:rPr>
            </w:pPr>
            <w:r w:rsidRPr="00D91297">
              <w:rPr>
                <w:b/>
                <w:bCs/>
              </w:rPr>
              <w:t xml:space="preserve">Advocacy, </w:t>
            </w:r>
            <w:proofErr w:type="gramStart"/>
            <w:r w:rsidRPr="00D91297">
              <w:rPr>
                <w:b/>
                <w:bCs/>
              </w:rPr>
              <w:t>networking</w:t>
            </w:r>
            <w:proofErr w:type="gramEnd"/>
            <w:r w:rsidRPr="00D91297">
              <w:rPr>
                <w:b/>
                <w:bCs/>
              </w:rPr>
              <w:t xml:space="preserve"> and partnership building </w:t>
            </w:r>
          </w:p>
          <w:p w14:paraId="13AB8240" w14:textId="77777777" w:rsidR="004F7290" w:rsidRDefault="004F7290" w:rsidP="004F7290">
            <w:pPr>
              <w:pStyle w:val="Default"/>
              <w:numPr>
                <w:ilvl w:val="0"/>
                <w:numId w:val="24"/>
              </w:numPr>
              <w:jc w:val="both"/>
              <w:rPr>
                <w:sz w:val="20"/>
                <w:szCs w:val="20"/>
              </w:rPr>
            </w:pPr>
            <w:r>
              <w:rPr>
                <w:sz w:val="20"/>
                <w:szCs w:val="20"/>
              </w:rPr>
              <w:t>Advise on any violence-related issues, especially GBV, that require immediate action and advocacy.</w:t>
            </w:r>
          </w:p>
          <w:p w14:paraId="25659FA9" w14:textId="0ED3DF75" w:rsidR="00D91297" w:rsidRDefault="00AE6189" w:rsidP="002D6968">
            <w:pPr>
              <w:pStyle w:val="ListParagraph"/>
              <w:numPr>
                <w:ilvl w:val="0"/>
                <w:numId w:val="24"/>
              </w:numPr>
            </w:pPr>
            <w:r>
              <w:t>Build and strengthen strategic partnerships through networking and advocacy with local/national governments, UN system agency partners, donors, internationally recognized institutions, NGOs, funding organization, research institutes and private sector.</w:t>
            </w:r>
          </w:p>
          <w:p w14:paraId="2DBD3805" w14:textId="77777777" w:rsidR="00D91297" w:rsidRDefault="00AE6189" w:rsidP="002D6968">
            <w:pPr>
              <w:pStyle w:val="ListParagraph"/>
              <w:numPr>
                <w:ilvl w:val="0"/>
                <w:numId w:val="24"/>
              </w:numPr>
            </w:pPr>
            <w:r>
              <w:t xml:space="preserve">Prepare communication strategies and implementation plans and activities for maximum communication impact and outreach to promote awareness, establish partnership/alliances for sustainable results. </w:t>
            </w:r>
          </w:p>
          <w:p w14:paraId="085553A1" w14:textId="278D5E26" w:rsidR="00AE6189" w:rsidRDefault="00AE6189" w:rsidP="002D6968">
            <w:pPr>
              <w:pStyle w:val="ListParagraph"/>
              <w:numPr>
                <w:ilvl w:val="0"/>
                <w:numId w:val="24"/>
              </w:numPr>
            </w:pPr>
            <w:r>
              <w:lastRenderedPageBreak/>
              <w:t>Collaborate with inter-agency partners/colleagues planning and preparation of programs/projects.</w:t>
            </w:r>
          </w:p>
          <w:p w14:paraId="23DBEF84" w14:textId="77777777" w:rsidR="004F7290" w:rsidRDefault="004F7290" w:rsidP="004F7290">
            <w:pPr>
              <w:numPr>
                <w:ilvl w:val="0"/>
                <w:numId w:val="24"/>
              </w:numPr>
              <w:jc w:val="both"/>
              <w:rPr>
                <w:rFonts w:cs="Arial"/>
                <w:szCs w:val="22"/>
              </w:rPr>
            </w:pPr>
            <w:r>
              <w:rPr>
                <w:rFonts w:cs="Arial"/>
              </w:rPr>
              <w:t xml:space="preserve">Create linkages between GBV and CP working groups to promote comprehensive care for both children and adult survivors of GBV. </w:t>
            </w:r>
          </w:p>
          <w:p w14:paraId="6E7544C3" w14:textId="37AD2C42" w:rsidR="004F7290" w:rsidRDefault="004F7290" w:rsidP="004F7290">
            <w:pPr>
              <w:numPr>
                <w:ilvl w:val="0"/>
                <w:numId w:val="24"/>
              </w:numPr>
              <w:jc w:val="both"/>
              <w:rPr>
                <w:rFonts w:cs="Arial"/>
              </w:rPr>
            </w:pPr>
            <w:r>
              <w:rPr>
                <w:rFonts w:cs="Arial"/>
              </w:rPr>
              <w:t xml:space="preserve">Promote and facilitate the inclusion of GBV into humanitarian appeal processes and partner proposals. </w:t>
            </w:r>
          </w:p>
          <w:p w14:paraId="0987B6AC" w14:textId="769DF761" w:rsidR="004F7290" w:rsidRPr="004F7290" w:rsidRDefault="004F7290" w:rsidP="004F7290">
            <w:pPr>
              <w:pStyle w:val="ListParagraph"/>
              <w:numPr>
                <w:ilvl w:val="0"/>
                <w:numId w:val="24"/>
              </w:numPr>
              <w:jc w:val="both"/>
              <w:rPr>
                <w:rFonts w:cs="Arial"/>
                <w:szCs w:val="22"/>
              </w:rPr>
            </w:pPr>
            <w:r>
              <w:rPr>
                <w:rFonts w:cs="Arial"/>
              </w:rPr>
              <w:t>Work in close collaboration with key partners to strengthen programming for adolescent girls (</w:t>
            </w:r>
            <w:proofErr w:type="gramStart"/>
            <w:r>
              <w:rPr>
                <w:rFonts w:cs="Arial"/>
              </w:rPr>
              <w:t>e.g.</w:t>
            </w:r>
            <w:proofErr w:type="gramEnd"/>
            <w:r>
              <w:rPr>
                <w:rFonts w:cs="Arial"/>
              </w:rPr>
              <w:t xml:space="preserve"> adolescent specific, age and sex-separated areas in Child Friendly Spaces, girls led clubs in schools).</w:t>
            </w:r>
          </w:p>
          <w:p w14:paraId="7561AF3E" w14:textId="77777777" w:rsidR="002D6968" w:rsidRDefault="002D6968" w:rsidP="002D6968">
            <w:pPr>
              <w:pStyle w:val="ListParagraph"/>
            </w:pPr>
          </w:p>
          <w:p w14:paraId="4C760CA6" w14:textId="77777777" w:rsidR="00AE6189" w:rsidRDefault="00AE6189" w:rsidP="00AE6189"/>
          <w:p w14:paraId="67D008E1" w14:textId="31A3AA38" w:rsidR="00AE6189" w:rsidRPr="00D91297" w:rsidRDefault="00AE6189" w:rsidP="00D1521A">
            <w:pPr>
              <w:pStyle w:val="ListParagraph"/>
              <w:numPr>
                <w:ilvl w:val="0"/>
                <w:numId w:val="33"/>
              </w:numPr>
              <w:rPr>
                <w:b/>
                <w:bCs/>
              </w:rPr>
            </w:pPr>
            <w:r w:rsidRPr="00D91297">
              <w:rPr>
                <w:b/>
                <w:bCs/>
              </w:rPr>
              <w:t>Program monitoring and quality control of results</w:t>
            </w:r>
          </w:p>
          <w:p w14:paraId="1B0F23F2" w14:textId="77777777" w:rsidR="00D1521A" w:rsidRDefault="00D1521A" w:rsidP="002D6968">
            <w:pPr>
              <w:pStyle w:val="ListParagraph"/>
              <w:numPr>
                <w:ilvl w:val="0"/>
                <w:numId w:val="24"/>
              </w:numPr>
            </w:pPr>
            <w:r>
              <w:rPr>
                <w:rFonts w:cs="Arial"/>
              </w:rPr>
              <w:t>Ensure GBV mitigation, prevention, and response is adequately addressed and implemented across sectors and humanitarian interventions, alongside the nexus humanitarian-peace development</w:t>
            </w:r>
            <w:r>
              <w:t xml:space="preserve"> </w:t>
            </w:r>
          </w:p>
          <w:p w14:paraId="391351C4" w14:textId="175894A9" w:rsidR="00D1521A" w:rsidRPr="00D1521A" w:rsidRDefault="00AE6189" w:rsidP="00D1521A">
            <w:pPr>
              <w:pStyle w:val="ListParagraph"/>
              <w:numPr>
                <w:ilvl w:val="0"/>
                <w:numId w:val="24"/>
              </w:numPr>
            </w:pPr>
            <w:r>
              <w:t xml:space="preserve">Plan and/or collaborate with monitoring and evaluation initiatives to establish benchmarks, performance indicators and other UNICEF/UN system indicators, to assess/strengthen performance accountability, </w:t>
            </w:r>
            <w:proofErr w:type="gramStart"/>
            <w:r>
              <w:t>coherence</w:t>
            </w:r>
            <w:proofErr w:type="gramEnd"/>
            <w:r>
              <w:t xml:space="preserve"> and delivery of concrete and sustainable results in </w:t>
            </w:r>
            <w:r w:rsidR="00D1521A">
              <w:t>GBV/</w:t>
            </w:r>
            <w:r>
              <w:t xml:space="preserve">child protection programs. </w:t>
            </w:r>
          </w:p>
          <w:p w14:paraId="6530D4EE" w14:textId="77777777" w:rsidR="004F7290" w:rsidRDefault="004F7290" w:rsidP="004F7290">
            <w:pPr>
              <w:pStyle w:val="Default"/>
              <w:numPr>
                <w:ilvl w:val="0"/>
                <w:numId w:val="24"/>
              </w:numPr>
              <w:jc w:val="both"/>
              <w:rPr>
                <w:color w:val="auto"/>
                <w:sz w:val="20"/>
                <w:szCs w:val="20"/>
              </w:rPr>
            </w:pPr>
            <w:r>
              <w:rPr>
                <w:color w:val="auto"/>
                <w:sz w:val="20"/>
                <w:szCs w:val="20"/>
              </w:rPr>
              <w:t xml:space="preserve">As needed, conduct assessments and/or </w:t>
            </w:r>
            <w:r>
              <w:rPr>
                <w:sz w:val="20"/>
                <w:szCs w:val="20"/>
              </w:rPr>
              <w:t xml:space="preserve">consolidate existing information </w:t>
            </w:r>
            <w:proofErr w:type="gramStart"/>
            <w:r>
              <w:rPr>
                <w:sz w:val="20"/>
                <w:szCs w:val="20"/>
              </w:rPr>
              <w:t>on the situation of</w:t>
            </w:r>
            <w:proofErr w:type="gramEnd"/>
            <w:r>
              <w:rPr>
                <w:sz w:val="20"/>
                <w:szCs w:val="20"/>
              </w:rPr>
              <w:t xml:space="preserve"> violence against women and children, including GBV.</w:t>
            </w:r>
          </w:p>
          <w:p w14:paraId="750B2BAE" w14:textId="77777777" w:rsidR="00D1521A" w:rsidRDefault="00D1521A" w:rsidP="00D1521A">
            <w:pPr>
              <w:pStyle w:val="ListParagraph"/>
              <w:numPr>
                <w:ilvl w:val="0"/>
                <w:numId w:val="24"/>
              </w:numPr>
            </w:pPr>
            <w:r>
              <w:t>Prepare/assess monitoring and evaluation reports to identify gaps, strengths/weaknesses in program and management, identify lessons learned and use knowledge gained for development planning and timely intervention to achieve goals.</w:t>
            </w:r>
          </w:p>
          <w:p w14:paraId="3A45FF7A" w14:textId="77777777" w:rsidR="00D91297" w:rsidRDefault="00AE6189" w:rsidP="002D6968">
            <w:pPr>
              <w:pStyle w:val="ListParagraph"/>
              <w:numPr>
                <w:ilvl w:val="0"/>
                <w:numId w:val="24"/>
              </w:numPr>
            </w:pPr>
            <w:r>
              <w:t>Participate in major monitoring and evaluation exercises, program reviews and annual reviews with government and other counterparts to assess progress and to engage stakeholders to take required action/interventions to achieve results.</w:t>
            </w:r>
          </w:p>
          <w:p w14:paraId="7F56963C" w14:textId="77777777" w:rsidR="00D1521A" w:rsidRDefault="00AE6189" w:rsidP="002D6968">
            <w:pPr>
              <w:pStyle w:val="ListParagraph"/>
              <w:numPr>
                <w:ilvl w:val="0"/>
                <w:numId w:val="24"/>
              </w:numPr>
            </w:pPr>
            <w:r>
              <w:t xml:space="preserve">Support and coordinate actions to plan, monitor and control the use of </w:t>
            </w:r>
            <w:proofErr w:type="gramStart"/>
            <w:r>
              <w:t>program  resources</w:t>
            </w:r>
            <w:proofErr w:type="gramEnd"/>
            <w:r>
              <w:t xml:space="preserve"> (financial, human, administrative and other assets) certifying/verifying compliance with organizational rules, regulations and procedures, donor commitments and standards of accountability and integrity. </w:t>
            </w:r>
          </w:p>
          <w:p w14:paraId="13671903" w14:textId="4897B70F" w:rsidR="00D91297" w:rsidRDefault="00AE6189" w:rsidP="002D6968">
            <w:pPr>
              <w:pStyle w:val="ListParagraph"/>
              <w:numPr>
                <w:ilvl w:val="0"/>
                <w:numId w:val="24"/>
              </w:numPr>
            </w:pPr>
            <w:r>
              <w:t>Ensure timely reporting and liquidation of resources.</w:t>
            </w:r>
          </w:p>
          <w:p w14:paraId="41FC2887" w14:textId="77777777" w:rsidR="00D91297" w:rsidRDefault="00AE6189" w:rsidP="002D6968">
            <w:pPr>
              <w:pStyle w:val="ListParagraph"/>
              <w:numPr>
                <w:ilvl w:val="0"/>
                <w:numId w:val="24"/>
              </w:numPr>
            </w:pPr>
            <w:r>
              <w:t>Coordinate or facilitate preparation and submission of program/project reports to donors and other partners to keep them informed on program progress and critical issues.</w:t>
            </w:r>
            <w:r w:rsidR="00D91297">
              <w:t xml:space="preserve"> </w:t>
            </w:r>
          </w:p>
          <w:p w14:paraId="26DADED9" w14:textId="77777777" w:rsidR="00AE6189" w:rsidRPr="002400A5" w:rsidRDefault="00AE6189" w:rsidP="00AE6189">
            <w:pPr>
              <w:rPr>
                <w:b/>
                <w:bCs/>
              </w:rPr>
            </w:pPr>
          </w:p>
          <w:p w14:paraId="35A3FF81" w14:textId="7A789AA4" w:rsidR="00AE6189" w:rsidRPr="002400A5" w:rsidRDefault="00AE6189" w:rsidP="002400A5">
            <w:pPr>
              <w:pStyle w:val="ListParagraph"/>
              <w:numPr>
                <w:ilvl w:val="0"/>
                <w:numId w:val="33"/>
              </w:numPr>
              <w:rPr>
                <w:b/>
                <w:bCs/>
              </w:rPr>
            </w:pPr>
            <w:r w:rsidRPr="002400A5">
              <w:rPr>
                <w:b/>
                <w:bCs/>
              </w:rPr>
              <w:t xml:space="preserve">Innovation, knowledge management and capacity building </w:t>
            </w:r>
          </w:p>
          <w:p w14:paraId="3FD1B981" w14:textId="6C3C1D49" w:rsidR="00D91297" w:rsidRDefault="00AE6189" w:rsidP="002D6968">
            <w:pPr>
              <w:pStyle w:val="ListParagraph"/>
              <w:numPr>
                <w:ilvl w:val="0"/>
                <w:numId w:val="24"/>
              </w:numPr>
            </w:pPr>
            <w:r>
              <w:t xml:space="preserve">Promote critical thinking and innovative approaches and good practices for sustainable </w:t>
            </w:r>
            <w:r w:rsidR="002D6968">
              <w:t xml:space="preserve">GBV </w:t>
            </w:r>
            <w:r>
              <w:t>program/projects initiatives.</w:t>
            </w:r>
          </w:p>
          <w:p w14:paraId="7746C8FD" w14:textId="77777777" w:rsidR="00D1521A" w:rsidRDefault="00D1521A" w:rsidP="00D1521A">
            <w:pPr>
              <w:pStyle w:val="ListParagraph"/>
              <w:numPr>
                <w:ilvl w:val="0"/>
                <w:numId w:val="24"/>
              </w:numPr>
            </w:pPr>
            <w:r>
              <w:t>Organize/plan/implement capacity building initiatives to enhance the competencies of stakeholders to promote sustainable results on related programs/projects.</w:t>
            </w:r>
          </w:p>
          <w:p w14:paraId="12EB14C6" w14:textId="2B42E409" w:rsidR="00D1521A" w:rsidRDefault="00D1521A" w:rsidP="00D1521A">
            <w:pPr>
              <w:pStyle w:val="ListParagraph"/>
              <w:numPr>
                <w:ilvl w:val="0"/>
                <w:numId w:val="24"/>
              </w:numPr>
            </w:pPr>
            <w:r>
              <w:t>Support capacity building, coordination, and partnerships on GBV case management, including linkages between child protection/GBV, education, health, social protection and wash sectors, and inter-agency efforts.</w:t>
            </w:r>
          </w:p>
          <w:p w14:paraId="643EA316" w14:textId="38628BED" w:rsidR="009B02F0" w:rsidRDefault="00AE6189" w:rsidP="002D6968">
            <w:pPr>
              <w:pStyle w:val="ListParagraph"/>
              <w:numPr>
                <w:ilvl w:val="0"/>
                <w:numId w:val="24"/>
              </w:numPr>
            </w:pPr>
            <w:r>
              <w:t>Ensure timely reporting and key dates are adhered to.</w:t>
            </w:r>
          </w:p>
          <w:p w14:paraId="19C0B3BC" w14:textId="77777777" w:rsidR="002D6968" w:rsidRDefault="002D6968" w:rsidP="002D6968"/>
          <w:tbl>
            <w:tblPr>
              <w:tblW w:w="8520" w:type="dxa"/>
              <w:tblBorders>
                <w:top w:val="nil"/>
                <w:left w:val="nil"/>
                <w:bottom w:val="nil"/>
                <w:right w:val="nil"/>
              </w:tblBorders>
              <w:tblLook w:val="0000" w:firstRow="0" w:lastRow="0" w:firstColumn="0" w:lastColumn="0" w:noHBand="0" w:noVBand="0"/>
            </w:tblPr>
            <w:tblGrid>
              <w:gridCol w:w="8520"/>
            </w:tblGrid>
            <w:tr w:rsidR="009B02F0" w:rsidRPr="009B02F0" w14:paraId="1E465791" w14:textId="77777777" w:rsidTr="008E20E6">
              <w:trPr>
                <w:trHeight w:val="80"/>
              </w:trPr>
              <w:tc>
                <w:tcPr>
                  <w:tcW w:w="8520" w:type="dxa"/>
                </w:tcPr>
                <w:p w14:paraId="7C5D31A4" w14:textId="77220362" w:rsidR="00032906" w:rsidRPr="009B02F0" w:rsidRDefault="00032906" w:rsidP="00032906">
                  <w:pPr>
                    <w:pStyle w:val="Default"/>
                    <w:rPr>
                      <w:sz w:val="20"/>
                      <w:szCs w:val="20"/>
                    </w:rPr>
                  </w:pPr>
                </w:p>
              </w:tc>
            </w:tr>
          </w:tbl>
          <w:p w14:paraId="2F5A83B5" w14:textId="564E7DDD" w:rsidR="00D435E8" w:rsidRPr="00E96557" w:rsidRDefault="00D435E8" w:rsidP="00D435E8">
            <w:pPr>
              <w:rPr>
                <w:b/>
              </w:rPr>
            </w:pPr>
          </w:p>
        </w:tc>
      </w:tr>
    </w:tbl>
    <w:p w14:paraId="21BAF32F"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58A0FB51" w14:textId="77777777">
        <w:tc>
          <w:tcPr>
            <w:tcW w:w="8856" w:type="dxa"/>
            <w:tcBorders>
              <w:bottom w:val="single" w:sz="4" w:space="0" w:color="auto"/>
            </w:tcBorders>
            <w:shd w:val="clear" w:color="auto" w:fill="E0E0E0"/>
          </w:tcPr>
          <w:p w14:paraId="1C1009F9" w14:textId="77777777" w:rsidR="00B466A4" w:rsidRDefault="00B466A4">
            <w:pPr>
              <w:pStyle w:val="Heading1"/>
            </w:pPr>
          </w:p>
          <w:p w14:paraId="01EF6922" w14:textId="440593F9" w:rsidR="00B466A4" w:rsidRDefault="00B466A4" w:rsidP="007902F0">
            <w:pPr>
              <w:pStyle w:val="Heading1"/>
              <w:rPr>
                <w:b w:val="0"/>
                <w:bCs w:val="0"/>
                <w:i/>
                <w:iCs/>
                <w:sz w:val="18"/>
              </w:rPr>
            </w:pPr>
            <w:r>
              <w:t xml:space="preserve">IV. Impact of Results </w:t>
            </w:r>
          </w:p>
        </w:tc>
      </w:tr>
      <w:tr w:rsidR="00B466A4" w14:paraId="7F84FBDE" w14:textId="77777777">
        <w:tc>
          <w:tcPr>
            <w:tcW w:w="8856" w:type="dxa"/>
          </w:tcPr>
          <w:p w14:paraId="32D63496" w14:textId="77777777" w:rsidR="00B466A4" w:rsidRPr="007902F0" w:rsidRDefault="00B466A4" w:rsidP="00B466A4">
            <w:pPr>
              <w:jc w:val="both"/>
              <w:rPr>
                <w:color w:val="FF0000"/>
              </w:rPr>
            </w:pPr>
          </w:p>
          <w:p w14:paraId="6F66BF88" w14:textId="77777777" w:rsidR="005B42FF" w:rsidRDefault="00340622" w:rsidP="005B42FF">
            <w:pPr>
              <w:autoSpaceDE w:val="0"/>
              <w:autoSpaceDN w:val="0"/>
              <w:adjustRightInd w:val="0"/>
              <w:rPr>
                <w:rFonts w:ascii="UniversCE-Light" w:eastAsia="UniversCE-Light" w:hAnsi="Times New Roman" w:cs="UniversCE-Light"/>
                <w:color w:val="3D3C3B"/>
                <w:sz w:val="18"/>
                <w:szCs w:val="18"/>
              </w:rPr>
            </w:pPr>
            <w:r w:rsidRPr="00340622">
              <w:rPr>
                <w:rFonts w:cs="Arial"/>
                <w:szCs w:val="20"/>
              </w:rPr>
              <w:t xml:space="preserve">Every child, including adolescents, is protected from violence, exploitation, abuse, </w:t>
            </w:r>
            <w:proofErr w:type="gramStart"/>
            <w:r w:rsidRPr="00340622">
              <w:rPr>
                <w:rFonts w:cs="Arial"/>
                <w:szCs w:val="20"/>
              </w:rPr>
              <w:t>neglect</w:t>
            </w:r>
            <w:proofErr w:type="gramEnd"/>
            <w:r w:rsidRPr="00340622">
              <w:rPr>
                <w:rFonts w:cs="Arial"/>
                <w:szCs w:val="20"/>
              </w:rPr>
              <w:t xml:space="preserve"> and harmful practices</w:t>
            </w:r>
            <w:r w:rsidR="004D5A40">
              <w:rPr>
                <w:rFonts w:cs="Arial"/>
                <w:szCs w:val="20"/>
              </w:rPr>
              <w:t xml:space="preserve">. </w:t>
            </w:r>
            <w:r w:rsidR="006A7DE4" w:rsidRPr="006A7DE4">
              <w:rPr>
                <w:rFonts w:cs="Arial"/>
                <w:szCs w:val="20"/>
              </w:rPr>
              <w:t>Child protection systems are</w:t>
            </w:r>
            <w:r w:rsidR="006A7DE4">
              <w:rPr>
                <w:rFonts w:cs="Arial"/>
                <w:szCs w:val="20"/>
              </w:rPr>
              <w:t xml:space="preserve"> </w:t>
            </w:r>
            <w:r w:rsidR="006A7DE4" w:rsidRPr="006A7DE4">
              <w:rPr>
                <w:rFonts w:cs="Arial"/>
                <w:szCs w:val="20"/>
              </w:rPr>
              <w:t>functional and strengthened to</w:t>
            </w:r>
            <w:r w:rsidR="006A7DE4">
              <w:rPr>
                <w:rFonts w:cs="Arial"/>
                <w:szCs w:val="20"/>
              </w:rPr>
              <w:t xml:space="preserve"> </w:t>
            </w:r>
            <w:r w:rsidR="006A7DE4" w:rsidRPr="006A7DE4">
              <w:rPr>
                <w:rFonts w:cs="Arial"/>
                <w:szCs w:val="20"/>
              </w:rPr>
              <w:t>prevent and respond to all forms of</w:t>
            </w:r>
            <w:r w:rsidR="006A7DE4">
              <w:rPr>
                <w:rFonts w:cs="Arial"/>
                <w:szCs w:val="20"/>
              </w:rPr>
              <w:t xml:space="preserve"> </w:t>
            </w:r>
            <w:r w:rsidR="006A7DE4" w:rsidRPr="006A7DE4">
              <w:rPr>
                <w:rFonts w:cs="Arial"/>
                <w:szCs w:val="20"/>
              </w:rPr>
              <w:t xml:space="preserve">violence, exploitation, abuse, </w:t>
            </w:r>
            <w:proofErr w:type="gramStart"/>
            <w:r w:rsidR="006A7DE4" w:rsidRPr="006A7DE4">
              <w:rPr>
                <w:rFonts w:cs="Arial"/>
                <w:szCs w:val="20"/>
              </w:rPr>
              <w:t>neglect</w:t>
            </w:r>
            <w:proofErr w:type="gramEnd"/>
            <w:r w:rsidR="006A7DE4">
              <w:rPr>
                <w:rFonts w:cs="Arial"/>
                <w:szCs w:val="20"/>
              </w:rPr>
              <w:t xml:space="preserve"> </w:t>
            </w:r>
            <w:r w:rsidR="006A7DE4" w:rsidRPr="006A7DE4">
              <w:rPr>
                <w:rFonts w:cs="Arial"/>
                <w:szCs w:val="20"/>
              </w:rPr>
              <w:t>and harmful practices</w:t>
            </w:r>
            <w:r w:rsidR="006A7DE4">
              <w:rPr>
                <w:rFonts w:cs="Arial"/>
                <w:szCs w:val="20"/>
              </w:rPr>
              <w:t xml:space="preserve">. </w:t>
            </w:r>
            <w:r w:rsidR="004D5A40" w:rsidRPr="004D5A40">
              <w:rPr>
                <w:rFonts w:cs="Arial"/>
                <w:szCs w:val="20"/>
              </w:rPr>
              <w:t xml:space="preserve">Girls and boys who experienced different forms of violence and in situation of heightened risk receive quality targeted support, and access to specialized child-protection services with appropriate referral to other basic services, </w:t>
            </w:r>
            <w:proofErr w:type="gramStart"/>
            <w:r w:rsidR="004D5A40" w:rsidRPr="004D5A40">
              <w:rPr>
                <w:rFonts w:cs="Arial"/>
                <w:szCs w:val="20"/>
              </w:rPr>
              <w:t>justice</w:t>
            </w:r>
            <w:proofErr w:type="gramEnd"/>
            <w:r w:rsidR="004D5A40" w:rsidRPr="004D5A40">
              <w:rPr>
                <w:rFonts w:cs="Arial"/>
                <w:szCs w:val="20"/>
              </w:rPr>
              <w:t xml:space="preserve"> and civil registration</w:t>
            </w:r>
            <w:r w:rsidR="004D5A40">
              <w:rPr>
                <w:rFonts w:cs="Arial"/>
                <w:szCs w:val="20"/>
              </w:rPr>
              <w:t>.</w:t>
            </w:r>
            <w:r w:rsidR="007D05DA">
              <w:rPr>
                <w:rFonts w:cs="Arial"/>
                <w:szCs w:val="20"/>
              </w:rPr>
              <w:t xml:space="preserve"> </w:t>
            </w:r>
            <w:r w:rsidR="005B42FF" w:rsidRPr="00D115D4">
              <w:rPr>
                <w:rFonts w:cs="Arial"/>
                <w:szCs w:val="20"/>
              </w:rPr>
              <w:t xml:space="preserve">Survivors of GBV and </w:t>
            </w:r>
            <w:proofErr w:type="gramStart"/>
            <w:r w:rsidR="005B42FF" w:rsidRPr="00D115D4">
              <w:rPr>
                <w:rFonts w:cs="Arial"/>
                <w:szCs w:val="20"/>
              </w:rPr>
              <w:t>their</w:t>
            </w:r>
            <w:proofErr w:type="gramEnd"/>
          </w:p>
          <w:p w14:paraId="632AC7C2" w14:textId="048ABB3A" w:rsidR="007D05DA" w:rsidRDefault="005B42FF" w:rsidP="005B42FF">
            <w:pPr>
              <w:autoSpaceDE w:val="0"/>
              <w:autoSpaceDN w:val="0"/>
              <w:adjustRightInd w:val="0"/>
              <w:rPr>
                <w:rFonts w:cs="Arial"/>
                <w:szCs w:val="20"/>
              </w:rPr>
            </w:pPr>
            <w:r w:rsidRPr="005B42FF">
              <w:rPr>
                <w:rFonts w:cs="Arial"/>
                <w:szCs w:val="20"/>
              </w:rPr>
              <w:lastRenderedPageBreak/>
              <w:t>children can access timely, quality,</w:t>
            </w:r>
            <w:r>
              <w:rPr>
                <w:rFonts w:cs="Arial"/>
                <w:szCs w:val="20"/>
              </w:rPr>
              <w:t xml:space="preserve"> </w:t>
            </w:r>
            <w:r w:rsidRPr="005B42FF">
              <w:rPr>
                <w:rFonts w:cs="Arial"/>
                <w:szCs w:val="20"/>
              </w:rPr>
              <w:t>multisectoral response services and</w:t>
            </w:r>
            <w:r>
              <w:rPr>
                <w:rFonts w:cs="Arial"/>
                <w:szCs w:val="20"/>
              </w:rPr>
              <w:t xml:space="preserve"> </w:t>
            </w:r>
            <w:r w:rsidRPr="005B42FF">
              <w:rPr>
                <w:rFonts w:cs="Arial"/>
                <w:szCs w:val="20"/>
              </w:rPr>
              <w:t>GBV is prevented</w:t>
            </w:r>
            <w:r>
              <w:rPr>
                <w:rFonts w:cs="Arial"/>
                <w:szCs w:val="20"/>
              </w:rPr>
              <w:t xml:space="preserve">/ </w:t>
            </w:r>
            <w:r w:rsidR="007D05DA" w:rsidRPr="007D05DA">
              <w:rPr>
                <w:rFonts w:cs="Arial"/>
                <w:szCs w:val="20"/>
              </w:rPr>
              <w:t>Girls Boys and adolescents evolve in families and communities that protect them from violence, abuse, and exploitation including prevention of FGM /C and child marriage</w:t>
            </w:r>
          </w:p>
          <w:p w14:paraId="0D61E46E" w14:textId="77777777" w:rsidR="00661408" w:rsidRPr="007902F0" w:rsidRDefault="00661408" w:rsidP="008E20E6">
            <w:pPr>
              <w:autoSpaceDE w:val="0"/>
              <w:autoSpaceDN w:val="0"/>
              <w:jc w:val="both"/>
              <w:rPr>
                <w:color w:val="FF0000"/>
              </w:rPr>
            </w:pPr>
          </w:p>
        </w:tc>
      </w:tr>
    </w:tbl>
    <w:p w14:paraId="2BBF5E6C" w14:textId="77777777" w:rsidR="00B466A4" w:rsidRDefault="00B466A4"/>
    <w:p w14:paraId="679628ED" w14:textId="77777777" w:rsidR="0009761E" w:rsidRDefault="0009761E"/>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4207"/>
      </w:tblGrid>
      <w:tr w:rsidR="007902F0" w:rsidRPr="007902F0" w14:paraId="6C187D8B" w14:textId="77777777" w:rsidTr="00CC4F16">
        <w:tc>
          <w:tcPr>
            <w:tcW w:w="8635" w:type="dxa"/>
            <w:gridSpan w:val="2"/>
            <w:shd w:val="clear" w:color="auto" w:fill="E0E0E0"/>
          </w:tcPr>
          <w:p w14:paraId="429EF1B7" w14:textId="77777777" w:rsidR="007902F0" w:rsidRPr="007902F0" w:rsidRDefault="007902F0" w:rsidP="007902F0"/>
          <w:p w14:paraId="0F804984" w14:textId="77777777" w:rsidR="00CC4F16" w:rsidRDefault="007902F0" w:rsidP="007902F0">
            <w:pPr>
              <w:rPr>
                <w:b/>
                <w:bCs/>
                <w:sz w:val="24"/>
              </w:rPr>
            </w:pPr>
            <w:r w:rsidRPr="00CC4F16">
              <w:rPr>
                <w:b/>
                <w:bCs/>
                <w:sz w:val="24"/>
              </w:rPr>
              <w:t>V. Competencies and level of proficiency required</w:t>
            </w:r>
          </w:p>
          <w:p w14:paraId="1FFB56F2" w14:textId="77777777" w:rsidR="00CC4F16" w:rsidRPr="004E20AC" w:rsidRDefault="00CC4F16" w:rsidP="007902F0">
            <w:pPr>
              <w:rPr>
                <w:b/>
                <w:bCs/>
                <w:szCs w:val="20"/>
              </w:rPr>
            </w:pPr>
          </w:p>
          <w:p w14:paraId="6B60653B" w14:textId="77777777" w:rsidR="007902F0" w:rsidRPr="007902F0" w:rsidRDefault="007902F0" w:rsidP="00475854"/>
        </w:tc>
      </w:tr>
      <w:tr w:rsidR="007902F0" w:rsidRPr="007902F0" w14:paraId="785FDDAD" w14:textId="77777777" w:rsidTr="00CC4F16">
        <w:trPr>
          <w:cantSplit/>
          <w:trHeight w:val="353"/>
        </w:trPr>
        <w:tc>
          <w:tcPr>
            <w:tcW w:w="4428" w:type="dxa"/>
          </w:tcPr>
          <w:p w14:paraId="31E2D3FC" w14:textId="33F1F74B" w:rsidR="007902F0" w:rsidRPr="007902F0" w:rsidRDefault="007902F0" w:rsidP="007902F0">
            <w:pPr>
              <w:rPr>
                <w:b/>
                <w:bCs/>
                <w:u w:val="single"/>
              </w:rPr>
            </w:pPr>
            <w:r w:rsidRPr="007902F0">
              <w:rPr>
                <w:b/>
                <w:bCs/>
                <w:u w:val="single"/>
              </w:rPr>
              <w:t xml:space="preserve">Core Values </w:t>
            </w:r>
            <w:r w:rsidR="00CC5AD3">
              <w:rPr>
                <w:b/>
                <w:bCs/>
                <w:u w:val="single"/>
              </w:rPr>
              <w:t>attributes</w:t>
            </w:r>
          </w:p>
          <w:p w14:paraId="098CE879" w14:textId="78222CA3" w:rsidR="007902F0" w:rsidRPr="00694EAC" w:rsidRDefault="00032906" w:rsidP="00694EAC">
            <w:pPr>
              <w:pStyle w:val="Default"/>
              <w:numPr>
                <w:ilvl w:val="0"/>
                <w:numId w:val="18"/>
              </w:numPr>
              <w:rPr>
                <w:b/>
                <w:bCs/>
                <w:u w:val="single"/>
              </w:rPr>
            </w:pPr>
            <w:r>
              <w:rPr>
                <w:sz w:val="20"/>
                <w:szCs w:val="20"/>
              </w:rPr>
              <w:t>C</w:t>
            </w:r>
            <w:r w:rsidR="00694EAC">
              <w:rPr>
                <w:sz w:val="20"/>
                <w:szCs w:val="20"/>
              </w:rPr>
              <w:t>are</w:t>
            </w:r>
          </w:p>
          <w:p w14:paraId="52174F31" w14:textId="7FAC75C0" w:rsidR="00694EAC" w:rsidRPr="00694EAC" w:rsidRDefault="00694EAC" w:rsidP="00694EAC">
            <w:pPr>
              <w:pStyle w:val="Default"/>
              <w:numPr>
                <w:ilvl w:val="0"/>
                <w:numId w:val="18"/>
              </w:numPr>
              <w:rPr>
                <w:b/>
                <w:bCs/>
                <w:u w:val="single"/>
              </w:rPr>
            </w:pPr>
            <w:r>
              <w:rPr>
                <w:sz w:val="20"/>
                <w:szCs w:val="20"/>
              </w:rPr>
              <w:t>Respect</w:t>
            </w:r>
          </w:p>
          <w:p w14:paraId="162E3FD6" w14:textId="63C9F954" w:rsidR="00694EAC" w:rsidRPr="00694EAC" w:rsidRDefault="00694EAC" w:rsidP="00694EAC">
            <w:pPr>
              <w:pStyle w:val="Default"/>
              <w:numPr>
                <w:ilvl w:val="0"/>
                <w:numId w:val="18"/>
              </w:numPr>
              <w:rPr>
                <w:b/>
                <w:bCs/>
                <w:u w:val="single"/>
              </w:rPr>
            </w:pPr>
            <w:r>
              <w:rPr>
                <w:sz w:val="20"/>
                <w:szCs w:val="20"/>
              </w:rPr>
              <w:t>Integrity</w:t>
            </w:r>
          </w:p>
          <w:p w14:paraId="566F037A" w14:textId="2D2A6C6E" w:rsidR="00694EAC" w:rsidRPr="00694EAC" w:rsidRDefault="00694EAC" w:rsidP="00694EAC">
            <w:pPr>
              <w:pStyle w:val="Default"/>
              <w:numPr>
                <w:ilvl w:val="0"/>
                <w:numId w:val="18"/>
              </w:numPr>
              <w:rPr>
                <w:b/>
                <w:bCs/>
                <w:u w:val="single"/>
              </w:rPr>
            </w:pPr>
            <w:r>
              <w:rPr>
                <w:sz w:val="20"/>
                <w:szCs w:val="20"/>
              </w:rPr>
              <w:t>Trust</w:t>
            </w:r>
          </w:p>
          <w:p w14:paraId="4F8E7554" w14:textId="132DB491" w:rsidR="00694EAC" w:rsidRDefault="00694EAC" w:rsidP="00694EAC">
            <w:pPr>
              <w:pStyle w:val="Default"/>
              <w:numPr>
                <w:ilvl w:val="0"/>
                <w:numId w:val="18"/>
              </w:numPr>
              <w:rPr>
                <w:b/>
                <w:bCs/>
                <w:u w:val="single"/>
              </w:rPr>
            </w:pPr>
            <w:r>
              <w:rPr>
                <w:sz w:val="20"/>
                <w:szCs w:val="20"/>
              </w:rPr>
              <w:t>Accountability</w:t>
            </w:r>
          </w:p>
          <w:p w14:paraId="267A4CC7" w14:textId="4AFB4E70" w:rsidR="007902F0" w:rsidRDefault="007902F0" w:rsidP="007902F0">
            <w:pPr>
              <w:rPr>
                <w:b/>
                <w:bCs/>
                <w:u w:val="single"/>
              </w:rPr>
            </w:pPr>
          </w:p>
          <w:p w14:paraId="52EC5C4D" w14:textId="2A5B450A" w:rsidR="007902F0" w:rsidRPr="007902F0" w:rsidRDefault="007902F0" w:rsidP="008E20E6">
            <w:pPr>
              <w:pStyle w:val="ListParagraph"/>
              <w:ind w:left="360"/>
              <w:rPr>
                <w:bCs/>
              </w:rPr>
            </w:pPr>
          </w:p>
        </w:tc>
        <w:tc>
          <w:tcPr>
            <w:tcW w:w="4207" w:type="dxa"/>
          </w:tcPr>
          <w:p w14:paraId="0F0FDE70" w14:textId="77777777" w:rsidR="00293369" w:rsidRPr="007902F0" w:rsidRDefault="00293369" w:rsidP="00293369">
            <w:pPr>
              <w:rPr>
                <w:b/>
                <w:bCs/>
                <w:u w:val="single"/>
              </w:rPr>
            </w:pPr>
            <w:r w:rsidRPr="007902F0">
              <w:rPr>
                <w:b/>
                <w:bCs/>
                <w:u w:val="single"/>
              </w:rPr>
              <w:t>Core competencies</w:t>
            </w:r>
            <w:r>
              <w:rPr>
                <w:b/>
                <w:bCs/>
                <w:u w:val="single"/>
              </w:rPr>
              <w:t xml:space="preserve"> skills</w:t>
            </w:r>
          </w:p>
          <w:p w14:paraId="688B8C34" w14:textId="77777777" w:rsidR="00FB3C8D" w:rsidRPr="00AA1093" w:rsidRDefault="00FB3C8D" w:rsidP="00AA1093">
            <w:pPr>
              <w:pStyle w:val="Default"/>
              <w:numPr>
                <w:ilvl w:val="0"/>
                <w:numId w:val="18"/>
              </w:numPr>
              <w:rPr>
                <w:sz w:val="20"/>
                <w:szCs w:val="20"/>
              </w:rPr>
            </w:pPr>
            <w:r w:rsidRPr="00AA1093">
              <w:rPr>
                <w:sz w:val="20"/>
                <w:szCs w:val="20"/>
              </w:rPr>
              <w:t>Nurtures, Leads and Manages People (2)</w:t>
            </w:r>
          </w:p>
          <w:p w14:paraId="4C8E86B9" w14:textId="77777777" w:rsidR="00FB3C8D" w:rsidRPr="00AA1093" w:rsidRDefault="00FB3C8D" w:rsidP="00AA1093">
            <w:pPr>
              <w:pStyle w:val="Default"/>
              <w:numPr>
                <w:ilvl w:val="0"/>
                <w:numId w:val="18"/>
              </w:numPr>
              <w:rPr>
                <w:sz w:val="20"/>
                <w:szCs w:val="20"/>
              </w:rPr>
            </w:pPr>
            <w:r w:rsidRPr="00AA1093">
              <w:rPr>
                <w:sz w:val="20"/>
                <w:szCs w:val="20"/>
              </w:rPr>
              <w:t>Demonstrates Self Awareness and Ethical Awareness (2)</w:t>
            </w:r>
          </w:p>
          <w:p w14:paraId="12D34D43" w14:textId="77777777" w:rsidR="00FB3C8D" w:rsidRPr="00AA1093" w:rsidRDefault="00FB3C8D" w:rsidP="00AA1093">
            <w:pPr>
              <w:pStyle w:val="Default"/>
              <w:numPr>
                <w:ilvl w:val="0"/>
                <w:numId w:val="18"/>
              </w:numPr>
              <w:rPr>
                <w:sz w:val="20"/>
                <w:szCs w:val="20"/>
              </w:rPr>
            </w:pPr>
            <w:r w:rsidRPr="00AA1093">
              <w:rPr>
                <w:sz w:val="20"/>
                <w:szCs w:val="20"/>
              </w:rPr>
              <w:t>Works Collaboratively with others (2)</w:t>
            </w:r>
          </w:p>
          <w:p w14:paraId="4F47C5F3" w14:textId="77777777" w:rsidR="00FB3C8D" w:rsidRPr="00AA1093" w:rsidRDefault="00FB3C8D" w:rsidP="00AA1093">
            <w:pPr>
              <w:pStyle w:val="Default"/>
              <w:numPr>
                <w:ilvl w:val="0"/>
                <w:numId w:val="18"/>
              </w:numPr>
              <w:rPr>
                <w:sz w:val="20"/>
                <w:szCs w:val="20"/>
              </w:rPr>
            </w:pPr>
            <w:r w:rsidRPr="00AA1093">
              <w:rPr>
                <w:sz w:val="20"/>
                <w:szCs w:val="20"/>
              </w:rPr>
              <w:t>Builds and Maintains Partnerships (2)</w:t>
            </w:r>
          </w:p>
          <w:p w14:paraId="0F81E77A" w14:textId="77777777" w:rsidR="00FB3C8D" w:rsidRPr="00AA1093" w:rsidRDefault="00FB3C8D" w:rsidP="00AA1093">
            <w:pPr>
              <w:pStyle w:val="Default"/>
              <w:numPr>
                <w:ilvl w:val="0"/>
                <w:numId w:val="18"/>
              </w:numPr>
              <w:rPr>
                <w:sz w:val="20"/>
                <w:szCs w:val="20"/>
              </w:rPr>
            </w:pPr>
            <w:r w:rsidRPr="00AA1093">
              <w:rPr>
                <w:sz w:val="20"/>
                <w:szCs w:val="20"/>
              </w:rPr>
              <w:t>Innovates and Embraces Change (2)</w:t>
            </w:r>
          </w:p>
          <w:p w14:paraId="0599F1E4" w14:textId="77777777" w:rsidR="00FB3C8D" w:rsidRPr="00AA1093" w:rsidRDefault="00FB3C8D" w:rsidP="00AA1093">
            <w:pPr>
              <w:pStyle w:val="Default"/>
              <w:numPr>
                <w:ilvl w:val="0"/>
                <w:numId w:val="18"/>
              </w:numPr>
              <w:rPr>
                <w:sz w:val="20"/>
                <w:szCs w:val="20"/>
              </w:rPr>
            </w:pPr>
            <w:r w:rsidRPr="00AA1093">
              <w:rPr>
                <w:sz w:val="20"/>
                <w:szCs w:val="20"/>
              </w:rPr>
              <w:t>Thinks and Acts Strategically (2)</w:t>
            </w:r>
          </w:p>
          <w:p w14:paraId="7DE15EA3" w14:textId="77777777" w:rsidR="00FB3C8D" w:rsidRPr="00AA1093" w:rsidRDefault="00FB3C8D" w:rsidP="00AA1093">
            <w:pPr>
              <w:pStyle w:val="Default"/>
              <w:numPr>
                <w:ilvl w:val="0"/>
                <w:numId w:val="18"/>
              </w:numPr>
              <w:rPr>
                <w:sz w:val="20"/>
                <w:szCs w:val="20"/>
              </w:rPr>
            </w:pPr>
            <w:r w:rsidRPr="00AA1093">
              <w:rPr>
                <w:sz w:val="20"/>
                <w:szCs w:val="20"/>
              </w:rPr>
              <w:t>Drive to achieve impactful results (2)</w:t>
            </w:r>
          </w:p>
          <w:p w14:paraId="49F896DD" w14:textId="77777777" w:rsidR="00FB3C8D" w:rsidRPr="00AA1093" w:rsidRDefault="00FB3C8D" w:rsidP="00AA1093">
            <w:pPr>
              <w:pStyle w:val="Default"/>
              <w:numPr>
                <w:ilvl w:val="0"/>
                <w:numId w:val="18"/>
              </w:numPr>
              <w:rPr>
                <w:sz w:val="20"/>
                <w:szCs w:val="20"/>
              </w:rPr>
            </w:pPr>
            <w:r w:rsidRPr="00AA1093">
              <w:rPr>
                <w:sz w:val="20"/>
                <w:szCs w:val="20"/>
              </w:rPr>
              <w:t>Manages ambiguity and complexity (2)</w:t>
            </w:r>
          </w:p>
          <w:p w14:paraId="6456FE1F" w14:textId="1BCC22E1" w:rsidR="007902F0" w:rsidRPr="007902F0" w:rsidRDefault="007902F0" w:rsidP="00AA1093">
            <w:pPr>
              <w:pStyle w:val="Default"/>
            </w:pPr>
          </w:p>
        </w:tc>
      </w:tr>
    </w:tbl>
    <w:p w14:paraId="06AD082F" w14:textId="77777777" w:rsidR="00B466A4" w:rsidRDefault="00B466A4"/>
    <w:p w14:paraId="7221CD36"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9"/>
        <w:gridCol w:w="5701"/>
      </w:tblGrid>
      <w:tr w:rsidR="00B466A4" w14:paraId="4F912812" w14:textId="77777777">
        <w:tc>
          <w:tcPr>
            <w:tcW w:w="8856" w:type="dxa"/>
            <w:gridSpan w:val="2"/>
            <w:shd w:val="clear" w:color="auto" w:fill="E0E0E0"/>
          </w:tcPr>
          <w:p w14:paraId="15CA7ADE" w14:textId="77777777" w:rsidR="00B466A4" w:rsidRDefault="00B466A4">
            <w:pPr>
              <w:rPr>
                <w:b/>
                <w:bCs/>
                <w:sz w:val="24"/>
              </w:rPr>
            </w:pPr>
          </w:p>
          <w:p w14:paraId="13D86002" w14:textId="77777777" w:rsidR="00B466A4" w:rsidRDefault="00B466A4">
            <w:pPr>
              <w:rPr>
                <w:b/>
                <w:bCs/>
                <w:sz w:val="24"/>
              </w:rPr>
            </w:pPr>
            <w:r>
              <w:rPr>
                <w:b/>
                <w:bCs/>
                <w:sz w:val="24"/>
              </w:rPr>
              <w:t>VI. Recruitment Qualifications</w:t>
            </w:r>
          </w:p>
          <w:p w14:paraId="6EE7D988" w14:textId="77777777" w:rsidR="00B466A4" w:rsidRDefault="00B466A4">
            <w:pPr>
              <w:rPr>
                <w:b/>
                <w:bCs/>
                <w:sz w:val="24"/>
              </w:rPr>
            </w:pPr>
          </w:p>
        </w:tc>
      </w:tr>
      <w:tr w:rsidR="00B466A4" w14:paraId="0E1036F3" w14:textId="77777777">
        <w:trPr>
          <w:trHeight w:val="230"/>
        </w:trPr>
        <w:tc>
          <w:tcPr>
            <w:tcW w:w="2988" w:type="dxa"/>
            <w:tcBorders>
              <w:bottom w:val="single" w:sz="4" w:space="0" w:color="auto"/>
            </w:tcBorders>
          </w:tcPr>
          <w:p w14:paraId="3D343A71" w14:textId="77777777" w:rsidR="00B466A4" w:rsidRDefault="00B466A4">
            <w:r>
              <w:t>Education:</w:t>
            </w:r>
          </w:p>
        </w:tc>
        <w:tc>
          <w:tcPr>
            <w:tcW w:w="5868" w:type="dxa"/>
            <w:tcBorders>
              <w:bottom w:val="single" w:sz="4" w:space="0" w:color="auto"/>
            </w:tcBorders>
          </w:tcPr>
          <w:p w14:paraId="41C3C2AD" w14:textId="4201C53D" w:rsidR="00B466A4" w:rsidRPr="004F7290" w:rsidRDefault="004F7290" w:rsidP="00D640D7">
            <w:pPr>
              <w:numPr>
                <w:ilvl w:val="0"/>
                <w:numId w:val="29"/>
              </w:numPr>
              <w:autoSpaceDE w:val="0"/>
              <w:autoSpaceDN w:val="0"/>
              <w:adjustRightInd w:val="0"/>
              <w:spacing w:line="276" w:lineRule="auto"/>
              <w:rPr>
                <w:rFonts w:cs="Arial"/>
                <w:szCs w:val="22"/>
                <w:lang w:val="en-GB"/>
              </w:rPr>
            </w:pPr>
            <w:r>
              <w:rPr>
                <w:rFonts w:cs="Arial"/>
              </w:rPr>
              <w:t xml:space="preserve">Advanced university degree in </w:t>
            </w:r>
            <w:r w:rsidRPr="00A13573">
              <w:rPr>
                <w:szCs w:val="20"/>
              </w:rPr>
              <w:t>Social Sciences</w:t>
            </w:r>
            <w:r>
              <w:rPr>
                <w:szCs w:val="20"/>
              </w:rPr>
              <w:t>,</w:t>
            </w:r>
            <w:r>
              <w:rPr>
                <w:rFonts w:cs="Arial"/>
              </w:rPr>
              <w:t xml:space="preserve"> social work or child psychology, </w:t>
            </w:r>
            <w:r w:rsidRPr="00A13573">
              <w:rPr>
                <w:szCs w:val="20"/>
              </w:rPr>
              <w:t>or related technical field is required.</w:t>
            </w:r>
          </w:p>
        </w:tc>
      </w:tr>
      <w:tr w:rsidR="00B466A4" w14:paraId="359B1E1B" w14:textId="77777777">
        <w:trPr>
          <w:trHeight w:val="230"/>
        </w:trPr>
        <w:tc>
          <w:tcPr>
            <w:tcW w:w="2988" w:type="dxa"/>
            <w:tcBorders>
              <w:bottom w:val="single" w:sz="4" w:space="0" w:color="auto"/>
            </w:tcBorders>
          </w:tcPr>
          <w:p w14:paraId="13E78147" w14:textId="77777777" w:rsidR="00B466A4" w:rsidRDefault="00B466A4">
            <w:r>
              <w:t>Experience:</w:t>
            </w:r>
          </w:p>
        </w:tc>
        <w:tc>
          <w:tcPr>
            <w:tcW w:w="5868" w:type="dxa"/>
            <w:tcBorders>
              <w:bottom w:val="single" w:sz="4" w:space="0" w:color="auto"/>
            </w:tcBorders>
          </w:tcPr>
          <w:p w14:paraId="2259A701" w14:textId="3918539A" w:rsidR="00AA1093" w:rsidRPr="00A13573" w:rsidRDefault="00AA1093" w:rsidP="004F7290">
            <w:pPr>
              <w:pStyle w:val="ListParagraph"/>
              <w:numPr>
                <w:ilvl w:val="0"/>
                <w:numId w:val="29"/>
              </w:numPr>
              <w:spacing w:before="100" w:beforeAutospacing="1" w:after="100" w:afterAutospacing="1"/>
              <w:rPr>
                <w:rFonts w:cs="Arial"/>
                <w:szCs w:val="20"/>
              </w:rPr>
            </w:pPr>
            <w:r w:rsidRPr="00A13573">
              <w:rPr>
                <w:rFonts w:cs="Arial"/>
                <w:szCs w:val="20"/>
              </w:rPr>
              <w:t>Eight years professional experience in the field of child protection</w:t>
            </w:r>
            <w:r w:rsidR="004F7290">
              <w:rPr>
                <w:rFonts w:cs="Arial"/>
                <w:szCs w:val="20"/>
              </w:rPr>
              <w:t xml:space="preserve"> and/or GBV mitigation, </w:t>
            </w:r>
            <w:proofErr w:type="spellStart"/>
            <w:r w:rsidR="004F7290">
              <w:rPr>
                <w:rFonts w:cs="Arial"/>
                <w:szCs w:val="20"/>
              </w:rPr>
              <w:t>preventon</w:t>
            </w:r>
            <w:proofErr w:type="spellEnd"/>
            <w:r w:rsidR="004F7290">
              <w:rPr>
                <w:rFonts w:cs="Arial"/>
                <w:szCs w:val="20"/>
              </w:rPr>
              <w:t xml:space="preserve"> and </w:t>
            </w:r>
            <w:proofErr w:type="gramStart"/>
            <w:r w:rsidR="004F7290">
              <w:rPr>
                <w:rFonts w:cs="Arial"/>
                <w:szCs w:val="20"/>
              </w:rPr>
              <w:t>response</w:t>
            </w:r>
            <w:r w:rsidRPr="00A13573">
              <w:rPr>
                <w:rFonts w:cs="Arial"/>
                <w:szCs w:val="20"/>
              </w:rPr>
              <w:t>;</w:t>
            </w:r>
            <w:proofErr w:type="gramEnd"/>
            <w:r w:rsidRPr="00A13573">
              <w:rPr>
                <w:rFonts w:cs="Arial"/>
                <w:szCs w:val="20"/>
              </w:rPr>
              <w:t xml:space="preserve"> </w:t>
            </w:r>
          </w:p>
          <w:p w14:paraId="648D583B" w14:textId="36DF232E" w:rsidR="00AA1093" w:rsidRPr="00AA1093" w:rsidRDefault="00AA1093" w:rsidP="004F7290">
            <w:pPr>
              <w:pStyle w:val="ListParagraph"/>
              <w:numPr>
                <w:ilvl w:val="0"/>
                <w:numId w:val="29"/>
              </w:numPr>
              <w:spacing w:before="100" w:beforeAutospacing="1" w:after="100" w:afterAutospacing="1"/>
            </w:pPr>
            <w:r w:rsidRPr="00A13573">
              <w:rPr>
                <w:rFonts w:cs="Arial"/>
                <w:szCs w:val="20"/>
              </w:rPr>
              <w:t xml:space="preserve">Extensive field experience in </w:t>
            </w:r>
            <w:r w:rsidR="004F7290">
              <w:rPr>
                <w:rFonts w:cs="Arial"/>
                <w:szCs w:val="20"/>
              </w:rPr>
              <w:t>in case management</w:t>
            </w:r>
            <w:r w:rsidR="004F7290" w:rsidRPr="00A13573">
              <w:rPr>
                <w:rFonts w:cs="Arial"/>
                <w:szCs w:val="20"/>
              </w:rPr>
              <w:t xml:space="preserve"> </w:t>
            </w:r>
            <w:r w:rsidR="004F7290">
              <w:rPr>
                <w:rFonts w:cs="Arial"/>
                <w:szCs w:val="20"/>
              </w:rPr>
              <w:t xml:space="preserve">in </w:t>
            </w:r>
            <w:r w:rsidRPr="00A13573">
              <w:rPr>
                <w:rFonts w:cs="Arial"/>
                <w:szCs w:val="20"/>
              </w:rPr>
              <w:t xml:space="preserve">developing </w:t>
            </w:r>
            <w:r w:rsidR="004F7290">
              <w:rPr>
                <w:rFonts w:cs="Arial"/>
                <w:szCs w:val="20"/>
              </w:rPr>
              <w:t>and</w:t>
            </w:r>
            <w:r>
              <w:rPr>
                <w:rFonts w:cs="Arial"/>
                <w:szCs w:val="20"/>
              </w:rPr>
              <w:t xml:space="preserve"> emergency contexts</w:t>
            </w:r>
            <w:r w:rsidR="004F7290">
              <w:rPr>
                <w:rFonts w:cs="Arial"/>
                <w:szCs w:val="20"/>
              </w:rPr>
              <w:t>.</w:t>
            </w:r>
          </w:p>
          <w:p w14:paraId="2B9A34A5" w14:textId="77777777" w:rsidR="004F7290" w:rsidRDefault="004F7290" w:rsidP="004F7290">
            <w:pPr>
              <w:numPr>
                <w:ilvl w:val="0"/>
                <w:numId w:val="29"/>
              </w:numPr>
              <w:autoSpaceDE w:val="0"/>
              <w:autoSpaceDN w:val="0"/>
              <w:adjustRightInd w:val="0"/>
              <w:spacing w:line="276" w:lineRule="auto"/>
              <w:rPr>
                <w:rFonts w:cs="Arial"/>
                <w:lang w:val="en-GB"/>
              </w:rPr>
            </w:pPr>
            <w:r>
              <w:rPr>
                <w:rFonts w:cs="Arial"/>
                <w:lang w:val="en-GB"/>
              </w:rPr>
              <w:t>A minimum of 8 years’ experience with either the UN and/or NGO, especially in emergency settings.</w:t>
            </w:r>
          </w:p>
          <w:p w14:paraId="35F2906B" w14:textId="35B091D7" w:rsidR="004F7290" w:rsidRDefault="004F7290" w:rsidP="004F7290">
            <w:pPr>
              <w:autoSpaceDE w:val="0"/>
              <w:autoSpaceDN w:val="0"/>
              <w:adjustRightInd w:val="0"/>
              <w:spacing w:line="276" w:lineRule="auto"/>
              <w:ind w:left="360"/>
            </w:pPr>
          </w:p>
        </w:tc>
      </w:tr>
      <w:tr w:rsidR="00B466A4" w:rsidRPr="00482327" w14:paraId="5F24902B" w14:textId="77777777" w:rsidTr="00067167">
        <w:trPr>
          <w:trHeight w:val="557"/>
        </w:trPr>
        <w:tc>
          <w:tcPr>
            <w:tcW w:w="2988" w:type="dxa"/>
            <w:tcBorders>
              <w:bottom w:val="single" w:sz="4" w:space="0" w:color="auto"/>
            </w:tcBorders>
          </w:tcPr>
          <w:p w14:paraId="6F45FBD6" w14:textId="77777777" w:rsidR="00B466A4" w:rsidRDefault="00B466A4">
            <w:r>
              <w:t>Language Requirements:</w:t>
            </w:r>
          </w:p>
        </w:tc>
        <w:tc>
          <w:tcPr>
            <w:tcW w:w="5868" w:type="dxa"/>
            <w:tcBorders>
              <w:bottom w:val="single" w:sz="4" w:space="0" w:color="auto"/>
            </w:tcBorders>
          </w:tcPr>
          <w:p w14:paraId="786894E2" w14:textId="40BD1034" w:rsidR="00B466A4" w:rsidRPr="00AA1093" w:rsidRDefault="00AA1093" w:rsidP="00AA1093">
            <w:pPr>
              <w:rPr>
                <w:rFonts w:cs="Arial"/>
                <w:szCs w:val="20"/>
              </w:rPr>
            </w:pPr>
            <w:r w:rsidRPr="00A13573">
              <w:rPr>
                <w:rFonts w:cs="Arial"/>
                <w:szCs w:val="20"/>
              </w:rPr>
              <w:t xml:space="preserve">Fluency in English is required.  Knowledge of </w:t>
            </w:r>
            <w:r>
              <w:rPr>
                <w:rFonts w:cs="Arial"/>
                <w:szCs w:val="20"/>
              </w:rPr>
              <w:t>Arabic language is an added asset</w:t>
            </w:r>
            <w:r w:rsidRPr="00A13573">
              <w:rPr>
                <w:rFonts w:cs="Arial"/>
                <w:szCs w:val="20"/>
              </w:rPr>
              <w:t>.</w:t>
            </w:r>
          </w:p>
        </w:tc>
      </w:tr>
    </w:tbl>
    <w:p w14:paraId="18BBBB62" w14:textId="77777777" w:rsidR="00B466A4" w:rsidRDefault="00B466A4"/>
    <w:p w14:paraId="56A8CC8B" w14:textId="77777777" w:rsidR="00B466A4" w:rsidRDefault="00B466A4"/>
    <w:p w14:paraId="24BBD4FA" w14:textId="77777777" w:rsidR="0009761E" w:rsidRDefault="0009761E"/>
    <w:sectPr w:rsidR="0009761E" w:rsidSect="00C972F7">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3099E" w14:textId="77777777" w:rsidR="005E0F87" w:rsidRDefault="005E0F87" w:rsidP="00C972F7">
      <w:r>
        <w:separator/>
      </w:r>
    </w:p>
  </w:endnote>
  <w:endnote w:type="continuationSeparator" w:id="0">
    <w:p w14:paraId="30EC5E73" w14:textId="77777777" w:rsidR="005E0F87" w:rsidRDefault="005E0F87" w:rsidP="00C9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UniversCE-Ligh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6189B" w14:textId="77777777" w:rsidR="005E0F87" w:rsidRDefault="005E0F87" w:rsidP="00C972F7">
      <w:r>
        <w:separator/>
      </w:r>
    </w:p>
  </w:footnote>
  <w:footnote w:type="continuationSeparator" w:id="0">
    <w:p w14:paraId="3AC1200D" w14:textId="77777777" w:rsidR="005E0F87" w:rsidRDefault="005E0F87" w:rsidP="00C97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D20"/>
    <w:multiLevelType w:val="hybridMultilevel"/>
    <w:tmpl w:val="FEF81B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0404054"/>
    <w:multiLevelType w:val="hybridMultilevel"/>
    <w:tmpl w:val="5238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DDE"/>
    <w:multiLevelType w:val="hybridMultilevel"/>
    <w:tmpl w:val="9F3E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5055"/>
    <w:multiLevelType w:val="hybridMultilevel"/>
    <w:tmpl w:val="CA2C75F0"/>
    <w:lvl w:ilvl="0" w:tplc="8D44D032">
      <w:start w:val="2"/>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73B60"/>
    <w:multiLevelType w:val="hybridMultilevel"/>
    <w:tmpl w:val="09C65FA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EA05C52"/>
    <w:multiLevelType w:val="hybridMultilevel"/>
    <w:tmpl w:val="1C10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13D64"/>
    <w:multiLevelType w:val="hybridMultilevel"/>
    <w:tmpl w:val="B946353C"/>
    <w:lvl w:ilvl="0" w:tplc="2E480282">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36ED579C"/>
    <w:multiLevelType w:val="hybridMultilevel"/>
    <w:tmpl w:val="665E9B46"/>
    <w:lvl w:ilvl="0" w:tplc="CE540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82816"/>
    <w:multiLevelType w:val="hybridMultilevel"/>
    <w:tmpl w:val="2068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62639"/>
    <w:multiLevelType w:val="hybridMultilevel"/>
    <w:tmpl w:val="1A0E0B1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A7C29"/>
    <w:multiLevelType w:val="hybridMultilevel"/>
    <w:tmpl w:val="2660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44501"/>
    <w:multiLevelType w:val="hybridMultilevel"/>
    <w:tmpl w:val="6FB610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501CDC"/>
    <w:multiLevelType w:val="hybridMultilevel"/>
    <w:tmpl w:val="B9269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2E2FB7"/>
    <w:multiLevelType w:val="hybridMultilevel"/>
    <w:tmpl w:val="6BB8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F71E6"/>
    <w:multiLevelType w:val="hybridMultilevel"/>
    <w:tmpl w:val="AF8E8BB6"/>
    <w:lvl w:ilvl="0" w:tplc="CE5402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5C3820"/>
    <w:multiLevelType w:val="hybridMultilevel"/>
    <w:tmpl w:val="AC108A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D38B3"/>
    <w:multiLevelType w:val="hybridMultilevel"/>
    <w:tmpl w:val="D944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964774"/>
    <w:multiLevelType w:val="hybridMultilevel"/>
    <w:tmpl w:val="C04A6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4492A"/>
    <w:multiLevelType w:val="hybridMultilevel"/>
    <w:tmpl w:val="22EA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EC04BF"/>
    <w:multiLevelType w:val="hybridMultilevel"/>
    <w:tmpl w:val="1D56D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6761ACC">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num>
  <w:num w:numId="4">
    <w:abstractNumId w:val="29"/>
  </w:num>
  <w:num w:numId="5">
    <w:abstractNumId w:val="22"/>
  </w:num>
  <w:num w:numId="6">
    <w:abstractNumId w:val="27"/>
  </w:num>
  <w:num w:numId="7">
    <w:abstractNumId w:val="26"/>
  </w:num>
  <w:num w:numId="8">
    <w:abstractNumId w:val="28"/>
  </w:num>
  <w:num w:numId="9">
    <w:abstractNumId w:val="23"/>
  </w:num>
  <w:num w:numId="10">
    <w:abstractNumId w:val="6"/>
  </w:num>
  <w:num w:numId="11">
    <w:abstractNumId w:val="5"/>
  </w:num>
  <w:num w:numId="12">
    <w:abstractNumId w:val="9"/>
  </w:num>
  <w:num w:numId="13">
    <w:abstractNumId w:val="12"/>
  </w:num>
  <w:num w:numId="14">
    <w:abstractNumId w:val="20"/>
  </w:num>
  <w:num w:numId="15">
    <w:abstractNumId w:val="7"/>
  </w:num>
  <w:num w:numId="16">
    <w:abstractNumId w:val="3"/>
  </w:num>
  <w:num w:numId="17">
    <w:abstractNumId w:val="18"/>
  </w:num>
  <w:num w:numId="18">
    <w:abstractNumId w:val="24"/>
  </w:num>
  <w:num w:numId="19">
    <w:abstractNumId w:val="16"/>
  </w:num>
  <w:num w:numId="20">
    <w:abstractNumId w:val="17"/>
  </w:num>
  <w:num w:numId="21">
    <w:abstractNumId w:val="31"/>
  </w:num>
  <w:num w:numId="22">
    <w:abstractNumId w:val="30"/>
  </w:num>
  <w:num w:numId="23">
    <w:abstractNumId w:val="25"/>
  </w:num>
  <w:num w:numId="24">
    <w:abstractNumId w:val="1"/>
  </w:num>
  <w:num w:numId="25">
    <w:abstractNumId w:val="2"/>
  </w:num>
  <w:num w:numId="26">
    <w:abstractNumId w:val="13"/>
  </w:num>
  <w:num w:numId="27">
    <w:abstractNumId w:val="3"/>
  </w:num>
  <w:num w:numId="28">
    <w:abstractNumId w:val="19"/>
  </w:num>
  <w:num w:numId="29">
    <w:abstractNumId w:val="10"/>
  </w:num>
  <w:num w:numId="30">
    <w:abstractNumId w:val="0"/>
  </w:num>
  <w:num w:numId="31">
    <w:abstractNumId w:val="21"/>
  </w:num>
  <w:num w:numId="32">
    <w:abstractNumId w:val="0"/>
  </w:num>
  <w:num w:numId="33">
    <w:abstractNumId w:val="14"/>
  </w:num>
  <w:num w:numId="3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064F5"/>
    <w:rsid w:val="00032906"/>
    <w:rsid w:val="00067167"/>
    <w:rsid w:val="000752E9"/>
    <w:rsid w:val="0007753A"/>
    <w:rsid w:val="00094D13"/>
    <w:rsid w:val="0009761E"/>
    <w:rsid w:val="000A2F76"/>
    <w:rsid w:val="000A3A21"/>
    <w:rsid w:val="000B51FA"/>
    <w:rsid w:val="000D3D56"/>
    <w:rsid w:val="000E0266"/>
    <w:rsid w:val="00136BA3"/>
    <w:rsid w:val="001415D4"/>
    <w:rsid w:val="00150602"/>
    <w:rsid w:val="001633F8"/>
    <w:rsid w:val="001A1B91"/>
    <w:rsid w:val="001C6205"/>
    <w:rsid w:val="001C6966"/>
    <w:rsid w:val="001F118A"/>
    <w:rsid w:val="00220FDF"/>
    <w:rsid w:val="00222F68"/>
    <w:rsid w:val="00223E02"/>
    <w:rsid w:val="002400A5"/>
    <w:rsid w:val="00242658"/>
    <w:rsid w:val="00250CC1"/>
    <w:rsid w:val="00293369"/>
    <w:rsid w:val="002B0F07"/>
    <w:rsid w:val="002D6968"/>
    <w:rsid w:val="002E43D0"/>
    <w:rsid w:val="002E692D"/>
    <w:rsid w:val="003108C6"/>
    <w:rsid w:val="00340622"/>
    <w:rsid w:val="00353FE3"/>
    <w:rsid w:val="003573C8"/>
    <w:rsid w:val="00364D01"/>
    <w:rsid w:val="003F6196"/>
    <w:rsid w:val="004015C5"/>
    <w:rsid w:val="00417262"/>
    <w:rsid w:val="004201A6"/>
    <w:rsid w:val="004214C7"/>
    <w:rsid w:val="0042340F"/>
    <w:rsid w:val="0042653E"/>
    <w:rsid w:val="00461781"/>
    <w:rsid w:val="00461D95"/>
    <w:rsid w:val="00466877"/>
    <w:rsid w:val="00475854"/>
    <w:rsid w:val="004849A1"/>
    <w:rsid w:val="00493E4F"/>
    <w:rsid w:val="004B73A5"/>
    <w:rsid w:val="004D5A40"/>
    <w:rsid w:val="004E20AC"/>
    <w:rsid w:val="004E70CB"/>
    <w:rsid w:val="004F7290"/>
    <w:rsid w:val="005354D4"/>
    <w:rsid w:val="00577491"/>
    <w:rsid w:val="005A259F"/>
    <w:rsid w:val="005B42FF"/>
    <w:rsid w:val="005C2B7D"/>
    <w:rsid w:val="005E0F87"/>
    <w:rsid w:val="00611662"/>
    <w:rsid w:val="00661408"/>
    <w:rsid w:val="00694EAC"/>
    <w:rsid w:val="00695607"/>
    <w:rsid w:val="00696D24"/>
    <w:rsid w:val="006A2CAB"/>
    <w:rsid w:val="006A4550"/>
    <w:rsid w:val="006A7DE4"/>
    <w:rsid w:val="006C55CF"/>
    <w:rsid w:val="006C63A4"/>
    <w:rsid w:val="006E1778"/>
    <w:rsid w:val="006F3FF9"/>
    <w:rsid w:val="0070526F"/>
    <w:rsid w:val="007353AE"/>
    <w:rsid w:val="00756C64"/>
    <w:rsid w:val="00771269"/>
    <w:rsid w:val="007902F0"/>
    <w:rsid w:val="00795629"/>
    <w:rsid w:val="007D05DA"/>
    <w:rsid w:val="007F7D10"/>
    <w:rsid w:val="0084301A"/>
    <w:rsid w:val="008766D7"/>
    <w:rsid w:val="008776B5"/>
    <w:rsid w:val="0089115F"/>
    <w:rsid w:val="008A6E87"/>
    <w:rsid w:val="008C7215"/>
    <w:rsid w:val="008D3CDB"/>
    <w:rsid w:val="008D41EB"/>
    <w:rsid w:val="008D6CB1"/>
    <w:rsid w:val="008E20E6"/>
    <w:rsid w:val="00905BF1"/>
    <w:rsid w:val="00911904"/>
    <w:rsid w:val="00945FA3"/>
    <w:rsid w:val="0097359A"/>
    <w:rsid w:val="00977B60"/>
    <w:rsid w:val="00995A80"/>
    <w:rsid w:val="009B02F0"/>
    <w:rsid w:val="00A126F0"/>
    <w:rsid w:val="00A21E51"/>
    <w:rsid w:val="00A326AA"/>
    <w:rsid w:val="00A3581C"/>
    <w:rsid w:val="00A444DF"/>
    <w:rsid w:val="00A564CC"/>
    <w:rsid w:val="00A7664B"/>
    <w:rsid w:val="00AA1093"/>
    <w:rsid w:val="00AA6252"/>
    <w:rsid w:val="00AD4E0F"/>
    <w:rsid w:val="00AE3931"/>
    <w:rsid w:val="00AE6189"/>
    <w:rsid w:val="00AF5DAC"/>
    <w:rsid w:val="00B040A5"/>
    <w:rsid w:val="00B234F1"/>
    <w:rsid w:val="00B34FD1"/>
    <w:rsid w:val="00B466A4"/>
    <w:rsid w:val="00B72D87"/>
    <w:rsid w:val="00BA02C9"/>
    <w:rsid w:val="00BA21E2"/>
    <w:rsid w:val="00BA4349"/>
    <w:rsid w:val="00BA44AF"/>
    <w:rsid w:val="00BC644C"/>
    <w:rsid w:val="00BC6D32"/>
    <w:rsid w:val="00BD203E"/>
    <w:rsid w:val="00BD6D7F"/>
    <w:rsid w:val="00BE098E"/>
    <w:rsid w:val="00C00C9F"/>
    <w:rsid w:val="00C04AB9"/>
    <w:rsid w:val="00C20393"/>
    <w:rsid w:val="00C5029E"/>
    <w:rsid w:val="00C56467"/>
    <w:rsid w:val="00C57B0E"/>
    <w:rsid w:val="00C70B32"/>
    <w:rsid w:val="00C70CEB"/>
    <w:rsid w:val="00C95841"/>
    <w:rsid w:val="00C972F7"/>
    <w:rsid w:val="00CC4F16"/>
    <w:rsid w:val="00CC5AD3"/>
    <w:rsid w:val="00CE7C9A"/>
    <w:rsid w:val="00D03D01"/>
    <w:rsid w:val="00D115D4"/>
    <w:rsid w:val="00D1521A"/>
    <w:rsid w:val="00D435E8"/>
    <w:rsid w:val="00D573C6"/>
    <w:rsid w:val="00D640D7"/>
    <w:rsid w:val="00D64F42"/>
    <w:rsid w:val="00D91297"/>
    <w:rsid w:val="00DB46E8"/>
    <w:rsid w:val="00DB57EB"/>
    <w:rsid w:val="00DB5934"/>
    <w:rsid w:val="00DB59B8"/>
    <w:rsid w:val="00DB5EDC"/>
    <w:rsid w:val="00DC2579"/>
    <w:rsid w:val="00DC2E87"/>
    <w:rsid w:val="00DC4A55"/>
    <w:rsid w:val="00DD4015"/>
    <w:rsid w:val="00E007A5"/>
    <w:rsid w:val="00E073DC"/>
    <w:rsid w:val="00E11012"/>
    <w:rsid w:val="00E118B3"/>
    <w:rsid w:val="00E158E0"/>
    <w:rsid w:val="00E21A02"/>
    <w:rsid w:val="00E30414"/>
    <w:rsid w:val="00E31A5C"/>
    <w:rsid w:val="00E377AF"/>
    <w:rsid w:val="00E45021"/>
    <w:rsid w:val="00E739DC"/>
    <w:rsid w:val="00E76F54"/>
    <w:rsid w:val="00E83C63"/>
    <w:rsid w:val="00E86886"/>
    <w:rsid w:val="00E91E14"/>
    <w:rsid w:val="00EC259A"/>
    <w:rsid w:val="00EC7799"/>
    <w:rsid w:val="00ED07DC"/>
    <w:rsid w:val="00EE3B85"/>
    <w:rsid w:val="00F30B49"/>
    <w:rsid w:val="00F474AA"/>
    <w:rsid w:val="00F64A5B"/>
    <w:rsid w:val="00FB3C8D"/>
    <w:rsid w:val="00FB70A3"/>
    <w:rsid w:val="00FC3409"/>
    <w:rsid w:val="00FC3C06"/>
    <w:rsid w:val="00FD23A8"/>
    <w:rsid w:val="00FD4667"/>
    <w:rsid w:val="00FD5B2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A041F"/>
  <w15:docId w15:val="{59AA2785-2362-4434-B96C-19A30EC2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link w:val="ListParagraphChar"/>
    <w:uiPriority w:val="99"/>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nhideWhenUsed/>
    <w:rsid w:val="00C972F7"/>
    <w:pPr>
      <w:tabs>
        <w:tab w:val="center" w:pos="4680"/>
        <w:tab w:val="right" w:pos="9360"/>
      </w:tabs>
    </w:pPr>
  </w:style>
  <w:style w:type="character" w:customStyle="1" w:styleId="FooterChar">
    <w:name w:val="Footer Char"/>
    <w:basedOn w:val="DefaultParagraphFont"/>
    <w:link w:val="Footer"/>
    <w:rsid w:val="00C972F7"/>
    <w:rPr>
      <w:rFonts w:ascii="Arial" w:hAnsi="Arial"/>
      <w:szCs w:val="24"/>
    </w:rPr>
  </w:style>
  <w:style w:type="paragraph" w:styleId="NoSpacing">
    <w:name w:val="No Spacing"/>
    <w:link w:val="NoSpacingChar"/>
    <w:uiPriority w:val="1"/>
    <w:qFormat/>
    <w:rsid w:val="00F64A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64A5B"/>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032906"/>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ListParagraphChar">
    <w:name w:val="List Paragraph Char"/>
    <w:link w:val="ListParagraph"/>
    <w:uiPriority w:val="34"/>
    <w:locked/>
    <w:rsid w:val="00AA1093"/>
    <w:rPr>
      <w:rFonts w:ascii="Arial" w:hAnsi="Arial"/>
      <w:szCs w:val="24"/>
    </w:rPr>
  </w:style>
  <w:style w:type="paragraph" w:styleId="FootnoteText">
    <w:name w:val="footnote text"/>
    <w:basedOn w:val="Normal"/>
    <w:link w:val="FootnoteTextChar"/>
    <w:uiPriority w:val="99"/>
    <w:semiHidden/>
    <w:unhideWhenUsed/>
    <w:rsid w:val="0089115F"/>
    <w:rPr>
      <w:rFonts w:ascii="Calibri" w:eastAsia="Calibri" w:hAnsi="Calibri"/>
      <w:kern w:val="2"/>
      <w:szCs w:val="20"/>
      <w14:ligatures w14:val="standardContextual"/>
    </w:rPr>
  </w:style>
  <w:style w:type="character" w:customStyle="1" w:styleId="FootnoteTextChar">
    <w:name w:val="Footnote Text Char"/>
    <w:basedOn w:val="DefaultParagraphFont"/>
    <w:link w:val="FootnoteText"/>
    <w:uiPriority w:val="99"/>
    <w:semiHidden/>
    <w:rsid w:val="0089115F"/>
    <w:rPr>
      <w:rFonts w:ascii="Calibri" w:eastAsia="Calibri" w:hAnsi="Calibri"/>
      <w:kern w:val="2"/>
      <w14:ligatures w14:val="standardContextual"/>
    </w:rPr>
  </w:style>
  <w:style w:type="character" w:styleId="FootnoteReference">
    <w:name w:val="footnote reference"/>
    <w:basedOn w:val="DefaultParagraphFont"/>
    <w:uiPriority w:val="99"/>
    <w:semiHidden/>
    <w:unhideWhenUsed/>
    <w:rsid w:val="0089115F"/>
    <w:rPr>
      <w:vertAlign w:val="superscript"/>
    </w:rPr>
  </w:style>
  <w:style w:type="character" w:customStyle="1" w:styleId="ui-provider">
    <w:name w:val="ui-provider"/>
    <w:basedOn w:val="DefaultParagraphFont"/>
    <w:rsid w:val="00891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199">
      <w:bodyDiv w:val="1"/>
      <w:marLeft w:val="0"/>
      <w:marRight w:val="0"/>
      <w:marTop w:val="0"/>
      <w:marBottom w:val="0"/>
      <w:divBdr>
        <w:top w:val="none" w:sz="0" w:space="0" w:color="auto"/>
        <w:left w:val="none" w:sz="0" w:space="0" w:color="auto"/>
        <w:bottom w:val="none" w:sz="0" w:space="0" w:color="auto"/>
        <w:right w:val="none" w:sz="0" w:space="0" w:color="auto"/>
      </w:divBdr>
    </w:div>
    <w:div w:id="78529388">
      <w:bodyDiv w:val="1"/>
      <w:marLeft w:val="0"/>
      <w:marRight w:val="0"/>
      <w:marTop w:val="0"/>
      <w:marBottom w:val="0"/>
      <w:divBdr>
        <w:top w:val="none" w:sz="0" w:space="0" w:color="auto"/>
        <w:left w:val="none" w:sz="0" w:space="0" w:color="auto"/>
        <w:bottom w:val="none" w:sz="0" w:space="0" w:color="auto"/>
        <w:right w:val="none" w:sz="0" w:space="0" w:color="auto"/>
      </w:divBdr>
    </w:div>
    <w:div w:id="309360356">
      <w:bodyDiv w:val="1"/>
      <w:marLeft w:val="0"/>
      <w:marRight w:val="0"/>
      <w:marTop w:val="0"/>
      <w:marBottom w:val="0"/>
      <w:divBdr>
        <w:top w:val="none" w:sz="0" w:space="0" w:color="auto"/>
        <w:left w:val="none" w:sz="0" w:space="0" w:color="auto"/>
        <w:bottom w:val="none" w:sz="0" w:space="0" w:color="auto"/>
        <w:right w:val="none" w:sz="0" w:space="0" w:color="auto"/>
      </w:divBdr>
    </w:div>
    <w:div w:id="375928779">
      <w:bodyDiv w:val="1"/>
      <w:marLeft w:val="0"/>
      <w:marRight w:val="0"/>
      <w:marTop w:val="0"/>
      <w:marBottom w:val="0"/>
      <w:divBdr>
        <w:top w:val="none" w:sz="0" w:space="0" w:color="auto"/>
        <w:left w:val="none" w:sz="0" w:space="0" w:color="auto"/>
        <w:bottom w:val="none" w:sz="0" w:space="0" w:color="auto"/>
        <w:right w:val="none" w:sz="0" w:space="0" w:color="auto"/>
      </w:divBdr>
    </w:div>
    <w:div w:id="419103997">
      <w:bodyDiv w:val="1"/>
      <w:marLeft w:val="0"/>
      <w:marRight w:val="0"/>
      <w:marTop w:val="0"/>
      <w:marBottom w:val="0"/>
      <w:divBdr>
        <w:top w:val="none" w:sz="0" w:space="0" w:color="auto"/>
        <w:left w:val="none" w:sz="0" w:space="0" w:color="auto"/>
        <w:bottom w:val="none" w:sz="0" w:space="0" w:color="auto"/>
        <w:right w:val="none" w:sz="0" w:space="0" w:color="auto"/>
      </w:divBdr>
    </w:div>
    <w:div w:id="835732432">
      <w:bodyDiv w:val="1"/>
      <w:marLeft w:val="0"/>
      <w:marRight w:val="0"/>
      <w:marTop w:val="0"/>
      <w:marBottom w:val="0"/>
      <w:divBdr>
        <w:top w:val="none" w:sz="0" w:space="0" w:color="auto"/>
        <w:left w:val="none" w:sz="0" w:space="0" w:color="auto"/>
        <w:bottom w:val="none" w:sz="0" w:space="0" w:color="auto"/>
        <w:right w:val="none" w:sz="0" w:space="0" w:color="auto"/>
      </w:divBdr>
    </w:div>
    <w:div w:id="1026325079">
      <w:bodyDiv w:val="1"/>
      <w:marLeft w:val="0"/>
      <w:marRight w:val="0"/>
      <w:marTop w:val="0"/>
      <w:marBottom w:val="0"/>
      <w:divBdr>
        <w:top w:val="none" w:sz="0" w:space="0" w:color="auto"/>
        <w:left w:val="none" w:sz="0" w:space="0" w:color="auto"/>
        <w:bottom w:val="none" w:sz="0" w:space="0" w:color="auto"/>
        <w:right w:val="none" w:sz="0" w:space="0" w:color="auto"/>
      </w:divBdr>
    </w:div>
    <w:div w:id="1059480613">
      <w:bodyDiv w:val="1"/>
      <w:marLeft w:val="0"/>
      <w:marRight w:val="0"/>
      <w:marTop w:val="0"/>
      <w:marBottom w:val="0"/>
      <w:divBdr>
        <w:top w:val="none" w:sz="0" w:space="0" w:color="auto"/>
        <w:left w:val="none" w:sz="0" w:space="0" w:color="auto"/>
        <w:bottom w:val="none" w:sz="0" w:space="0" w:color="auto"/>
        <w:right w:val="none" w:sz="0" w:space="0" w:color="auto"/>
      </w:divBdr>
    </w:div>
    <w:div w:id="1167866680">
      <w:bodyDiv w:val="1"/>
      <w:marLeft w:val="0"/>
      <w:marRight w:val="0"/>
      <w:marTop w:val="0"/>
      <w:marBottom w:val="0"/>
      <w:divBdr>
        <w:top w:val="none" w:sz="0" w:space="0" w:color="auto"/>
        <w:left w:val="none" w:sz="0" w:space="0" w:color="auto"/>
        <w:bottom w:val="none" w:sz="0" w:space="0" w:color="auto"/>
        <w:right w:val="none" w:sz="0" w:space="0" w:color="auto"/>
      </w:divBdr>
    </w:div>
    <w:div w:id="1201354920">
      <w:bodyDiv w:val="1"/>
      <w:marLeft w:val="0"/>
      <w:marRight w:val="0"/>
      <w:marTop w:val="0"/>
      <w:marBottom w:val="0"/>
      <w:divBdr>
        <w:top w:val="none" w:sz="0" w:space="0" w:color="auto"/>
        <w:left w:val="none" w:sz="0" w:space="0" w:color="auto"/>
        <w:bottom w:val="none" w:sz="0" w:space="0" w:color="auto"/>
        <w:right w:val="none" w:sz="0" w:space="0" w:color="auto"/>
      </w:divBdr>
    </w:div>
    <w:div w:id="1215508075">
      <w:bodyDiv w:val="1"/>
      <w:marLeft w:val="0"/>
      <w:marRight w:val="0"/>
      <w:marTop w:val="0"/>
      <w:marBottom w:val="0"/>
      <w:divBdr>
        <w:top w:val="none" w:sz="0" w:space="0" w:color="auto"/>
        <w:left w:val="none" w:sz="0" w:space="0" w:color="auto"/>
        <w:bottom w:val="none" w:sz="0" w:space="0" w:color="auto"/>
        <w:right w:val="none" w:sz="0" w:space="0" w:color="auto"/>
      </w:divBdr>
    </w:div>
    <w:div w:id="1379085780">
      <w:bodyDiv w:val="1"/>
      <w:marLeft w:val="0"/>
      <w:marRight w:val="0"/>
      <w:marTop w:val="0"/>
      <w:marBottom w:val="0"/>
      <w:divBdr>
        <w:top w:val="none" w:sz="0" w:space="0" w:color="auto"/>
        <w:left w:val="none" w:sz="0" w:space="0" w:color="auto"/>
        <w:bottom w:val="none" w:sz="0" w:space="0" w:color="auto"/>
        <w:right w:val="none" w:sz="0" w:space="0" w:color="auto"/>
      </w:divBdr>
    </w:div>
    <w:div w:id="1461220941">
      <w:bodyDiv w:val="1"/>
      <w:marLeft w:val="0"/>
      <w:marRight w:val="0"/>
      <w:marTop w:val="0"/>
      <w:marBottom w:val="0"/>
      <w:divBdr>
        <w:top w:val="none" w:sz="0" w:space="0" w:color="auto"/>
        <w:left w:val="none" w:sz="0" w:space="0" w:color="auto"/>
        <w:bottom w:val="none" w:sz="0" w:space="0" w:color="auto"/>
        <w:right w:val="none" w:sz="0" w:space="0" w:color="auto"/>
      </w:divBdr>
    </w:div>
    <w:div w:id="1463617801">
      <w:bodyDiv w:val="1"/>
      <w:marLeft w:val="0"/>
      <w:marRight w:val="0"/>
      <w:marTop w:val="0"/>
      <w:marBottom w:val="0"/>
      <w:divBdr>
        <w:top w:val="none" w:sz="0" w:space="0" w:color="auto"/>
        <w:left w:val="none" w:sz="0" w:space="0" w:color="auto"/>
        <w:bottom w:val="none" w:sz="0" w:space="0" w:color="auto"/>
        <w:right w:val="none" w:sz="0" w:space="0" w:color="auto"/>
      </w:divBdr>
    </w:div>
    <w:div w:id="1469396221">
      <w:bodyDiv w:val="1"/>
      <w:marLeft w:val="0"/>
      <w:marRight w:val="0"/>
      <w:marTop w:val="0"/>
      <w:marBottom w:val="0"/>
      <w:divBdr>
        <w:top w:val="none" w:sz="0" w:space="0" w:color="auto"/>
        <w:left w:val="none" w:sz="0" w:space="0" w:color="auto"/>
        <w:bottom w:val="none" w:sz="0" w:space="0" w:color="auto"/>
        <w:right w:val="none" w:sz="0" w:space="0" w:color="auto"/>
      </w:divBdr>
    </w:div>
    <w:div w:id="1654530213">
      <w:bodyDiv w:val="1"/>
      <w:marLeft w:val="0"/>
      <w:marRight w:val="0"/>
      <w:marTop w:val="0"/>
      <w:marBottom w:val="0"/>
      <w:divBdr>
        <w:top w:val="none" w:sz="0" w:space="0" w:color="auto"/>
        <w:left w:val="none" w:sz="0" w:space="0" w:color="auto"/>
        <w:bottom w:val="none" w:sz="0" w:space="0" w:color="auto"/>
        <w:right w:val="none" w:sz="0" w:space="0" w:color="auto"/>
      </w:divBdr>
    </w:div>
    <w:div w:id="1803645929">
      <w:bodyDiv w:val="1"/>
      <w:marLeft w:val="0"/>
      <w:marRight w:val="0"/>
      <w:marTop w:val="0"/>
      <w:marBottom w:val="0"/>
      <w:divBdr>
        <w:top w:val="none" w:sz="0" w:space="0" w:color="auto"/>
        <w:left w:val="none" w:sz="0" w:space="0" w:color="auto"/>
        <w:bottom w:val="none" w:sz="0" w:space="0" w:color="auto"/>
        <w:right w:val="none" w:sz="0" w:space="0" w:color="auto"/>
      </w:divBdr>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4791898985C948B1D9B640A5228650" ma:contentTypeVersion="12" ma:contentTypeDescription="Create a new document." ma:contentTypeScope="" ma:versionID="deb0e7b3d52cff771747de5c2f1e8ef7">
  <xsd:schema xmlns:xsd="http://www.w3.org/2001/XMLSchema" xmlns:xs="http://www.w3.org/2001/XMLSchema" xmlns:p="http://schemas.microsoft.com/office/2006/metadata/properties" xmlns:ns1="http://schemas.microsoft.com/sharepoint/v3" xmlns:ns2="990381dc-748f-4d49-9b03-90f59279d610" xmlns:ns3="b5e8dbeb-57ea-42f7-a2fa-c2c173b1127d" targetNamespace="http://schemas.microsoft.com/office/2006/metadata/properties" ma:root="true" ma:fieldsID="988619d6d353adb537d983eef18e37dc" ns1:_="" ns2:_="" ns3:_="">
    <xsd:import namespace="http://schemas.microsoft.com/sharepoint/v3"/>
    <xsd:import namespace="990381dc-748f-4d49-9b03-90f59279d610"/>
    <xsd:import namespace="b5e8dbeb-57ea-42f7-a2fa-c2c173b1127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e8dbeb-57ea-42f7-a2fa-c2c173b1127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90381dc-748f-4d49-9b03-90f59279d610">PRTL-1388521325-16</_dlc_DocId>
    <_dlc_DocIdUrl xmlns="990381dc-748f-4d49-9b03-90f59279d610">
      <Url>https://unicef.sharepoint.com/sites/portals/JD/_layouts/15/DocIdRedir.aspx?ID=PRTL-1388521325-16</Url>
      <Description>PRTL-1388521325-16</Description>
    </_dlc_DocIdUrl>
  </documentManagement>
</p:properties>
</file>

<file path=customXml/itemProps1.xml><?xml version="1.0" encoding="utf-8"?>
<ds:datastoreItem xmlns:ds="http://schemas.openxmlformats.org/officeDocument/2006/customXml" ds:itemID="{AEC8B10D-7325-4112-AA16-2F59DC70B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0381dc-748f-4d49-9b03-90f59279d610"/>
    <ds:schemaRef ds:uri="b5e8dbeb-57ea-42f7-a2fa-c2c173b11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BC0F5-FC74-4159-BA93-E3951F05757E}">
  <ds:schemaRefs>
    <ds:schemaRef ds:uri="http://schemas.microsoft.com/sharepoint/events"/>
  </ds:schemaRefs>
</ds:datastoreItem>
</file>

<file path=customXml/itemProps3.xml><?xml version="1.0" encoding="utf-8"?>
<ds:datastoreItem xmlns:ds="http://schemas.openxmlformats.org/officeDocument/2006/customXml" ds:itemID="{66A74DEE-7E58-473C-ACB7-35E475A7DA5C}">
  <ds:schemaRefs>
    <ds:schemaRef ds:uri="http://schemas.microsoft.com/sharepoint/v3/contenttype/forms"/>
  </ds:schemaRefs>
</ds:datastoreItem>
</file>

<file path=customXml/itemProps4.xml><?xml version="1.0" encoding="utf-8"?>
<ds:datastoreItem xmlns:ds="http://schemas.openxmlformats.org/officeDocument/2006/customXml" ds:itemID="{668573D3-40FF-4B3E-97DA-2CF1A64B56C5}">
  <ds:schemaRefs>
    <ds:schemaRef ds:uri="http://schemas.openxmlformats.org/officeDocument/2006/bibliography"/>
  </ds:schemaRefs>
</ds:datastoreItem>
</file>

<file path=customXml/itemProps5.xml><?xml version="1.0" encoding="utf-8"?>
<ds:datastoreItem xmlns:ds="http://schemas.openxmlformats.org/officeDocument/2006/customXml" ds:itemID="{401DE341-F581-429D-9D23-32F58F54BF8D}">
  <ds:schemaRefs>
    <ds:schemaRef ds:uri="http://schemas.microsoft.com/office/2006/metadata/properties"/>
    <ds:schemaRef ds:uri="http://schemas.microsoft.com/office/infopath/2007/PartnerControls"/>
    <ds:schemaRef ds:uri="http://schemas.microsoft.com/sharepoint/v3"/>
    <ds:schemaRef ds:uri="990381dc-748f-4d49-9b03-90f59279d610"/>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1465</Words>
  <Characters>9222</Characters>
  <Application>Microsoft Office Word</Application>
  <DocSecurity>0</DocSecurity>
  <Lines>236</Lines>
  <Paragraphs>94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Aline Dalal</cp:lastModifiedBy>
  <cp:revision>3</cp:revision>
  <cp:lastPrinted>2018-10-12T15:08:00Z</cp:lastPrinted>
  <dcterms:created xsi:type="dcterms:W3CDTF">2023-12-24T07:45:00Z</dcterms:created>
  <dcterms:modified xsi:type="dcterms:W3CDTF">2023-12-24T08:23:00Z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0x010100B04791898985C948B1D9B640A5228650</vt:lpwstr>
  </property>
  <property fmtid="{D5CDD505-2E9C-101B-9397-08002B2CF9AE}" pid="24" name="_dlc_DocIdItemGuid">
    <vt:lpwstr>f4c2926f-9139-46f5-982b-8b0e7564b9dc</vt:lpwstr>
  </property>
  <property fmtid="{D5CDD505-2E9C-101B-9397-08002B2CF9AE}" pid="25" name="AuthorIds_UIVersion_1536">
    <vt:lpwstr>1332</vt:lpwstr>
  </property>
  <property fmtid="{D5CDD505-2E9C-101B-9397-08002B2CF9AE}" pid="26" name="GrammarlyDocumentId">
    <vt:lpwstr>20c1560ddaa473ca73af64223e5e9a14c21d025389fab4d9d54f33caf50b49f0</vt:lpwstr>
  </property>
</Properties>
</file>