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823DF" w14:textId="77777777" w:rsidR="004E48D9" w:rsidRPr="008160D8" w:rsidRDefault="004E48D9">
      <w:pPr>
        <w:rPr>
          <w:rFonts w:cstheme="minorHAnsi"/>
          <w:b/>
          <w:szCs w:val="22"/>
        </w:rPr>
      </w:pPr>
    </w:p>
    <w:tbl>
      <w:tblPr>
        <w:tblW w:w="99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0"/>
      </w:tblGrid>
      <w:tr w:rsidR="005077B5" w:rsidRPr="008160D8" w14:paraId="0CBA11A9" w14:textId="77777777" w:rsidTr="0041561B">
        <w:tc>
          <w:tcPr>
            <w:tcW w:w="9990" w:type="dxa"/>
            <w:shd w:val="clear" w:color="auto" w:fill="DAEEF3" w:themeFill="accent5" w:themeFillTint="33"/>
          </w:tcPr>
          <w:p w14:paraId="4874EA78" w14:textId="77777777" w:rsidR="006B7EED" w:rsidRPr="008160D8" w:rsidRDefault="006B7EED" w:rsidP="00A77D11">
            <w:pPr>
              <w:tabs>
                <w:tab w:val="left" w:pos="2119"/>
              </w:tabs>
              <w:rPr>
                <w:rFonts w:cstheme="minorHAnsi"/>
                <w:b/>
                <w:szCs w:val="22"/>
              </w:rPr>
            </w:pPr>
          </w:p>
          <w:p w14:paraId="4853C9DF" w14:textId="30E71DF9" w:rsidR="00A77D11" w:rsidRPr="008160D8" w:rsidRDefault="00A77D11" w:rsidP="00A77D11">
            <w:pPr>
              <w:tabs>
                <w:tab w:val="left" w:pos="2119"/>
              </w:tabs>
              <w:rPr>
                <w:rFonts w:cstheme="minorHAnsi"/>
                <w:szCs w:val="22"/>
              </w:rPr>
            </w:pPr>
            <w:r w:rsidRPr="008160D8">
              <w:rPr>
                <w:rFonts w:cstheme="minorHAnsi"/>
                <w:b/>
                <w:szCs w:val="22"/>
              </w:rPr>
              <w:t xml:space="preserve">Heading: </w:t>
            </w:r>
            <w:r w:rsidRPr="008160D8">
              <w:rPr>
                <w:rFonts w:cstheme="minorHAnsi"/>
                <w:b/>
                <w:szCs w:val="22"/>
              </w:rPr>
              <w:tab/>
            </w:r>
            <w:r w:rsidR="00FE4956" w:rsidRPr="008160D8">
              <w:rPr>
                <w:rFonts w:cstheme="minorHAnsi"/>
                <w:b/>
                <w:szCs w:val="22"/>
              </w:rPr>
              <w:t>Hiring a</w:t>
            </w:r>
            <w:r w:rsidR="0045424E" w:rsidRPr="008160D8">
              <w:rPr>
                <w:rFonts w:cstheme="minorHAnsi"/>
                <w:b/>
                <w:szCs w:val="22"/>
              </w:rPr>
              <w:t xml:space="preserve"> </w:t>
            </w:r>
            <w:r w:rsidR="00D54BA1" w:rsidRPr="008160D8">
              <w:rPr>
                <w:rFonts w:cstheme="minorHAnsi"/>
                <w:b/>
                <w:szCs w:val="22"/>
              </w:rPr>
              <w:t>national consultant</w:t>
            </w:r>
            <w:r w:rsidR="00466E2E">
              <w:rPr>
                <w:rFonts w:cstheme="minorHAnsi"/>
                <w:b/>
                <w:szCs w:val="22"/>
              </w:rPr>
              <w:t xml:space="preserve"> </w:t>
            </w:r>
            <w:r w:rsidR="00D54BA1" w:rsidRPr="008160D8">
              <w:rPr>
                <w:rFonts w:cstheme="minorHAnsi"/>
                <w:b/>
                <w:szCs w:val="22"/>
              </w:rPr>
              <w:t xml:space="preserve">to </w:t>
            </w:r>
            <w:r w:rsidR="00A20CDD">
              <w:rPr>
                <w:rFonts w:cstheme="minorHAnsi"/>
                <w:b/>
                <w:szCs w:val="22"/>
              </w:rPr>
              <w:t>conduct</w:t>
            </w:r>
            <w:r w:rsidR="00D54BA1" w:rsidRPr="008160D8">
              <w:rPr>
                <w:rFonts w:cstheme="minorHAnsi"/>
                <w:b/>
                <w:szCs w:val="22"/>
              </w:rPr>
              <w:t xml:space="preserve"> </w:t>
            </w:r>
            <w:r w:rsidR="00206217">
              <w:rPr>
                <w:rFonts w:cstheme="minorHAnsi"/>
                <w:b/>
                <w:szCs w:val="22"/>
              </w:rPr>
              <w:t>gender assessment o</w:t>
            </w:r>
            <w:r w:rsidR="00943BB2">
              <w:rPr>
                <w:rFonts w:cstheme="minorHAnsi"/>
                <w:b/>
                <w:szCs w:val="22"/>
              </w:rPr>
              <w:t>n</w:t>
            </w:r>
            <w:r w:rsidR="00206217">
              <w:rPr>
                <w:rFonts w:cstheme="minorHAnsi"/>
                <w:b/>
                <w:szCs w:val="22"/>
              </w:rPr>
              <w:t xml:space="preserve"> immunization services</w:t>
            </w:r>
          </w:p>
          <w:p w14:paraId="51744667" w14:textId="77777777" w:rsidR="00A77D11" w:rsidRPr="008160D8" w:rsidRDefault="00A77D11" w:rsidP="00A77D11">
            <w:pPr>
              <w:rPr>
                <w:rFonts w:cstheme="minorHAnsi"/>
                <w:szCs w:val="22"/>
              </w:rPr>
            </w:pPr>
          </w:p>
          <w:p w14:paraId="74BDC7D0" w14:textId="77777777" w:rsidR="00A77D11" w:rsidRPr="008160D8" w:rsidRDefault="00A77D11" w:rsidP="009A4320">
            <w:pPr>
              <w:tabs>
                <w:tab w:val="left" w:pos="2149"/>
              </w:tabs>
              <w:rPr>
                <w:rFonts w:cstheme="minorHAnsi"/>
                <w:szCs w:val="22"/>
              </w:rPr>
            </w:pPr>
            <w:r w:rsidRPr="008160D8">
              <w:rPr>
                <w:rFonts w:cstheme="minorHAnsi"/>
                <w:b/>
                <w:szCs w:val="22"/>
              </w:rPr>
              <w:t>Section in Charge</w:t>
            </w:r>
            <w:r w:rsidR="00577C34" w:rsidRPr="008160D8">
              <w:rPr>
                <w:rFonts w:cstheme="minorHAnsi"/>
                <w:szCs w:val="22"/>
              </w:rPr>
              <w:t xml:space="preserve">: </w:t>
            </w:r>
            <w:r w:rsidR="00577C34" w:rsidRPr="008160D8">
              <w:rPr>
                <w:rFonts w:cstheme="minorHAnsi"/>
                <w:szCs w:val="22"/>
              </w:rPr>
              <w:tab/>
              <w:t>Health and Nutrition</w:t>
            </w:r>
            <w:r w:rsidR="00943221" w:rsidRPr="008160D8">
              <w:rPr>
                <w:rFonts w:cstheme="minorHAnsi"/>
                <w:szCs w:val="22"/>
              </w:rPr>
              <w:t xml:space="preserve"> Section</w:t>
            </w:r>
          </w:p>
          <w:p w14:paraId="2FA77412" w14:textId="77777777" w:rsidR="00A77D11" w:rsidRPr="008160D8" w:rsidRDefault="00A77D11" w:rsidP="00A77D11">
            <w:pPr>
              <w:rPr>
                <w:rFonts w:cstheme="minorHAnsi"/>
                <w:szCs w:val="22"/>
              </w:rPr>
            </w:pPr>
          </w:p>
          <w:p w14:paraId="461C939B" w14:textId="36226DC2" w:rsidR="00573F45" w:rsidRPr="008160D8" w:rsidRDefault="00A77D11" w:rsidP="00573F45">
            <w:pPr>
              <w:autoSpaceDE w:val="0"/>
              <w:autoSpaceDN w:val="0"/>
              <w:adjustRightInd w:val="0"/>
              <w:spacing w:after="120"/>
              <w:rPr>
                <w:rFonts w:cstheme="minorHAnsi"/>
                <w:b/>
                <w:szCs w:val="22"/>
              </w:rPr>
            </w:pPr>
            <w:r w:rsidRPr="008160D8">
              <w:rPr>
                <w:rFonts w:cstheme="minorHAnsi"/>
                <w:b/>
                <w:szCs w:val="22"/>
              </w:rPr>
              <w:t>How does the consultancy relate to work plan:</w:t>
            </w:r>
          </w:p>
          <w:p w14:paraId="51577C92" w14:textId="77777777" w:rsidR="00FA381D" w:rsidRPr="008160D8" w:rsidRDefault="00FA381D" w:rsidP="00A77D11">
            <w:pPr>
              <w:tabs>
                <w:tab w:val="left" w:pos="-1080"/>
                <w:tab w:val="left" w:pos="-720"/>
                <w:tab w:val="left" w:pos="0"/>
                <w:tab w:val="left" w:pos="2119"/>
                <w:tab w:val="left" w:pos="2160"/>
                <w:tab w:val="left" w:pos="2520"/>
                <w:tab w:val="left" w:pos="3600"/>
              </w:tabs>
              <w:ind w:left="2119" w:hanging="2119"/>
              <w:rPr>
                <w:rFonts w:cstheme="minorHAnsi"/>
                <w:b/>
                <w:szCs w:val="22"/>
              </w:rPr>
            </w:pPr>
          </w:p>
          <w:p w14:paraId="2452D005" w14:textId="4A1320D6" w:rsidR="00470AEB" w:rsidRPr="008160D8" w:rsidRDefault="00A77D11" w:rsidP="00A77D11">
            <w:pPr>
              <w:tabs>
                <w:tab w:val="left" w:pos="-1080"/>
                <w:tab w:val="left" w:pos="-720"/>
                <w:tab w:val="left" w:pos="0"/>
                <w:tab w:val="left" w:pos="2119"/>
                <w:tab w:val="left" w:pos="2160"/>
                <w:tab w:val="left" w:pos="2520"/>
                <w:tab w:val="left" w:pos="3600"/>
              </w:tabs>
              <w:ind w:left="2119" w:hanging="2119"/>
              <w:rPr>
                <w:rFonts w:cstheme="minorHAnsi"/>
                <w:szCs w:val="22"/>
              </w:rPr>
            </w:pPr>
            <w:r w:rsidRPr="008160D8">
              <w:rPr>
                <w:rFonts w:cstheme="minorHAnsi"/>
                <w:b/>
                <w:szCs w:val="22"/>
              </w:rPr>
              <w:t>Outcome reference</w:t>
            </w:r>
            <w:r w:rsidRPr="008160D8">
              <w:rPr>
                <w:rFonts w:cstheme="minorHAnsi"/>
                <w:szCs w:val="22"/>
              </w:rPr>
              <w:t>:</w:t>
            </w:r>
          </w:p>
          <w:p w14:paraId="180327A3" w14:textId="77777777" w:rsidR="00BD1B5C" w:rsidRPr="008160D8" w:rsidRDefault="00BD1B5C" w:rsidP="00BD1B5C">
            <w:pPr>
              <w:tabs>
                <w:tab w:val="left" w:pos="949"/>
              </w:tabs>
              <w:ind w:left="859" w:hanging="859"/>
              <w:jc w:val="left"/>
              <w:rPr>
                <w:rFonts w:cstheme="minorHAnsi"/>
                <w:b/>
                <w:szCs w:val="22"/>
              </w:rPr>
            </w:pPr>
          </w:p>
          <w:p w14:paraId="4C144732" w14:textId="77777777" w:rsidR="00573F45" w:rsidRPr="008160D8" w:rsidRDefault="00FA381D" w:rsidP="00207EDF">
            <w:pPr>
              <w:tabs>
                <w:tab w:val="left" w:pos="859"/>
              </w:tabs>
              <w:ind w:left="859" w:hanging="859"/>
              <w:jc w:val="left"/>
              <w:rPr>
                <w:rFonts w:cstheme="minorHAnsi"/>
                <w:szCs w:val="22"/>
              </w:rPr>
            </w:pPr>
            <w:r w:rsidRPr="008160D8">
              <w:rPr>
                <w:rFonts w:cstheme="minorHAnsi"/>
                <w:b/>
                <w:szCs w:val="22"/>
              </w:rPr>
              <w:t>2</w:t>
            </w:r>
            <w:r w:rsidR="00573F45" w:rsidRPr="008160D8">
              <w:rPr>
                <w:rFonts w:cstheme="minorHAnsi"/>
                <w:b/>
                <w:szCs w:val="22"/>
              </w:rPr>
              <w:t>0</w:t>
            </w:r>
            <w:r w:rsidRPr="008160D8">
              <w:rPr>
                <w:rFonts w:cstheme="minorHAnsi"/>
                <w:b/>
                <w:szCs w:val="22"/>
              </w:rPr>
              <w:t>1</w:t>
            </w:r>
            <w:r w:rsidR="00573F45" w:rsidRPr="008160D8">
              <w:rPr>
                <w:rFonts w:cstheme="minorHAnsi"/>
                <w:b/>
                <w:szCs w:val="22"/>
              </w:rPr>
              <w:t xml:space="preserve">: </w:t>
            </w:r>
            <w:r w:rsidR="003E1A58" w:rsidRPr="008160D8">
              <w:rPr>
                <w:rFonts w:cstheme="minorHAnsi"/>
                <w:b/>
                <w:szCs w:val="22"/>
              </w:rPr>
              <w:tab/>
            </w:r>
            <w:r w:rsidRPr="008160D8">
              <w:rPr>
                <w:rFonts w:cstheme="minorHAnsi"/>
                <w:szCs w:val="22"/>
              </w:rPr>
              <w:t>By 2022, more children under 5 and women of reproductive age equitably access and utilize evidence-based health, HIV &amp; nutrition interventions, including adoption of key behaviours, especially among vulnerable populations in most deprived states/regions, conflict-affected and peri-urban areas.</w:t>
            </w:r>
          </w:p>
          <w:p w14:paraId="40FC1EBC" w14:textId="77777777" w:rsidR="00062804" w:rsidRPr="008160D8" w:rsidRDefault="00062804" w:rsidP="00A77D11">
            <w:pPr>
              <w:tabs>
                <w:tab w:val="left" w:pos="-1080"/>
                <w:tab w:val="left" w:pos="-720"/>
                <w:tab w:val="left" w:pos="0"/>
                <w:tab w:val="left" w:pos="2119"/>
                <w:tab w:val="left" w:pos="2160"/>
                <w:tab w:val="left" w:pos="2520"/>
                <w:tab w:val="left" w:pos="3600"/>
              </w:tabs>
              <w:ind w:left="2119" w:hanging="2119"/>
              <w:rPr>
                <w:rFonts w:cstheme="minorHAnsi"/>
                <w:b/>
                <w:szCs w:val="22"/>
              </w:rPr>
            </w:pPr>
          </w:p>
          <w:p w14:paraId="2333D669" w14:textId="77777777" w:rsidR="00470AEB" w:rsidRPr="008160D8" w:rsidRDefault="00A77D11" w:rsidP="00A77D11">
            <w:pPr>
              <w:tabs>
                <w:tab w:val="left" w:pos="-1080"/>
                <w:tab w:val="left" w:pos="-720"/>
                <w:tab w:val="left" w:pos="0"/>
                <w:tab w:val="left" w:pos="2119"/>
                <w:tab w:val="left" w:pos="2160"/>
                <w:tab w:val="left" w:pos="2520"/>
                <w:tab w:val="left" w:pos="3600"/>
              </w:tabs>
              <w:ind w:left="2119" w:hanging="2119"/>
              <w:rPr>
                <w:rFonts w:cstheme="minorHAnsi"/>
                <w:szCs w:val="22"/>
              </w:rPr>
            </w:pPr>
            <w:r w:rsidRPr="008160D8">
              <w:rPr>
                <w:rFonts w:cstheme="minorHAnsi"/>
                <w:b/>
                <w:szCs w:val="22"/>
              </w:rPr>
              <w:t>Output reference</w:t>
            </w:r>
            <w:r w:rsidRPr="008160D8">
              <w:rPr>
                <w:rFonts w:cstheme="minorHAnsi"/>
                <w:szCs w:val="22"/>
              </w:rPr>
              <w:t xml:space="preserve">:  </w:t>
            </w:r>
            <w:r w:rsidRPr="008160D8">
              <w:rPr>
                <w:rFonts w:cstheme="minorHAnsi"/>
                <w:szCs w:val="22"/>
              </w:rPr>
              <w:tab/>
            </w:r>
          </w:p>
          <w:p w14:paraId="16B531E5" w14:textId="77777777" w:rsidR="00FE4956" w:rsidRPr="008160D8" w:rsidRDefault="00FE4956" w:rsidP="00207EDF">
            <w:pPr>
              <w:tabs>
                <w:tab w:val="left" w:pos="-1080"/>
                <w:tab w:val="left" w:pos="-720"/>
                <w:tab w:val="left" w:pos="859"/>
                <w:tab w:val="left" w:pos="2520"/>
                <w:tab w:val="left" w:pos="3600"/>
              </w:tabs>
              <w:ind w:left="859" w:hanging="859"/>
              <w:rPr>
                <w:rFonts w:cstheme="minorHAnsi"/>
                <w:b/>
                <w:szCs w:val="22"/>
              </w:rPr>
            </w:pPr>
          </w:p>
          <w:p w14:paraId="4047D710" w14:textId="77777777" w:rsidR="00FA381D" w:rsidRPr="008160D8" w:rsidRDefault="00FA381D" w:rsidP="00FA381D">
            <w:pPr>
              <w:ind w:left="883" w:hanging="883"/>
              <w:contextualSpacing/>
              <w:jc w:val="left"/>
              <w:rPr>
                <w:rFonts w:cstheme="minorHAnsi"/>
                <w:szCs w:val="22"/>
              </w:rPr>
            </w:pPr>
            <w:r w:rsidRPr="008160D8">
              <w:rPr>
                <w:rFonts w:cstheme="minorHAnsi"/>
                <w:b/>
                <w:szCs w:val="22"/>
              </w:rPr>
              <w:t>2</w:t>
            </w:r>
            <w:r w:rsidR="00943221" w:rsidRPr="008160D8">
              <w:rPr>
                <w:rFonts w:cstheme="minorHAnsi"/>
                <w:b/>
                <w:szCs w:val="22"/>
              </w:rPr>
              <w:t>0</w:t>
            </w:r>
            <w:r w:rsidRPr="008160D8">
              <w:rPr>
                <w:rFonts w:cstheme="minorHAnsi"/>
                <w:b/>
                <w:szCs w:val="22"/>
              </w:rPr>
              <w:t>1</w:t>
            </w:r>
            <w:r w:rsidR="00943221" w:rsidRPr="008160D8">
              <w:rPr>
                <w:rFonts w:cstheme="minorHAnsi"/>
                <w:b/>
                <w:szCs w:val="22"/>
              </w:rPr>
              <w:t>.00</w:t>
            </w:r>
            <w:r w:rsidRPr="008160D8">
              <w:rPr>
                <w:rFonts w:cstheme="minorHAnsi"/>
                <w:b/>
                <w:szCs w:val="22"/>
              </w:rPr>
              <w:t>5</w:t>
            </w:r>
            <w:r w:rsidR="00062804" w:rsidRPr="008160D8">
              <w:rPr>
                <w:rFonts w:cstheme="minorHAnsi"/>
                <w:szCs w:val="22"/>
              </w:rPr>
              <w:t>:</w:t>
            </w:r>
            <w:r w:rsidR="00943221" w:rsidRPr="008160D8">
              <w:rPr>
                <w:rFonts w:cstheme="minorHAnsi"/>
                <w:szCs w:val="22"/>
              </w:rPr>
              <w:t xml:space="preserve"> </w:t>
            </w:r>
            <w:r w:rsidRPr="008160D8">
              <w:rPr>
                <w:rFonts w:cstheme="minorHAnsi"/>
                <w:szCs w:val="22"/>
              </w:rPr>
              <w:t>Output 005 – By 2022, caregivers, family members, communities and institutions, particularly in the four most deprived states/regions, have increased knowledge and skills to practice appropriate child care, hygiene, feeding, dietary, early stimulation, injury and violence prevention during critical periods of growth and development and to demand quality health and nutrition services.</w:t>
            </w:r>
          </w:p>
          <w:p w14:paraId="1F12557C" w14:textId="77777777" w:rsidR="002800AA" w:rsidRPr="008160D8" w:rsidRDefault="002800AA" w:rsidP="00207EDF">
            <w:pPr>
              <w:tabs>
                <w:tab w:val="left" w:pos="-1080"/>
                <w:tab w:val="left" w:pos="-720"/>
                <w:tab w:val="left" w:pos="859"/>
                <w:tab w:val="left" w:pos="2520"/>
                <w:tab w:val="left" w:pos="3600"/>
              </w:tabs>
              <w:ind w:left="859" w:hanging="859"/>
              <w:rPr>
                <w:rFonts w:cstheme="minorHAnsi"/>
                <w:szCs w:val="22"/>
              </w:rPr>
            </w:pPr>
          </w:p>
          <w:p w14:paraId="74C97A89" w14:textId="77777777" w:rsidR="007B1129" w:rsidRPr="008160D8" w:rsidRDefault="007B1129" w:rsidP="007B1129">
            <w:pPr>
              <w:tabs>
                <w:tab w:val="left" w:pos="-1080"/>
                <w:tab w:val="left" w:pos="-720"/>
                <w:tab w:val="left" w:pos="0"/>
                <w:tab w:val="left" w:pos="2119"/>
                <w:tab w:val="left" w:pos="2160"/>
                <w:tab w:val="left" w:pos="2520"/>
                <w:tab w:val="left" w:pos="3600"/>
              </w:tabs>
              <w:ind w:left="2119" w:hanging="2119"/>
              <w:rPr>
                <w:rFonts w:cstheme="minorHAnsi"/>
                <w:b/>
                <w:szCs w:val="22"/>
              </w:rPr>
            </w:pPr>
            <w:r w:rsidRPr="008160D8">
              <w:rPr>
                <w:rFonts w:cstheme="minorHAnsi"/>
                <w:b/>
                <w:szCs w:val="22"/>
              </w:rPr>
              <w:t>Activity reference:</w:t>
            </w:r>
          </w:p>
          <w:p w14:paraId="706EDADE" w14:textId="77777777" w:rsidR="00FE4956" w:rsidRPr="008160D8" w:rsidRDefault="00FE4956" w:rsidP="00B333FF">
            <w:pPr>
              <w:tabs>
                <w:tab w:val="left" w:pos="-1080"/>
                <w:tab w:val="left" w:pos="-720"/>
                <w:tab w:val="left" w:pos="0"/>
                <w:tab w:val="left" w:pos="1309"/>
                <w:tab w:val="left" w:pos="2520"/>
                <w:tab w:val="left" w:pos="3600"/>
              </w:tabs>
              <w:ind w:left="1309" w:hanging="1309"/>
              <w:rPr>
                <w:rFonts w:cstheme="minorHAnsi"/>
                <w:b/>
                <w:szCs w:val="22"/>
              </w:rPr>
            </w:pPr>
          </w:p>
          <w:p w14:paraId="67CF75A6" w14:textId="05B7E697" w:rsidR="00207EDF" w:rsidRPr="008160D8" w:rsidRDefault="00FA381D" w:rsidP="00CD0FDA">
            <w:pPr>
              <w:tabs>
                <w:tab w:val="left" w:pos="-1080"/>
                <w:tab w:val="left" w:pos="-720"/>
                <w:tab w:val="left" w:pos="0"/>
                <w:tab w:val="left" w:pos="1309"/>
                <w:tab w:val="left" w:pos="2520"/>
                <w:tab w:val="left" w:pos="3600"/>
              </w:tabs>
              <w:ind w:left="1309" w:hanging="1309"/>
              <w:rPr>
                <w:rFonts w:cstheme="minorHAnsi"/>
                <w:szCs w:val="22"/>
              </w:rPr>
            </w:pPr>
            <w:r w:rsidRPr="008160D8">
              <w:rPr>
                <w:rFonts w:cstheme="minorHAnsi"/>
                <w:b/>
                <w:szCs w:val="22"/>
              </w:rPr>
              <w:t>2</w:t>
            </w:r>
            <w:r w:rsidR="007B1129" w:rsidRPr="008160D8">
              <w:rPr>
                <w:rFonts w:cstheme="minorHAnsi"/>
                <w:b/>
                <w:szCs w:val="22"/>
              </w:rPr>
              <w:t>0</w:t>
            </w:r>
            <w:r w:rsidRPr="008160D8">
              <w:rPr>
                <w:rFonts w:cstheme="minorHAnsi"/>
                <w:b/>
                <w:szCs w:val="22"/>
              </w:rPr>
              <w:t>1</w:t>
            </w:r>
            <w:r w:rsidR="007B1129" w:rsidRPr="008160D8">
              <w:rPr>
                <w:rFonts w:cstheme="minorHAnsi"/>
                <w:b/>
                <w:szCs w:val="22"/>
              </w:rPr>
              <w:t>.00</w:t>
            </w:r>
            <w:r w:rsidRPr="008160D8">
              <w:rPr>
                <w:rFonts w:cstheme="minorHAnsi"/>
                <w:b/>
                <w:szCs w:val="22"/>
              </w:rPr>
              <w:t>5</w:t>
            </w:r>
            <w:r w:rsidR="007B1129" w:rsidRPr="008160D8">
              <w:rPr>
                <w:rFonts w:cstheme="minorHAnsi"/>
                <w:b/>
                <w:szCs w:val="22"/>
              </w:rPr>
              <w:t>.0</w:t>
            </w:r>
            <w:r w:rsidR="009A3796">
              <w:rPr>
                <w:rFonts w:cstheme="minorHAnsi"/>
                <w:b/>
                <w:szCs w:val="22"/>
              </w:rPr>
              <w:t>1</w:t>
            </w:r>
            <w:r w:rsidR="00DE3F7B">
              <w:rPr>
                <w:rFonts w:cstheme="minorHAnsi"/>
                <w:b/>
                <w:szCs w:val="22"/>
              </w:rPr>
              <w:t>9</w:t>
            </w:r>
            <w:r w:rsidR="007B1129" w:rsidRPr="008160D8">
              <w:rPr>
                <w:rFonts w:cstheme="minorHAnsi"/>
                <w:b/>
                <w:szCs w:val="22"/>
              </w:rPr>
              <w:t>:</w:t>
            </w:r>
            <w:r w:rsidR="007B1129" w:rsidRPr="008160D8">
              <w:rPr>
                <w:rFonts w:cstheme="minorHAnsi"/>
                <w:szCs w:val="22"/>
              </w:rPr>
              <w:t xml:space="preserve"> </w:t>
            </w:r>
            <w:r w:rsidR="00A148F4">
              <w:rPr>
                <w:rFonts w:cstheme="minorHAnsi"/>
                <w:szCs w:val="22"/>
              </w:rPr>
              <w:t xml:space="preserve"> </w:t>
            </w:r>
            <w:r w:rsidR="00A148F4" w:rsidRPr="00A148F4">
              <w:t>Support evidence generation on social and behavio</w:t>
            </w:r>
            <w:r w:rsidR="00A148F4">
              <w:t>u</w:t>
            </w:r>
            <w:r w:rsidR="00A148F4" w:rsidRPr="00A148F4">
              <w:t xml:space="preserve">ral determinants of health at national and sub-national level </w:t>
            </w:r>
            <w:r w:rsidR="00DE3F7B">
              <w:t>(Nay-Pyi-Taw)</w:t>
            </w:r>
          </w:p>
          <w:p w14:paraId="1CE15D04" w14:textId="77777777" w:rsidR="00CC62E2" w:rsidRPr="008160D8" w:rsidRDefault="00CC62E2" w:rsidP="00CD0FDA">
            <w:pPr>
              <w:tabs>
                <w:tab w:val="left" w:pos="-1080"/>
                <w:tab w:val="left" w:pos="-720"/>
                <w:tab w:val="left" w:pos="0"/>
                <w:tab w:val="left" w:pos="1309"/>
                <w:tab w:val="left" w:pos="2520"/>
                <w:tab w:val="left" w:pos="3600"/>
              </w:tabs>
              <w:ind w:left="1309" w:hanging="1309"/>
              <w:rPr>
                <w:rFonts w:cstheme="minorHAnsi"/>
                <w:szCs w:val="22"/>
              </w:rPr>
            </w:pPr>
          </w:p>
        </w:tc>
      </w:tr>
      <w:tr w:rsidR="005077B5" w:rsidRPr="008160D8" w14:paraId="37580E04" w14:textId="77777777" w:rsidTr="0041561B">
        <w:trPr>
          <w:trHeight w:val="1075"/>
        </w:trPr>
        <w:tc>
          <w:tcPr>
            <w:tcW w:w="9990" w:type="dxa"/>
          </w:tcPr>
          <w:p w14:paraId="1F0D512E" w14:textId="77777777" w:rsidR="0073747E" w:rsidRPr="008160D8" w:rsidRDefault="0073747E" w:rsidP="0073747E">
            <w:pPr>
              <w:pStyle w:val="ListParagraph"/>
              <w:numPr>
                <w:ilvl w:val="0"/>
                <w:numId w:val="1"/>
              </w:numPr>
              <w:spacing w:before="0" w:after="0"/>
              <w:ind w:left="346" w:hanging="346"/>
              <w:rPr>
                <w:rFonts w:cstheme="minorHAnsi"/>
                <w:szCs w:val="22"/>
              </w:rPr>
            </w:pPr>
            <w:r w:rsidRPr="008160D8">
              <w:rPr>
                <w:rFonts w:cstheme="minorHAnsi"/>
                <w:szCs w:val="22"/>
              </w:rPr>
              <w:t>Background:</w:t>
            </w:r>
          </w:p>
          <w:p w14:paraId="5CF015E5" w14:textId="77777777" w:rsidR="0073747E" w:rsidRDefault="0073747E" w:rsidP="0073747E">
            <w:pPr>
              <w:rPr>
                <w:rFonts w:cstheme="minorHAnsi"/>
                <w:szCs w:val="22"/>
              </w:rPr>
            </w:pPr>
          </w:p>
          <w:p w14:paraId="7ADCD3D2" w14:textId="74B02766" w:rsidR="00545092" w:rsidRDefault="00507D85" w:rsidP="00507D85">
            <w:pPr>
              <w:rPr>
                <w:szCs w:val="22"/>
              </w:rPr>
            </w:pPr>
            <w:r>
              <w:rPr>
                <w:szCs w:val="22"/>
              </w:rPr>
              <w:t>Immunization is the most cost-effective and efficient way to control and eliminate vaccine-preventable diseases that contribute significantly to childhood morbidity and mortality. In Myanmar, the Expanded Programme of Immunization (EPI) started in 1978, and since then, has gradually increased the number of vaccines required by children under the age of 1 year. Despite expansion of the EPI programme and significant advances in routine immunization, just over 50% of children aged 12 to 23 months receive all basic vaccinations, with 8% not receiving any vaccination at all.</w:t>
            </w:r>
            <w:r>
              <w:rPr>
                <w:rStyle w:val="FootnoteReference"/>
                <w:szCs w:val="22"/>
              </w:rPr>
              <w:footnoteReference w:id="1"/>
            </w:r>
            <w:r>
              <w:rPr>
                <w:szCs w:val="22"/>
              </w:rPr>
              <w:t xml:space="preserve"> Disparities exist across the country, with basic vaccination coverage ranging from as low as 34% in Ayeyarwady Region, to 81% in Mandalay Region. In general terms, children who are less likely to be fully immunized, are those living in hard-to-reach locations, in conflict affected areas, in rural settings, those who come from lower welfare quintile families, and those whose mothers are less educated. Demographic and Health Survey (DHS) data indicates slight differences in coverage exist between boys and girls, with boys being more likely to be fully immunized than girls (58% and 51% respectively). </w:t>
            </w:r>
            <w:r w:rsidRPr="00507D85">
              <w:rPr>
                <w:szCs w:val="22"/>
              </w:rPr>
              <w:t xml:space="preserve">With respect to maternal education, children of mothers with higher education (more than secondary) received all basic immunisation with 80 % while only 41 % of children of mothers with no education received all basic immunisation. </w:t>
            </w:r>
          </w:p>
          <w:p w14:paraId="7F6E2008" w14:textId="77777777" w:rsidR="00545092" w:rsidRDefault="00545092" w:rsidP="00507D85">
            <w:pPr>
              <w:rPr>
                <w:szCs w:val="22"/>
              </w:rPr>
            </w:pPr>
          </w:p>
          <w:p w14:paraId="3CF80453" w14:textId="1A52B1F5" w:rsidR="00545092" w:rsidRDefault="00545092" w:rsidP="00545092">
            <w:pPr>
              <w:rPr>
                <w:szCs w:val="22"/>
                <w:lang w:val="en-CA"/>
              </w:rPr>
            </w:pPr>
            <w:r>
              <w:rPr>
                <w:szCs w:val="22"/>
                <w:lang w:val="en-CA"/>
              </w:rPr>
              <w:t xml:space="preserve">UNICEF Myanmar is supporting the </w:t>
            </w:r>
            <w:r w:rsidR="00750951">
              <w:rPr>
                <w:szCs w:val="22"/>
                <w:lang w:val="en-CA"/>
              </w:rPr>
              <w:t>c</w:t>
            </w:r>
            <w:r>
              <w:rPr>
                <w:szCs w:val="22"/>
                <w:lang w:val="en-CA"/>
              </w:rPr>
              <w:t>EPI on strengthening national capacity on developing and implementation of gender-sensitive immunization</w:t>
            </w:r>
            <w:r w:rsidR="001A6CAA">
              <w:rPr>
                <w:szCs w:val="22"/>
                <w:lang w:val="en-CA"/>
              </w:rPr>
              <w:t xml:space="preserve"> services</w:t>
            </w:r>
            <w:r>
              <w:rPr>
                <w:szCs w:val="22"/>
                <w:lang w:val="en-CA"/>
              </w:rPr>
              <w:t xml:space="preserve">. </w:t>
            </w:r>
            <w:r w:rsidR="00507D85">
              <w:rPr>
                <w:szCs w:val="22"/>
                <w:lang w:val="en-CA"/>
              </w:rPr>
              <w:t xml:space="preserve">The purpose </w:t>
            </w:r>
            <w:r>
              <w:rPr>
                <w:szCs w:val="22"/>
                <w:lang w:val="en-CA"/>
              </w:rPr>
              <w:t>this consultancy is</w:t>
            </w:r>
            <w:r w:rsidR="00507D85">
              <w:rPr>
                <w:szCs w:val="22"/>
                <w:lang w:val="en-CA"/>
              </w:rPr>
              <w:t xml:space="preserve"> to </w:t>
            </w:r>
            <w:r>
              <w:rPr>
                <w:szCs w:val="22"/>
                <w:lang w:val="en-CA"/>
              </w:rPr>
              <w:t xml:space="preserve">assess existing literature, studies and data on the gender sensitivity around health seeking behaviors and norms in Myanmar </w:t>
            </w:r>
            <w:r w:rsidR="00507D85">
              <w:rPr>
                <w:szCs w:val="22"/>
                <w:lang w:val="en-CA"/>
              </w:rPr>
              <w:t xml:space="preserve">that can effectively inform </w:t>
            </w:r>
            <w:r w:rsidR="001A6CAA">
              <w:rPr>
                <w:szCs w:val="22"/>
                <w:lang w:val="en-CA"/>
              </w:rPr>
              <w:t xml:space="preserve">gender </w:t>
            </w:r>
            <w:r w:rsidR="00206217">
              <w:rPr>
                <w:szCs w:val="22"/>
                <w:lang w:val="en-CA"/>
              </w:rPr>
              <w:t xml:space="preserve">sensitive, </w:t>
            </w:r>
            <w:r w:rsidR="001A6CAA">
              <w:rPr>
                <w:szCs w:val="22"/>
                <w:lang w:val="en-CA"/>
              </w:rPr>
              <w:t xml:space="preserve">responsive </w:t>
            </w:r>
            <w:r w:rsidR="00206217">
              <w:rPr>
                <w:szCs w:val="22"/>
                <w:lang w:val="en-CA"/>
              </w:rPr>
              <w:t xml:space="preserve">and transformative </w:t>
            </w:r>
            <w:r w:rsidR="00507D85">
              <w:rPr>
                <w:szCs w:val="22"/>
                <w:lang w:val="en-CA"/>
              </w:rPr>
              <w:t>communication strategies for routine immunization</w:t>
            </w:r>
            <w:r w:rsidR="00206217">
              <w:rPr>
                <w:szCs w:val="22"/>
                <w:lang w:val="en-CA"/>
              </w:rPr>
              <w:t xml:space="preserve"> services</w:t>
            </w:r>
            <w:r w:rsidR="00507D85">
              <w:rPr>
                <w:szCs w:val="22"/>
                <w:lang w:val="en-CA"/>
              </w:rPr>
              <w:t xml:space="preserve">. The </w:t>
            </w:r>
            <w:r>
              <w:rPr>
                <w:szCs w:val="22"/>
                <w:lang w:val="en-CA"/>
              </w:rPr>
              <w:t>consultant</w:t>
            </w:r>
            <w:r w:rsidR="00507D85">
              <w:rPr>
                <w:szCs w:val="22"/>
                <w:lang w:val="en-CA"/>
              </w:rPr>
              <w:t xml:space="preserve"> will be responsible </w:t>
            </w:r>
            <w:r w:rsidR="008153BE">
              <w:rPr>
                <w:szCs w:val="22"/>
                <w:lang w:val="en-CA"/>
              </w:rPr>
              <w:t xml:space="preserve">to conduct an assessment addressing 1) </w:t>
            </w:r>
            <w:r w:rsidRPr="00545092">
              <w:rPr>
                <w:szCs w:val="22"/>
                <w:lang w:val="en-CA"/>
              </w:rPr>
              <w:t>What is the extent to which various components (</w:t>
            </w:r>
            <w:r w:rsidR="008153BE">
              <w:rPr>
                <w:szCs w:val="22"/>
                <w:lang w:val="en-CA"/>
              </w:rPr>
              <w:t>guidelines, SOPs, training curriculums, communication interventions and materials</w:t>
            </w:r>
            <w:r w:rsidRPr="00545092">
              <w:rPr>
                <w:szCs w:val="22"/>
                <w:lang w:val="en-CA"/>
              </w:rPr>
              <w:t xml:space="preserve">) of </w:t>
            </w:r>
            <w:r w:rsidR="008153BE">
              <w:rPr>
                <w:szCs w:val="22"/>
                <w:lang w:val="en-CA"/>
              </w:rPr>
              <w:t>public health services particularly immunization services</w:t>
            </w:r>
            <w:r w:rsidRPr="00545092">
              <w:rPr>
                <w:szCs w:val="22"/>
                <w:lang w:val="en-CA"/>
              </w:rPr>
              <w:t xml:space="preserve"> address gender issues?</w:t>
            </w:r>
            <w:r w:rsidR="008153BE">
              <w:rPr>
                <w:szCs w:val="22"/>
                <w:lang w:val="en-CA"/>
              </w:rPr>
              <w:t xml:space="preserve"> 2)</w:t>
            </w:r>
            <w:r w:rsidRPr="00545092">
              <w:rPr>
                <w:szCs w:val="22"/>
                <w:lang w:val="en-CA"/>
              </w:rPr>
              <w:t xml:space="preserve"> How </w:t>
            </w:r>
            <w:r w:rsidR="001A6CAA">
              <w:rPr>
                <w:szCs w:val="22"/>
                <w:lang w:val="en-CA"/>
              </w:rPr>
              <w:t xml:space="preserve">is the </w:t>
            </w:r>
            <w:r w:rsidR="00CD1F1E">
              <w:rPr>
                <w:szCs w:val="22"/>
                <w:lang w:val="en-CA"/>
              </w:rPr>
              <w:t xml:space="preserve">public </w:t>
            </w:r>
            <w:r w:rsidR="008153BE">
              <w:rPr>
                <w:szCs w:val="22"/>
                <w:lang w:val="en-CA"/>
              </w:rPr>
              <w:t>health</w:t>
            </w:r>
            <w:r w:rsidRPr="00545092">
              <w:rPr>
                <w:szCs w:val="22"/>
                <w:lang w:val="en-CA"/>
              </w:rPr>
              <w:t xml:space="preserve"> system preparing prospective </w:t>
            </w:r>
            <w:r w:rsidR="008153BE">
              <w:rPr>
                <w:szCs w:val="22"/>
                <w:lang w:val="en-CA"/>
              </w:rPr>
              <w:t>health care workers</w:t>
            </w:r>
            <w:r w:rsidRPr="00545092">
              <w:rPr>
                <w:szCs w:val="22"/>
                <w:lang w:val="en-CA"/>
              </w:rPr>
              <w:t xml:space="preserve"> to be gender</w:t>
            </w:r>
            <w:r w:rsidR="008153BE">
              <w:rPr>
                <w:szCs w:val="22"/>
                <w:lang w:val="en-CA"/>
              </w:rPr>
              <w:t xml:space="preserve"> </w:t>
            </w:r>
            <w:r w:rsidRPr="00545092">
              <w:rPr>
                <w:szCs w:val="22"/>
                <w:lang w:val="en-CA"/>
              </w:rPr>
              <w:t xml:space="preserve">sensitive and responsive? </w:t>
            </w:r>
            <w:r w:rsidR="001A6CAA">
              <w:rPr>
                <w:szCs w:val="22"/>
                <w:lang w:val="en-CA"/>
              </w:rPr>
              <w:t>3</w:t>
            </w:r>
            <w:r w:rsidR="008153BE">
              <w:rPr>
                <w:szCs w:val="22"/>
                <w:lang w:val="en-CA"/>
              </w:rPr>
              <w:t>)</w:t>
            </w:r>
            <w:r w:rsidRPr="00545092">
              <w:rPr>
                <w:szCs w:val="22"/>
                <w:lang w:val="en-CA"/>
              </w:rPr>
              <w:t xml:space="preserve"> </w:t>
            </w:r>
            <w:r w:rsidRPr="00545092">
              <w:rPr>
                <w:szCs w:val="22"/>
                <w:lang w:val="en-CA"/>
              </w:rPr>
              <w:lastRenderedPageBreak/>
              <w:t>What, if any, are the types of gender discrimination, gender biases/stereotyping, or</w:t>
            </w:r>
            <w:r w:rsidR="008153BE">
              <w:rPr>
                <w:szCs w:val="22"/>
                <w:lang w:val="en-CA"/>
              </w:rPr>
              <w:t xml:space="preserve"> </w:t>
            </w:r>
            <w:r w:rsidRPr="00545092">
              <w:rPr>
                <w:szCs w:val="22"/>
                <w:lang w:val="en-CA"/>
              </w:rPr>
              <w:t xml:space="preserve">gender inequality that exist in </w:t>
            </w:r>
            <w:r w:rsidR="008153BE">
              <w:rPr>
                <w:szCs w:val="22"/>
                <w:lang w:val="en-CA"/>
              </w:rPr>
              <w:t>health</w:t>
            </w:r>
            <w:r w:rsidRPr="00545092">
              <w:rPr>
                <w:szCs w:val="22"/>
                <w:lang w:val="en-CA"/>
              </w:rPr>
              <w:t xml:space="preserve"> system hindering the promotion of</w:t>
            </w:r>
            <w:r w:rsidR="001A6CAA">
              <w:rPr>
                <w:szCs w:val="22"/>
                <w:lang w:val="en-CA"/>
              </w:rPr>
              <w:t xml:space="preserve"> </w:t>
            </w:r>
            <w:r w:rsidRPr="00545092">
              <w:rPr>
                <w:szCs w:val="22"/>
                <w:lang w:val="en-CA"/>
              </w:rPr>
              <w:t>gender equality?</w:t>
            </w:r>
            <w:r w:rsidR="001A6CAA">
              <w:rPr>
                <w:szCs w:val="22"/>
                <w:lang w:val="en-CA"/>
              </w:rPr>
              <w:t xml:space="preserve"> 4) </w:t>
            </w:r>
            <w:r w:rsidR="001A6CAA" w:rsidRPr="00545092">
              <w:rPr>
                <w:szCs w:val="22"/>
                <w:lang w:val="en-CA"/>
              </w:rPr>
              <w:t>What are examples of good practices promoting gender</w:t>
            </w:r>
            <w:r w:rsidR="001A6CAA">
              <w:rPr>
                <w:szCs w:val="22"/>
                <w:lang w:val="en-CA"/>
              </w:rPr>
              <w:t xml:space="preserve"> </w:t>
            </w:r>
            <w:r w:rsidR="001A6CAA" w:rsidRPr="00545092">
              <w:rPr>
                <w:szCs w:val="22"/>
                <w:lang w:val="en-CA"/>
              </w:rPr>
              <w:t>equality in</w:t>
            </w:r>
            <w:r w:rsidR="00CD1F1E">
              <w:rPr>
                <w:szCs w:val="22"/>
                <w:lang w:val="en-CA"/>
              </w:rPr>
              <w:t xml:space="preserve"> the public</w:t>
            </w:r>
            <w:r w:rsidR="00865A89">
              <w:rPr>
                <w:szCs w:val="22"/>
                <w:lang w:val="en-CA"/>
              </w:rPr>
              <w:t xml:space="preserve"> health system and </w:t>
            </w:r>
            <w:r w:rsidR="001A6CAA">
              <w:rPr>
                <w:szCs w:val="22"/>
                <w:lang w:val="en-CA"/>
              </w:rPr>
              <w:t>immunization program</w:t>
            </w:r>
            <w:r w:rsidR="001A6CAA" w:rsidRPr="00545092">
              <w:rPr>
                <w:szCs w:val="22"/>
                <w:lang w:val="en-CA"/>
              </w:rPr>
              <w:t>?</w:t>
            </w:r>
            <w:r w:rsidR="001A6CAA">
              <w:rPr>
                <w:szCs w:val="22"/>
                <w:lang w:val="en-CA"/>
              </w:rPr>
              <w:t xml:space="preserve"> 5)</w:t>
            </w:r>
            <w:r w:rsidRPr="00545092">
              <w:rPr>
                <w:szCs w:val="22"/>
                <w:lang w:val="en-CA"/>
              </w:rPr>
              <w:t xml:space="preserve"> What lessons can be learned in order to improve the gender sensitivity and</w:t>
            </w:r>
            <w:r w:rsidR="00206217">
              <w:rPr>
                <w:szCs w:val="22"/>
                <w:lang w:val="en-CA"/>
              </w:rPr>
              <w:t xml:space="preserve"> </w:t>
            </w:r>
            <w:r w:rsidRPr="00545092">
              <w:rPr>
                <w:szCs w:val="22"/>
                <w:lang w:val="en-CA"/>
              </w:rPr>
              <w:t xml:space="preserve">responsiveness of </w:t>
            </w:r>
            <w:r w:rsidR="001A6CAA">
              <w:rPr>
                <w:szCs w:val="22"/>
                <w:lang w:val="en-CA"/>
              </w:rPr>
              <w:t>immunization program</w:t>
            </w:r>
            <w:r w:rsidRPr="00545092">
              <w:rPr>
                <w:szCs w:val="22"/>
                <w:lang w:val="en-CA"/>
              </w:rPr>
              <w:t>?</w:t>
            </w:r>
            <w:r w:rsidR="001A6CAA">
              <w:rPr>
                <w:szCs w:val="22"/>
                <w:lang w:val="en-CA"/>
              </w:rPr>
              <w:t xml:space="preserve"> </w:t>
            </w:r>
          </w:p>
          <w:p w14:paraId="003F399A" w14:textId="77777777" w:rsidR="00507D85" w:rsidRDefault="00507D85" w:rsidP="00507D85">
            <w:pPr>
              <w:rPr>
                <w:szCs w:val="22"/>
                <w:lang w:val="en-CA"/>
              </w:rPr>
            </w:pPr>
          </w:p>
          <w:p w14:paraId="477D816E" w14:textId="77777777" w:rsidR="0073747E" w:rsidRDefault="0073747E" w:rsidP="0073747E">
            <w:pPr>
              <w:rPr>
                <w:rFonts w:cstheme="minorHAnsi"/>
                <w:b/>
                <w:szCs w:val="22"/>
              </w:rPr>
            </w:pPr>
            <w:r w:rsidRPr="008160D8">
              <w:rPr>
                <w:rFonts w:cstheme="minorHAnsi"/>
                <w:b/>
                <w:szCs w:val="22"/>
              </w:rPr>
              <w:t>Purpose</w:t>
            </w:r>
            <w:r>
              <w:rPr>
                <w:rFonts w:cstheme="minorHAnsi"/>
                <w:b/>
                <w:szCs w:val="22"/>
              </w:rPr>
              <w:t xml:space="preserve"> of the Consultancy</w:t>
            </w:r>
          </w:p>
          <w:p w14:paraId="34DB4409" w14:textId="77777777" w:rsidR="0073747E" w:rsidRPr="008160D8" w:rsidRDefault="0073747E" w:rsidP="0073747E">
            <w:pPr>
              <w:rPr>
                <w:rFonts w:cstheme="minorHAnsi"/>
                <w:b/>
                <w:szCs w:val="22"/>
              </w:rPr>
            </w:pPr>
          </w:p>
          <w:p w14:paraId="5EF6388C" w14:textId="56C244A8" w:rsidR="005059EA" w:rsidRDefault="0073747E" w:rsidP="005059EA">
            <w:pPr>
              <w:tabs>
                <w:tab w:val="left" w:pos="-1080"/>
                <w:tab w:val="left" w:pos="-720"/>
                <w:tab w:val="left" w:pos="0"/>
                <w:tab w:val="left" w:pos="720"/>
                <w:tab w:val="left" w:pos="1440"/>
                <w:tab w:val="left" w:pos="2160"/>
                <w:tab w:val="left" w:pos="2520"/>
                <w:tab w:val="left" w:pos="3600"/>
              </w:tabs>
              <w:rPr>
                <w:rFonts w:cstheme="minorHAnsi"/>
                <w:szCs w:val="22"/>
              </w:rPr>
            </w:pPr>
            <w:r w:rsidRPr="008160D8">
              <w:rPr>
                <w:rFonts w:cstheme="minorHAnsi"/>
                <w:szCs w:val="22"/>
              </w:rPr>
              <w:t xml:space="preserve">The main purpose of this consultancy is to </w:t>
            </w:r>
            <w:r w:rsidR="00031502">
              <w:rPr>
                <w:rFonts w:cstheme="minorHAnsi"/>
                <w:szCs w:val="22"/>
              </w:rPr>
              <w:t xml:space="preserve">conduct as assessment on the gender-sensitivity of immunization services and provide recommendation to strengthen </w:t>
            </w:r>
            <w:r w:rsidR="00031502">
              <w:rPr>
                <w:szCs w:val="22"/>
                <w:lang w:val="en-CA"/>
              </w:rPr>
              <w:t>gender sensitive, responsive and transformative communication strategies for routine immunization services.</w:t>
            </w:r>
          </w:p>
          <w:p w14:paraId="295830E2" w14:textId="77777777" w:rsidR="002E23D2" w:rsidRPr="008160D8" w:rsidRDefault="002E23D2" w:rsidP="00206217">
            <w:pPr>
              <w:tabs>
                <w:tab w:val="left" w:pos="-1080"/>
                <w:tab w:val="left" w:pos="-720"/>
                <w:tab w:val="left" w:pos="0"/>
                <w:tab w:val="left" w:pos="720"/>
                <w:tab w:val="left" w:pos="1440"/>
                <w:tab w:val="left" w:pos="2160"/>
                <w:tab w:val="left" w:pos="2520"/>
                <w:tab w:val="left" w:pos="3600"/>
              </w:tabs>
              <w:rPr>
                <w:rFonts w:cstheme="minorHAnsi"/>
                <w:szCs w:val="22"/>
              </w:rPr>
            </w:pPr>
          </w:p>
        </w:tc>
      </w:tr>
      <w:tr w:rsidR="005077B5" w:rsidRPr="008160D8" w14:paraId="0C98E527" w14:textId="77777777" w:rsidTr="0041561B">
        <w:tc>
          <w:tcPr>
            <w:tcW w:w="9990" w:type="dxa"/>
          </w:tcPr>
          <w:p w14:paraId="481E86F8" w14:textId="0E0E8DCF" w:rsidR="00BF401E" w:rsidRDefault="001208FA" w:rsidP="007A78B4">
            <w:pPr>
              <w:pStyle w:val="Heading1"/>
              <w:numPr>
                <w:ilvl w:val="0"/>
                <w:numId w:val="1"/>
              </w:numPr>
              <w:ind w:left="409"/>
              <w:rPr>
                <w:rFonts w:asciiTheme="minorHAnsi" w:hAnsiTheme="minorHAnsi" w:cstheme="minorHAnsi"/>
                <w:szCs w:val="22"/>
              </w:rPr>
            </w:pPr>
            <w:r w:rsidRPr="008160D8">
              <w:rPr>
                <w:rFonts w:asciiTheme="minorHAnsi" w:hAnsiTheme="minorHAnsi" w:cstheme="minorHAnsi"/>
                <w:szCs w:val="22"/>
              </w:rPr>
              <w:lastRenderedPageBreak/>
              <w:t xml:space="preserve">Objectives of the </w:t>
            </w:r>
            <w:r w:rsidR="00113CAB" w:rsidRPr="008160D8">
              <w:rPr>
                <w:rFonts w:asciiTheme="minorHAnsi" w:hAnsiTheme="minorHAnsi" w:cstheme="minorHAnsi"/>
                <w:szCs w:val="22"/>
              </w:rPr>
              <w:t>consultancy</w:t>
            </w:r>
            <w:r w:rsidR="005E373C" w:rsidRPr="008160D8">
              <w:rPr>
                <w:rFonts w:asciiTheme="minorHAnsi" w:hAnsiTheme="minorHAnsi" w:cstheme="minorHAnsi"/>
                <w:szCs w:val="22"/>
              </w:rPr>
              <w:t>:</w:t>
            </w:r>
            <w:r w:rsidR="00480979" w:rsidRPr="008160D8">
              <w:rPr>
                <w:rFonts w:asciiTheme="minorHAnsi" w:hAnsiTheme="minorHAnsi" w:cstheme="minorHAnsi"/>
                <w:szCs w:val="22"/>
              </w:rPr>
              <w:t xml:space="preserve"> </w:t>
            </w:r>
          </w:p>
          <w:p w14:paraId="5F62E4DC" w14:textId="77777777" w:rsidR="007A78B4" w:rsidRPr="007A78B4" w:rsidRDefault="007A78B4" w:rsidP="007A78B4"/>
          <w:p w14:paraId="235950D8" w14:textId="17DA7F0B" w:rsidR="00545092" w:rsidRPr="00545092" w:rsidRDefault="00545092" w:rsidP="001279D9">
            <w:pPr>
              <w:tabs>
                <w:tab w:val="left" w:pos="-1080"/>
                <w:tab w:val="left" w:pos="-720"/>
                <w:tab w:val="left" w:pos="319"/>
                <w:tab w:val="left" w:pos="790"/>
                <w:tab w:val="left" w:pos="1440"/>
                <w:tab w:val="left" w:pos="2160"/>
                <w:tab w:val="left" w:pos="2520"/>
                <w:tab w:val="left" w:pos="3600"/>
              </w:tabs>
              <w:spacing w:line="276" w:lineRule="auto"/>
              <w:rPr>
                <w:rFonts w:cstheme="minorHAnsi"/>
                <w:szCs w:val="22"/>
              </w:rPr>
            </w:pPr>
            <w:r w:rsidRPr="00CD1F1E">
              <w:rPr>
                <w:rFonts w:cstheme="minorHAnsi"/>
                <w:szCs w:val="22"/>
              </w:rPr>
              <w:t xml:space="preserve">The overall objective of this </w:t>
            </w:r>
            <w:r w:rsidR="00404574" w:rsidRPr="00CD1F1E">
              <w:rPr>
                <w:rFonts w:cstheme="minorHAnsi"/>
                <w:szCs w:val="22"/>
              </w:rPr>
              <w:t>consultancy</w:t>
            </w:r>
            <w:r w:rsidRPr="00CD1F1E">
              <w:rPr>
                <w:rFonts w:cstheme="minorHAnsi"/>
                <w:szCs w:val="22"/>
              </w:rPr>
              <w:t xml:space="preserve"> is to assess the gender sensitivity of </w:t>
            </w:r>
            <w:r w:rsidR="00404574" w:rsidRPr="00CD1F1E">
              <w:rPr>
                <w:rFonts w:cstheme="minorHAnsi"/>
                <w:szCs w:val="22"/>
              </w:rPr>
              <w:t>immunization services</w:t>
            </w:r>
            <w:r w:rsidR="00E654BA" w:rsidRPr="00CD1F1E">
              <w:rPr>
                <w:rFonts w:cstheme="minorHAnsi"/>
                <w:szCs w:val="22"/>
              </w:rPr>
              <w:t xml:space="preserve"> </w:t>
            </w:r>
            <w:r w:rsidR="00CD1F1E" w:rsidRPr="00CD1F1E">
              <w:rPr>
                <w:rFonts w:cstheme="minorHAnsi"/>
                <w:szCs w:val="22"/>
              </w:rPr>
              <w:t xml:space="preserve">and </w:t>
            </w:r>
            <w:r w:rsidR="00CD1F1E">
              <w:rPr>
                <w:rFonts w:cstheme="minorHAnsi"/>
                <w:bCs/>
                <w:szCs w:val="22"/>
              </w:rPr>
              <w:t>t</w:t>
            </w:r>
            <w:r w:rsidR="00CD1F1E" w:rsidRPr="00CD1F1E">
              <w:rPr>
                <w:rFonts w:cstheme="minorHAnsi"/>
                <w:bCs/>
                <w:szCs w:val="22"/>
              </w:rPr>
              <w:t>o provide concrete recommendations that might contribute to gender mainstreaming or integrating a gender equality perspective into immunization program and ultimately into the public health system</w:t>
            </w:r>
            <w:r w:rsidR="00CD1F1E">
              <w:rPr>
                <w:rFonts w:cstheme="minorHAnsi"/>
                <w:bCs/>
                <w:szCs w:val="22"/>
              </w:rPr>
              <w:t xml:space="preserve"> </w:t>
            </w:r>
            <w:r w:rsidR="00E654BA">
              <w:rPr>
                <w:rFonts w:cstheme="minorHAnsi"/>
                <w:szCs w:val="22"/>
              </w:rPr>
              <w:t>including the following specific objectives</w:t>
            </w:r>
          </w:p>
          <w:p w14:paraId="6DFF1F35" w14:textId="4DF25D3D" w:rsidR="00E654BA" w:rsidRPr="00A65912" w:rsidRDefault="00E654BA" w:rsidP="007A78B4">
            <w:pPr>
              <w:pStyle w:val="ListParagraph"/>
              <w:numPr>
                <w:ilvl w:val="0"/>
                <w:numId w:val="41"/>
              </w:numPr>
              <w:tabs>
                <w:tab w:val="left" w:pos="-1080"/>
                <w:tab w:val="left" w:pos="-720"/>
                <w:tab w:val="left" w:pos="319"/>
                <w:tab w:val="left" w:pos="790"/>
                <w:tab w:val="left" w:pos="1440"/>
                <w:tab w:val="left" w:pos="2160"/>
                <w:tab w:val="left" w:pos="2520"/>
                <w:tab w:val="left" w:pos="3600"/>
              </w:tabs>
              <w:spacing w:before="0" w:after="0" w:line="276" w:lineRule="auto"/>
              <w:ind w:left="790"/>
              <w:rPr>
                <w:rFonts w:cstheme="minorHAnsi"/>
                <w:b w:val="0"/>
                <w:bCs/>
                <w:szCs w:val="22"/>
              </w:rPr>
            </w:pPr>
            <w:r w:rsidRPr="00A65912">
              <w:rPr>
                <w:rFonts w:cstheme="minorHAnsi"/>
                <w:b w:val="0"/>
                <w:bCs/>
                <w:szCs w:val="22"/>
              </w:rPr>
              <w:t>To a</w:t>
            </w:r>
            <w:r w:rsidR="00545092" w:rsidRPr="00A65912">
              <w:rPr>
                <w:rFonts w:cstheme="minorHAnsi"/>
                <w:b w:val="0"/>
                <w:bCs/>
                <w:szCs w:val="22"/>
              </w:rPr>
              <w:t xml:space="preserve">ssess the overall institutional context to ascertain </w:t>
            </w:r>
            <w:r w:rsidR="00CD1F1E">
              <w:rPr>
                <w:rFonts w:cstheme="minorHAnsi"/>
                <w:b w:val="0"/>
                <w:bCs/>
                <w:szCs w:val="22"/>
              </w:rPr>
              <w:t xml:space="preserve">what extent the </w:t>
            </w:r>
            <w:r w:rsidR="00A65912">
              <w:rPr>
                <w:rFonts w:cstheme="minorHAnsi"/>
                <w:b w:val="0"/>
                <w:bCs/>
                <w:szCs w:val="22"/>
              </w:rPr>
              <w:t xml:space="preserve">public health system </w:t>
            </w:r>
            <w:r w:rsidR="00545092" w:rsidRPr="00A65912">
              <w:rPr>
                <w:rFonts w:cstheme="minorHAnsi"/>
                <w:b w:val="0"/>
                <w:bCs/>
                <w:szCs w:val="22"/>
              </w:rPr>
              <w:t>promote</w:t>
            </w:r>
            <w:r w:rsidR="00A65912">
              <w:rPr>
                <w:rFonts w:cstheme="minorHAnsi"/>
                <w:b w:val="0"/>
                <w:bCs/>
                <w:szCs w:val="22"/>
              </w:rPr>
              <w:t>s</w:t>
            </w:r>
            <w:r w:rsidR="00545092" w:rsidRPr="00A65912">
              <w:rPr>
                <w:rFonts w:cstheme="minorHAnsi"/>
                <w:b w:val="0"/>
                <w:bCs/>
                <w:szCs w:val="22"/>
              </w:rPr>
              <w:t xml:space="preserve"> gender equality in general, and in </w:t>
            </w:r>
            <w:r w:rsidR="00A65912">
              <w:rPr>
                <w:rFonts w:cstheme="minorHAnsi"/>
                <w:b w:val="0"/>
                <w:bCs/>
                <w:szCs w:val="22"/>
              </w:rPr>
              <w:t>immunization program</w:t>
            </w:r>
            <w:r w:rsidR="00545092" w:rsidRPr="00A65912">
              <w:rPr>
                <w:rFonts w:cstheme="minorHAnsi"/>
                <w:b w:val="0"/>
                <w:bCs/>
                <w:szCs w:val="22"/>
              </w:rPr>
              <w:t xml:space="preserve"> in particular;</w:t>
            </w:r>
          </w:p>
          <w:p w14:paraId="714AC915" w14:textId="71068A62" w:rsidR="00E654BA" w:rsidRPr="00A65912" w:rsidRDefault="00EF21F4" w:rsidP="007A78B4">
            <w:pPr>
              <w:pStyle w:val="ListParagraph"/>
              <w:numPr>
                <w:ilvl w:val="0"/>
                <w:numId w:val="41"/>
              </w:numPr>
              <w:tabs>
                <w:tab w:val="left" w:pos="-1080"/>
                <w:tab w:val="left" w:pos="-720"/>
                <w:tab w:val="left" w:pos="319"/>
                <w:tab w:val="left" w:pos="790"/>
                <w:tab w:val="left" w:pos="1440"/>
                <w:tab w:val="left" w:pos="2160"/>
                <w:tab w:val="left" w:pos="2520"/>
                <w:tab w:val="left" w:pos="3600"/>
              </w:tabs>
              <w:spacing w:before="0" w:after="0" w:line="276" w:lineRule="auto"/>
              <w:ind w:left="790"/>
              <w:rPr>
                <w:rFonts w:cstheme="minorHAnsi"/>
                <w:b w:val="0"/>
                <w:bCs/>
                <w:szCs w:val="22"/>
              </w:rPr>
            </w:pPr>
            <w:r>
              <w:rPr>
                <w:rFonts w:cstheme="minorHAnsi"/>
                <w:b w:val="0"/>
                <w:bCs/>
                <w:szCs w:val="22"/>
              </w:rPr>
              <w:t>To e</w:t>
            </w:r>
            <w:r w:rsidR="00545092" w:rsidRPr="00A65912">
              <w:rPr>
                <w:rFonts w:cstheme="minorHAnsi"/>
                <w:b w:val="0"/>
                <w:bCs/>
                <w:szCs w:val="22"/>
              </w:rPr>
              <w:t>xamine the extent to which</w:t>
            </w:r>
            <w:r w:rsidR="00C92269">
              <w:rPr>
                <w:rFonts w:cstheme="minorHAnsi"/>
                <w:b w:val="0"/>
                <w:bCs/>
                <w:szCs w:val="22"/>
              </w:rPr>
              <w:t xml:space="preserve"> immunization services</w:t>
            </w:r>
            <w:r w:rsidR="00545092" w:rsidRPr="00A65912">
              <w:rPr>
                <w:rFonts w:cstheme="minorHAnsi"/>
                <w:b w:val="0"/>
                <w:bCs/>
                <w:szCs w:val="22"/>
              </w:rPr>
              <w:t xml:space="preserve"> are gender sensitive and responsive, promote fairness and inclusion, and</w:t>
            </w:r>
            <w:r w:rsidR="00E654BA" w:rsidRPr="00A65912">
              <w:rPr>
                <w:rFonts w:cstheme="minorHAnsi"/>
                <w:b w:val="0"/>
                <w:bCs/>
                <w:szCs w:val="22"/>
              </w:rPr>
              <w:t xml:space="preserve"> </w:t>
            </w:r>
            <w:r w:rsidR="00545092" w:rsidRPr="00A65912">
              <w:rPr>
                <w:rFonts w:cstheme="minorHAnsi"/>
                <w:b w:val="0"/>
                <w:bCs/>
                <w:szCs w:val="22"/>
              </w:rPr>
              <w:t>embrace diversity;</w:t>
            </w:r>
          </w:p>
          <w:p w14:paraId="42F659EF" w14:textId="01DA9705" w:rsidR="00C92269" w:rsidRDefault="00EF21F4" w:rsidP="007A78B4">
            <w:pPr>
              <w:pStyle w:val="ListParagraph"/>
              <w:numPr>
                <w:ilvl w:val="0"/>
                <w:numId w:val="41"/>
              </w:numPr>
              <w:tabs>
                <w:tab w:val="left" w:pos="-1080"/>
                <w:tab w:val="left" w:pos="-720"/>
                <w:tab w:val="left" w:pos="319"/>
                <w:tab w:val="left" w:pos="790"/>
                <w:tab w:val="left" w:pos="1440"/>
                <w:tab w:val="left" w:pos="2160"/>
                <w:tab w:val="left" w:pos="2520"/>
                <w:tab w:val="left" w:pos="3600"/>
              </w:tabs>
              <w:spacing w:before="0" w:after="0" w:line="276" w:lineRule="auto"/>
              <w:ind w:left="790"/>
              <w:rPr>
                <w:rFonts w:cstheme="minorHAnsi"/>
                <w:b w:val="0"/>
                <w:bCs/>
                <w:szCs w:val="22"/>
              </w:rPr>
            </w:pPr>
            <w:r>
              <w:rPr>
                <w:rFonts w:cstheme="minorHAnsi"/>
                <w:b w:val="0"/>
                <w:bCs/>
                <w:szCs w:val="22"/>
              </w:rPr>
              <w:t>To i</w:t>
            </w:r>
            <w:r w:rsidR="00C92269">
              <w:rPr>
                <w:rFonts w:cstheme="minorHAnsi"/>
                <w:b w:val="0"/>
                <w:bCs/>
                <w:szCs w:val="22"/>
              </w:rPr>
              <w:t xml:space="preserve">dentify </w:t>
            </w:r>
            <w:r w:rsidR="00C92269" w:rsidRPr="00C92269">
              <w:rPr>
                <w:b w:val="0"/>
                <w:bCs/>
                <w:szCs w:val="22"/>
                <w:lang w:val="en-CA"/>
              </w:rPr>
              <w:t xml:space="preserve">types of gender discrimination, gender biases/stereotyping, or gender inequality that exist in </w:t>
            </w:r>
            <w:r w:rsidR="00C92269">
              <w:rPr>
                <w:b w:val="0"/>
                <w:bCs/>
                <w:szCs w:val="22"/>
                <w:lang w:val="en-CA"/>
              </w:rPr>
              <w:t>health system</w:t>
            </w:r>
            <w:r w:rsidR="009645CB">
              <w:rPr>
                <w:b w:val="0"/>
                <w:bCs/>
                <w:szCs w:val="22"/>
                <w:lang w:val="en-CA"/>
              </w:rPr>
              <w:t xml:space="preserve"> and immunization services</w:t>
            </w:r>
            <w:r w:rsidR="00BE145D">
              <w:rPr>
                <w:b w:val="0"/>
                <w:bCs/>
                <w:szCs w:val="22"/>
                <w:lang w:val="en-CA"/>
              </w:rPr>
              <w:t xml:space="preserve"> </w:t>
            </w:r>
            <w:r w:rsidR="00C92269" w:rsidRPr="00C92269">
              <w:rPr>
                <w:b w:val="0"/>
                <w:bCs/>
                <w:szCs w:val="22"/>
                <w:lang w:val="en-CA"/>
              </w:rPr>
              <w:t>hindering the promotion of gender equality</w:t>
            </w:r>
          </w:p>
          <w:p w14:paraId="00B0FEAD" w14:textId="6B612302" w:rsidR="00C92269" w:rsidRDefault="00EF21F4" w:rsidP="007A78B4">
            <w:pPr>
              <w:pStyle w:val="ListParagraph"/>
              <w:numPr>
                <w:ilvl w:val="0"/>
                <w:numId w:val="41"/>
              </w:numPr>
              <w:tabs>
                <w:tab w:val="left" w:pos="-1080"/>
                <w:tab w:val="left" w:pos="-720"/>
                <w:tab w:val="left" w:pos="319"/>
                <w:tab w:val="left" w:pos="790"/>
                <w:tab w:val="left" w:pos="1440"/>
                <w:tab w:val="left" w:pos="2160"/>
                <w:tab w:val="left" w:pos="2520"/>
                <w:tab w:val="left" w:pos="3600"/>
              </w:tabs>
              <w:spacing w:before="0" w:after="0" w:line="276" w:lineRule="auto"/>
              <w:ind w:left="790"/>
              <w:rPr>
                <w:rFonts w:cstheme="minorHAnsi"/>
                <w:b w:val="0"/>
                <w:bCs/>
                <w:szCs w:val="22"/>
              </w:rPr>
            </w:pPr>
            <w:r>
              <w:rPr>
                <w:rFonts w:cstheme="minorHAnsi"/>
                <w:b w:val="0"/>
                <w:bCs/>
                <w:szCs w:val="22"/>
              </w:rPr>
              <w:t>To i</w:t>
            </w:r>
            <w:r w:rsidR="008F3787">
              <w:rPr>
                <w:rFonts w:cstheme="minorHAnsi"/>
                <w:b w:val="0"/>
                <w:bCs/>
                <w:szCs w:val="22"/>
              </w:rPr>
              <w:t>dentify</w:t>
            </w:r>
            <w:r w:rsidR="00545092" w:rsidRPr="00A65912">
              <w:rPr>
                <w:rFonts w:cstheme="minorHAnsi"/>
                <w:b w:val="0"/>
                <w:bCs/>
                <w:szCs w:val="22"/>
              </w:rPr>
              <w:t xml:space="preserve"> </w:t>
            </w:r>
            <w:r w:rsidR="00B71EF6" w:rsidRPr="00B71EF6">
              <w:rPr>
                <w:b w:val="0"/>
                <w:bCs/>
                <w:szCs w:val="22"/>
                <w:lang w:val="en-CA"/>
              </w:rPr>
              <w:t>examples of good practices</w:t>
            </w:r>
            <w:r w:rsidR="00865A89">
              <w:rPr>
                <w:b w:val="0"/>
                <w:bCs/>
                <w:szCs w:val="22"/>
                <w:lang w:val="en-CA"/>
              </w:rPr>
              <w:t xml:space="preserve"> and lesson learned on</w:t>
            </w:r>
            <w:r w:rsidR="00B71EF6" w:rsidRPr="00B71EF6">
              <w:rPr>
                <w:b w:val="0"/>
                <w:bCs/>
                <w:szCs w:val="22"/>
                <w:lang w:val="en-CA"/>
              </w:rPr>
              <w:t xml:space="preserve"> promoting gender </w:t>
            </w:r>
            <w:r w:rsidR="00865A89">
              <w:rPr>
                <w:b w:val="0"/>
                <w:bCs/>
                <w:szCs w:val="22"/>
                <w:lang w:val="en-CA"/>
              </w:rPr>
              <w:t>sensitiv</w:t>
            </w:r>
            <w:r w:rsidR="00B71EF6" w:rsidRPr="00B71EF6">
              <w:rPr>
                <w:b w:val="0"/>
                <w:bCs/>
                <w:szCs w:val="22"/>
                <w:lang w:val="en-CA"/>
              </w:rPr>
              <w:t>ity</w:t>
            </w:r>
            <w:r w:rsidR="00865A89">
              <w:rPr>
                <w:b w:val="0"/>
                <w:bCs/>
                <w:szCs w:val="22"/>
                <w:lang w:val="en-CA"/>
              </w:rPr>
              <w:t xml:space="preserve"> and responsiveness </w:t>
            </w:r>
            <w:r w:rsidR="00B71EF6" w:rsidRPr="00B71EF6">
              <w:rPr>
                <w:b w:val="0"/>
                <w:bCs/>
                <w:szCs w:val="22"/>
                <w:lang w:val="en-CA"/>
              </w:rPr>
              <w:t xml:space="preserve">in </w:t>
            </w:r>
            <w:r w:rsidR="00865A89">
              <w:rPr>
                <w:b w:val="0"/>
                <w:bCs/>
                <w:szCs w:val="22"/>
                <w:lang w:val="en-CA"/>
              </w:rPr>
              <w:t xml:space="preserve">health system and </w:t>
            </w:r>
            <w:r w:rsidR="00B71EF6" w:rsidRPr="00B71EF6">
              <w:rPr>
                <w:b w:val="0"/>
                <w:bCs/>
                <w:szCs w:val="22"/>
                <w:lang w:val="en-CA"/>
              </w:rPr>
              <w:t>immunization program</w:t>
            </w:r>
            <w:r w:rsidR="00545092" w:rsidRPr="00A65912">
              <w:rPr>
                <w:rFonts w:cstheme="minorHAnsi"/>
                <w:b w:val="0"/>
                <w:bCs/>
                <w:szCs w:val="22"/>
              </w:rPr>
              <w:t>; and</w:t>
            </w:r>
            <w:r w:rsidR="00E654BA" w:rsidRPr="00A65912">
              <w:rPr>
                <w:rFonts w:cstheme="minorHAnsi"/>
                <w:b w:val="0"/>
                <w:bCs/>
                <w:szCs w:val="22"/>
              </w:rPr>
              <w:t xml:space="preserve"> </w:t>
            </w:r>
          </w:p>
          <w:p w14:paraId="562CB7ED" w14:textId="4908F53D" w:rsidR="00C92269" w:rsidRPr="00C92269" w:rsidRDefault="00C92269" w:rsidP="001279D9">
            <w:pPr>
              <w:pStyle w:val="ListParagraph"/>
              <w:numPr>
                <w:ilvl w:val="0"/>
                <w:numId w:val="41"/>
              </w:numPr>
              <w:tabs>
                <w:tab w:val="left" w:pos="-1080"/>
                <w:tab w:val="left" w:pos="-720"/>
                <w:tab w:val="left" w:pos="319"/>
                <w:tab w:val="left" w:pos="790"/>
                <w:tab w:val="left" w:pos="1440"/>
                <w:tab w:val="left" w:pos="2160"/>
                <w:tab w:val="left" w:pos="2520"/>
                <w:tab w:val="left" w:pos="3600"/>
              </w:tabs>
              <w:spacing w:before="0" w:after="0" w:line="276" w:lineRule="auto"/>
              <w:ind w:left="790"/>
            </w:pPr>
          </w:p>
        </w:tc>
      </w:tr>
      <w:tr w:rsidR="005077B5" w:rsidRPr="008160D8" w14:paraId="53E57D7D" w14:textId="77777777" w:rsidTr="0041561B">
        <w:tc>
          <w:tcPr>
            <w:tcW w:w="9990" w:type="dxa"/>
          </w:tcPr>
          <w:p w14:paraId="609BCBC7" w14:textId="24ACA132" w:rsidR="00790777" w:rsidRPr="008160D8" w:rsidRDefault="00FE6FEA" w:rsidP="002F05B1">
            <w:pPr>
              <w:pStyle w:val="ListParagraph"/>
              <w:numPr>
                <w:ilvl w:val="0"/>
                <w:numId w:val="1"/>
              </w:numPr>
              <w:tabs>
                <w:tab w:val="left" w:pos="319"/>
              </w:tabs>
              <w:ind w:left="342" w:hanging="342"/>
              <w:rPr>
                <w:rFonts w:cstheme="minorHAnsi"/>
                <w:b w:val="0"/>
                <w:szCs w:val="22"/>
              </w:rPr>
            </w:pPr>
            <w:r w:rsidRPr="008160D8">
              <w:rPr>
                <w:rFonts w:cstheme="minorHAnsi"/>
                <w:szCs w:val="22"/>
              </w:rPr>
              <w:t>Geographic Area:</w:t>
            </w:r>
            <w:r w:rsidR="00016468" w:rsidRPr="008160D8">
              <w:rPr>
                <w:rFonts w:cstheme="minorHAnsi"/>
                <w:szCs w:val="22"/>
              </w:rPr>
              <w:t xml:space="preserve"> </w:t>
            </w:r>
            <w:r w:rsidR="002F05B1" w:rsidRPr="008160D8">
              <w:rPr>
                <w:rFonts w:cstheme="minorHAnsi"/>
                <w:b w:val="0"/>
                <w:szCs w:val="22"/>
              </w:rPr>
              <w:t>Yangon</w:t>
            </w:r>
            <w:r w:rsidR="000A24B6">
              <w:rPr>
                <w:rFonts w:cstheme="minorHAnsi"/>
                <w:b w:val="0"/>
                <w:szCs w:val="22"/>
              </w:rPr>
              <w:t xml:space="preserve"> with </w:t>
            </w:r>
            <w:r w:rsidR="00AC2E10">
              <w:rPr>
                <w:rFonts w:cstheme="minorHAnsi"/>
                <w:b w:val="0"/>
                <w:szCs w:val="22"/>
              </w:rPr>
              <w:t xml:space="preserve">frequent </w:t>
            </w:r>
            <w:r w:rsidR="000A24B6">
              <w:rPr>
                <w:rFonts w:cstheme="minorHAnsi"/>
                <w:b w:val="0"/>
                <w:szCs w:val="22"/>
              </w:rPr>
              <w:t xml:space="preserve">travel to </w:t>
            </w:r>
            <w:proofErr w:type="spellStart"/>
            <w:r w:rsidR="000A24B6">
              <w:rPr>
                <w:rFonts w:cstheme="minorHAnsi"/>
                <w:b w:val="0"/>
                <w:szCs w:val="22"/>
              </w:rPr>
              <w:t>Naypyitaw</w:t>
            </w:r>
            <w:proofErr w:type="spellEnd"/>
            <w:r w:rsidR="000D1C6F">
              <w:rPr>
                <w:rFonts w:cstheme="minorHAnsi"/>
                <w:b w:val="0"/>
                <w:szCs w:val="22"/>
              </w:rPr>
              <w:t xml:space="preserve"> </w:t>
            </w:r>
            <w:r w:rsidR="000736CB">
              <w:rPr>
                <w:rFonts w:cstheme="minorHAnsi"/>
                <w:b w:val="0"/>
                <w:szCs w:val="22"/>
              </w:rPr>
              <w:t>as</w:t>
            </w:r>
            <w:r w:rsidR="000A24B6">
              <w:rPr>
                <w:rFonts w:cstheme="minorHAnsi"/>
                <w:b w:val="0"/>
                <w:szCs w:val="22"/>
              </w:rPr>
              <w:t xml:space="preserve"> necessary</w:t>
            </w:r>
          </w:p>
        </w:tc>
      </w:tr>
      <w:tr w:rsidR="005077B5" w:rsidRPr="008160D8" w14:paraId="4269A4F1" w14:textId="77777777" w:rsidTr="0041561B">
        <w:tc>
          <w:tcPr>
            <w:tcW w:w="9990" w:type="dxa"/>
          </w:tcPr>
          <w:p w14:paraId="260C0957" w14:textId="77777777" w:rsidR="00BF401E" w:rsidRPr="008160D8" w:rsidRDefault="005077B5" w:rsidP="00001C6C">
            <w:pPr>
              <w:pStyle w:val="ListParagraph"/>
              <w:numPr>
                <w:ilvl w:val="0"/>
                <w:numId w:val="1"/>
              </w:numPr>
              <w:tabs>
                <w:tab w:val="left" w:pos="319"/>
              </w:tabs>
              <w:ind w:left="319" w:hanging="319"/>
              <w:rPr>
                <w:rFonts w:cstheme="minorHAnsi"/>
                <w:szCs w:val="22"/>
              </w:rPr>
            </w:pPr>
            <w:r w:rsidRPr="008160D8">
              <w:rPr>
                <w:rFonts w:cstheme="minorHAnsi"/>
                <w:szCs w:val="22"/>
              </w:rPr>
              <w:t>Duration</w:t>
            </w:r>
            <w:r w:rsidR="009C589D" w:rsidRPr="008160D8">
              <w:rPr>
                <w:rFonts w:cstheme="minorHAnsi"/>
                <w:szCs w:val="22"/>
              </w:rPr>
              <w:t xml:space="preserve"> (including potential extension)</w:t>
            </w:r>
            <w:r w:rsidRPr="008160D8">
              <w:rPr>
                <w:rFonts w:cstheme="minorHAnsi"/>
                <w:szCs w:val="22"/>
              </w:rPr>
              <w:t xml:space="preserve">: </w:t>
            </w:r>
          </w:p>
          <w:p w14:paraId="36CF1BC8" w14:textId="3E47A6AD" w:rsidR="00D821BF" w:rsidRPr="008160D8" w:rsidRDefault="00745C1D" w:rsidP="00665D09">
            <w:pPr>
              <w:tabs>
                <w:tab w:val="left" w:pos="319"/>
              </w:tabs>
              <w:spacing w:after="120"/>
              <w:ind w:left="86"/>
              <w:rPr>
                <w:rFonts w:cstheme="minorHAnsi"/>
                <w:szCs w:val="22"/>
              </w:rPr>
            </w:pPr>
            <w:r w:rsidRPr="008160D8">
              <w:rPr>
                <w:rFonts w:cstheme="minorHAnsi"/>
                <w:szCs w:val="22"/>
              </w:rPr>
              <w:tab/>
            </w:r>
            <w:r w:rsidR="00BF401E" w:rsidRPr="008160D8">
              <w:rPr>
                <w:rFonts w:cstheme="minorHAnsi"/>
                <w:szCs w:val="22"/>
              </w:rPr>
              <w:t xml:space="preserve">The assignment will be for </w:t>
            </w:r>
            <w:r w:rsidR="00CD1F1E">
              <w:rPr>
                <w:rFonts w:cstheme="minorHAnsi"/>
                <w:szCs w:val="22"/>
              </w:rPr>
              <w:t xml:space="preserve">100 working days spread over </w:t>
            </w:r>
            <w:r w:rsidR="00BD2444">
              <w:rPr>
                <w:rFonts w:cstheme="minorHAnsi"/>
                <w:szCs w:val="22"/>
              </w:rPr>
              <w:t>8</w:t>
            </w:r>
            <w:r w:rsidR="00BF401E" w:rsidRPr="008160D8">
              <w:rPr>
                <w:rFonts w:cstheme="minorHAnsi"/>
                <w:szCs w:val="22"/>
              </w:rPr>
              <w:t xml:space="preserve"> month</w:t>
            </w:r>
            <w:r w:rsidR="003B35FB" w:rsidRPr="008160D8">
              <w:rPr>
                <w:rFonts w:cstheme="minorHAnsi"/>
                <w:szCs w:val="22"/>
              </w:rPr>
              <w:t>s</w:t>
            </w:r>
            <w:r w:rsidR="00BF401E" w:rsidRPr="008160D8">
              <w:rPr>
                <w:rFonts w:cstheme="minorHAnsi"/>
                <w:szCs w:val="22"/>
              </w:rPr>
              <w:t xml:space="preserve"> </w:t>
            </w:r>
            <w:r w:rsidR="00767560" w:rsidRPr="008160D8">
              <w:rPr>
                <w:rFonts w:cstheme="minorHAnsi"/>
                <w:szCs w:val="22"/>
              </w:rPr>
              <w:t>(</w:t>
            </w:r>
            <w:r w:rsidR="000D1C6F">
              <w:rPr>
                <w:rFonts w:cstheme="minorHAnsi"/>
                <w:szCs w:val="22"/>
              </w:rPr>
              <w:t>3 Aug</w:t>
            </w:r>
            <w:r w:rsidR="00383223">
              <w:rPr>
                <w:rFonts w:cstheme="minorHAnsi"/>
                <w:szCs w:val="22"/>
              </w:rPr>
              <w:t xml:space="preserve"> 2020</w:t>
            </w:r>
            <w:r w:rsidR="005D6B28" w:rsidRPr="008160D8">
              <w:rPr>
                <w:rFonts w:cstheme="minorHAnsi"/>
                <w:szCs w:val="22"/>
              </w:rPr>
              <w:t xml:space="preserve"> </w:t>
            </w:r>
            <w:r w:rsidR="00716764" w:rsidRPr="008160D8">
              <w:rPr>
                <w:rFonts w:cstheme="minorHAnsi"/>
                <w:szCs w:val="22"/>
              </w:rPr>
              <w:t xml:space="preserve">– </w:t>
            </w:r>
            <w:r w:rsidR="000D1C6F">
              <w:rPr>
                <w:rFonts w:cstheme="minorHAnsi"/>
                <w:szCs w:val="22"/>
              </w:rPr>
              <w:t>30</w:t>
            </w:r>
            <w:r w:rsidR="00A10827">
              <w:rPr>
                <w:rFonts w:cstheme="minorHAnsi"/>
                <w:szCs w:val="22"/>
              </w:rPr>
              <w:t xml:space="preserve"> </w:t>
            </w:r>
            <w:r w:rsidR="00BD2444">
              <w:rPr>
                <w:rFonts w:cstheme="minorHAnsi"/>
                <w:szCs w:val="22"/>
              </w:rPr>
              <w:t>April</w:t>
            </w:r>
            <w:r w:rsidR="00337071" w:rsidRPr="008160D8">
              <w:rPr>
                <w:rFonts w:cstheme="minorHAnsi"/>
                <w:szCs w:val="22"/>
              </w:rPr>
              <w:t xml:space="preserve"> </w:t>
            </w:r>
            <w:r w:rsidR="00853F81" w:rsidRPr="008160D8">
              <w:rPr>
                <w:rFonts w:cstheme="minorHAnsi"/>
                <w:szCs w:val="22"/>
              </w:rPr>
              <w:t>20</w:t>
            </w:r>
            <w:r w:rsidR="00383223">
              <w:rPr>
                <w:rFonts w:cstheme="minorHAnsi"/>
                <w:szCs w:val="22"/>
              </w:rPr>
              <w:t>21</w:t>
            </w:r>
            <w:r w:rsidR="00716764" w:rsidRPr="008160D8">
              <w:rPr>
                <w:rFonts w:cstheme="minorHAnsi"/>
                <w:szCs w:val="22"/>
              </w:rPr>
              <w:t>)</w:t>
            </w:r>
            <w:r w:rsidR="00D821BF" w:rsidRPr="008160D8">
              <w:rPr>
                <w:rFonts w:cstheme="minorHAnsi"/>
                <w:szCs w:val="22"/>
              </w:rPr>
              <w:t xml:space="preserve"> </w:t>
            </w:r>
          </w:p>
        </w:tc>
      </w:tr>
      <w:tr w:rsidR="005077B5" w:rsidRPr="008160D8" w14:paraId="4FCC0468" w14:textId="77777777" w:rsidTr="0041561B">
        <w:tc>
          <w:tcPr>
            <w:tcW w:w="9990" w:type="dxa"/>
          </w:tcPr>
          <w:p w14:paraId="69E990DB" w14:textId="77777777" w:rsidR="002B0969" w:rsidRPr="008160D8" w:rsidRDefault="005077B5" w:rsidP="00001C6C">
            <w:pPr>
              <w:pStyle w:val="ListParagraph"/>
              <w:numPr>
                <w:ilvl w:val="0"/>
                <w:numId w:val="1"/>
              </w:numPr>
              <w:ind w:left="342" w:hanging="342"/>
              <w:rPr>
                <w:rFonts w:cstheme="minorHAnsi"/>
                <w:szCs w:val="22"/>
              </w:rPr>
            </w:pPr>
            <w:r w:rsidRPr="008160D8">
              <w:rPr>
                <w:rFonts w:cstheme="minorHAnsi"/>
                <w:szCs w:val="22"/>
              </w:rPr>
              <w:t>Supervisor</w:t>
            </w:r>
            <w:r w:rsidR="00E40E0D" w:rsidRPr="008160D8">
              <w:rPr>
                <w:rFonts w:cstheme="minorHAnsi"/>
                <w:szCs w:val="22"/>
              </w:rPr>
              <w:t>:</w:t>
            </w:r>
            <w:r w:rsidR="00E5124D" w:rsidRPr="008160D8">
              <w:rPr>
                <w:rFonts w:cstheme="minorHAnsi"/>
                <w:szCs w:val="22"/>
              </w:rPr>
              <w:t xml:space="preserve"> </w:t>
            </w:r>
          </w:p>
          <w:p w14:paraId="4067238F" w14:textId="36BD0DA6" w:rsidR="005077B5" w:rsidRPr="008160D8" w:rsidRDefault="002E1A90" w:rsidP="0003662C">
            <w:pPr>
              <w:spacing w:after="120"/>
              <w:ind w:left="319"/>
              <w:rPr>
                <w:rFonts w:cstheme="minorHAnsi"/>
                <w:szCs w:val="22"/>
              </w:rPr>
            </w:pPr>
            <w:r>
              <w:rPr>
                <w:rFonts w:cstheme="minorHAnsi"/>
                <w:szCs w:val="22"/>
              </w:rPr>
              <w:t xml:space="preserve">Overall supervision by </w:t>
            </w:r>
            <w:r w:rsidR="001F4C0B" w:rsidRPr="008160D8">
              <w:rPr>
                <w:rFonts w:cstheme="minorHAnsi"/>
                <w:szCs w:val="22"/>
              </w:rPr>
              <w:t xml:space="preserve">C4D Specialist </w:t>
            </w:r>
            <w:r w:rsidR="00111BF0">
              <w:rPr>
                <w:rFonts w:cstheme="minorHAnsi"/>
                <w:szCs w:val="22"/>
              </w:rPr>
              <w:t>(Health and Nutrition)</w:t>
            </w:r>
            <w:r>
              <w:rPr>
                <w:rFonts w:cstheme="minorHAnsi"/>
                <w:szCs w:val="22"/>
              </w:rPr>
              <w:t xml:space="preserve"> with technical support by UNICEF MCO </w:t>
            </w:r>
            <w:r w:rsidR="002F54F7">
              <w:rPr>
                <w:rFonts w:cstheme="minorHAnsi"/>
                <w:szCs w:val="22"/>
              </w:rPr>
              <w:t>g</w:t>
            </w:r>
            <w:r>
              <w:rPr>
                <w:rFonts w:cstheme="minorHAnsi"/>
                <w:szCs w:val="22"/>
              </w:rPr>
              <w:t xml:space="preserve">ender </w:t>
            </w:r>
            <w:r w:rsidR="002F54F7">
              <w:rPr>
                <w:rFonts w:cstheme="minorHAnsi"/>
                <w:szCs w:val="22"/>
              </w:rPr>
              <w:t>f</w:t>
            </w:r>
            <w:r>
              <w:rPr>
                <w:rFonts w:cstheme="minorHAnsi"/>
                <w:szCs w:val="22"/>
              </w:rPr>
              <w:t>ocal</w:t>
            </w:r>
          </w:p>
        </w:tc>
      </w:tr>
      <w:tr w:rsidR="00E40E0D" w:rsidRPr="008160D8" w14:paraId="7171C146" w14:textId="77777777" w:rsidTr="0041561B">
        <w:tc>
          <w:tcPr>
            <w:tcW w:w="9990" w:type="dxa"/>
          </w:tcPr>
          <w:p w14:paraId="60D1F35B" w14:textId="22A8CDB3" w:rsidR="004D03FA" w:rsidRPr="008160D8" w:rsidRDefault="00E40E0D" w:rsidP="004D03FA">
            <w:pPr>
              <w:pStyle w:val="ListParagraph"/>
              <w:numPr>
                <w:ilvl w:val="0"/>
                <w:numId w:val="1"/>
              </w:numPr>
              <w:ind w:left="342" w:hanging="342"/>
              <w:rPr>
                <w:rFonts w:cstheme="minorHAnsi"/>
                <w:b w:val="0"/>
                <w:szCs w:val="22"/>
              </w:rPr>
            </w:pPr>
            <w:r w:rsidRPr="008160D8">
              <w:rPr>
                <w:rFonts w:cstheme="minorHAnsi"/>
                <w:szCs w:val="22"/>
              </w:rPr>
              <w:t>Type of Supervision</w:t>
            </w:r>
            <w:r w:rsidR="00583821" w:rsidRPr="008160D8">
              <w:rPr>
                <w:rFonts w:cstheme="minorHAnsi"/>
                <w:szCs w:val="22"/>
              </w:rPr>
              <w:t>/support</w:t>
            </w:r>
            <w:r w:rsidRPr="008160D8">
              <w:rPr>
                <w:rFonts w:cstheme="minorHAnsi"/>
                <w:szCs w:val="22"/>
              </w:rPr>
              <w:t xml:space="preserve"> required</w:t>
            </w:r>
            <w:r w:rsidR="0041135D" w:rsidRPr="008160D8">
              <w:rPr>
                <w:rFonts w:cstheme="minorHAnsi"/>
                <w:szCs w:val="22"/>
              </w:rPr>
              <w:t xml:space="preserve"> from UNICEF</w:t>
            </w:r>
            <w:r w:rsidR="00583821" w:rsidRPr="008160D8">
              <w:rPr>
                <w:rFonts w:cstheme="minorHAnsi"/>
                <w:szCs w:val="22"/>
              </w:rPr>
              <w:t xml:space="preserve">: </w:t>
            </w:r>
            <w:r w:rsidR="004110FA" w:rsidRPr="008160D8">
              <w:rPr>
                <w:rFonts w:cstheme="minorHAnsi"/>
                <w:b w:val="0"/>
                <w:szCs w:val="22"/>
              </w:rPr>
              <w:t xml:space="preserve">The </w:t>
            </w:r>
            <w:r w:rsidR="002E1A90">
              <w:rPr>
                <w:rFonts w:cstheme="minorHAnsi"/>
                <w:b w:val="0"/>
                <w:szCs w:val="22"/>
              </w:rPr>
              <w:t>consultant</w:t>
            </w:r>
            <w:r w:rsidR="00745C1D" w:rsidRPr="008160D8">
              <w:rPr>
                <w:rFonts w:cstheme="minorHAnsi"/>
                <w:b w:val="0"/>
                <w:szCs w:val="22"/>
              </w:rPr>
              <w:t xml:space="preserve"> will receive a briefing at the beginn</w:t>
            </w:r>
            <w:r w:rsidR="00767560" w:rsidRPr="008160D8">
              <w:rPr>
                <w:rFonts w:cstheme="minorHAnsi"/>
                <w:b w:val="0"/>
                <w:szCs w:val="22"/>
              </w:rPr>
              <w:t>ing</w:t>
            </w:r>
            <w:r w:rsidR="00745C1D" w:rsidRPr="008160D8">
              <w:rPr>
                <w:rFonts w:cstheme="minorHAnsi"/>
                <w:b w:val="0"/>
                <w:szCs w:val="22"/>
              </w:rPr>
              <w:t xml:space="preserve"> and regular superv</w:t>
            </w:r>
            <w:r w:rsidR="0007795C" w:rsidRPr="008160D8">
              <w:rPr>
                <w:rFonts w:cstheme="minorHAnsi"/>
                <w:b w:val="0"/>
                <w:szCs w:val="22"/>
              </w:rPr>
              <w:t>ision throughout the contracted</w:t>
            </w:r>
            <w:r w:rsidR="00745C1D" w:rsidRPr="008160D8">
              <w:rPr>
                <w:rFonts w:cstheme="minorHAnsi"/>
                <w:b w:val="0"/>
                <w:szCs w:val="22"/>
              </w:rPr>
              <w:t xml:space="preserve"> period.</w:t>
            </w:r>
            <w:r w:rsidR="00235D6C" w:rsidRPr="008160D8">
              <w:rPr>
                <w:rFonts w:cstheme="minorHAnsi"/>
                <w:b w:val="0"/>
                <w:szCs w:val="22"/>
              </w:rPr>
              <w:t xml:space="preserve"> </w:t>
            </w:r>
          </w:p>
        </w:tc>
      </w:tr>
    </w:tbl>
    <w:p w14:paraId="341084C1" w14:textId="77777777" w:rsidR="006E5B1F" w:rsidRPr="008160D8" w:rsidRDefault="006E5B1F">
      <w:pPr>
        <w:rPr>
          <w:rFonts w:cstheme="minorHAnsi"/>
          <w:szCs w:val="22"/>
        </w:rPr>
      </w:pPr>
    </w:p>
    <w:tbl>
      <w:tblPr>
        <w:tblpPr w:leftFromText="180" w:rightFromText="180" w:vertAnchor="text" w:tblpXSpec="center"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0"/>
        <w:gridCol w:w="3487"/>
        <w:gridCol w:w="1538"/>
      </w:tblGrid>
      <w:tr w:rsidR="0002494F" w:rsidRPr="008160D8" w14:paraId="3997A7DE" w14:textId="77777777" w:rsidTr="007C2F58">
        <w:trPr>
          <w:trHeight w:val="269"/>
        </w:trPr>
        <w:tc>
          <w:tcPr>
            <w:tcW w:w="9985" w:type="dxa"/>
            <w:gridSpan w:val="3"/>
            <w:tcBorders>
              <w:bottom w:val="single" w:sz="4" w:space="0" w:color="auto"/>
            </w:tcBorders>
            <w:vAlign w:val="center"/>
          </w:tcPr>
          <w:p w14:paraId="78C1B05C" w14:textId="77777777" w:rsidR="0002494F" w:rsidRPr="008160D8" w:rsidRDefault="0002494F" w:rsidP="009568D4">
            <w:pPr>
              <w:pStyle w:val="ListParagraph"/>
              <w:numPr>
                <w:ilvl w:val="0"/>
                <w:numId w:val="1"/>
              </w:numPr>
              <w:ind w:left="409" w:hanging="409"/>
              <w:rPr>
                <w:rFonts w:cstheme="minorHAnsi"/>
                <w:szCs w:val="22"/>
              </w:rPr>
            </w:pPr>
            <w:r w:rsidRPr="008160D8">
              <w:rPr>
                <w:rFonts w:cstheme="minorHAnsi"/>
                <w:szCs w:val="22"/>
              </w:rPr>
              <w:t>Description of assignment:</w:t>
            </w:r>
          </w:p>
        </w:tc>
      </w:tr>
      <w:tr w:rsidR="0002494F" w:rsidRPr="008160D8" w14:paraId="6C7A0C0A" w14:textId="77777777" w:rsidTr="007C2F58">
        <w:trPr>
          <w:trHeight w:val="269"/>
        </w:trPr>
        <w:tc>
          <w:tcPr>
            <w:tcW w:w="4960" w:type="dxa"/>
            <w:tcBorders>
              <w:top w:val="single" w:sz="4" w:space="0" w:color="auto"/>
              <w:bottom w:val="single" w:sz="4" w:space="0" w:color="auto"/>
            </w:tcBorders>
            <w:vAlign w:val="center"/>
          </w:tcPr>
          <w:p w14:paraId="0A0FBF9A" w14:textId="77777777" w:rsidR="0002494F" w:rsidRPr="008160D8" w:rsidRDefault="0002494F" w:rsidP="009568D4">
            <w:pPr>
              <w:jc w:val="center"/>
              <w:rPr>
                <w:rFonts w:cstheme="minorHAnsi"/>
                <w:b/>
                <w:szCs w:val="22"/>
              </w:rPr>
            </w:pPr>
            <w:r w:rsidRPr="008160D8">
              <w:rPr>
                <w:rFonts w:cstheme="minorHAnsi"/>
                <w:b/>
                <w:szCs w:val="22"/>
              </w:rPr>
              <w:t>Tasks</w:t>
            </w:r>
          </w:p>
        </w:tc>
        <w:tc>
          <w:tcPr>
            <w:tcW w:w="3487" w:type="dxa"/>
            <w:tcBorders>
              <w:top w:val="single" w:sz="4" w:space="0" w:color="auto"/>
              <w:bottom w:val="single" w:sz="4" w:space="0" w:color="auto"/>
            </w:tcBorders>
            <w:vAlign w:val="center"/>
          </w:tcPr>
          <w:p w14:paraId="19362328" w14:textId="77777777" w:rsidR="0002494F" w:rsidRPr="008160D8" w:rsidRDefault="0002494F" w:rsidP="009568D4">
            <w:pPr>
              <w:jc w:val="center"/>
              <w:rPr>
                <w:rFonts w:cstheme="minorHAnsi"/>
                <w:b/>
                <w:szCs w:val="22"/>
              </w:rPr>
            </w:pPr>
            <w:r w:rsidRPr="008160D8">
              <w:rPr>
                <w:rFonts w:cstheme="minorHAnsi"/>
                <w:b/>
                <w:szCs w:val="22"/>
              </w:rPr>
              <w:t>End Product/deliverables</w:t>
            </w:r>
          </w:p>
        </w:tc>
        <w:tc>
          <w:tcPr>
            <w:tcW w:w="1538" w:type="dxa"/>
            <w:tcBorders>
              <w:top w:val="single" w:sz="4" w:space="0" w:color="auto"/>
              <w:bottom w:val="single" w:sz="4" w:space="0" w:color="auto"/>
            </w:tcBorders>
            <w:vAlign w:val="center"/>
          </w:tcPr>
          <w:p w14:paraId="4CEF6F73" w14:textId="77777777" w:rsidR="006902F8" w:rsidRPr="008160D8" w:rsidRDefault="0002494F" w:rsidP="006902F8">
            <w:pPr>
              <w:jc w:val="center"/>
              <w:rPr>
                <w:rFonts w:cstheme="minorHAnsi"/>
                <w:b/>
                <w:szCs w:val="22"/>
              </w:rPr>
            </w:pPr>
            <w:r w:rsidRPr="008160D8">
              <w:rPr>
                <w:rFonts w:cstheme="minorHAnsi"/>
                <w:b/>
                <w:szCs w:val="22"/>
              </w:rPr>
              <w:t>Duration</w:t>
            </w:r>
          </w:p>
          <w:p w14:paraId="18937847" w14:textId="77777777" w:rsidR="0002494F" w:rsidRPr="008160D8" w:rsidRDefault="0002494F" w:rsidP="009568D4">
            <w:pPr>
              <w:jc w:val="center"/>
              <w:rPr>
                <w:rFonts w:cstheme="minorHAnsi"/>
                <w:b/>
                <w:szCs w:val="22"/>
              </w:rPr>
            </w:pPr>
          </w:p>
        </w:tc>
      </w:tr>
      <w:tr w:rsidR="00F679D8" w:rsidRPr="00E20549" w14:paraId="10154A82" w14:textId="77777777" w:rsidTr="007C2F58">
        <w:trPr>
          <w:trHeight w:val="548"/>
        </w:trPr>
        <w:tc>
          <w:tcPr>
            <w:tcW w:w="4960" w:type="dxa"/>
            <w:vAlign w:val="center"/>
          </w:tcPr>
          <w:p w14:paraId="212CCA14" w14:textId="72316105" w:rsidR="0094446D" w:rsidRPr="00E20549" w:rsidRDefault="00E20549" w:rsidP="00E20549">
            <w:pPr>
              <w:pStyle w:val="ListParagraph"/>
              <w:numPr>
                <w:ilvl w:val="0"/>
                <w:numId w:val="44"/>
              </w:numPr>
              <w:autoSpaceDE w:val="0"/>
              <w:autoSpaceDN w:val="0"/>
              <w:adjustRightInd w:val="0"/>
              <w:ind w:left="428"/>
              <w:jc w:val="left"/>
              <w:rPr>
                <w:rFonts w:cstheme="minorHAnsi"/>
                <w:b w:val="0"/>
                <w:szCs w:val="22"/>
              </w:rPr>
            </w:pPr>
            <w:r w:rsidRPr="00E20549">
              <w:rPr>
                <w:rFonts w:cstheme="minorHAnsi"/>
                <w:b w:val="0"/>
                <w:szCs w:val="22"/>
                <w:lang w:val="en-US" w:bidi="my-MM"/>
              </w:rPr>
              <w:t xml:space="preserve">Search and collect relevant existing literature on gender equality in Myanmar, in </w:t>
            </w:r>
            <w:r>
              <w:rPr>
                <w:rFonts w:cstheme="minorHAnsi"/>
                <w:b w:val="0"/>
                <w:szCs w:val="22"/>
                <w:lang w:val="en-US" w:bidi="my-MM"/>
              </w:rPr>
              <w:t>health system</w:t>
            </w:r>
            <w:r w:rsidRPr="00E20549">
              <w:rPr>
                <w:rFonts w:cstheme="minorHAnsi"/>
                <w:b w:val="0"/>
                <w:szCs w:val="22"/>
                <w:lang w:val="en-US" w:bidi="my-MM"/>
              </w:rPr>
              <w:t xml:space="preserve"> and </w:t>
            </w:r>
            <w:r>
              <w:rPr>
                <w:rFonts w:cstheme="minorHAnsi"/>
                <w:b w:val="0"/>
                <w:szCs w:val="22"/>
                <w:lang w:val="en-US" w:bidi="my-MM"/>
              </w:rPr>
              <w:t xml:space="preserve">in </w:t>
            </w:r>
            <w:r w:rsidRPr="00E20549">
              <w:rPr>
                <w:rFonts w:cstheme="minorHAnsi"/>
                <w:b w:val="0"/>
                <w:szCs w:val="22"/>
                <w:lang w:val="en-US" w:bidi="my-MM"/>
              </w:rPr>
              <w:t xml:space="preserve">the </w:t>
            </w:r>
            <w:r>
              <w:rPr>
                <w:rFonts w:cstheme="minorHAnsi"/>
                <w:b w:val="0"/>
                <w:szCs w:val="22"/>
                <w:lang w:val="en-US" w:bidi="my-MM"/>
              </w:rPr>
              <w:t>public health services</w:t>
            </w:r>
            <w:r w:rsidRPr="00E20549">
              <w:rPr>
                <w:rFonts w:cstheme="minorHAnsi"/>
                <w:b w:val="0"/>
                <w:szCs w:val="22"/>
                <w:lang w:val="en-US" w:bidi="my-MM"/>
              </w:rPr>
              <w:t xml:space="preserve"> specifically. Submission of shortlist of resources to be included in literature reviews to be discussed with </w:t>
            </w:r>
            <w:r>
              <w:rPr>
                <w:rFonts w:cstheme="minorHAnsi"/>
                <w:b w:val="0"/>
                <w:szCs w:val="22"/>
                <w:lang w:val="en-US" w:bidi="my-MM"/>
              </w:rPr>
              <w:t>UNICEF and cEPI</w:t>
            </w:r>
          </w:p>
        </w:tc>
        <w:tc>
          <w:tcPr>
            <w:tcW w:w="3487" w:type="dxa"/>
            <w:shd w:val="clear" w:color="auto" w:fill="auto"/>
            <w:vAlign w:val="center"/>
          </w:tcPr>
          <w:p w14:paraId="4E513137" w14:textId="47EB1BD8" w:rsidR="00F679D8" w:rsidRPr="00E20549" w:rsidRDefault="00E20549" w:rsidP="00E20549">
            <w:pPr>
              <w:tabs>
                <w:tab w:val="left" w:pos="-1080"/>
                <w:tab w:val="left" w:pos="-720"/>
                <w:tab w:val="left" w:pos="0"/>
                <w:tab w:val="left" w:pos="1620"/>
              </w:tabs>
              <w:spacing w:before="120"/>
              <w:jc w:val="left"/>
              <w:rPr>
                <w:rFonts w:cstheme="minorHAnsi"/>
                <w:szCs w:val="22"/>
                <w:lang w:eastAsia="ru-RU"/>
              </w:rPr>
            </w:pPr>
            <w:r w:rsidRPr="00E20549">
              <w:rPr>
                <w:rFonts w:cstheme="minorHAnsi"/>
                <w:szCs w:val="22"/>
                <w:lang w:eastAsia="ru-RU"/>
              </w:rPr>
              <w:t>Shortlist of resources on existing literature on gender equality in Myanmar, in health system and in the public health services</w:t>
            </w:r>
          </w:p>
        </w:tc>
        <w:tc>
          <w:tcPr>
            <w:tcW w:w="1538" w:type="dxa"/>
            <w:vAlign w:val="center"/>
          </w:tcPr>
          <w:p w14:paraId="1BD9DD8E" w14:textId="24775277" w:rsidR="00F679D8" w:rsidRPr="00E20549" w:rsidRDefault="00EB49DD" w:rsidP="00F679D8">
            <w:pPr>
              <w:tabs>
                <w:tab w:val="left" w:pos="144"/>
              </w:tabs>
              <w:spacing w:before="120"/>
              <w:jc w:val="center"/>
              <w:rPr>
                <w:rFonts w:cstheme="minorHAnsi"/>
                <w:szCs w:val="22"/>
              </w:rPr>
            </w:pPr>
            <w:r>
              <w:rPr>
                <w:rFonts w:cstheme="minorHAnsi"/>
                <w:szCs w:val="22"/>
              </w:rPr>
              <w:t>2</w:t>
            </w:r>
            <w:r w:rsidR="00163076">
              <w:rPr>
                <w:rFonts w:cstheme="minorHAnsi"/>
                <w:szCs w:val="22"/>
              </w:rPr>
              <w:t>0</w:t>
            </w:r>
            <w:r w:rsidR="0032624F" w:rsidRPr="00E20549">
              <w:rPr>
                <w:rFonts w:cstheme="minorHAnsi"/>
                <w:szCs w:val="22"/>
              </w:rPr>
              <w:t xml:space="preserve"> days</w:t>
            </w:r>
          </w:p>
        </w:tc>
      </w:tr>
      <w:tr w:rsidR="00210F17" w:rsidRPr="008160D8" w14:paraId="53167FB2" w14:textId="77777777" w:rsidTr="001E78E7">
        <w:trPr>
          <w:trHeight w:val="548"/>
        </w:trPr>
        <w:tc>
          <w:tcPr>
            <w:tcW w:w="4960" w:type="dxa"/>
            <w:vAlign w:val="center"/>
          </w:tcPr>
          <w:p w14:paraId="36FCC509" w14:textId="7D2775A4" w:rsidR="00210F17" w:rsidRPr="00EF21F4" w:rsidRDefault="00C85B75" w:rsidP="00EF21F4">
            <w:pPr>
              <w:pStyle w:val="ListParagraph"/>
              <w:numPr>
                <w:ilvl w:val="0"/>
                <w:numId w:val="44"/>
              </w:numPr>
              <w:tabs>
                <w:tab w:val="left" w:pos="-1080"/>
                <w:tab w:val="left" w:pos="-720"/>
                <w:tab w:val="left" w:pos="0"/>
                <w:tab w:val="left" w:pos="1440"/>
                <w:tab w:val="left" w:pos="2160"/>
                <w:tab w:val="left" w:pos="2520"/>
                <w:tab w:val="left" w:pos="3600"/>
              </w:tabs>
              <w:ind w:left="428"/>
              <w:jc w:val="left"/>
              <w:rPr>
                <w:rFonts w:cstheme="minorHAnsi"/>
                <w:b w:val="0"/>
                <w:bCs/>
                <w:szCs w:val="22"/>
              </w:rPr>
            </w:pPr>
            <w:r>
              <w:rPr>
                <w:rFonts w:cstheme="minorHAnsi"/>
                <w:b w:val="0"/>
                <w:bCs/>
                <w:szCs w:val="22"/>
              </w:rPr>
              <w:lastRenderedPageBreak/>
              <w:t>Analyse</w:t>
            </w:r>
            <w:r w:rsidR="00EF21F4" w:rsidRPr="00EF21F4">
              <w:rPr>
                <w:rFonts w:cstheme="minorHAnsi"/>
                <w:b w:val="0"/>
                <w:bCs/>
                <w:szCs w:val="22"/>
              </w:rPr>
              <w:t xml:space="preserve"> relevant literature</w:t>
            </w:r>
            <w:r w:rsidR="00192546">
              <w:rPr>
                <w:rFonts w:cstheme="minorHAnsi"/>
                <w:b w:val="0"/>
                <w:bCs/>
                <w:szCs w:val="22"/>
              </w:rPr>
              <w:t>s</w:t>
            </w:r>
            <w:r>
              <w:rPr>
                <w:rFonts w:cstheme="minorHAnsi"/>
                <w:b w:val="0"/>
                <w:bCs/>
                <w:szCs w:val="22"/>
              </w:rPr>
              <w:t>, data, articles, policies and guidelines</w:t>
            </w:r>
            <w:r w:rsidR="00192546">
              <w:rPr>
                <w:rFonts w:cstheme="minorHAnsi"/>
                <w:b w:val="0"/>
                <w:bCs/>
                <w:szCs w:val="22"/>
              </w:rPr>
              <w:t xml:space="preserve"> addressing the abovementioned specific objectives </w:t>
            </w:r>
            <w:r w:rsidR="00EF21F4" w:rsidRPr="00EF21F4">
              <w:rPr>
                <w:rFonts w:cstheme="minorHAnsi"/>
                <w:b w:val="0"/>
                <w:bCs/>
                <w:szCs w:val="22"/>
              </w:rPr>
              <w:t>– both in English and Myanmar language versions. The References section should also be included.</w:t>
            </w:r>
          </w:p>
        </w:tc>
        <w:tc>
          <w:tcPr>
            <w:tcW w:w="3487" w:type="dxa"/>
            <w:shd w:val="clear" w:color="auto" w:fill="auto"/>
            <w:vAlign w:val="center"/>
          </w:tcPr>
          <w:p w14:paraId="1A1FB892" w14:textId="0171559F" w:rsidR="00210F17" w:rsidRPr="0032624F" w:rsidRDefault="00192546" w:rsidP="00210F17">
            <w:pPr>
              <w:tabs>
                <w:tab w:val="left" w:pos="-1080"/>
                <w:tab w:val="left" w:pos="-720"/>
                <w:tab w:val="left" w:pos="0"/>
                <w:tab w:val="left" w:pos="1620"/>
              </w:tabs>
              <w:spacing w:before="120"/>
              <w:jc w:val="left"/>
              <w:rPr>
                <w:rFonts w:cstheme="minorHAnsi"/>
                <w:szCs w:val="22"/>
                <w:lang w:eastAsia="ru-RU"/>
              </w:rPr>
            </w:pPr>
            <w:r>
              <w:rPr>
                <w:rFonts w:cstheme="minorHAnsi"/>
                <w:szCs w:val="22"/>
                <w:lang w:eastAsia="ru-RU"/>
              </w:rPr>
              <w:t>Literature review in English and Myanmar languages</w:t>
            </w:r>
          </w:p>
        </w:tc>
        <w:tc>
          <w:tcPr>
            <w:tcW w:w="1538" w:type="dxa"/>
            <w:shd w:val="clear" w:color="auto" w:fill="auto"/>
            <w:vAlign w:val="center"/>
          </w:tcPr>
          <w:p w14:paraId="4DF88BC2" w14:textId="02071D2C" w:rsidR="00210F17" w:rsidRPr="001E78E7" w:rsidRDefault="001E78E7" w:rsidP="001E78E7">
            <w:pPr>
              <w:tabs>
                <w:tab w:val="left" w:pos="-1080"/>
                <w:tab w:val="left" w:pos="-720"/>
                <w:tab w:val="left" w:pos="0"/>
                <w:tab w:val="left" w:pos="1620"/>
              </w:tabs>
              <w:jc w:val="center"/>
              <w:rPr>
                <w:rFonts w:cstheme="minorHAnsi"/>
                <w:bCs/>
                <w:szCs w:val="22"/>
                <w:lang w:eastAsia="ru-RU"/>
              </w:rPr>
            </w:pPr>
            <w:r>
              <w:rPr>
                <w:rFonts w:cstheme="minorHAnsi"/>
                <w:bCs/>
                <w:szCs w:val="22"/>
                <w:lang w:eastAsia="ru-RU"/>
              </w:rPr>
              <w:t xml:space="preserve">30 </w:t>
            </w:r>
            <w:r w:rsidR="00210F17" w:rsidRPr="001E78E7">
              <w:rPr>
                <w:rFonts w:cstheme="minorHAnsi"/>
                <w:bCs/>
                <w:szCs w:val="22"/>
                <w:lang w:eastAsia="ru-RU"/>
              </w:rPr>
              <w:t>days</w:t>
            </w:r>
          </w:p>
        </w:tc>
      </w:tr>
      <w:tr w:rsidR="006E48E9" w:rsidRPr="008160D8" w14:paraId="044231C6" w14:textId="77777777" w:rsidTr="00864F88">
        <w:trPr>
          <w:trHeight w:val="1367"/>
        </w:trPr>
        <w:tc>
          <w:tcPr>
            <w:tcW w:w="4960" w:type="dxa"/>
          </w:tcPr>
          <w:p w14:paraId="4D5E6008" w14:textId="1922BC23" w:rsidR="001E78E7" w:rsidRPr="001E78E7" w:rsidRDefault="00C85B75" w:rsidP="001E78E7">
            <w:pPr>
              <w:pStyle w:val="ListParagraph"/>
              <w:numPr>
                <w:ilvl w:val="0"/>
                <w:numId w:val="44"/>
              </w:numPr>
              <w:tabs>
                <w:tab w:val="left" w:pos="-1080"/>
                <w:tab w:val="left" w:pos="-720"/>
                <w:tab w:val="left" w:pos="0"/>
                <w:tab w:val="left" w:pos="1440"/>
                <w:tab w:val="left" w:pos="2160"/>
                <w:tab w:val="left" w:pos="2520"/>
                <w:tab w:val="left" w:pos="3600"/>
              </w:tabs>
              <w:ind w:left="428"/>
              <w:jc w:val="left"/>
              <w:rPr>
                <w:rFonts w:cstheme="minorHAnsi"/>
                <w:b w:val="0"/>
                <w:bCs/>
                <w:szCs w:val="22"/>
              </w:rPr>
            </w:pPr>
            <w:r>
              <w:rPr>
                <w:rFonts w:cstheme="minorHAnsi"/>
                <w:b w:val="0"/>
                <w:bCs/>
                <w:szCs w:val="22"/>
              </w:rPr>
              <w:t>Coordinate</w:t>
            </w:r>
            <w:r w:rsidR="001E78E7" w:rsidRPr="001E78E7">
              <w:rPr>
                <w:rFonts w:cstheme="minorHAnsi"/>
                <w:b w:val="0"/>
                <w:bCs/>
                <w:szCs w:val="22"/>
              </w:rPr>
              <w:t xml:space="preserve"> for </w:t>
            </w:r>
            <w:r>
              <w:rPr>
                <w:rFonts w:cstheme="minorHAnsi"/>
                <w:b w:val="0"/>
                <w:bCs/>
                <w:szCs w:val="22"/>
              </w:rPr>
              <w:t xml:space="preserve">a </w:t>
            </w:r>
            <w:r w:rsidR="001E78E7" w:rsidRPr="001E78E7">
              <w:rPr>
                <w:rFonts w:cstheme="minorHAnsi"/>
                <w:b w:val="0"/>
                <w:bCs/>
                <w:szCs w:val="22"/>
              </w:rPr>
              <w:t xml:space="preserve">gender </w:t>
            </w:r>
            <w:r w:rsidR="001E78E7">
              <w:rPr>
                <w:rFonts w:cstheme="minorHAnsi"/>
                <w:b w:val="0"/>
                <w:bCs/>
                <w:szCs w:val="22"/>
              </w:rPr>
              <w:t>sensitivity awareness workshop</w:t>
            </w:r>
            <w:r w:rsidR="001E78E7" w:rsidRPr="001E78E7">
              <w:rPr>
                <w:rFonts w:cstheme="minorHAnsi"/>
                <w:b w:val="0"/>
                <w:bCs/>
                <w:szCs w:val="22"/>
              </w:rPr>
              <w:t xml:space="preserve"> </w:t>
            </w:r>
            <w:r w:rsidR="001E78E7">
              <w:rPr>
                <w:rFonts w:cstheme="minorHAnsi"/>
                <w:b w:val="0"/>
                <w:bCs/>
                <w:szCs w:val="22"/>
              </w:rPr>
              <w:t>with relevant stakeholders</w:t>
            </w:r>
            <w:r w:rsidR="001E78E7" w:rsidRPr="001E78E7">
              <w:rPr>
                <w:rFonts w:cstheme="minorHAnsi"/>
                <w:b w:val="0"/>
                <w:bCs/>
                <w:szCs w:val="22"/>
              </w:rPr>
              <w:t xml:space="preserve"> </w:t>
            </w:r>
            <w:r w:rsidR="001E78E7">
              <w:rPr>
                <w:rFonts w:cstheme="minorHAnsi"/>
                <w:b w:val="0"/>
                <w:bCs/>
                <w:szCs w:val="22"/>
              </w:rPr>
              <w:t>by using key findings from the desk review</w:t>
            </w:r>
            <w:r w:rsidR="00864F88">
              <w:rPr>
                <w:rFonts w:cstheme="minorHAnsi"/>
                <w:b w:val="0"/>
                <w:bCs/>
                <w:szCs w:val="22"/>
              </w:rPr>
              <w:t>.</w:t>
            </w:r>
          </w:p>
        </w:tc>
        <w:tc>
          <w:tcPr>
            <w:tcW w:w="3487" w:type="dxa"/>
            <w:shd w:val="clear" w:color="auto" w:fill="auto"/>
            <w:vAlign w:val="center"/>
          </w:tcPr>
          <w:p w14:paraId="3897015A" w14:textId="1CC003CF" w:rsidR="001E78E7" w:rsidRPr="001E78E7" w:rsidRDefault="001E78E7" w:rsidP="001E78E7">
            <w:pPr>
              <w:rPr>
                <w:lang w:eastAsia="ru-RU"/>
              </w:rPr>
            </w:pPr>
            <w:r>
              <w:rPr>
                <w:lang w:eastAsia="ru-RU"/>
              </w:rPr>
              <w:t>Gender sensitivity awareness workshop conducted</w:t>
            </w:r>
          </w:p>
        </w:tc>
        <w:tc>
          <w:tcPr>
            <w:tcW w:w="1538" w:type="dxa"/>
            <w:vAlign w:val="center"/>
          </w:tcPr>
          <w:p w14:paraId="141BA97F" w14:textId="7C4CE266" w:rsidR="006E48E9" w:rsidRPr="001E78E7" w:rsidRDefault="00BD2444" w:rsidP="001E78E7">
            <w:pPr>
              <w:tabs>
                <w:tab w:val="left" w:pos="144"/>
              </w:tabs>
              <w:spacing w:before="120"/>
              <w:jc w:val="center"/>
              <w:rPr>
                <w:rFonts w:cstheme="minorHAnsi"/>
                <w:bCs/>
                <w:szCs w:val="22"/>
              </w:rPr>
            </w:pPr>
            <w:r>
              <w:rPr>
                <w:rFonts w:cstheme="minorHAnsi"/>
                <w:bCs/>
                <w:szCs w:val="22"/>
              </w:rPr>
              <w:t>20</w:t>
            </w:r>
            <w:r w:rsidR="00FE545A" w:rsidRPr="001E78E7">
              <w:rPr>
                <w:rFonts w:cstheme="minorHAnsi"/>
                <w:bCs/>
                <w:szCs w:val="22"/>
              </w:rPr>
              <w:t xml:space="preserve"> </w:t>
            </w:r>
            <w:r w:rsidR="006E48E9" w:rsidRPr="001E78E7">
              <w:rPr>
                <w:rFonts w:cstheme="minorHAnsi"/>
                <w:bCs/>
                <w:szCs w:val="22"/>
              </w:rPr>
              <w:t>days</w:t>
            </w:r>
          </w:p>
        </w:tc>
      </w:tr>
      <w:tr w:rsidR="0094446D" w:rsidRPr="008160D8" w14:paraId="610EC262" w14:textId="77777777" w:rsidTr="001E78E7">
        <w:trPr>
          <w:trHeight w:val="787"/>
        </w:trPr>
        <w:tc>
          <w:tcPr>
            <w:tcW w:w="4960" w:type="dxa"/>
            <w:vAlign w:val="center"/>
          </w:tcPr>
          <w:p w14:paraId="7E814B5A" w14:textId="0A03646F" w:rsidR="0094446D" w:rsidRPr="001E78E7" w:rsidRDefault="001E78E7" w:rsidP="001E78E7">
            <w:pPr>
              <w:pStyle w:val="ListParagraph"/>
              <w:numPr>
                <w:ilvl w:val="0"/>
                <w:numId w:val="44"/>
              </w:numPr>
              <w:tabs>
                <w:tab w:val="left" w:pos="-1080"/>
                <w:tab w:val="left" w:pos="-720"/>
                <w:tab w:val="left" w:pos="0"/>
                <w:tab w:val="left" w:pos="1440"/>
                <w:tab w:val="left" w:pos="2160"/>
                <w:tab w:val="left" w:pos="2520"/>
                <w:tab w:val="left" w:pos="3600"/>
              </w:tabs>
              <w:ind w:left="428"/>
              <w:jc w:val="left"/>
              <w:rPr>
                <w:rFonts w:cstheme="minorHAnsi"/>
                <w:bCs/>
                <w:szCs w:val="22"/>
              </w:rPr>
            </w:pPr>
            <w:r>
              <w:rPr>
                <w:rFonts w:cstheme="minorHAnsi"/>
                <w:b w:val="0"/>
                <w:szCs w:val="22"/>
              </w:rPr>
              <w:t xml:space="preserve">Draft a report on </w:t>
            </w:r>
            <w:r w:rsidR="00864F88">
              <w:rPr>
                <w:rFonts w:cstheme="minorHAnsi"/>
                <w:b w:val="0"/>
                <w:szCs w:val="22"/>
              </w:rPr>
              <w:t xml:space="preserve">workshop recommendations, key findings and way forward for </w:t>
            </w:r>
            <w:r w:rsidR="00864F88" w:rsidRPr="00864F88">
              <w:rPr>
                <w:rFonts w:cstheme="minorHAnsi"/>
                <w:b w:val="0"/>
                <w:szCs w:val="22"/>
              </w:rPr>
              <w:t>developing and implementation of gender-sensitive immunization services</w:t>
            </w:r>
            <w:r w:rsidR="00864F88">
              <w:rPr>
                <w:rFonts w:cstheme="minorHAnsi"/>
                <w:b w:val="0"/>
                <w:szCs w:val="22"/>
              </w:rPr>
              <w:t>. Finalize the report after review by the cEPI and UNICEF.</w:t>
            </w:r>
          </w:p>
        </w:tc>
        <w:tc>
          <w:tcPr>
            <w:tcW w:w="3487" w:type="dxa"/>
            <w:shd w:val="clear" w:color="auto" w:fill="auto"/>
            <w:vAlign w:val="center"/>
          </w:tcPr>
          <w:p w14:paraId="4134AB6A" w14:textId="7EE72047" w:rsidR="0094446D" w:rsidRPr="008160D8" w:rsidRDefault="00864F88" w:rsidP="0094446D">
            <w:pPr>
              <w:tabs>
                <w:tab w:val="left" w:pos="-1080"/>
                <w:tab w:val="left" w:pos="-720"/>
                <w:tab w:val="left" w:pos="0"/>
                <w:tab w:val="left" w:pos="1620"/>
              </w:tabs>
              <w:spacing w:before="120"/>
              <w:jc w:val="left"/>
              <w:rPr>
                <w:rFonts w:cstheme="minorHAnsi"/>
                <w:szCs w:val="22"/>
              </w:rPr>
            </w:pPr>
            <w:r>
              <w:rPr>
                <w:rFonts w:cstheme="minorHAnsi"/>
                <w:szCs w:val="22"/>
              </w:rPr>
              <w:t xml:space="preserve">Final report </w:t>
            </w:r>
            <w:r w:rsidR="00C85B75">
              <w:rPr>
                <w:rFonts w:cstheme="minorHAnsi"/>
                <w:szCs w:val="22"/>
              </w:rPr>
              <w:t xml:space="preserve">and final presentation </w:t>
            </w:r>
            <w:r>
              <w:rPr>
                <w:rFonts w:cstheme="minorHAnsi"/>
                <w:szCs w:val="22"/>
              </w:rPr>
              <w:t xml:space="preserve">on </w:t>
            </w:r>
            <w:r w:rsidRPr="00864F88">
              <w:rPr>
                <w:rFonts w:cstheme="minorHAnsi"/>
                <w:szCs w:val="22"/>
              </w:rPr>
              <w:t>workshop recommendations, key findings and way forward for developing and implementation of gender-sensitive immunization services</w:t>
            </w:r>
          </w:p>
        </w:tc>
        <w:tc>
          <w:tcPr>
            <w:tcW w:w="1538" w:type="dxa"/>
            <w:vAlign w:val="center"/>
          </w:tcPr>
          <w:p w14:paraId="1CA0D4C1" w14:textId="001F221A" w:rsidR="0094446D" w:rsidRPr="001E78E7" w:rsidRDefault="00BD2444" w:rsidP="001E78E7">
            <w:pPr>
              <w:tabs>
                <w:tab w:val="left" w:pos="144"/>
              </w:tabs>
              <w:jc w:val="center"/>
              <w:rPr>
                <w:rFonts w:cstheme="minorHAnsi"/>
                <w:bCs/>
                <w:szCs w:val="22"/>
              </w:rPr>
            </w:pPr>
            <w:r>
              <w:rPr>
                <w:rFonts w:cstheme="minorHAnsi"/>
                <w:bCs/>
                <w:szCs w:val="22"/>
              </w:rPr>
              <w:t>30</w:t>
            </w:r>
            <w:r w:rsidR="0094446D" w:rsidRPr="001E78E7">
              <w:rPr>
                <w:rFonts w:cstheme="minorHAnsi"/>
                <w:bCs/>
                <w:szCs w:val="22"/>
              </w:rPr>
              <w:t xml:space="preserve"> </w:t>
            </w:r>
            <w:r w:rsidR="00941236" w:rsidRPr="001E78E7">
              <w:rPr>
                <w:rFonts w:cstheme="minorHAnsi"/>
                <w:bCs/>
                <w:szCs w:val="22"/>
              </w:rPr>
              <w:t>days</w:t>
            </w:r>
          </w:p>
        </w:tc>
      </w:tr>
      <w:tr w:rsidR="0094446D" w:rsidRPr="008160D8" w14:paraId="4BB362A2" w14:textId="77777777" w:rsidTr="007C2F58">
        <w:trPr>
          <w:trHeight w:val="848"/>
        </w:trPr>
        <w:tc>
          <w:tcPr>
            <w:tcW w:w="9985" w:type="dxa"/>
            <w:gridSpan w:val="3"/>
            <w:vAlign w:val="center"/>
          </w:tcPr>
          <w:p w14:paraId="0E441461" w14:textId="77777777" w:rsidR="0094446D" w:rsidRPr="008160D8" w:rsidRDefault="0094446D" w:rsidP="0094446D">
            <w:pPr>
              <w:pStyle w:val="ListParagraph"/>
              <w:numPr>
                <w:ilvl w:val="0"/>
                <w:numId w:val="1"/>
              </w:numPr>
              <w:ind w:left="342" w:hanging="342"/>
              <w:rPr>
                <w:rFonts w:cstheme="minorHAnsi"/>
                <w:szCs w:val="22"/>
              </w:rPr>
            </w:pPr>
            <w:r w:rsidRPr="008160D8">
              <w:rPr>
                <w:rFonts w:cstheme="minorHAnsi"/>
                <w:szCs w:val="22"/>
              </w:rPr>
              <w:t xml:space="preserve">Selection process </w:t>
            </w:r>
          </w:p>
          <w:p w14:paraId="64CE7A7E" w14:textId="57217378" w:rsidR="0094446D" w:rsidRPr="008160D8" w:rsidRDefault="00E156F5" w:rsidP="0094446D">
            <w:pPr>
              <w:rPr>
                <w:rFonts w:cstheme="minorHAnsi"/>
                <w:szCs w:val="22"/>
              </w:rPr>
            </w:pPr>
            <w:r>
              <w:rPr>
                <w:rFonts w:cstheme="minorHAnsi"/>
                <w:szCs w:val="22"/>
              </w:rPr>
              <w:t>Through a competitive call for expression of interest</w:t>
            </w:r>
            <w:r w:rsidR="00C85B75">
              <w:rPr>
                <w:rFonts w:cstheme="minorHAnsi"/>
                <w:szCs w:val="22"/>
              </w:rPr>
              <w:t xml:space="preserve"> (EOI)</w:t>
            </w:r>
            <w:r>
              <w:rPr>
                <w:rFonts w:cstheme="minorHAnsi"/>
                <w:szCs w:val="22"/>
              </w:rPr>
              <w:t>, t</w:t>
            </w:r>
            <w:r w:rsidR="0094446D" w:rsidRPr="008160D8">
              <w:rPr>
                <w:rFonts w:cstheme="minorHAnsi"/>
                <w:szCs w:val="22"/>
              </w:rPr>
              <w:t xml:space="preserve">he </w:t>
            </w:r>
            <w:r>
              <w:rPr>
                <w:rFonts w:cstheme="minorHAnsi"/>
                <w:szCs w:val="22"/>
              </w:rPr>
              <w:t>consultant</w:t>
            </w:r>
            <w:r w:rsidR="0094446D" w:rsidRPr="008160D8">
              <w:rPr>
                <w:rFonts w:cstheme="minorHAnsi"/>
                <w:szCs w:val="22"/>
              </w:rPr>
              <w:t xml:space="preserve"> will be selected based on the candidate’s past experiences </w:t>
            </w:r>
            <w:r w:rsidR="00941236">
              <w:rPr>
                <w:rFonts w:cstheme="minorHAnsi"/>
                <w:szCs w:val="22"/>
              </w:rPr>
              <w:t>o</w:t>
            </w:r>
            <w:r w:rsidR="0094446D" w:rsidRPr="008160D8">
              <w:rPr>
                <w:rFonts w:cstheme="minorHAnsi"/>
                <w:szCs w:val="22"/>
              </w:rPr>
              <w:t xml:space="preserve">n </w:t>
            </w:r>
            <w:r>
              <w:rPr>
                <w:rFonts w:cstheme="minorHAnsi"/>
                <w:szCs w:val="22"/>
              </w:rPr>
              <w:t>gender studies/assessment or relevant similar experiences</w:t>
            </w:r>
            <w:r w:rsidR="0094446D" w:rsidRPr="008160D8">
              <w:rPr>
                <w:rFonts w:cstheme="minorHAnsi"/>
                <w:szCs w:val="22"/>
              </w:rPr>
              <w:t>.</w:t>
            </w:r>
            <w:r w:rsidR="00C85B75">
              <w:rPr>
                <w:rFonts w:cstheme="minorHAnsi"/>
                <w:szCs w:val="22"/>
              </w:rPr>
              <w:t xml:space="preserve"> Call for EOI will be announced to the public via UNICEF Myanmar and MIMU websites.</w:t>
            </w:r>
          </w:p>
          <w:p w14:paraId="603E28E2" w14:textId="77777777" w:rsidR="0094446D" w:rsidRPr="008160D8" w:rsidRDefault="0094446D" w:rsidP="0094446D">
            <w:pPr>
              <w:rPr>
                <w:rFonts w:cstheme="minorHAnsi"/>
                <w:szCs w:val="22"/>
              </w:rPr>
            </w:pPr>
          </w:p>
        </w:tc>
      </w:tr>
      <w:tr w:rsidR="0094446D" w:rsidRPr="008160D8" w14:paraId="2D93AC46" w14:textId="77777777" w:rsidTr="007C2F58">
        <w:trPr>
          <w:trHeight w:val="848"/>
        </w:trPr>
        <w:tc>
          <w:tcPr>
            <w:tcW w:w="9985" w:type="dxa"/>
            <w:gridSpan w:val="3"/>
            <w:vAlign w:val="center"/>
          </w:tcPr>
          <w:p w14:paraId="3BDBB658" w14:textId="77777777" w:rsidR="0094446D" w:rsidRPr="008160D8" w:rsidRDefault="0094446D" w:rsidP="0094446D">
            <w:pPr>
              <w:pStyle w:val="ListParagraph"/>
              <w:numPr>
                <w:ilvl w:val="0"/>
                <w:numId w:val="1"/>
              </w:numPr>
              <w:ind w:left="499" w:hanging="450"/>
              <w:rPr>
                <w:rFonts w:cstheme="minorHAnsi"/>
                <w:szCs w:val="22"/>
              </w:rPr>
            </w:pPr>
            <w:r w:rsidRPr="008160D8">
              <w:rPr>
                <w:rFonts w:cstheme="minorHAnsi"/>
                <w:szCs w:val="22"/>
              </w:rPr>
              <w:t>Qualification and specialized knowledge/experience required for the assignment:</w:t>
            </w:r>
          </w:p>
          <w:p w14:paraId="76EF3178" w14:textId="76A474C1" w:rsidR="0094446D" w:rsidRDefault="0094446D" w:rsidP="0094446D">
            <w:pPr>
              <w:rPr>
                <w:rFonts w:cstheme="minorHAnsi"/>
                <w:b/>
                <w:szCs w:val="22"/>
              </w:rPr>
            </w:pPr>
            <w:r w:rsidRPr="008160D8">
              <w:rPr>
                <w:rFonts w:cstheme="minorHAnsi"/>
                <w:szCs w:val="22"/>
              </w:rPr>
              <w:t xml:space="preserve"> </w:t>
            </w:r>
            <w:r w:rsidRPr="008160D8">
              <w:rPr>
                <w:rFonts w:cstheme="minorHAnsi"/>
                <w:b/>
                <w:szCs w:val="22"/>
              </w:rPr>
              <w:t>Education and Skills</w:t>
            </w:r>
          </w:p>
          <w:p w14:paraId="5149D130" w14:textId="6498460E" w:rsidR="0094446D" w:rsidRPr="001B5433" w:rsidRDefault="00C85B75" w:rsidP="001B5433">
            <w:pPr>
              <w:pStyle w:val="ListParagraph"/>
              <w:numPr>
                <w:ilvl w:val="0"/>
                <w:numId w:val="48"/>
              </w:numPr>
              <w:rPr>
                <w:rFonts w:eastAsia="Calibri" w:cstheme="minorHAnsi"/>
                <w:b w:val="0"/>
                <w:bCs/>
                <w:szCs w:val="22"/>
              </w:rPr>
            </w:pPr>
            <w:r>
              <w:rPr>
                <w:rFonts w:cstheme="minorHAnsi"/>
                <w:b w:val="0"/>
                <w:bCs/>
                <w:szCs w:val="22"/>
              </w:rPr>
              <w:t>U</w:t>
            </w:r>
            <w:r w:rsidR="0094446D" w:rsidRPr="001B5433">
              <w:rPr>
                <w:rFonts w:cstheme="minorHAnsi"/>
                <w:b w:val="0"/>
                <w:bCs/>
                <w:szCs w:val="22"/>
              </w:rPr>
              <w:t xml:space="preserve">niversity degree in </w:t>
            </w:r>
            <w:r w:rsidR="00E156F5" w:rsidRPr="001B5433">
              <w:rPr>
                <w:rFonts w:cstheme="minorHAnsi"/>
                <w:b w:val="0"/>
                <w:bCs/>
                <w:szCs w:val="22"/>
              </w:rPr>
              <w:t xml:space="preserve">gender studies, </w:t>
            </w:r>
            <w:r w:rsidR="00C777EC">
              <w:rPr>
                <w:rFonts w:cstheme="minorHAnsi"/>
                <w:b w:val="0"/>
                <w:bCs/>
                <w:szCs w:val="22"/>
              </w:rPr>
              <w:t xml:space="preserve">women studies, </w:t>
            </w:r>
            <w:r w:rsidR="00E156F5" w:rsidRPr="001B5433">
              <w:rPr>
                <w:rFonts w:cstheme="minorHAnsi"/>
                <w:b w:val="0"/>
                <w:bCs/>
                <w:szCs w:val="22"/>
              </w:rPr>
              <w:t>social science</w:t>
            </w:r>
            <w:r w:rsidR="00DF6835">
              <w:rPr>
                <w:rFonts w:cstheme="minorHAnsi"/>
                <w:b w:val="0"/>
                <w:bCs/>
                <w:szCs w:val="22"/>
              </w:rPr>
              <w:t>s</w:t>
            </w:r>
            <w:r w:rsidR="00E156F5" w:rsidRPr="001B5433">
              <w:rPr>
                <w:rFonts w:cstheme="minorHAnsi"/>
                <w:b w:val="0"/>
                <w:bCs/>
                <w:szCs w:val="22"/>
              </w:rPr>
              <w:t>, sociology, anthropology, public health</w:t>
            </w:r>
            <w:r w:rsidR="0094446D" w:rsidRPr="001B5433">
              <w:rPr>
                <w:rFonts w:cstheme="minorHAnsi"/>
                <w:b w:val="0"/>
                <w:bCs/>
                <w:szCs w:val="22"/>
              </w:rPr>
              <w:t xml:space="preserve"> </w:t>
            </w:r>
            <w:r w:rsidR="00507F4F" w:rsidRPr="001B5433">
              <w:rPr>
                <w:rFonts w:cstheme="minorHAnsi"/>
                <w:b w:val="0"/>
                <w:bCs/>
                <w:szCs w:val="22"/>
              </w:rPr>
              <w:t>or</w:t>
            </w:r>
            <w:r w:rsidR="0094446D" w:rsidRPr="001B5433">
              <w:rPr>
                <w:rFonts w:cstheme="minorHAnsi"/>
                <w:b w:val="0"/>
                <w:bCs/>
                <w:szCs w:val="22"/>
              </w:rPr>
              <w:t xml:space="preserve"> </w:t>
            </w:r>
            <w:r w:rsidR="00941236" w:rsidRPr="001B5433">
              <w:rPr>
                <w:rFonts w:cstheme="minorHAnsi"/>
                <w:b w:val="0"/>
                <w:bCs/>
                <w:szCs w:val="22"/>
              </w:rPr>
              <w:t>other relevant field</w:t>
            </w:r>
            <w:r>
              <w:rPr>
                <w:rFonts w:cstheme="minorHAnsi"/>
                <w:b w:val="0"/>
                <w:bCs/>
                <w:szCs w:val="22"/>
              </w:rPr>
              <w:t xml:space="preserve"> and advance degree will be an asset.</w:t>
            </w:r>
          </w:p>
          <w:p w14:paraId="17EAFD60" w14:textId="77777777" w:rsidR="0094446D" w:rsidRPr="008160D8" w:rsidRDefault="0094446D" w:rsidP="0094446D">
            <w:pPr>
              <w:rPr>
                <w:rFonts w:eastAsia="Calibri" w:cstheme="minorHAnsi"/>
                <w:b/>
                <w:bCs/>
                <w:szCs w:val="22"/>
              </w:rPr>
            </w:pPr>
          </w:p>
          <w:p w14:paraId="2D0704AC" w14:textId="77777777" w:rsidR="0094446D" w:rsidRPr="008160D8" w:rsidRDefault="0094446D" w:rsidP="0094446D">
            <w:pPr>
              <w:rPr>
                <w:rFonts w:cstheme="minorHAnsi"/>
                <w:szCs w:val="22"/>
              </w:rPr>
            </w:pPr>
            <w:r w:rsidRPr="008160D8">
              <w:rPr>
                <w:rFonts w:eastAsia="Calibri" w:cstheme="minorHAnsi"/>
                <w:b/>
                <w:bCs/>
                <w:szCs w:val="22"/>
              </w:rPr>
              <w:t>Specialised knowledge and experience:</w:t>
            </w:r>
          </w:p>
          <w:p w14:paraId="71147723" w14:textId="18E2128F" w:rsidR="001B5433" w:rsidRPr="004722CD" w:rsidRDefault="0094446D" w:rsidP="001B5433">
            <w:pPr>
              <w:pStyle w:val="ListParagraph"/>
              <w:widowControl w:val="0"/>
              <w:numPr>
                <w:ilvl w:val="0"/>
                <w:numId w:val="48"/>
              </w:numPr>
              <w:tabs>
                <w:tab w:val="left" w:pos="-1080"/>
                <w:tab w:val="left" w:pos="-720"/>
                <w:tab w:val="left" w:pos="788"/>
                <w:tab w:val="left" w:pos="1440"/>
                <w:tab w:val="left" w:pos="2160"/>
                <w:tab w:val="left" w:pos="2520"/>
                <w:tab w:val="left" w:pos="3600"/>
              </w:tabs>
              <w:jc w:val="left"/>
              <w:rPr>
                <w:rFonts w:cstheme="minorHAnsi"/>
                <w:b w:val="0"/>
                <w:bCs/>
                <w:szCs w:val="22"/>
              </w:rPr>
            </w:pPr>
            <w:r w:rsidRPr="001B5433">
              <w:rPr>
                <w:rFonts w:cstheme="minorHAnsi"/>
                <w:b w:val="0"/>
                <w:bCs/>
                <w:szCs w:val="22"/>
              </w:rPr>
              <w:t>Minim</w:t>
            </w:r>
            <w:r w:rsidRPr="004722CD">
              <w:rPr>
                <w:rFonts w:cstheme="minorHAnsi"/>
                <w:b w:val="0"/>
                <w:bCs/>
                <w:szCs w:val="22"/>
              </w:rPr>
              <w:t>um five</w:t>
            </w:r>
            <w:r w:rsidR="00507F4F" w:rsidRPr="004722CD">
              <w:rPr>
                <w:rFonts w:cstheme="minorHAnsi"/>
                <w:b w:val="0"/>
                <w:bCs/>
                <w:szCs w:val="22"/>
              </w:rPr>
              <w:t>-</w:t>
            </w:r>
            <w:r w:rsidRPr="004722CD">
              <w:rPr>
                <w:rFonts w:cstheme="minorHAnsi"/>
                <w:b w:val="0"/>
                <w:bCs/>
                <w:szCs w:val="22"/>
              </w:rPr>
              <w:t xml:space="preserve">year </w:t>
            </w:r>
            <w:r w:rsidR="001B5433" w:rsidRPr="004722CD">
              <w:rPr>
                <w:rFonts w:cstheme="minorHAnsi"/>
                <w:b w:val="0"/>
                <w:bCs/>
                <w:szCs w:val="22"/>
              </w:rPr>
              <w:t xml:space="preserve">of working </w:t>
            </w:r>
            <w:r w:rsidRPr="004722CD">
              <w:rPr>
                <w:rFonts w:cstheme="minorHAnsi"/>
                <w:b w:val="0"/>
                <w:bCs/>
                <w:szCs w:val="22"/>
              </w:rPr>
              <w:t xml:space="preserve">experience </w:t>
            </w:r>
            <w:r w:rsidR="001B5433" w:rsidRPr="004722CD">
              <w:rPr>
                <w:rFonts w:cstheme="minorHAnsi"/>
                <w:b w:val="0"/>
                <w:bCs/>
                <w:szCs w:val="22"/>
              </w:rPr>
              <w:t>related to gender studies/</w:t>
            </w:r>
            <w:r w:rsidR="004722CD" w:rsidRPr="004722CD">
              <w:rPr>
                <w:rFonts w:cstheme="minorHAnsi"/>
                <w:b w:val="0"/>
                <w:bCs/>
                <w:szCs w:val="22"/>
              </w:rPr>
              <w:t>research/</w:t>
            </w:r>
            <w:r w:rsidR="001B5433" w:rsidRPr="004722CD">
              <w:rPr>
                <w:rFonts w:cstheme="minorHAnsi"/>
                <w:b w:val="0"/>
                <w:bCs/>
                <w:szCs w:val="22"/>
              </w:rPr>
              <w:t>assessment</w:t>
            </w:r>
            <w:r w:rsidR="004722CD">
              <w:rPr>
                <w:rFonts w:cstheme="minorHAnsi"/>
                <w:b w:val="0"/>
                <w:bCs/>
                <w:szCs w:val="22"/>
              </w:rPr>
              <w:t xml:space="preserve"> and/or</w:t>
            </w:r>
            <w:r w:rsidR="001B5433" w:rsidRPr="004722CD">
              <w:rPr>
                <w:rFonts w:cstheme="minorHAnsi"/>
                <w:b w:val="0"/>
                <w:bCs/>
                <w:szCs w:val="22"/>
              </w:rPr>
              <w:t xml:space="preserve"> women empowerment</w:t>
            </w:r>
            <w:r w:rsidR="004722CD">
              <w:rPr>
                <w:rFonts w:cstheme="minorHAnsi"/>
                <w:b w:val="0"/>
                <w:bCs/>
                <w:szCs w:val="22"/>
              </w:rPr>
              <w:t xml:space="preserve"> in Myanmar;</w:t>
            </w:r>
          </w:p>
          <w:p w14:paraId="681350AC" w14:textId="77777777" w:rsidR="004722CD" w:rsidRPr="004722CD" w:rsidRDefault="004722CD" w:rsidP="004722CD">
            <w:pPr>
              <w:pStyle w:val="ListParagraph"/>
              <w:widowControl w:val="0"/>
              <w:numPr>
                <w:ilvl w:val="0"/>
                <w:numId w:val="48"/>
              </w:numPr>
              <w:tabs>
                <w:tab w:val="left" w:pos="-1080"/>
                <w:tab w:val="left" w:pos="-720"/>
                <w:tab w:val="left" w:pos="788"/>
                <w:tab w:val="left" w:pos="1440"/>
                <w:tab w:val="left" w:pos="2160"/>
                <w:tab w:val="left" w:pos="2520"/>
                <w:tab w:val="left" w:pos="3600"/>
              </w:tabs>
              <w:jc w:val="left"/>
              <w:rPr>
                <w:rFonts w:cstheme="minorHAnsi"/>
                <w:b w:val="0"/>
                <w:bCs/>
                <w:szCs w:val="22"/>
              </w:rPr>
            </w:pPr>
            <w:r w:rsidRPr="004722CD">
              <w:rPr>
                <w:b w:val="0"/>
                <w:bCs/>
              </w:rPr>
              <w:t xml:space="preserve">In-depth knowledge of gender equity and </w:t>
            </w:r>
            <w:r>
              <w:rPr>
                <w:b w:val="0"/>
                <w:bCs/>
              </w:rPr>
              <w:t xml:space="preserve">general </w:t>
            </w:r>
            <w:r w:rsidRPr="004722CD">
              <w:rPr>
                <w:b w:val="0"/>
                <w:bCs/>
              </w:rPr>
              <w:t xml:space="preserve">knowledge about </w:t>
            </w:r>
            <w:r>
              <w:rPr>
                <w:b w:val="0"/>
                <w:bCs/>
              </w:rPr>
              <w:t>Myanmar health</w:t>
            </w:r>
            <w:r w:rsidRPr="004722CD">
              <w:rPr>
                <w:b w:val="0"/>
                <w:bCs/>
              </w:rPr>
              <w:t xml:space="preserve"> system; </w:t>
            </w:r>
          </w:p>
          <w:p w14:paraId="5F94AFAF" w14:textId="77777777" w:rsidR="004722CD" w:rsidRPr="004722CD" w:rsidRDefault="004722CD" w:rsidP="004722CD">
            <w:pPr>
              <w:pStyle w:val="ListParagraph"/>
              <w:widowControl w:val="0"/>
              <w:numPr>
                <w:ilvl w:val="0"/>
                <w:numId w:val="48"/>
              </w:numPr>
              <w:tabs>
                <w:tab w:val="left" w:pos="-1080"/>
                <w:tab w:val="left" w:pos="-720"/>
                <w:tab w:val="left" w:pos="788"/>
                <w:tab w:val="left" w:pos="1440"/>
                <w:tab w:val="left" w:pos="2160"/>
                <w:tab w:val="left" w:pos="2520"/>
                <w:tab w:val="left" w:pos="3600"/>
              </w:tabs>
              <w:jc w:val="left"/>
              <w:rPr>
                <w:rFonts w:cstheme="minorHAnsi"/>
                <w:b w:val="0"/>
                <w:bCs/>
                <w:szCs w:val="22"/>
              </w:rPr>
            </w:pPr>
            <w:r>
              <w:rPr>
                <w:b w:val="0"/>
                <w:bCs/>
              </w:rPr>
              <w:t>E</w:t>
            </w:r>
            <w:r w:rsidRPr="004722CD">
              <w:rPr>
                <w:b w:val="0"/>
                <w:bCs/>
              </w:rPr>
              <w:t xml:space="preserve">xcellent communication, coordination, and interpersonal skills; </w:t>
            </w:r>
          </w:p>
          <w:p w14:paraId="5842244A" w14:textId="77777777" w:rsidR="004722CD" w:rsidRPr="004722CD" w:rsidRDefault="004722CD" w:rsidP="004722CD">
            <w:pPr>
              <w:pStyle w:val="ListParagraph"/>
              <w:widowControl w:val="0"/>
              <w:numPr>
                <w:ilvl w:val="0"/>
                <w:numId w:val="48"/>
              </w:numPr>
              <w:tabs>
                <w:tab w:val="left" w:pos="-1080"/>
                <w:tab w:val="left" w:pos="-720"/>
                <w:tab w:val="left" w:pos="788"/>
                <w:tab w:val="left" w:pos="1440"/>
                <w:tab w:val="left" w:pos="2160"/>
                <w:tab w:val="left" w:pos="2520"/>
                <w:tab w:val="left" w:pos="3600"/>
              </w:tabs>
              <w:jc w:val="left"/>
              <w:rPr>
                <w:rFonts w:cstheme="minorHAnsi"/>
                <w:b w:val="0"/>
                <w:bCs/>
                <w:szCs w:val="22"/>
              </w:rPr>
            </w:pPr>
            <w:r>
              <w:rPr>
                <w:b w:val="0"/>
                <w:bCs/>
              </w:rPr>
              <w:t>A</w:t>
            </w:r>
            <w:r w:rsidRPr="004722CD">
              <w:rPr>
                <w:b w:val="0"/>
                <w:bCs/>
              </w:rPr>
              <w:t xml:space="preserve">bility to work independently on delegated tasks; </w:t>
            </w:r>
          </w:p>
          <w:p w14:paraId="522FF326" w14:textId="77777777" w:rsidR="004722CD" w:rsidRPr="004722CD" w:rsidRDefault="004722CD" w:rsidP="004722CD">
            <w:pPr>
              <w:pStyle w:val="ListParagraph"/>
              <w:widowControl w:val="0"/>
              <w:numPr>
                <w:ilvl w:val="0"/>
                <w:numId w:val="48"/>
              </w:numPr>
              <w:tabs>
                <w:tab w:val="left" w:pos="-1080"/>
                <w:tab w:val="left" w:pos="-720"/>
                <w:tab w:val="left" w:pos="788"/>
                <w:tab w:val="left" w:pos="1440"/>
                <w:tab w:val="left" w:pos="2160"/>
                <w:tab w:val="left" w:pos="2520"/>
                <w:tab w:val="left" w:pos="3600"/>
              </w:tabs>
              <w:jc w:val="left"/>
              <w:rPr>
                <w:rFonts w:cstheme="minorHAnsi"/>
                <w:b w:val="0"/>
                <w:bCs/>
                <w:szCs w:val="22"/>
              </w:rPr>
            </w:pPr>
            <w:r>
              <w:rPr>
                <w:b w:val="0"/>
                <w:bCs/>
              </w:rPr>
              <w:t>E</w:t>
            </w:r>
            <w:r w:rsidRPr="004722CD">
              <w:rPr>
                <w:b w:val="0"/>
                <w:bCs/>
              </w:rPr>
              <w:t xml:space="preserve">xcellent report writing skills in Myanmar and English; </w:t>
            </w:r>
          </w:p>
          <w:p w14:paraId="5E960CA9" w14:textId="6B3DE8E7" w:rsidR="004722CD" w:rsidRPr="004722CD" w:rsidRDefault="004722CD" w:rsidP="004722CD">
            <w:pPr>
              <w:pStyle w:val="ListParagraph"/>
              <w:widowControl w:val="0"/>
              <w:numPr>
                <w:ilvl w:val="0"/>
                <w:numId w:val="48"/>
              </w:numPr>
              <w:tabs>
                <w:tab w:val="left" w:pos="-1080"/>
                <w:tab w:val="left" w:pos="-720"/>
                <w:tab w:val="left" w:pos="788"/>
                <w:tab w:val="left" w:pos="1440"/>
                <w:tab w:val="left" w:pos="2160"/>
                <w:tab w:val="left" w:pos="2520"/>
                <w:tab w:val="left" w:pos="3600"/>
              </w:tabs>
              <w:jc w:val="left"/>
              <w:rPr>
                <w:rFonts w:cstheme="minorHAnsi"/>
                <w:b w:val="0"/>
                <w:bCs/>
                <w:szCs w:val="22"/>
              </w:rPr>
            </w:pPr>
            <w:r>
              <w:rPr>
                <w:b w:val="0"/>
                <w:bCs/>
              </w:rPr>
              <w:t>A</w:t>
            </w:r>
            <w:r w:rsidRPr="004722CD">
              <w:rPr>
                <w:b w:val="0"/>
                <w:bCs/>
              </w:rPr>
              <w:t>bility to work in multi-cultural settings</w:t>
            </w:r>
            <w:r>
              <w:rPr>
                <w:b w:val="0"/>
                <w:bCs/>
              </w:rPr>
              <w:t>;</w:t>
            </w:r>
          </w:p>
          <w:p w14:paraId="518A866C" w14:textId="411CE49F" w:rsidR="004722CD" w:rsidRPr="004722CD" w:rsidRDefault="004722CD" w:rsidP="004722CD">
            <w:pPr>
              <w:pStyle w:val="ListParagraph"/>
              <w:widowControl w:val="0"/>
              <w:numPr>
                <w:ilvl w:val="0"/>
                <w:numId w:val="48"/>
              </w:numPr>
              <w:tabs>
                <w:tab w:val="left" w:pos="-1080"/>
                <w:tab w:val="left" w:pos="-720"/>
                <w:tab w:val="left" w:pos="788"/>
                <w:tab w:val="left" w:pos="1440"/>
                <w:tab w:val="left" w:pos="2160"/>
                <w:tab w:val="left" w:pos="2520"/>
                <w:tab w:val="left" w:pos="3600"/>
              </w:tabs>
              <w:jc w:val="left"/>
              <w:rPr>
                <w:rFonts w:cstheme="minorHAnsi"/>
                <w:b w:val="0"/>
                <w:bCs/>
                <w:szCs w:val="22"/>
              </w:rPr>
            </w:pPr>
            <w:r w:rsidRPr="004722CD">
              <w:rPr>
                <w:b w:val="0"/>
                <w:bCs/>
              </w:rPr>
              <w:t>Proven ability to conceptualize, perform, and direct technical assignments and provide quality control of deliverables</w:t>
            </w:r>
            <w:r>
              <w:rPr>
                <w:b w:val="0"/>
                <w:bCs/>
              </w:rPr>
              <w:t>;</w:t>
            </w:r>
          </w:p>
          <w:p w14:paraId="20B36D3F" w14:textId="0C7B8799" w:rsidR="001B5433" w:rsidRPr="004722CD" w:rsidRDefault="0094446D" w:rsidP="001B5433">
            <w:pPr>
              <w:pStyle w:val="ListParagraph"/>
              <w:widowControl w:val="0"/>
              <w:numPr>
                <w:ilvl w:val="0"/>
                <w:numId w:val="48"/>
              </w:numPr>
              <w:tabs>
                <w:tab w:val="left" w:pos="-1080"/>
                <w:tab w:val="left" w:pos="-720"/>
                <w:tab w:val="left" w:pos="788"/>
                <w:tab w:val="left" w:pos="1440"/>
                <w:tab w:val="left" w:pos="2160"/>
                <w:tab w:val="left" w:pos="2520"/>
                <w:tab w:val="left" w:pos="3600"/>
              </w:tabs>
              <w:jc w:val="left"/>
              <w:rPr>
                <w:rFonts w:cstheme="minorHAnsi"/>
                <w:b w:val="0"/>
                <w:bCs/>
                <w:szCs w:val="22"/>
              </w:rPr>
            </w:pPr>
            <w:r w:rsidRPr="004722CD">
              <w:rPr>
                <w:rFonts w:cstheme="minorHAnsi"/>
                <w:b w:val="0"/>
                <w:bCs/>
                <w:szCs w:val="22"/>
              </w:rPr>
              <w:t xml:space="preserve">Experience of working with </w:t>
            </w:r>
            <w:r w:rsidR="00507F4F" w:rsidRPr="004722CD">
              <w:rPr>
                <w:rFonts w:cstheme="minorHAnsi"/>
                <w:b w:val="0"/>
                <w:bCs/>
                <w:szCs w:val="22"/>
              </w:rPr>
              <w:t xml:space="preserve">UN agencies </w:t>
            </w:r>
            <w:r w:rsidRPr="004722CD">
              <w:rPr>
                <w:rFonts w:cstheme="minorHAnsi"/>
                <w:b w:val="0"/>
                <w:bCs/>
                <w:szCs w:val="22"/>
              </w:rPr>
              <w:t xml:space="preserve">is a plus </w:t>
            </w:r>
          </w:p>
          <w:p w14:paraId="2F9CCDE6" w14:textId="227A1A22" w:rsidR="00507F4F" w:rsidRPr="008160D8" w:rsidRDefault="00507F4F" w:rsidP="004722CD">
            <w:pPr>
              <w:pStyle w:val="ListParagraph"/>
              <w:widowControl w:val="0"/>
              <w:tabs>
                <w:tab w:val="left" w:pos="-1080"/>
                <w:tab w:val="left" w:pos="-720"/>
                <w:tab w:val="left" w:pos="788"/>
                <w:tab w:val="left" w:pos="1440"/>
                <w:tab w:val="left" w:pos="2160"/>
                <w:tab w:val="left" w:pos="2520"/>
                <w:tab w:val="left" w:pos="3600"/>
              </w:tabs>
              <w:ind w:left="720"/>
              <w:jc w:val="left"/>
              <w:rPr>
                <w:rFonts w:cstheme="minorHAnsi"/>
                <w:szCs w:val="22"/>
                <w:lang w:eastAsia="ja-JP"/>
              </w:rPr>
            </w:pPr>
          </w:p>
        </w:tc>
      </w:tr>
    </w:tbl>
    <w:p w14:paraId="3367679B" w14:textId="77777777" w:rsidR="006E5B1F" w:rsidRPr="008160D8" w:rsidRDefault="006E5B1F">
      <w:pPr>
        <w:rPr>
          <w:rFonts w:cstheme="minorHAnsi"/>
          <w:szCs w:val="22"/>
        </w:rPr>
      </w:pPr>
    </w:p>
    <w:tbl>
      <w:tblPr>
        <w:tblW w:w="99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0"/>
      </w:tblGrid>
      <w:tr w:rsidR="001E405C" w:rsidRPr="008160D8" w14:paraId="627B7016" w14:textId="77777777" w:rsidTr="00E32F46">
        <w:tc>
          <w:tcPr>
            <w:tcW w:w="9990" w:type="dxa"/>
          </w:tcPr>
          <w:p w14:paraId="20FE6B38" w14:textId="77777777" w:rsidR="001E405C" w:rsidRPr="008160D8" w:rsidRDefault="001E405C" w:rsidP="00001C6C">
            <w:pPr>
              <w:pStyle w:val="ListParagraph"/>
              <w:numPr>
                <w:ilvl w:val="0"/>
                <w:numId w:val="4"/>
              </w:numPr>
              <w:ind w:left="342" w:hanging="342"/>
              <w:rPr>
                <w:rFonts w:cstheme="minorHAnsi"/>
                <w:szCs w:val="22"/>
              </w:rPr>
            </w:pPr>
            <w:r w:rsidRPr="008160D8">
              <w:rPr>
                <w:rFonts w:cstheme="minorHAnsi"/>
                <w:szCs w:val="22"/>
              </w:rPr>
              <w:t>Other conditions:</w:t>
            </w:r>
            <w:r w:rsidR="001266B4" w:rsidRPr="008160D8">
              <w:rPr>
                <w:rFonts w:cstheme="minorHAnsi"/>
                <w:szCs w:val="22"/>
              </w:rPr>
              <w:t xml:space="preserve"> </w:t>
            </w:r>
          </w:p>
          <w:p w14:paraId="5B6408E0" w14:textId="3F20A31C" w:rsidR="00B51C86" w:rsidRPr="008160D8" w:rsidRDefault="00B51C86" w:rsidP="00B51C86">
            <w:pPr>
              <w:rPr>
                <w:rFonts w:cstheme="minorHAnsi"/>
                <w:szCs w:val="22"/>
              </w:rPr>
            </w:pPr>
            <w:r w:rsidRPr="008160D8">
              <w:rPr>
                <w:rFonts w:cstheme="minorHAnsi"/>
                <w:szCs w:val="22"/>
              </w:rPr>
              <w:t xml:space="preserve">The </w:t>
            </w:r>
            <w:r w:rsidR="00FA6D23" w:rsidRPr="008160D8">
              <w:rPr>
                <w:rFonts w:cstheme="minorHAnsi"/>
                <w:szCs w:val="22"/>
              </w:rPr>
              <w:t>consultant will be required to use his/her</w:t>
            </w:r>
            <w:r w:rsidRPr="008160D8">
              <w:rPr>
                <w:rFonts w:cstheme="minorHAnsi"/>
                <w:szCs w:val="22"/>
              </w:rPr>
              <w:t xml:space="preserve"> own laptops and submit all deliverables in digital format. The </w:t>
            </w:r>
            <w:r w:rsidR="00FA6D23" w:rsidRPr="008160D8">
              <w:rPr>
                <w:rFonts w:cstheme="minorHAnsi"/>
                <w:szCs w:val="22"/>
              </w:rPr>
              <w:t>consultant</w:t>
            </w:r>
            <w:r w:rsidRPr="008160D8">
              <w:rPr>
                <w:rFonts w:cstheme="minorHAnsi"/>
                <w:szCs w:val="22"/>
              </w:rPr>
              <w:t xml:space="preserve"> is expected to make arrangement for </w:t>
            </w:r>
            <w:r w:rsidR="00433986" w:rsidRPr="008160D8">
              <w:rPr>
                <w:rFonts w:cstheme="minorHAnsi"/>
                <w:szCs w:val="22"/>
              </w:rPr>
              <w:t>workspace</w:t>
            </w:r>
            <w:r w:rsidRPr="008160D8">
              <w:rPr>
                <w:rFonts w:cstheme="minorHAnsi"/>
                <w:szCs w:val="22"/>
              </w:rPr>
              <w:t>, conference facilities, telecommunications, printing, and any other needs for completing the activities in Myanmar. Where possible, MOHS and UNICEF will facilitate.</w:t>
            </w:r>
          </w:p>
          <w:p w14:paraId="27B568CC" w14:textId="77777777" w:rsidR="00B51C86" w:rsidRPr="008160D8" w:rsidRDefault="00B51C86" w:rsidP="00B51C86">
            <w:pPr>
              <w:rPr>
                <w:rFonts w:cstheme="minorHAnsi"/>
                <w:szCs w:val="22"/>
              </w:rPr>
            </w:pPr>
          </w:p>
          <w:p w14:paraId="75821167" w14:textId="77777777" w:rsidR="00B51C86" w:rsidRPr="008160D8" w:rsidRDefault="00B51C86" w:rsidP="00B51C86">
            <w:pPr>
              <w:rPr>
                <w:rFonts w:cstheme="minorHAnsi"/>
                <w:b/>
                <w:szCs w:val="22"/>
              </w:rPr>
            </w:pPr>
            <w:r w:rsidRPr="008160D8">
              <w:rPr>
                <w:rFonts w:cstheme="minorHAnsi"/>
                <w:b/>
                <w:szCs w:val="22"/>
              </w:rPr>
              <w:t xml:space="preserve">Life and health insurance: </w:t>
            </w:r>
          </w:p>
          <w:p w14:paraId="19E29E92" w14:textId="77777777" w:rsidR="00B51C86" w:rsidRPr="008160D8" w:rsidRDefault="00B51C86" w:rsidP="00B51C86">
            <w:pPr>
              <w:rPr>
                <w:rFonts w:cstheme="minorHAnsi"/>
                <w:szCs w:val="22"/>
              </w:rPr>
            </w:pPr>
            <w:r w:rsidRPr="008160D8">
              <w:rPr>
                <w:rFonts w:cstheme="minorHAnsi"/>
                <w:szCs w:val="22"/>
              </w:rPr>
              <w:t xml:space="preserve">UNICEF does not provide or arrange life or health insurance coverage for consultants and contractors, and consultants and individual contractors are not eligible to participate in the life or health insurance schemes </w:t>
            </w:r>
            <w:r w:rsidRPr="008160D8">
              <w:rPr>
                <w:rFonts w:cstheme="minorHAnsi"/>
                <w:szCs w:val="22"/>
              </w:rPr>
              <w:lastRenderedPageBreak/>
              <w:t>available to United Nations staff members. Consultants and individual contractors are fully responsible for arranging, at their own expense, such life, health and other forms of insurance covering the period of their services as they consider appropriate. UNICEF reserves the right to request proof of internationally acceptable insurance.</w:t>
            </w:r>
          </w:p>
          <w:p w14:paraId="25EA0E26" w14:textId="77777777" w:rsidR="00B51C86" w:rsidRPr="008160D8" w:rsidRDefault="00B51C86" w:rsidP="00B51C86">
            <w:pPr>
              <w:rPr>
                <w:rFonts w:cstheme="minorHAnsi"/>
                <w:szCs w:val="22"/>
              </w:rPr>
            </w:pPr>
          </w:p>
          <w:p w14:paraId="1F2D89BE" w14:textId="77777777" w:rsidR="00B51C86" w:rsidRPr="008160D8" w:rsidRDefault="00B51C86" w:rsidP="00B51C86">
            <w:pPr>
              <w:rPr>
                <w:rFonts w:cstheme="minorHAnsi"/>
                <w:b/>
                <w:szCs w:val="22"/>
              </w:rPr>
            </w:pPr>
            <w:r w:rsidRPr="008160D8">
              <w:rPr>
                <w:rFonts w:cstheme="minorHAnsi"/>
                <w:b/>
                <w:szCs w:val="22"/>
              </w:rPr>
              <w:t>Confidentiality:</w:t>
            </w:r>
            <w:r w:rsidRPr="008160D8">
              <w:rPr>
                <w:rFonts w:cstheme="minorHAnsi"/>
                <w:b/>
                <w:szCs w:val="22"/>
              </w:rPr>
              <w:tab/>
            </w:r>
          </w:p>
          <w:p w14:paraId="310A11DF" w14:textId="77777777" w:rsidR="006C4AE1" w:rsidRPr="008160D8" w:rsidRDefault="006C4AE1" w:rsidP="006C4AE1">
            <w:pPr>
              <w:rPr>
                <w:rFonts w:cstheme="minorHAnsi"/>
                <w:szCs w:val="22"/>
                <w:lang w:val="en-AU"/>
              </w:rPr>
            </w:pPr>
            <w:r w:rsidRPr="008160D8">
              <w:rPr>
                <w:rFonts w:cstheme="minorHAnsi"/>
                <w:szCs w:val="22"/>
                <w:lang w:val="en-AU"/>
              </w:rPr>
              <w:t xml:space="preserve">The documents produced during the period of this consultancy will be treated as strictly confidential, and the rights of distribution and/or publication will reside solely with UNICEF. </w:t>
            </w:r>
          </w:p>
          <w:p w14:paraId="6A5C554D" w14:textId="77777777" w:rsidR="006C4AE1" w:rsidRPr="008160D8" w:rsidRDefault="006C4AE1" w:rsidP="006C4AE1">
            <w:pPr>
              <w:rPr>
                <w:rFonts w:cstheme="minorHAnsi"/>
                <w:szCs w:val="22"/>
                <w:lang w:val="en-AU"/>
              </w:rPr>
            </w:pPr>
            <w:r w:rsidRPr="008160D8">
              <w:rPr>
                <w:rFonts w:cstheme="minorHAnsi"/>
                <w:szCs w:val="22"/>
                <w:lang w:val="en-AU"/>
              </w:rPr>
              <w:t xml:space="preserve">The contract signed with the </w:t>
            </w:r>
            <w:r w:rsidR="00FA6D23" w:rsidRPr="008160D8">
              <w:rPr>
                <w:rFonts w:cstheme="minorHAnsi"/>
                <w:szCs w:val="22"/>
              </w:rPr>
              <w:t>consultant/graphic designer</w:t>
            </w:r>
            <w:r w:rsidR="00FA6D23" w:rsidRPr="008160D8">
              <w:rPr>
                <w:rFonts w:cstheme="minorHAnsi"/>
                <w:szCs w:val="22"/>
                <w:lang w:val="en-AU"/>
              </w:rPr>
              <w:t xml:space="preserve"> </w:t>
            </w:r>
            <w:r w:rsidRPr="008160D8">
              <w:rPr>
                <w:rFonts w:cstheme="minorHAnsi"/>
                <w:szCs w:val="22"/>
                <w:lang w:val="en-AU"/>
              </w:rPr>
              <w:t>will include the other general terms defined by UNICEF.</w:t>
            </w:r>
          </w:p>
          <w:p w14:paraId="73415B23" w14:textId="77777777" w:rsidR="004F2996" w:rsidRPr="008160D8" w:rsidRDefault="004F2996" w:rsidP="00B06A9C">
            <w:pPr>
              <w:rPr>
                <w:rFonts w:cstheme="minorHAnsi"/>
                <w:szCs w:val="22"/>
                <w:lang w:val="en-AU"/>
              </w:rPr>
            </w:pPr>
          </w:p>
          <w:p w14:paraId="2D524AB2" w14:textId="7A85EA45" w:rsidR="00670000" w:rsidRPr="008160D8" w:rsidRDefault="00C74F76" w:rsidP="00B06A9C">
            <w:pPr>
              <w:rPr>
                <w:rFonts w:cstheme="minorHAnsi"/>
                <w:szCs w:val="22"/>
                <w:lang w:val="en-AU"/>
              </w:rPr>
            </w:pPr>
            <w:r w:rsidRPr="008160D8">
              <w:rPr>
                <w:rFonts w:cstheme="minorHAnsi"/>
                <w:b/>
                <w:szCs w:val="22"/>
                <w:lang w:val="en-AU"/>
              </w:rPr>
              <w:t>Payment</w:t>
            </w:r>
            <w:r w:rsidR="008848E8" w:rsidRPr="008160D8">
              <w:rPr>
                <w:rFonts w:cstheme="minorHAnsi"/>
                <w:b/>
                <w:szCs w:val="22"/>
                <w:lang w:val="en-AU"/>
              </w:rPr>
              <w:t xml:space="preserve"> Schedule</w:t>
            </w:r>
            <w:r w:rsidR="006C4AE1" w:rsidRPr="008160D8">
              <w:rPr>
                <w:rFonts w:cstheme="minorHAnsi"/>
                <w:szCs w:val="22"/>
                <w:lang w:val="en-AU"/>
              </w:rPr>
              <w:t>:</w:t>
            </w:r>
            <w:r w:rsidR="00790777" w:rsidRPr="008160D8">
              <w:rPr>
                <w:rFonts w:cstheme="minorHAnsi"/>
                <w:szCs w:val="22"/>
                <w:lang w:val="en-AU"/>
              </w:rPr>
              <w:t xml:space="preserve"> (Detailed fees </w:t>
            </w:r>
            <w:r w:rsidR="008848E8" w:rsidRPr="008160D8">
              <w:rPr>
                <w:rFonts w:cstheme="minorHAnsi"/>
                <w:szCs w:val="22"/>
                <w:lang w:val="en-AU"/>
              </w:rPr>
              <w:t>and payments schedules and indicated below)</w:t>
            </w:r>
          </w:p>
          <w:p w14:paraId="4908679B" w14:textId="77777777" w:rsidR="00B951A9" w:rsidRPr="008160D8" w:rsidRDefault="00B951A9" w:rsidP="00E450D7">
            <w:pPr>
              <w:rPr>
                <w:rFonts w:cstheme="minorHAnsi"/>
                <w:szCs w:val="22"/>
                <w:lang w:val="en-AU"/>
              </w:rPr>
            </w:pPr>
          </w:p>
        </w:tc>
      </w:tr>
      <w:tr w:rsidR="007D3967" w:rsidRPr="008160D8" w14:paraId="3232D649" w14:textId="77777777" w:rsidTr="00E32F46">
        <w:trPr>
          <w:trHeight w:val="3433"/>
        </w:trPr>
        <w:tc>
          <w:tcPr>
            <w:tcW w:w="9990" w:type="dxa"/>
          </w:tcPr>
          <w:tbl>
            <w:tblPr>
              <w:tblStyle w:val="TableGrid"/>
              <w:tblW w:w="10106" w:type="dxa"/>
              <w:tblLayout w:type="fixed"/>
              <w:tblLook w:val="04A0" w:firstRow="1" w:lastRow="0" w:firstColumn="1" w:lastColumn="0" w:noHBand="0" w:noVBand="1"/>
            </w:tblPr>
            <w:tblGrid>
              <w:gridCol w:w="4931"/>
              <w:gridCol w:w="2700"/>
              <w:gridCol w:w="2475"/>
            </w:tblGrid>
            <w:tr w:rsidR="008848E8" w:rsidRPr="00433986" w14:paraId="0AC64D8F" w14:textId="77777777" w:rsidTr="00AD4052">
              <w:trPr>
                <w:trHeight w:val="364"/>
              </w:trPr>
              <w:tc>
                <w:tcPr>
                  <w:tcW w:w="4931" w:type="dxa"/>
                  <w:vAlign w:val="center"/>
                </w:tcPr>
                <w:p w14:paraId="3487E079" w14:textId="6F520BDD" w:rsidR="00795169" w:rsidRPr="00433986" w:rsidRDefault="008848E8" w:rsidP="00AD4052">
                  <w:pPr>
                    <w:pStyle w:val="ListParagraph"/>
                    <w:spacing w:before="0" w:after="0"/>
                    <w:jc w:val="center"/>
                    <w:rPr>
                      <w:rFonts w:cstheme="minorHAnsi"/>
                      <w:szCs w:val="22"/>
                    </w:rPr>
                  </w:pPr>
                  <w:r w:rsidRPr="00433986">
                    <w:rPr>
                      <w:rFonts w:cstheme="minorHAnsi"/>
                      <w:szCs w:val="22"/>
                    </w:rPr>
                    <w:lastRenderedPageBreak/>
                    <w:t>Deliverable</w:t>
                  </w:r>
                  <w:r w:rsidR="00433986" w:rsidRPr="00433986">
                    <w:rPr>
                      <w:rFonts w:cstheme="minorHAnsi"/>
                      <w:szCs w:val="22"/>
                    </w:rPr>
                    <w:t>s</w:t>
                  </w:r>
                </w:p>
              </w:tc>
              <w:tc>
                <w:tcPr>
                  <w:tcW w:w="2700" w:type="dxa"/>
                  <w:vAlign w:val="center"/>
                </w:tcPr>
                <w:p w14:paraId="5BBB4BAF" w14:textId="77777777" w:rsidR="008848E8" w:rsidRPr="00433986" w:rsidRDefault="008848E8" w:rsidP="00AD4052">
                  <w:pPr>
                    <w:pStyle w:val="ListParagraph"/>
                    <w:spacing w:before="0" w:after="0"/>
                    <w:jc w:val="center"/>
                    <w:rPr>
                      <w:rFonts w:cstheme="minorHAnsi"/>
                      <w:szCs w:val="22"/>
                    </w:rPr>
                  </w:pPr>
                  <w:r w:rsidRPr="00433986">
                    <w:rPr>
                      <w:rFonts w:cstheme="minorHAnsi"/>
                      <w:szCs w:val="22"/>
                    </w:rPr>
                    <w:t>Amount to be paid</w:t>
                  </w:r>
                </w:p>
              </w:tc>
              <w:tc>
                <w:tcPr>
                  <w:tcW w:w="2475" w:type="dxa"/>
                  <w:vAlign w:val="center"/>
                </w:tcPr>
                <w:p w14:paraId="3B536E96" w14:textId="77777777" w:rsidR="008848E8" w:rsidRPr="00433986" w:rsidRDefault="008848E8" w:rsidP="00AD4052">
                  <w:pPr>
                    <w:pStyle w:val="ListParagraph"/>
                    <w:spacing w:before="0" w:after="0"/>
                    <w:jc w:val="center"/>
                    <w:rPr>
                      <w:rFonts w:cstheme="minorHAnsi"/>
                      <w:szCs w:val="22"/>
                    </w:rPr>
                  </w:pPr>
                  <w:r w:rsidRPr="00433986">
                    <w:rPr>
                      <w:rFonts w:cstheme="minorHAnsi"/>
                      <w:szCs w:val="22"/>
                    </w:rPr>
                    <w:t>Timeline</w:t>
                  </w:r>
                </w:p>
              </w:tc>
            </w:tr>
            <w:tr w:rsidR="00433986" w:rsidRPr="00433986" w14:paraId="3E435DF6" w14:textId="77777777" w:rsidTr="004A2CA9">
              <w:trPr>
                <w:trHeight w:val="751"/>
              </w:trPr>
              <w:tc>
                <w:tcPr>
                  <w:tcW w:w="4931" w:type="dxa"/>
                  <w:vAlign w:val="center"/>
                </w:tcPr>
                <w:p w14:paraId="749A0AFD" w14:textId="32077638" w:rsidR="00433986" w:rsidRPr="00433986" w:rsidRDefault="004A2CA9" w:rsidP="00AD4052">
                  <w:pPr>
                    <w:tabs>
                      <w:tab w:val="left" w:pos="-1080"/>
                      <w:tab w:val="left" w:pos="-720"/>
                      <w:tab w:val="left" w:pos="0"/>
                      <w:tab w:val="left" w:pos="1620"/>
                    </w:tabs>
                    <w:jc w:val="left"/>
                    <w:rPr>
                      <w:rFonts w:cstheme="minorHAnsi"/>
                      <w:b/>
                      <w:bCs/>
                      <w:szCs w:val="22"/>
                    </w:rPr>
                  </w:pPr>
                  <w:r w:rsidRPr="00E20549">
                    <w:rPr>
                      <w:rFonts w:cstheme="minorHAnsi"/>
                      <w:szCs w:val="22"/>
                      <w:lang w:eastAsia="ru-RU"/>
                    </w:rPr>
                    <w:t>Shortlist of resources on existing literature on gender equality in Myanmar, in health system and in the public health services</w:t>
                  </w:r>
                </w:p>
              </w:tc>
              <w:tc>
                <w:tcPr>
                  <w:tcW w:w="2700" w:type="dxa"/>
                  <w:vAlign w:val="center"/>
                </w:tcPr>
                <w:p w14:paraId="54A473E9" w14:textId="41830B11" w:rsidR="00433986" w:rsidRPr="00433986" w:rsidRDefault="004A2CA9" w:rsidP="00AD4052">
                  <w:pPr>
                    <w:pStyle w:val="ListParagraph"/>
                    <w:spacing w:before="0" w:after="0"/>
                    <w:jc w:val="center"/>
                    <w:rPr>
                      <w:rFonts w:cstheme="minorHAnsi"/>
                      <w:b w:val="0"/>
                      <w:bCs/>
                      <w:szCs w:val="22"/>
                    </w:rPr>
                  </w:pPr>
                  <w:r>
                    <w:rPr>
                      <w:rFonts w:cstheme="minorHAnsi"/>
                      <w:b w:val="0"/>
                      <w:bCs/>
                      <w:szCs w:val="22"/>
                    </w:rPr>
                    <w:t>2</w:t>
                  </w:r>
                  <w:r w:rsidR="00433986">
                    <w:rPr>
                      <w:rFonts w:cstheme="minorHAnsi"/>
                      <w:b w:val="0"/>
                      <w:bCs/>
                      <w:szCs w:val="22"/>
                    </w:rPr>
                    <w:t>0% of payment</w:t>
                  </w:r>
                </w:p>
              </w:tc>
              <w:tc>
                <w:tcPr>
                  <w:tcW w:w="2475" w:type="dxa"/>
                  <w:vAlign w:val="center"/>
                </w:tcPr>
                <w:p w14:paraId="43FF8FFB" w14:textId="76EA5BCF" w:rsidR="00433986" w:rsidRPr="00433986" w:rsidRDefault="004A2CA9" w:rsidP="00AD4052">
                  <w:pPr>
                    <w:jc w:val="center"/>
                    <w:rPr>
                      <w:rFonts w:cstheme="minorHAnsi"/>
                      <w:bCs/>
                      <w:szCs w:val="22"/>
                    </w:rPr>
                  </w:pPr>
                  <w:r w:rsidRPr="004A2CA9">
                    <w:rPr>
                      <w:rFonts w:cstheme="minorHAnsi"/>
                      <w:bCs/>
                      <w:szCs w:val="22"/>
                    </w:rPr>
                    <w:t>September</w:t>
                  </w:r>
                  <w:r w:rsidR="00433986">
                    <w:rPr>
                      <w:rFonts w:cstheme="minorHAnsi"/>
                      <w:bCs/>
                      <w:szCs w:val="22"/>
                    </w:rPr>
                    <w:t xml:space="preserve"> 2020</w:t>
                  </w:r>
                </w:p>
              </w:tc>
            </w:tr>
            <w:tr w:rsidR="00433986" w:rsidRPr="00433986" w14:paraId="3D9ED530" w14:textId="77777777" w:rsidTr="00AD4052">
              <w:trPr>
                <w:trHeight w:val="472"/>
              </w:trPr>
              <w:tc>
                <w:tcPr>
                  <w:tcW w:w="4931" w:type="dxa"/>
                  <w:vAlign w:val="center"/>
                </w:tcPr>
                <w:p w14:paraId="39786EAC" w14:textId="7F53F030" w:rsidR="00433986" w:rsidRPr="00433986" w:rsidRDefault="004A2CA9" w:rsidP="00AD4052">
                  <w:pPr>
                    <w:pStyle w:val="ListParagraph"/>
                    <w:spacing w:before="0" w:after="0"/>
                    <w:rPr>
                      <w:rFonts w:cstheme="minorHAnsi"/>
                      <w:b w:val="0"/>
                      <w:bCs/>
                      <w:szCs w:val="22"/>
                    </w:rPr>
                  </w:pPr>
                  <w:r w:rsidRPr="004A2CA9">
                    <w:rPr>
                      <w:rFonts w:cstheme="minorHAnsi"/>
                      <w:b w:val="0"/>
                      <w:bCs/>
                      <w:szCs w:val="22"/>
                      <w:lang w:eastAsia="ru-RU"/>
                    </w:rPr>
                    <w:t>Literature review in English and Myanmar languages</w:t>
                  </w:r>
                </w:p>
              </w:tc>
              <w:tc>
                <w:tcPr>
                  <w:tcW w:w="2700" w:type="dxa"/>
                  <w:vAlign w:val="center"/>
                </w:tcPr>
                <w:p w14:paraId="5C3AA130" w14:textId="18596C30" w:rsidR="00433986" w:rsidRPr="00433986" w:rsidRDefault="00FC19D4" w:rsidP="00AD4052">
                  <w:pPr>
                    <w:pStyle w:val="ListParagraph"/>
                    <w:spacing w:before="0" w:after="0"/>
                    <w:jc w:val="center"/>
                    <w:rPr>
                      <w:rFonts w:cstheme="minorHAnsi"/>
                      <w:b w:val="0"/>
                      <w:bCs/>
                      <w:szCs w:val="22"/>
                    </w:rPr>
                  </w:pPr>
                  <w:r>
                    <w:rPr>
                      <w:rFonts w:cstheme="minorHAnsi"/>
                      <w:b w:val="0"/>
                      <w:bCs/>
                      <w:szCs w:val="22"/>
                    </w:rPr>
                    <w:t>3</w:t>
                  </w:r>
                  <w:r w:rsidR="00433986" w:rsidRPr="009150D9">
                    <w:rPr>
                      <w:rFonts w:cstheme="minorHAnsi"/>
                      <w:b w:val="0"/>
                      <w:bCs/>
                      <w:szCs w:val="22"/>
                    </w:rPr>
                    <w:t>0% of payment</w:t>
                  </w:r>
                </w:p>
              </w:tc>
              <w:tc>
                <w:tcPr>
                  <w:tcW w:w="2475" w:type="dxa"/>
                  <w:vAlign w:val="center"/>
                </w:tcPr>
                <w:p w14:paraId="50468D12" w14:textId="1801C633" w:rsidR="00433986" w:rsidRPr="00433986" w:rsidRDefault="004A2CA9" w:rsidP="00AD4052">
                  <w:pPr>
                    <w:pStyle w:val="ListParagraph"/>
                    <w:spacing w:before="0" w:after="0"/>
                    <w:jc w:val="center"/>
                    <w:rPr>
                      <w:rFonts w:cstheme="minorHAnsi"/>
                      <w:b w:val="0"/>
                      <w:szCs w:val="22"/>
                    </w:rPr>
                  </w:pPr>
                  <w:r>
                    <w:rPr>
                      <w:rFonts w:cstheme="minorHAnsi"/>
                      <w:b w:val="0"/>
                      <w:szCs w:val="22"/>
                    </w:rPr>
                    <w:t>November</w:t>
                  </w:r>
                  <w:r w:rsidR="00433986" w:rsidRPr="00433986">
                    <w:rPr>
                      <w:rFonts w:cstheme="minorHAnsi"/>
                      <w:b w:val="0"/>
                      <w:szCs w:val="22"/>
                    </w:rPr>
                    <w:t xml:space="preserve"> 2020</w:t>
                  </w:r>
                </w:p>
              </w:tc>
            </w:tr>
            <w:tr w:rsidR="00433986" w:rsidRPr="00433986" w14:paraId="3B8EFCD3" w14:textId="77777777" w:rsidTr="00AD4052">
              <w:trPr>
                <w:trHeight w:val="400"/>
              </w:trPr>
              <w:tc>
                <w:tcPr>
                  <w:tcW w:w="4931" w:type="dxa"/>
                  <w:vAlign w:val="center"/>
                </w:tcPr>
                <w:p w14:paraId="116570A0" w14:textId="570FC589" w:rsidR="00433986" w:rsidRPr="00433986" w:rsidRDefault="004A2CA9" w:rsidP="00AD4052">
                  <w:pPr>
                    <w:pStyle w:val="ListParagraph"/>
                    <w:spacing w:before="0" w:after="0"/>
                    <w:rPr>
                      <w:rFonts w:cstheme="minorHAnsi"/>
                      <w:b w:val="0"/>
                      <w:bCs/>
                      <w:szCs w:val="22"/>
                    </w:rPr>
                  </w:pPr>
                  <w:r w:rsidRPr="004A2CA9">
                    <w:rPr>
                      <w:rFonts w:cstheme="minorHAnsi"/>
                      <w:b w:val="0"/>
                      <w:bCs/>
                      <w:szCs w:val="22"/>
                    </w:rPr>
                    <w:t>Gender sensitivity awareness workshop conducted</w:t>
                  </w:r>
                </w:p>
              </w:tc>
              <w:tc>
                <w:tcPr>
                  <w:tcW w:w="2700" w:type="dxa"/>
                  <w:vAlign w:val="center"/>
                </w:tcPr>
                <w:p w14:paraId="7B9E69F6" w14:textId="3C2640F8" w:rsidR="00433986" w:rsidRPr="00433986" w:rsidRDefault="00433986" w:rsidP="00AD4052">
                  <w:pPr>
                    <w:pStyle w:val="ListParagraph"/>
                    <w:spacing w:before="0" w:after="0"/>
                    <w:jc w:val="center"/>
                    <w:rPr>
                      <w:rFonts w:cstheme="minorHAnsi"/>
                      <w:b w:val="0"/>
                      <w:bCs/>
                      <w:szCs w:val="22"/>
                    </w:rPr>
                  </w:pPr>
                  <w:r w:rsidRPr="009150D9">
                    <w:rPr>
                      <w:rFonts w:cstheme="minorHAnsi"/>
                      <w:b w:val="0"/>
                      <w:bCs/>
                      <w:szCs w:val="22"/>
                    </w:rPr>
                    <w:t>20% of payment</w:t>
                  </w:r>
                </w:p>
              </w:tc>
              <w:tc>
                <w:tcPr>
                  <w:tcW w:w="2475" w:type="dxa"/>
                  <w:vAlign w:val="center"/>
                </w:tcPr>
                <w:p w14:paraId="0753F948" w14:textId="2B9E0837" w:rsidR="00433986" w:rsidRPr="00433986" w:rsidRDefault="004A2CA9" w:rsidP="00AD4052">
                  <w:pPr>
                    <w:pStyle w:val="ListParagraph"/>
                    <w:spacing w:before="0" w:after="0"/>
                    <w:jc w:val="center"/>
                    <w:rPr>
                      <w:rFonts w:cstheme="minorHAnsi"/>
                      <w:b w:val="0"/>
                      <w:szCs w:val="22"/>
                    </w:rPr>
                  </w:pPr>
                  <w:r>
                    <w:rPr>
                      <w:rFonts w:cstheme="minorHAnsi"/>
                      <w:b w:val="0"/>
                      <w:szCs w:val="22"/>
                    </w:rPr>
                    <w:t>January</w:t>
                  </w:r>
                  <w:r w:rsidR="00433986" w:rsidRPr="00433986">
                    <w:rPr>
                      <w:rFonts w:cstheme="minorHAnsi"/>
                      <w:b w:val="0"/>
                      <w:szCs w:val="22"/>
                    </w:rPr>
                    <w:t xml:space="preserve"> 202</w:t>
                  </w:r>
                  <w:r w:rsidR="00433986">
                    <w:rPr>
                      <w:rFonts w:cstheme="minorHAnsi"/>
                      <w:b w:val="0"/>
                      <w:szCs w:val="22"/>
                    </w:rPr>
                    <w:t>1</w:t>
                  </w:r>
                </w:p>
              </w:tc>
            </w:tr>
            <w:tr w:rsidR="00433986" w:rsidRPr="00433986" w14:paraId="1E5CDD03" w14:textId="77777777" w:rsidTr="004A2CA9">
              <w:trPr>
                <w:trHeight w:val="544"/>
              </w:trPr>
              <w:tc>
                <w:tcPr>
                  <w:tcW w:w="4931" w:type="dxa"/>
                  <w:vAlign w:val="center"/>
                </w:tcPr>
                <w:p w14:paraId="7785F0EF" w14:textId="61F6D8C1" w:rsidR="00AD4052" w:rsidRPr="00AD4052" w:rsidRDefault="004A2CA9" w:rsidP="00AD4052">
                  <w:pPr>
                    <w:pStyle w:val="ListParagraph"/>
                    <w:spacing w:before="0" w:after="0"/>
                    <w:rPr>
                      <w:rFonts w:cstheme="minorHAnsi"/>
                      <w:b w:val="0"/>
                      <w:bCs/>
                      <w:szCs w:val="22"/>
                    </w:rPr>
                  </w:pPr>
                  <w:r w:rsidRPr="004A2CA9">
                    <w:rPr>
                      <w:rFonts w:cstheme="minorHAnsi"/>
                      <w:b w:val="0"/>
                      <w:bCs/>
                      <w:szCs w:val="22"/>
                    </w:rPr>
                    <w:t xml:space="preserve">Final report </w:t>
                  </w:r>
                  <w:r w:rsidR="00C85B75">
                    <w:rPr>
                      <w:rFonts w:cstheme="minorHAnsi"/>
                      <w:b w:val="0"/>
                      <w:bCs/>
                      <w:szCs w:val="22"/>
                    </w:rPr>
                    <w:t xml:space="preserve">and final presentation </w:t>
                  </w:r>
                  <w:r w:rsidRPr="004A2CA9">
                    <w:rPr>
                      <w:rFonts w:cstheme="minorHAnsi"/>
                      <w:b w:val="0"/>
                      <w:bCs/>
                      <w:szCs w:val="22"/>
                    </w:rPr>
                    <w:t>on workshop recommendations, key findings and way forward for developing and implementation of gender-sensitive immunization services</w:t>
                  </w:r>
                </w:p>
              </w:tc>
              <w:tc>
                <w:tcPr>
                  <w:tcW w:w="2700" w:type="dxa"/>
                  <w:vAlign w:val="center"/>
                </w:tcPr>
                <w:p w14:paraId="6878E932" w14:textId="1EE5A3F2" w:rsidR="00433986" w:rsidRPr="00433986" w:rsidRDefault="004A2CA9" w:rsidP="00AD4052">
                  <w:pPr>
                    <w:pStyle w:val="ListParagraph"/>
                    <w:spacing w:before="0" w:after="0"/>
                    <w:jc w:val="center"/>
                    <w:rPr>
                      <w:rFonts w:cstheme="minorHAnsi"/>
                      <w:b w:val="0"/>
                      <w:bCs/>
                      <w:szCs w:val="22"/>
                    </w:rPr>
                  </w:pPr>
                  <w:r>
                    <w:rPr>
                      <w:rFonts w:cstheme="minorHAnsi"/>
                      <w:b w:val="0"/>
                      <w:bCs/>
                      <w:szCs w:val="22"/>
                    </w:rPr>
                    <w:t>3</w:t>
                  </w:r>
                  <w:r w:rsidR="00433986" w:rsidRPr="009150D9">
                    <w:rPr>
                      <w:rFonts w:cstheme="minorHAnsi"/>
                      <w:b w:val="0"/>
                      <w:bCs/>
                      <w:szCs w:val="22"/>
                    </w:rPr>
                    <w:t>0% of payment</w:t>
                  </w:r>
                </w:p>
              </w:tc>
              <w:tc>
                <w:tcPr>
                  <w:tcW w:w="2475" w:type="dxa"/>
                  <w:vAlign w:val="center"/>
                </w:tcPr>
                <w:p w14:paraId="0197246B" w14:textId="5B9057B2" w:rsidR="00433986" w:rsidRPr="00433986" w:rsidRDefault="004A2CA9" w:rsidP="00AD4052">
                  <w:pPr>
                    <w:pStyle w:val="ListParagraph"/>
                    <w:spacing w:before="0" w:after="0"/>
                    <w:jc w:val="center"/>
                    <w:rPr>
                      <w:rFonts w:cstheme="minorHAnsi"/>
                      <w:b w:val="0"/>
                      <w:szCs w:val="22"/>
                    </w:rPr>
                  </w:pPr>
                  <w:r>
                    <w:rPr>
                      <w:rFonts w:cstheme="minorHAnsi"/>
                      <w:b w:val="0"/>
                      <w:szCs w:val="22"/>
                    </w:rPr>
                    <w:t>April</w:t>
                  </w:r>
                  <w:r w:rsidR="00433986" w:rsidRPr="00433986">
                    <w:rPr>
                      <w:rFonts w:cstheme="minorHAnsi"/>
                      <w:b w:val="0"/>
                      <w:szCs w:val="22"/>
                    </w:rPr>
                    <w:t xml:space="preserve"> 202</w:t>
                  </w:r>
                  <w:r w:rsidR="00433986">
                    <w:rPr>
                      <w:rFonts w:cstheme="minorHAnsi"/>
                      <w:b w:val="0"/>
                      <w:szCs w:val="22"/>
                    </w:rPr>
                    <w:t>1</w:t>
                  </w:r>
                </w:p>
              </w:tc>
            </w:tr>
          </w:tbl>
          <w:p w14:paraId="14AFAAA9" w14:textId="77777777" w:rsidR="007D3967" w:rsidRPr="00433986" w:rsidRDefault="007D3967" w:rsidP="00684E67">
            <w:pPr>
              <w:pStyle w:val="ListParagraph"/>
              <w:rPr>
                <w:rFonts w:cstheme="minorHAnsi"/>
                <w:b w:val="0"/>
                <w:bCs/>
                <w:szCs w:val="22"/>
              </w:rPr>
            </w:pPr>
          </w:p>
        </w:tc>
      </w:tr>
      <w:tr w:rsidR="001E405C" w:rsidRPr="008160D8" w14:paraId="50427440" w14:textId="77777777" w:rsidTr="00E32F46">
        <w:tc>
          <w:tcPr>
            <w:tcW w:w="9990" w:type="dxa"/>
          </w:tcPr>
          <w:p w14:paraId="63536D88" w14:textId="3D0BF7DC" w:rsidR="001E405C" w:rsidRPr="008160D8" w:rsidRDefault="001E405C" w:rsidP="00001C6C">
            <w:pPr>
              <w:pStyle w:val="ListParagraph"/>
              <w:numPr>
                <w:ilvl w:val="0"/>
                <w:numId w:val="4"/>
              </w:numPr>
              <w:ind w:left="319" w:hanging="270"/>
              <w:rPr>
                <w:rFonts w:cstheme="minorHAnsi"/>
                <w:szCs w:val="22"/>
              </w:rPr>
            </w:pPr>
            <w:r w:rsidRPr="008160D8">
              <w:rPr>
                <w:rFonts w:cstheme="minorHAnsi"/>
                <w:szCs w:val="22"/>
              </w:rPr>
              <w:t>Nature of Penalty Clause to be stipulated in the contract:</w:t>
            </w:r>
          </w:p>
          <w:p w14:paraId="7793D2E0" w14:textId="77777777" w:rsidR="00B951A9" w:rsidRDefault="001E405C" w:rsidP="00974BF9">
            <w:pPr>
              <w:pStyle w:val="BodyText3"/>
              <w:tabs>
                <w:tab w:val="clear" w:pos="720"/>
              </w:tabs>
              <w:rPr>
                <w:rFonts w:asciiTheme="minorHAnsi" w:hAnsiTheme="minorHAnsi" w:cstheme="minorHAnsi"/>
                <w:szCs w:val="22"/>
              </w:rPr>
            </w:pPr>
            <w:r w:rsidRPr="008160D8">
              <w:rPr>
                <w:rFonts w:asciiTheme="minorHAnsi" w:hAnsiTheme="minorHAnsi" w:cstheme="minorHAnsi"/>
                <w:szCs w:val="22"/>
              </w:rPr>
              <w:t xml:space="preserve">UNICEF </w:t>
            </w:r>
            <w:r w:rsidR="00974BF9" w:rsidRPr="008160D8">
              <w:rPr>
                <w:rFonts w:asciiTheme="minorHAnsi" w:hAnsiTheme="minorHAnsi" w:cstheme="minorHAnsi"/>
                <w:szCs w:val="22"/>
              </w:rPr>
              <w:t>Myanmar</w:t>
            </w:r>
            <w:r w:rsidR="0005644B" w:rsidRPr="008160D8">
              <w:rPr>
                <w:rFonts w:asciiTheme="minorHAnsi" w:hAnsiTheme="minorHAnsi" w:cstheme="minorHAnsi"/>
                <w:szCs w:val="22"/>
              </w:rPr>
              <w:t xml:space="preserve"> </w:t>
            </w:r>
            <w:r w:rsidRPr="008160D8">
              <w:rPr>
                <w:rFonts w:asciiTheme="minorHAnsi" w:hAnsiTheme="minorHAnsi" w:cstheme="minorHAnsi"/>
                <w:szCs w:val="22"/>
              </w:rPr>
              <w:t>serves the right not to pay the Contractor or withhold part of the payable amount if one or more requirements established for this assignment is not met or deadline set for the accomplishment of the tasks is missed.</w:t>
            </w:r>
          </w:p>
          <w:p w14:paraId="129DF165" w14:textId="4A173688" w:rsidR="00301D6E" w:rsidRPr="008160D8" w:rsidRDefault="00301D6E" w:rsidP="00974BF9">
            <w:pPr>
              <w:pStyle w:val="BodyText3"/>
              <w:tabs>
                <w:tab w:val="clear" w:pos="720"/>
              </w:tabs>
              <w:rPr>
                <w:rFonts w:asciiTheme="minorHAnsi" w:hAnsiTheme="minorHAnsi" w:cstheme="minorHAnsi"/>
                <w:szCs w:val="22"/>
              </w:rPr>
            </w:pPr>
          </w:p>
        </w:tc>
      </w:tr>
    </w:tbl>
    <w:p w14:paraId="67F677B4" w14:textId="676C7AE2" w:rsidR="00535D34" w:rsidRPr="008160D8" w:rsidRDefault="00535D34" w:rsidP="00383223">
      <w:pPr>
        <w:jc w:val="left"/>
        <w:rPr>
          <w:rFonts w:cstheme="minorHAnsi"/>
          <w:szCs w:val="22"/>
        </w:rPr>
      </w:pPr>
      <w:bookmarkStart w:id="0" w:name="_GoBack"/>
      <w:bookmarkEnd w:id="0"/>
    </w:p>
    <w:p w14:paraId="755B31AB" w14:textId="77777777" w:rsidR="00535D34" w:rsidRPr="008160D8" w:rsidRDefault="00535D34" w:rsidP="00535D34">
      <w:pPr>
        <w:jc w:val="left"/>
        <w:rPr>
          <w:rFonts w:cstheme="minorHAnsi"/>
          <w:szCs w:val="22"/>
        </w:rPr>
      </w:pPr>
    </w:p>
    <w:p w14:paraId="468D61EF" w14:textId="77777777" w:rsidR="00535D34" w:rsidRPr="008160D8" w:rsidRDefault="00535D34" w:rsidP="00535D34">
      <w:pPr>
        <w:jc w:val="left"/>
        <w:rPr>
          <w:rFonts w:cstheme="minorHAnsi"/>
          <w:szCs w:val="22"/>
        </w:rPr>
      </w:pPr>
    </w:p>
    <w:p w14:paraId="38F2EE8F" w14:textId="77777777" w:rsidR="00CF6E57" w:rsidRPr="008160D8" w:rsidRDefault="00CF6E57" w:rsidP="002507E8">
      <w:pPr>
        <w:jc w:val="left"/>
        <w:rPr>
          <w:rFonts w:cstheme="minorHAnsi"/>
          <w:b/>
          <w:szCs w:val="22"/>
          <w:lang w:val="en-AU"/>
        </w:rPr>
      </w:pPr>
    </w:p>
    <w:sectPr w:rsidR="00CF6E57" w:rsidRPr="008160D8" w:rsidSect="0041561B">
      <w:headerReference w:type="default" r:id="rId8"/>
      <w:footerReference w:type="default" r:id="rId9"/>
      <w:pgSz w:w="11909" w:h="16834" w:code="9"/>
      <w:pgMar w:top="1084" w:right="1559" w:bottom="720" w:left="1701" w:header="8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3F6D7" w14:textId="77777777" w:rsidR="00FC1A95" w:rsidRDefault="00FC1A95">
      <w:r>
        <w:separator/>
      </w:r>
    </w:p>
  </w:endnote>
  <w:endnote w:type="continuationSeparator" w:id="0">
    <w:p w14:paraId="7725CB27" w14:textId="77777777" w:rsidR="00FC1A95" w:rsidRDefault="00FC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BA153" w14:textId="344ED0B7" w:rsidR="00B06A9C" w:rsidRPr="00C23E86" w:rsidRDefault="00B06A9C">
    <w:pPr>
      <w:pStyle w:val="Footer"/>
      <w:rPr>
        <w:rFonts w:eastAsiaTheme="majorEastAsia" w:cs="Tahoma"/>
        <w:sz w:val="20"/>
      </w:rPr>
    </w:pPr>
    <w:r w:rsidRPr="00C23E86">
      <w:rPr>
        <w:rFonts w:eastAsiaTheme="majorEastAsia" w:cs="Tahoma"/>
        <w:sz w:val="20"/>
      </w:rPr>
      <w:t xml:space="preserve">TOR </w:t>
    </w:r>
    <w:r w:rsidR="00FE1B0A">
      <w:rPr>
        <w:rFonts w:eastAsiaTheme="majorEastAsia" w:cs="Tahoma"/>
        <w:sz w:val="20"/>
      </w:rPr>
      <w:t xml:space="preserve">for National </w:t>
    </w:r>
    <w:r w:rsidR="008D3A21" w:rsidRPr="00C23E86">
      <w:rPr>
        <w:rFonts w:eastAsiaTheme="majorEastAsia" w:cs="Tahoma"/>
        <w:sz w:val="20"/>
      </w:rPr>
      <w:t>Consult</w:t>
    </w:r>
    <w:r w:rsidR="00FE1B0A">
      <w:rPr>
        <w:rFonts w:eastAsiaTheme="majorEastAsia" w:cs="Tahoma"/>
        <w:sz w:val="20"/>
      </w:rPr>
      <w:t>ant</w:t>
    </w:r>
    <w:r w:rsidRPr="00C23E86">
      <w:rPr>
        <w:rFonts w:eastAsiaTheme="majorEastAsia" w:cs="Tahoma"/>
        <w:sz w:val="20"/>
      </w:rPr>
      <w:ptab w:relativeTo="margin" w:alignment="right" w:leader="none"/>
    </w:r>
    <w:r w:rsidRPr="00C23E86">
      <w:rPr>
        <w:rFonts w:eastAsiaTheme="majorEastAsia" w:cs="Tahoma"/>
        <w:sz w:val="20"/>
      </w:rPr>
      <w:t xml:space="preserve">Page </w:t>
    </w:r>
    <w:r w:rsidR="002B4B38" w:rsidRPr="00C23E86">
      <w:rPr>
        <w:rFonts w:eastAsiaTheme="minorEastAsia" w:cs="Tahoma"/>
        <w:sz w:val="20"/>
      </w:rPr>
      <w:fldChar w:fldCharType="begin"/>
    </w:r>
    <w:r w:rsidRPr="00C23E86">
      <w:rPr>
        <w:rFonts w:cs="Tahoma"/>
        <w:sz w:val="20"/>
      </w:rPr>
      <w:instrText xml:space="preserve"> PAGE   \* MERGEFORMAT </w:instrText>
    </w:r>
    <w:r w:rsidR="002B4B38" w:rsidRPr="00C23E86">
      <w:rPr>
        <w:rFonts w:eastAsiaTheme="minorEastAsia" w:cs="Tahoma"/>
        <w:sz w:val="20"/>
      </w:rPr>
      <w:fldChar w:fldCharType="separate"/>
    </w:r>
    <w:r w:rsidR="00FE1B0A" w:rsidRPr="00FE1B0A">
      <w:rPr>
        <w:rFonts w:eastAsiaTheme="majorEastAsia" w:cs="Tahoma"/>
        <w:noProof/>
        <w:sz w:val="20"/>
      </w:rPr>
      <w:t>1</w:t>
    </w:r>
    <w:r w:rsidR="002B4B38" w:rsidRPr="00C23E86">
      <w:rPr>
        <w:rFonts w:eastAsiaTheme="majorEastAsia" w:cs="Tahoma"/>
        <w:noProof/>
        <w:sz w:val="20"/>
      </w:rPr>
      <w:fldChar w:fldCharType="end"/>
    </w:r>
    <w:r w:rsidR="003634D2" w:rsidRPr="00C23E86">
      <w:rPr>
        <w:rFonts w:cs="Tahoma"/>
        <w:noProof/>
        <w:sz w:val="20"/>
        <w:lang w:val="en-US"/>
      </w:rPr>
      <mc:AlternateContent>
        <mc:Choice Requires="wpg">
          <w:drawing>
            <wp:anchor distT="0" distB="0" distL="114300" distR="114300" simplePos="0" relativeHeight="251655168" behindDoc="0" locked="0" layoutInCell="0" allowOverlap="1" wp14:anchorId="3D8E91AA" wp14:editId="2176F9DB">
              <wp:simplePos x="0" y="0"/>
              <wp:positionH relativeFrom="page">
                <wp:align>center</wp:align>
              </wp:positionH>
              <wp:positionV relativeFrom="page">
                <wp:align>bottom</wp:align>
              </wp:positionV>
              <wp:extent cx="7546975" cy="415925"/>
              <wp:effectExtent l="0" t="0" r="0" b="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6975" cy="415925"/>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2B31AABD" id="Group 441" o:spid="_x0000_s1026" style="position:absolute;margin-left:0;margin-top:0;width:594.25pt;height:32.75pt;flip:y;z-index:251655168;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sidR="003634D2" w:rsidRPr="00C23E86">
      <w:rPr>
        <w:rFonts w:cs="Tahoma"/>
        <w:noProof/>
        <w:sz w:val="20"/>
        <w:lang w:val="en-US"/>
      </w:rPr>
      <mc:AlternateContent>
        <mc:Choice Requires="wps">
          <w:drawing>
            <wp:anchor distT="0" distB="0" distL="114300" distR="114300" simplePos="0" relativeHeight="251659264" behindDoc="0" locked="0" layoutInCell="1" allowOverlap="1" wp14:anchorId="6C5C0AE4" wp14:editId="221ABFD8">
              <wp:simplePos x="0" y="0"/>
              <wp:positionH relativeFrom="leftMargin">
                <wp:align>center</wp:align>
              </wp:positionH>
              <wp:positionV relativeFrom="page">
                <wp:align>bottom</wp:align>
              </wp:positionV>
              <wp:extent cx="90805" cy="396240"/>
              <wp:effectExtent l="0" t="0" r="23495" b="2667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9624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1D5C0B45" id="Rectangle 444" o:spid="_x0000_s1026" style="position:absolute;margin-left:0;margin-top:0;width:7.15pt;height:31.2pt;z-index:251659264;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" fillcolor="#4bacc6 [3208]" strokecolor="#4f81bd [3204]">
              <w10:wrap anchorx="margin" anchory="page"/>
            </v:rect>
          </w:pict>
        </mc:Fallback>
      </mc:AlternateContent>
    </w:r>
    <w:r w:rsidR="003634D2" w:rsidRPr="00C23E86">
      <w:rPr>
        <w:rFonts w:cs="Tahoma"/>
        <w:noProof/>
        <w:sz w:val="20"/>
        <w:lang w:val="en-US"/>
      </w:rPr>
      <mc:AlternateContent>
        <mc:Choice Requires="wps">
          <w:drawing>
            <wp:anchor distT="0" distB="0" distL="114300" distR="114300" simplePos="0" relativeHeight="251656192" behindDoc="0" locked="0" layoutInCell="1" allowOverlap="1" wp14:anchorId="773E9469" wp14:editId="36D08345">
              <wp:simplePos x="0" y="0"/>
              <wp:positionH relativeFrom="rightMargin">
                <wp:align>center</wp:align>
              </wp:positionH>
              <wp:positionV relativeFrom="page">
                <wp:align>bottom</wp:align>
              </wp:positionV>
              <wp:extent cx="91440" cy="396240"/>
              <wp:effectExtent l="0" t="0" r="22860" b="2667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39624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4AC2AFC3" id="Rectangle 445" o:spid="_x0000_s1026" style="position:absolute;margin-left:0;margin-top:0;width:7.2pt;height:31.2pt;z-index:251656192;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" fillcolor="#4bacc6 [3208]" strokecolor="#4f81bd [3204]">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2E89D" w14:textId="77777777" w:rsidR="00FC1A95" w:rsidRDefault="00FC1A95">
      <w:r>
        <w:separator/>
      </w:r>
    </w:p>
  </w:footnote>
  <w:footnote w:type="continuationSeparator" w:id="0">
    <w:p w14:paraId="2C2CEAB8" w14:textId="77777777" w:rsidR="00FC1A95" w:rsidRDefault="00FC1A95">
      <w:r>
        <w:continuationSeparator/>
      </w:r>
    </w:p>
  </w:footnote>
  <w:footnote w:id="1">
    <w:p w14:paraId="7E75F2CA" w14:textId="77777777" w:rsidR="00507D85" w:rsidRPr="004F55B8" w:rsidRDefault="00507D85" w:rsidP="00507D85">
      <w:pPr>
        <w:pStyle w:val="FootnoteText"/>
        <w:rPr>
          <w:rFonts w:asciiTheme="minorHAnsi" w:hAnsiTheme="minorHAnsi" w:cstheme="minorHAnsi"/>
          <w:sz w:val="18"/>
          <w:szCs w:val="18"/>
        </w:rPr>
      </w:pPr>
      <w:r w:rsidRPr="004F55B8">
        <w:rPr>
          <w:rStyle w:val="FootnoteReference"/>
          <w:rFonts w:asciiTheme="minorHAnsi" w:hAnsiTheme="minorHAnsi" w:cstheme="minorHAnsi"/>
          <w:sz w:val="18"/>
          <w:szCs w:val="18"/>
        </w:rPr>
        <w:footnoteRef/>
      </w:r>
      <w:r w:rsidRPr="004F55B8">
        <w:rPr>
          <w:rFonts w:asciiTheme="minorHAnsi" w:hAnsiTheme="minorHAnsi" w:cstheme="minorHAnsi"/>
          <w:sz w:val="18"/>
          <w:szCs w:val="18"/>
        </w:rPr>
        <w:t xml:space="preserve"> Myanmar Demographic Health Survey (MDHS) </w:t>
      </w:r>
      <w:r w:rsidRPr="004F55B8">
        <w:rPr>
          <w:rFonts w:asciiTheme="minorHAnsi" w:eastAsia="Times" w:hAnsiTheme="minorHAnsi" w:cstheme="minorHAnsi"/>
          <w:sz w:val="18"/>
          <w:szCs w:val="18"/>
        </w:rPr>
        <w:t>2015-16: Final Report. MOHS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2F1B3" w14:textId="77777777" w:rsidR="00866ECE" w:rsidRDefault="00866ECE" w:rsidP="004F3D9C">
    <w:pPr>
      <w:pStyle w:val="Header"/>
      <w:rPr>
        <w:rFonts w:ascii="Tahoma" w:eastAsiaTheme="majorEastAsia" w:hAnsi="Tahoma" w:cs="Tahoma"/>
        <w:lang w:val="en-US"/>
      </w:rPr>
    </w:pPr>
  </w:p>
  <w:p w14:paraId="388F663A" w14:textId="45072F4B" w:rsidR="004F3D9C" w:rsidRPr="00C23E86" w:rsidRDefault="00421D69" w:rsidP="004F3D9C">
    <w:pPr>
      <w:pStyle w:val="Header"/>
      <w:rPr>
        <w:sz w:val="20"/>
      </w:rPr>
    </w:pPr>
    <w:r w:rsidRPr="00C23E86">
      <w:rPr>
        <w:rFonts w:ascii="Tahoma" w:eastAsiaTheme="majorEastAsia" w:hAnsi="Tahoma" w:cs="Tahoma"/>
        <w:sz w:val="20"/>
        <w:lang w:val="en-US"/>
      </w:rPr>
      <w:t xml:space="preserve">              </w:t>
    </w:r>
    <w:r w:rsidR="00866ECE" w:rsidRPr="00C23E86">
      <w:rPr>
        <w:rFonts w:ascii="Tahoma" w:eastAsiaTheme="majorEastAsia" w:hAnsi="Tahoma" w:cs="Tahoma"/>
        <w:sz w:val="20"/>
        <w:lang w:val="en-US"/>
      </w:rPr>
      <w:t>UNICEF Myanmar</w:t>
    </w:r>
    <w:r w:rsidR="003634D2" w:rsidRPr="00C23E86">
      <w:rPr>
        <w:rFonts w:asciiTheme="majorHAnsi" w:eastAsiaTheme="majorEastAsia" w:hAnsiTheme="majorHAnsi" w:cstheme="majorBidi"/>
        <w:noProof/>
        <w:sz w:val="20"/>
        <w:lang w:val="en-US"/>
      </w:rPr>
      <mc:AlternateContent>
        <mc:Choice Requires="wpg">
          <w:drawing>
            <wp:anchor distT="0" distB="0" distL="114300" distR="114300" simplePos="0" relativeHeight="251660288" behindDoc="0" locked="0" layoutInCell="1" allowOverlap="1" wp14:anchorId="6AFFFED4" wp14:editId="79DFF9C2">
              <wp:simplePos x="0" y="0"/>
              <wp:positionH relativeFrom="page">
                <wp:posOffset>19685</wp:posOffset>
              </wp:positionH>
              <wp:positionV relativeFrom="page">
                <wp:posOffset>-96269</wp:posOffset>
              </wp:positionV>
              <wp:extent cx="7541895" cy="422910"/>
              <wp:effectExtent l="0" t="0" r="19685" b="10795"/>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895" cy="42291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w14:anchorId="07C65EFE" id="Group 468" o:spid="_x0000_s1026" style="position:absolute;margin-left:1.55pt;margin-top:-7.6pt;width:593.85pt;height:33.3pt;z-index:251660288;mso-width-percent:1000;mso-height-percent:925;mso-position-horizontal-relative:page;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mc:Fallback>
      </mc:AlternateContent>
    </w:r>
    <w:r w:rsidR="003634D2" w:rsidRPr="00C23E86">
      <w:rPr>
        <w:rFonts w:asciiTheme="majorHAnsi" w:eastAsiaTheme="majorEastAsia" w:hAnsiTheme="majorHAnsi" w:cstheme="majorBidi"/>
        <w:noProof/>
        <w:sz w:val="20"/>
        <w:lang w:val="en-US"/>
      </w:rPr>
      <mc:AlternateContent>
        <mc:Choice Requires="wps">
          <w:drawing>
            <wp:anchor distT="0" distB="0" distL="114300" distR="114300" simplePos="0" relativeHeight="251658240" behindDoc="0" locked="0" layoutInCell="1" allowOverlap="1" wp14:anchorId="207D734D" wp14:editId="07BD1323">
              <wp:simplePos x="0" y="0"/>
              <wp:positionH relativeFrom="rightMargin">
                <wp:align>center</wp:align>
              </wp:positionH>
              <wp:positionV relativeFrom="page">
                <wp:align>top</wp:align>
              </wp:positionV>
              <wp:extent cx="90805" cy="396240"/>
              <wp:effectExtent l="0" t="0" r="23495" b="2667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9624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4D982A4E" id="Rectangle 471" o:spid="_x0000_s1026" style="position:absolute;margin-left:0;margin-top:0;width:7.15pt;height:31.2pt;z-index:251658240;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" fillcolor="#4bacc6 [3208]" strokecolor="#4f81bd [3204]">
              <w10:wrap anchorx="margin" anchory="page"/>
            </v:rect>
          </w:pict>
        </mc:Fallback>
      </mc:AlternateContent>
    </w:r>
    <w:r w:rsidR="003634D2" w:rsidRPr="00C23E86">
      <w:rPr>
        <w:rFonts w:asciiTheme="majorHAnsi" w:eastAsiaTheme="majorEastAsia" w:hAnsiTheme="majorHAnsi" w:cstheme="majorBidi"/>
        <w:noProof/>
        <w:sz w:val="20"/>
        <w:lang w:val="en-US"/>
      </w:rPr>
      <mc:AlternateContent>
        <mc:Choice Requires="wps">
          <w:drawing>
            <wp:anchor distT="0" distB="0" distL="114300" distR="114300" simplePos="0" relativeHeight="251657216" behindDoc="0" locked="0" layoutInCell="1" allowOverlap="1" wp14:anchorId="7B93E819" wp14:editId="743C04BC">
              <wp:simplePos x="0" y="0"/>
              <wp:positionH relativeFrom="leftMargin">
                <wp:align>center</wp:align>
              </wp:positionH>
              <wp:positionV relativeFrom="page">
                <wp:align>top</wp:align>
              </wp:positionV>
              <wp:extent cx="90805" cy="396240"/>
              <wp:effectExtent l="0" t="0" r="23495" b="2667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9624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3A1C4653" id="Rectangle 472" o:spid="_x0000_s1026" style="position:absolute;margin-left:0;margin-top:0;width:7.15pt;height:31.2pt;z-index:251657216;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" fillcolor="#4bacc6 [3208]" strokecolor="#4f81bd [3204]">
              <w10:wrap anchorx="margin" anchory="page"/>
            </v:rect>
          </w:pict>
        </mc:Fallback>
      </mc:AlternateContent>
    </w:r>
    <w:r w:rsidRPr="00C23E86">
      <w:rPr>
        <w:rFonts w:ascii="Tahoma" w:eastAsiaTheme="majorEastAsia" w:hAnsi="Tahoma" w:cs="Tahoma"/>
        <w:sz w:val="20"/>
        <w:lang w:val="en-US"/>
      </w:rPr>
      <w:t xml:space="preserve"> Terms </w:t>
    </w:r>
    <w:r w:rsidR="002F2550">
      <w:rPr>
        <w:rFonts w:ascii="Tahoma" w:eastAsiaTheme="majorEastAsia" w:hAnsi="Tahoma" w:cs="Tahoma"/>
        <w:sz w:val="20"/>
        <w:lang w:val="en-US"/>
      </w:rPr>
      <w:t>o</w:t>
    </w:r>
    <w:r w:rsidRPr="00C23E86">
      <w:rPr>
        <w:rFonts w:ascii="Tahoma" w:eastAsiaTheme="majorEastAsia" w:hAnsi="Tahoma" w:cs="Tahoma"/>
        <w:sz w:val="20"/>
        <w:lang w:val="en-US"/>
      </w:rPr>
      <w:t xml:space="preserve">f Reference (TOR) for </w:t>
    </w:r>
    <w:r w:rsidR="00D54BA1">
      <w:rPr>
        <w:rFonts w:ascii="Tahoma" w:eastAsiaTheme="majorEastAsia" w:hAnsi="Tahoma" w:cs="Tahoma"/>
        <w:sz w:val="20"/>
        <w:lang w:val="en-US"/>
      </w:rPr>
      <w:t>National Consultant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A07DE"/>
    <w:multiLevelType w:val="hybridMultilevel"/>
    <w:tmpl w:val="3544E4DE"/>
    <w:lvl w:ilvl="0" w:tplc="D1229F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6788B"/>
    <w:multiLevelType w:val="hybridMultilevel"/>
    <w:tmpl w:val="1E68F91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05958"/>
    <w:multiLevelType w:val="hybridMultilevel"/>
    <w:tmpl w:val="1C207746"/>
    <w:lvl w:ilvl="0" w:tplc="FB826D72">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2078D"/>
    <w:multiLevelType w:val="hybridMultilevel"/>
    <w:tmpl w:val="F6EEB8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6A72CC"/>
    <w:multiLevelType w:val="hybridMultilevel"/>
    <w:tmpl w:val="AF781314"/>
    <w:lvl w:ilvl="0" w:tplc="69CE5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37D83"/>
    <w:multiLevelType w:val="hybridMultilevel"/>
    <w:tmpl w:val="B7282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3B7179"/>
    <w:multiLevelType w:val="hybridMultilevel"/>
    <w:tmpl w:val="EDD83A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1D1E23"/>
    <w:multiLevelType w:val="hybridMultilevel"/>
    <w:tmpl w:val="210C5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265381"/>
    <w:multiLevelType w:val="hybridMultilevel"/>
    <w:tmpl w:val="7B002F6C"/>
    <w:lvl w:ilvl="0" w:tplc="34E46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03007F"/>
    <w:multiLevelType w:val="multilevel"/>
    <w:tmpl w:val="115682AC"/>
    <w:lvl w:ilvl="0">
      <w:start w:val="3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A81C5B"/>
    <w:multiLevelType w:val="hybridMultilevel"/>
    <w:tmpl w:val="EDD83A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9821F6"/>
    <w:multiLevelType w:val="hybridMultilevel"/>
    <w:tmpl w:val="82A8EBF8"/>
    <w:lvl w:ilvl="0" w:tplc="C41AB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48080F"/>
    <w:multiLevelType w:val="hybridMultilevel"/>
    <w:tmpl w:val="B226E5BC"/>
    <w:lvl w:ilvl="0" w:tplc="C710318E">
      <w:numFmt w:val="bullet"/>
      <w:lvlText w:val="-"/>
      <w:lvlJc w:val="left"/>
      <w:pPr>
        <w:ind w:left="720" w:hanging="360"/>
      </w:pPr>
      <w:rPr>
        <w:rFonts w:ascii="Helv" w:eastAsiaTheme="minorHAnsi" w:hAnsi="Helv" w:cs="Helv"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782D73"/>
    <w:multiLevelType w:val="hybridMultilevel"/>
    <w:tmpl w:val="983CBBAE"/>
    <w:lvl w:ilvl="0" w:tplc="04090011">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293156E"/>
    <w:multiLevelType w:val="hybridMultilevel"/>
    <w:tmpl w:val="D28CEAA0"/>
    <w:lvl w:ilvl="0" w:tplc="814A67FC">
      <w:start w:val="1"/>
      <w:numFmt w:val="decimal"/>
      <w:lvlText w:val="%1."/>
      <w:lvlJc w:val="left"/>
      <w:pPr>
        <w:ind w:left="720" w:hanging="360"/>
      </w:pPr>
      <w:rPr>
        <w:rFonts w:hint="default"/>
        <w:b w:val="0"/>
        <w:bCs/>
      </w:rPr>
    </w:lvl>
    <w:lvl w:ilvl="1" w:tplc="CC00ABB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CD40CA"/>
    <w:multiLevelType w:val="hybridMultilevel"/>
    <w:tmpl w:val="1AD84AA2"/>
    <w:lvl w:ilvl="0" w:tplc="D23E3A3A">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1F4D31"/>
    <w:multiLevelType w:val="hybridMultilevel"/>
    <w:tmpl w:val="078274A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AD1FC1"/>
    <w:multiLevelType w:val="hybridMultilevel"/>
    <w:tmpl w:val="03B232F4"/>
    <w:lvl w:ilvl="0" w:tplc="0B146D92">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02624F"/>
    <w:multiLevelType w:val="hybridMultilevel"/>
    <w:tmpl w:val="97A4DDE8"/>
    <w:lvl w:ilvl="0" w:tplc="0409000F">
      <w:start w:val="1"/>
      <w:numFmt w:val="decimal"/>
      <w:lvlText w:val="%1."/>
      <w:lvlJc w:val="left"/>
      <w:pPr>
        <w:ind w:left="720" w:hanging="360"/>
      </w:pPr>
      <w:rPr>
        <w:rFonts w:hint="default"/>
      </w:rPr>
    </w:lvl>
    <w:lvl w:ilvl="1" w:tplc="CC00ABB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885728"/>
    <w:multiLevelType w:val="hybridMultilevel"/>
    <w:tmpl w:val="E0D0308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47229E"/>
    <w:multiLevelType w:val="hybridMultilevel"/>
    <w:tmpl w:val="D27217F2"/>
    <w:lvl w:ilvl="0" w:tplc="C710318E">
      <w:numFmt w:val="bullet"/>
      <w:lvlText w:val="-"/>
      <w:lvlJc w:val="left"/>
      <w:pPr>
        <w:ind w:left="720" w:hanging="360"/>
      </w:pPr>
      <w:rPr>
        <w:rFonts w:ascii="Helv" w:eastAsiaTheme="minorHAnsi" w:hAnsi="Helv" w:cs="Helv"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DC445F"/>
    <w:multiLevelType w:val="hybridMultilevel"/>
    <w:tmpl w:val="6318068E"/>
    <w:lvl w:ilvl="0" w:tplc="02A8427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A61035"/>
    <w:multiLevelType w:val="hybridMultilevel"/>
    <w:tmpl w:val="049ABF9E"/>
    <w:lvl w:ilvl="0" w:tplc="4C8AB5DA">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E14FCF"/>
    <w:multiLevelType w:val="hybridMultilevel"/>
    <w:tmpl w:val="1974FB6E"/>
    <w:lvl w:ilvl="0" w:tplc="5658F6AE">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5658F6AE">
      <w:start w:val="1"/>
      <w:numFmt w:val="bullet"/>
      <w:lvlText w:val=""/>
      <w:lvlJc w:val="left"/>
      <w:pPr>
        <w:tabs>
          <w:tab w:val="num" w:pos="900"/>
        </w:tabs>
        <w:ind w:left="900" w:hanging="420"/>
      </w:pPr>
      <w:rPr>
        <w:rFonts w:ascii="Symbol" w:hAnsi="Symbol" w:hint="default"/>
        <w:color w:val="auto"/>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24" w15:restartNumberingAfterBreak="0">
    <w:nsid w:val="3B933B4F"/>
    <w:multiLevelType w:val="hybridMultilevel"/>
    <w:tmpl w:val="DE421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B973FE9"/>
    <w:multiLevelType w:val="hybridMultilevel"/>
    <w:tmpl w:val="9E70D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7631D2"/>
    <w:multiLevelType w:val="hybridMultilevel"/>
    <w:tmpl w:val="28F83AEA"/>
    <w:lvl w:ilvl="0" w:tplc="E66E9E5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D3288C"/>
    <w:multiLevelType w:val="hybridMultilevel"/>
    <w:tmpl w:val="7ED05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E613E37"/>
    <w:multiLevelType w:val="hybridMultilevel"/>
    <w:tmpl w:val="FA0424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11160AD"/>
    <w:multiLevelType w:val="hybridMultilevel"/>
    <w:tmpl w:val="67C8F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C57B1F"/>
    <w:multiLevelType w:val="hybridMultilevel"/>
    <w:tmpl w:val="83806920"/>
    <w:lvl w:ilvl="0" w:tplc="B3A08566">
      <w:start w:val="1"/>
      <w:numFmt w:val="decimal"/>
      <w:lvlText w:val="%1."/>
      <w:lvlJc w:val="left"/>
      <w:pPr>
        <w:ind w:left="360" w:hanging="360"/>
      </w:pPr>
      <w:rPr>
        <w:rFonts w:cs="Tahoma" w:hint="default"/>
        <w:b w:val="0"/>
      </w:rPr>
    </w:lvl>
    <w:lvl w:ilvl="1" w:tplc="4DA0637C">
      <w:start w:val="1"/>
      <w:numFmt w:val="decimal"/>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8233079"/>
    <w:multiLevelType w:val="hybridMultilevel"/>
    <w:tmpl w:val="F3C6B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E00443"/>
    <w:multiLevelType w:val="hybridMultilevel"/>
    <w:tmpl w:val="B5A044A6"/>
    <w:lvl w:ilvl="0" w:tplc="94F05B86">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B8424E"/>
    <w:multiLevelType w:val="hybridMultilevel"/>
    <w:tmpl w:val="82A8EBF8"/>
    <w:lvl w:ilvl="0" w:tplc="C41AB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1E1D05"/>
    <w:multiLevelType w:val="hybridMultilevel"/>
    <w:tmpl w:val="C6704E26"/>
    <w:lvl w:ilvl="0" w:tplc="69CE5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F9632A"/>
    <w:multiLevelType w:val="hybridMultilevel"/>
    <w:tmpl w:val="688C4D6E"/>
    <w:lvl w:ilvl="0" w:tplc="3DB84A0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C856F6"/>
    <w:multiLevelType w:val="hybridMultilevel"/>
    <w:tmpl w:val="27EC161A"/>
    <w:lvl w:ilvl="0" w:tplc="86107E38">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3C7CC2"/>
    <w:multiLevelType w:val="hybridMultilevel"/>
    <w:tmpl w:val="3BEADB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551107"/>
    <w:multiLevelType w:val="hybridMultilevel"/>
    <w:tmpl w:val="450645A6"/>
    <w:lvl w:ilvl="0" w:tplc="4288D47E">
      <w:start w:val="1"/>
      <w:numFmt w:val="lowerLetter"/>
      <w:lvlText w:val="%1."/>
      <w:lvlJc w:val="left"/>
      <w:pPr>
        <w:ind w:left="769" w:hanging="360"/>
      </w:pPr>
      <w:rPr>
        <w:rFonts w:hint="default"/>
        <w:b w:val="0"/>
        <w:bCs/>
      </w:r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39" w15:restartNumberingAfterBreak="0">
    <w:nsid w:val="5D8043B1"/>
    <w:multiLevelType w:val="hybridMultilevel"/>
    <w:tmpl w:val="115682AC"/>
    <w:lvl w:ilvl="0" w:tplc="86107E38">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EE529A"/>
    <w:multiLevelType w:val="hybridMultilevel"/>
    <w:tmpl w:val="AD6A3C84"/>
    <w:lvl w:ilvl="0" w:tplc="63146358">
      <w:start w:val="1"/>
      <w:numFmt w:val="decimal"/>
      <w:lvlText w:val="%1."/>
      <w:lvlJc w:val="left"/>
      <w:pPr>
        <w:ind w:left="720" w:hanging="360"/>
      </w:pPr>
      <w:rPr>
        <w:rFonts w:eastAsia="Malgun Gothic"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D61746"/>
    <w:multiLevelType w:val="multilevel"/>
    <w:tmpl w:val="4E1603F6"/>
    <w:lvl w:ilvl="0">
      <w:start w:val="1"/>
      <w:numFmt w:val="decimal"/>
      <w:lvlText w:val="%1."/>
      <w:lvlJc w:val="left"/>
      <w:pPr>
        <w:ind w:left="1440" w:hanging="360"/>
      </w:pPr>
      <w:rPr>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42" w15:restartNumberingAfterBreak="0">
    <w:nsid w:val="653A3685"/>
    <w:multiLevelType w:val="hybridMultilevel"/>
    <w:tmpl w:val="3E523374"/>
    <w:lvl w:ilvl="0" w:tplc="6E18F1A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BE5768"/>
    <w:multiLevelType w:val="hybridMultilevel"/>
    <w:tmpl w:val="E10C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6B3829"/>
    <w:multiLevelType w:val="hybridMultilevel"/>
    <w:tmpl w:val="AF781314"/>
    <w:lvl w:ilvl="0" w:tplc="69CE5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9A33FA"/>
    <w:multiLevelType w:val="hybridMultilevel"/>
    <w:tmpl w:val="4880CA50"/>
    <w:lvl w:ilvl="0" w:tplc="4FC6B53C">
      <w:start w:val="7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BC08A5"/>
    <w:multiLevelType w:val="hybridMultilevel"/>
    <w:tmpl w:val="DD0E0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8F1CD3"/>
    <w:multiLevelType w:val="hybridMultilevel"/>
    <w:tmpl w:val="D97AC662"/>
    <w:lvl w:ilvl="0" w:tplc="926CA55A">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23"/>
  </w:num>
  <w:num w:numId="3">
    <w:abstractNumId w:val="30"/>
  </w:num>
  <w:num w:numId="4">
    <w:abstractNumId w:val="26"/>
  </w:num>
  <w:num w:numId="5">
    <w:abstractNumId w:val="7"/>
  </w:num>
  <w:num w:numId="6">
    <w:abstractNumId w:val="13"/>
  </w:num>
  <w:num w:numId="7">
    <w:abstractNumId w:val="28"/>
  </w:num>
  <w:num w:numId="8">
    <w:abstractNumId w:val="43"/>
  </w:num>
  <w:num w:numId="9">
    <w:abstractNumId w:val="1"/>
  </w:num>
  <w:num w:numId="10">
    <w:abstractNumId w:val="24"/>
  </w:num>
  <w:num w:numId="11">
    <w:abstractNumId w:val="19"/>
  </w:num>
  <w:num w:numId="12">
    <w:abstractNumId w:val="27"/>
  </w:num>
  <w:num w:numId="13">
    <w:abstractNumId w:val="20"/>
  </w:num>
  <w:num w:numId="14">
    <w:abstractNumId w:val="12"/>
  </w:num>
  <w:num w:numId="15">
    <w:abstractNumId w:val="34"/>
  </w:num>
  <w:num w:numId="16">
    <w:abstractNumId w:val="11"/>
  </w:num>
  <w:num w:numId="17">
    <w:abstractNumId w:val="44"/>
  </w:num>
  <w:num w:numId="18">
    <w:abstractNumId w:val="4"/>
  </w:num>
  <w:num w:numId="19">
    <w:abstractNumId w:val="8"/>
  </w:num>
  <w:num w:numId="20">
    <w:abstractNumId w:val="33"/>
  </w:num>
  <w:num w:numId="21">
    <w:abstractNumId w:val="40"/>
  </w:num>
  <w:num w:numId="22">
    <w:abstractNumId w:val="5"/>
  </w:num>
  <w:num w:numId="23">
    <w:abstractNumId w:val="0"/>
  </w:num>
  <w:num w:numId="24">
    <w:abstractNumId w:val="14"/>
  </w:num>
  <w:num w:numId="25">
    <w:abstractNumId w:val="21"/>
  </w:num>
  <w:num w:numId="26">
    <w:abstractNumId w:val="35"/>
  </w:num>
  <w:num w:numId="27">
    <w:abstractNumId w:val="17"/>
  </w:num>
  <w:num w:numId="28">
    <w:abstractNumId w:val="22"/>
  </w:num>
  <w:num w:numId="29">
    <w:abstractNumId w:val="15"/>
  </w:num>
  <w:num w:numId="30">
    <w:abstractNumId w:val="39"/>
  </w:num>
  <w:num w:numId="31">
    <w:abstractNumId w:val="9"/>
  </w:num>
  <w:num w:numId="32">
    <w:abstractNumId w:val="36"/>
  </w:num>
  <w:num w:numId="33">
    <w:abstractNumId w:val="6"/>
  </w:num>
  <w:num w:numId="34">
    <w:abstractNumId w:val="10"/>
  </w:num>
  <w:num w:numId="35">
    <w:abstractNumId w:val="18"/>
  </w:num>
  <w:num w:numId="36">
    <w:abstractNumId w:val="16"/>
  </w:num>
  <w:num w:numId="37">
    <w:abstractNumId w:val="31"/>
  </w:num>
  <w:num w:numId="38">
    <w:abstractNumId w:val="47"/>
  </w:num>
  <w:num w:numId="39">
    <w:abstractNumId w:val="45"/>
  </w:num>
  <w:num w:numId="40">
    <w:abstractNumId w:val="3"/>
  </w:num>
  <w:num w:numId="41">
    <w:abstractNumId w:val="38"/>
  </w:num>
  <w:num w:numId="42">
    <w:abstractNumId w:val="37"/>
  </w:num>
  <w:num w:numId="43">
    <w:abstractNumId w:val="29"/>
  </w:num>
  <w:num w:numId="44">
    <w:abstractNumId w:val="42"/>
  </w:num>
  <w:num w:numId="45">
    <w:abstractNumId w:val="46"/>
  </w:num>
  <w:num w:numId="46">
    <w:abstractNumId w:val="32"/>
  </w:num>
  <w:num w:numId="47">
    <w:abstractNumId w:val="2"/>
  </w:num>
  <w:num w:numId="48">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F77"/>
    <w:rsid w:val="000003A9"/>
    <w:rsid w:val="00000B46"/>
    <w:rsid w:val="00001876"/>
    <w:rsid w:val="000019E0"/>
    <w:rsid w:val="00001C6C"/>
    <w:rsid w:val="00002D2B"/>
    <w:rsid w:val="00004E11"/>
    <w:rsid w:val="00005982"/>
    <w:rsid w:val="00007872"/>
    <w:rsid w:val="00012609"/>
    <w:rsid w:val="000128F7"/>
    <w:rsid w:val="00012FE6"/>
    <w:rsid w:val="00013A5A"/>
    <w:rsid w:val="00015F5D"/>
    <w:rsid w:val="00016468"/>
    <w:rsid w:val="0002494F"/>
    <w:rsid w:val="000276AC"/>
    <w:rsid w:val="000302E3"/>
    <w:rsid w:val="00031502"/>
    <w:rsid w:val="00031FAE"/>
    <w:rsid w:val="0003206D"/>
    <w:rsid w:val="00032831"/>
    <w:rsid w:val="00035ADE"/>
    <w:rsid w:val="0003662C"/>
    <w:rsid w:val="0004001E"/>
    <w:rsid w:val="000405D1"/>
    <w:rsid w:val="0004202B"/>
    <w:rsid w:val="0004217C"/>
    <w:rsid w:val="00052C95"/>
    <w:rsid w:val="0005644B"/>
    <w:rsid w:val="00056C4B"/>
    <w:rsid w:val="00057328"/>
    <w:rsid w:val="0005749C"/>
    <w:rsid w:val="0006164D"/>
    <w:rsid w:val="000623CB"/>
    <w:rsid w:val="000624E1"/>
    <w:rsid w:val="00062804"/>
    <w:rsid w:val="00065638"/>
    <w:rsid w:val="0006564B"/>
    <w:rsid w:val="00066CEA"/>
    <w:rsid w:val="000736CB"/>
    <w:rsid w:val="0007795C"/>
    <w:rsid w:val="00081FC6"/>
    <w:rsid w:val="00082F27"/>
    <w:rsid w:val="0008347E"/>
    <w:rsid w:val="0008553B"/>
    <w:rsid w:val="00086E79"/>
    <w:rsid w:val="0009285C"/>
    <w:rsid w:val="000964EB"/>
    <w:rsid w:val="000A0542"/>
    <w:rsid w:val="000A24B6"/>
    <w:rsid w:val="000A2E64"/>
    <w:rsid w:val="000A2FF4"/>
    <w:rsid w:val="000A40CF"/>
    <w:rsid w:val="000A6DD5"/>
    <w:rsid w:val="000A749E"/>
    <w:rsid w:val="000B00EB"/>
    <w:rsid w:val="000B087D"/>
    <w:rsid w:val="000B4327"/>
    <w:rsid w:val="000C0B9A"/>
    <w:rsid w:val="000C2B68"/>
    <w:rsid w:val="000C51C1"/>
    <w:rsid w:val="000C55E9"/>
    <w:rsid w:val="000C5769"/>
    <w:rsid w:val="000C5EB3"/>
    <w:rsid w:val="000C5F53"/>
    <w:rsid w:val="000D0565"/>
    <w:rsid w:val="000D1C6F"/>
    <w:rsid w:val="000D23EA"/>
    <w:rsid w:val="000D2D12"/>
    <w:rsid w:val="000D4058"/>
    <w:rsid w:val="000D5C84"/>
    <w:rsid w:val="000D6D3E"/>
    <w:rsid w:val="000E64F5"/>
    <w:rsid w:val="000F0BE4"/>
    <w:rsid w:val="000F2D0F"/>
    <w:rsid w:val="000F6CEC"/>
    <w:rsid w:val="000F7AB7"/>
    <w:rsid w:val="000F7B02"/>
    <w:rsid w:val="00111BF0"/>
    <w:rsid w:val="00113CAB"/>
    <w:rsid w:val="00115449"/>
    <w:rsid w:val="00116E57"/>
    <w:rsid w:val="001208FA"/>
    <w:rsid w:val="0012215D"/>
    <w:rsid w:val="0012465C"/>
    <w:rsid w:val="00125DAC"/>
    <w:rsid w:val="001265A3"/>
    <w:rsid w:val="001266B4"/>
    <w:rsid w:val="00126E47"/>
    <w:rsid w:val="001279D9"/>
    <w:rsid w:val="00130119"/>
    <w:rsid w:val="001327C4"/>
    <w:rsid w:val="001415BD"/>
    <w:rsid w:val="00141B28"/>
    <w:rsid w:val="00142FF5"/>
    <w:rsid w:val="00143189"/>
    <w:rsid w:val="00143EAC"/>
    <w:rsid w:val="001447EA"/>
    <w:rsid w:val="00145A1B"/>
    <w:rsid w:val="001466C9"/>
    <w:rsid w:val="001512C2"/>
    <w:rsid w:val="0015581F"/>
    <w:rsid w:val="00163076"/>
    <w:rsid w:val="00167597"/>
    <w:rsid w:val="0017144C"/>
    <w:rsid w:val="00172467"/>
    <w:rsid w:val="001809BC"/>
    <w:rsid w:val="00184F5D"/>
    <w:rsid w:val="00186387"/>
    <w:rsid w:val="00186867"/>
    <w:rsid w:val="00190F7E"/>
    <w:rsid w:val="00191C6B"/>
    <w:rsid w:val="00192489"/>
    <w:rsid w:val="00192546"/>
    <w:rsid w:val="00194096"/>
    <w:rsid w:val="001940EA"/>
    <w:rsid w:val="001A1215"/>
    <w:rsid w:val="001A3568"/>
    <w:rsid w:val="001A3D1B"/>
    <w:rsid w:val="001A4F29"/>
    <w:rsid w:val="001A6CAA"/>
    <w:rsid w:val="001B17AD"/>
    <w:rsid w:val="001B44E4"/>
    <w:rsid w:val="001B5433"/>
    <w:rsid w:val="001B5B52"/>
    <w:rsid w:val="001B7F5F"/>
    <w:rsid w:val="001C39F8"/>
    <w:rsid w:val="001C66F5"/>
    <w:rsid w:val="001D1318"/>
    <w:rsid w:val="001D2583"/>
    <w:rsid w:val="001D2A70"/>
    <w:rsid w:val="001D51C0"/>
    <w:rsid w:val="001E058E"/>
    <w:rsid w:val="001E0650"/>
    <w:rsid w:val="001E30D6"/>
    <w:rsid w:val="001E405C"/>
    <w:rsid w:val="001E4572"/>
    <w:rsid w:val="001E78E7"/>
    <w:rsid w:val="001E7EEC"/>
    <w:rsid w:val="001F2602"/>
    <w:rsid w:val="001F274A"/>
    <w:rsid w:val="001F3576"/>
    <w:rsid w:val="001F3D5A"/>
    <w:rsid w:val="001F4950"/>
    <w:rsid w:val="001F4C0B"/>
    <w:rsid w:val="002000FB"/>
    <w:rsid w:val="002014AE"/>
    <w:rsid w:val="0020285E"/>
    <w:rsid w:val="00205B29"/>
    <w:rsid w:val="00206217"/>
    <w:rsid w:val="00207EDF"/>
    <w:rsid w:val="00210F17"/>
    <w:rsid w:val="00212F2F"/>
    <w:rsid w:val="002132DA"/>
    <w:rsid w:val="00217810"/>
    <w:rsid w:val="00227D09"/>
    <w:rsid w:val="00230149"/>
    <w:rsid w:val="00230B3A"/>
    <w:rsid w:val="00232500"/>
    <w:rsid w:val="00235A32"/>
    <w:rsid w:val="00235D6C"/>
    <w:rsid w:val="00236CED"/>
    <w:rsid w:val="00241EF8"/>
    <w:rsid w:val="0024281C"/>
    <w:rsid w:val="002434F3"/>
    <w:rsid w:val="0024600F"/>
    <w:rsid w:val="002462C2"/>
    <w:rsid w:val="00246E7C"/>
    <w:rsid w:val="002471BC"/>
    <w:rsid w:val="002507E8"/>
    <w:rsid w:val="00250FAD"/>
    <w:rsid w:val="00250FF0"/>
    <w:rsid w:val="002568F4"/>
    <w:rsid w:val="00256D79"/>
    <w:rsid w:val="002578A7"/>
    <w:rsid w:val="00260192"/>
    <w:rsid w:val="0026053C"/>
    <w:rsid w:val="00261CA9"/>
    <w:rsid w:val="00262640"/>
    <w:rsid w:val="002631FD"/>
    <w:rsid w:val="00263D04"/>
    <w:rsid w:val="00264DCC"/>
    <w:rsid w:val="002749DE"/>
    <w:rsid w:val="00275F69"/>
    <w:rsid w:val="002800AA"/>
    <w:rsid w:val="00281B61"/>
    <w:rsid w:val="00281DAF"/>
    <w:rsid w:val="00282445"/>
    <w:rsid w:val="00284EED"/>
    <w:rsid w:val="00286CE7"/>
    <w:rsid w:val="00292946"/>
    <w:rsid w:val="0029303E"/>
    <w:rsid w:val="00293ACF"/>
    <w:rsid w:val="00294682"/>
    <w:rsid w:val="002963F0"/>
    <w:rsid w:val="002A1DD8"/>
    <w:rsid w:val="002A208B"/>
    <w:rsid w:val="002A2356"/>
    <w:rsid w:val="002A4DA8"/>
    <w:rsid w:val="002A6D77"/>
    <w:rsid w:val="002B0969"/>
    <w:rsid w:val="002B0D24"/>
    <w:rsid w:val="002B2EFA"/>
    <w:rsid w:val="002B4B38"/>
    <w:rsid w:val="002B5527"/>
    <w:rsid w:val="002B6E58"/>
    <w:rsid w:val="002B6EC2"/>
    <w:rsid w:val="002C1FAE"/>
    <w:rsid w:val="002C5726"/>
    <w:rsid w:val="002C5D5C"/>
    <w:rsid w:val="002D16DC"/>
    <w:rsid w:val="002D2B1C"/>
    <w:rsid w:val="002D3ACE"/>
    <w:rsid w:val="002D61BB"/>
    <w:rsid w:val="002D644E"/>
    <w:rsid w:val="002E17DC"/>
    <w:rsid w:val="002E1A90"/>
    <w:rsid w:val="002E23D2"/>
    <w:rsid w:val="002E39FC"/>
    <w:rsid w:val="002E4739"/>
    <w:rsid w:val="002F05B1"/>
    <w:rsid w:val="002F2550"/>
    <w:rsid w:val="002F2BB9"/>
    <w:rsid w:val="002F3FD5"/>
    <w:rsid w:val="002F54F7"/>
    <w:rsid w:val="002F7E0F"/>
    <w:rsid w:val="003016E0"/>
    <w:rsid w:val="00301D6E"/>
    <w:rsid w:val="00302046"/>
    <w:rsid w:val="0030603A"/>
    <w:rsid w:val="00311314"/>
    <w:rsid w:val="003125A1"/>
    <w:rsid w:val="00314B23"/>
    <w:rsid w:val="00320CEA"/>
    <w:rsid w:val="003246E1"/>
    <w:rsid w:val="0032624F"/>
    <w:rsid w:val="00326A9C"/>
    <w:rsid w:val="00330D9D"/>
    <w:rsid w:val="00336F77"/>
    <w:rsid w:val="00337071"/>
    <w:rsid w:val="003374B0"/>
    <w:rsid w:val="00340E7B"/>
    <w:rsid w:val="00341815"/>
    <w:rsid w:val="003531A9"/>
    <w:rsid w:val="0035498F"/>
    <w:rsid w:val="003634D2"/>
    <w:rsid w:val="00367545"/>
    <w:rsid w:val="00370C2D"/>
    <w:rsid w:val="00372A77"/>
    <w:rsid w:val="00373B97"/>
    <w:rsid w:val="00377454"/>
    <w:rsid w:val="003775BE"/>
    <w:rsid w:val="00383223"/>
    <w:rsid w:val="003834E2"/>
    <w:rsid w:val="00384D8F"/>
    <w:rsid w:val="003922B1"/>
    <w:rsid w:val="00392F3A"/>
    <w:rsid w:val="00393A96"/>
    <w:rsid w:val="003A0CB5"/>
    <w:rsid w:val="003A1EF8"/>
    <w:rsid w:val="003A259A"/>
    <w:rsid w:val="003A2A46"/>
    <w:rsid w:val="003A5D3E"/>
    <w:rsid w:val="003A6AAA"/>
    <w:rsid w:val="003B272C"/>
    <w:rsid w:val="003B35FB"/>
    <w:rsid w:val="003B48A3"/>
    <w:rsid w:val="003B5C17"/>
    <w:rsid w:val="003B6304"/>
    <w:rsid w:val="003B66E3"/>
    <w:rsid w:val="003B6733"/>
    <w:rsid w:val="003B7512"/>
    <w:rsid w:val="003B796B"/>
    <w:rsid w:val="003C0747"/>
    <w:rsid w:val="003C1CB7"/>
    <w:rsid w:val="003C252A"/>
    <w:rsid w:val="003C42D2"/>
    <w:rsid w:val="003C4533"/>
    <w:rsid w:val="003C4AE6"/>
    <w:rsid w:val="003C5627"/>
    <w:rsid w:val="003D1E5B"/>
    <w:rsid w:val="003D600E"/>
    <w:rsid w:val="003E002A"/>
    <w:rsid w:val="003E1A58"/>
    <w:rsid w:val="003E3309"/>
    <w:rsid w:val="003F0539"/>
    <w:rsid w:val="003F43C1"/>
    <w:rsid w:val="003F67B2"/>
    <w:rsid w:val="004039E4"/>
    <w:rsid w:val="00404574"/>
    <w:rsid w:val="00405B72"/>
    <w:rsid w:val="00406C25"/>
    <w:rsid w:val="00406D45"/>
    <w:rsid w:val="00410127"/>
    <w:rsid w:val="00410850"/>
    <w:rsid w:val="004110FA"/>
    <w:rsid w:val="0041135D"/>
    <w:rsid w:val="004119DE"/>
    <w:rsid w:val="0041404C"/>
    <w:rsid w:val="0041561B"/>
    <w:rsid w:val="0041689B"/>
    <w:rsid w:val="00417DCB"/>
    <w:rsid w:val="00420910"/>
    <w:rsid w:val="00421D69"/>
    <w:rsid w:val="00426123"/>
    <w:rsid w:val="00427B2E"/>
    <w:rsid w:val="00430659"/>
    <w:rsid w:val="00431AB4"/>
    <w:rsid w:val="00433986"/>
    <w:rsid w:val="00434BEB"/>
    <w:rsid w:val="004432CF"/>
    <w:rsid w:val="004441C0"/>
    <w:rsid w:val="0045424E"/>
    <w:rsid w:val="00462743"/>
    <w:rsid w:val="00462D44"/>
    <w:rsid w:val="00464974"/>
    <w:rsid w:val="004649EC"/>
    <w:rsid w:val="00466E2E"/>
    <w:rsid w:val="00470AEB"/>
    <w:rsid w:val="004722CD"/>
    <w:rsid w:val="00474612"/>
    <w:rsid w:val="00474682"/>
    <w:rsid w:val="00474F83"/>
    <w:rsid w:val="00475B95"/>
    <w:rsid w:val="00475E96"/>
    <w:rsid w:val="00476130"/>
    <w:rsid w:val="00477D57"/>
    <w:rsid w:val="00477FC2"/>
    <w:rsid w:val="00480979"/>
    <w:rsid w:val="004814A2"/>
    <w:rsid w:val="00483B47"/>
    <w:rsid w:val="0048543B"/>
    <w:rsid w:val="00486784"/>
    <w:rsid w:val="004871EB"/>
    <w:rsid w:val="00487896"/>
    <w:rsid w:val="00490EFC"/>
    <w:rsid w:val="004913E8"/>
    <w:rsid w:val="0049294D"/>
    <w:rsid w:val="00492FCA"/>
    <w:rsid w:val="004930E2"/>
    <w:rsid w:val="0049738C"/>
    <w:rsid w:val="00497391"/>
    <w:rsid w:val="004A11B7"/>
    <w:rsid w:val="004A1B1C"/>
    <w:rsid w:val="004A2CA9"/>
    <w:rsid w:val="004A3926"/>
    <w:rsid w:val="004A4FB5"/>
    <w:rsid w:val="004A5764"/>
    <w:rsid w:val="004A5F9F"/>
    <w:rsid w:val="004A7124"/>
    <w:rsid w:val="004B3BC6"/>
    <w:rsid w:val="004B51AC"/>
    <w:rsid w:val="004B7CF2"/>
    <w:rsid w:val="004C02B8"/>
    <w:rsid w:val="004C02F3"/>
    <w:rsid w:val="004C4CA3"/>
    <w:rsid w:val="004C4DE1"/>
    <w:rsid w:val="004C5557"/>
    <w:rsid w:val="004C7CC2"/>
    <w:rsid w:val="004D03FA"/>
    <w:rsid w:val="004E0045"/>
    <w:rsid w:val="004E48D9"/>
    <w:rsid w:val="004E7BB7"/>
    <w:rsid w:val="004E7C08"/>
    <w:rsid w:val="004F2996"/>
    <w:rsid w:val="004F3D9C"/>
    <w:rsid w:val="004F4035"/>
    <w:rsid w:val="004F7BF6"/>
    <w:rsid w:val="004F7EE6"/>
    <w:rsid w:val="005027ED"/>
    <w:rsid w:val="005059EA"/>
    <w:rsid w:val="005060AF"/>
    <w:rsid w:val="005067B5"/>
    <w:rsid w:val="005077B5"/>
    <w:rsid w:val="00507D85"/>
    <w:rsid w:val="00507F4F"/>
    <w:rsid w:val="00511325"/>
    <w:rsid w:val="005227BE"/>
    <w:rsid w:val="005319B8"/>
    <w:rsid w:val="00535D34"/>
    <w:rsid w:val="0054255D"/>
    <w:rsid w:val="00543E47"/>
    <w:rsid w:val="00544C22"/>
    <w:rsid w:val="00545092"/>
    <w:rsid w:val="005608AC"/>
    <w:rsid w:val="005628BB"/>
    <w:rsid w:val="00562C7A"/>
    <w:rsid w:val="0057170F"/>
    <w:rsid w:val="00572E67"/>
    <w:rsid w:val="00572FF6"/>
    <w:rsid w:val="00573F45"/>
    <w:rsid w:val="00577C34"/>
    <w:rsid w:val="00577EC0"/>
    <w:rsid w:val="00583821"/>
    <w:rsid w:val="00590285"/>
    <w:rsid w:val="00590BA5"/>
    <w:rsid w:val="0059728E"/>
    <w:rsid w:val="00597C09"/>
    <w:rsid w:val="005A16A8"/>
    <w:rsid w:val="005A5BF0"/>
    <w:rsid w:val="005A7500"/>
    <w:rsid w:val="005A7A04"/>
    <w:rsid w:val="005B325C"/>
    <w:rsid w:val="005B45B8"/>
    <w:rsid w:val="005B7D8B"/>
    <w:rsid w:val="005C1716"/>
    <w:rsid w:val="005C2DE3"/>
    <w:rsid w:val="005C7BCD"/>
    <w:rsid w:val="005D34BC"/>
    <w:rsid w:val="005D544C"/>
    <w:rsid w:val="005D6B28"/>
    <w:rsid w:val="005E2961"/>
    <w:rsid w:val="005E30FA"/>
    <w:rsid w:val="005E373C"/>
    <w:rsid w:val="005E5DDB"/>
    <w:rsid w:val="005E6C51"/>
    <w:rsid w:val="005E6E93"/>
    <w:rsid w:val="005F29DE"/>
    <w:rsid w:val="005F2D8D"/>
    <w:rsid w:val="005F385A"/>
    <w:rsid w:val="005F3DE2"/>
    <w:rsid w:val="00601EA6"/>
    <w:rsid w:val="00603D08"/>
    <w:rsid w:val="00607A74"/>
    <w:rsid w:val="00610BF8"/>
    <w:rsid w:val="00610F73"/>
    <w:rsid w:val="006115F4"/>
    <w:rsid w:val="00611F09"/>
    <w:rsid w:val="006121DC"/>
    <w:rsid w:val="00612C06"/>
    <w:rsid w:val="00615B4B"/>
    <w:rsid w:val="00620452"/>
    <w:rsid w:val="006215F6"/>
    <w:rsid w:val="00623478"/>
    <w:rsid w:val="00623FEE"/>
    <w:rsid w:val="00625A4E"/>
    <w:rsid w:val="00625F99"/>
    <w:rsid w:val="00626195"/>
    <w:rsid w:val="00627FDC"/>
    <w:rsid w:val="006301A8"/>
    <w:rsid w:val="006309C1"/>
    <w:rsid w:val="006309EA"/>
    <w:rsid w:val="00637809"/>
    <w:rsid w:val="00637C65"/>
    <w:rsid w:val="00640A3E"/>
    <w:rsid w:val="00642ADA"/>
    <w:rsid w:val="00643730"/>
    <w:rsid w:val="00643DD5"/>
    <w:rsid w:val="00644C50"/>
    <w:rsid w:val="00652AC3"/>
    <w:rsid w:val="00663288"/>
    <w:rsid w:val="00665D09"/>
    <w:rsid w:val="00667233"/>
    <w:rsid w:val="00667A87"/>
    <w:rsid w:val="00667D83"/>
    <w:rsid w:val="00670000"/>
    <w:rsid w:val="00670C78"/>
    <w:rsid w:val="00671482"/>
    <w:rsid w:val="00677BB3"/>
    <w:rsid w:val="00680855"/>
    <w:rsid w:val="00684E67"/>
    <w:rsid w:val="006902F8"/>
    <w:rsid w:val="00693D4D"/>
    <w:rsid w:val="0069512D"/>
    <w:rsid w:val="006A0A5E"/>
    <w:rsid w:val="006A0F47"/>
    <w:rsid w:val="006A3944"/>
    <w:rsid w:val="006A3B08"/>
    <w:rsid w:val="006A416A"/>
    <w:rsid w:val="006B7AB6"/>
    <w:rsid w:val="006B7EED"/>
    <w:rsid w:val="006C07C0"/>
    <w:rsid w:val="006C4AE1"/>
    <w:rsid w:val="006C5AAF"/>
    <w:rsid w:val="006C7D6A"/>
    <w:rsid w:val="006D01FD"/>
    <w:rsid w:val="006D07FC"/>
    <w:rsid w:val="006D0D95"/>
    <w:rsid w:val="006D21F8"/>
    <w:rsid w:val="006D72B6"/>
    <w:rsid w:val="006E48E9"/>
    <w:rsid w:val="006E5B1F"/>
    <w:rsid w:val="006E64D7"/>
    <w:rsid w:val="006E7AE5"/>
    <w:rsid w:val="006F34DE"/>
    <w:rsid w:val="006F5A9C"/>
    <w:rsid w:val="006F5C7E"/>
    <w:rsid w:val="006F6217"/>
    <w:rsid w:val="006F65C7"/>
    <w:rsid w:val="006F6774"/>
    <w:rsid w:val="007009A8"/>
    <w:rsid w:val="00702277"/>
    <w:rsid w:val="00703DA4"/>
    <w:rsid w:val="007040BE"/>
    <w:rsid w:val="007049CD"/>
    <w:rsid w:val="00707602"/>
    <w:rsid w:val="00710618"/>
    <w:rsid w:val="00711FE9"/>
    <w:rsid w:val="00712F40"/>
    <w:rsid w:val="00716764"/>
    <w:rsid w:val="0072169A"/>
    <w:rsid w:val="00724AC5"/>
    <w:rsid w:val="00726A4B"/>
    <w:rsid w:val="00726AE0"/>
    <w:rsid w:val="00732CCB"/>
    <w:rsid w:val="00736009"/>
    <w:rsid w:val="00737189"/>
    <w:rsid w:val="0073747E"/>
    <w:rsid w:val="00742B90"/>
    <w:rsid w:val="00745C1D"/>
    <w:rsid w:val="00745D4E"/>
    <w:rsid w:val="00750951"/>
    <w:rsid w:val="007509A0"/>
    <w:rsid w:val="007511E2"/>
    <w:rsid w:val="00755C83"/>
    <w:rsid w:val="00760804"/>
    <w:rsid w:val="00761903"/>
    <w:rsid w:val="007642BB"/>
    <w:rsid w:val="0076466D"/>
    <w:rsid w:val="00764C2F"/>
    <w:rsid w:val="00767554"/>
    <w:rsid w:val="00767560"/>
    <w:rsid w:val="00767FD4"/>
    <w:rsid w:val="0077516E"/>
    <w:rsid w:val="007754D6"/>
    <w:rsid w:val="007762FA"/>
    <w:rsid w:val="0078242C"/>
    <w:rsid w:val="00782567"/>
    <w:rsid w:val="007839E0"/>
    <w:rsid w:val="00784839"/>
    <w:rsid w:val="00790777"/>
    <w:rsid w:val="00790CFB"/>
    <w:rsid w:val="00795169"/>
    <w:rsid w:val="0079580C"/>
    <w:rsid w:val="007A09AE"/>
    <w:rsid w:val="007A416F"/>
    <w:rsid w:val="007A708A"/>
    <w:rsid w:val="007A78B4"/>
    <w:rsid w:val="007B1129"/>
    <w:rsid w:val="007B383B"/>
    <w:rsid w:val="007B5719"/>
    <w:rsid w:val="007B7515"/>
    <w:rsid w:val="007C1A33"/>
    <w:rsid w:val="007C2079"/>
    <w:rsid w:val="007C2F58"/>
    <w:rsid w:val="007C46BB"/>
    <w:rsid w:val="007C4AD2"/>
    <w:rsid w:val="007C7B1F"/>
    <w:rsid w:val="007D1120"/>
    <w:rsid w:val="007D25DF"/>
    <w:rsid w:val="007D3967"/>
    <w:rsid w:val="007D61FB"/>
    <w:rsid w:val="007E1CF9"/>
    <w:rsid w:val="007E1F06"/>
    <w:rsid w:val="007E3C50"/>
    <w:rsid w:val="007E62FE"/>
    <w:rsid w:val="007F151D"/>
    <w:rsid w:val="007F1E8E"/>
    <w:rsid w:val="007F586D"/>
    <w:rsid w:val="007F5AD0"/>
    <w:rsid w:val="00801FA6"/>
    <w:rsid w:val="00802763"/>
    <w:rsid w:val="00806204"/>
    <w:rsid w:val="008153BE"/>
    <w:rsid w:val="008160D8"/>
    <w:rsid w:val="00817BBB"/>
    <w:rsid w:val="00825B33"/>
    <w:rsid w:val="00831F23"/>
    <w:rsid w:val="0083247C"/>
    <w:rsid w:val="008329C6"/>
    <w:rsid w:val="00834E99"/>
    <w:rsid w:val="00840578"/>
    <w:rsid w:val="0084285E"/>
    <w:rsid w:val="008443C5"/>
    <w:rsid w:val="00846FAB"/>
    <w:rsid w:val="00850019"/>
    <w:rsid w:val="00851DD1"/>
    <w:rsid w:val="008529F3"/>
    <w:rsid w:val="00852DC5"/>
    <w:rsid w:val="00853F81"/>
    <w:rsid w:val="00854058"/>
    <w:rsid w:val="00856AEA"/>
    <w:rsid w:val="00857319"/>
    <w:rsid w:val="00861E45"/>
    <w:rsid w:val="008627D5"/>
    <w:rsid w:val="00863B6F"/>
    <w:rsid w:val="00864F88"/>
    <w:rsid w:val="00865A89"/>
    <w:rsid w:val="0086683B"/>
    <w:rsid w:val="00866ECE"/>
    <w:rsid w:val="00867619"/>
    <w:rsid w:val="008713CC"/>
    <w:rsid w:val="00871615"/>
    <w:rsid w:val="00872E83"/>
    <w:rsid w:val="008734C9"/>
    <w:rsid w:val="00873B6A"/>
    <w:rsid w:val="008745C1"/>
    <w:rsid w:val="00881712"/>
    <w:rsid w:val="00881ED3"/>
    <w:rsid w:val="0088261C"/>
    <w:rsid w:val="008848E8"/>
    <w:rsid w:val="0088675C"/>
    <w:rsid w:val="00887950"/>
    <w:rsid w:val="008879D4"/>
    <w:rsid w:val="00897EBC"/>
    <w:rsid w:val="008A11C9"/>
    <w:rsid w:val="008A1C95"/>
    <w:rsid w:val="008A1EDF"/>
    <w:rsid w:val="008A40C6"/>
    <w:rsid w:val="008A757A"/>
    <w:rsid w:val="008C0184"/>
    <w:rsid w:val="008C123F"/>
    <w:rsid w:val="008C13D3"/>
    <w:rsid w:val="008C27B9"/>
    <w:rsid w:val="008C290F"/>
    <w:rsid w:val="008C2ED5"/>
    <w:rsid w:val="008C3966"/>
    <w:rsid w:val="008C556D"/>
    <w:rsid w:val="008C5F70"/>
    <w:rsid w:val="008D008D"/>
    <w:rsid w:val="008D043C"/>
    <w:rsid w:val="008D1A52"/>
    <w:rsid w:val="008D3A21"/>
    <w:rsid w:val="008D4075"/>
    <w:rsid w:val="008D4534"/>
    <w:rsid w:val="008E1E06"/>
    <w:rsid w:val="008E4862"/>
    <w:rsid w:val="008F2224"/>
    <w:rsid w:val="008F2877"/>
    <w:rsid w:val="008F3787"/>
    <w:rsid w:val="008F5DF8"/>
    <w:rsid w:val="00901522"/>
    <w:rsid w:val="009114FF"/>
    <w:rsid w:val="009117C7"/>
    <w:rsid w:val="00911909"/>
    <w:rsid w:val="00913508"/>
    <w:rsid w:val="00916BC2"/>
    <w:rsid w:val="009173B4"/>
    <w:rsid w:val="0091765D"/>
    <w:rsid w:val="00920E1A"/>
    <w:rsid w:val="00923597"/>
    <w:rsid w:val="00924C8E"/>
    <w:rsid w:val="00925586"/>
    <w:rsid w:val="009367B6"/>
    <w:rsid w:val="009374A5"/>
    <w:rsid w:val="00941211"/>
    <w:rsid w:val="00941236"/>
    <w:rsid w:val="00943221"/>
    <w:rsid w:val="00943BB2"/>
    <w:rsid w:val="0094446D"/>
    <w:rsid w:val="009456E5"/>
    <w:rsid w:val="009464EC"/>
    <w:rsid w:val="009474EF"/>
    <w:rsid w:val="00950DEB"/>
    <w:rsid w:val="00954047"/>
    <w:rsid w:val="009549B2"/>
    <w:rsid w:val="009568D4"/>
    <w:rsid w:val="00960A0F"/>
    <w:rsid w:val="0096215F"/>
    <w:rsid w:val="009621E9"/>
    <w:rsid w:val="0096240D"/>
    <w:rsid w:val="009645CB"/>
    <w:rsid w:val="009650A8"/>
    <w:rsid w:val="00970E03"/>
    <w:rsid w:val="00971BA1"/>
    <w:rsid w:val="00974486"/>
    <w:rsid w:val="00974864"/>
    <w:rsid w:val="00974AD8"/>
    <w:rsid w:val="00974BF9"/>
    <w:rsid w:val="00976AA5"/>
    <w:rsid w:val="00984CA2"/>
    <w:rsid w:val="0098738E"/>
    <w:rsid w:val="00993532"/>
    <w:rsid w:val="009A0E44"/>
    <w:rsid w:val="009A24E3"/>
    <w:rsid w:val="009A3796"/>
    <w:rsid w:val="009A3EFB"/>
    <w:rsid w:val="009A4320"/>
    <w:rsid w:val="009A5E22"/>
    <w:rsid w:val="009A6843"/>
    <w:rsid w:val="009B4328"/>
    <w:rsid w:val="009C1D3F"/>
    <w:rsid w:val="009C2760"/>
    <w:rsid w:val="009C3FD4"/>
    <w:rsid w:val="009C589D"/>
    <w:rsid w:val="009D14E7"/>
    <w:rsid w:val="009D211E"/>
    <w:rsid w:val="009E4FE6"/>
    <w:rsid w:val="009F0B96"/>
    <w:rsid w:val="009F3655"/>
    <w:rsid w:val="009F42FD"/>
    <w:rsid w:val="009F651B"/>
    <w:rsid w:val="009F711A"/>
    <w:rsid w:val="00A0174D"/>
    <w:rsid w:val="00A06734"/>
    <w:rsid w:val="00A10433"/>
    <w:rsid w:val="00A10827"/>
    <w:rsid w:val="00A10987"/>
    <w:rsid w:val="00A148F4"/>
    <w:rsid w:val="00A15397"/>
    <w:rsid w:val="00A205C0"/>
    <w:rsid w:val="00A20CDD"/>
    <w:rsid w:val="00A219B7"/>
    <w:rsid w:val="00A23305"/>
    <w:rsid w:val="00A24418"/>
    <w:rsid w:val="00A25050"/>
    <w:rsid w:val="00A26074"/>
    <w:rsid w:val="00A26EB5"/>
    <w:rsid w:val="00A27476"/>
    <w:rsid w:val="00A32A34"/>
    <w:rsid w:val="00A3327C"/>
    <w:rsid w:val="00A358E9"/>
    <w:rsid w:val="00A41C80"/>
    <w:rsid w:val="00A42C6B"/>
    <w:rsid w:val="00A44AB5"/>
    <w:rsid w:val="00A45376"/>
    <w:rsid w:val="00A46B66"/>
    <w:rsid w:val="00A51666"/>
    <w:rsid w:val="00A562FA"/>
    <w:rsid w:val="00A56465"/>
    <w:rsid w:val="00A65912"/>
    <w:rsid w:val="00A70720"/>
    <w:rsid w:val="00A72265"/>
    <w:rsid w:val="00A749EF"/>
    <w:rsid w:val="00A75285"/>
    <w:rsid w:val="00A779AD"/>
    <w:rsid w:val="00A77D11"/>
    <w:rsid w:val="00A85B64"/>
    <w:rsid w:val="00A87EE0"/>
    <w:rsid w:val="00A90BF1"/>
    <w:rsid w:val="00A92742"/>
    <w:rsid w:val="00A94395"/>
    <w:rsid w:val="00A94F65"/>
    <w:rsid w:val="00A9535F"/>
    <w:rsid w:val="00A9565A"/>
    <w:rsid w:val="00AA5E86"/>
    <w:rsid w:val="00AA77E8"/>
    <w:rsid w:val="00AB18CB"/>
    <w:rsid w:val="00AB1DE7"/>
    <w:rsid w:val="00AB2046"/>
    <w:rsid w:val="00AB2B77"/>
    <w:rsid w:val="00AB69EC"/>
    <w:rsid w:val="00AC1BA0"/>
    <w:rsid w:val="00AC24CC"/>
    <w:rsid w:val="00AC2E10"/>
    <w:rsid w:val="00AC3298"/>
    <w:rsid w:val="00AC63DE"/>
    <w:rsid w:val="00AD2C35"/>
    <w:rsid w:val="00AD4052"/>
    <w:rsid w:val="00AD4CAA"/>
    <w:rsid w:val="00AD67D0"/>
    <w:rsid w:val="00AD6892"/>
    <w:rsid w:val="00AD71BB"/>
    <w:rsid w:val="00AE0770"/>
    <w:rsid w:val="00AE085E"/>
    <w:rsid w:val="00AE2655"/>
    <w:rsid w:val="00AE30EF"/>
    <w:rsid w:val="00AE5D95"/>
    <w:rsid w:val="00AE5E8D"/>
    <w:rsid w:val="00AE7601"/>
    <w:rsid w:val="00AE7FAE"/>
    <w:rsid w:val="00AF0842"/>
    <w:rsid w:val="00AF1C96"/>
    <w:rsid w:val="00AF20C4"/>
    <w:rsid w:val="00AF4017"/>
    <w:rsid w:val="00AF487C"/>
    <w:rsid w:val="00AF6E1F"/>
    <w:rsid w:val="00B01DC3"/>
    <w:rsid w:val="00B02DB5"/>
    <w:rsid w:val="00B02F20"/>
    <w:rsid w:val="00B04BC4"/>
    <w:rsid w:val="00B05871"/>
    <w:rsid w:val="00B05EF8"/>
    <w:rsid w:val="00B06A9C"/>
    <w:rsid w:val="00B1027E"/>
    <w:rsid w:val="00B12BF3"/>
    <w:rsid w:val="00B17DE0"/>
    <w:rsid w:val="00B221C1"/>
    <w:rsid w:val="00B2447B"/>
    <w:rsid w:val="00B26911"/>
    <w:rsid w:val="00B300D4"/>
    <w:rsid w:val="00B3020B"/>
    <w:rsid w:val="00B333FF"/>
    <w:rsid w:val="00B3387E"/>
    <w:rsid w:val="00B427D8"/>
    <w:rsid w:val="00B45644"/>
    <w:rsid w:val="00B45CFD"/>
    <w:rsid w:val="00B5095E"/>
    <w:rsid w:val="00B514EF"/>
    <w:rsid w:val="00B51C86"/>
    <w:rsid w:val="00B51F7D"/>
    <w:rsid w:val="00B522AA"/>
    <w:rsid w:val="00B5231E"/>
    <w:rsid w:val="00B541B5"/>
    <w:rsid w:val="00B55416"/>
    <w:rsid w:val="00B56FCF"/>
    <w:rsid w:val="00B57FF4"/>
    <w:rsid w:val="00B60B69"/>
    <w:rsid w:val="00B6227B"/>
    <w:rsid w:val="00B638E1"/>
    <w:rsid w:val="00B640BF"/>
    <w:rsid w:val="00B71EF6"/>
    <w:rsid w:val="00B73FF3"/>
    <w:rsid w:val="00B8002B"/>
    <w:rsid w:val="00B81A5F"/>
    <w:rsid w:val="00B825B8"/>
    <w:rsid w:val="00B83111"/>
    <w:rsid w:val="00B864B8"/>
    <w:rsid w:val="00B871D2"/>
    <w:rsid w:val="00B9035C"/>
    <w:rsid w:val="00B92A07"/>
    <w:rsid w:val="00B9450C"/>
    <w:rsid w:val="00B951A9"/>
    <w:rsid w:val="00B97F9B"/>
    <w:rsid w:val="00BA2093"/>
    <w:rsid w:val="00BA3793"/>
    <w:rsid w:val="00BA4DC7"/>
    <w:rsid w:val="00BA59CE"/>
    <w:rsid w:val="00BA64B9"/>
    <w:rsid w:val="00BA65F0"/>
    <w:rsid w:val="00BB0245"/>
    <w:rsid w:val="00BB0874"/>
    <w:rsid w:val="00BB1012"/>
    <w:rsid w:val="00BB43FF"/>
    <w:rsid w:val="00BB515A"/>
    <w:rsid w:val="00BC021A"/>
    <w:rsid w:val="00BC50DB"/>
    <w:rsid w:val="00BC5C25"/>
    <w:rsid w:val="00BD1B5C"/>
    <w:rsid w:val="00BD1B85"/>
    <w:rsid w:val="00BD2444"/>
    <w:rsid w:val="00BE145D"/>
    <w:rsid w:val="00BF4018"/>
    <w:rsid w:val="00BF401E"/>
    <w:rsid w:val="00C042D2"/>
    <w:rsid w:val="00C0446F"/>
    <w:rsid w:val="00C05D7C"/>
    <w:rsid w:val="00C0736D"/>
    <w:rsid w:val="00C11957"/>
    <w:rsid w:val="00C13C16"/>
    <w:rsid w:val="00C2094F"/>
    <w:rsid w:val="00C21101"/>
    <w:rsid w:val="00C2251D"/>
    <w:rsid w:val="00C22CB0"/>
    <w:rsid w:val="00C23E3A"/>
    <w:rsid w:val="00C23E86"/>
    <w:rsid w:val="00C270CF"/>
    <w:rsid w:val="00C3126A"/>
    <w:rsid w:val="00C41712"/>
    <w:rsid w:val="00C4316D"/>
    <w:rsid w:val="00C55162"/>
    <w:rsid w:val="00C60C57"/>
    <w:rsid w:val="00C65569"/>
    <w:rsid w:val="00C7171E"/>
    <w:rsid w:val="00C73548"/>
    <w:rsid w:val="00C73DEE"/>
    <w:rsid w:val="00C73E69"/>
    <w:rsid w:val="00C7489F"/>
    <w:rsid w:val="00C74F76"/>
    <w:rsid w:val="00C75117"/>
    <w:rsid w:val="00C76146"/>
    <w:rsid w:val="00C7699C"/>
    <w:rsid w:val="00C777EC"/>
    <w:rsid w:val="00C82CDF"/>
    <w:rsid w:val="00C845D6"/>
    <w:rsid w:val="00C84DA5"/>
    <w:rsid w:val="00C85B75"/>
    <w:rsid w:val="00C8717C"/>
    <w:rsid w:val="00C9138D"/>
    <w:rsid w:val="00C92269"/>
    <w:rsid w:val="00C953F5"/>
    <w:rsid w:val="00C96EA5"/>
    <w:rsid w:val="00C97823"/>
    <w:rsid w:val="00CA2468"/>
    <w:rsid w:val="00CA4B8A"/>
    <w:rsid w:val="00CA4C67"/>
    <w:rsid w:val="00CA5BF8"/>
    <w:rsid w:val="00CB1E4B"/>
    <w:rsid w:val="00CB2299"/>
    <w:rsid w:val="00CB3C98"/>
    <w:rsid w:val="00CB44E8"/>
    <w:rsid w:val="00CB4507"/>
    <w:rsid w:val="00CB530E"/>
    <w:rsid w:val="00CB5B70"/>
    <w:rsid w:val="00CB6FCB"/>
    <w:rsid w:val="00CC1B2D"/>
    <w:rsid w:val="00CC2244"/>
    <w:rsid w:val="00CC5A06"/>
    <w:rsid w:val="00CC62E2"/>
    <w:rsid w:val="00CC6A72"/>
    <w:rsid w:val="00CC7E82"/>
    <w:rsid w:val="00CD0FDA"/>
    <w:rsid w:val="00CD1F1E"/>
    <w:rsid w:val="00CD2C3B"/>
    <w:rsid w:val="00CD3056"/>
    <w:rsid w:val="00CD3073"/>
    <w:rsid w:val="00CD39A3"/>
    <w:rsid w:val="00CD3E6F"/>
    <w:rsid w:val="00CD6B82"/>
    <w:rsid w:val="00CD715B"/>
    <w:rsid w:val="00CE36B0"/>
    <w:rsid w:val="00CE6929"/>
    <w:rsid w:val="00CF1F3E"/>
    <w:rsid w:val="00CF3EF5"/>
    <w:rsid w:val="00CF5424"/>
    <w:rsid w:val="00CF6E57"/>
    <w:rsid w:val="00CF6E5D"/>
    <w:rsid w:val="00CF704C"/>
    <w:rsid w:val="00D005C2"/>
    <w:rsid w:val="00D04DAE"/>
    <w:rsid w:val="00D12545"/>
    <w:rsid w:val="00D16359"/>
    <w:rsid w:val="00D20970"/>
    <w:rsid w:val="00D20AED"/>
    <w:rsid w:val="00D20F1E"/>
    <w:rsid w:val="00D2385C"/>
    <w:rsid w:val="00D25DC1"/>
    <w:rsid w:val="00D30ABF"/>
    <w:rsid w:val="00D30CE3"/>
    <w:rsid w:val="00D34EAF"/>
    <w:rsid w:val="00D414AD"/>
    <w:rsid w:val="00D42991"/>
    <w:rsid w:val="00D45A13"/>
    <w:rsid w:val="00D45B16"/>
    <w:rsid w:val="00D52184"/>
    <w:rsid w:val="00D54BA1"/>
    <w:rsid w:val="00D567EF"/>
    <w:rsid w:val="00D61597"/>
    <w:rsid w:val="00D64BC6"/>
    <w:rsid w:val="00D7270E"/>
    <w:rsid w:val="00D73159"/>
    <w:rsid w:val="00D734AE"/>
    <w:rsid w:val="00D7632C"/>
    <w:rsid w:val="00D7759F"/>
    <w:rsid w:val="00D821BF"/>
    <w:rsid w:val="00D8345F"/>
    <w:rsid w:val="00D85E14"/>
    <w:rsid w:val="00D863CF"/>
    <w:rsid w:val="00D97640"/>
    <w:rsid w:val="00D97FAD"/>
    <w:rsid w:val="00DA795C"/>
    <w:rsid w:val="00DB2E5A"/>
    <w:rsid w:val="00DB7861"/>
    <w:rsid w:val="00DC2C8F"/>
    <w:rsid w:val="00DC46B3"/>
    <w:rsid w:val="00DC6462"/>
    <w:rsid w:val="00DC7092"/>
    <w:rsid w:val="00DC70C0"/>
    <w:rsid w:val="00DD27AE"/>
    <w:rsid w:val="00DD5B68"/>
    <w:rsid w:val="00DE2289"/>
    <w:rsid w:val="00DE3F7B"/>
    <w:rsid w:val="00DF0267"/>
    <w:rsid w:val="00DF102C"/>
    <w:rsid w:val="00DF4985"/>
    <w:rsid w:val="00DF6835"/>
    <w:rsid w:val="00E05B2C"/>
    <w:rsid w:val="00E06DDD"/>
    <w:rsid w:val="00E119FB"/>
    <w:rsid w:val="00E13192"/>
    <w:rsid w:val="00E13198"/>
    <w:rsid w:val="00E156F5"/>
    <w:rsid w:val="00E16335"/>
    <w:rsid w:val="00E17904"/>
    <w:rsid w:val="00E20549"/>
    <w:rsid w:val="00E210D3"/>
    <w:rsid w:val="00E2163A"/>
    <w:rsid w:val="00E21AAA"/>
    <w:rsid w:val="00E306DD"/>
    <w:rsid w:val="00E31792"/>
    <w:rsid w:val="00E32F46"/>
    <w:rsid w:val="00E3390F"/>
    <w:rsid w:val="00E33BD1"/>
    <w:rsid w:val="00E40E0D"/>
    <w:rsid w:val="00E41793"/>
    <w:rsid w:val="00E4395C"/>
    <w:rsid w:val="00E450D7"/>
    <w:rsid w:val="00E464A1"/>
    <w:rsid w:val="00E4796D"/>
    <w:rsid w:val="00E500EB"/>
    <w:rsid w:val="00E5010C"/>
    <w:rsid w:val="00E50328"/>
    <w:rsid w:val="00E5124D"/>
    <w:rsid w:val="00E560A5"/>
    <w:rsid w:val="00E6014A"/>
    <w:rsid w:val="00E61D6B"/>
    <w:rsid w:val="00E63383"/>
    <w:rsid w:val="00E64864"/>
    <w:rsid w:val="00E654BA"/>
    <w:rsid w:val="00E723AE"/>
    <w:rsid w:val="00E72AB5"/>
    <w:rsid w:val="00E760EC"/>
    <w:rsid w:val="00E82135"/>
    <w:rsid w:val="00E83486"/>
    <w:rsid w:val="00E86C4C"/>
    <w:rsid w:val="00E94605"/>
    <w:rsid w:val="00E9798E"/>
    <w:rsid w:val="00E97FDE"/>
    <w:rsid w:val="00EB49DD"/>
    <w:rsid w:val="00EB552E"/>
    <w:rsid w:val="00EC03A1"/>
    <w:rsid w:val="00EC291A"/>
    <w:rsid w:val="00EC442F"/>
    <w:rsid w:val="00ED05AD"/>
    <w:rsid w:val="00ED3DE9"/>
    <w:rsid w:val="00EE26C8"/>
    <w:rsid w:val="00EE549B"/>
    <w:rsid w:val="00EE6701"/>
    <w:rsid w:val="00EE6E2B"/>
    <w:rsid w:val="00EF21F4"/>
    <w:rsid w:val="00EF303E"/>
    <w:rsid w:val="00EF38DC"/>
    <w:rsid w:val="00EF501E"/>
    <w:rsid w:val="00EF6747"/>
    <w:rsid w:val="00EF7194"/>
    <w:rsid w:val="00F0049D"/>
    <w:rsid w:val="00F03683"/>
    <w:rsid w:val="00F06FB8"/>
    <w:rsid w:val="00F10C5D"/>
    <w:rsid w:val="00F10D1B"/>
    <w:rsid w:val="00F1493E"/>
    <w:rsid w:val="00F24619"/>
    <w:rsid w:val="00F302D6"/>
    <w:rsid w:val="00F303E4"/>
    <w:rsid w:val="00F3385C"/>
    <w:rsid w:val="00F33AE9"/>
    <w:rsid w:val="00F358DC"/>
    <w:rsid w:val="00F41788"/>
    <w:rsid w:val="00F41ECC"/>
    <w:rsid w:val="00F428D4"/>
    <w:rsid w:val="00F466B1"/>
    <w:rsid w:val="00F476F0"/>
    <w:rsid w:val="00F50177"/>
    <w:rsid w:val="00F52C32"/>
    <w:rsid w:val="00F5735D"/>
    <w:rsid w:val="00F61706"/>
    <w:rsid w:val="00F61D02"/>
    <w:rsid w:val="00F63829"/>
    <w:rsid w:val="00F63B21"/>
    <w:rsid w:val="00F63C54"/>
    <w:rsid w:val="00F679D8"/>
    <w:rsid w:val="00F70AE9"/>
    <w:rsid w:val="00F74101"/>
    <w:rsid w:val="00F76C65"/>
    <w:rsid w:val="00F81FC0"/>
    <w:rsid w:val="00F8321A"/>
    <w:rsid w:val="00F84818"/>
    <w:rsid w:val="00F85F73"/>
    <w:rsid w:val="00F91AFC"/>
    <w:rsid w:val="00F91CEC"/>
    <w:rsid w:val="00F92A9F"/>
    <w:rsid w:val="00F9312F"/>
    <w:rsid w:val="00F9642C"/>
    <w:rsid w:val="00F96E9F"/>
    <w:rsid w:val="00F97B25"/>
    <w:rsid w:val="00FA180F"/>
    <w:rsid w:val="00FA26FB"/>
    <w:rsid w:val="00FA3389"/>
    <w:rsid w:val="00FA381D"/>
    <w:rsid w:val="00FA6D23"/>
    <w:rsid w:val="00FB224D"/>
    <w:rsid w:val="00FC1817"/>
    <w:rsid w:val="00FC19D4"/>
    <w:rsid w:val="00FC1A95"/>
    <w:rsid w:val="00FC4428"/>
    <w:rsid w:val="00FC57A9"/>
    <w:rsid w:val="00FC5A07"/>
    <w:rsid w:val="00FC687D"/>
    <w:rsid w:val="00FD1839"/>
    <w:rsid w:val="00FD3D86"/>
    <w:rsid w:val="00FD467C"/>
    <w:rsid w:val="00FD49FD"/>
    <w:rsid w:val="00FD5068"/>
    <w:rsid w:val="00FD5B20"/>
    <w:rsid w:val="00FE1B0A"/>
    <w:rsid w:val="00FE20C7"/>
    <w:rsid w:val="00FE28D4"/>
    <w:rsid w:val="00FE322B"/>
    <w:rsid w:val="00FE3BA3"/>
    <w:rsid w:val="00FE4956"/>
    <w:rsid w:val="00FE522A"/>
    <w:rsid w:val="00FE545A"/>
    <w:rsid w:val="00FE6FEA"/>
    <w:rsid w:val="00FE7B60"/>
    <w:rsid w:val="00FF1CAD"/>
  </w:rsids>
  <m:mathPr>
    <m:mathFont m:val="Cambria Math"/>
    <m:brkBin m:val="before"/>
    <m:brkBinSub m:val="--"/>
    <m:smallFrac/>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1E93C"/>
  <w15:docId w15:val="{41EC71DD-3D49-465C-A871-13C0176D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B0969"/>
    <w:pPr>
      <w:jc w:val="both"/>
    </w:pPr>
    <w:rPr>
      <w:rFonts w:asciiTheme="minorHAnsi" w:hAnsiTheme="minorHAnsi"/>
      <w:sz w:val="22"/>
      <w:lang w:val="en-GB"/>
    </w:rPr>
  </w:style>
  <w:style w:type="paragraph" w:styleId="Heading1">
    <w:name w:val="heading 1"/>
    <w:basedOn w:val="Normal"/>
    <w:next w:val="Normal"/>
    <w:qFormat/>
    <w:rsid w:val="003016E0"/>
    <w:pPr>
      <w:keepNext/>
      <w:outlineLvl w:val="0"/>
    </w:pPr>
    <w:rPr>
      <w:rFonts w:ascii="Arial" w:hAnsi="Arial"/>
      <w:b/>
    </w:rPr>
  </w:style>
  <w:style w:type="paragraph" w:styleId="Heading2">
    <w:name w:val="heading 2"/>
    <w:basedOn w:val="Normal"/>
    <w:next w:val="Normal"/>
    <w:link w:val="Heading2Char"/>
    <w:semiHidden/>
    <w:unhideWhenUsed/>
    <w:qFormat/>
    <w:rsid w:val="006672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016E0"/>
    <w:pPr>
      <w:jc w:val="center"/>
    </w:pPr>
    <w:rPr>
      <w:b/>
      <w:lang w:val="en-AU"/>
    </w:rPr>
  </w:style>
  <w:style w:type="paragraph" w:styleId="BodyText2">
    <w:name w:val="Body Text 2"/>
    <w:basedOn w:val="Normal"/>
    <w:rsid w:val="003016E0"/>
  </w:style>
  <w:style w:type="paragraph" w:styleId="BodyText3">
    <w:name w:val="Body Text 3"/>
    <w:basedOn w:val="Normal"/>
    <w:rsid w:val="003016E0"/>
    <w:pPr>
      <w:tabs>
        <w:tab w:val="left" w:pos="720"/>
      </w:tabs>
    </w:pPr>
    <w:rPr>
      <w:rFonts w:ascii="Arial" w:hAnsi="Arial"/>
    </w:rPr>
  </w:style>
  <w:style w:type="paragraph" w:styleId="BalloonText">
    <w:name w:val="Balloon Text"/>
    <w:basedOn w:val="Normal"/>
    <w:semiHidden/>
    <w:rsid w:val="007D25DF"/>
    <w:rPr>
      <w:rFonts w:ascii="Tahoma" w:hAnsi="Tahoma" w:cs="Tahoma"/>
      <w:sz w:val="16"/>
      <w:szCs w:val="16"/>
    </w:rPr>
  </w:style>
  <w:style w:type="paragraph" w:styleId="Header">
    <w:name w:val="header"/>
    <w:basedOn w:val="Normal"/>
    <w:link w:val="HeaderChar"/>
    <w:uiPriority w:val="99"/>
    <w:rsid w:val="004F3D9C"/>
    <w:pPr>
      <w:tabs>
        <w:tab w:val="center" w:pos="4320"/>
        <w:tab w:val="right" w:pos="8640"/>
      </w:tabs>
    </w:pPr>
  </w:style>
  <w:style w:type="paragraph" w:styleId="Footer">
    <w:name w:val="footer"/>
    <w:basedOn w:val="Normal"/>
    <w:rsid w:val="004F3D9C"/>
    <w:pPr>
      <w:tabs>
        <w:tab w:val="center" w:pos="4320"/>
        <w:tab w:val="right" w:pos="8640"/>
      </w:tabs>
    </w:pPr>
  </w:style>
  <w:style w:type="character" w:styleId="PageNumber">
    <w:name w:val="page number"/>
    <w:basedOn w:val="DefaultParagraphFont"/>
    <w:rsid w:val="004F3D9C"/>
  </w:style>
  <w:style w:type="paragraph" w:styleId="BodyTextIndent2">
    <w:name w:val="Body Text Indent 2"/>
    <w:basedOn w:val="Normal"/>
    <w:link w:val="BodyTextIndent2Char"/>
    <w:rsid w:val="006F5C7E"/>
    <w:pPr>
      <w:spacing w:after="120" w:line="480" w:lineRule="auto"/>
      <w:ind w:left="360"/>
    </w:pPr>
    <w:rPr>
      <w:rFonts w:ascii="Arial" w:hAnsi="Arial"/>
      <w:lang w:val="ru-RU" w:eastAsia="ru-RU"/>
    </w:rPr>
  </w:style>
  <w:style w:type="character" w:customStyle="1" w:styleId="BodyTextIndent2Char">
    <w:name w:val="Body Text Indent 2 Char"/>
    <w:link w:val="BodyTextIndent2"/>
    <w:rsid w:val="006F5C7E"/>
    <w:rPr>
      <w:rFonts w:ascii="Arial" w:hAnsi="Arial"/>
      <w:lang w:val="ru-RU" w:eastAsia="ru-RU" w:bidi="ar-SA"/>
    </w:rPr>
  </w:style>
  <w:style w:type="character" w:styleId="CommentReference">
    <w:name w:val="annotation reference"/>
    <w:semiHidden/>
    <w:rsid w:val="006F5C7E"/>
    <w:rPr>
      <w:sz w:val="16"/>
      <w:szCs w:val="16"/>
    </w:rPr>
  </w:style>
  <w:style w:type="character" w:customStyle="1" w:styleId="HeaderChar">
    <w:name w:val="Header Char"/>
    <w:basedOn w:val="DefaultParagraphFont"/>
    <w:link w:val="Header"/>
    <w:uiPriority w:val="99"/>
    <w:rsid w:val="003C4AE6"/>
  </w:style>
  <w:style w:type="paragraph" w:styleId="ListParagraph">
    <w:name w:val="List Paragraph"/>
    <w:aliases w:val="bulleted Jens,Bullet List,FooterText,List Paragraph1,Colorful List Accent 1,numbered,Paragraphe de liste1,列出段落,列出段落1,Bulletr List Paragraph,List Paragraph2,List Paragraph21,Párrafo de lista1,Parágrafo da Lista1,リスト段落1,Plan,Dot pt,????"/>
    <w:basedOn w:val="Normal"/>
    <w:next w:val="Normal"/>
    <w:link w:val="ListParagraphChar"/>
    <w:uiPriority w:val="34"/>
    <w:qFormat/>
    <w:rsid w:val="002B0969"/>
    <w:pPr>
      <w:spacing w:before="120" w:after="120"/>
      <w:contextualSpacing/>
    </w:pPr>
    <w:rPr>
      <w:b/>
    </w:rPr>
  </w:style>
  <w:style w:type="paragraph" w:styleId="CommentText">
    <w:name w:val="annotation text"/>
    <w:basedOn w:val="Normal"/>
    <w:link w:val="CommentTextChar"/>
    <w:rsid w:val="00294682"/>
  </w:style>
  <w:style w:type="character" w:customStyle="1" w:styleId="CommentTextChar">
    <w:name w:val="Comment Text Char"/>
    <w:link w:val="CommentText"/>
    <w:rsid w:val="00294682"/>
    <w:rPr>
      <w:lang w:val="en-GB"/>
    </w:rPr>
  </w:style>
  <w:style w:type="paragraph" w:styleId="CommentSubject">
    <w:name w:val="annotation subject"/>
    <w:basedOn w:val="CommentText"/>
    <w:next w:val="CommentText"/>
    <w:link w:val="CommentSubjectChar"/>
    <w:rsid w:val="00294682"/>
    <w:rPr>
      <w:b/>
      <w:bCs/>
    </w:rPr>
  </w:style>
  <w:style w:type="character" w:customStyle="1" w:styleId="CommentSubjectChar">
    <w:name w:val="Comment Subject Char"/>
    <w:link w:val="CommentSubject"/>
    <w:rsid w:val="00294682"/>
    <w:rPr>
      <w:b/>
      <w:bCs/>
      <w:lang w:val="en-GB"/>
    </w:rPr>
  </w:style>
  <w:style w:type="paragraph" w:customStyle="1" w:styleId="BodyText1">
    <w:name w:val="Body Text1"/>
    <w:aliases w:val="OPM"/>
    <w:basedOn w:val="Normal"/>
    <w:link w:val="BodytextChar"/>
    <w:rsid w:val="00D61597"/>
    <w:pPr>
      <w:spacing w:after="240"/>
    </w:pPr>
    <w:rPr>
      <w:rFonts w:ascii="Arial" w:hAnsi="Arial"/>
    </w:rPr>
  </w:style>
  <w:style w:type="character" w:customStyle="1" w:styleId="BodytextChar">
    <w:name w:val="Body text Char"/>
    <w:aliases w:val="OPM Char"/>
    <w:link w:val="BodyText1"/>
    <w:rsid w:val="00D61597"/>
    <w:rPr>
      <w:rFonts w:ascii="Arial" w:hAnsi="Arial"/>
      <w:sz w:val="22"/>
      <w:lang w:val="en-GB"/>
    </w:rPr>
  </w:style>
  <w:style w:type="character" w:customStyle="1" w:styleId="apple-style-span">
    <w:name w:val="apple-style-span"/>
    <w:basedOn w:val="DefaultParagraphFont"/>
    <w:rsid w:val="002B6E58"/>
  </w:style>
  <w:style w:type="paragraph" w:customStyle="1" w:styleId="A0E349F008B644AAB6A282E0D042D17E">
    <w:name w:val="A0E349F008B644AAB6A282E0D042D17E"/>
    <w:rsid w:val="00B06A9C"/>
    <w:pPr>
      <w:spacing w:after="200" w:line="276" w:lineRule="auto"/>
    </w:pPr>
    <w:rPr>
      <w:rFonts w:asciiTheme="minorHAnsi" w:eastAsiaTheme="minorEastAsia" w:hAnsiTheme="minorHAnsi" w:cstheme="minorBidi"/>
      <w:sz w:val="22"/>
      <w:szCs w:val="22"/>
      <w:lang w:eastAsia="ja-JP"/>
    </w:rPr>
  </w:style>
  <w:style w:type="character" w:customStyle="1" w:styleId="Heading2Char">
    <w:name w:val="Heading 2 Char"/>
    <w:basedOn w:val="DefaultParagraphFont"/>
    <w:link w:val="Heading2"/>
    <w:semiHidden/>
    <w:rsid w:val="00667233"/>
    <w:rPr>
      <w:rFonts w:asciiTheme="majorHAnsi" w:eastAsiaTheme="majorEastAsia" w:hAnsiTheme="majorHAnsi" w:cstheme="majorBidi"/>
      <w:b/>
      <w:bCs/>
      <w:color w:val="4F81BD" w:themeColor="accent1"/>
      <w:sz w:val="26"/>
      <w:szCs w:val="26"/>
      <w:lang w:val="en-GB"/>
    </w:rPr>
  </w:style>
  <w:style w:type="character" w:styleId="Emphasis">
    <w:name w:val="Emphasis"/>
    <w:basedOn w:val="DefaultParagraphFont"/>
    <w:qFormat/>
    <w:rsid w:val="00480979"/>
    <w:rPr>
      <w:i/>
      <w:iCs/>
    </w:rPr>
  </w:style>
  <w:style w:type="table" w:styleId="TableGrid">
    <w:name w:val="Table Grid"/>
    <w:basedOn w:val="TableNormal"/>
    <w:rsid w:val="00C96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12F2F"/>
    <w:pPr>
      <w:jc w:val="left"/>
    </w:pPr>
    <w:rPr>
      <w:rFonts w:ascii="Calibri" w:eastAsiaTheme="minorHAnsi" w:hAnsi="Calibri"/>
      <w:sz w:val="20"/>
      <w:lang w:val="en-US"/>
    </w:rPr>
  </w:style>
  <w:style w:type="character" w:customStyle="1" w:styleId="FootnoteTextChar">
    <w:name w:val="Footnote Text Char"/>
    <w:basedOn w:val="DefaultParagraphFont"/>
    <w:link w:val="FootnoteText"/>
    <w:uiPriority w:val="99"/>
    <w:rsid w:val="00212F2F"/>
    <w:rPr>
      <w:rFonts w:ascii="Calibri" w:eastAsiaTheme="minorHAnsi" w:hAnsi="Calibri"/>
    </w:rPr>
  </w:style>
  <w:style w:type="character" w:styleId="FootnoteReference">
    <w:name w:val="footnote reference"/>
    <w:basedOn w:val="DefaultParagraphFont"/>
    <w:uiPriority w:val="99"/>
    <w:unhideWhenUsed/>
    <w:rsid w:val="00212F2F"/>
    <w:rPr>
      <w:vertAlign w:val="superscript"/>
    </w:rPr>
  </w:style>
  <w:style w:type="character" w:customStyle="1" w:styleId="ListParagraphChar">
    <w:name w:val="List Paragraph Char"/>
    <w:aliases w:val="bulleted Jens Char,Bullet List Char,FooterText Char,List Paragraph1 Char,Colorful List Accent 1 Char,numbered Char,Paragraphe de liste1 Char,列出段落 Char,列出段落1 Char,Bulletr List Paragraph Char,List Paragraph2 Char,List Paragraph21 Char"/>
    <w:link w:val="ListParagraph"/>
    <w:uiPriority w:val="34"/>
    <w:rsid w:val="004D03FA"/>
    <w:rPr>
      <w:rFonts w:asciiTheme="minorHAnsi" w:hAnsiTheme="minorHAnsi"/>
      <w:b/>
      <w:sz w:val="22"/>
      <w:lang w:val="en-GB"/>
    </w:rPr>
  </w:style>
  <w:style w:type="character" w:styleId="Hyperlink">
    <w:name w:val="Hyperlink"/>
    <w:basedOn w:val="DefaultParagraphFont"/>
    <w:uiPriority w:val="99"/>
    <w:unhideWhenUsed/>
    <w:rsid w:val="00507D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606613">
      <w:bodyDiv w:val="1"/>
      <w:marLeft w:val="0"/>
      <w:marRight w:val="0"/>
      <w:marTop w:val="0"/>
      <w:marBottom w:val="0"/>
      <w:divBdr>
        <w:top w:val="none" w:sz="0" w:space="0" w:color="auto"/>
        <w:left w:val="none" w:sz="0" w:space="0" w:color="auto"/>
        <w:bottom w:val="none" w:sz="0" w:space="0" w:color="auto"/>
        <w:right w:val="none" w:sz="0" w:space="0" w:color="auto"/>
      </w:divBdr>
      <w:divsChild>
        <w:div w:id="741102035">
          <w:marLeft w:val="0"/>
          <w:marRight w:val="0"/>
          <w:marTop w:val="0"/>
          <w:marBottom w:val="0"/>
          <w:divBdr>
            <w:top w:val="none" w:sz="0" w:space="0" w:color="auto"/>
            <w:left w:val="none" w:sz="0" w:space="0" w:color="auto"/>
            <w:bottom w:val="none" w:sz="0" w:space="0" w:color="auto"/>
            <w:right w:val="none" w:sz="0" w:space="0" w:color="auto"/>
          </w:divBdr>
          <w:divsChild>
            <w:div w:id="1610813999">
              <w:marLeft w:val="0"/>
              <w:marRight w:val="0"/>
              <w:marTop w:val="0"/>
              <w:marBottom w:val="0"/>
              <w:divBdr>
                <w:top w:val="none" w:sz="0" w:space="0" w:color="auto"/>
                <w:left w:val="none" w:sz="0" w:space="0" w:color="auto"/>
                <w:bottom w:val="none" w:sz="0" w:space="0" w:color="auto"/>
                <w:right w:val="none" w:sz="0" w:space="0" w:color="auto"/>
              </w:divBdr>
            </w:div>
            <w:div w:id="1904020234">
              <w:marLeft w:val="0"/>
              <w:marRight w:val="0"/>
              <w:marTop w:val="0"/>
              <w:marBottom w:val="0"/>
              <w:divBdr>
                <w:top w:val="none" w:sz="0" w:space="0" w:color="auto"/>
                <w:left w:val="none" w:sz="0" w:space="0" w:color="auto"/>
                <w:bottom w:val="none" w:sz="0" w:space="0" w:color="auto"/>
                <w:right w:val="none" w:sz="0" w:space="0" w:color="auto"/>
              </w:divBdr>
            </w:div>
            <w:div w:id="203614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72539">
      <w:bodyDiv w:val="1"/>
      <w:marLeft w:val="0"/>
      <w:marRight w:val="0"/>
      <w:marTop w:val="0"/>
      <w:marBottom w:val="0"/>
      <w:divBdr>
        <w:top w:val="none" w:sz="0" w:space="0" w:color="auto"/>
        <w:left w:val="none" w:sz="0" w:space="0" w:color="auto"/>
        <w:bottom w:val="none" w:sz="0" w:space="0" w:color="auto"/>
        <w:right w:val="none" w:sz="0" w:space="0" w:color="auto"/>
      </w:divBdr>
      <w:divsChild>
        <w:div w:id="1752502240">
          <w:marLeft w:val="0"/>
          <w:marRight w:val="0"/>
          <w:marTop w:val="0"/>
          <w:marBottom w:val="0"/>
          <w:divBdr>
            <w:top w:val="none" w:sz="0" w:space="0" w:color="auto"/>
            <w:left w:val="none" w:sz="0" w:space="0" w:color="auto"/>
            <w:bottom w:val="none" w:sz="0" w:space="0" w:color="auto"/>
            <w:right w:val="none" w:sz="0" w:space="0" w:color="auto"/>
          </w:divBdr>
        </w:div>
      </w:divsChild>
    </w:div>
    <w:div w:id="506871974">
      <w:bodyDiv w:val="1"/>
      <w:marLeft w:val="0"/>
      <w:marRight w:val="0"/>
      <w:marTop w:val="0"/>
      <w:marBottom w:val="0"/>
      <w:divBdr>
        <w:top w:val="none" w:sz="0" w:space="0" w:color="auto"/>
        <w:left w:val="none" w:sz="0" w:space="0" w:color="auto"/>
        <w:bottom w:val="none" w:sz="0" w:space="0" w:color="auto"/>
        <w:right w:val="none" w:sz="0" w:space="0" w:color="auto"/>
      </w:divBdr>
    </w:div>
    <w:div w:id="614016968">
      <w:bodyDiv w:val="1"/>
      <w:marLeft w:val="0"/>
      <w:marRight w:val="0"/>
      <w:marTop w:val="0"/>
      <w:marBottom w:val="0"/>
      <w:divBdr>
        <w:top w:val="none" w:sz="0" w:space="0" w:color="auto"/>
        <w:left w:val="none" w:sz="0" w:space="0" w:color="auto"/>
        <w:bottom w:val="none" w:sz="0" w:space="0" w:color="auto"/>
        <w:right w:val="none" w:sz="0" w:space="0" w:color="auto"/>
      </w:divBdr>
    </w:div>
    <w:div w:id="692191784">
      <w:bodyDiv w:val="1"/>
      <w:marLeft w:val="0"/>
      <w:marRight w:val="0"/>
      <w:marTop w:val="0"/>
      <w:marBottom w:val="0"/>
      <w:divBdr>
        <w:top w:val="none" w:sz="0" w:space="0" w:color="auto"/>
        <w:left w:val="none" w:sz="0" w:space="0" w:color="auto"/>
        <w:bottom w:val="none" w:sz="0" w:space="0" w:color="auto"/>
        <w:right w:val="none" w:sz="0" w:space="0" w:color="auto"/>
      </w:divBdr>
      <w:divsChild>
        <w:div w:id="1757941905">
          <w:marLeft w:val="0"/>
          <w:marRight w:val="0"/>
          <w:marTop w:val="0"/>
          <w:marBottom w:val="0"/>
          <w:divBdr>
            <w:top w:val="none" w:sz="0" w:space="0" w:color="auto"/>
            <w:left w:val="none" w:sz="0" w:space="0" w:color="auto"/>
            <w:bottom w:val="none" w:sz="0" w:space="0" w:color="auto"/>
            <w:right w:val="none" w:sz="0" w:space="0" w:color="auto"/>
          </w:divBdr>
        </w:div>
      </w:divsChild>
    </w:div>
    <w:div w:id="820004663">
      <w:bodyDiv w:val="1"/>
      <w:marLeft w:val="0"/>
      <w:marRight w:val="0"/>
      <w:marTop w:val="0"/>
      <w:marBottom w:val="0"/>
      <w:divBdr>
        <w:top w:val="none" w:sz="0" w:space="0" w:color="auto"/>
        <w:left w:val="none" w:sz="0" w:space="0" w:color="auto"/>
        <w:bottom w:val="none" w:sz="0" w:space="0" w:color="auto"/>
        <w:right w:val="none" w:sz="0" w:space="0" w:color="auto"/>
      </w:divBdr>
    </w:div>
    <w:div w:id="865875280">
      <w:bodyDiv w:val="1"/>
      <w:marLeft w:val="0"/>
      <w:marRight w:val="0"/>
      <w:marTop w:val="0"/>
      <w:marBottom w:val="0"/>
      <w:divBdr>
        <w:top w:val="none" w:sz="0" w:space="0" w:color="auto"/>
        <w:left w:val="none" w:sz="0" w:space="0" w:color="auto"/>
        <w:bottom w:val="none" w:sz="0" w:space="0" w:color="auto"/>
        <w:right w:val="none" w:sz="0" w:space="0" w:color="auto"/>
      </w:divBdr>
    </w:div>
    <w:div w:id="1111122705">
      <w:bodyDiv w:val="1"/>
      <w:marLeft w:val="0"/>
      <w:marRight w:val="0"/>
      <w:marTop w:val="0"/>
      <w:marBottom w:val="0"/>
      <w:divBdr>
        <w:top w:val="none" w:sz="0" w:space="0" w:color="auto"/>
        <w:left w:val="none" w:sz="0" w:space="0" w:color="auto"/>
        <w:bottom w:val="none" w:sz="0" w:space="0" w:color="auto"/>
        <w:right w:val="none" w:sz="0" w:space="0" w:color="auto"/>
      </w:divBdr>
      <w:divsChild>
        <w:div w:id="1823698873">
          <w:marLeft w:val="0"/>
          <w:marRight w:val="0"/>
          <w:marTop w:val="0"/>
          <w:marBottom w:val="0"/>
          <w:divBdr>
            <w:top w:val="none" w:sz="0" w:space="0" w:color="auto"/>
            <w:left w:val="none" w:sz="0" w:space="0" w:color="auto"/>
            <w:bottom w:val="none" w:sz="0" w:space="0" w:color="auto"/>
            <w:right w:val="none" w:sz="0" w:space="0" w:color="auto"/>
          </w:divBdr>
          <w:divsChild>
            <w:div w:id="7842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881">
      <w:bodyDiv w:val="1"/>
      <w:marLeft w:val="0"/>
      <w:marRight w:val="0"/>
      <w:marTop w:val="0"/>
      <w:marBottom w:val="0"/>
      <w:divBdr>
        <w:top w:val="none" w:sz="0" w:space="0" w:color="auto"/>
        <w:left w:val="none" w:sz="0" w:space="0" w:color="auto"/>
        <w:bottom w:val="none" w:sz="0" w:space="0" w:color="auto"/>
        <w:right w:val="none" w:sz="0" w:space="0" w:color="auto"/>
      </w:divBdr>
      <w:divsChild>
        <w:div w:id="1367607101">
          <w:marLeft w:val="0"/>
          <w:marRight w:val="0"/>
          <w:marTop w:val="0"/>
          <w:marBottom w:val="0"/>
          <w:divBdr>
            <w:top w:val="none" w:sz="0" w:space="0" w:color="auto"/>
            <w:left w:val="none" w:sz="0" w:space="0" w:color="auto"/>
            <w:bottom w:val="none" w:sz="0" w:space="0" w:color="auto"/>
            <w:right w:val="none" w:sz="0" w:space="0" w:color="auto"/>
          </w:divBdr>
        </w:div>
      </w:divsChild>
    </w:div>
    <w:div w:id="1227644062">
      <w:bodyDiv w:val="1"/>
      <w:marLeft w:val="0"/>
      <w:marRight w:val="0"/>
      <w:marTop w:val="0"/>
      <w:marBottom w:val="0"/>
      <w:divBdr>
        <w:top w:val="none" w:sz="0" w:space="0" w:color="auto"/>
        <w:left w:val="none" w:sz="0" w:space="0" w:color="auto"/>
        <w:bottom w:val="none" w:sz="0" w:space="0" w:color="auto"/>
        <w:right w:val="none" w:sz="0" w:space="0" w:color="auto"/>
      </w:divBdr>
      <w:divsChild>
        <w:div w:id="1149633007">
          <w:marLeft w:val="0"/>
          <w:marRight w:val="0"/>
          <w:marTop w:val="0"/>
          <w:marBottom w:val="0"/>
          <w:divBdr>
            <w:top w:val="none" w:sz="0" w:space="0" w:color="auto"/>
            <w:left w:val="none" w:sz="0" w:space="0" w:color="auto"/>
            <w:bottom w:val="none" w:sz="0" w:space="0" w:color="auto"/>
            <w:right w:val="none" w:sz="0" w:space="0" w:color="auto"/>
          </w:divBdr>
          <w:divsChild>
            <w:div w:id="8619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72327">
      <w:bodyDiv w:val="1"/>
      <w:marLeft w:val="0"/>
      <w:marRight w:val="0"/>
      <w:marTop w:val="0"/>
      <w:marBottom w:val="0"/>
      <w:divBdr>
        <w:top w:val="none" w:sz="0" w:space="0" w:color="auto"/>
        <w:left w:val="none" w:sz="0" w:space="0" w:color="auto"/>
        <w:bottom w:val="none" w:sz="0" w:space="0" w:color="auto"/>
        <w:right w:val="none" w:sz="0" w:space="0" w:color="auto"/>
      </w:divBdr>
      <w:divsChild>
        <w:div w:id="656300914">
          <w:marLeft w:val="0"/>
          <w:marRight w:val="0"/>
          <w:marTop w:val="0"/>
          <w:marBottom w:val="0"/>
          <w:divBdr>
            <w:top w:val="none" w:sz="0" w:space="0" w:color="auto"/>
            <w:left w:val="none" w:sz="0" w:space="0" w:color="auto"/>
            <w:bottom w:val="none" w:sz="0" w:space="0" w:color="auto"/>
            <w:right w:val="none" w:sz="0" w:space="0" w:color="auto"/>
          </w:divBdr>
          <w:divsChild>
            <w:div w:id="621115345">
              <w:marLeft w:val="0"/>
              <w:marRight w:val="0"/>
              <w:marTop w:val="0"/>
              <w:marBottom w:val="0"/>
              <w:divBdr>
                <w:top w:val="none" w:sz="0" w:space="0" w:color="auto"/>
                <w:left w:val="none" w:sz="0" w:space="0" w:color="auto"/>
                <w:bottom w:val="none" w:sz="0" w:space="0" w:color="auto"/>
                <w:right w:val="none" w:sz="0" w:space="0" w:color="auto"/>
              </w:divBdr>
            </w:div>
            <w:div w:id="95552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6814">
      <w:bodyDiv w:val="1"/>
      <w:marLeft w:val="0"/>
      <w:marRight w:val="0"/>
      <w:marTop w:val="0"/>
      <w:marBottom w:val="0"/>
      <w:divBdr>
        <w:top w:val="none" w:sz="0" w:space="0" w:color="auto"/>
        <w:left w:val="none" w:sz="0" w:space="0" w:color="auto"/>
        <w:bottom w:val="none" w:sz="0" w:space="0" w:color="auto"/>
        <w:right w:val="none" w:sz="0" w:space="0" w:color="auto"/>
      </w:divBdr>
    </w:div>
    <w:div w:id="1610425654">
      <w:bodyDiv w:val="1"/>
      <w:marLeft w:val="0"/>
      <w:marRight w:val="0"/>
      <w:marTop w:val="0"/>
      <w:marBottom w:val="0"/>
      <w:divBdr>
        <w:top w:val="none" w:sz="0" w:space="0" w:color="auto"/>
        <w:left w:val="none" w:sz="0" w:space="0" w:color="auto"/>
        <w:bottom w:val="none" w:sz="0" w:space="0" w:color="auto"/>
        <w:right w:val="none" w:sz="0" w:space="0" w:color="auto"/>
      </w:divBdr>
    </w:div>
    <w:div w:id="1707368172">
      <w:bodyDiv w:val="1"/>
      <w:marLeft w:val="0"/>
      <w:marRight w:val="0"/>
      <w:marTop w:val="0"/>
      <w:marBottom w:val="0"/>
      <w:divBdr>
        <w:top w:val="none" w:sz="0" w:space="0" w:color="auto"/>
        <w:left w:val="none" w:sz="0" w:space="0" w:color="auto"/>
        <w:bottom w:val="none" w:sz="0" w:space="0" w:color="auto"/>
        <w:right w:val="none" w:sz="0" w:space="0" w:color="auto"/>
      </w:divBdr>
      <w:divsChild>
        <w:div w:id="445347023">
          <w:marLeft w:val="0"/>
          <w:marRight w:val="0"/>
          <w:marTop w:val="0"/>
          <w:marBottom w:val="0"/>
          <w:divBdr>
            <w:top w:val="none" w:sz="0" w:space="0" w:color="auto"/>
            <w:left w:val="none" w:sz="0" w:space="0" w:color="auto"/>
            <w:bottom w:val="none" w:sz="0" w:space="0" w:color="auto"/>
            <w:right w:val="none" w:sz="0" w:space="0" w:color="auto"/>
          </w:divBdr>
          <w:divsChild>
            <w:div w:id="120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50968">
      <w:bodyDiv w:val="1"/>
      <w:marLeft w:val="0"/>
      <w:marRight w:val="0"/>
      <w:marTop w:val="0"/>
      <w:marBottom w:val="0"/>
      <w:divBdr>
        <w:top w:val="none" w:sz="0" w:space="0" w:color="auto"/>
        <w:left w:val="none" w:sz="0" w:space="0" w:color="auto"/>
        <w:bottom w:val="none" w:sz="0" w:space="0" w:color="auto"/>
        <w:right w:val="none" w:sz="0" w:space="0" w:color="auto"/>
      </w:divBdr>
      <w:divsChild>
        <w:div w:id="255405819">
          <w:marLeft w:val="0"/>
          <w:marRight w:val="0"/>
          <w:marTop w:val="0"/>
          <w:marBottom w:val="0"/>
          <w:divBdr>
            <w:top w:val="none" w:sz="0" w:space="0" w:color="auto"/>
            <w:left w:val="none" w:sz="0" w:space="0" w:color="auto"/>
            <w:bottom w:val="none" w:sz="0" w:space="0" w:color="auto"/>
            <w:right w:val="none" w:sz="0" w:space="0" w:color="auto"/>
          </w:divBdr>
          <w:divsChild>
            <w:div w:id="266425538">
              <w:marLeft w:val="0"/>
              <w:marRight w:val="0"/>
              <w:marTop w:val="0"/>
              <w:marBottom w:val="0"/>
              <w:divBdr>
                <w:top w:val="none" w:sz="0" w:space="0" w:color="auto"/>
                <w:left w:val="none" w:sz="0" w:space="0" w:color="auto"/>
                <w:bottom w:val="none" w:sz="0" w:space="0" w:color="auto"/>
                <w:right w:val="none" w:sz="0" w:space="0" w:color="auto"/>
              </w:divBdr>
            </w:div>
            <w:div w:id="284388667">
              <w:marLeft w:val="0"/>
              <w:marRight w:val="0"/>
              <w:marTop w:val="0"/>
              <w:marBottom w:val="0"/>
              <w:divBdr>
                <w:top w:val="none" w:sz="0" w:space="0" w:color="auto"/>
                <w:left w:val="none" w:sz="0" w:space="0" w:color="auto"/>
                <w:bottom w:val="none" w:sz="0" w:space="0" w:color="auto"/>
                <w:right w:val="none" w:sz="0" w:space="0" w:color="auto"/>
              </w:divBdr>
            </w:div>
            <w:div w:id="7498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87433">
      <w:bodyDiv w:val="1"/>
      <w:marLeft w:val="0"/>
      <w:marRight w:val="0"/>
      <w:marTop w:val="0"/>
      <w:marBottom w:val="0"/>
      <w:divBdr>
        <w:top w:val="none" w:sz="0" w:space="0" w:color="auto"/>
        <w:left w:val="none" w:sz="0" w:space="0" w:color="auto"/>
        <w:bottom w:val="none" w:sz="0" w:space="0" w:color="auto"/>
        <w:right w:val="none" w:sz="0" w:space="0" w:color="auto"/>
      </w:divBdr>
      <w:divsChild>
        <w:div w:id="1599949095">
          <w:marLeft w:val="0"/>
          <w:marRight w:val="0"/>
          <w:marTop w:val="0"/>
          <w:marBottom w:val="0"/>
          <w:divBdr>
            <w:top w:val="none" w:sz="0" w:space="0" w:color="auto"/>
            <w:left w:val="none" w:sz="0" w:space="0" w:color="auto"/>
            <w:bottom w:val="none" w:sz="0" w:space="0" w:color="auto"/>
            <w:right w:val="none" w:sz="0" w:space="0" w:color="auto"/>
          </w:divBdr>
        </w:div>
      </w:divsChild>
    </w:div>
    <w:div w:id="1896811548">
      <w:bodyDiv w:val="1"/>
      <w:marLeft w:val="0"/>
      <w:marRight w:val="0"/>
      <w:marTop w:val="0"/>
      <w:marBottom w:val="0"/>
      <w:divBdr>
        <w:top w:val="none" w:sz="0" w:space="0" w:color="auto"/>
        <w:left w:val="none" w:sz="0" w:space="0" w:color="auto"/>
        <w:bottom w:val="none" w:sz="0" w:space="0" w:color="auto"/>
        <w:right w:val="none" w:sz="0" w:space="0" w:color="auto"/>
      </w:divBdr>
      <w:divsChild>
        <w:div w:id="1709644601">
          <w:marLeft w:val="0"/>
          <w:marRight w:val="0"/>
          <w:marTop w:val="0"/>
          <w:marBottom w:val="0"/>
          <w:divBdr>
            <w:top w:val="none" w:sz="0" w:space="0" w:color="auto"/>
            <w:left w:val="none" w:sz="0" w:space="0" w:color="auto"/>
            <w:bottom w:val="none" w:sz="0" w:space="0" w:color="auto"/>
            <w:right w:val="none" w:sz="0" w:space="0" w:color="auto"/>
          </w:divBdr>
          <w:divsChild>
            <w:div w:id="64489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4977">
      <w:bodyDiv w:val="1"/>
      <w:marLeft w:val="0"/>
      <w:marRight w:val="0"/>
      <w:marTop w:val="0"/>
      <w:marBottom w:val="0"/>
      <w:divBdr>
        <w:top w:val="none" w:sz="0" w:space="0" w:color="auto"/>
        <w:left w:val="none" w:sz="0" w:space="0" w:color="auto"/>
        <w:bottom w:val="none" w:sz="0" w:space="0" w:color="auto"/>
        <w:right w:val="none" w:sz="0" w:space="0" w:color="auto"/>
      </w:divBdr>
      <w:divsChild>
        <w:div w:id="1241677702">
          <w:marLeft w:val="0"/>
          <w:marRight w:val="0"/>
          <w:marTop w:val="0"/>
          <w:marBottom w:val="0"/>
          <w:divBdr>
            <w:top w:val="none" w:sz="0" w:space="0" w:color="auto"/>
            <w:left w:val="none" w:sz="0" w:space="0" w:color="auto"/>
            <w:bottom w:val="none" w:sz="0" w:space="0" w:color="auto"/>
            <w:right w:val="none" w:sz="0" w:space="0" w:color="auto"/>
          </w:divBdr>
          <w:divsChild>
            <w:div w:id="179975564">
              <w:marLeft w:val="0"/>
              <w:marRight w:val="0"/>
              <w:marTop w:val="0"/>
              <w:marBottom w:val="0"/>
              <w:divBdr>
                <w:top w:val="none" w:sz="0" w:space="0" w:color="auto"/>
                <w:left w:val="none" w:sz="0" w:space="0" w:color="auto"/>
                <w:bottom w:val="none" w:sz="0" w:space="0" w:color="auto"/>
                <w:right w:val="none" w:sz="0" w:space="0" w:color="auto"/>
              </w:divBdr>
            </w:div>
            <w:div w:id="1238831562">
              <w:marLeft w:val="0"/>
              <w:marRight w:val="0"/>
              <w:marTop w:val="0"/>
              <w:marBottom w:val="0"/>
              <w:divBdr>
                <w:top w:val="none" w:sz="0" w:space="0" w:color="auto"/>
                <w:left w:val="none" w:sz="0" w:space="0" w:color="auto"/>
                <w:bottom w:val="none" w:sz="0" w:space="0" w:color="auto"/>
                <w:right w:val="none" w:sz="0" w:space="0" w:color="auto"/>
              </w:divBdr>
            </w:div>
            <w:div w:id="16939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83376">
      <w:bodyDiv w:val="1"/>
      <w:marLeft w:val="0"/>
      <w:marRight w:val="0"/>
      <w:marTop w:val="0"/>
      <w:marBottom w:val="0"/>
      <w:divBdr>
        <w:top w:val="none" w:sz="0" w:space="0" w:color="auto"/>
        <w:left w:val="none" w:sz="0" w:space="0" w:color="auto"/>
        <w:bottom w:val="none" w:sz="0" w:space="0" w:color="auto"/>
        <w:right w:val="none" w:sz="0" w:space="0" w:color="auto"/>
      </w:divBdr>
    </w:div>
    <w:div w:id="2061779109">
      <w:bodyDiv w:val="1"/>
      <w:marLeft w:val="0"/>
      <w:marRight w:val="0"/>
      <w:marTop w:val="0"/>
      <w:marBottom w:val="0"/>
      <w:divBdr>
        <w:top w:val="none" w:sz="0" w:space="0" w:color="auto"/>
        <w:left w:val="none" w:sz="0" w:space="0" w:color="auto"/>
        <w:bottom w:val="none" w:sz="0" w:space="0" w:color="auto"/>
        <w:right w:val="none" w:sz="0" w:space="0" w:color="auto"/>
      </w:divBdr>
      <w:divsChild>
        <w:div w:id="323436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DA55B-A832-47BE-A7F3-1C1AB7F64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1544</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UNICEF Myanmar</vt:lpstr>
    </vt:vector>
  </TitlesOfParts>
  <Company>UNICEF</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 Myanmar</dc:title>
  <dc:creator>Eduard Israyelyan</dc:creator>
  <cp:lastModifiedBy>Hnin Su Mon</cp:lastModifiedBy>
  <cp:revision>10</cp:revision>
  <cp:lastPrinted>2020-06-30T08:57:00Z</cp:lastPrinted>
  <dcterms:created xsi:type="dcterms:W3CDTF">2020-07-13T10:19:00Z</dcterms:created>
  <dcterms:modified xsi:type="dcterms:W3CDTF">2020-07-16T03:41:00Z</dcterms:modified>
</cp:coreProperties>
</file>