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E805" w14:textId="6E4598BD" w:rsidR="009C5087" w:rsidRPr="000E4B5B" w:rsidRDefault="00EB2E87" w:rsidP="000E4B5B">
      <w:pPr>
        <w:pStyle w:val="Style1"/>
      </w:pPr>
      <w:r w:rsidRPr="000E4B5B">
        <w:t>EQUATORIAL GUINEA</w:t>
      </w:r>
    </w:p>
    <w:p w14:paraId="4319C7CE" w14:textId="77777777" w:rsidR="009C5087" w:rsidRPr="000E4B5B" w:rsidRDefault="009C5087" w:rsidP="000E4B5B">
      <w:pPr>
        <w:jc w:val="both"/>
        <w:rPr>
          <w:rFonts w:cstheme="minorHAnsi"/>
          <w:b/>
          <w:bCs/>
          <w:color w:val="00B0F0"/>
          <w:lang w:val="en-GB"/>
        </w:rPr>
      </w:pPr>
    </w:p>
    <w:tbl>
      <w:tblPr>
        <w:tblStyle w:val="TableGrid"/>
        <w:tblW w:w="0" w:type="auto"/>
        <w:tblLook w:val="04A0" w:firstRow="1" w:lastRow="0" w:firstColumn="1" w:lastColumn="0" w:noHBand="0" w:noVBand="1"/>
      </w:tblPr>
      <w:tblGrid>
        <w:gridCol w:w="4504"/>
        <w:gridCol w:w="4512"/>
      </w:tblGrid>
      <w:tr w:rsidR="009C5087" w:rsidRPr="000E4B5B" w14:paraId="28330D81" w14:textId="77777777" w:rsidTr="000E4B5B">
        <w:tc>
          <w:tcPr>
            <w:tcW w:w="9350" w:type="dxa"/>
            <w:gridSpan w:val="2"/>
            <w:shd w:val="clear" w:color="auto" w:fill="F2F2F2" w:themeFill="background1" w:themeFillShade="F2"/>
          </w:tcPr>
          <w:p w14:paraId="4F130852" w14:textId="77777777" w:rsidR="009C5087" w:rsidRPr="000E4B5B" w:rsidRDefault="009C5087" w:rsidP="000E4B5B">
            <w:pPr>
              <w:spacing w:line="276" w:lineRule="auto"/>
              <w:jc w:val="both"/>
              <w:rPr>
                <w:rFonts w:cstheme="minorHAnsi"/>
                <w:b/>
                <w:lang w:val="en-GB"/>
              </w:rPr>
            </w:pPr>
            <w:r w:rsidRPr="000E4B5B">
              <w:rPr>
                <w:rFonts w:cstheme="minorHAnsi"/>
                <w:b/>
                <w:lang w:val="en-GB"/>
              </w:rPr>
              <w:t>PART I</w:t>
            </w:r>
          </w:p>
        </w:tc>
      </w:tr>
      <w:tr w:rsidR="009C5087" w:rsidRPr="00ED28E1" w14:paraId="746912D0" w14:textId="77777777" w:rsidTr="00B04C77">
        <w:tc>
          <w:tcPr>
            <w:tcW w:w="4675" w:type="dxa"/>
          </w:tcPr>
          <w:p w14:paraId="4999CDED" w14:textId="77777777" w:rsidR="009C5087" w:rsidRPr="000E4B5B" w:rsidRDefault="009C5087" w:rsidP="000E4B5B">
            <w:pPr>
              <w:spacing w:line="276" w:lineRule="auto"/>
              <w:jc w:val="both"/>
              <w:rPr>
                <w:rFonts w:cstheme="minorHAnsi"/>
                <w:b/>
                <w:lang w:val="en-GB"/>
              </w:rPr>
            </w:pPr>
            <w:r w:rsidRPr="000E4B5B">
              <w:rPr>
                <w:rFonts w:cstheme="minorHAnsi"/>
                <w:b/>
                <w:lang w:val="en-GB"/>
              </w:rPr>
              <w:t>Title of assignment</w:t>
            </w:r>
          </w:p>
        </w:tc>
        <w:tc>
          <w:tcPr>
            <w:tcW w:w="4675" w:type="dxa"/>
          </w:tcPr>
          <w:p w14:paraId="2C7DE28D" w14:textId="318CC037" w:rsidR="009C5087" w:rsidRPr="000E4B5B" w:rsidRDefault="009C5087" w:rsidP="000E4B5B">
            <w:pPr>
              <w:spacing w:line="276" w:lineRule="auto"/>
              <w:jc w:val="both"/>
              <w:rPr>
                <w:rFonts w:cstheme="minorHAnsi"/>
                <w:lang w:val="en-GB"/>
              </w:rPr>
            </w:pPr>
            <w:r w:rsidRPr="000E4B5B">
              <w:rPr>
                <w:rFonts w:cstheme="minorHAnsi"/>
                <w:lang w:val="en-GB"/>
              </w:rPr>
              <w:t>Development of a resource mobilization and partnership strategy</w:t>
            </w:r>
          </w:p>
        </w:tc>
      </w:tr>
      <w:tr w:rsidR="009C5087" w:rsidRPr="00ED28E1" w14:paraId="6DEDBEE7" w14:textId="77777777" w:rsidTr="00B04C77">
        <w:tc>
          <w:tcPr>
            <w:tcW w:w="4675" w:type="dxa"/>
          </w:tcPr>
          <w:p w14:paraId="7E039C5C" w14:textId="77777777" w:rsidR="009C5087" w:rsidRPr="000E4B5B" w:rsidRDefault="009C5087" w:rsidP="000E4B5B">
            <w:pPr>
              <w:spacing w:line="276" w:lineRule="auto"/>
              <w:jc w:val="both"/>
              <w:rPr>
                <w:rFonts w:cstheme="minorHAnsi"/>
                <w:b/>
                <w:lang w:val="en-GB"/>
              </w:rPr>
            </w:pPr>
            <w:r w:rsidRPr="000E4B5B">
              <w:rPr>
                <w:rFonts w:cstheme="minorHAnsi"/>
                <w:b/>
                <w:lang w:val="en-GB"/>
              </w:rPr>
              <w:t>Requesting section</w:t>
            </w:r>
          </w:p>
        </w:tc>
        <w:tc>
          <w:tcPr>
            <w:tcW w:w="4675" w:type="dxa"/>
          </w:tcPr>
          <w:p w14:paraId="6B927DB7" w14:textId="7B834EDC" w:rsidR="009C5087" w:rsidRPr="000E4B5B" w:rsidRDefault="009C5087" w:rsidP="000E4B5B">
            <w:pPr>
              <w:spacing w:line="276" w:lineRule="auto"/>
              <w:jc w:val="both"/>
              <w:rPr>
                <w:rFonts w:cstheme="minorHAnsi"/>
                <w:lang w:val="en-GB"/>
              </w:rPr>
            </w:pPr>
            <w:r w:rsidRPr="000E4B5B">
              <w:rPr>
                <w:rFonts w:cstheme="minorHAnsi"/>
                <w:lang w:val="en-GB"/>
              </w:rPr>
              <w:t>Resource mobilization and</w:t>
            </w:r>
            <w:r w:rsidR="003C25BC" w:rsidRPr="000E4B5B">
              <w:rPr>
                <w:rFonts w:cstheme="minorHAnsi"/>
                <w:lang w:val="en-GB"/>
              </w:rPr>
              <w:t xml:space="preserve"> strategic partnerships section, UNICEF Equatorial Guinea</w:t>
            </w:r>
          </w:p>
        </w:tc>
      </w:tr>
      <w:tr w:rsidR="009C5087" w:rsidRPr="000E4B5B" w14:paraId="21AA2C24" w14:textId="77777777" w:rsidTr="00B04C77">
        <w:tc>
          <w:tcPr>
            <w:tcW w:w="4675" w:type="dxa"/>
          </w:tcPr>
          <w:p w14:paraId="54C193A3" w14:textId="77777777" w:rsidR="009C5087" w:rsidRPr="000E4B5B" w:rsidRDefault="009C5087" w:rsidP="000E4B5B">
            <w:pPr>
              <w:spacing w:line="276" w:lineRule="auto"/>
              <w:jc w:val="both"/>
              <w:rPr>
                <w:rFonts w:cstheme="minorHAnsi"/>
                <w:b/>
                <w:lang w:val="en-GB"/>
              </w:rPr>
            </w:pPr>
            <w:r w:rsidRPr="000E4B5B">
              <w:rPr>
                <w:rFonts w:cstheme="minorHAnsi"/>
                <w:b/>
                <w:lang w:val="en-GB"/>
              </w:rPr>
              <w:t>Location</w:t>
            </w:r>
          </w:p>
        </w:tc>
        <w:tc>
          <w:tcPr>
            <w:tcW w:w="4675" w:type="dxa"/>
          </w:tcPr>
          <w:p w14:paraId="2149A776" w14:textId="77777777" w:rsidR="009C5087" w:rsidRPr="000E4B5B" w:rsidRDefault="009C5087" w:rsidP="000E4B5B">
            <w:pPr>
              <w:spacing w:line="276" w:lineRule="auto"/>
              <w:jc w:val="both"/>
              <w:rPr>
                <w:rFonts w:cstheme="minorHAnsi"/>
                <w:lang w:val="en-GB"/>
              </w:rPr>
            </w:pPr>
            <w:r w:rsidRPr="000E4B5B">
              <w:rPr>
                <w:rFonts w:cstheme="minorHAnsi"/>
                <w:lang w:val="en-GB"/>
              </w:rPr>
              <w:t>Malabo, Equatorial Guinea</w:t>
            </w:r>
          </w:p>
        </w:tc>
      </w:tr>
      <w:tr w:rsidR="009C5087" w:rsidRPr="000E4B5B" w14:paraId="43F901A8" w14:textId="77777777" w:rsidTr="00B04C77">
        <w:tc>
          <w:tcPr>
            <w:tcW w:w="4675" w:type="dxa"/>
          </w:tcPr>
          <w:p w14:paraId="186C257E" w14:textId="77777777" w:rsidR="009C5087" w:rsidRPr="000E4B5B" w:rsidRDefault="009C5087" w:rsidP="000E4B5B">
            <w:pPr>
              <w:spacing w:line="276" w:lineRule="auto"/>
              <w:jc w:val="both"/>
              <w:rPr>
                <w:rFonts w:cstheme="minorHAnsi"/>
                <w:b/>
                <w:lang w:val="en-GB"/>
              </w:rPr>
            </w:pPr>
            <w:r w:rsidRPr="000E4B5B">
              <w:rPr>
                <w:rFonts w:cstheme="minorHAnsi"/>
                <w:b/>
                <w:lang w:val="en-GB"/>
              </w:rPr>
              <w:t xml:space="preserve">Duration </w:t>
            </w:r>
          </w:p>
        </w:tc>
        <w:tc>
          <w:tcPr>
            <w:tcW w:w="4675" w:type="dxa"/>
          </w:tcPr>
          <w:p w14:paraId="07E70009" w14:textId="77777777" w:rsidR="009C5087" w:rsidRPr="000E4B5B" w:rsidRDefault="009C5087" w:rsidP="000E4B5B">
            <w:pPr>
              <w:spacing w:line="276" w:lineRule="auto"/>
              <w:jc w:val="both"/>
              <w:rPr>
                <w:rFonts w:cstheme="minorHAnsi"/>
                <w:lang w:val="en-GB"/>
              </w:rPr>
            </w:pPr>
            <w:r w:rsidRPr="000E4B5B">
              <w:rPr>
                <w:rFonts w:cstheme="minorHAnsi"/>
                <w:lang w:val="en-GB"/>
              </w:rPr>
              <w:t>3 months</w:t>
            </w:r>
          </w:p>
        </w:tc>
      </w:tr>
      <w:tr w:rsidR="009C5087" w:rsidRPr="000E4B5B" w14:paraId="494E5552" w14:textId="77777777" w:rsidTr="00B04C77">
        <w:tc>
          <w:tcPr>
            <w:tcW w:w="4675" w:type="dxa"/>
          </w:tcPr>
          <w:p w14:paraId="42C16033" w14:textId="77777777" w:rsidR="009C5087" w:rsidRPr="000E4B5B" w:rsidRDefault="009C5087" w:rsidP="000E4B5B">
            <w:pPr>
              <w:spacing w:line="276" w:lineRule="auto"/>
              <w:jc w:val="both"/>
              <w:rPr>
                <w:rFonts w:cstheme="minorHAnsi"/>
                <w:b/>
                <w:lang w:val="en-GB"/>
              </w:rPr>
            </w:pPr>
            <w:r w:rsidRPr="000E4B5B">
              <w:rPr>
                <w:rFonts w:cstheme="minorHAnsi"/>
                <w:b/>
                <w:lang w:val="en-GB"/>
              </w:rPr>
              <w:t>Ideal assignment dates</w:t>
            </w:r>
          </w:p>
        </w:tc>
        <w:tc>
          <w:tcPr>
            <w:tcW w:w="4675" w:type="dxa"/>
          </w:tcPr>
          <w:p w14:paraId="0F945A06" w14:textId="786652A9" w:rsidR="009C5087" w:rsidRPr="000E4B5B" w:rsidRDefault="009C5087" w:rsidP="000E4B5B">
            <w:pPr>
              <w:spacing w:line="276" w:lineRule="auto"/>
              <w:jc w:val="both"/>
              <w:rPr>
                <w:rFonts w:cstheme="minorHAnsi"/>
                <w:lang w:val="en-GB"/>
              </w:rPr>
            </w:pPr>
            <w:r w:rsidRPr="000E4B5B">
              <w:rPr>
                <w:rFonts w:cstheme="minorHAnsi"/>
                <w:lang w:val="en-GB"/>
              </w:rPr>
              <w:t xml:space="preserve">From:  </w:t>
            </w:r>
            <w:r w:rsidR="0093445B">
              <w:rPr>
                <w:rFonts w:cstheme="minorHAnsi"/>
                <w:lang w:val="en-US"/>
              </w:rPr>
              <w:t>February 2019</w:t>
            </w:r>
          </w:p>
        </w:tc>
      </w:tr>
    </w:tbl>
    <w:p w14:paraId="5D2C0D05" w14:textId="77777777" w:rsidR="009C5087" w:rsidRPr="000E4B5B" w:rsidRDefault="009C5087" w:rsidP="000E4B5B">
      <w:pPr>
        <w:jc w:val="both"/>
        <w:rPr>
          <w:rFonts w:cstheme="minorHAnsi"/>
          <w:lang w:val="en-GB"/>
        </w:rPr>
      </w:pPr>
    </w:p>
    <w:p w14:paraId="7DFC57AC" w14:textId="77777777" w:rsidR="009C5087" w:rsidRPr="000E4B5B" w:rsidRDefault="009C5087" w:rsidP="000E4B5B">
      <w:pPr>
        <w:shd w:val="clear" w:color="auto" w:fill="EEECE1" w:themeFill="background2"/>
        <w:jc w:val="both"/>
        <w:rPr>
          <w:rFonts w:cstheme="minorHAnsi"/>
          <w:b/>
          <w:bCs/>
          <w:lang w:val="en-GB"/>
        </w:rPr>
      </w:pPr>
      <w:r w:rsidRPr="000E4B5B">
        <w:rPr>
          <w:rFonts w:cstheme="minorHAnsi"/>
          <w:b/>
          <w:bCs/>
          <w:lang w:val="en-GB"/>
        </w:rPr>
        <w:t>Background and Justification</w:t>
      </w:r>
    </w:p>
    <w:p w14:paraId="59BD3187" w14:textId="66F14007" w:rsidR="009C5087" w:rsidRPr="000E4B5B" w:rsidRDefault="009C5087" w:rsidP="000E4B5B">
      <w:pPr>
        <w:jc w:val="both"/>
        <w:rPr>
          <w:rFonts w:cstheme="minorHAnsi"/>
          <w:lang w:val="en-GB"/>
        </w:rPr>
      </w:pPr>
      <w:r w:rsidRPr="000E4B5B">
        <w:rPr>
          <w:rFonts w:cstheme="minorHAnsi"/>
          <w:lang w:val="en-GB"/>
        </w:rPr>
        <w:t xml:space="preserve">Equatorial Guinea made substantial socioeconomic progress during the past 15 years and is classified as an upper middle-income country thanks to rapid economic growth in the oil sector, which is the main contributor to GDP and fiscal revenue. During the economic boom both poverty and extreme poverty were sharply reduced. Declining oil prices, however, led to negative GDP growth from 2010 to 2016. By 2015 the country ranked 135th of 188 countries on the human development index.  Equatorial Guinea </w:t>
      </w:r>
      <w:r w:rsidR="003C25BC" w:rsidRPr="000E4B5B">
        <w:rPr>
          <w:rFonts w:cstheme="minorHAnsi"/>
          <w:lang w:val="en-GB"/>
        </w:rPr>
        <w:t>experiences difficulty attracting</w:t>
      </w:r>
      <w:r w:rsidRPr="000E4B5B">
        <w:rPr>
          <w:rFonts w:cstheme="minorHAnsi"/>
          <w:lang w:val="en-GB"/>
        </w:rPr>
        <w:t xml:space="preserve"> donors, posing critical challenges to UNICEF and other development actors.</w:t>
      </w:r>
    </w:p>
    <w:p w14:paraId="0AF6BC5F" w14:textId="115D34C3" w:rsidR="009C5087" w:rsidRPr="000E4B5B" w:rsidRDefault="009C5087" w:rsidP="000E4B5B">
      <w:pPr>
        <w:jc w:val="both"/>
        <w:rPr>
          <w:rFonts w:cstheme="minorHAnsi"/>
          <w:lang w:val="en-GB"/>
        </w:rPr>
      </w:pPr>
      <w:r w:rsidRPr="000E4B5B">
        <w:rPr>
          <w:rFonts w:cstheme="minorHAnsi"/>
          <w:lang w:val="en-GB"/>
        </w:rPr>
        <w:t xml:space="preserve">Despite remarkable progress in socioeconomic infrastructure during the first phase of the national economic and social development plan (Horizonte 2020), under-five mortality remains high and investment in human capital lagged behind. The latter was to be addressed during the plan’s second phase (2013-2020), but the latter is now being reoriented to align with the 2030 Agenda for Sustainable Development and the African Union Agenda 2063, and will focus more on poverty reduction, social inclusion, environmental sustainability and economic diversification. </w:t>
      </w:r>
    </w:p>
    <w:p w14:paraId="7F4564B0" w14:textId="30DE690C" w:rsidR="009C5087" w:rsidRPr="000E4B5B" w:rsidRDefault="009C5087" w:rsidP="000E4B5B">
      <w:pPr>
        <w:jc w:val="both"/>
        <w:rPr>
          <w:rFonts w:cstheme="minorHAnsi"/>
          <w:lang w:val="en-GB"/>
        </w:rPr>
      </w:pPr>
      <w:r w:rsidRPr="000E4B5B">
        <w:rPr>
          <w:rFonts w:cstheme="minorHAnsi"/>
          <w:lang w:val="en-GB"/>
        </w:rPr>
        <w:t>In this new context the UN system, particularly UNICEF, needs to be creative, looking for innovative approaches to mobilize and leverage resources with all potential partners (e.g., Government, private sector, bilateral/multilateral donors, regional fora, National Committees).</w:t>
      </w:r>
    </w:p>
    <w:p w14:paraId="0499521C" w14:textId="77777777" w:rsidR="009C5087" w:rsidRPr="000E4B5B" w:rsidRDefault="009C5087" w:rsidP="000E4B5B">
      <w:pPr>
        <w:shd w:val="clear" w:color="auto" w:fill="EEECE1" w:themeFill="background2"/>
        <w:jc w:val="both"/>
        <w:rPr>
          <w:rFonts w:cstheme="minorHAnsi"/>
          <w:b/>
          <w:bCs/>
          <w:lang w:val="en-GB"/>
        </w:rPr>
      </w:pPr>
      <w:r w:rsidRPr="000E4B5B">
        <w:rPr>
          <w:rFonts w:cstheme="minorHAnsi"/>
          <w:b/>
          <w:bCs/>
          <w:lang w:val="en-GB"/>
        </w:rPr>
        <w:t>Scope of work</w:t>
      </w:r>
    </w:p>
    <w:p w14:paraId="6E7D019D" w14:textId="05CB6E38" w:rsidR="009C5087" w:rsidRPr="000E4B5B" w:rsidRDefault="009C5087" w:rsidP="00BF3074">
      <w:pPr>
        <w:pStyle w:val="ListParagraph"/>
        <w:numPr>
          <w:ilvl w:val="0"/>
          <w:numId w:val="38"/>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Country programme context</w:t>
      </w:r>
    </w:p>
    <w:p w14:paraId="5FC73EAF" w14:textId="1C6BAE5D" w:rsidR="009C5087" w:rsidRPr="000E4B5B" w:rsidRDefault="009C5087" w:rsidP="000E4B5B">
      <w:pPr>
        <w:spacing w:before="120" w:after="120"/>
        <w:jc w:val="both"/>
        <w:rPr>
          <w:rFonts w:cstheme="minorHAnsi"/>
          <w:color w:val="FF0000"/>
          <w:lang w:val="en-GB"/>
        </w:rPr>
      </w:pPr>
      <w:r w:rsidRPr="000E4B5B">
        <w:rPr>
          <w:rFonts w:cstheme="minorHAnsi"/>
          <w:lang w:val="en-GB"/>
        </w:rPr>
        <w:t xml:space="preserve">After several years of economic transformation and focus on infrastructure development, the country has recognized the need to implement a more equitable social agenda in a constrained economic environment. This is an opportunity for UNICEF, through its proposed country programme for 2019-2023 (CP), to consolidate past gains and place child rights at the centre of the national agenda through policy advice, partnerships, public campaigns and support to social movements. Programme strategies include advocacy, policy support, capacity development and partnerships to accelerate results for children. </w:t>
      </w:r>
    </w:p>
    <w:p w14:paraId="79BCAF24" w14:textId="0E222109" w:rsidR="009C5087" w:rsidRPr="000E4B5B" w:rsidRDefault="009C5087" w:rsidP="000E4B5B">
      <w:pPr>
        <w:spacing w:before="120" w:after="120"/>
        <w:jc w:val="both"/>
        <w:rPr>
          <w:rFonts w:cstheme="minorHAnsi"/>
          <w:lang w:val="en-GB"/>
        </w:rPr>
      </w:pPr>
      <w:r w:rsidRPr="000E4B5B">
        <w:rPr>
          <w:rFonts w:cstheme="minorHAnsi"/>
          <w:lang w:val="en-US"/>
        </w:rPr>
        <w:lastRenderedPageBreak/>
        <w:t>The programme of cooperation,</w:t>
      </w:r>
      <w:r w:rsidRPr="000E4B5B">
        <w:rPr>
          <w:rFonts w:cstheme="minorHAnsi"/>
          <w:lang w:val="en-GB"/>
        </w:rPr>
        <w:t xml:space="preserve"> with a yearly budget estimated at US$</w:t>
      </w:r>
      <w:r w:rsidR="003C25BC" w:rsidRPr="000E4B5B">
        <w:rPr>
          <w:rFonts w:cstheme="minorHAnsi"/>
          <w:lang w:val="en-GB"/>
        </w:rPr>
        <w:t xml:space="preserve"> </w:t>
      </w:r>
      <w:r w:rsidRPr="000E4B5B">
        <w:rPr>
          <w:rFonts w:cstheme="minorHAnsi"/>
          <w:lang w:val="en-GB"/>
        </w:rPr>
        <w:t>3.5 million and a more ambitious</w:t>
      </w:r>
      <w:r w:rsidR="003C25BC" w:rsidRPr="000E4B5B">
        <w:rPr>
          <w:rFonts w:cstheme="minorHAnsi"/>
          <w:lang w:val="en-GB"/>
        </w:rPr>
        <w:t xml:space="preserve"> annual</w:t>
      </w:r>
      <w:r w:rsidRPr="000E4B5B">
        <w:rPr>
          <w:rFonts w:cstheme="minorHAnsi"/>
          <w:lang w:val="en-GB"/>
        </w:rPr>
        <w:t xml:space="preserve"> OR target of US$</w:t>
      </w:r>
      <w:r w:rsidR="003C25BC" w:rsidRPr="000E4B5B">
        <w:rPr>
          <w:rFonts w:cstheme="minorHAnsi"/>
          <w:lang w:val="en-GB"/>
        </w:rPr>
        <w:t xml:space="preserve"> </w:t>
      </w:r>
      <w:r w:rsidRPr="000E4B5B">
        <w:rPr>
          <w:rFonts w:cstheme="minorHAnsi"/>
          <w:lang w:val="en-US"/>
        </w:rPr>
        <w:t xml:space="preserve">2.6 million, will include two integrated and interdependent programmes to optimize the synergy between policy advice and programme implementation. The child protection and equity programme will focus on policy, advocacy and system strengthening to address bottlenecks in the enabling environment. The child survival, development and learning programme will advocate that all children, particularly those in underserved areas, have equitable access to quality health and education services, and will promote essential family practices through an integrated district approach. </w:t>
      </w:r>
    </w:p>
    <w:p w14:paraId="5697E3AD" w14:textId="4F503581" w:rsidR="009C5087" w:rsidRPr="000E4B5B" w:rsidRDefault="009C5087" w:rsidP="000E4B5B">
      <w:pPr>
        <w:spacing w:before="120" w:after="120"/>
        <w:jc w:val="both"/>
        <w:rPr>
          <w:rFonts w:cstheme="minorHAnsi"/>
          <w:lang w:val="en-GB"/>
        </w:rPr>
      </w:pPr>
      <w:r w:rsidRPr="000E4B5B">
        <w:rPr>
          <w:rFonts w:cstheme="minorHAnsi"/>
          <w:lang w:val="en-GB"/>
        </w:rPr>
        <w:t xml:space="preserve">In addition, UNICEF’s programme will strengthen joint programming and partnerships with other United Nations organizations to: address poverty and climate change; improve adolescent and maternal health; achieve gender equality and empower women and girls; and support greater availability and use of disaggregated data for sustainable development. </w:t>
      </w:r>
    </w:p>
    <w:p w14:paraId="1C063765" w14:textId="1F45995A" w:rsidR="009C5087" w:rsidRPr="000E4B5B" w:rsidRDefault="009C5087" w:rsidP="000E4B5B">
      <w:pPr>
        <w:spacing w:before="120" w:after="120"/>
        <w:jc w:val="both"/>
        <w:rPr>
          <w:rFonts w:cstheme="minorHAnsi"/>
          <w:lang w:val="en-GB"/>
        </w:rPr>
      </w:pPr>
      <w:r w:rsidRPr="000E4B5B">
        <w:rPr>
          <w:rFonts w:cstheme="minorHAnsi"/>
          <w:lang w:val="en-GB"/>
        </w:rPr>
        <w:t xml:space="preserve">To achieve these goals, UNICEF Equatorial Guinea will need to leverage resources from the private sector, bilateral and multilateral partners and develop a range of new and innovative partnerships. </w:t>
      </w:r>
    </w:p>
    <w:p w14:paraId="397B2D3F" w14:textId="77777777" w:rsidR="009C5087" w:rsidRPr="000E4B5B" w:rsidRDefault="009C5087" w:rsidP="00BF3074">
      <w:pPr>
        <w:pStyle w:val="ListParagraph"/>
        <w:numPr>
          <w:ilvl w:val="0"/>
          <w:numId w:val="38"/>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Goals and objectives</w:t>
      </w:r>
    </w:p>
    <w:p w14:paraId="45839F01" w14:textId="77777777" w:rsidR="009C5087" w:rsidRPr="000E4B5B" w:rsidRDefault="009C5087" w:rsidP="000E4B5B">
      <w:pPr>
        <w:jc w:val="both"/>
        <w:rPr>
          <w:rFonts w:cstheme="minorHAnsi"/>
          <w:b/>
          <w:bCs/>
          <w:lang w:val="en-GB"/>
        </w:rPr>
      </w:pPr>
    </w:p>
    <w:p w14:paraId="6577D063" w14:textId="4DD7196B" w:rsidR="009C5087" w:rsidRPr="000E4B5B" w:rsidRDefault="009C5087" w:rsidP="000E4B5B">
      <w:pPr>
        <w:pStyle w:val="ListParagraph"/>
        <w:numPr>
          <w:ilvl w:val="0"/>
          <w:numId w:val="4"/>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Support the CO in the development of a coherent, holistic resource mobilization and partnership strategy for the new country programme 2019-2023</w:t>
      </w:r>
    </w:p>
    <w:p w14:paraId="40825CCD" w14:textId="4FC93B74" w:rsidR="009C5087" w:rsidRPr="000E4B5B" w:rsidRDefault="009C5087" w:rsidP="000E4B5B">
      <w:pPr>
        <w:pStyle w:val="ListParagraph"/>
        <w:numPr>
          <w:ilvl w:val="0"/>
          <w:numId w:val="4"/>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Support the CO to develop innovative advocacy and communication tools for the new CPD 2019-2023;</w:t>
      </w:r>
    </w:p>
    <w:p w14:paraId="642F0175" w14:textId="2D8F4492" w:rsidR="009C5087" w:rsidRPr="000E4B5B" w:rsidRDefault="009C5087" w:rsidP="000E4B5B">
      <w:pPr>
        <w:pStyle w:val="ListParagraph"/>
        <w:numPr>
          <w:ilvl w:val="0"/>
          <w:numId w:val="4"/>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Strengthen the CO’s capacity to enhance the quality of proposals and donor reports for the new CPD 2019-2013 cycle.</w:t>
      </w:r>
    </w:p>
    <w:p w14:paraId="7A57CF4D" w14:textId="77777777" w:rsidR="009C5087" w:rsidRPr="000E4B5B" w:rsidRDefault="009C5087" w:rsidP="000E4B5B">
      <w:pPr>
        <w:pStyle w:val="ListParagraph"/>
        <w:spacing w:line="276" w:lineRule="auto"/>
        <w:jc w:val="both"/>
        <w:rPr>
          <w:rFonts w:asciiTheme="minorHAnsi" w:hAnsiTheme="minorHAnsi" w:cstheme="minorHAnsi"/>
          <w:b/>
          <w:bCs/>
          <w:lang w:val="en-GB"/>
        </w:rPr>
      </w:pPr>
    </w:p>
    <w:p w14:paraId="15B8A919" w14:textId="77777777" w:rsidR="009C5087" w:rsidRPr="000E4B5B" w:rsidRDefault="009C5087" w:rsidP="00BF3074">
      <w:pPr>
        <w:pStyle w:val="ListParagraph"/>
        <w:numPr>
          <w:ilvl w:val="0"/>
          <w:numId w:val="38"/>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Activities and tasks</w:t>
      </w:r>
    </w:p>
    <w:p w14:paraId="5B6A5361" w14:textId="6C4666A2" w:rsidR="009C5087" w:rsidRPr="000E4B5B" w:rsidRDefault="009C5087" w:rsidP="000E4B5B">
      <w:pPr>
        <w:jc w:val="both"/>
        <w:rPr>
          <w:rFonts w:cstheme="minorHAnsi"/>
          <w:bCs/>
          <w:i/>
          <w:lang w:val="en-GB"/>
        </w:rPr>
      </w:pPr>
      <w:r w:rsidRPr="000E4B5B">
        <w:rPr>
          <w:rFonts w:cstheme="minorHAnsi"/>
          <w:bCs/>
          <w:i/>
          <w:lang w:val="en-GB"/>
        </w:rPr>
        <w:t>Preparatory phase</w:t>
      </w:r>
    </w:p>
    <w:p w14:paraId="374EB4C0" w14:textId="159B3890" w:rsidR="009C5087" w:rsidRPr="000E4B5B" w:rsidRDefault="009C5087" w:rsidP="000E4B5B">
      <w:pPr>
        <w:pStyle w:val="ListParagraph"/>
        <w:numPr>
          <w:ilvl w:val="0"/>
          <w:numId w:val="5"/>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Prepare a detailed work plan in line with TOR goals and objectives</w:t>
      </w:r>
    </w:p>
    <w:p w14:paraId="6178F01B" w14:textId="230FB143" w:rsidR="009C5087" w:rsidRPr="000E4B5B" w:rsidRDefault="009C5087" w:rsidP="000E4B5B">
      <w:pPr>
        <w:pStyle w:val="ListParagraph"/>
        <w:numPr>
          <w:ilvl w:val="0"/>
          <w:numId w:val="5"/>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Undertake discussions with all stakeholders through formal meetings (Government, UN system, bilateral and multilateral donors, private sector and civil society) and Skype or conference calls (with entities located outside Malabo)</w:t>
      </w:r>
    </w:p>
    <w:p w14:paraId="77A02B26" w14:textId="72CEC9F2" w:rsidR="009C5087" w:rsidRPr="000E4B5B" w:rsidRDefault="009C5087" w:rsidP="000E4B5B">
      <w:pPr>
        <w:pStyle w:val="ListParagraph"/>
        <w:numPr>
          <w:ilvl w:val="0"/>
          <w:numId w:val="5"/>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Support the review and completion of the detailed mapping of all partners, as per the format shared by the WCARO resource mobilization and partnerships advisor</w:t>
      </w:r>
    </w:p>
    <w:p w14:paraId="56A44DDC" w14:textId="2C025450" w:rsidR="009C5087" w:rsidRPr="000E4B5B" w:rsidRDefault="009C5087" w:rsidP="000E4B5B">
      <w:pPr>
        <w:pStyle w:val="ListParagraph"/>
        <w:numPr>
          <w:ilvl w:val="0"/>
          <w:numId w:val="5"/>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Prepare and submit an outline of the proposed RMP strategy for management approval.</w:t>
      </w:r>
    </w:p>
    <w:p w14:paraId="293EEE2E" w14:textId="77777777" w:rsidR="000E4B5B" w:rsidRDefault="000E4B5B" w:rsidP="000E4B5B">
      <w:pPr>
        <w:jc w:val="both"/>
        <w:rPr>
          <w:rFonts w:cstheme="minorHAnsi"/>
          <w:bCs/>
          <w:i/>
          <w:lang w:val="en-GB"/>
        </w:rPr>
      </w:pPr>
    </w:p>
    <w:p w14:paraId="0F9A21E9" w14:textId="2A9174EA" w:rsidR="009C5087" w:rsidRPr="000E4B5B" w:rsidRDefault="009C5087" w:rsidP="000E4B5B">
      <w:pPr>
        <w:jc w:val="both"/>
        <w:rPr>
          <w:rFonts w:cstheme="minorHAnsi"/>
          <w:bCs/>
          <w:i/>
          <w:lang w:val="en-GB"/>
        </w:rPr>
      </w:pPr>
      <w:r w:rsidRPr="000E4B5B">
        <w:rPr>
          <w:rFonts w:cstheme="minorHAnsi"/>
          <w:bCs/>
          <w:i/>
          <w:lang w:val="en-GB"/>
        </w:rPr>
        <w:t>Analysis/reporting phase</w:t>
      </w:r>
    </w:p>
    <w:p w14:paraId="373B3A09" w14:textId="519FDC5C" w:rsidR="009C5087" w:rsidRPr="000E4B5B" w:rsidRDefault="009C5087" w:rsidP="000E4B5B">
      <w:pPr>
        <w:pStyle w:val="ListParagraph"/>
        <w:numPr>
          <w:ilvl w:val="0"/>
          <w:numId w:val="5"/>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Undertake a desk review and analysis of all key internal documentation (SITAN/CCA, UNDAF/CPD/CPMP; key studies, evaluations and assessments; proposals and donor reports) and other reference documents (e.g., Government Horizonte 2020 plan; SP 2018-2021; 2030 and 2063 Agendas; GAP 2018-2021)</w:t>
      </w:r>
    </w:p>
    <w:p w14:paraId="762E4927" w14:textId="220FD09B" w:rsidR="009C5087" w:rsidRPr="000E4B5B" w:rsidRDefault="009C5087" w:rsidP="000E4B5B">
      <w:pPr>
        <w:pStyle w:val="ListParagraph"/>
        <w:numPr>
          <w:ilvl w:val="0"/>
          <w:numId w:val="5"/>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Undertake an analysis of all funding received by the CO during the past five years, including utilization and quality of proposals and donor reporting</w:t>
      </w:r>
    </w:p>
    <w:p w14:paraId="68B94DDC" w14:textId="53C28174" w:rsidR="009C5087" w:rsidRPr="000E4B5B" w:rsidRDefault="009C5087" w:rsidP="000E4B5B">
      <w:pPr>
        <w:pStyle w:val="ListParagraph"/>
        <w:numPr>
          <w:ilvl w:val="0"/>
          <w:numId w:val="5"/>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 xml:space="preserve">Prepare and submit for comments/review the first draft of the RMP strategy </w:t>
      </w:r>
    </w:p>
    <w:p w14:paraId="474811EC" w14:textId="77777777" w:rsidR="000E4B5B" w:rsidRDefault="000E4B5B" w:rsidP="000E4B5B">
      <w:pPr>
        <w:jc w:val="both"/>
        <w:rPr>
          <w:rFonts w:cstheme="minorHAnsi"/>
          <w:bCs/>
          <w:i/>
          <w:lang w:val="en-GB"/>
        </w:rPr>
      </w:pPr>
    </w:p>
    <w:p w14:paraId="433F6019" w14:textId="6E4424E3" w:rsidR="009C5087" w:rsidRPr="000E4B5B" w:rsidRDefault="009C5087" w:rsidP="000E4B5B">
      <w:pPr>
        <w:jc w:val="both"/>
        <w:rPr>
          <w:rFonts w:cstheme="minorHAnsi"/>
          <w:bCs/>
          <w:i/>
          <w:lang w:val="en-GB"/>
        </w:rPr>
      </w:pPr>
      <w:r w:rsidRPr="000E4B5B">
        <w:rPr>
          <w:rFonts w:cstheme="minorHAnsi"/>
          <w:bCs/>
          <w:i/>
          <w:lang w:val="en-GB"/>
        </w:rPr>
        <w:t>Capacity building and RMP strategy: finalization phase</w:t>
      </w:r>
    </w:p>
    <w:p w14:paraId="1B8C9CE0" w14:textId="31387F00" w:rsidR="009C5087" w:rsidRPr="000E4B5B" w:rsidRDefault="009C5087" w:rsidP="000E4B5B">
      <w:pPr>
        <w:pStyle w:val="ListParagraph"/>
        <w:numPr>
          <w:ilvl w:val="0"/>
          <w:numId w:val="6"/>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Prepare and undertake a training plan for all programme and operations staff on proposal and donor report writing</w:t>
      </w:r>
    </w:p>
    <w:p w14:paraId="7C6B1051" w14:textId="6E8C4B0F" w:rsidR="009C5087" w:rsidRPr="000E4B5B" w:rsidRDefault="009C5087" w:rsidP="000E4B5B">
      <w:pPr>
        <w:pStyle w:val="ListParagraph"/>
        <w:numPr>
          <w:ilvl w:val="0"/>
          <w:numId w:val="6"/>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Present the first draft of the RMP strategy at a CMT meeting</w:t>
      </w:r>
    </w:p>
    <w:p w14:paraId="325DF68D" w14:textId="033A1057" w:rsidR="009C5087" w:rsidRPr="000E4B5B" w:rsidRDefault="009C5087" w:rsidP="000E4B5B">
      <w:pPr>
        <w:pStyle w:val="ListParagraph"/>
        <w:numPr>
          <w:ilvl w:val="0"/>
          <w:numId w:val="6"/>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Incorporate all comments/observations from the RO and CO in the final draft of the RMP strategy, including the annexes on advocacy and communication tools;</w:t>
      </w:r>
    </w:p>
    <w:p w14:paraId="59C85444" w14:textId="288090D0" w:rsidR="009C5087" w:rsidRPr="000E4B5B" w:rsidRDefault="009C5087" w:rsidP="000E4B5B">
      <w:pPr>
        <w:pStyle w:val="ListParagraph"/>
        <w:numPr>
          <w:ilvl w:val="0"/>
          <w:numId w:val="6"/>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Finalize the RMP strategy and advocacy/communication tools and submit for final validation to the RO and CO.</w:t>
      </w:r>
    </w:p>
    <w:p w14:paraId="755594C2" w14:textId="77777777" w:rsidR="009C5087" w:rsidRPr="000E4B5B" w:rsidRDefault="009C5087" w:rsidP="000E4B5B">
      <w:pPr>
        <w:pStyle w:val="ListParagraph"/>
        <w:spacing w:line="276" w:lineRule="auto"/>
        <w:jc w:val="both"/>
        <w:rPr>
          <w:rFonts w:asciiTheme="minorHAnsi" w:hAnsiTheme="minorHAnsi" w:cstheme="minorHAnsi"/>
          <w:b/>
          <w:bCs/>
          <w:color w:val="00B0F0"/>
          <w:lang w:val="en-GB"/>
        </w:rPr>
      </w:pPr>
    </w:p>
    <w:p w14:paraId="6F38D16E" w14:textId="77777777" w:rsidR="009C5087" w:rsidRPr="000E4B5B" w:rsidRDefault="009C5087" w:rsidP="00BF3074">
      <w:pPr>
        <w:pStyle w:val="ListParagraph"/>
        <w:numPr>
          <w:ilvl w:val="0"/>
          <w:numId w:val="38"/>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Work relationships</w:t>
      </w:r>
    </w:p>
    <w:p w14:paraId="0A877D18" w14:textId="0AA1871C" w:rsidR="009C5087" w:rsidRPr="000E4B5B" w:rsidRDefault="009C5087" w:rsidP="000E4B5B">
      <w:pPr>
        <w:pStyle w:val="ListParagraph"/>
        <w:numPr>
          <w:ilvl w:val="0"/>
          <w:numId w:val="7"/>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 xml:space="preserve">The </w:t>
      </w:r>
      <w:r w:rsidR="00F472FA" w:rsidRPr="000E4B5B">
        <w:rPr>
          <w:rFonts w:asciiTheme="minorHAnsi" w:hAnsiTheme="minorHAnsi" w:cstheme="minorHAnsi"/>
          <w:bCs/>
          <w:lang w:val="en-GB"/>
        </w:rPr>
        <w:t>successful candidate</w:t>
      </w:r>
      <w:r w:rsidRPr="000E4B5B">
        <w:rPr>
          <w:rFonts w:asciiTheme="minorHAnsi" w:hAnsiTheme="minorHAnsi" w:cstheme="minorHAnsi"/>
          <w:bCs/>
          <w:lang w:val="en-GB"/>
        </w:rPr>
        <w:t xml:space="preserve"> will work directly with the CO’s senior management team (Representative, strategic planning manager/deputy and operations manager; the deputy will serve as the direct supervisor</w:t>
      </w:r>
    </w:p>
    <w:p w14:paraId="0AD6B8A5" w14:textId="432A6835" w:rsidR="009C5087" w:rsidRPr="000E4B5B" w:rsidRDefault="009C5087" w:rsidP="000E4B5B">
      <w:pPr>
        <w:pStyle w:val="ListParagraph"/>
        <w:numPr>
          <w:ilvl w:val="0"/>
          <w:numId w:val="7"/>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 xml:space="preserve">The </w:t>
      </w:r>
      <w:r w:rsidR="00F472FA" w:rsidRPr="000E4B5B">
        <w:rPr>
          <w:rFonts w:asciiTheme="minorHAnsi" w:hAnsiTheme="minorHAnsi" w:cstheme="minorHAnsi"/>
          <w:bCs/>
          <w:lang w:val="en-GB"/>
        </w:rPr>
        <w:t xml:space="preserve">successful candidate </w:t>
      </w:r>
      <w:r w:rsidRPr="000E4B5B">
        <w:rPr>
          <w:rFonts w:asciiTheme="minorHAnsi" w:hAnsiTheme="minorHAnsi" w:cstheme="minorHAnsi"/>
          <w:bCs/>
          <w:lang w:val="en-GB"/>
        </w:rPr>
        <w:t>will be supported by the programme team with inputs/feedback, documentation and organization of meetings with partners (Government, UN system, bilateral/multilateral and CSOs and NGOs)</w:t>
      </w:r>
    </w:p>
    <w:p w14:paraId="6A764AE2" w14:textId="7DE0962C" w:rsidR="009C5087" w:rsidRPr="000E4B5B" w:rsidRDefault="009C5087" w:rsidP="000E4B5B">
      <w:pPr>
        <w:pStyle w:val="ListParagraph"/>
        <w:numPr>
          <w:ilvl w:val="0"/>
          <w:numId w:val="7"/>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 xml:space="preserve">The operations team will support the </w:t>
      </w:r>
      <w:r w:rsidR="00F472FA" w:rsidRPr="000E4B5B">
        <w:rPr>
          <w:rFonts w:asciiTheme="minorHAnsi" w:hAnsiTheme="minorHAnsi" w:cstheme="minorHAnsi"/>
          <w:bCs/>
          <w:lang w:val="en-GB"/>
        </w:rPr>
        <w:t xml:space="preserve">successful candidate </w:t>
      </w:r>
      <w:r w:rsidRPr="000E4B5B">
        <w:rPr>
          <w:rFonts w:asciiTheme="minorHAnsi" w:hAnsiTheme="minorHAnsi" w:cstheme="minorHAnsi"/>
          <w:bCs/>
          <w:lang w:val="en-GB"/>
        </w:rPr>
        <w:t>through making logistical arrangements for meetings, training etc (travel, transport, materials, etc.)</w:t>
      </w:r>
    </w:p>
    <w:p w14:paraId="5723C21A" w14:textId="77777777" w:rsidR="009C5087" w:rsidRPr="000E4B5B" w:rsidRDefault="009C5087" w:rsidP="000E4B5B">
      <w:pPr>
        <w:pStyle w:val="ListParagraph"/>
        <w:spacing w:line="276" w:lineRule="auto"/>
        <w:jc w:val="both"/>
        <w:rPr>
          <w:rFonts w:asciiTheme="minorHAnsi" w:hAnsiTheme="minorHAnsi" w:cstheme="minorHAnsi"/>
          <w:bCs/>
          <w:lang w:val="en-GB"/>
        </w:rPr>
      </w:pPr>
    </w:p>
    <w:p w14:paraId="11DA3EE8" w14:textId="77777777" w:rsidR="009C5087" w:rsidRPr="000E4B5B" w:rsidRDefault="009C5087" w:rsidP="00BF3074">
      <w:pPr>
        <w:pStyle w:val="ListParagraph"/>
        <w:numPr>
          <w:ilvl w:val="0"/>
          <w:numId w:val="38"/>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Outputs / deliverables</w:t>
      </w:r>
    </w:p>
    <w:p w14:paraId="7CAC0D7D" w14:textId="77777777" w:rsidR="009C5087" w:rsidRPr="000E4B5B" w:rsidRDefault="009C5087" w:rsidP="000E4B5B">
      <w:pPr>
        <w:jc w:val="both"/>
        <w:rPr>
          <w:rFonts w:cstheme="minorHAnsi"/>
          <w:b/>
          <w:bCs/>
          <w:lang w:val="en-GB"/>
        </w:rPr>
      </w:pPr>
    </w:p>
    <w:tbl>
      <w:tblPr>
        <w:tblStyle w:val="TableGrid"/>
        <w:tblW w:w="9355" w:type="dxa"/>
        <w:tblLook w:val="04A0" w:firstRow="1" w:lastRow="0" w:firstColumn="1" w:lastColumn="0" w:noHBand="0" w:noVBand="1"/>
      </w:tblPr>
      <w:tblGrid>
        <w:gridCol w:w="7915"/>
        <w:gridCol w:w="1440"/>
      </w:tblGrid>
      <w:tr w:rsidR="009C5087" w:rsidRPr="000E4B5B" w14:paraId="17488B0C" w14:textId="77777777" w:rsidTr="008B1C99">
        <w:trPr>
          <w:trHeight w:val="247"/>
        </w:trPr>
        <w:tc>
          <w:tcPr>
            <w:tcW w:w="7915" w:type="dxa"/>
          </w:tcPr>
          <w:p w14:paraId="6F8E71FD" w14:textId="47F9FC65" w:rsidR="009C5087" w:rsidRPr="000E4B5B" w:rsidRDefault="009C5087" w:rsidP="000E4B5B">
            <w:pPr>
              <w:autoSpaceDE w:val="0"/>
              <w:autoSpaceDN w:val="0"/>
              <w:adjustRightInd w:val="0"/>
              <w:spacing w:line="276" w:lineRule="auto"/>
              <w:jc w:val="both"/>
              <w:rPr>
                <w:rFonts w:cstheme="minorHAnsi"/>
                <w:b/>
                <w:bCs/>
                <w:lang w:val="en-GB"/>
              </w:rPr>
            </w:pPr>
            <w:r w:rsidRPr="000E4B5B">
              <w:rPr>
                <w:rFonts w:cstheme="minorHAnsi"/>
                <w:b/>
                <w:bCs/>
                <w:lang w:val="en-GB"/>
              </w:rPr>
              <w:t xml:space="preserve">Deliverables </w:t>
            </w:r>
          </w:p>
        </w:tc>
        <w:tc>
          <w:tcPr>
            <w:tcW w:w="1440" w:type="dxa"/>
          </w:tcPr>
          <w:p w14:paraId="46B7E13C" w14:textId="24FFAF97" w:rsidR="009C5087" w:rsidRPr="000E4B5B" w:rsidRDefault="00EB2E87" w:rsidP="000E4B5B">
            <w:pPr>
              <w:autoSpaceDE w:val="0"/>
              <w:autoSpaceDN w:val="0"/>
              <w:adjustRightInd w:val="0"/>
              <w:spacing w:line="276" w:lineRule="auto"/>
              <w:jc w:val="both"/>
              <w:rPr>
                <w:rFonts w:cstheme="minorHAnsi"/>
                <w:b/>
                <w:bCs/>
                <w:lang w:val="en-GB"/>
              </w:rPr>
            </w:pPr>
            <w:r w:rsidRPr="000E4B5B">
              <w:rPr>
                <w:rFonts w:cstheme="minorHAnsi"/>
                <w:b/>
                <w:bCs/>
                <w:lang w:val="en-GB"/>
              </w:rPr>
              <w:t>T</w:t>
            </w:r>
            <w:r w:rsidR="009C5087" w:rsidRPr="000E4B5B">
              <w:rPr>
                <w:rFonts w:cstheme="minorHAnsi"/>
                <w:b/>
                <w:bCs/>
                <w:lang w:val="en-GB"/>
              </w:rPr>
              <w:t>imeframe</w:t>
            </w:r>
          </w:p>
        </w:tc>
      </w:tr>
      <w:tr w:rsidR="008B1C99" w:rsidRPr="000E4B5B" w14:paraId="7CFFC843" w14:textId="77777777" w:rsidTr="008B1C99">
        <w:trPr>
          <w:trHeight w:val="247"/>
        </w:trPr>
        <w:tc>
          <w:tcPr>
            <w:tcW w:w="7915" w:type="dxa"/>
          </w:tcPr>
          <w:p w14:paraId="5CC021A1" w14:textId="77777777" w:rsidR="008B1C99" w:rsidRPr="000E4B5B" w:rsidRDefault="008B1C99" w:rsidP="000E4B5B">
            <w:pPr>
              <w:spacing w:line="276" w:lineRule="auto"/>
              <w:jc w:val="both"/>
              <w:rPr>
                <w:rFonts w:cstheme="minorHAnsi"/>
                <w:bCs/>
                <w:lang w:val="en-GB"/>
              </w:rPr>
            </w:pPr>
            <w:r w:rsidRPr="000E4B5B">
              <w:rPr>
                <w:rFonts w:cstheme="minorHAnsi"/>
                <w:bCs/>
                <w:lang w:val="en-GB"/>
              </w:rPr>
              <w:t>Work plan prepared and approved</w:t>
            </w:r>
          </w:p>
          <w:p w14:paraId="51D70317" w14:textId="77777777" w:rsidR="008B1C99" w:rsidRPr="000E4B5B" w:rsidRDefault="008B1C99" w:rsidP="000E4B5B">
            <w:pPr>
              <w:spacing w:line="276" w:lineRule="auto"/>
              <w:jc w:val="both"/>
              <w:rPr>
                <w:rFonts w:cstheme="minorHAnsi"/>
                <w:bCs/>
                <w:lang w:val="en-GB"/>
              </w:rPr>
            </w:pPr>
            <w:r w:rsidRPr="000E4B5B">
              <w:rPr>
                <w:rFonts w:cstheme="minorHAnsi"/>
                <w:bCs/>
                <w:lang w:val="en-GB"/>
              </w:rPr>
              <w:t xml:space="preserve">Discussions held with all stakeholders </w:t>
            </w:r>
          </w:p>
          <w:p w14:paraId="409E6EE2" w14:textId="77777777" w:rsidR="008B1C99" w:rsidRPr="000E4B5B" w:rsidRDefault="008B1C99" w:rsidP="000E4B5B">
            <w:pPr>
              <w:spacing w:line="276" w:lineRule="auto"/>
              <w:jc w:val="both"/>
              <w:rPr>
                <w:rFonts w:cstheme="minorHAnsi"/>
                <w:bCs/>
                <w:lang w:val="en-GB"/>
              </w:rPr>
            </w:pPr>
            <w:r w:rsidRPr="000E4B5B">
              <w:rPr>
                <w:rFonts w:cstheme="minorHAnsi"/>
                <w:bCs/>
                <w:lang w:val="en-GB"/>
              </w:rPr>
              <w:t xml:space="preserve">Mapping of all partners done/approved </w:t>
            </w:r>
          </w:p>
          <w:p w14:paraId="550B1370" w14:textId="1910B2AA" w:rsidR="008B1C99" w:rsidRPr="000E4B5B" w:rsidRDefault="008B1C99" w:rsidP="000E4B5B">
            <w:pPr>
              <w:spacing w:line="276" w:lineRule="auto"/>
              <w:jc w:val="both"/>
              <w:rPr>
                <w:rFonts w:cstheme="minorHAnsi"/>
                <w:bCs/>
                <w:lang w:val="en-GB"/>
              </w:rPr>
            </w:pPr>
            <w:r w:rsidRPr="000E4B5B">
              <w:rPr>
                <w:rFonts w:cstheme="minorHAnsi"/>
                <w:bCs/>
                <w:lang w:val="en-GB"/>
              </w:rPr>
              <w:t>RMP outline strategy approved</w:t>
            </w:r>
          </w:p>
        </w:tc>
        <w:tc>
          <w:tcPr>
            <w:tcW w:w="1440" w:type="dxa"/>
          </w:tcPr>
          <w:p w14:paraId="6F5DCFF4" w14:textId="243481B3" w:rsidR="008B1C99" w:rsidRPr="000E4B5B" w:rsidRDefault="008B1C99" w:rsidP="000E4B5B">
            <w:pPr>
              <w:spacing w:line="276" w:lineRule="auto"/>
              <w:jc w:val="both"/>
              <w:rPr>
                <w:rFonts w:cstheme="minorHAnsi"/>
                <w:bCs/>
                <w:lang w:val="en-GB"/>
              </w:rPr>
            </w:pPr>
            <w:r w:rsidRPr="000E4B5B">
              <w:rPr>
                <w:rFonts w:cstheme="minorHAnsi"/>
                <w:bCs/>
                <w:lang w:val="en-GB"/>
              </w:rPr>
              <w:t>1</w:t>
            </w:r>
            <w:r w:rsidRPr="000E4B5B">
              <w:rPr>
                <w:rFonts w:cstheme="minorHAnsi"/>
                <w:bCs/>
                <w:vertAlign w:val="superscript"/>
                <w:lang w:val="en-GB"/>
              </w:rPr>
              <w:t>st</w:t>
            </w:r>
            <w:r w:rsidRPr="000E4B5B">
              <w:rPr>
                <w:rFonts w:cstheme="minorHAnsi"/>
                <w:bCs/>
                <w:lang w:val="en-GB"/>
              </w:rPr>
              <w:t xml:space="preserve"> Month </w:t>
            </w:r>
          </w:p>
        </w:tc>
      </w:tr>
      <w:tr w:rsidR="008B1C99" w:rsidRPr="000E4B5B" w14:paraId="0D2CB84A" w14:textId="77777777" w:rsidTr="008B1C99">
        <w:trPr>
          <w:trHeight w:val="247"/>
        </w:trPr>
        <w:tc>
          <w:tcPr>
            <w:tcW w:w="7915" w:type="dxa"/>
          </w:tcPr>
          <w:p w14:paraId="3BBE8497" w14:textId="7D21BE62" w:rsidR="008B1C99" w:rsidRPr="000E4B5B" w:rsidRDefault="008B1C99" w:rsidP="000E4B5B">
            <w:pPr>
              <w:spacing w:line="276" w:lineRule="auto"/>
              <w:jc w:val="both"/>
              <w:rPr>
                <w:rFonts w:cstheme="minorHAnsi"/>
                <w:bCs/>
                <w:lang w:val="en-GB"/>
              </w:rPr>
            </w:pPr>
            <w:r w:rsidRPr="000E4B5B">
              <w:rPr>
                <w:rFonts w:cstheme="minorHAnsi"/>
                <w:bCs/>
                <w:lang w:val="en-GB"/>
              </w:rPr>
              <w:t>Desk review/analysis of documentation completed</w:t>
            </w:r>
          </w:p>
          <w:p w14:paraId="16F15CA4" w14:textId="77777777" w:rsidR="008B1C99" w:rsidRPr="000E4B5B" w:rsidRDefault="008B1C99" w:rsidP="000E4B5B">
            <w:pPr>
              <w:spacing w:line="276" w:lineRule="auto"/>
              <w:jc w:val="both"/>
              <w:rPr>
                <w:rFonts w:cstheme="minorHAnsi"/>
                <w:bCs/>
                <w:lang w:val="en-GB"/>
              </w:rPr>
            </w:pPr>
            <w:r w:rsidRPr="000E4B5B">
              <w:rPr>
                <w:rFonts w:cstheme="minorHAnsi"/>
                <w:bCs/>
                <w:lang w:val="en-GB"/>
              </w:rPr>
              <w:t>Analysis of the current fund-raising situation for the last 5 years done (success and gaps)</w:t>
            </w:r>
          </w:p>
          <w:p w14:paraId="7BB29FA8" w14:textId="447BB381" w:rsidR="008B1C99" w:rsidRPr="000E4B5B" w:rsidRDefault="008B1C99" w:rsidP="000E4B5B">
            <w:pPr>
              <w:spacing w:line="276" w:lineRule="auto"/>
              <w:jc w:val="both"/>
              <w:rPr>
                <w:rFonts w:cstheme="minorHAnsi"/>
                <w:bCs/>
                <w:lang w:val="en-GB"/>
              </w:rPr>
            </w:pPr>
            <w:r w:rsidRPr="000E4B5B">
              <w:rPr>
                <w:rFonts w:cstheme="minorHAnsi"/>
                <w:bCs/>
                <w:lang w:val="en-GB"/>
              </w:rPr>
              <w:t>First draft of RMP strategy complete</w:t>
            </w:r>
          </w:p>
        </w:tc>
        <w:tc>
          <w:tcPr>
            <w:tcW w:w="1440" w:type="dxa"/>
          </w:tcPr>
          <w:p w14:paraId="37E2A6FB" w14:textId="1110A7A2" w:rsidR="008B1C99" w:rsidRPr="000E4B5B" w:rsidRDefault="008B1C99" w:rsidP="000E4B5B">
            <w:pPr>
              <w:spacing w:line="276" w:lineRule="auto"/>
              <w:jc w:val="both"/>
              <w:rPr>
                <w:rFonts w:cstheme="minorHAnsi"/>
                <w:bCs/>
                <w:lang w:val="en-GB"/>
              </w:rPr>
            </w:pPr>
            <w:r w:rsidRPr="000E4B5B">
              <w:rPr>
                <w:rFonts w:cstheme="minorHAnsi"/>
                <w:bCs/>
                <w:lang w:val="en-GB"/>
              </w:rPr>
              <w:t>2</w:t>
            </w:r>
            <w:r w:rsidRPr="000E4B5B">
              <w:rPr>
                <w:rFonts w:cstheme="minorHAnsi"/>
                <w:bCs/>
                <w:vertAlign w:val="superscript"/>
                <w:lang w:val="en-GB"/>
              </w:rPr>
              <w:t>nd</w:t>
            </w:r>
            <w:r w:rsidRPr="000E4B5B">
              <w:rPr>
                <w:rFonts w:cstheme="minorHAnsi"/>
                <w:bCs/>
                <w:lang w:val="en-GB"/>
              </w:rPr>
              <w:t xml:space="preserve"> month</w:t>
            </w:r>
          </w:p>
        </w:tc>
      </w:tr>
      <w:tr w:rsidR="008B1C99" w:rsidRPr="000E4B5B" w14:paraId="3D9D8B93" w14:textId="77777777" w:rsidTr="008B1C99">
        <w:trPr>
          <w:trHeight w:val="247"/>
        </w:trPr>
        <w:tc>
          <w:tcPr>
            <w:tcW w:w="7915" w:type="dxa"/>
          </w:tcPr>
          <w:p w14:paraId="2E9D970E" w14:textId="77777777" w:rsidR="008B1C99" w:rsidRPr="000E4B5B" w:rsidRDefault="008B1C99" w:rsidP="000E4B5B">
            <w:pPr>
              <w:spacing w:line="276" w:lineRule="auto"/>
              <w:jc w:val="both"/>
              <w:rPr>
                <w:rFonts w:cstheme="minorHAnsi"/>
                <w:bCs/>
                <w:lang w:val="en-GB"/>
              </w:rPr>
            </w:pPr>
            <w:r w:rsidRPr="000E4B5B">
              <w:rPr>
                <w:rFonts w:cstheme="minorHAnsi"/>
                <w:bCs/>
                <w:lang w:val="en-GB"/>
              </w:rPr>
              <w:t>Staff training on proposal preparation and report writing carried out</w:t>
            </w:r>
          </w:p>
          <w:p w14:paraId="6EB8B772" w14:textId="77777777" w:rsidR="008B1C99" w:rsidRPr="000E4B5B" w:rsidRDefault="008B1C99" w:rsidP="000E4B5B">
            <w:pPr>
              <w:spacing w:line="276" w:lineRule="auto"/>
              <w:jc w:val="both"/>
              <w:rPr>
                <w:rFonts w:cstheme="minorHAnsi"/>
                <w:bCs/>
                <w:lang w:val="en-GB"/>
              </w:rPr>
            </w:pPr>
            <w:r w:rsidRPr="000E4B5B">
              <w:rPr>
                <w:rFonts w:cstheme="minorHAnsi"/>
                <w:bCs/>
                <w:lang w:val="en-GB"/>
              </w:rPr>
              <w:t xml:space="preserve">Presentation of RMP strategy draft  </w:t>
            </w:r>
          </w:p>
          <w:p w14:paraId="3F627591" w14:textId="77777777" w:rsidR="008B1C99" w:rsidRPr="000E4B5B" w:rsidRDefault="008B1C99" w:rsidP="000E4B5B">
            <w:pPr>
              <w:spacing w:line="276" w:lineRule="auto"/>
              <w:jc w:val="both"/>
              <w:rPr>
                <w:rFonts w:cstheme="minorHAnsi"/>
                <w:bCs/>
                <w:lang w:val="en-GB"/>
              </w:rPr>
            </w:pPr>
            <w:r w:rsidRPr="000E4B5B">
              <w:rPr>
                <w:rFonts w:cstheme="minorHAnsi"/>
                <w:bCs/>
                <w:lang w:val="en-GB"/>
              </w:rPr>
              <w:t xml:space="preserve">CO and RO feedback collected and incorporated  </w:t>
            </w:r>
          </w:p>
          <w:p w14:paraId="07A69ED7" w14:textId="3F451DE8" w:rsidR="008B1C99" w:rsidRPr="000E4B5B" w:rsidRDefault="008B1C99" w:rsidP="000E4B5B">
            <w:pPr>
              <w:spacing w:line="276" w:lineRule="auto"/>
              <w:jc w:val="both"/>
              <w:rPr>
                <w:rFonts w:cstheme="minorHAnsi"/>
                <w:bCs/>
                <w:lang w:val="en-GB"/>
              </w:rPr>
            </w:pPr>
            <w:r w:rsidRPr="000E4B5B">
              <w:rPr>
                <w:rFonts w:cstheme="minorHAnsi"/>
                <w:bCs/>
                <w:lang w:val="en-GB"/>
              </w:rPr>
              <w:t>RMP strategy and advocacy tools finalized and approved</w:t>
            </w:r>
          </w:p>
        </w:tc>
        <w:tc>
          <w:tcPr>
            <w:tcW w:w="1440" w:type="dxa"/>
          </w:tcPr>
          <w:p w14:paraId="4CAA5577" w14:textId="6F25B5DB" w:rsidR="008B1C99" w:rsidRPr="000E4B5B" w:rsidRDefault="008B1C99" w:rsidP="000E4B5B">
            <w:pPr>
              <w:spacing w:line="276" w:lineRule="auto"/>
              <w:jc w:val="both"/>
              <w:rPr>
                <w:rFonts w:cstheme="minorHAnsi"/>
                <w:bCs/>
                <w:lang w:val="en-GB"/>
              </w:rPr>
            </w:pPr>
            <w:r w:rsidRPr="000E4B5B">
              <w:rPr>
                <w:rFonts w:cstheme="minorHAnsi"/>
                <w:bCs/>
                <w:lang w:val="en-GB"/>
              </w:rPr>
              <w:t>3</w:t>
            </w:r>
            <w:r w:rsidRPr="000E4B5B">
              <w:rPr>
                <w:rFonts w:cstheme="minorHAnsi"/>
                <w:bCs/>
                <w:vertAlign w:val="superscript"/>
                <w:lang w:val="en-GB"/>
              </w:rPr>
              <w:t>rd</w:t>
            </w:r>
            <w:r w:rsidRPr="000E4B5B">
              <w:rPr>
                <w:rFonts w:cstheme="minorHAnsi"/>
                <w:bCs/>
                <w:lang w:val="en-GB"/>
              </w:rPr>
              <w:t xml:space="preserve"> month</w:t>
            </w:r>
          </w:p>
        </w:tc>
      </w:tr>
    </w:tbl>
    <w:p w14:paraId="1283457A" w14:textId="6F2C6D7F" w:rsidR="00ED6C3C" w:rsidRPr="000E4B5B" w:rsidRDefault="00ED6C3C" w:rsidP="000E4B5B">
      <w:pPr>
        <w:pStyle w:val="Title"/>
        <w:spacing w:line="276" w:lineRule="auto"/>
        <w:jc w:val="both"/>
        <w:rPr>
          <w:rFonts w:asciiTheme="minorHAnsi" w:hAnsiTheme="minorHAnsi" w:cstheme="minorHAnsi"/>
          <w:sz w:val="22"/>
          <w:szCs w:val="22"/>
          <w:lang w:val="en-GB"/>
        </w:rPr>
      </w:pPr>
    </w:p>
    <w:p w14:paraId="73C24FC8" w14:textId="77777777" w:rsidR="009C5087" w:rsidRPr="000E4B5B" w:rsidRDefault="009C5087" w:rsidP="000E4B5B">
      <w:pPr>
        <w:shd w:val="clear" w:color="auto" w:fill="EEECE1" w:themeFill="background2"/>
        <w:jc w:val="both"/>
        <w:rPr>
          <w:rFonts w:cstheme="minorHAnsi"/>
          <w:lang w:val="en-GB"/>
        </w:rPr>
      </w:pPr>
      <w:r w:rsidRPr="000E4B5B">
        <w:rPr>
          <w:rFonts w:cstheme="minorHAnsi"/>
          <w:b/>
          <w:bCs/>
          <w:lang w:val="en-GB"/>
        </w:rPr>
        <w:t>Desired competencies, technical background and experience</w:t>
      </w:r>
    </w:p>
    <w:p w14:paraId="244BDF5C" w14:textId="77777777" w:rsidR="009C5087" w:rsidRPr="000E4B5B" w:rsidRDefault="009C5087" w:rsidP="000E4B5B">
      <w:pPr>
        <w:jc w:val="both"/>
        <w:rPr>
          <w:rFonts w:cstheme="minorHAnsi"/>
          <w:b/>
          <w:bCs/>
          <w:lang w:val="en-GB"/>
        </w:rPr>
      </w:pPr>
      <w:r w:rsidRPr="000E4B5B">
        <w:rPr>
          <w:rFonts w:cstheme="minorHAnsi"/>
          <w:b/>
          <w:bCs/>
          <w:lang w:val="en-GB"/>
        </w:rPr>
        <w:t>Qualifications required</w:t>
      </w:r>
    </w:p>
    <w:p w14:paraId="48EC7AE3" w14:textId="1DADDC33" w:rsidR="009C5087" w:rsidRPr="000E4B5B" w:rsidRDefault="009C5087" w:rsidP="000E4B5B">
      <w:pPr>
        <w:pStyle w:val="ListParagraph"/>
        <w:numPr>
          <w:ilvl w:val="0"/>
          <w:numId w:val="3"/>
        </w:numPr>
        <w:spacing w:line="276" w:lineRule="auto"/>
        <w:jc w:val="both"/>
        <w:rPr>
          <w:rFonts w:asciiTheme="minorHAnsi" w:hAnsiTheme="minorHAnsi" w:cstheme="minorHAnsi"/>
          <w:b/>
          <w:bCs/>
          <w:lang w:val="en-GB"/>
        </w:rPr>
      </w:pPr>
      <w:r w:rsidRPr="000E4B5B">
        <w:rPr>
          <w:rFonts w:asciiTheme="minorHAnsi" w:hAnsiTheme="minorHAnsi" w:cstheme="minorHAnsi"/>
          <w:bCs/>
          <w:lang w:val="en-GB"/>
        </w:rPr>
        <w:t xml:space="preserve">Advanced degree (MSc. desirable) in academic areas related to social business management, finance/marketing, communication/advocacy and social policy, with a focus on social development </w:t>
      </w:r>
    </w:p>
    <w:p w14:paraId="3333403A" w14:textId="31E559E2" w:rsidR="009C5087" w:rsidRPr="000E4B5B" w:rsidRDefault="009C5087" w:rsidP="000E4B5B">
      <w:pPr>
        <w:pStyle w:val="ListParagraph"/>
        <w:numPr>
          <w:ilvl w:val="0"/>
          <w:numId w:val="3"/>
        </w:numPr>
        <w:spacing w:line="276" w:lineRule="auto"/>
        <w:jc w:val="both"/>
        <w:rPr>
          <w:rFonts w:asciiTheme="minorHAnsi" w:hAnsiTheme="minorHAnsi" w:cstheme="minorHAnsi"/>
          <w:b/>
          <w:bCs/>
          <w:lang w:val="en-GB"/>
        </w:rPr>
      </w:pPr>
      <w:r w:rsidRPr="000E4B5B">
        <w:rPr>
          <w:rFonts w:asciiTheme="minorHAnsi" w:hAnsiTheme="minorHAnsi" w:cstheme="minorHAnsi"/>
          <w:bCs/>
          <w:lang w:val="en-GB"/>
        </w:rPr>
        <w:lastRenderedPageBreak/>
        <w:t xml:space="preserve">Specific training and knowledge on innovative digital technology approaches for advocacy, communication and fundraising. </w:t>
      </w:r>
    </w:p>
    <w:p w14:paraId="38F37CB5" w14:textId="77777777" w:rsidR="008B1C99" w:rsidRPr="000E4B5B" w:rsidRDefault="008B1C99" w:rsidP="000E4B5B">
      <w:pPr>
        <w:jc w:val="both"/>
        <w:rPr>
          <w:rFonts w:cstheme="minorHAnsi"/>
          <w:b/>
          <w:bCs/>
          <w:lang w:val="en-GB"/>
        </w:rPr>
      </w:pPr>
    </w:p>
    <w:p w14:paraId="6D5285F2" w14:textId="10BA622B" w:rsidR="009C5087" w:rsidRPr="000E4B5B" w:rsidRDefault="009C5087" w:rsidP="000E4B5B">
      <w:pPr>
        <w:jc w:val="both"/>
        <w:rPr>
          <w:rFonts w:cstheme="minorHAnsi"/>
          <w:b/>
          <w:bCs/>
          <w:lang w:val="en-GB"/>
        </w:rPr>
      </w:pPr>
      <w:r w:rsidRPr="000E4B5B">
        <w:rPr>
          <w:rFonts w:cstheme="minorHAnsi"/>
          <w:b/>
          <w:bCs/>
          <w:lang w:val="en-GB"/>
        </w:rPr>
        <w:t>Work experience</w:t>
      </w:r>
    </w:p>
    <w:p w14:paraId="452ABE56" w14:textId="56A7A972" w:rsidR="009C5087" w:rsidRPr="000E4B5B" w:rsidRDefault="009C5087" w:rsidP="000E4B5B">
      <w:pPr>
        <w:pStyle w:val="ListParagraph"/>
        <w:numPr>
          <w:ilvl w:val="0"/>
          <w:numId w:val="3"/>
        </w:numPr>
        <w:spacing w:line="276" w:lineRule="auto"/>
        <w:jc w:val="both"/>
        <w:rPr>
          <w:rFonts w:asciiTheme="minorHAnsi" w:hAnsiTheme="minorHAnsi" w:cstheme="minorHAnsi"/>
          <w:bCs/>
          <w:lang w:val="en-GB"/>
        </w:rPr>
      </w:pPr>
      <w:r w:rsidRPr="000E4B5B">
        <w:rPr>
          <w:rFonts w:asciiTheme="minorHAnsi" w:hAnsiTheme="minorHAnsi" w:cstheme="minorHAnsi"/>
          <w:bCs/>
          <w:lang w:val="en-GB"/>
        </w:rPr>
        <w:t>At least five years of work experience in non-profit organizations or the private sector, with a focus on resource mobilization and partnerships or corporate social responsibility</w:t>
      </w:r>
    </w:p>
    <w:p w14:paraId="13D4D2E5" w14:textId="4DED5DE4" w:rsidR="009C5087" w:rsidRPr="000E4B5B" w:rsidRDefault="009C5087" w:rsidP="000E4B5B">
      <w:pPr>
        <w:pStyle w:val="ListParagraph"/>
        <w:numPr>
          <w:ilvl w:val="0"/>
          <w:numId w:val="3"/>
        </w:numPr>
        <w:spacing w:line="276" w:lineRule="auto"/>
        <w:jc w:val="both"/>
        <w:rPr>
          <w:rFonts w:asciiTheme="minorHAnsi" w:hAnsiTheme="minorHAnsi" w:cstheme="minorHAnsi"/>
          <w:b/>
          <w:bCs/>
          <w:lang w:val="en-GB"/>
        </w:rPr>
      </w:pPr>
      <w:r w:rsidRPr="000E4B5B">
        <w:rPr>
          <w:rFonts w:asciiTheme="minorHAnsi" w:hAnsiTheme="minorHAnsi" w:cstheme="minorHAnsi"/>
          <w:bCs/>
          <w:lang w:val="en-GB"/>
        </w:rPr>
        <w:t xml:space="preserve">Good knowledge and experience in social budgeting analysis and public finance for children </w:t>
      </w:r>
    </w:p>
    <w:p w14:paraId="66AB5303" w14:textId="44AEF83E" w:rsidR="009C5087" w:rsidRPr="000E4B5B" w:rsidRDefault="009C5087" w:rsidP="000E4B5B">
      <w:pPr>
        <w:pStyle w:val="ListParagraph"/>
        <w:numPr>
          <w:ilvl w:val="0"/>
          <w:numId w:val="3"/>
        </w:numPr>
        <w:spacing w:line="276" w:lineRule="auto"/>
        <w:jc w:val="both"/>
        <w:rPr>
          <w:rFonts w:asciiTheme="minorHAnsi" w:hAnsiTheme="minorHAnsi" w:cstheme="minorHAnsi"/>
          <w:b/>
          <w:bCs/>
          <w:lang w:val="en-GB"/>
        </w:rPr>
      </w:pPr>
      <w:r w:rsidRPr="000E4B5B">
        <w:rPr>
          <w:rFonts w:asciiTheme="minorHAnsi" w:hAnsiTheme="minorHAnsi" w:cstheme="minorHAnsi"/>
          <w:bCs/>
          <w:lang w:val="en-GB"/>
        </w:rPr>
        <w:t>Good communication (primarily writing) and advocacy skills linked to resource mobilization approaches.</w:t>
      </w:r>
    </w:p>
    <w:p w14:paraId="559C804B" w14:textId="77777777" w:rsidR="009C5087" w:rsidRPr="000E4B5B" w:rsidRDefault="009C5087" w:rsidP="000E4B5B">
      <w:pPr>
        <w:pStyle w:val="ListParagraph"/>
        <w:spacing w:line="276" w:lineRule="auto"/>
        <w:ind w:left="360"/>
        <w:jc w:val="both"/>
        <w:rPr>
          <w:rFonts w:asciiTheme="minorHAnsi" w:hAnsiTheme="minorHAnsi" w:cstheme="minorHAnsi"/>
          <w:b/>
          <w:bCs/>
          <w:lang w:val="en-GB"/>
        </w:rPr>
      </w:pPr>
    </w:p>
    <w:p w14:paraId="473688B3" w14:textId="5E01BD9D" w:rsidR="009C5087" w:rsidRPr="000E4B5B" w:rsidRDefault="009C5087" w:rsidP="000E4B5B">
      <w:pPr>
        <w:jc w:val="both"/>
        <w:rPr>
          <w:rFonts w:cstheme="minorHAnsi"/>
          <w:lang w:val="en-GB"/>
        </w:rPr>
      </w:pPr>
      <w:r w:rsidRPr="000E4B5B">
        <w:rPr>
          <w:rFonts w:cstheme="minorHAnsi"/>
          <w:b/>
          <w:bCs/>
          <w:lang w:val="en-GB"/>
        </w:rPr>
        <w:t>Language</w:t>
      </w:r>
    </w:p>
    <w:p w14:paraId="122720DC" w14:textId="5EE242DA" w:rsidR="009C5087" w:rsidRPr="000E4B5B" w:rsidRDefault="009C5087" w:rsidP="000E4B5B">
      <w:pPr>
        <w:pStyle w:val="ListParagraph"/>
        <w:numPr>
          <w:ilvl w:val="0"/>
          <w:numId w:val="2"/>
        </w:numPr>
        <w:spacing w:line="276" w:lineRule="auto"/>
        <w:jc w:val="both"/>
        <w:rPr>
          <w:rFonts w:asciiTheme="minorHAnsi" w:hAnsiTheme="minorHAnsi" w:cstheme="minorHAnsi"/>
          <w:lang w:val="en-GB"/>
        </w:rPr>
      </w:pPr>
      <w:r w:rsidRPr="000E4B5B">
        <w:rPr>
          <w:rFonts w:asciiTheme="minorHAnsi" w:hAnsiTheme="minorHAnsi" w:cstheme="minorHAnsi"/>
          <w:lang w:val="en-GB"/>
        </w:rPr>
        <w:t>Excellent writing skills in English and solid knowledge of Spanish is desirable. Good knowledge of French is an asset.</w:t>
      </w:r>
    </w:p>
    <w:p w14:paraId="022445A2" w14:textId="77777777" w:rsidR="009C5087" w:rsidRPr="000E4B5B" w:rsidRDefault="009C5087" w:rsidP="000E4B5B">
      <w:pPr>
        <w:jc w:val="both"/>
        <w:rPr>
          <w:rFonts w:cstheme="minorHAnsi"/>
          <w:lang w:val="en-GB"/>
        </w:rPr>
      </w:pPr>
    </w:p>
    <w:p w14:paraId="449003AF" w14:textId="77777777" w:rsidR="009C5087" w:rsidRPr="000E4B5B" w:rsidRDefault="009C5087" w:rsidP="000E4B5B">
      <w:pPr>
        <w:shd w:val="clear" w:color="auto" w:fill="EEECE1" w:themeFill="background2"/>
        <w:jc w:val="both"/>
        <w:rPr>
          <w:rFonts w:cstheme="minorHAnsi"/>
          <w:lang w:val="en-GB"/>
        </w:rPr>
      </w:pPr>
      <w:r w:rsidRPr="000E4B5B">
        <w:rPr>
          <w:rFonts w:cstheme="minorHAnsi"/>
          <w:b/>
          <w:bCs/>
          <w:lang w:val="en-GB"/>
        </w:rPr>
        <w:t>Focal point</w:t>
      </w:r>
    </w:p>
    <w:p w14:paraId="22E9371E" w14:textId="130E3650" w:rsidR="008B1C99" w:rsidRPr="00ED28E1" w:rsidRDefault="009C5087" w:rsidP="000E4B5B">
      <w:pPr>
        <w:jc w:val="both"/>
        <w:rPr>
          <w:rFonts w:cstheme="minorHAnsi"/>
          <w:lang w:val="en-US"/>
        </w:rPr>
      </w:pPr>
      <w:r w:rsidRPr="000E4B5B">
        <w:rPr>
          <w:rFonts w:cstheme="minorHAnsi"/>
          <w:lang w:val="en-GB"/>
        </w:rPr>
        <w:t xml:space="preserve">Alejandro Escalona Aguero, </w:t>
      </w:r>
      <w:r w:rsidR="003C25BC" w:rsidRPr="000E4B5B">
        <w:rPr>
          <w:rFonts w:cstheme="minorHAnsi"/>
          <w:lang w:val="en-GB"/>
        </w:rPr>
        <w:t>S</w:t>
      </w:r>
      <w:r w:rsidRPr="000E4B5B">
        <w:rPr>
          <w:rFonts w:cstheme="minorHAnsi"/>
          <w:lang w:val="en-GB"/>
        </w:rPr>
        <w:t xml:space="preserve">trategic </w:t>
      </w:r>
      <w:r w:rsidR="003C25BC" w:rsidRPr="000E4B5B">
        <w:rPr>
          <w:rFonts w:cstheme="minorHAnsi"/>
          <w:lang w:val="en-GB"/>
        </w:rPr>
        <w:t>P</w:t>
      </w:r>
      <w:r w:rsidRPr="000E4B5B">
        <w:rPr>
          <w:rFonts w:cstheme="minorHAnsi"/>
          <w:lang w:val="en-GB"/>
        </w:rPr>
        <w:t xml:space="preserve">lanning </w:t>
      </w:r>
      <w:r w:rsidR="003C25BC" w:rsidRPr="000E4B5B">
        <w:rPr>
          <w:rFonts w:cstheme="minorHAnsi"/>
          <w:lang w:val="en-GB"/>
        </w:rPr>
        <w:t>Manager</w:t>
      </w:r>
      <w:r w:rsidR="008509CF">
        <w:rPr>
          <w:rFonts w:cstheme="minorHAnsi"/>
          <w:lang w:val="en-GB"/>
        </w:rPr>
        <w:t xml:space="preserve">, </w:t>
      </w:r>
      <w:hyperlink r:id="rId8" w:history="1">
        <w:r w:rsidR="008509CF" w:rsidRPr="005C27FC">
          <w:rPr>
            <w:rStyle w:val="Hyperlink"/>
            <w:rFonts w:cstheme="minorHAnsi"/>
            <w:lang w:val="en-GB"/>
          </w:rPr>
          <w:t>aaguero@uni</w:t>
        </w:r>
        <w:bookmarkStart w:id="0" w:name="_GoBack"/>
        <w:bookmarkEnd w:id="0"/>
        <w:r w:rsidR="008509CF" w:rsidRPr="005C27FC">
          <w:rPr>
            <w:rStyle w:val="Hyperlink"/>
            <w:rFonts w:cstheme="minorHAnsi"/>
            <w:lang w:val="en-GB"/>
          </w:rPr>
          <w:t>cef.org</w:t>
        </w:r>
      </w:hyperlink>
      <w:r w:rsidR="008509CF">
        <w:rPr>
          <w:rFonts w:cstheme="minorHAnsi"/>
          <w:lang w:val="en-GB"/>
        </w:rPr>
        <w:t xml:space="preserve"> </w:t>
      </w:r>
    </w:p>
    <w:sectPr w:rsidR="008B1C99" w:rsidRPr="00ED28E1">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7C6B" w14:textId="77777777" w:rsidR="009251B4" w:rsidRDefault="009251B4" w:rsidP="009C5087">
      <w:pPr>
        <w:spacing w:after="0" w:line="240" w:lineRule="auto"/>
      </w:pPr>
      <w:r>
        <w:separator/>
      </w:r>
    </w:p>
  </w:endnote>
  <w:endnote w:type="continuationSeparator" w:id="0">
    <w:p w14:paraId="05DCFBC3" w14:textId="77777777" w:rsidR="009251B4" w:rsidRDefault="009251B4" w:rsidP="009C5087">
      <w:pPr>
        <w:spacing w:after="0" w:line="240" w:lineRule="auto"/>
      </w:pPr>
      <w:r>
        <w:continuationSeparator/>
      </w:r>
    </w:p>
  </w:endnote>
  <w:endnote w:type="continuationNotice" w:id="1">
    <w:p w14:paraId="37EC5B6F" w14:textId="77777777" w:rsidR="009251B4" w:rsidRDefault="00925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37463C1E" w:rsidR="00A7766D" w:rsidRDefault="00A7766D">
        <w:pPr>
          <w:pStyle w:val="Footer"/>
          <w:jc w:val="right"/>
        </w:pPr>
        <w:r>
          <w:t xml:space="preserve">Page | </w:t>
        </w:r>
        <w:r>
          <w:fldChar w:fldCharType="begin"/>
        </w:r>
        <w:r>
          <w:instrText xml:space="preserve"> PAGE   \* MERGEFORMAT </w:instrText>
        </w:r>
        <w:r>
          <w:fldChar w:fldCharType="separate"/>
        </w:r>
        <w:r w:rsidR="00ED28E1">
          <w:rPr>
            <w:noProof/>
          </w:rPr>
          <w:t>4</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B3643" w14:textId="77777777" w:rsidR="009251B4" w:rsidRDefault="009251B4" w:rsidP="009C5087">
      <w:pPr>
        <w:spacing w:after="0" w:line="240" w:lineRule="auto"/>
      </w:pPr>
      <w:r>
        <w:separator/>
      </w:r>
    </w:p>
  </w:footnote>
  <w:footnote w:type="continuationSeparator" w:id="0">
    <w:p w14:paraId="529A8FF0" w14:textId="77777777" w:rsidR="009251B4" w:rsidRDefault="009251B4" w:rsidP="009C5087">
      <w:pPr>
        <w:spacing w:after="0" w:line="240" w:lineRule="auto"/>
      </w:pPr>
      <w:r>
        <w:continuationSeparator/>
      </w:r>
    </w:p>
  </w:footnote>
  <w:footnote w:type="continuationNotice" w:id="1">
    <w:p w14:paraId="63E24506" w14:textId="77777777" w:rsidR="009251B4" w:rsidRDefault="009251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47149"/>
    <w:rsid w:val="00452D23"/>
    <w:rsid w:val="00502796"/>
    <w:rsid w:val="0053364A"/>
    <w:rsid w:val="00564C8A"/>
    <w:rsid w:val="00571625"/>
    <w:rsid w:val="005C5914"/>
    <w:rsid w:val="0060026F"/>
    <w:rsid w:val="00602DCC"/>
    <w:rsid w:val="006706E2"/>
    <w:rsid w:val="006B04DF"/>
    <w:rsid w:val="006E7C88"/>
    <w:rsid w:val="00726B90"/>
    <w:rsid w:val="00742299"/>
    <w:rsid w:val="007C3F7E"/>
    <w:rsid w:val="007C4CA6"/>
    <w:rsid w:val="007D37FA"/>
    <w:rsid w:val="00817286"/>
    <w:rsid w:val="00846A91"/>
    <w:rsid w:val="008509CF"/>
    <w:rsid w:val="0087434E"/>
    <w:rsid w:val="008B1C99"/>
    <w:rsid w:val="008D73FC"/>
    <w:rsid w:val="009201DA"/>
    <w:rsid w:val="009251B4"/>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EC1"/>
    <w:rsid w:val="00B40AF8"/>
    <w:rsid w:val="00B70E05"/>
    <w:rsid w:val="00B77568"/>
    <w:rsid w:val="00B964E0"/>
    <w:rsid w:val="00B979DC"/>
    <w:rsid w:val="00BA1478"/>
    <w:rsid w:val="00BB1846"/>
    <w:rsid w:val="00BF108C"/>
    <w:rsid w:val="00BF3074"/>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B2E87"/>
    <w:rsid w:val="00ED28E1"/>
    <w:rsid w:val="00ED6C3C"/>
    <w:rsid w:val="00EE26A5"/>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uero@unice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F8C2-25A2-434F-8EE9-6FA6AF7C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2018-12-27T13:15:00Z</dcterms:modified>
</cp:coreProperties>
</file>