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A938" w14:textId="77777777" w:rsidR="004E48D9" w:rsidRPr="006E7AE5" w:rsidRDefault="004E48D9">
      <w:pPr>
        <w:rPr>
          <w:rFonts w:cs="Tahoma"/>
          <w:b/>
          <w:szCs w:val="22"/>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320"/>
        <w:gridCol w:w="1710"/>
      </w:tblGrid>
      <w:tr w:rsidR="005077B5" w:rsidRPr="00E151B3" w14:paraId="30D4A73D" w14:textId="77777777" w:rsidTr="103807B0">
        <w:tc>
          <w:tcPr>
            <w:tcW w:w="10260" w:type="dxa"/>
            <w:gridSpan w:val="3"/>
            <w:shd w:val="clear" w:color="auto" w:fill="DAEEF3" w:themeFill="accent5" w:themeFillTint="33"/>
          </w:tcPr>
          <w:p w14:paraId="03F9A715" w14:textId="77777777" w:rsidR="000A1035" w:rsidRPr="00E151B3" w:rsidRDefault="00AC1BA0" w:rsidP="00393A96">
            <w:pPr>
              <w:rPr>
                <w:rFonts w:cs="Tahoma"/>
                <w:b/>
                <w:szCs w:val="22"/>
              </w:rPr>
            </w:pPr>
            <w:r w:rsidRPr="00E151B3">
              <w:rPr>
                <w:rFonts w:cs="Tahoma"/>
                <w:b/>
                <w:szCs w:val="22"/>
              </w:rPr>
              <w:t xml:space="preserve">Heading: </w:t>
            </w:r>
          </w:p>
          <w:p w14:paraId="1B8B8D06" w14:textId="5B58A0D6" w:rsidR="00BA4DC7" w:rsidRPr="00E151B3" w:rsidRDefault="00160446" w:rsidP="0047163A">
            <w:pPr>
              <w:rPr>
                <w:rFonts w:cs="Tahoma"/>
                <w:b/>
                <w:szCs w:val="22"/>
              </w:rPr>
            </w:pPr>
            <w:r w:rsidRPr="00E151B3">
              <w:rPr>
                <w:rFonts w:cs="Tahoma"/>
                <w:b/>
                <w:szCs w:val="22"/>
              </w:rPr>
              <w:t xml:space="preserve">National Consultant for </w:t>
            </w:r>
            <w:r w:rsidR="00C41EB9" w:rsidRPr="00E151B3">
              <w:rPr>
                <w:rFonts w:cs="Tahoma"/>
                <w:b/>
                <w:szCs w:val="22"/>
              </w:rPr>
              <w:t xml:space="preserve">Human Resources for Health </w:t>
            </w:r>
            <w:r w:rsidR="00221771">
              <w:rPr>
                <w:rFonts w:cs="Tahoma"/>
                <w:b/>
                <w:szCs w:val="22"/>
              </w:rPr>
              <w:t>(HRH)</w:t>
            </w:r>
            <w:r w:rsidR="003B1866" w:rsidRPr="00E151B3">
              <w:rPr>
                <w:rFonts w:cs="Tahoma"/>
                <w:b/>
                <w:szCs w:val="22"/>
              </w:rPr>
              <w:t>Rapid Assessment</w:t>
            </w:r>
            <w:r w:rsidR="00804852" w:rsidRPr="00E151B3">
              <w:rPr>
                <w:rFonts w:cs="Tahoma"/>
                <w:b/>
                <w:szCs w:val="22"/>
              </w:rPr>
              <w:t xml:space="preserve"> in Ethnic Health Organizations</w:t>
            </w:r>
            <w:r w:rsidR="00DB137D">
              <w:rPr>
                <w:rFonts w:cs="Tahoma"/>
                <w:b/>
                <w:szCs w:val="22"/>
              </w:rPr>
              <w:t xml:space="preserve"> (EHOs)</w:t>
            </w:r>
            <w:r w:rsidR="00D85C8D" w:rsidRPr="00E151B3">
              <w:rPr>
                <w:rFonts w:cs="Tahoma"/>
                <w:b/>
                <w:szCs w:val="22"/>
              </w:rPr>
              <w:t xml:space="preserve"> </w:t>
            </w:r>
            <w:r w:rsidR="0048735F" w:rsidRPr="00E151B3">
              <w:rPr>
                <w:rFonts w:cs="Tahoma"/>
                <w:b/>
                <w:szCs w:val="22"/>
              </w:rPr>
              <w:t>of</w:t>
            </w:r>
            <w:r w:rsidR="00D85C8D" w:rsidRPr="00E151B3">
              <w:rPr>
                <w:rFonts w:cs="Tahoma"/>
                <w:b/>
                <w:szCs w:val="22"/>
              </w:rPr>
              <w:t xml:space="preserve"> Kachin and Shan</w:t>
            </w:r>
          </w:p>
          <w:p w14:paraId="53ADE217" w14:textId="77777777" w:rsidR="00ED05AD" w:rsidRPr="00E151B3" w:rsidRDefault="00ED05AD" w:rsidP="00393A96">
            <w:pPr>
              <w:rPr>
                <w:rFonts w:cs="Tahoma"/>
                <w:szCs w:val="22"/>
              </w:rPr>
            </w:pPr>
          </w:p>
          <w:p w14:paraId="50C76E10" w14:textId="77777777" w:rsidR="008D3A21" w:rsidRPr="00E151B3" w:rsidRDefault="008D3A21" w:rsidP="00393A96">
            <w:pPr>
              <w:rPr>
                <w:rFonts w:cs="Tahoma"/>
                <w:szCs w:val="22"/>
              </w:rPr>
            </w:pPr>
            <w:r w:rsidRPr="00E151B3">
              <w:rPr>
                <w:rFonts w:cs="Tahoma"/>
                <w:b/>
                <w:szCs w:val="22"/>
              </w:rPr>
              <w:t>Section in Charge</w:t>
            </w:r>
            <w:r w:rsidRPr="00E151B3">
              <w:rPr>
                <w:rFonts w:cs="Tahoma"/>
                <w:szCs w:val="22"/>
              </w:rPr>
              <w:t xml:space="preserve">: </w:t>
            </w:r>
            <w:r w:rsidR="000A1035" w:rsidRPr="00E151B3">
              <w:rPr>
                <w:rFonts w:cs="Tahoma"/>
                <w:szCs w:val="22"/>
              </w:rPr>
              <w:t>Health and Nutrition</w:t>
            </w:r>
          </w:p>
          <w:p w14:paraId="0DD63043" w14:textId="77777777" w:rsidR="008D3A21" w:rsidRPr="00E151B3" w:rsidRDefault="008D3A21" w:rsidP="00393A96">
            <w:pPr>
              <w:rPr>
                <w:rFonts w:cs="Tahoma"/>
                <w:szCs w:val="22"/>
              </w:rPr>
            </w:pPr>
          </w:p>
          <w:p w14:paraId="6D0622A6" w14:textId="2C137E14" w:rsidR="000A1035" w:rsidRPr="00E151B3" w:rsidRDefault="0041135D" w:rsidP="0041135D">
            <w:pPr>
              <w:rPr>
                <w:rFonts w:cs="Tahoma"/>
                <w:b/>
                <w:szCs w:val="22"/>
              </w:rPr>
            </w:pPr>
            <w:r w:rsidRPr="00E151B3">
              <w:rPr>
                <w:rFonts w:cs="Tahoma"/>
                <w:b/>
                <w:szCs w:val="22"/>
              </w:rPr>
              <w:t xml:space="preserve">How does the consultancy relate to </w:t>
            </w:r>
            <w:r w:rsidR="004E565F" w:rsidRPr="00E151B3">
              <w:rPr>
                <w:rFonts w:cs="Tahoma"/>
                <w:b/>
                <w:szCs w:val="22"/>
              </w:rPr>
              <w:t>M</w:t>
            </w:r>
            <w:r w:rsidR="00F90027" w:rsidRPr="00E151B3">
              <w:rPr>
                <w:rFonts w:cs="Tahoma"/>
                <w:b/>
                <w:szCs w:val="22"/>
              </w:rPr>
              <w:t>ulti</w:t>
            </w:r>
            <w:r w:rsidR="004E565F" w:rsidRPr="00E151B3">
              <w:rPr>
                <w:rFonts w:cs="Tahoma"/>
                <w:b/>
                <w:szCs w:val="22"/>
              </w:rPr>
              <w:t xml:space="preserve"> Y</w:t>
            </w:r>
            <w:r w:rsidR="00F90027" w:rsidRPr="00E151B3">
              <w:rPr>
                <w:rFonts w:cs="Tahoma"/>
                <w:b/>
                <w:szCs w:val="22"/>
              </w:rPr>
              <w:t xml:space="preserve">ear </w:t>
            </w:r>
            <w:r w:rsidR="004E565F" w:rsidRPr="00E151B3">
              <w:rPr>
                <w:rFonts w:cs="Tahoma"/>
                <w:b/>
                <w:szCs w:val="22"/>
              </w:rPr>
              <w:t>W</w:t>
            </w:r>
            <w:r w:rsidRPr="00E151B3">
              <w:rPr>
                <w:rFonts w:cs="Tahoma"/>
                <w:b/>
                <w:szCs w:val="22"/>
              </w:rPr>
              <w:t xml:space="preserve">ork </w:t>
            </w:r>
            <w:r w:rsidR="004E565F" w:rsidRPr="00E151B3">
              <w:rPr>
                <w:rFonts w:cs="Tahoma"/>
                <w:b/>
                <w:szCs w:val="22"/>
              </w:rPr>
              <w:t>P</w:t>
            </w:r>
            <w:r w:rsidRPr="00E151B3">
              <w:rPr>
                <w:rFonts w:cs="Tahoma"/>
                <w:b/>
                <w:szCs w:val="22"/>
              </w:rPr>
              <w:t>lan</w:t>
            </w:r>
            <w:r w:rsidR="004E565F" w:rsidRPr="00E151B3">
              <w:rPr>
                <w:rFonts w:cs="Tahoma"/>
                <w:b/>
                <w:szCs w:val="22"/>
              </w:rPr>
              <w:t xml:space="preserve"> </w:t>
            </w:r>
            <w:proofErr w:type="gramStart"/>
            <w:r w:rsidR="004E565F" w:rsidRPr="00E151B3">
              <w:rPr>
                <w:rFonts w:cs="Tahoma"/>
                <w:b/>
                <w:szCs w:val="22"/>
              </w:rPr>
              <w:t>202</w:t>
            </w:r>
            <w:r w:rsidR="008E3E59" w:rsidRPr="00E151B3">
              <w:rPr>
                <w:rFonts w:cs="Tahoma"/>
                <w:b/>
                <w:szCs w:val="22"/>
              </w:rPr>
              <w:t>0</w:t>
            </w:r>
            <w:r w:rsidR="004E565F" w:rsidRPr="00E151B3">
              <w:rPr>
                <w:rFonts w:cs="Tahoma"/>
                <w:b/>
                <w:szCs w:val="22"/>
              </w:rPr>
              <w:t>-2021</w:t>
            </w:r>
            <w:r w:rsidRPr="00E151B3">
              <w:rPr>
                <w:rFonts w:cs="Tahoma"/>
                <w:b/>
                <w:szCs w:val="22"/>
              </w:rPr>
              <w:t>:</w:t>
            </w:r>
            <w:proofErr w:type="gramEnd"/>
            <w:r w:rsidR="000A1035" w:rsidRPr="00E151B3">
              <w:rPr>
                <w:rFonts w:cs="Tahoma"/>
                <w:b/>
                <w:szCs w:val="22"/>
              </w:rPr>
              <w:t xml:space="preserve"> </w:t>
            </w:r>
          </w:p>
          <w:p w14:paraId="29A7CC5C" w14:textId="0483776A" w:rsidR="00860A93" w:rsidRPr="00E151B3" w:rsidRDefault="00152E6C" w:rsidP="00393A96">
            <w:pPr>
              <w:rPr>
                <w:rFonts w:cs="Tahoma"/>
                <w:bCs/>
                <w:szCs w:val="22"/>
              </w:rPr>
            </w:pPr>
            <w:r w:rsidRPr="00E151B3">
              <w:rPr>
                <w:rFonts w:cs="Tahoma"/>
                <w:b/>
                <w:szCs w:val="22"/>
              </w:rPr>
              <w:t>0600/A0/05/201/003/010</w:t>
            </w:r>
            <w:r w:rsidRPr="00E151B3">
              <w:rPr>
                <w:rFonts w:cs="Tahoma"/>
                <w:bCs/>
                <w:szCs w:val="22"/>
              </w:rPr>
              <w:t xml:space="preserve">: </w:t>
            </w:r>
            <w:r w:rsidR="00280F62" w:rsidRPr="00E151B3">
              <w:rPr>
                <w:rFonts w:cs="Tahoma"/>
                <w:bCs/>
                <w:szCs w:val="22"/>
              </w:rPr>
              <w:t xml:space="preserve">Support Capacity Development in Reaching Equitable Access to </w:t>
            </w:r>
            <w:r w:rsidR="00676277">
              <w:rPr>
                <w:rFonts w:cs="Tahoma"/>
                <w:bCs/>
                <w:szCs w:val="22"/>
              </w:rPr>
              <w:t xml:space="preserve">Reproductive, Maternal, </w:t>
            </w:r>
            <w:proofErr w:type="spellStart"/>
            <w:r w:rsidR="00676277">
              <w:rPr>
                <w:rFonts w:cs="Tahoma"/>
                <w:bCs/>
                <w:szCs w:val="22"/>
              </w:rPr>
              <w:t>Newborn</w:t>
            </w:r>
            <w:proofErr w:type="spellEnd"/>
            <w:r w:rsidR="00676277">
              <w:rPr>
                <w:rFonts w:cs="Tahoma"/>
                <w:bCs/>
                <w:szCs w:val="22"/>
              </w:rPr>
              <w:t>, Child</w:t>
            </w:r>
            <w:r w:rsidR="002F2691">
              <w:rPr>
                <w:rFonts w:cs="Tahoma"/>
                <w:bCs/>
                <w:szCs w:val="22"/>
              </w:rPr>
              <w:t xml:space="preserve"> and Adolescent</w:t>
            </w:r>
            <w:r w:rsidR="00676277">
              <w:rPr>
                <w:rFonts w:cs="Tahoma"/>
                <w:bCs/>
                <w:szCs w:val="22"/>
              </w:rPr>
              <w:t xml:space="preserve"> Health (</w:t>
            </w:r>
            <w:r w:rsidR="00280F62" w:rsidRPr="00E151B3">
              <w:rPr>
                <w:rFonts w:cs="Tahoma"/>
                <w:bCs/>
                <w:szCs w:val="22"/>
              </w:rPr>
              <w:t>RMNC</w:t>
            </w:r>
            <w:r w:rsidR="002F2691">
              <w:rPr>
                <w:rFonts w:cs="Tahoma"/>
                <w:bCs/>
                <w:szCs w:val="22"/>
              </w:rPr>
              <w:t>A</w:t>
            </w:r>
            <w:r w:rsidR="00280F62" w:rsidRPr="00E151B3">
              <w:rPr>
                <w:rFonts w:cs="Tahoma"/>
                <w:bCs/>
                <w:szCs w:val="22"/>
              </w:rPr>
              <w:t>H</w:t>
            </w:r>
            <w:r w:rsidR="00676277">
              <w:rPr>
                <w:rFonts w:cs="Tahoma"/>
                <w:bCs/>
                <w:szCs w:val="22"/>
              </w:rPr>
              <w:t>)</w:t>
            </w:r>
            <w:r w:rsidR="00280F62" w:rsidRPr="00E151B3">
              <w:rPr>
                <w:rFonts w:cs="Tahoma"/>
                <w:bCs/>
                <w:szCs w:val="22"/>
              </w:rPr>
              <w:t xml:space="preserve"> &amp; Nutrition Services in ethnic and hard-to-reach communities in </w:t>
            </w:r>
            <w:r w:rsidR="00280F62" w:rsidRPr="00E151B3">
              <w:rPr>
                <w:rFonts w:cs="Tahoma"/>
                <w:b/>
                <w:szCs w:val="22"/>
              </w:rPr>
              <w:t>Kachin</w:t>
            </w:r>
          </w:p>
          <w:p w14:paraId="25CB7BBB" w14:textId="1E713482" w:rsidR="00280F62" w:rsidRPr="00E151B3" w:rsidRDefault="00F922D8" w:rsidP="00393A96">
            <w:pPr>
              <w:rPr>
                <w:rFonts w:cs="Tahoma"/>
                <w:bCs/>
                <w:szCs w:val="22"/>
              </w:rPr>
            </w:pPr>
            <w:r w:rsidRPr="00E151B3">
              <w:rPr>
                <w:rFonts w:cs="Tahoma"/>
                <w:b/>
                <w:szCs w:val="22"/>
              </w:rPr>
              <w:t>0600/A0/05/201/003/011</w:t>
            </w:r>
            <w:r w:rsidRPr="00E151B3">
              <w:rPr>
                <w:rFonts w:cs="Tahoma"/>
                <w:bCs/>
                <w:szCs w:val="22"/>
              </w:rPr>
              <w:t>: Support Capacity Development in Reaching Equitable Access to RMN</w:t>
            </w:r>
            <w:r w:rsidR="002F2691">
              <w:rPr>
                <w:rFonts w:cs="Tahoma"/>
                <w:bCs/>
                <w:szCs w:val="22"/>
              </w:rPr>
              <w:t>C</w:t>
            </w:r>
            <w:r w:rsidRPr="00E151B3">
              <w:rPr>
                <w:rFonts w:cs="Tahoma"/>
                <w:bCs/>
                <w:szCs w:val="22"/>
              </w:rPr>
              <w:t xml:space="preserve">AH &amp; Nutrition Services in ethnic and hard-to-reach communities in </w:t>
            </w:r>
            <w:r w:rsidRPr="00E151B3">
              <w:rPr>
                <w:rFonts w:cs="Tahoma"/>
                <w:b/>
                <w:szCs w:val="22"/>
              </w:rPr>
              <w:t>northern and eastern Shan</w:t>
            </w:r>
            <w:r w:rsidRPr="00E151B3">
              <w:rPr>
                <w:rFonts w:cs="Tahoma"/>
                <w:bCs/>
                <w:szCs w:val="22"/>
              </w:rPr>
              <w:t xml:space="preserve"> </w:t>
            </w:r>
          </w:p>
          <w:p w14:paraId="323661DC" w14:textId="77777777" w:rsidR="003D79E6" w:rsidRPr="00E151B3" w:rsidRDefault="003D79E6" w:rsidP="00393A96">
            <w:pPr>
              <w:rPr>
                <w:rFonts w:cs="Tahoma"/>
                <w:b/>
                <w:szCs w:val="22"/>
              </w:rPr>
            </w:pPr>
          </w:p>
          <w:p w14:paraId="6EF29A57" w14:textId="2F38F3EC" w:rsidR="00726A4B" w:rsidRPr="00E151B3" w:rsidRDefault="00ED05AD" w:rsidP="00393A96">
            <w:pPr>
              <w:rPr>
                <w:rFonts w:cs="Tahoma"/>
                <w:szCs w:val="22"/>
              </w:rPr>
            </w:pPr>
            <w:r w:rsidRPr="00E151B3">
              <w:rPr>
                <w:rFonts w:cs="Tahoma"/>
                <w:b/>
                <w:szCs w:val="22"/>
              </w:rPr>
              <w:t>Outcome</w:t>
            </w:r>
            <w:r w:rsidR="00C11957" w:rsidRPr="00E151B3">
              <w:rPr>
                <w:rFonts w:cs="Tahoma"/>
                <w:b/>
                <w:szCs w:val="22"/>
              </w:rPr>
              <w:t xml:space="preserve"> reference</w:t>
            </w:r>
            <w:r w:rsidR="00C11957" w:rsidRPr="00E151B3">
              <w:rPr>
                <w:rFonts w:cs="Tahoma"/>
                <w:szCs w:val="22"/>
              </w:rPr>
              <w:t xml:space="preserve">: </w:t>
            </w:r>
            <w:r w:rsidR="00602AD5" w:rsidRPr="00E151B3">
              <w:rPr>
                <w:rFonts w:cs="Tahoma"/>
                <w:szCs w:val="22"/>
              </w:rPr>
              <w:t>0600/A0/05/201</w:t>
            </w:r>
          </w:p>
          <w:p w14:paraId="6C17DD3C" w14:textId="77777777" w:rsidR="009C589D" w:rsidRPr="00E151B3" w:rsidRDefault="000A1035" w:rsidP="00393A96">
            <w:pPr>
              <w:rPr>
                <w:rFonts w:cs="Tahoma"/>
                <w:szCs w:val="22"/>
              </w:rPr>
            </w:pPr>
            <w:r w:rsidRPr="00E151B3">
              <w:rPr>
                <w:rFonts w:cs="Tahoma"/>
                <w:szCs w:val="22"/>
              </w:rPr>
              <w:t>By 2022, more children under five and women of reproductive age equitably access and utilize evidence-based health, HIV &amp; nutrition interventions, including adoption of key behaviours, especially among vulnerable populations in most deprived states/ regions, conflict-affected and peri-urban areas</w:t>
            </w:r>
          </w:p>
          <w:p w14:paraId="6A8F3AB5" w14:textId="1741CE4D" w:rsidR="00C11957" w:rsidRPr="00E151B3" w:rsidRDefault="009114FF" w:rsidP="00AC1BA0">
            <w:pPr>
              <w:rPr>
                <w:rFonts w:cs="Tahoma"/>
                <w:szCs w:val="22"/>
              </w:rPr>
            </w:pPr>
            <w:r w:rsidRPr="00E151B3">
              <w:rPr>
                <w:rFonts w:cs="Tahoma"/>
                <w:b/>
                <w:szCs w:val="22"/>
              </w:rPr>
              <w:t>Output reference</w:t>
            </w:r>
            <w:r w:rsidRPr="00E151B3">
              <w:rPr>
                <w:rFonts w:cs="Tahoma"/>
                <w:szCs w:val="22"/>
              </w:rPr>
              <w:t xml:space="preserve">: </w:t>
            </w:r>
            <w:r w:rsidR="00602AD5" w:rsidRPr="00E151B3">
              <w:rPr>
                <w:rFonts w:cs="Tahoma"/>
                <w:szCs w:val="22"/>
              </w:rPr>
              <w:t>0600/A0/05/201/003</w:t>
            </w:r>
          </w:p>
          <w:p w14:paraId="13CC31F6" w14:textId="7EC337C6" w:rsidR="000C55E9" w:rsidRPr="00E151B3" w:rsidRDefault="006625CC" w:rsidP="00AC1BA0">
            <w:pPr>
              <w:rPr>
                <w:rFonts w:cs="Tahoma"/>
                <w:szCs w:val="22"/>
              </w:rPr>
            </w:pPr>
            <w:r w:rsidRPr="00E151B3">
              <w:rPr>
                <w:rFonts w:cs="Tahoma"/>
                <w:szCs w:val="22"/>
              </w:rPr>
              <w:t xml:space="preserve">By 2022, national and sub national health care institutions and  front-line health workers have improved capacity to reach more vulnerable populations with quality immunization and </w:t>
            </w:r>
            <w:r w:rsidR="002F2691">
              <w:rPr>
                <w:rFonts w:cs="Tahoma"/>
                <w:szCs w:val="22"/>
              </w:rPr>
              <w:t xml:space="preserve">maternal </w:t>
            </w:r>
            <w:proofErr w:type="spellStart"/>
            <w:r w:rsidR="002F2691">
              <w:rPr>
                <w:rFonts w:cs="Tahoma"/>
                <w:szCs w:val="22"/>
              </w:rPr>
              <w:t>newborn</w:t>
            </w:r>
            <w:proofErr w:type="spellEnd"/>
            <w:r w:rsidR="002F2691">
              <w:rPr>
                <w:rFonts w:cs="Tahoma"/>
                <w:szCs w:val="22"/>
              </w:rPr>
              <w:t xml:space="preserve"> and child health (</w:t>
            </w:r>
            <w:r w:rsidRPr="00E151B3">
              <w:rPr>
                <w:rFonts w:cs="Tahoma"/>
                <w:szCs w:val="22"/>
              </w:rPr>
              <w:t>MNCH</w:t>
            </w:r>
            <w:r w:rsidR="002F2691">
              <w:rPr>
                <w:rFonts w:cs="Tahoma"/>
                <w:szCs w:val="22"/>
              </w:rPr>
              <w:t>)</w:t>
            </w:r>
            <w:r w:rsidRPr="00E151B3">
              <w:rPr>
                <w:rFonts w:cs="Tahoma"/>
                <w:szCs w:val="22"/>
              </w:rPr>
              <w:t xml:space="preserve"> (including </w:t>
            </w:r>
            <w:r w:rsidR="002F2691">
              <w:rPr>
                <w:rFonts w:cs="Tahoma"/>
                <w:szCs w:val="22"/>
              </w:rPr>
              <w:t>prevention of mother to child transmission (</w:t>
            </w:r>
            <w:r w:rsidRPr="00E151B3">
              <w:rPr>
                <w:rFonts w:cs="Tahoma"/>
                <w:szCs w:val="22"/>
              </w:rPr>
              <w:t>PMTCT</w:t>
            </w:r>
            <w:r w:rsidR="002F2691">
              <w:rPr>
                <w:rFonts w:cs="Tahoma"/>
                <w:szCs w:val="22"/>
              </w:rPr>
              <w:t>)</w:t>
            </w:r>
            <w:r w:rsidRPr="00E151B3">
              <w:rPr>
                <w:rFonts w:cs="Tahoma"/>
                <w:szCs w:val="22"/>
              </w:rPr>
              <w:t>) services in at least four most deprived States/Regions and in conflict, disaster affected and peri-urban areas in Yangon</w:t>
            </w:r>
          </w:p>
          <w:p w14:paraId="1BA555AE" w14:textId="77777777" w:rsidR="00897EBC" w:rsidRPr="00E151B3" w:rsidRDefault="00897EBC" w:rsidP="00AC1BA0">
            <w:pPr>
              <w:rPr>
                <w:rFonts w:cs="Tahoma"/>
                <w:b/>
                <w:szCs w:val="22"/>
              </w:rPr>
            </w:pPr>
          </w:p>
        </w:tc>
      </w:tr>
      <w:tr w:rsidR="005077B5" w:rsidRPr="00E151B3" w14:paraId="4F9C20D2" w14:textId="77777777" w:rsidTr="103807B0">
        <w:trPr>
          <w:trHeight w:val="1250"/>
        </w:trPr>
        <w:tc>
          <w:tcPr>
            <w:tcW w:w="10260" w:type="dxa"/>
            <w:gridSpan w:val="3"/>
          </w:tcPr>
          <w:p w14:paraId="69209D62" w14:textId="77777777" w:rsidR="005077B5" w:rsidRPr="00E151B3" w:rsidRDefault="005077B5" w:rsidP="002B0969">
            <w:pPr>
              <w:pStyle w:val="ListParagraph"/>
              <w:numPr>
                <w:ilvl w:val="0"/>
                <w:numId w:val="7"/>
              </w:numPr>
              <w:ind w:left="342" w:hanging="342"/>
            </w:pPr>
            <w:r w:rsidRPr="00E151B3">
              <w:t>Background:</w:t>
            </w:r>
          </w:p>
          <w:p w14:paraId="33544412" w14:textId="63B584E4" w:rsidR="00CA5D2B" w:rsidRPr="00E151B3" w:rsidRDefault="00CA5D2B" w:rsidP="00CA5D2B">
            <w:pPr>
              <w:rPr>
                <w:rFonts w:eastAsiaTheme="minorEastAsia" w:cstheme="minorHAnsi"/>
                <w:lang w:eastAsia="en-GB"/>
              </w:rPr>
            </w:pPr>
            <w:r w:rsidRPr="00E151B3">
              <w:rPr>
                <w:rFonts w:eastAsiaTheme="minorEastAsia" w:cstheme="minorHAnsi"/>
                <w:lang w:eastAsia="en-GB"/>
              </w:rPr>
              <w:t xml:space="preserve">According to Myanmar </w:t>
            </w:r>
            <w:r w:rsidR="00A14004">
              <w:rPr>
                <w:rFonts w:eastAsiaTheme="minorEastAsia" w:cstheme="minorHAnsi"/>
                <w:lang w:eastAsia="en-GB"/>
              </w:rPr>
              <w:t>Demographic and Health Survey (</w:t>
            </w:r>
            <w:r w:rsidRPr="00E151B3">
              <w:rPr>
                <w:rFonts w:eastAsiaTheme="minorEastAsia" w:cstheme="minorHAnsi"/>
                <w:lang w:eastAsia="en-GB"/>
              </w:rPr>
              <w:t>DHS</w:t>
            </w:r>
            <w:r w:rsidR="00A14004">
              <w:rPr>
                <w:rFonts w:eastAsiaTheme="minorEastAsia" w:cstheme="minorHAnsi"/>
                <w:lang w:eastAsia="en-GB"/>
              </w:rPr>
              <w:t>)</w:t>
            </w:r>
            <w:r w:rsidRPr="00E151B3">
              <w:rPr>
                <w:rFonts w:eastAsiaTheme="minorEastAsia" w:cstheme="minorHAnsi"/>
                <w:lang w:eastAsia="en-GB"/>
              </w:rPr>
              <w:t xml:space="preserve"> 2015-16, health status of women and children in Kachin and Shan, as represented by maternal mortality ratio (MMR), neonatal mortality rate (NMR) and under-five mortality rate (U5MR), are above national averages, with disparities and pockets</w:t>
            </w:r>
            <w:r w:rsidR="00D33A3A" w:rsidRPr="00E151B3">
              <w:rPr>
                <w:rFonts w:eastAsiaTheme="minorEastAsia" w:cstheme="minorHAnsi"/>
                <w:lang w:eastAsia="en-GB"/>
              </w:rPr>
              <w:t xml:space="preserve">. </w:t>
            </w:r>
            <w:r w:rsidRPr="00E151B3">
              <w:rPr>
                <w:rFonts w:eastAsiaTheme="minorEastAsia" w:cstheme="minorHAnsi"/>
                <w:lang w:eastAsia="en-GB"/>
              </w:rPr>
              <w:t xml:space="preserve">Although wasting and stunting in both States are comparable to national averages, elevated conflict in these areas can easily exacerbate the situation, affecting mortality burden. </w:t>
            </w:r>
          </w:p>
          <w:p w14:paraId="7322DBB4" w14:textId="77777777" w:rsidR="00CA5D2B" w:rsidRPr="00E151B3" w:rsidRDefault="00CA5D2B" w:rsidP="00CA5D2B">
            <w:pPr>
              <w:rPr>
                <w:rFonts w:cstheme="minorHAnsi"/>
              </w:rPr>
            </w:pPr>
          </w:p>
          <w:p w14:paraId="1B538CF1" w14:textId="3CC2257D" w:rsidR="00CA5D2B" w:rsidRPr="00E151B3" w:rsidRDefault="00CA5D2B" w:rsidP="00CA5D2B">
            <w:pPr>
              <w:rPr>
                <w:rFonts w:eastAsiaTheme="minorEastAsia" w:cstheme="minorHAnsi"/>
                <w:lang w:eastAsia="en-GB"/>
              </w:rPr>
            </w:pPr>
            <w:r w:rsidRPr="00E151B3">
              <w:rPr>
                <w:rFonts w:eastAsiaTheme="minorEastAsia" w:cstheme="minorHAnsi"/>
                <w:lang w:eastAsia="en-GB"/>
              </w:rPr>
              <w:t xml:space="preserve">Major underlying causes of maternal and U5 mortality in these states/regions include lack of access to essential, quality health interventions across the continuum of care, given protracted conflict and geographical vastness/remoteness. Knowledge and behaviours on health and care, including nutrition and hygiene are also limited. Special regions in Kachin and Shan have vulnerabilities linked to years of conflict which has debilitated basic social services and systems. Figure 2 shows current health system characteristics in 5 special regions, that have been shaped by their local context. In recent years, dialogue between </w:t>
            </w:r>
            <w:r w:rsidR="00DB137D">
              <w:rPr>
                <w:rFonts w:eastAsiaTheme="minorEastAsia" w:cstheme="minorHAnsi"/>
                <w:lang w:eastAsia="en-GB"/>
              </w:rPr>
              <w:t>ministry of health and sports (</w:t>
            </w:r>
            <w:r w:rsidRPr="00E151B3">
              <w:rPr>
                <w:rFonts w:eastAsiaTheme="minorEastAsia" w:cstheme="minorHAnsi"/>
                <w:lang w:eastAsia="en-GB"/>
              </w:rPr>
              <w:t>MOHS</w:t>
            </w:r>
            <w:r w:rsidR="00DB137D">
              <w:rPr>
                <w:rFonts w:eastAsiaTheme="minorEastAsia" w:cstheme="minorHAnsi"/>
                <w:lang w:eastAsia="en-GB"/>
              </w:rPr>
              <w:t>)</w:t>
            </w:r>
            <w:r w:rsidRPr="00E151B3">
              <w:rPr>
                <w:rFonts w:eastAsiaTheme="minorEastAsia" w:cstheme="minorHAnsi"/>
                <w:lang w:eastAsia="en-GB"/>
              </w:rPr>
              <w:t xml:space="preserve"> and EHO (facilitated by partners like </w:t>
            </w:r>
            <w:r w:rsidR="00DB137D">
              <w:rPr>
                <w:rFonts w:eastAsiaTheme="minorEastAsia" w:cstheme="minorHAnsi"/>
                <w:lang w:eastAsia="en-GB"/>
              </w:rPr>
              <w:t>health poverty action (</w:t>
            </w:r>
            <w:r w:rsidRPr="00E151B3">
              <w:rPr>
                <w:rFonts w:eastAsiaTheme="minorEastAsia" w:cstheme="minorHAnsi"/>
                <w:lang w:eastAsia="en-GB"/>
              </w:rPr>
              <w:t>HPA</w:t>
            </w:r>
            <w:r w:rsidR="00DB137D">
              <w:rPr>
                <w:rFonts w:eastAsiaTheme="minorEastAsia" w:cstheme="minorHAnsi"/>
                <w:lang w:eastAsia="en-GB"/>
              </w:rPr>
              <w:t>)</w:t>
            </w:r>
            <w:r w:rsidRPr="00E151B3">
              <w:rPr>
                <w:rFonts w:eastAsiaTheme="minorEastAsia" w:cstheme="minorHAnsi"/>
                <w:lang w:eastAsia="en-GB"/>
              </w:rPr>
              <w:t xml:space="preserve">) has improved, providing the opportunity for further collaboration and system-to-system linkages – which the proposed </w:t>
            </w:r>
            <w:r w:rsidR="005C7337">
              <w:rPr>
                <w:rFonts w:eastAsiaTheme="minorEastAsia" w:cstheme="minorHAnsi"/>
                <w:lang w:eastAsia="en-GB"/>
              </w:rPr>
              <w:t xml:space="preserve">RMNCAH </w:t>
            </w:r>
            <w:r w:rsidRPr="00E151B3">
              <w:rPr>
                <w:rFonts w:eastAsiaTheme="minorEastAsia" w:cstheme="minorHAnsi"/>
                <w:lang w:eastAsia="en-GB"/>
              </w:rPr>
              <w:t>programme will build upon and strengthen.</w:t>
            </w:r>
          </w:p>
          <w:p w14:paraId="6F52B976" w14:textId="77777777" w:rsidR="00CA5D2B" w:rsidRPr="00E151B3" w:rsidRDefault="00CA5D2B" w:rsidP="00CA5D2B">
            <w:pPr>
              <w:rPr>
                <w:rFonts w:eastAsiaTheme="minorEastAsia" w:cstheme="minorHAnsi"/>
                <w:lang w:eastAsia="en-GB"/>
              </w:rPr>
            </w:pPr>
          </w:p>
          <w:p w14:paraId="53A1E1BF" w14:textId="77777777" w:rsidR="00CA5D2B" w:rsidRPr="00E151B3" w:rsidRDefault="00CA5D2B" w:rsidP="00CA5D2B">
            <w:pPr>
              <w:rPr>
                <w:rFonts w:eastAsiaTheme="minorEastAsia" w:cstheme="minorHAnsi"/>
                <w:lang w:eastAsia="en-GB"/>
              </w:rPr>
            </w:pPr>
          </w:p>
          <w:p w14:paraId="045E3C39" w14:textId="77777777" w:rsidR="00CA5D2B" w:rsidRPr="00E151B3" w:rsidRDefault="00CA5D2B" w:rsidP="00CA5D2B">
            <w:pPr>
              <w:rPr>
                <w:rFonts w:eastAsiaTheme="minorEastAsia" w:cstheme="minorHAnsi"/>
                <w:lang w:eastAsia="en-GB"/>
              </w:rPr>
            </w:pPr>
          </w:p>
          <w:p w14:paraId="2E391666" w14:textId="77777777" w:rsidR="00CA5D2B" w:rsidRPr="00E151B3" w:rsidRDefault="00CA5D2B" w:rsidP="00CA5D2B">
            <w:pPr>
              <w:rPr>
                <w:rFonts w:eastAsiaTheme="minorEastAsia" w:cstheme="minorHAnsi"/>
                <w:lang w:eastAsia="en-GB"/>
              </w:rPr>
            </w:pPr>
          </w:p>
          <w:p w14:paraId="5F1D09AA" w14:textId="77777777" w:rsidR="00CA5D2B" w:rsidRPr="00E151B3" w:rsidRDefault="00CA5D2B" w:rsidP="00CA5D2B">
            <w:pPr>
              <w:jc w:val="center"/>
              <w:rPr>
                <w:rFonts w:eastAsiaTheme="minorEastAsia" w:cstheme="minorHAnsi"/>
                <w:lang w:eastAsia="en-GB"/>
              </w:rPr>
            </w:pPr>
          </w:p>
          <w:p w14:paraId="7808AAF3" w14:textId="77777777" w:rsidR="00CA5D2B" w:rsidRPr="00E151B3" w:rsidRDefault="00CA5D2B" w:rsidP="00CA5D2B">
            <w:pPr>
              <w:rPr>
                <w:rFonts w:eastAsiaTheme="minorEastAsia" w:cstheme="minorHAnsi"/>
                <w:lang w:eastAsia="en-GB"/>
              </w:rPr>
            </w:pPr>
          </w:p>
          <w:p w14:paraId="7F933791" w14:textId="77777777" w:rsidR="00CA5D2B" w:rsidRPr="00E151B3" w:rsidRDefault="00CA5D2B" w:rsidP="00CA5D2B">
            <w:pPr>
              <w:rPr>
                <w:rFonts w:eastAsiaTheme="minorEastAsia" w:cstheme="minorHAnsi"/>
                <w:lang w:eastAsia="en-GB"/>
              </w:rPr>
            </w:pPr>
          </w:p>
          <w:p w14:paraId="4DC7A94A" w14:textId="77777777" w:rsidR="00CA5D2B" w:rsidRPr="00E151B3" w:rsidRDefault="00CA5D2B" w:rsidP="00CA5D2B">
            <w:pPr>
              <w:rPr>
                <w:rFonts w:eastAsiaTheme="minorEastAsia" w:cstheme="minorHAnsi"/>
                <w:lang w:eastAsia="en-GB"/>
              </w:rPr>
            </w:pPr>
          </w:p>
          <w:p w14:paraId="7FB66035" w14:textId="77777777" w:rsidR="00CA5D2B" w:rsidRPr="00E151B3" w:rsidRDefault="00CA5D2B" w:rsidP="00CA5D2B">
            <w:pPr>
              <w:rPr>
                <w:rFonts w:eastAsiaTheme="minorEastAsia" w:cstheme="minorHAnsi"/>
                <w:lang w:eastAsia="en-GB"/>
              </w:rPr>
            </w:pPr>
            <w:r w:rsidRPr="00E151B3">
              <w:rPr>
                <w:noProof/>
              </w:rPr>
              <w:lastRenderedPageBreak/>
              <w:drawing>
                <wp:inline distT="0" distB="0" distL="0" distR="0" wp14:anchorId="7BB76480" wp14:editId="0570504E">
                  <wp:extent cx="6407832" cy="3143250"/>
                  <wp:effectExtent l="0" t="0" r="0" b="0"/>
                  <wp:docPr id="1660677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407832" cy="3143250"/>
                          </a:xfrm>
                          <a:prstGeom prst="rect">
                            <a:avLst/>
                          </a:prstGeom>
                        </pic:spPr>
                      </pic:pic>
                    </a:graphicData>
                  </a:graphic>
                </wp:inline>
              </w:drawing>
            </w:r>
          </w:p>
          <w:p w14:paraId="1295D9C7" w14:textId="77777777" w:rsidR="00CA5D2B" w:rsidRPr="00E151B3" w:rsidRDefault="00CA5D2B" w:rsidP="00CA5D2B">
            <w:pPr>
              <w:rPr>
                <w:rFonts w:cstheme="minorHAnsi"/>
                <w:color w:val="000000" w:themeColor="text1"/>
              </w:rPr>
            </w:pPr>
            <w:r w:rsidRPr="00E151B3">
              <w:rPr>
                <w:rFonts w:eastAsiaTheme="minorEastAsia" w:cstheme="minorHAnsi"/>
                <w:lang w:eastAsia="en-GB"/>
              </w:rPr>
              <w:t>An HPA survey in</w:t>
            </w:r>
            <w:r w:rsidRPr="00E151B3">
              <w:rPr>
                <w:rFonts w:cstheme="minorHAnsi"/>
                <w:color w:val="000000" w:themeColor="text1"/>
              </w:rPr>
              <w:t xml:space="preserve"> 2016 showed that overall special regions have much lower health service coverage compared to state and national averages (Figure 3). </w:t>
            </w:r>
          </w:p>
          <w:p w14:paraId="19D058F9" w14:textId="77777777" w:rsidR="00CA5D2B" w:rsidRPr="00E151B3" w:rsidRDefault="00CA5D2B" w:rsidP="00CA5D2B">
            <w:pPr>
              <w:rPr>
                <w:rFonts w:cstheme="minorHAnsi"/>
                <w:color w:val="000000" w:themeColor="text1"/>
              </w:rPr>
            </w:pPr>
          </w:p>
          <w:p w14:paraId="68F20C57" w14:textId="77777777" w:rsidR="00CA5D2B" w:rsidRPr="00E151B3" w:rsidRDefault="00CA5D2B" w:rsidP="00CA5D2B">
            <w:pPr>
              <w:jc w:val="center"/>
              <w:rPr>
                <w:rFonts w:cstheme="minorHAnsi"/>
                <w:color w:val="000000" w:themeColor="text1"/>
              </w:rPr>
            </w:pPr>
            <w:r w:rsidRPr="00E151B3">
              <w:rPr>
                <w:noProof/>
              </w:rPr>
              <w:drawing>
                <wp:inline distT="0" distB="0" distL="0" distR="0" wp14:anchorId="606CC5E9" wp14:editId="0AC471E6">
                  <wp:extent cx="4170045" cy="2414270"/>
                  <wp:effectExtent l="0" t="0" r="1905" b="5080"/>
                  <wp:docPr id="12278164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4170045" cy="2414270"/>
                          </a:xfrm>
                          <a:prstGeom prst="rect">
                            <a:avLst/>
                          </a:prstGeom>
                        </pic:spPr>
                      </pic:pic>
                    </a:graphicData>
                  </a:graphic>
                </wp:inline>
              </w:drawing>
            </w:r>
          </w:p>
          <w:p w14:paraId="28D0552D" w14:textId="77777777" w:rsidR="00CA5D2B" w:rsidRPr="00E151B3" w:rsidRDefault="00CA5D2B" w:rsidP="00CA5D2B">
            <w:pPr>
              <w:rPr>
                <w:rFonts w:cstheme="minorHAnsi"/>
                <w:color w:val="000000" w:themeColor="text1"/>
              </w:rPr>
            </w:pPr>
          </w:p>
          <w:p w14:paraId="5B606494" w14:textId="77777777" w:rsidR="00CA5D2B" w:rsidRPr="00E151B3" w:rsidRDefault="00CA5D2B" w:rsidP="00CA5D2B">
            <w:pPr>
              <w:rPr>
                <w:rFonts w:cstheme="minorHAnsi"/>
                <w:color w:val="000000" w:themeColor="text1"/>
              </w:rPr>
            </w:pPr>
          </w:p>
          <w:p w14:paraId="714AC90B" w14:textId="6C02BD8E" w:rsidR="00405B72" w:rsidRPr="00E151B3" w:rsidRDefault="00CA5D2B" w:rsidP="00CA5D2B">
            <w:pPr>
              <w:rPr>
                <w:rFonts w:eastAsiaTheme="minorEastAsia" w:cstheme="minorHAnsi"/>
                <w:lang w:eastAsia="en-GB"/>
              </w:rPr>
            </w:pPr>
            <w:r w:rsidRPr="00E151B3">
              <w:rPr>
                <w:rFonts w:eastAsiaTheme="minorEastAsia" w:cstheme="minorHAnsi"/>
                <w:lang w:eastAsia="en-GB"/>
              </w:rPr>
              <w:t xml:space="preserve">To tackle access to health issues in vulnerable areas of Kachin and Shan, UNICEF, HPA along with 3 EHOs and 1 </w:t>
            </w:r>
            <w:r w:rsidR="00DB137D">
              <w:rPr>
                <w:rFonts w:eastAsiaTheme="minorEastAsia" w:cstheme="minorHAnsi"/>
                <w:lang w:eastAsia="en-GB"/>
              </w:rPr>
              <w:t>civil society organization (</w:t>
            </w:r>
            <w:r w:rsidRPr="00E151B3">
              <w:rPr>
                <w:rFonts w:eastAsiaTheme="minorEastAsia" w:cstheme="minorHAnsi"/>
                <w:lang w:eastAsia="en-GB"/>
              </w:rPr>
              <w:t>CSO</w:t>
            </w:r>
            <w:r w:rsidR="00DB137D">
              <w:rPr>
                <w:rFonts w:eastAsiaTheme="minorEastAsia" w:cstheme="minorHAnsi"/>
                <w:lang w:eastAsia="en-GB"/>
              </w:rPr>
              <w:t>)</w:t>
            </w:r>
            <w:r w:rsidRPr="00E151B3">
              <w:rPr>
                <w:rFonts w:eastAsiaTheme="minorEastAsia" w:cstheme="minorHAnsi"/>
                <w:lang w:eastAsia="en-GB"/>
              </w:rPr>
              <w:t xml:space="preserve"> have decided to work and coordinate together under the </w:t>
            </w:r>
            <w:r w:rsidR="00876ED6" w:rsidRPr="00E151B3">
              <w:rPr>
                <w:rFonts w:eastAsiaTheme="minorEastAsia" w:cstheme="minorHAnsi"/>
                <w:lang w:eastAsia="en-GB"/>
              </w:rPr>
              <w:t>Access to Health Fund</w:t>
            </w:r>
            <w:r w:rsidR="00532A3E" w:rsidRPr="00E151B3">
              <w:rPr>
                <w:rFonts w:eastAsiaTheme="minorEastAsia" w:cstheme="minorHAnsi"/>
                <w:lang w:eastAsia="en-GB"/>
              </w:rPr>
              <w:t xml:space="preserve"> (ACCESS)</w:t>
            </w:r>
            <w:r w:rsidRPr="00E151B3">
              <w:rPr>
                <w:rFonts w:eastAsiaTheme="minorEastAsia" w:cstheme="minorHAnsi"/>
                <w:lang w:eastAsia="en-GB"/>
              </w:rPr>
              <w:t xml:space="preserve">. The programme will cover 19 townships where 5 special regions are located. UNICEF will provide </w:t>
            </w:r>
            <w:r w:rsidR="00532A3E" w:rsidRPr="00E151B3">
              <w:rPr>
                <w:rFonts w:eastAsiaTheme="minorEastAsia" w:cstheme="minorHAnsi"/>
                <w:lang w:eastAsia="en-GB"/>
              </w:rPr>
              <w:t xml:space="preserve">a </w:t>
            </w:r>
            <w:r w:rsidRPr="00E151B3">
              <w:rPr>
                <w:rFonts w:eastAsiaTheme="minorEastAsia" w:cstheme="minorHAnsi"/>
                <w:lang w:eastAsia="en-GB"/>
              </w:rPr>
              <w:t xml:space="preserve">technical assistance role to HPA, with HPA as direct implementing partners of </w:t>
            </w:r>
            <w:r w:rsidR="00532A3E" w:rsidRPr="00E151B3">
              <w:rPr>
                <w:rFonts w:eastAsiaTheme="minorEastAsia" w:cstheme="minorHAnsi"/>
                <w:lang w:eastAsia="en-GB"/>
              </w:rPr>
              <w:t xml:space="preserve">ACCESS </w:t>
            </w:r>
            <w:r w:rsidRPr="00E151B3">
              <w:rPr>
                <w:rFonts w:eastAsiaTheme="minorEastAsia" w:cstheme="minorHAnsi"/>
                <w:lang w:eastAsia="en-GB"/>
              </w:rPr>
              <w:t>activities in collaboration with EHOs. The proposed</w:t>
            </w:r>
            <w:r w:rsidR="005C7337">
              <w:rPr>
                <w:rFonts w:eastAsiaTheme="minorEastAsia" w:cstheme="minorHAnsi"/>
                <w:lang w:eastAsia="en-GB"/>
              </w:rPr>
              <w:t xml:space="preserve"> RMNCAH</w:t>
            </w:r>
            <w:r w:rsidR="00532A3E" w:rsidRPr="00E151B3">
              <w:rPr>
                <w:rFonts w:eastAsiaTheme="minorEastAsia" w:cstheme="minorHAnsi"/>
                <w:lang w:eastAsia="en-GB"/>
              </w:rPr>
              <w:t xml:space="preserve"> </w:t>
            </w:r>
            <w:r w:rsidRPr="00E151B3">
              <w:rPr>
                <w:rFonts w:eastAsiaTheme="minorEastAsia" w:cstheme="minorHAnsi"/>
                <w:lang w:eastAsia="en-GB"/>
              </w:rPr>
              <w:t>programme aims to address specific supply and demand side barriers to health services access and utilisation.</w:t>
            </w:r>
          </w:p>
          <w:p w14:paraId="23D4D7E4" w14:textId="376AFB8D" w:rsidR="00645DAB" w:rsidRPr="00E151B3" w:rsidRDefault="00645DAB" w:rsidP="00CA5D2B">
            <w:pPr>
              <w:rPr>
                <w:rFonts w:eastAsiaTheme="minorEastAsia" w:cstheme="minorHAnsi"/>
                <w:lang w:eastAsia="en-GB"/>
              </w:rPr>
            </w:pPr>
          </w:p>
          <w:p w14:paraId="1471F7AD" w14:textId="264B087E" w:rsidR="006B71F5" w:rsidRPr="00E151B3" w:rsidRDefault="006B71F5" w:rsidP="006B71F5">
            <w:pPr>
              <w:rPr>
                <w:rFonts w:eastAsiaTheme="minorEastAsia" w:cstheme="minorHAnsi"/>
                <w:lang w:eastAsia="en-GB"/>
              </w:rPr>
            </w:pPr>
            <w:r w:rsidRPr="00E151B3">
              <w:rPr>
                <w:rFonts w:eastAsiaTheme="minorEastAsia" w:cstheme="minorHAnsi"/>
                <w:lang w:eastAsia="en-GB"/>
              </w:rPr>
              <w:t xml:space="preserve">In July 2018, an analysis of health access bottlenecks was conducted in consultation with each of the special regions, engaging EHOs, </w:t>
            </w:r>
            <w:r w:rsidR="00DB137D">
              <w:rPr>
                <w:rFonts w:eastAsiaTheme="minorEastAsia" w:cstheme="minorHAnsi"/>
                <w:lang w:eastAsia="en-GB"/>
              </w:rPr>
              <w:t>District Medical Officer (</w:t>
            </w:r>
            <w:r w:rsidRPr="00E151B3">
              <w:rPr>
                <w:rFonts w:eastAsiaTheme="minorEastAsia" w:cstheme="minorHAnsi"/>
                <w:lang w:eastAsia="en-GB"/>
              </w:rPr>
              <w:t>DMO</w:t>
            </w:r>
            <w:r w:rsidR="00DB137D">
              <w:rPr>
                <w:rFonts w:eastAsiaTheme="minorEastAsia" w:cstheme="minorHAnsi"/>
                <w:lang w:eastAsia="en-GB"/>
              </w:rPr>
              <w:t>)</w:t>
            </w:r>
            <w:r w:rsidRPr="00E151B3">
              <w:rPr>
                <w:rFonts w:eastAsiaTheme="minorEastAsia" w:cstheme="minorHAnsi"/>
                <w:lang w:eastAsia="en-GB"/>
              </w:rPr>
              <w:t>/</w:t>
            </w:r>
            <w:r w:rsidR="00DB137D">
              <w:rPr>
                <w:rFonts w:eastAsiaTheme="minorEastAsia" w:cstheme="minorHAnsi"/>
                <w:lang w:eastAsia="en-GB"/>
              </w:rPr>
              <w:t>Township medical Officers (</w:t>
            </w:r>
            <w:r w:rsidRPr="00E151B3">
              <w:rPr>
                <w:rFonts w:eastAsiaTheme="minorEastAsia" w:cstheme="minorHAnsi"/>
                <w:lang w:eastAsia="en-GB"/>
              </w:rPr>
              <w:t>TMOs</w:t>
            </w:r>
            <w:r w:rsidR="00DB137D">
              <w:rPr>
                <w:rFonts w:eastAsiaTheme="minorEastAsia" w:cstheme="minorHAnsi"/>
                <w:lang w:eastAsia="en-GB"/>
              </w:rPr>
              <w:t>)</w:t>
            </w:r>
            <w:r w:rsidRPr="00E151B3">
              <w:rPr>
                <w:rFonts w:eastAsiaTheme="minorEastAsia" w:cstheme="minorHAnsi"/>
                <w:lang w:eastAsia="en-GB"/>
              </w:rPr>
              <w:t xml:space="preserve">, women’s associations, CSOs, community representatives, humanitarian actors, etc. </w:t>
            </w:r>
            <w:r w:rsidR="00030A7F" w:rsidRPr="00E151B3">
              <w:rPr>
                <w:rFonts w:eastAsiaTheme="minorEastAsia" w:cstheme="minorHAnsi"/>
                <w:lang w:eastAsia="en-GB"/>
              </w:rPr>
              <w:t>Some k</w:t>
            </w:r>
            <w:r w:rsidRPr="00E151B3">
              <w:rPr>
                <w:rFonts w:eastAsiaTheme="minorEastAsia" w:cstheme="minorHAnsi"/>
                <w:lang w:eastAsia="en-GB"/>
              </w:rPr>
              <w:t xml:space="preserve">ey barriers </w:t>
            </w:r>
            <w:r w:rsidR="00030A7F" w:rsidRPr="00E151B3">
              <w:rPr>
                <w:rFonts w:eastAsiaTheme="minorEastAsia" w:cstheme="minorHAnsi"/>
                <w:lang w:eastAsia="en-GB"/>
              </w:rPr>
              <w:t>related to human resources for health</w:t>
            </w:r>
            <w:r w:rsidRPr="00E151B3">
              <w:rPr>
                <w:rFonts w:eastAsiaTheme="minorEastAsia" w:cstheme="minorHAnsi"/>
                <w:lang w:eastAsia="en-GB"/>
              </w:rPr>
              <w:t xml:space="preserve"> ide</w:t>
            </w:r>
            <w:r w:rsidR="00030A7F" w:rsidRPr="00E151B3">
              <w:rPr>
                <w:rFonts w:eastAsiaTheme="minorEastAsia" w:cstheme="minorHAnsi"/>
                <w:lang w:eastAsia="en-GB"/>
              </w:rPr>
              <w:t>ntified</w:t>
            </w:r>
            <w:r w:rsidRPr="00E151B3">
              <w:rPr>
                <w:rFonts w:eastAsiaTheme="minorEastAsia" w:cstheme="minorHAnsi"/>
                <w:lang w:eastAsia="en-GB"/>
              </w:rPr>
              <w:t>:</w:t>
            </w:r>
          </w:p>
          <w:p w14:paraId="72593461" w14:textId="108FD524" w:rsidR="006B71F5" w:rsidRPr="00E151B3" w:rsidRDefault="006B71F5" w:rsidP="006B71F5">
            <w:pPr>
              <w:pStyle w:val="ListParagraph"/>
              <w:numPr>
                <w:ilvl w:val="0"/>
                <w:numId w:val="17"/>
              </w:numPr>
              <w:ind w:left="320" w:hanging="320"/>
              <w:rPr>
                <w:rFonts w:eastAsiaTheme="minorEastAsia" w:cstheme="minorHAnsi"/>
                <w:b w:val="0"/>
                <w:bCs/>
                <w:lang w:eastAsia="en-GB"/>
              </w:rPr>
            </w:pPr>
            <w:r w:rsidRPr="00E151B3">
              <w:rPr>
                <w:rFonts w:eastAsiaTheme="minorEastAsia" w:cstheme="minorHAnsi"/>
                <w:b w:val="0"/>
                <w:bCs/>
                <w:lang w:eastAsia="en-GB"/>
              </w:rPr>
              <w:t>Low literacy rates among local ethnic committees means health workers are not able to follow all MOHS technical protocols and guidelines. Skills-based training needs to be adapted to local capacities.</w:t>
            </w:r>
          </w:p>
          <w:p w14:paraId="7A8BF23D" w14:textId="31AC3ABE" w:rsidR="006B71F5" w:rsidRPr="00E151B3" w:rsidRDefault="006B71F5" w:rsidP="006B71F5">
            <w:pPr>
              <w:pStyle w:val="ListParagraph"/>
              <w:numPr>
                <w:ilvl w:val="0"/>
                <w:numId w:val="17"/>
              </w:numPr>
              <w:ind w:left="320" w:hanging="320"/>
              <w:rPr>
                <w:rFonts w:eastAsiaTheme="minorEastAsia" w:cstheme="minorHAnsi"/>
                <w:b w:val="0"/>
                <w:bCs/>
                <w:lang w:eastAsia="en-GB"/>
              </w:rPr>
            </w:pPr>
            <w:r w:rsidRPr="00E151B3">
              <w:rPr>
                <w:rFonts w:eastAsiaTheme="minorEastAsia" w:cstheme="minorHAnsi"/>
                <w:b w:val="0"/>
                <w:bCs/>
                <w:lang w:eastAsia="en-GB"/>
              </w:rPr>
              <w:t xml:space="preserve">Geographical access, poor roads, long distances </w:t>
            </w:r>
          </w:p>
          <w:p w14:paraId="65D90EE3" w14:textId="153698D4" w:rsidR="006B71F5" w:rsidRPr="00E151B3" w:rsidRDefault="006B71F5" w:rsidP="006B71F5">
            <w:pPr>
              <w:pStyle w:val="ListParagraph"/>
              <w:numPr>
                <w:ilvl w:val="0"/>
                <w:numId w:val="17"/>
              </w:numPr>
              <w:ind w:left="320" w:hanging="320"/>
              <w:rPr>
                <w:rFonts w:eastAsiaTheme="minorEastAsia" w:cstheme="minorHAnsi"/>
                <w:b w:val="0"/>
                <w:bCs/>
                <w:lang w:eastAsia="en-GB"/>
              </w:rPr>
            </w:pPr>
            <w:r w:rsidRPr="00E151B3">
              <w:rPr>
                <w:rFonts w:eastAsiaTheme="minorEastAsia" w:cstheme="minorHAnsi"/>
                <w:b w:val="0"/>
                <w:bCs/>
                <w:lang w:eastAsia="en-GB"/>
              </w:rPr>
              <w:t xml:space="preserve">Limited financial access especially for people in remote areas </w:t>
            </w:r>
          </w:p>
          <w:p w14:paraId="531CF6B3" w14:textId="72CE9B19" w:rsidR="006B71F5" w:rsidRPr="00E151B3" w:rsidRDefault="006B71F5" w:rsidP="006B71F5">
            <w:pPr>
              <w:pStyle w:val="ListParagraph"/>
              <w:numPr>
                <w:ilvl w:val="0"/>
                <w:numId w:val="17"/>
              </w:numPr>
              <w:ind w:left="320" w:hanging="320"/>
              <w:rPr>
                <w:rFonts w:eastAsiaTheme="minorEastAsia" w:cstheme="minorHAnsi"/>
                <w:b w:val="0"/>
                <w:bCs/>
                <w:lang w:eastAsia="en-GB"/>
              </w:rPr>
            </w:pPr>
            <w:r w:rsidRPr="00E151B3">
              <w:rPr>
                <w:rFonts w:eastAsiaTheme="minorEastAsia" w:cstheme="minorHAnsi"/>
                <w:b w:val="0"/>
                <w:bCs/>
                <w:lang w:eastAsia="en-GB"/>
              </w:rPr>
              <w:t xml:space="preserve">Limited EHO management capacity to deliver quality, full services. </w:t>
            </w:r>
          </w:p>
          <w:p w14:paraId="230E24C3" w14:textId="4D45D4EB" w:rsidR="00D52584" w:rsidRPr="00E151B3" w:rsidRDefault="006B71F5" w:rsidP="006B71F5">
            <w:pPr>
              <w:pStyle w:val="ListParagraph"/>
              <w:numPr>
                <w:ilvl w:val="0"/>
                <w:numId w:val="17"/>
              </w:numPr>
              <w:ind w:left="320" w:hanging="320"/>
              <w:rPr>
                <w:rFonts w:eastAsiaTheme="minorEastAsia" w:cstheme="minorHAnsi"/>
                <w:lang w:eastAsia="en-GB"/>
              </w:rPr>
            </w:pPr>
            <w:r w:rsidRPr="00E151B3">
              <w:rPr>
                <w:rFonts w:eastAsiaTheme="minorEastAsia" w:cstheme="minorHAnsi"/>
                <w:b w:val="0"/>
                <w:bCs/>
                <w:lang w:eastAsia="en-GB"/>
              </w:rPr>
              <w:lastRenderedPageBreak/>
              <w:t>Lack of on-the-job training and monitoring support, affecting motivation and service quality.</w:t>
            </w:r>
          </w:p>
          <w:p w14:paraId="161E601D" w14:textId="68AC0E65" w:rsidR="008145E7" w:rsidRPr="00E151B3" w:rsidRDefault="008145E7" w:rsidP="008145E7">
            <w:pPr>
              <w:rPr>
                <w:rFonts w:eastAsiaTheme="minorEastAsia" w:cstheme="minorHAnsi"/>
                <w:lang w:eastAsia="en-GB"/>
              </w:rPr>
            </w:pPr>
            <w:r w:rsidRPr="00E151B3">
              <w:rPr>
                <w:rFonts w:eastAsiaTheme="minorEastAsia" w:cstheme="minorHAnsi"/>
                <w:lang w:eastAsia="en-GB"/>
              </w:rPr>
              <w:t xml:space="preserve">A Human Resource for Health </w:t>
            </w:r>
            <w:r w:rsidR="003B1866" w:rsidRPr="00E151B3">
              <w:rPr>
                <w:rFonts w:eastAsiaTheme="minorEastAsia" w:cstheme="minorHAnsi"/>
                <w:lang w:eastAsia="en-GB"/>
              </w:rPr>
              <w:t>Rapid Assessment</w:t>
            </w:r>
            <w:r w:rsidRPr="00E151B3">
              <w:rPr>
                <w:rFonts w:eastAsiaTheme="minorEastAsia" w:cstheme="minorHAnsi"/>
                <w:lang w:eastAsia="en-GB"/>
              </w:rPr>
              <w:t xml:space="preserve"> </w:t>
            </w:r>
            <w:r w:rsidR="009F4159" w:rsidRPr="00E151B3">
              <w:rPr>
                <w:rFonts w:eastAsiaTheme="minorEastAsia" w:cstheme="minorHAnsi"/>
                <w:lang w:eastAsia="en-GB"/>
              </w:rPr>
              <w:t>is a key entry</w:t>
            </w:r>
            <w:r w:rsidR="00043660" w:rsidRPr="00E151B3">
              <w:rPr>
                <w:rFonts w:eastAsiaTheme="minorEastAsia" w:cstheme="minorHAnsi"/>
                <w:lang w:eastAsia="en-GB"/>
              </w:rPr>
              <w:t xml:space="preserve"> for EHOs to drive system strengthening using </w:t>
            </w:r>
            <w:r w:rsidR="00C2729C" w:rsidRPr="00E151B3">
              <w:rPr>
                <w:rFonts w:eastAsiaTheme="minorEastAsia" w:cstheme="minorHAnsi"/>
                <w:lang w:eastAsia="en-GB"/>
              </w:rPr>
              <w:t>evidence-based</w:t>
            </w:r>
            <w:r w:rsidRPr="00E151B3">
              <w:rPr>
                <w:rFonts w:eastAsiaTheme="minorEastAsia" w:cstheme="minorHAnsi"/>
                <w:lang w:eastAsia="en-GB"/>
              </w:rPr>
              <w:t xml:space="preserve"> </w:t>
            </w:r>
            <w:r w:rsidR="00043660" w:rsidRPr="00E151B3">
              <w:rPr>
                <w:rFonts w:eastAsiaTheme="minorEastAsia" w:cstheme="minorHAnsi"/>
                <w:lang w:eastAsia="en-GB"/>
              </w:rPr>
              <w:t>HRH development</w:t>
            </w:r>
            <w:r w:rsidR="00C2729C" w:rsidRPr="00E151B3">
              <w:rPr>
                <w:rFonts w:eastAsiaTheme="minorEastAsia" w:cstheme="minorHAnsi"/>
                <w:lang w:eastAsia="en-GB"/>
              </w:rPr>
              <w:t xml:space="preserve"> plan: </w:t>
            </w:r>
            <w:r w:rsidRPr="00E151B3">
              <w:rPr>
                <w:rFonts w:eastAsiaTheme="minorEastAsia" w:cstheme="minorHAnsi"/>
                <w:lang w:eastAsia="en-GB"/>
              </w:rPr>
              <w:t xml:space="preserve">training mapping, analysis and planning. It provides a systematic way to identifying </w:t>
            </w:r>
            <w:r w:rsidR="00DF74D2" w:rsidRPr="00E151B3">
              <w:rPr>
                <w:rFonts w:eastAsiaTheme="minorEastAsia" w:cstheme="minorHAnsi"/>
                <w:lang w:eastAsia="en-GB"/>
              </w:rPr>
              <w:t>development</w:t>
            </w:r>
            <w:r w:rsidR="00781DE3" w:rsidRPr="00E151B3">
              <w:rPr>
                <w:rFonts w:eastAsiaTheme="minorEastAsia" w:cstheme="minorHAnsi"/>
                <w:lang w:eastAsia="en-GB"/>
              </w:rPr>
              <w:t xml:space="preserve"> steps</w:t>
            </w:r>
            <w:r w:rsidRPr="00E151B3">
              <w:rPr>
                <w:rFonts w:eastAsiaTheme="minorEastAsia" w:cstheme="minorHAnsi"/>
                <w:lang w:eastAsia="en-GB"/>
              </w:rPr>
              <w:t xml:space="preserve"> on defined </w:t>
            </w:r>
            <w:r w:rsidR="00781DE3" w:rsidRPr="00E151B3">
              <w:rPr>
                <w:rFonts w:eastAsiaTheme="minorEastAsia" w:cstheme="minorHAnsi"/>
                <w:lang w:eastAsia="en-GB"/>
              </w:rPr>
              <w:t>essential MNCH and Nutrition programming</w:t>
            </w:r>
            <w:r w:rsidRPr="00E151B3">
              <w:rPr>
                <w:rFonts w:eastAsiaTheme="minorEastAsia" w:cstheme="minorHAnsi"/>
                <w:lang w:eastAsia="en-GB"/>
              </w:rPr>
              <w:t xml:space="preserve"> competencies within the </w:t>
            </w:r>
            <w:r w:rsidR="00781DE3" w:rsidRPr="00E151B3">
              <w:rPr>
                <w:rFonts w:eastAsiaTheme="minorEastAsia" w:cstheme="minorHAnsi"/>
                <w:lang w:eastAsia="en-GB"/>
              </w:rPr>
              <w:t>health system strengthening approach</w:t>
            </w:r>
            <w:r w:rsidRPr="00E151B3">
              <w:rPr>
                <w:rFonts w:eastAsiaTheme="minorEastAsia" w:cstheme="minorHAnsi"/>
                <w:lang w:eastAsia="en-GB"/>
              </w:rPr>
              <w:t xml:space="preserve">. </w:t>
            </w:r>
          </w:p>
          <w:p w14:paraId="2659FF58" w14:textId="77777777" w:rsidR="008145E7" w:rsidRPr="00E151B3" w:rsidRDefault="008145E7" w:rsidP="008145E7">
            <w:pPr>
              <w:rPr>
                <w:rFonts w:eastAsiaTheme="minorEastAsia" w:cstheme="minorHAnsi"/>
                <w:lang w:eastAsia="en-GB"/>
              </w:rPr>
            </w:pPr>
          </w:p>
          <w:p w14:paraId="584496FE" w14:textId="596E40CA" w:rsidR="00F970B5" w:rsidRPr="00E151B3" w:rsidRDefault="008145E7" w:rsidP="008145E7">
            <w:pPr>
              <w:rPr>
                <w:rFonts w:eastAsiaTheme="minorEastAsia" w:cstheme="minorHAnsi"/>
                <w:lang w:eastAsia="en-GB"/>
              </w:rPr>
            </w:pPr>
            <w:r w:rsidRPr="00E151B3">
              <w:rPr>
                <w:rFonts w:eastAsiaTheme="minorEastAsia" w:cstheme="minorHAnsi"/>
                <w:lang w:eastAsia="en-GB"/>
              </w:rPr>
              <w:t xml:space="preserve">As a first step the </w:t>
            </w:r>
            <w:r w:rsidR="00FF39E3" w:rsidRPr="00E151B3">
              <w:rPr>
                <w:rFonts w:eastAsiaTheme="minorEastAsia" w:cstheme="minorHAnsi"/>
                <w:lang w:eastAsia="en-GB"/>
              </w:rPr>
              <w:t>Human Resource for Health Rapid Assessment</w:t>
            </w:r>
            <w:r w:rsidR="002B42C0" w:rsidRPr="00E151B3">
              <w:rPr>
                <w:rFonts w:eastAsiaTheme="minorEastAsia" w:cstheme="minorHAnsi"/>
                <w:lang w:eastAsia="en-GB"/>
              </w:rPr>
              <w:t xml:space="preserve"> </w:t>
            </w:r>
            <w:r w:rsidRPr="00E151B3">
              <w:rPr>
                <w:rFonts w:eastAsiaTheme="minorEastAsia" w:cstheme="minorHAnsi"/>
                <w:lang w:eastAsia="en-GB"/>
              </w:rPr>
              <w:t xml:space="preserve">systematically assess the four pathways (Staffing, Skills, Working Conditions and Motivation) that need to be in place for optimal staff performance. </w:t>
            </w:r>
            <w:r w:rsidR="002A3F45" w:rsidRPr="00E151B3">
              <w:rPr>
                <w:rFonts w:eastAsiaTheme="minorEastAsia" w:cstheme="minorHAnsi"/>
                <w:lang w:eastAsia="en-GB"/>
              </w:rPr>
              <w:t>This to be applied in</w:t>
            </w:r>
            <w:r w:rsidRPr="00E151B3">
              <w:rPr>
                <w:rFonts w:eastAsiaTheme="minorEastAsia" w:cstheme="minorHAnsi"/>
                <w:lang w:eastAsia="en-GB"/>
              </w:rPr>
              <w:t xml:space="preserve"> all </w:t>
            </w:r>
            <w:r w:rsidR="002A3F45" w:rsidRPr="00E151B3">
              <w:rPr>
                <w:rFonts w:eastAsiaTheme="minorEastAsia" w:cstheme="minorHAnsi"/>
                <w:lang w:eastAsia="en-GB"/>
              </w:rPr>
              <w:t xml:space="preserve">identified </w:t>
            </w:r>
            <w:r w:rsidRPr="00E151B3">
              <w:rPr>
                <w:rFonts w:eastAsiaTheme="minorEastAsia" w:cstheme="minorHAnsi"/>
                <w:lang w:eastAsia="en-GB"/>
              </w:rPr>
              <w:t xml:space="preserve">levels of </w:t>
            </w:r>
            <w:r w:rsidR="002A3F45" w:rsidRPr="00E151B3">
              <w:rPr>
                <w:rFonts w:eastAsiaTheme="minorEastAsia" w:cstheme="minorHAnsi"/>
                <w:lang w:eastAsia="en-GB"/>
              </w:rPr>
              <w:t>Ethnic Health Organizations</w:t>
            </w:r>
            <w:r w:rsidRPr="00E151B3">
              <w:rPr>
                <w:rFonts w:eastAsiaTheme="minorEastAsia" w:cstheme="minorHAnsi"/>
                <w:lang w:eastAsia="en-GB"/>
              </w:rPr>
              <w:t xml:space="preserve">: Central, </w:t>
            </w:r>
            <w:r w:rsidR="002A3F45" w:rsidRPr="00E151B3">
              <w:rPr>
                <w:rFonts w:eastAsiaTheme="minorEastAsia" w:cstheme="minorHAnsi"/>
                <w:lang w:eastAsia="en-GB"/>
              </w:rPr>
              <w:t>regional</w:t>
            </w:r>
            <w:r w:rsidRPr="00E151B3">
              <w:rPr>
                <w:rFonts w:eastAsiaTheme="minorEastAsia" w:cstheme="minorHAnsi"/>
                <w:lang w:eastAsia="en-GB"/>
              </w:rPr>
              <w:t>,</w:t>
            </w:r>
            <w:r w:rsidR="00837EF7" w:rsidRPr="00E151B3">
              <w:rPr>
                <w:rFonts w:eastAsiaTheme="minorEastAsia" w:cstheme="minorHAnsi"/>
                <w:lang w:eastAsia="en-GB"/>
              </w:rPr>
              <w:t xml:space="preserve"> district/township and s</w:t>
            </w:r>
            <w:r w:rsidRPr="00E151B3">
              <w:rPr>
                <w:rFonts w:eastAsiaTheme="minorEastAsia" w:cstheme="minorHAnsi"/>
                <w:lang w:eastAsia="en-GB"/>
              </w:rPr>
              <w:t>ervice delivery points (Health Facility).</w:t>
            </w:r>
          </w:p>
          <w:p w14:paraId="5A294F6F" w14:textId="77777777" w:rsidR="001146D4" w:rsidRPr="00E151B3" w:rsidRDefault="001146D4" w:rsidP="00CA5D2B">
            <w:pPr>
              <w:rPr>
                <w:rFonts w:eastAsiaTheme="minorEastAsia" w:cstheme="minorHAnsi"/>
                <w:lang w:eastAsia="en-GB"/>
              </w:rPr>
            </w:pPr>
          </w:p>
          <w:p w14:paraId="51C7EB2E" w14:textId="7A8342EA" w:rsidR="003669A4" w:rsidRPr="00E151B3" w:rsidRDefault="00FF7DE9" w:rsidP="00CA5D2B">
            <w:pPr>
              <w:rPr>
                <w:rFonts w:eastAsiaTheme="minorEastAsia" w:cstheme="minorHAnsi"/>
                <w:lang w:eastAsia="en-GB"/>
              </w:rPr>
            </w:pPr>
            <w:r w:rsidRPr="00E151B3">
              <w:rPr>
                <w:rFonts w:eastAsiaTheme="minorEastAsia" w:cstheme="minorHAnsi"/>
                <w:lang w:eastAsia="en-GB"/>
              </w:rPr>
              <w:t xml:space="preserve">The </w:t>
            </w:r>
            <w:r w:rsidR="00DA3836" w:rsidRPr="00E151B3">
              <w:rPr>
                <w:rFonts w:eastAsiaTheme="minorEastAsia" w:cstheme="minorHAnsi"/>
                <w:lang w:eastAsia="en-GB"/>
              </w:rPr>
              <w:t xml:space="preserve">proposed </w:t>
            </w:r>
            <w:r w:rsidR="005C7337">
              <w:rPr>
                <w:rFonts w:eastAsiaTheme="minorEastAsia" w:cstheme="minorHAnsi"/>
                <w:lang w:eastAsia="en-GB"/>
              </w:rPr>
              <w:t xml:space="preserve">RMNCAH </w:t>
            </w:r>
            <w:r w:rsidR="00DA3836" w:rsidRPr="00E151B3">
              <w:rPr>
                <w:rFonts w:eastAsiaTheme="minorEastAsia" w:cstheme="minorHAnsi"/>
                <w:lang w:eastAsia="en-GB"/>
              </w:rPr>
              <w:t>programme</w:t>
            </w:r>
            <w:r w:rsidR="00E07B65" w:rsidRPr="00E151B3">
              <w:rPr>
                <w:rFonts w:eastAsiaTheme="minorEastAsia" w:cstheme="minorHAnsi"/>
                <w:lang w:eastAsia="en-GB"/>
              </w:rPr>
              <w:t xml:space="preserve"> </w:t>
            </w:r>
            <w:r w:rsidR="00DA3836" w:rsidRPr="00E151B3">
              <w:rPr>
                <w:rFonts w:eastAsiaTheme="minorEastAsia" w:cstheme="minorHAnsi"/>
                <w:lang w:eastAsia="en-GB"/>
              </w:rPr>
              <w:t>aligns and contributes to</w:t>
            </w:r>
            <w:r w:rsidR="00E07B65" w:rsidRPr="00E151B3">
              <w:rPr>
                <w:rFonts w:eastAsiaTheme="minorEastAsia" w:cstheme="minorHAnsi"/>
                <w:lang w:eastAsia="en-GB"/>
              </w:rPr>
              <w:t xml:space="preserve"> </w:t>
            </w:r>
            <w:r w:rsidR="00D6731A" w:rsidRPr="00E151B3">
              <w:rPr>
                <w:rFonts w:eastAsiaTheme="minorEastAsia" w:cstheme="minorHAnsi"/>
                <w:lang w:eastAsia="en-GB"/>
              </w:rPr>
              <w:t xml:space="preserve">strengthening implementation of </w:t>
            </w:r>
            <w:r w:rsidR="00E07B65" w:rsidRPr="00E151B3">
              <w:rPr>
                <w:rFonts w:eastAsiaTheme="minorEastAsia" w:cstheme="minorHAnsi"/>
                <w:lang w:eastAsia="en-GB"/>
              </w:rPr>
              <w:t>Myanmar</w:t>
            </w:r>
            <w:r w:rsidR="00DA3836" w:rsidRPr="00E151B3">
              <w:rPr>
                <w:rFonts w:eastAsiaTheme="minorEastAsia" w:cstheme="minorHAnsi"/>
                <w:lang w:eastAsia="en-GB"/>
              </w:rPr>
              <w:t xml:space="preserve"> National Health Plan as follows:</w:t>
            </w:r>
          </w:p>
          <w:tbl>
            <w:tblPr>
              <w:tblStyle w:val="TableGrid"/>
              <w:tblW w:w="5000" w:type="pct"/>
              <w:tblLayout w:type="fixed"/>
              <w:tblLook w:val="04A0" w:firstRow="1" w:lastRow="0" w:firstColumn="1" w:lastColumn="0" w:noHBand="0" w:noVBand="1"/>
            </w:tblPr>
            <w:tblGrid>
              <w:gridCol w:w="3319"/>
              <w:gridCol w:w="6715"/>
            </w:tblGrid>
            <w:tr w:rsidR="00DA3836" w:rsidRPr="00E151B3" w14:paraId="20A407C8" w14:textId="77777777" w:rsidTr="007C14B0">
              <w:trPr>
                <w:tblHeader/>
              </w:trPr>
              <w:tc>
                <w:tcPr>
                  <w:tcW w:w="1654" w:type="pct"/>
                </w:tcPr>
                <w:p w14:paraId="619A06B0" w14:textId="77777777" w:rsidR="00DA3836" w:rsidRPr="00E151B3" w:rsidRDefault="00DA3836" w:rsidP="00DA3836">
                  <w:pPr>
                    <w:rPr>
                      <w:rFonts w:eastAsiaTheme="minorEastAsia" w:cstheme="minorBidi"/>
                      <w:b/>
                      <w:bCs/>
                    </w:rPr>
                  </w:pPr>
                  <w:r w:rsidRPr="00E151B3">
                    <w:rPr>
                      <w:rFonts w:eastAsiaTheme="minorEastAsia" w:cstheme="minorBidi"/>
                      <w:b/>
                      <w:bCs/>
                    </w:rPr>
                    <w:t>NHP Outcomes</w:t>
                  </w:r>
                </w:p>
              </w:tc>
              <w:tc>
                <w:tcPr>
                  <w:tcW w:w="3346" w:type="pct"/>
                </w:tcPr>
                <w:p w14:paraId="6CFF7E7A" w14:textId="77777777" w:rsidR="00DA3836" w:rsidRPr="00E151B3" w:rsidRDefault="00DA3836" w:rsidP="00DA3836">
                  <w:pPr>
                    <w:rPr>
                      <w:rFonts w:eastAsiaTheme="minorEastAsia" w:cstheme="minorBidi"/>
                      <w:b/>
                      <w:bCs/>
                    </w:rPr>
                  </w:pPr>
                  <w:r w:rsidRPr="00E151B3">
                    <w:rPr>
                      <w:rFonts w:eastAsiaTheme="minorEastAsia" w:cstheme="minorBidi"/>
                      <w:b/>
                      <w:bCs/>
                    </w:rPr>
                    <w:t>NHP Outputs</w:t>
                  </w:r>
                </w:p>
              </w:tc>
            </w:tr>
            <w:tr w:rsidR="007C14B0" w:rsidRPr="00E151B3" w14:paraId="2A9E6BDC" w14:textId="77777777" w:rsidTr="007C14B0">
              <w:tc>
                <w:tcPr>
                  <w:tcW w:w="1654" w:type="pct"/>
                  <w:vMerge w:val="restart"/>
                </w:tcPr>
                <w:p w14:paraId="4FCB4811" w14:textId="77777777" w:rsidR="007C14B0" w:rsidRPr="00E151B3" w:rsidRDefault="007C14B0" w:rsidP="00DA3836">
                  <w:pPr>
                    <w:pStyle w:val="ListParagraph"/>
                    <w:numPr>
                      <w:ilvl w:val="0"/>
                      <w:numId w:val="11"/>
                    </w:numPr>
                    <w:spacing w:before="0" w:after="0"/>
                    <w:jc w:val="left"/>
                    <w:rPr>
                      <w:rFonts w:eastAsiaTheme="minorEastAsia" w:cstheme="minorBidi"/>
                    </w:rPr>
                  </w:pPr>
                  <w:r w:rsidRPr="00E151B3">
                    <w:rPr>
                      <w:rFonts w:eastAsiaTheme="minorEastAsia" w:cstheme="minorBidi"/>
                    </w:rPr>
                    <w:t>Increased accountability and responsiveness</w:t>
                  </w:r>
                </w:p>
              </w:tc>
              <w:tc>
                <w:tcPr>
                  <w:tcW w:w="3346" w:type="pct"/>
                </w:tcPr>
                <w:p w14:paraId="449887CC" w14:textId="77777777" w:rsidR="007C14B0" w:rsidRPr="00E151B3" w:rsidRDefault="007C14B0" w:rsidP="00DA3836">
                  <w:pPr>
                    <w:rPr>
                      <w:rFonts w:eastAsiaTheme="minorEastAsia" w:cstheme="minorBidi"/>
                      <w:b/>
                      <w:bCs/>
                      <w:i/>
                      <w:iCs/>
                    </w:rPr>
                  </w:pPr>
                  <w:r w:rsidRPr="00E151B3">
                    <w:rPr>
                      <w:rFonts w:eastAsiaTheme="minorEastAsia" w:cstheme="minorBidi"/>
                      <w:b/>
                      <w:bCs/>
                      <w:i/>
                      <w:iCs/>
                    </w:rPr>
                    <w:t>Adequate HR in health facilities, with right skills</w:t>
                  </w:r>
                </w:p>
              </w:tc>
            </w:tr>
            <w:tr w:rsidR="007C14B0" w:rsidRPr="00E151B3" w14:paraId="7E5E0855" w14:textId="77777777" w:rsidTr="007C14B0">
              <w:trPr>
                <w:trHeight w:val="332"/>
              </w:trPr>
              <w:tc>
                <w:tcPr>
                  <w:tcW w:w="1654" w:type="pct"/>
                  <w:vMerge/>
                </w:tcPr>
                <w:p w14:paraId="1A9CAD18" w14:textId="77777777" w:rsidR="007C14B0" w:rsidRPr="00E151B3" w:rsidRDefault="007C14B0" w:rsidP="00DA3836">
                  <w:pPr>
                    <w:rPr>
                      <w:rFonts w:cstheme="minorHAnsi"/>
                    </w:rPr>
                  </w:pPr>
                </w:p>
              </w:tc>
              <w:tc>
                <w:tcPr>
                  <w:tcW w:w="3346" w:type="pct"/>
                </w:tcPr>
                <w:p w14:paraId="07A920DA" w14:textId="77777777" w:rsidR="007C14B0" w:rsidRPr="00E151B3" w:rsidRDefault="007C14B0" w:rsidP="00DA3836">
                  <w:pPr>
                    <w:rPr>
                      <w:rFonts w:eastAsiaTheme="minorEastAsia" w:cstheme="minorBidi"/>
                    </w:rPr>
                  </w:pPr>
                  <w:r w:rsidRPr="00E151B3">
                    <w:rPr>
                      <w:rFonts w:eastAsiaTheme="minorEastAsia" w:cstheme="minorBidi"/>
                    </w:rPr>
                    <w:t>Adequate infrastructure and equipment</w:t>
                  </w:r>
                </w:p>
              </w:tc>
            </w:tr>
            <w:tr w:rsidR="007C14B0" w:rsidRPr="00E151B3" w14:paraId="5E34DF0F" w14:textId="77777777" w:rsidTr="007C14B0">
              <w:trPr>
                <w:trHeight w:val="413"/>
              </w:trPr>
              <w:tc>
                <w:tcPr>
                  <w:tcW w:w="1654" w:type="pct"/>
                  <w:vMerge/>
                </w:tcPr>
                <w:p w14:paraId="7872AD78" w14:textId="77777777" w:rsidR="007C14B0" w:rsidRPr="00E151B3" w:rsidRDefault="007C14B0" w:rsidP="00DA3836">
                  <w:pPr>
                    <w:rPr>
                      <w:rFonts w:cstheme="minorHAnsi"/>
                    </w:rPr>
                  </w:pPr>
                </w:p>
              </w:tc>
              <w:tc>
                <w:tcPr>
                  <w:tcW w:w="3346" w:type="pct"/>
                </w:tcPr>
                <w:p w14:paraId="6275D9E4" w14:textId="77777777" w:rsidR="007C14B0" w:rsidRPr="00E151B3" w:rsidRDefault="007C14B0" w:rsidP="00DA3836">
                  <w:pPr>
                    <w:rPr>
                      <w:rFonts w:eastAsiaTheme="minorEastAsia" w:cstheme="minorBidi"/>
                    </w:rPr>
                  </w:pPr>
                  <w:r w:rsidRPr="00E151B3">
                    <w:rPr>
                      <w:rFonts w:eastAsiaTheme="minorEastAsia" w:cstheme="minorBidi"/>
                    </w:rPr>
                    <w:t>Availability of essential drugs and supplies</w:t>
                  </w:r>
                </w:p>
              </w:tc>
            </w:tr>
            <w:tr w:rsidR="007C14B0" w:rsidRPr="00E151B3" w14:paraId="76F610E8" w14:textId="77777777" w:rsidTr="007C14B0">
              <w:trPr>
                <w:trHeight w:val="413"/>
              </w:trPr>
              <w:tc>
                <w:tcPr>
                  <w:tcW w:w="1654" w:type="pct"/>
                  <w:vMerge/>
                </w:tcPr>
                <w:p w14:paraId="1ACF2066" w14:textId="77777777" w:rsidR="007C14B0" w:rsidRPr="00E151B3" w:rsidRDefault="007C14B0" w:rsidP="007C14B0">
                  <w:pPr>
                    <w:rPr>
                      <w:rFonts w:cstheme="minorHAnsi"/>
                    </w:rPr>
                  </w:pPr>
                </w:p>
              </w:tc>
              <w:tc>
                <w:tcPr>
                  <w:tcW w:w="3346" w:type="pct"/>
                </w:tcPr>
                <w:p w14:paraId="171AB748" w14:textId="69CB6912" w:rsidR="007C14B0" w:rsidRPr="00E151B3" w:rsidRDefault="007C14B0" w:rsidP="007C14B0">
                  <w:pPr>
                    <w:rPr>
                      <w:rFonts w:eastAsiaTheme="minorEastAsia" w:cstheme="minorBidi"/>
                    </w:rPr>
                  </w:pPr>
                  <w:r w:rsidRPr="00E151B3">
                    <w:rPr>
                      <w:rFonts w:eastAsiaTheme="minorEastAsia" w:cstheme="minorBidi"/>
                    </w:rPr>
                    <w:t>Minimum standards of care met by all providers</w:t>
                  </w:r>
                </w:p>
              </w:tc>
            </w:tr>
          </w:tbl>
          <w:p w14:paraId="420C0148" w14:textId="3D34865B" w:rsidR="00DA3836" w:rsidRPr="00E151B3" w:rsidRDefault="00DA3836" w:rsidP="00CA5D2B">
            <w:pPr>
              <w:rPr>
                <w:rFonts w:eastAsiaTheme="minorEastAsia" w:cstheme="minorHAnsi"/>
                <w:lang w:eastAsia="en-GB"/>
              </w:rPr>
            </w:pPr>
          </w:p>
          <w:p w14:paraId="231330D2" w14:textId="417A3510" w:rsidR="00AC2EB6" w:rsidRPr="00E151B3" w:rsidRDefault="008663C4" w:rsidP="0013501A">
            <w:pPr>
              <w:rPr>
                <w:rFonts w:eastAsiaTheme="minorEastAsia" w:cstheme="minorHAnsi"/>
                <w:lang w:eastAsia="en-GB"/>
              </w:rPr>
            </w:pPr>
            <w:r w:rsidRPr="00E151B3">
              <w:rPr>
                <w:rFonts w:eastAsiaTheme="minorEastAsia" w:cstheme="minorHAnsi"/>
                <w:lang w:eastAsia="en-GB"/>
              </w:rPr>
              <w:t>The reference methodology will be using</w:t>
            </w:r>
            <w:r w:rsidR="001D0F9C" w:rsidRPr="00E151B3">
              <w:rPr>
                <w:rFonts w:eastAsiaTheme="minorEastAsia" w:cstheme="minorHAnsi"/>
                <w:lang w:eastAsia="en-GB"/>
              </w:rPr>
              <w:t xml:space="preserve"> </w:t>
            </w:r>
            <w:r w:rsidR="005D6376" w:rsidRPr="00E151B3">
              <w:rPr>
                <w:rFonts w:eastAsiaTheme="minorEastAsia" w:cstheme="minorHAnsi"/>
                <w:lang w:eastAsia="en-GB"/>
              </w:rPr>
              <w:t xml:space="preserve">Human resources for health (HRH) tools and guidelines </w:t>
            </w:r>
            <w:hyperlink r:id="rId16" w:history="1">
              <w:r w:rsidR="00CE129F" w:rsidRPr="00E151B3">
                <w:rPr>
                  <w:rStyle w:val="Hyperlink"/>
                  <w:rFonts w:eastAsiaTheme="minorEastAsia"/>
                </w:rPr>
                <w:t>https://www.who.int/hrh/tools/en/Rapid_Assessment_guide.pdf?ua=1</w:t>
              </w:r>
            </w:hyperlink>
            <w:r w:rsidR="00CE129F" w:rsidRPr="00E151B3">
              <w:rPr>
                <w:rFonts w:eastAsiaTheme="minorEastAsia"/>
              </w:rPr>
              <w:t xml:space="preserve"> </w:t>
            </w:r>
          </w:p>
          <w:p w14:paraId="54F00926" w14:textId="383702FA" w:rsidR="00F970B5" w:rsidRPr="00E151B3" w:rsidRDefault="00F970B5" w:rsidP="00CA5D2B">
            <w:pPr>
              <w:rPr>
                <w:rFonts w:cs="Tahoma"/>
                <w:b/>
                <w:bCs/>
                <w:color w:val="4F81BD"/>
                <w:szCs w:val="22"/>
              </w:rPr>
            </w:pPr>
          </w:p>
          <w:p w14:paraId="2342AAB8" w14:textId="2C4346F1" w:rsidR="00645DAB" w:rsidRPr="00E151B3" w:rsidRDefault="00645DAB" w:rsidP="00CA5D2B">
            <w:pPr>
              <w:rPr>
                <w:rFonts w:cs="Tahoma"/>
                <w:b/>
                <w:bCs/>
                <w:color w:val="4F81BD"/>
                <w:szCs w:val="22"/>
              </w:rPr>
            </w:pPr>
          </w:p>
        </w:tc>
      </w:tr>
      <w:tr w:rsidR="005077B5" w:rsidRPr="00E151B3" w14:paraId="34C9E782" w14:textId="77777777" w:rsidTr="103807B0">
        <w:tc>
          <w:tcPr>
            <w:tcW w:w="10260" w:type="dxa"/>
            <w:gridSpan w:val="3"/>
          </w:tcPr>
          <w:p w14:paraId="33A3F92C" w14:textId="67BF6C86" w:rsidR="006F5C7E" w:rsidRPr="00E151B3" w:rsidRDefault="001208FA" w:rsidP="002B0969">
            <w:pPr>
              <w:pStyle w:val="ListParagraph"/>
              <w:numPr>
                <w:ilvl w:val="0"/>
                <w:numId w:val="7"/>
              </w:numPr>
              <w:ind w:left="342" w:hanging="342"/>
            </w:pPr>
            <w:r w:rsidRPr="00E151B3">
              <w:lastRenderedPageBreak/>
              <w:t xml:space="preserve">Objectives of the </w:t>
            </w:r>
            <w:r w:rsidR="00113CAB" w:rsidRPr="00E151B3">
              <w:t>consultancy</w:t>
            </w:r>
            <w:r w:rsidR="005E373C" w:rsidRPr="00E151B3">
              <w:t>:</w:t>
            </w:r>
          </w:p>
          <w:p w14:paraId="35B3371C" w14:textId="68245B77" w:rsidR="007324DE" w:rsidRPr="00E151B3" w:rsidRDefault="00ED2C5A" w:rsidP="00FB1275">
            <w:r w:rsidRPr="00E151B3">
              <w:t>National consultant</w:t>
            </w:r>
            <w:r w:rsidR="00A614F6" w:rsidRPr="00E151B3">
              <w:t xml:space="preserve"> will facilitate and </w:t>
            </w:r>
            <w:r w:rsidR="007324DE" w:rsidRPr="00E151B3">
              <w:t xml:space="preserve">provide technical and managerial support including organisation </w:t>
            </w:r>
            <w:r w:rsidR="00C01F42" w:rsidRPr="00E151B3">
              <w:t xml:space="preserve">of </w:t>
            </w:r>
            <w:r w:rsidR="00795E68" w:rsidRPr="00E151B3">
              <w:t xml:space="preserve">a </w:t>
            </w:r>
            <w:r w:rsidR="002115E5" w:rsidRPr="00E151B3">
              <w:t>Human Resources for Health Rapid Assessment</w:t>
            </w:r>
            <w:r w:rsidR="00795E68" w:rsidRPr="00E151B3">
              <w:t xml:space="preserve"> </w:t>
            </w:r>
            <w:r w:rsidR="0053203C" w:rsidRPr="00E151B3">
              <w:t xml:space="preserve">including its </w:t>
            </w:r>
            <w:r w:rsidR="00AC388B" w:rsidRPr="00E151B3">
              <w:t xml:space="preserve">online </w:t>
            </w:r>
            <w:r w:rsidR="0053203C" w:rsidRPr="00E151B3">
              <w:t>rapid data collection and analysis in ethnic health organizations</w:t>
            </w:r>
            <w:r w:rsidR="00AC388B" w:rsidRPr="00E151B3">
              <w:t xml:space="preserve"> in</w:t>
            </w:r>
            <w:r w:rsidR="0053203C" w:rsidRPr="00E151B3">
              <w:t xml:space="preserve"> Kachin, Shan North and Shan East, </w:t>
            </w:r>
            <w:r w:rsidR="00795E68" w:rsidRPr="00E151B3">
              <w:t xml:space="preserve">to determine immediate competency gaps and allows </w:t>
            </w:r>
            <w:r w:rsidR="002115E5" w:rsidRPr="00E151B3">
              <w:t xml:space="preserve">ethnic health </w:t>
            </w:r>
            <w:r w:rsidR="00795E68" w:rsidRPr="00E151B3">
              <w:t xml:space="preserve">organizations to align training opportunities to immediate needs. The </w:t>
            </w:r>
            <w:r w:rsidR="002115E5" w:rsidRPr="00E151B3">
              <w:t xml:space="preserve">consultancy offers </w:t>
            </w:r>
            <w:r w:rsidR="00795E68" w:rsidRPr="00E151B3">
              <w:t xml:space="preserve">structured and sustainable approach to training through detailed skills mapping, analysis and planning that is </w:t>
            </w:r>
            <w:r w:rsidR="0053203C" w:rsidRPr="00E151B3">
              <w:t>local</w:t>
            </w:r>
            <w:r w:rsidR="00795E68" w:rsidRPr="00E151B3">
              <w:t xml:space="preserve"> driven. </w:t>
            </w:r>
            <w:r w:rsidR="00FC704B" w:rsidRPr="00E151B3">
              <w:t xml:space="preserve"> </w:t>
            </w:r>
            <w:r w:rsidR="00450C6E" w:rsidRPr="00E151B3">
              <w:t xml:space="preserve">The work should be coordinated with UNICEF, Health Poverty Action and REACH consortium </w:t>
            </w:r>
            <w:r w:rsidR="00D56641" w:rsidRPr="00E151B3">
              <w:t>partner EHOs and CSO:</w:t>
            </w:r>
            <w:r w:rsidR="00FB1275" w:rsidRPr="00E151B3">
              <w:t xml:space="preserve"> </w:t>
            </w:r>
            <w:proofErr w:type="spellStart"/>
            <w:r w:rsidR="00FB1275" w:rsidRPr="00E151B3">
              <w:t>Wa</w:t>
            </w:r>
            <w:proofErr w:type="spellEnd"/>
            <w:r w:rsidR="00FB1275" w:rsidRPr="00E151B3">
              <w:t xml:space="preserve"> Health Department (EHO), Shan Special Region 4 </w:t>
            </w:r>
            <w:r w:rsidR="00AD2208">
              <w:t xml:space="preserve">(SR4) </w:t>
            </w:r>
            <w:r w:rsidR="00FB1275" w:rsidRPr="00E151B3">
              <w:t xml:space="preserve">Health Department (EHO), Kachin Special Region 2 </w:t>
            </w:r>
            <w:r w:rsidR="00AD2208">
              <w:t>(KSR2)</w:t>
            </w:r>
            <w:r w:rsidR="00FB1275" w:rsidRPr="00E151B3">
              <w:t>Health Department (EHO)</w:t>
            </w:r>
            <w:r w:rsidR="000A06D8" w:rsidRPr="00E151B3">
              <w:t xml:space="preserve"> and </w:t>
            </w:r>
            <w:proofErr w:type="spellStart"/>
            <w:r w:rsidR="00FB1275" w:rsidRPr="00E151B3">
              <w:t>Kokang</w:t>
            </w:r>
            <w:proofErr w:type="spellEnd"/>
            <w:r w:rsidR="00FB1275" w:rsidRPr="00E151B3">
              <w:t xml:space="preserve"> Charity Alliance (CSO)</w:t>
            </w:r>
            <w:r w:rsidR="000A06D8" w:rsidRPr="00E151B3">
              <w:t>,</w:t>
            </w:r>
            <w:r w:rsidR="0053203C" w:rsidRPr="00E151B3">
              <w:t xml:space="preserve"> </w:t>
            </w:r>
            <w:r w:rsidR="000A06D8" w:rsidRPr="00E151B3">
              <w:t>and relevant Township Health Department of Ministry of Health and Sports.</w:t>
            </w:r>
            <w:r w:rsidR="008A5C01" w:rsidRPr="00E151B3">
              <w:t xml:space="preserve"> To note that Google-based platform cannot work in </w:t>
            </w:r>
            <w:r w:rsidR="00C21C15" w:rsidRPr="00E151B3">
              <w:t>majority of these areas due to reliance to Chinese mobile network and internet connection</w:t>
            </w:r>
          </w:p>
          <w:p w14:paraId="349AE181" w14:textId="77777777" w:rsidR="00FD5068" w:rsidRPr="00E151B3" w:rsidRDefault="00FD5068" w:rsidP="009C589D">
            <w:pPr>
              <w:rPr>
                <w:rFonts w:cs="Tahoma"/>
                <w:szCs w:val="22"/>
              </w:rPr>
            </w:pPr>
          </w:p>
        </w:tc>
      </w:tr>
      <w:tr w:rsidR="005077B5" w:rsidRPr="00E151B3" w14:paraId="1AEDEAC3" w14:textId="77777777" w:rsidTr="103807B0">
        <w:tc>
          <w:tcPr>
            <w:tcW w:w="10260" w:type="dxa"/>
            <w:gridSpan w:val="3"/>
          </w:tcPr>
          <w:p w14:paraId="66E595A4" w14:textId="2F0D64DD" w:rsidR="00C75852" w:rsidRPr="00E151B3" w:rsidRDefault="00FE6FEA" w:rsidP="00B67ACD">
            <w:pPr>
              <w:pStyle w:val="ListParagraph"/>
              <w:numPr>
                <w:ilvl w:val="0"/>
                <w:numId w:val="7"/>
              </w:numPr>
              <w:ind w:left="342" w:hanging="342"/>
              <w:rPr>
                <w:rFonts w:cs="Tahoma"/>
                <w:b w:val="0"/>
              </w:rPr>
            </w:pPr>
            <w:r w:rsidRPr="00E151B3">
              <w:rPr>
                <w:rFonts w:cs="Tahoma"/>
              </w:rPr>
              <w:t>Geographic Area</w:t>
            </w:r>
            <w:proofErr w:type="gramStart"/>
            <w:r w:rsidRPr="00E151B3">
              <w:rPr>
                <w:rFonts w:cs="Tahoma"/>
              </w:rPr>
              <w:t>:</w:t>
            </w:r>
            <w:r w:rsidR="00016468" w:rsidRPr="00E151B3">
              <w:rPr>
                <w:rFonts w:cs="Tahoma"/>
              </w:rPr>
              <w:t xml:space="preserve"> </w:t>
            </w:r>
            <w:r w:rsidR="00B67ACD" w:rsidRPr="00E151B3" w:rsidDel="00B67ACD">
              <w:rPr>
                <w:rFonts w:cs="Tahoma"/>
                <w:b w:val="0"/>
              </w:rPr>
              <w:t xml:space="preserve"> </w:t>
            </w:r>
            <w:r w:rsidR="00B67ACD" w:rsidRPr="00E151B3">
              <w:rPr>
                <w:rFonts w:cs="Tahoma"/>
                <w:b w:val="0"/>
              </w:rPr>
              <w:t>[</w:t>
            </w:r>
            <w:proofErr w:type="gramEnd"/>
            <w:r w:rsidR="00B67ACD" w:rsidRPr="00E151B3">
              <w:rPr>
                <w:rFonts w:cs="Tahoma"/>
                <w:b w:val="0"/>
              </w:rPr>
              <w:t xml:space="preserve">Myitkyina and Kachin Special Region 2 (KSR2) areas], </w:t>
            </w:r>
            <w:r w:rsidR="00B67ACD" w:rsidRPr="00E151B3">
              <w:rPr>
                <w:rFonts w:cs="Tahoma"/>
                <w:bCs/>
              </w:rPr>
              <w:t xml:space="preserve">Shan North </w:t>
            </w:r>
            <w:r w:rsidR="00B67ACD" w:rsidRPr="00E151B3">
              <w:rPr>
                <w:rFonts w:cs="Tahoma"/>
                <w:b w:val="0"/>
              </w:rPr>
              <w:t xml:space="preserve">(Lashio and WA </w:t>
            </w:r>
            <w:r w:rsidR="00AD2208">
              <w:rPr>
                <w:rFonts w:cs="Tahoma"/>
                <w:b w:val="0"/>
              </w:rPr>
              <w:t>Special Region 2 (</w:t>
            </w:r>
            <w:r w:rsidR="00B67ACD" w:rsidRPr="00E151B3">
              <w:rPr>
                <w:rFonts w:cs="Tahoma"/>
                <w:b w:val="0"/>
              </w:rPr>
              <w:t>SR2</w:t>
            </w:r>
            <w:r w:rsidR="00AD2208">
              <w:rPr>
                <w:rFonts w:cs="Tahoma"/>
                <w:b w:val="0"/>
              </w:rPr>
              <w:t>)</w:t>
            </w:r>
            <w:r w:rsidR="00B67ACD" w:rsidRPr="00E151B3">
              <w:rPr>
                <w:rFonts w:cs="Tahoma"/>
                <w:b w:val="0"/>
              </w:rPr>
              <w:t xml:space="preserve"> including Southern </w:t>
            </w:r>
            <w:proofErr w:type="spellStart"/>
            <w:r w:rsidR="00B67ACD" w:rsidRPr="00E151B3">
              <w:rPr>
                <w:rFonts w:cs="Tahoma"/>
                <w:b w:val="0"/>
              </w:rPr>
              <w:t>Wa</w:t>
            </w:r>
            <w:proofErr w:type="spellEnd"/>
            <w:r w:rsidR="00B67ACD" w:rsidRPr="00E151B3">
              <w:rPr>
                <w:rFonts w:cs="Tahoma"/>
                <w:b w:val="0"/>
              </w:rPr>
              <w:t xml:space="preserve"> areas (part of SR2), and </w:t>
            </w:r>
            <w:r w:rsidR="00B67ACD" w:rsidRPr="00E151B3">
              <w:rPr>
                <w:rFonts w:cs="Tahoma"/>
                <w:bCs/>
              </w:rPr>
              <w:t>Shan East</w:t>
            </w:r>
            <w:r w:rsidR="00B67ACD" w:rsidRPr="00E151B3">
              <w:rPr>
                <w:rFonts w:cs="Tahoma"/>
                <w:b w:val="0"/>
              </w:rPr>
              <w:t xml:space="preserve"> (Kengtung and SR4 areas . Duty station will be Yangon. </w:t>
            </w:r>
          </w:p>
          <w:p w14:paraId="0B4C991D" w14:textId="33E24CD1" w:rsidR="00C75852" w:rsidRPr="00E151B3" w:rsidRDefault="00C75852" w:rsidP="002668D9">
            <w:r w:rsidRPr="00E151B3">
              <w:t xml:space="preserve">Consultancy tasks will be approximately allocated as 12 days field assessment, 10 days adapting the data collection tools and 8 days for trainings (2 trainings, 1 for Kachin, 1 for Shan) and 10 days for data analysis and reporting, 40 days total field work maximum. Besides, dissemination Workshop on SARA and HRH results in EHO areas with </w:t>
            </w:r>
            <w:proofErr w:type="spellStart"/>
            <w:r w:rsidRPr="00E151B3">
              <w:t>MoHS</w:t>
            </w:r>
            <w:proofErr w:type="spellEnd"/>
            <w:r w:rsidRPr="00E151B3">
              <w:t xml:space="preserve"> and EHOs, 2 days each for WA in Shan North, SR4 in Shan East and KSR2 in Kachin.</w:t>
            </w:r>
          </w:p>
          <w:p w14:paraId="3EB86F54" w14:textId="77777777" w:rsidR="002668D9" w:rsidRPr="00E151B3" w:rsidRDefault="002668D9" w:rsidP="002668D9">
            <w:pPr>
              <w:rPr>
                <w:rFonts w:cs="Tahoma"/>
              </w:rPr>
            </w:pPr>
          </w:p>
          <w:p w14:paraId="05595FA3" w14:textId="720180D5" w:rsidR="00B67ACD" w:rsidRPr="00E151B3" w:rsidRDefault="00B67ACD" w:rsidP="002668D9">
            <w:pPr>
              <w:rPr>
                <w:rFonts w:cs="Tahoma"/>
              </w:rPr>
            </w:pPr>
            <w:r w:rsidRPr="00E151B3">
              <w:rPr>
                <w:rFonts w:cs="Tahoma"/>
              </w:rPr>
              <w:t>Expense of travel and DSA to the fields will be based on actual cost of travel, which will be</w:t>
            </w:r>
            <w:r w:rsidR="00C75852" w:rsidRPr="00E151B3">
              <w:rPr>
                <w:rFonts w:cs="Tahoma"/>
              </w:rPr>
              <w:t xml:space="preserve"> reserved by UNICEF in</w:t>
            </w:r>
            <w:r w:rsidRPr="00E151B3">
              <w:rPr>
                <w:rFonts w:cs="Tahoma"/>
              </w:rPr>
              <w:t xml:space="preserve"> addition to the consultant fee.</w:t>
            </w:r>
          </w:p>
          <w:p w14:paraId="1B475754" w14:textId="77777777" w:rsidR="005077B5" w:rsidRPr="00E151B3" w:rsidRDefault="005077B5">
            <w:pPr>
              <w:rPr>
                <w:szCs w:val="22"/>
              </w:rPr>
            </w:pPr>
          </w:p>
        </w:tc>
      </w:tr>
      <w:tr w:rsidR="005077B5" w:rsidRPr="00E151B3" w14:paraId="5B07442C" w14:textId="77777777" w:rsidTr="103807B0">
        <w:tc>
          <w:tcPr>
            <w:tcW w:w="10260" w:type="dxa"/>
            <w:gridSpan w:val="3"/>
          </w:tcPr>
          <w:p w14:paraId="34540BFD" w14:textId="0B3EF223" w:rsidR="002B0969" w:rsidRPr="00E151B3" w:rsidRDefault="005077B5" w:rsidP="002B0969">
            <w:pPr>
              <w:pStyle w:val="ListParagraph"/>
              <w:numPr>
                <w:ilvl w:val="0"/>
                <w:numId w:val="7"/>
              </w:numPr>
              <w:ind w:left="342" w:hanging="342"/>
              <w:rPr>
                <w:rFonts w:cs="Tahoma"/>
                <w:szCs w:val="22"/>
              </w:rPr>
            </w:pPr>
            <w:r w:rsidRPr="00E151B3">
              <w:rPr>
                <w:rFonts w:cs="Tahoma"/>
                <w:szCs w:val="22"/>
              </w:rPr>
              <w:t>Duration</w:t>
            </w:r>
            <w:r w:rsidR="009C589D" w:rsidRPr="00E151B3">
              <w:rPr>
                <w:rFonts w:cs="Tahoma"/>
                <w:szCs w:val="22"/>
              </w:rPr>
              <w:t xml:space="preserve"> (including potential extension)</w:t>
            </w:r>
            <w:r w:rsidRPr="00E151B3">
              <w:rPr>
                <w:rFonts w:cs="Tahoma"/>
                <w:szCs w:val="22"/>
              </w:rPr>
              <w:t xml:space="preserve">: </w:t>
            </w:r>
          </w:p>
          <w:p w14:paraId="175CB7E3" w14:textId="690ABCFC" w:rsidR="008529F3" w:rsidRPr="00E151B3" w:rsidRDefault="001223A8" w:rsidP="00525127">
            <w:pPr>
              <w:rPr>
                <w:i/>
              </w:rPr>
            </w:pPr>
            <w:r w:rsidRPr="00E151B3">
              <w:t>August – December 2020</w:t>
            </w:r>
            <w:r w:rsidR="00F45AAD" w:rsidRPr="00E151B3">
              <w:t xml:space="preserve">. Assignment will be full time </w:t>
            </w:r>
            <w:r w:rsidR="002668D9" w:rsidRPr="00E151B3">
              <w:t xml:space="preserve">with regular office hours </w:t>
            </w:r>
            <w:r w:rsidR="00F45AAD" w:rsidRPr="00E151B3">
              <w:t>bas</w:t>
            </w:r>
            <w:r w:rsidR="002668D9" w:rsidRPr="00E151B3">
              <w:t>ed in Yangon</w:t>
            </w:r>
            <w:r w:rsidR="00F45AAD" w:rsidRPr="00E151B3">
              <w:t xml:space="preserve"> with frequent travels to fields such as Kachin, Shan North and Shan East States. </w:t>
            </w:r>
          </w:p>
        </w:tc>
      </w:tr>
      <w:tr w:rsidR="005077B5" w:rsidRPr="00E151B3" w14:paraId="7C5090F1" w14:textId="77777777" w:rsidTr="103807B0">
        <w:tc>
          <w:tcPr>
            <w:tcW w:w="10260" w:type="dxa"/>
            <w:gridSpan w:val="3"/>
          </w:tcPr>
          <w:p w14:paraId="40CF3B7A" w14:textId="656447C0" w:rsidR="002B0969" w:rsidRPr="00E151B3" w:rsidRDefault="005077B5" w:rsidP="002B0969">
            <w:pPr>
              <w:pStyle w:val="ListParagraph"/>
              <w:numPr>
                <w:ilvl w:val="0"/>
                <w:numId w:val="7"/>
              </w:numPr>
              <w:ind w:left="342" w:hanging="342"/>
              <w:rPr>
                <w:rFonts w:cs="Tahoma"/>
                <w:szCs w:val="22"/>
              </w:rPr>
            </w:pPr>
            <w:r w:rsidRPr="00E151B3">
              <w:rPr>
                <w:rFonts w:cs="Tahoma"/>
                <w:szCs w:val="22"/>
              </w:rPr>
              <w:lastRenderedPageBreak/>
              <w:t>Supervisor</w:t>
            </w:r>
            <w:r w:rsidR="00E40E0D" w:rsidRPr="00E151B3">
              <w:rPr>
                <w:rFonts w:cs="Tahoma"/>
                <w:szCs w:val="22"/>
              </w:rPr>
              <w:t>:</w:t>
            </w:r>
            <w:r w:rsidR="00E5124D" w:rsidRPr="00E151B3">
              <w:rPr>
                <w:rFonts w:cs="Tahoma"/>
                <w:szCs w:val="22"/>
              </w:rPr>
              <w:t xml:space="preserve"> </w:t>
            </w:r>
            <w:r w:rsidR="001223A8" w:rsidRPr="00E151B3">
              <w:rPr>
                <w:rFonts w:cs="Tahoma"/>
                <w:b w:val="0"/>
                <w:szCs w:val="22"/>
              </w:rPr>
              <w:t>Health Specialist</w:t>
            </w:r>
            <w:r w:rsidR="00597AF7" w:rsidRPr="00E151B3">
              <w:rPr>
                <w:rFonts w:cs="Tahoma"/>
                <w:b w:val="0"/>
                <w:szCs w:val="22"/>
              </w:rPr>
              <w:t xml:space="preserve"> (Health in Emergency)</w:t>
            </w:r>
            <w:r w:rsidR="007324DE" w:rsidRPr="00E151B3">
              <w:rPr>
                <w:rFonts w:cs="Tahoma"/>
                <w:b w:val="0"/>
                <w:szCs w:val="22"/>
              </w:rPr>
              <w:t>, UNICEF Myanmar Country Office</w:t>
            </w:r>
          </w:p>
          <w:p w14:paraId="69299BF2" w14:textId="77777777" w:rsidR="005077B5" w:rsidRPr="00E151B3" w:rsidRDefault="005077B5" w:rsidP="009474EF"/>
        </w:tc>
      </w:tr>
      <w:tr w:rsidR="00E40E0D" w:rsidRPr="00E151B3" w14:paraId="00C7552E" w14:textId="77777777" w:rsidTr="103807B0">
        <w:tc>
          <w:tcPr>
            <w:tcW w:w="10260" w:type="dxa"/>
            <w:gridSpan w:val="3"/>
          </w:tcPr>
          <w:p w14:paraId="39D55B52" w14:textId="77777777" w:rsidR="002B0969" w:rsidRPr="00E151B3" w:rsidRDefault="00E40E0D" w:rsidP="002B0969">
            <w:pPr>
              <w:pStyle w:val="ListParagraph"/>
              <w:numPr>
                <w:ilvl w:val="0"/>
                <w:numId w:val="7"/>
              </w:numPr>
              <w:ind w:left="342" w:hanging="342"/>
              <w:rPr>
                <w:rFonts w:cs="Tahoma"/>
                <w:szCs w:val="22"/>
              </w:rPr>
            </w:pPr>
            <w:r w:rsidRPr="00E151B3">
              <w:rPr>
                <w:rFonts w:cs="Tahoma"/>
                <w:szCs w:val="22"/>
              </w:rPr>
              <w:t>Type of Supervision</w:t>
            </w:r>
            <w:r w:rsidR="00583821" w:rsidRPr="00E151B3">
              <w:rPr>
                <w:rFonts w:cs="Tahoma"/>
                <w:szCs w:val="22"/>
              </w:rPr>
              <w:t>/support</w:t>
            </w:r>
            <w:r w:rsidRPr="00E151B3">
              <w:rPr>
                <w:rFonts w:cs="Tahoma"/>
                <w:szCs w:val="22"/>
              </w:rPr>
              <w:t xml:space="preserve"> required</w:t>
            </w:r>
            <w:r w:rsidR="0041135D" w:rsidRPr="00E151B3">
              <w:rPr>
                <w:rFonts w:cs="Tahoma"/>
                <w:szCs w:val="22"/>
              </w:rPr>
              <w:t xml:space="preserve"> from UNICEF</w:t>
            </w:r>
            <w:r w:rsidR="00583821" w:rsidRPr="00E151B3">
              <w:rPr>
                <w:rFonts w:cs="Tahoma"/>
                <w:szCs w:val="22"/>
              </w:rPr>
              <w:t xml:space="preserve">: </w:t>
            </w:r>
          </w:p>
          <w:p w14:paraId="491D36AD" w14:textId="6123A617" w:rsidR="006F34DE" w:rsidRPr="00E151B3" w:rsidRDefault="002C74E3" w:rsidP="000B3FAB">
            <w:r w:rsidRPr="00E151B3">
              <w:t>Supervision will be required o</w:t>
            </w:r>
            <w:r w:rsidR="005006AC" w:rsidRPr="00E151B3">
              <w:t>n coordination with field offices,</w:t>
            </w:r>
            <w:r w:rsidRPr="00E151B3">
              <w:t xml:space="preserve"> in-country travel and  administrative support</w:t>
            </w:r>
            <w:r w:rsidR="000B3FAB" w:rsidRPr="00E151B3">
              <w:t xml:space="preserve">: Liaise with stakeholders and participants prior to the workshop for any preparatory activity; Organize and facilitate logistical support for the workshop; </w:t>
            </w:r>
            <w:r w:rsidR="000B3FAB" w:rsidRPr="00E151B3">
              <w:tab/>
              <w:t xml:space="preserve">Provide consultant with relevant information to prepare adequately for </w:t>
            </w:r>
            <w:r w:rsidR="00D63327" w:rsidRPr="00E151B3">
              <w:t xml:space="preserve">HRH assessment </w:t>
            </w:r>
            <w:r w:rsidR="00E609B0" w:rsidRPr="00E151B3">
              <w:t>data collection, analysis and dissemination</w:t>
            </w:r>
          </w:p>
        </w:tc>
      </w:tr>
      <w:tr w:rsidR="003C4533" w:rsidRPr="00E151B3" w14:paraId="3316E49B" w14:textId="77777777" w:rsidTr="103807B0">
        <w:trPr>
          <w:trHeight w:val="269"/>
        </w:trPr>
        <w:tc>
          <w:tcPr>
            <w:tcW w:w="10260" w:type="dxa"/>
            <w:gridSpan w:val="3"/>
            <w:tcBorders>
              <w:bottom w:val="nil"/>
            </w:tcBorders>
          </w:tcPr>
          <w:p w14:paraId="7A1B8060" w14:textId="77777777" w:rsidR="004F3D9C" w:rsidRPr="00E151B3" w:rsidRDefault="003C4533" w:rsidP="002B0969">
            <w:pPr>
              <w:pStyle w:val="ListParagraph"/>
              <w:numPr>
                <w:ilvl w:val="0"/>
                <w:numId w:val="7"/>
              </w:numPr>
              <w:ind w:left="342" w:hanging="342"/>
            </w:pPr>
            <w:r w:rsidRPr="00E151B3">
              <w:t>Description of assignment:</w:t>
            </w:r>
          </w:p>
          <w:p w14:paraId="0C18EBB3" w14:textId="77777777" w:rsidR="00421D69" w:rsidRPr="00E151B3" w:rsidRDefault="00421D69" w:rsidP="00421D69"/>
        </w:tc>
      </w:tr>
      <w:tr w:rsidR="00FE6FEA" w:rsidRPr="00E151B3" w14:paraId="53FC068D" w14:textId="77777777" w:rsidTr="103807B0">
        <w:trPr>
          <w:trHeight w:val="269"/>
        </w:trPr>
        <w:tc>
          <w:tcPr>
            <w:tcW w:w="4230" w:type="dxa"/>
            <w:tcBorders>
              <w:top w:val="nil"/>
              <w:bottom w:val="single" w:sz="4" w:space="0" w:color="auto"/>
            </w:tcBorders>
          </w:tcPr>
          <w:p w14:paraId="104CD917" w14:textId="77777777" w:rsidR="00FE6FEA" w:rsidRPr="00E151B3" w:rsidRDefault="00FE6FEA" w:rsidP="00D73159">
            <w:pPr>
              <w:jc w:val="center"/>
              <w:rPr>
                <w:rFonts w:cs="Tahoma"/>
                <w:b/>
                <w:szCs w:val="22"/>
              </w:rPr>
            </w:pPr>
            <w:r w:rsidRPr="00E151B3">
              <w:rPr>
                <w:rFonts w:cs="Tahoma"/>
                <w:b/>
                <w:szCs w:val="22"/>
              </w:rPr>
              <w:t>Tasks</w:t>
            </w:r>
          </w:p>
        </w:tc>
        <w:tc>
          <w:tcPr>
            <w:tcW w:w="4320" w:type="dxa"/>
            <w:tcBorders>
              <w:top w:val="nil"/>
              <w:bottom w:val="single" w:sz="4" w:space="0" w:color="auto"/>
            </w:tcBorders>
          </w:tcPr>
          <w:p w14:paraId="6F310578" w14:textId="77777777" w:rsidR="00FE6FEA" w:rsidRPr="00E151B3" w:rsidRDefault="00FE6FEA" w:rsidP="00D73159">
            <w:pPr>
              <w:jc w:val="center"/>
              <w:rPr>
                <w:rFonts w:cs="Tahoma"/>
                <w:b/>
                <w:szCs w:val="22"/>
              </w:rPr>
            </w:pPr>
            <w:proofErr w:type="gramStart"/>
            <w:r w:rsidRPr="00E151B3">
              <w:rPr>
                <w:rFonts w:cs="Tahoma"/>
                <w:b/>
                <w:szCs w:val="22"/>
              </w:rPr>
              <w:t>End Product</w:t>
            </w:r>
            <w:proofErr w:type="gramEnd"/>
            <w:r w:rsidRPr="00E151B3">
              <w:rPr>
                <w:rFonts w:cs="Tahoma"/>
                <w:b/>
                <w:szCs w:val="22"/>
              </w:rPr>
              <w:t>/deliverables</w:t>
            </w:r>
          </w:p>
        </w:tc>
        <w:tc>
          <w:tcPr>
            <w:tcW w:w="1710" w:type="dxa"/>
            <w:tcBorders>
              <w:top w:val="nil"/>
              <w:bottom w:val="single" w:sz="4" w:space="0" w:color="auto"/>
            </w:tcBorders>
          </w:tcPr>
          <w:p w14:paraId="46ABBCB0" w14:textId="77777777" w:rsidR="00C11957" w:rsidRPr="00E151B3" w:rsidRDefault="00C11957" w:rsidP="00D73159">
            <w:pPr>
              <w:jc w:val="center"/>
              <w:rPr>
                <w:rFonts w:cs="Tahoma"/>
                <w:b/>
                <w:szCs w:val="22"/>
              </w:rPr>
            </w:pPr>
            <w:r w:rsidRPr="00E151B3">
              <w:rPr>
                <w:rFonts w:cs="Tahoma"/>
                <w:b/>
                <w:szCs w:val="22"/>
              </w:rPr>
              <w:t>Duration/</w:t>
            </w:r>
          </w:p>
          <w:p w14:paraId="45727B96" w14:textId="77777777" w:rsidR="00FE6FEA" w:rsidRPr="00E151B3" w:rsidRDefault="000D6D3E" w:rsidP="00D73159">
            <w:pPr>
              <w:jc w:val="center"/>
              <w:rPr>
                <w:rFonts w:cs="Tahoma"/>
                <w:b/>
                <w:szCs w:val="22"/>
              </w:rPr>
            </w:pPr>
            <w:r w:rsidRPr="00E151B3">
              <w:rPr>
                <w:rFonts w:cs="Tahoma"/>
                <w:b/>
                <w:szCs w:val="22"/>
              </w:rPr>
              <w:t>Deadline</w:t>
            </w:r>
            <w:r w:rsidR="008B6AF5" w:rsidRPr="00E151B3">
              <w:rPr>
                <w:rFonts w:cs="Tahoma"/>
                <w:b/>
                <w:szCs w:val="22"/>
              </w:rPr>
              <w:t>/ % of fee Payable</w:t>
            </w:r>
          </w:p>
        </w:tc>
      </w:tr>
      <w:tr w:rsidR="00145A1B" w:rsidRPr="00E151B3" w14:paraId="47F1995B" w14:textId="77777777" w:rsidTr="103807B0">
        <w:trPr>
          <w:trHeight w:val="1034"/>
        </w:trPr>
        <w:tc>
          <w:tcPr>
            <w:tcW w:w="4230" w:type="dxa"/>
          </w:tcPr>
          <w:p w14:paraId="0067B4EA" w14:textId="4E7A0B60" w:rsidR="00145A1B" w:rsidRPr="00E151B3" w:rsidRDefault="00E748C5" w:rsidP="003F5797">
            <w:pPr>
              <w:jc w:val="left"/>
              <w:rPr>
                <w:rFonts w:cs="Tahoma"/>
                <w:szCs w:val="22"/>
              </w:rPr>
            </w:pPr>
            <w:r w:rsidRPr="00E151B3">
              <w:rPr>
                <w:rFonts w:cs="Tahoma"/>
                <w:szCs w:val="22"/>
              </w:rPr>
              <w:t>Assessment planning and preparation</w:t>
            </w:r>
          </w:p>
        </w:tc>
        <w:tc>
          <w:tcPr>
            <w:tcW w:w="4320" w:type="dxa"/>
          </w:tcPr>
          <w:p w14:paraId="228A2F47" w14:textId="7900F941" w:rsidR="00F0586A" w:rsidRPr="00E151B3" w:rsidRDefault="002A674D" w:rsidP="003F5797">
            <w:pPr>
              <w:autoSpaceDE w:val="0"/>
              <w:autoSpaceDN w:val="0"/>
              <w:adjustRightInd w:val="0"/>
              <w:jc w:val="left"/>
              <w:rPr>
                <w:rFonts w:cs="Tahoma"/>
                <w:szCs w:val="22"/>
                <w:lang w:eastAsia="ru-RU"/>
              </w:rPr>
            </w:pPr>
            <w:r w:rsidRPr="00E151B3">
              <w:rPr>
                <w:rFonts w:cs="Tahoma"/>
                <w:szCs w:val="22"/>
                <w:lang w:eastAsia="ru-RU"/>
              </w:rPr>
              <w:t>Inception Report containing</w:t>
            </w:r>
          </w:p>
          <w:p w14:paraId="0DB2BD60" w14:textId="71903997" w:rsidR="009421CC" w:rsidRPr="00E151B3" w:rsidRDefault="000A7EA8" w:rsidP="003F5797">
            <w:pPr>
              <w:pStyle w:val="ListParagraph"/>
              <w:numPr>
                <w:ilvl w:val="0"/>
                <w:numId w:val="13"/>
              </w:numPr>
              <w:autoSpaceDE w:val="0"/>
              <w:autoSpaceDN w:val="0"/>
              <w:adjustRightInd w:val="0"/>
              <w:ind w:left="226" w:hanging="270"/>
              <w:jc w:val="left"/>
              <w:rPr>
                <w:rFonts w:cs="Tahoma"/>
                <w:b w:val="0"/>
                <w:szCs w:val="22"/>
                <w:lang w:eastAsia="ru-RU"/>
              </w:rPr>
            </w:pPr>
            <w:r w:rsidRPr="00E151B3">
              <w:rPr>
                <w:rFonts w:cs="Tahoma"/>
                <w:b w:val="0"/>
                <w:szCs w:val="22"/>
                <w:lang w:eastAsia="ru-RU"/>
              </w:rPr>
              <w:t>HRH</w:t>
            </w:r>
            <w:r w:rsidR="002A674D" w:rsidRPr="00E151B3">
              <w:rPr>
                <w:rFonts w:cs="Tahoma"/>
                <w:b w:val="0"/>
                <w:szCs w:val="22"/>
                <w:lang w:eastAsia="ru-RU"/>
              </w:rPr>
              <w:t>-EHO</w:t>
            </w:r>
            <w:r w:rsidR="00194BD2" w:rsidRPr="00E151B3">
              <w:rPr>
                <w:rFonts w:cs="Tahoma"/>
                <w:b w:val="0"/>
                <w:szCs w:val="22"/>
                <w:lang w:eastAsia="ru-RU"/>
              </w:rPr>
              <w:t xml:space="preserve"> coordinating group </w:t>
            </w:r>
            <w:r w:rsidR="00CC33F6" w:rsidRPr="00E151B3">
              <w:rPr>
                <w:rFonts w:cs="Tahoma"/>
                <w:b w:val="0"/>
                <w:szCs w:val="22"/>
                <w:lang w:eastAsia="ru-RU"/>
              </w:rPr>
              <w:t xml:space="preserve">of </w:t>
            </w:r>
            <w:r w:rsidR="0016210E" w:rsidRPr="00E151B3">
              <w:rPr>
                <w:rFonts w:cs="Tahoma"/>
                <w:b w:val="0"/>
                <w:szCs w:val="22"/>
                <w:lang w:eastAsia="ru-RU"/>
              </w:rPr>
              <w:t xml:space="preserve">UNICEF-HPA-EHOs </w:t>
            </w:r>
            <w:r w:rsidR="00194BD2" w:rsidRPr="00E151B3">
              <w:rPr>
                <w:rFonts w:cs="Tahoma"/>
                <w:b w:val="0"/>
                <w:szCs w:val="22"/>
                <w:lang w:eastAsia="ru-RU"/>
              </w:rPr>
              <w:t xml:space="preserve">stakeholders </w:t>
            </w:r>
            <w:r w:rsidR="005D1C59" w:rsidRPr="00E151B3">
              <w:rPr>
                <w:rFonts w:cs="Tahoma"/>
                <w:b w:val="0"/>
                <w:szCs w:val="22"/>
                <w:lang w:eastAsia="ru-RU"/>
              </w:rPr>
              <w:t xml:space="preserve">established </w:t>
            </w:r>
            <w:r w:rsidR="00194BD2" w:rsidRPr="00E151B3">
              <w:rPr>
                <w:rFonts w:cs="Tahoma"/>
                <w:b w:val="0"/>
                <w:szCs w:val="22"/>
                <w:lang w:eastAsia="ru-RU"/>
              </w:rPr>
              <w:t xml:space="preserve">to oversee and facilitate the objectives, scope, design, </w:t>
            </w:r>
            <w:r w:rsidR="00ED09FF" w:rsidRPr="00E151B3">
              <w:rPr>
                <w:rFonts w:cs="Tahoma"/>
                <w:b w:val="0"/>
                <w:szCs w:val="22"/>
                <w:lang w:eastAsia="ru-RU"/>
              </w:rPr>
              <w:t xml:space="preserve">schedule, </w:t>
            </w:r>
            <w:r w:rsidR="00194BD2" w:rsidRPr="00E151B3">
              <w:rPr>
                <w:rFonts w:cs="Tahoma"/>
                <w:b w:val="0"/>
                <w:szCs w:val="22"/>
                <w:lang w:eastAsia="ru-RU"/>
              </w:rPr>
              <w:t>implementation and analysis</w:t>
            </w:r>
            <w:r w:rsidR="00ED09FF" w:rsidRPr="00E151B3">
              <w:rPr>
                <w:rFonts w:cs="Tahoma"/>
                <w:b w:val="0"/>
                <w:szCs w:val="22"/>
                <w:lang w:eastAsia="ru-RU"/>
              </w:rPr>
              <w:t xml:space="preserve"> plan</w:t>
            </w:r>
          </w:p>
          <w:p w14:paraId="0B6D8408" w14:textId="1A48B896" w:rsidR="00C10CC5" w:rsidRPr="00E151B3" w:rsidRDefault="009B1768" w:rsidP="003F5797">
            <w:pPr>
              <w:pStyle w:val="ListParagraph"/>
              <w:numPr>
                <w:ilvl w:val="0"/>
                <w:numId w:val="13"/>
              </w:numPr>
              <w:ind w:left="230" w:hanging="270"/>
              <w:jc w:val="left"/>
              <w:rPr>
                <w:b w:val="0"/>
                <w:lang w:eastAsia="ru-RU"/>
              </w:rPr>
            </w:pPr>
            <w:r w:rsidRPr="00E151B3">
              <w:rPr>
                <w:b w:val="0"/>
                <w:lang w:eastAsia="ru-RU"/>
              </w:rPr>
              <w:t xml:space="preserve">Adapted </w:t>
            </w:r>
            <w:r w:rsidR="00DA332E" w:rsidRPr="00E151B3">
              <w:rPr>
                <w:b w:val="0"/>
                <w:lang w:eastAsia="ru-RU"/>
              </w:rPr>
              <w:t xml:space="preserve">simplified </w:t>
            </w:r>
            <w:r w:rsidR="00657DB3" w:rsidRPr="00E151B3">
              <w:rPr>
                <w:b w:val="0"/>
                <w:lang w:eastAsia="ru-RU"/>
              </w:rPr>
              <w:t xml:space="preserve">online </w:t>
            </w:r>
            <w:r w:rsidRPr="00E151B3">
              <w:rPr>
                <w:b w:val="0"/>
                <w:lang w:eastAsia="ru-RU"/>
              </w:rPr>
              <w:t xml:space="preserve">questionnaires </w:t>
            </w:r>
            <w:r w:rsidR="00046F03" w:rsidRPr="008831D1">
              <w:rPr>
                <w:b w:val="0"/>
                <w:lang w:eastAsia="ru-RU"/>
              </w:rPr>
              <w:t xml:space="preserve">based on WHO’s HRH assessment guidelines </w:t>
            </w:r>
            <w:r w:rsidRPr="008831D1">
              <w:rPr>
                <w:b w:val="0"/>
                <w:lang w:eastAsia="ru-RU"/>
              </w:rPr>
              <w:t xml:space="preserve">to meet </w:t>
            </w:r>
            <w:r w:rsidR="00C51B79" w:rsidRPr="008831D1">
              <w:rPr>
                <w:b w:val="0"/>
                <w:lang w:eastAsia="ru-RU"/>
              </w:rPr>
              <w:t xml:space="preserve">EHO’s </w:t>
            </w:r>
            <w:r w:rsidR="00DA332E" w:rsidRPr="008831D1">
              <w:rPr>
                <w:b w:val="0"/>
                <w:lang w:eastAsia="ru-RU"/>
              </w:rPr>
              <w:t>programm</w:t>
            </w:r>
            <w:r w:rsidR="00046F03" w:rsidRPr="008831D1">
              <w:rPr>
                <w:b w:val="0"/>
                <w:lang w:eastAsia="ru-RU"/>
              </w:rPr>
              <w:t xml:space="preserve">atic and administrative </w:t>
            </w:r>
            <w:r w:rsidR="00DA332E" w:rsidRPr="008831D1">
              <w:rPr>
                <w:b w:val="0"/>
                <w:lang w:eastAsia="ru-RU"/>
              </w:rPr>
              <w:t>-</w:t>
            </w:r>
            <w:r w:rsidRPr="00E151B3">
              <w:rPr>
                <w:b w:val="0"/>
                <w:lang w:eastAsia="ru-RU"/>
              </w:rPr>
              <w:t>context-specific needs</w:t>
            </w:r>
            <w:r w:rsidR="00E84449" w:rsidRPr="00E151B3">
              <w:rPr>
                <w:b w:val="0"/>
                <w:lang w:eastAsia="ru-RU"/>
              </w:rPr>
              <w:t>,</w:t>
            </w:r>
            <w:r w:rsidR="008831D1">
              <w:rPr>
                <w:b w:val="0"/>
                <w:lang w:eastAsia="ru-RU"/>
              </w:rPr>
              <w:t xml:space="preserve"> </w:t>
            </w:r>
            <w:r w:rsidR="00E84449" w:rsidRPr="00E151B3">
              <w:rPr>
                <w:b w:val="0"/>
                <w:lang w:eastAsia="ru-RU"/>
              </w:rPr>
              <w:t>adapted in</w:t>
            </w:r>
            <w:r w:rsidR="00657DB3" w:rsidRPr="00E151B3">
              <w:rPr>
                <w:b w:val="0"/>
                <w:lang w:eastAsia="ru-RU"/>
              </w:rPr>
              <w:t xml:space="preserve"> </w:t>
            </w:r>
            <w:r w:rsidR="00D22142" w:rsidRPr="00E151B3">
              <w:rPr>
                <w:b w:val="0"/>
                <w:lang w:eastAsia="ru-RU"/>
              </w:rPr>
              <w:t xml:space="preserve">tablet, </w:t>
            </w:r>
            <w:r w:rsidR="00657DB3" w:rsidRPr="00E151B3">
              <w:rPr>
                <w:b w:val="0"/>
                <w:lang w:eastAsia="ru-RU"/>
              </w:rPr>
              <w:t>smartphone format or</w:t>
            </w:r>
            <w:r w:rsidR="00F8683D" w:rsidRPr="00E151B3">
              <w:rPr>
                <w:b w:val="0"/>
                <w:lang w:eastAsia="ru-RU"/>
              </w:rPr>
              <w:t xml:space="preserve"> electronic/mobile platform – K</w:t>
            </w:r>
            <w:r w:rsidR="006069CA" w:rsidRPr="00E151B3">
              <w:rPr>
                <w:b w:val="0"/>
                <w:lang w:eastAsia="ru-RU"/>
              </w:rPr>
              <w:t>obo</w:t>
            </w:r>
            <w:r w:rsidR="00F8683D" w:rsidRPr="00E151B3">
              <w:rPr>
                <w:b w:val="0"/>
                <w:lang w:eastAsia="ru-RU"/>
              </w:rPr>
              <w:t xml:space="preserve"> Collect/ODK</w:t>
            </w:r>
          </w:p>
          <w:p w14:paraId="49C29D10" w14:textId="4F3D96F4" w:rsidR="00C10CC5" w:rsidRPr="008831D1" w:rsidRDefault="006069CA" w:rsidP="003F5797">
            <w:pPr>
              <w:pStyle w:val="ListParagraph"/>
              <w:numPr>
                <w:ilvl w:val="0"/>
                <w:numId w:val="13"/>
              </w:numPr>
              <w:ind w:left="230" w:hanging="270"/>
              <w:jc w:val="left"/>
              <w:rPr>
                <w:b w:val="0"/>
                <w:lang w:eastAsia="ru-RU"/>
              </w:rPr>
            </w:pPr>
            <w:r w:rsidRPr="008831D1">
              <w:rPr>
                <w:b w:val="0"/>
                <w:lang w:eastAsia="ru-RU"/>
              </w:rPr>
              <w:t>Designed</w:t>
            </w:r>
            <w:r w:rsidR="0075064F" w:rsidRPr="008831D1">
              <w:rPr>
                <w:b w:val="0"/>
                <w:lang w:eastAsia="ru-RU"/>
              </w:rPr>
              <w:t xml:space="preserve"> </w:t>
            </w:r>
            <w:r w:rsidR="00C10CC5" w:rsidRPr="008831D1">
              <w:rPr>
                <w:b w:val="0"/>
                <w:lang w:eastAsia="ru-RU"/>
              </w:rPr>
              <w:t>data collect</w:t>
            </w:r>
            <w:r w:rsidRPr="008831D1">
              <w:rPr>
                <w:b w:val="0"/>
                <w:lang w:eastAsia="ru-RU"/>
              </w:rPr>
              <w:t>ion</w:t>
            </w:r>
            <w:r w:rsidR="00C10CC5" w:rsidRPr="008831D1">
              <w:rPr>
                <w:b w:val="0"/>
                <w:lang w:eastAsia="ru-RU"/>
              </w:rPr>
              <w:t xml:space="preserve">, data entry/processing </w:t>
            </w:r>
            <w:r w:rsidR="0075064F" w:rsidRPr="008831D1">
              <w:rPr>
                <w:b w:val="0"/>
                <w:lang w:eastAsia="ru-RU"/>
              </w:rPr>
              <w:t>and</w:t>
            </w:r>
            <w:r w:rsidR="00C10CC5" w:rsidRPr="008831D1">
              <w:rPr>
                <w:b w:val="0"/>
                <w:lang w:eastAsia="ru-RU"/>
              </w:rPr>
              <w:t xml:space="preserve"> analys</w:t>
            </w:r>
            <w:r w:rsidR="0075064F" w:rsidRPr="008831D1">
              <w:rPr>
                <w:b w:val="0"/>
                <w:lang w:eastAsia="ru-RU"/>
              </w:rPr>
              <w:t>is</w:t>
            </w:r>
            <w:r w:rsidR="00046F03" w:rsidRPr="008831D1">
              <w:rPr>
                <w:b w:val="0"/>
                <w:lang w:eastAsia="ru-RU"/>
              </w:rPr>
              <w:t xml:space="preserve"> regarding different qualification for different level of staff, different types of training received etc., </w:t>
            </w:r>
            <w:r w:rsidR="009D2B21" w:rsidRPr="008831D1">
              <w:rPr>
                <w:b w:val="0"/>
                <w:lang w:eastAsia="ru-RU"/>
              </w:rPr>
              <w:t>using questionnaire targeting to EHO’s staff of managerial level</w:t>
            </w:r>
          </w:p>
          <w:p w14:paraId="020AFF24" w14:textId="0F1529D2" w:rsidR="00424D18" w:rsidRPr="00E151B3" w:rsidRDefault="00ED09FF" w:rsidP="003F5797">
            <w:pPr>
              <w:pStyle w:val="ListParagraph"/>
              <w:numPr>
                <w:ilvl w:val="0"/>
                <w:numId w:val="13"/>
              </w:numPr>
              <w:ind w:left="230" w:hanging="270"/>
              <w:jc w:val="left"/>
              <w:rPr>
                <w:b w:val="0"/>
                <w:lang w:eastAsia="ru-RU"/>
              </w:rPr>
            </w:pPr>
            <w:r w:rsidRPr="00E151B3">
              <w:rPr>
                <w:b w:val="0"/>
                <w:lang w:eastAsia="ru-RU"/>
              </w:rPr>
              <w:t xml:space="preserve">Assessment </w:t>
            </w:r>
            <w:r w:rsidR="00C10CC5" w:rsidRPr="00E151B3">
              <w:rPr>
                <w:b w:val="0"/>
                <w:lang w:eastAsia="ru-RU"/>
              </w:rPr>
              <w:t xml:space="preserve">sampling </w:t>
            </w:r>
            <w:r w:rsidR="005120F2" w:rsidRPr="00E151B3">
              <w:rPr>
                <w:b w:val="0"/>
                <w:lang w:eastAsia="ru-RU"/>
              </w:rPr>
              <w:t xml:space="preserve">universe with </w:t>
            </w:r>
            <w:r w:rsidR="00285127" w:rsidRPr="00E151B3">
              <w:rPr>
                <w:b w:val="0"/>
                <w:lang w:eastAsia="ru-RU"/>
              </w:rPr>
              <w:t xml:space="preserve">mobile numbers/email address </w:t>
            </w:r>
            <w:r w:rsidR="00C10CC5" w:rsidRPr="00E151B3">
              <w:rPr>
                <w:b w:val="0"/>
                <w:lang w:eastAsia="ru-RU"/>
              </w:rPr>
              <w:t>of</w:t>
            </w:r>
            <w:r w:rsidR="00EE1AFE" w:rsidRPr="00E151B3">
              <w:rPr>
                <w:b w:val="0"/>
                <w:lang w:eastAsia="ru-RU"/>
              </w:rPr>
              <w:t xml:space="preserve"> health workers</w:t>
            </w:r>
            <w:r w:rsidR="00F97825" w:rsidRPr="00E151B3">
              <w:rPr>
                <w:b w:val="0"/>
                <w:lang w:eastAsia="ru-RU"/>
              </w:rPr>
              <w:t xml:space="preserve"> established</w:t>
            </w:r>
          </w:p>
          <w:p w14:paraId="2E4E66F3" w14:textId="4583E9AB" w:rsidR="000A7E6F" w:rsidRPr="00E151B3" w:rsidRDefault="0090043F" w:rsidP="003F5797">
            <w:pPr>
              <w:pStyle w:val="ListParagraph"/>
              <w:numPr>
                <w:ilvl w:val="0"/>
                <w:numId w:val="13"/>
              </w:numPr>
              <w:ind w:left="230" w:hanging="270"/>
              <w:jc w:val="left"/>
              <w:rPr>
                <w:b w:val="0"/>
                <w:lang w:eastAsia="ru-RU"/>
              </w:rPr>
            </w:pPr>
            <w:r w:rsidRPr="00E151B3">
              <w:rPr>
                <w:b w:val="0"/>
                <w:lang w:eastAsia="ru-RU"/>
              </w:rPr>
              <w:t>Training</w:t>
            </w:r>
            <w:r w:rsidR="00C17D02" w:rsidRPr="00E151B3">
              <w:rPr>
                <w:b w:val="0"/>
                <w:lang w:eastAsia="ru-RU"/>
              </w:rPr>
              <w:t xml:space="preserve"> guide</w:t>
            </w:r>
            <w:r w:rsidR="00C10CC5" w:rsidRPr="00E151B3">
              <w:rPr>
                <w:b w:val="0"/>
                <w:lang w:eastAsia="ru-RU"/>
              </w:rPr>
              <w:t xml:space="preserve"> for </w:t>
            </w:r>
            <w:r w:rsidR="00285127" w:rsidRPr="00E151B3">
              <w:rPr>
                <w:b w:val="0"/>
                <w:lang w:eastAsia="ru-RU"/>
              </w:rPr>
              <w:t xml:space="preserve">local </w:t>
            </w:r>
            <w:r w:rsidR="00C17D02" w:rsidRPr="00E151B3">
              <w:rPr>
                <w:b w:val="0"/>
                <w:lang w:eastAsia="ru-RU"/>
              </w:rPr>
              <w:t>enumerators drafted</w:t>
            </w:r>
            <w:r w:rsidR="00285127" w:rsidRPr="00E151B3">
              <w:rPr>
                <w:b w:val="0"/>
                <w:lang w:eastAsia="ru-RU"/>
              </w:rPr>
              <w:t xml:space="preserve"> in case online questionnaires cannot be collected</w:t>
            </w:r>
          </w:p>
          <w:p w14:paraId="25942CFB" w14:textId="5BDCD405" w:rsidR="009B1768" w:rsidRPr="00E151B3" w:rsidRDefault="000A7E6F" w:rsidP="003F5797">
            <w:pPr>
              <w:pStyle w:val="ListParagraph"/>
              <w:numPr>
                <w:ilvl w:val="0"/>
                <w:numId w:val="13"/>
              </w:numPr>
              <w:ind w:left="230" w:hanging="270"/>
              <w:jc w:val="left"/>
              <w:rPr>
                <w:b w:val="0"/>
                <w:lang w:eastAsia="ru-RU"/>
              </w:rPr>
            </w:pPr>
            <w:r w:rsidRPr="00E151B3">
              <w:rPr>
                <w:b w:val="0"/>
                <w:lang w:eastAsia="ru-RU"/>
              </w:rPr>
              <w:t xml:space="preserve">Pilot </w:t>
            </w:r>
            <w:r w:rsidR="0022792A" w:rsidRPr="00E151B3">
              <w:rPr>
                <w:b w:val="0"/>
                <w:lang w:eastAsia="ru-RU"/>
              </w:rPr>
              <w:t xml:space="preserve">assessment </w:t>
            </w:r>
            <w:r w:rsidR="00CC0099" w:rsidRPr="00E151B3">
              <w:rPr>
                <w:b w:val="0"/>
                <w:lang w:eastAsia="ru-RU"/>
              </w:rPr>
              <w:t>to different HRH stakeholders</w:t>
            </w:r>
          </w:p>
        </w:tc>
        <w:tc>
          <w:tcPr>
            <w:tcW w:w="1710" w:type="dxa"/>
          </w:tcPr>
          <w:p w14:paraId="3210C20F" w14:textId="284C9A60" w:rsidR="009474EF" w:rsidRPr="00E151B3" w:rsidRDefault="000A7E6F" w:rsidP="003F5797">
            <w:pPr>
              <w:tabs>
                <w:tab w:val="left" w:pos="144"/>
              </w:tabs>
              <w:jc w:val="left"/>
              <w:rPr>
                <w:rFonts w:cs="Tahoma"/>
                <w:szCs w:val="22"/>
              </w:rPr>
            </w:pPr>
            <w:r w:rsidRPr="00E151B3">
              <w:rPr>
                <w:rFonts w:cs="Tahoma"/>
                <w:szCs w:val="22"/>
              </w:rPr>
              <w:t>September 2020/</w:t>
            </w:r>
            <w:r w:rsidR="00926AB4" w:rsidRPr="00E151B3">
              <w:rPr>
                <w:rFonts w:cs="Tahoma"/>
                <w:szCs w:val="22"/>
              </w:rPr>
              <w:t>3</w:t>
            </w:r>
            <w:r w:rsidRPr="00E151B3">
              <w:rPr>
                <w:rFonts w:cs="Tahoma"/>
                <w:szCs w:val="22"/>
              </w:rPr>
              <w:t xml:space="preserve">0% </w:t>
            </w:r>
            <w:r w:rsidR="006176B9" w:rsidRPr="00E151B3">
              <w:rPr>
                <w:rFonts w:cs="Tahoma"/>
                <w:szCs w:val="22"/>
              </w:rPr>
              <w:t xml:space="preserve">fee </w:t>
            </w:r>
            <w:r w:rsidRPr="00E151B3">
              <w:rPr>
                <w:rFonts w:cs="Tahoma"/>
                <w:szCs w:val="22"/>
              </w:rPr>
              <w:t>payable</w:t>
            </w:r>
          </w:p>
        </w:tc>
      </w:tr>
      <w:tr w:rsidR="00C11957" w:rsidRPr="00E151B3" w14:paraId="2ED2D3EF" w14:textId="77777777" w:rsidTr="103807B0">
        <w:trPr>
          <w:trHeight w:val="1034"/>
        </w:trPr>
        <w:tc>
          <w:tcPr>
            <w:tcW w:w="4230" w:type="dxa"/>
          </w:tcPr>
          <w:p w14:paraId="1A952515" w14:textId="026AB09D" w:rsidR="00C11957" w:rsidRPr="00E151B3" w:rsidRDefault="005E3324" w:rsidP="003F5797">
            <w:pPr>
              <w:jc w:val="left"/>
              <w:rPr>
                <w:rFonts w:cs="Tahoma"/>
                <w:szCs w:val="22"/>
              </w:rPr>
            </w:pPr>
            <w:r w:rsidRPr="00E151B3">
              <w:rPr>
                <w:rFonts w:cs="Tahoma"/>
                <w:szCs w:val="22"/>
              </w:rPr>
              <w:t xml:space="preserve">On-line </w:t>
            </w:r>
            <w:r w:rsidR="00925E88" w:rsidRPr="00E151B3">
              <w:rPr>
                <w:rFonts w:cs="Tahoma"/>
                <w:szCs w:val="22"/>
              </w:rPr>
              <w:t xml:space="preserve">Data collection </w:t>
            </w:r>
            <w:r w:rsidRPr="00E151B3">
              <w:rPr>
                <w:rFonts w:cs="Tahoma"/>
                <w:szCs w:val="22"/>
              </w:rPr>
              <w:t>or in</w:t>
            </w:r>
            <w:r w:rsidR="00925E88" w:rsidRPr="00E151B3">
              <w:rPr>
                <w:rFonts w:cs="Tahoma"/>
                <w:szCs w:val="22"/>
              </w:rPr>
              <w:t xml:space="preserve"> the field</w:t>
            </w:r>
            <w:r w:rsidR="00BB34B3" w:rsidRPr="00E151B3">
              <w:rPr>
                <w:rFonts w:cs="Tahoma"/>
                <w:szCs w:val="22"/>
              </w:rPr>
              <w:t xml:space="preserve"> (if online cannot be done)</w:t>
            </w:r>
          </w:p>
        </w:tc>
        <w:tc>
          <w:tcPr>
            <w:tcW w:w="4320" w:type="dxa"/>
          </w:tcPr>
          <w:tbl>
            <w:tblPr>
              <w:tblW w:w="6448" w:type="dxa"/>
              <w:tblBorders>
                <w:top w:val="nil"/>
                <w:left w:val="nil"/>
                <w:bottom w:val="nil"/>
                <w:right w:val="nil"/>
              </w:tblBorders>
              <w:tblLayout w:type="fixed"/>
              <w:tblLook w:val="0000" w:firstRow="0" w:lastRow="0" w:firstColumn="0" w:lastColumn="0" w:noHBand="0" w:noVBand="0"/>
            </w:tblPr>
            <w:tblGrid>
              <w:gridCol w:w="6448"/>
            </w:tblGrid>
            <w:tr w:rsidR="00830769" w:rsidRPr="00E151B3" w14:paraId="573531EA" w14:textId="77777777" w:rsidTr="00D939DD">
              <w:trPr>
                <w:trHeight w:val="1542"/>
              </w:trPr>
              <w:tc>
                <w:tcPr>
                  <w:tcW w:w="6448" w:type="dxa"/>
                </w:tcPr>
                <w:p w14:paraId="5B4B1E55" w14:textId="07E916A4" w:rsidR="00830769" w:rsidRPr="00E151B3" w:rsidRDefault="00D939DD" w:rsidP="003F5797">
                  <w:pPr>
                    <w:ind w:right="2240"/>
                    <w:jc w:val="left"/>
                    <w:rPr>
                      <w:rFonts w:cs="Tahoma"/>
                      <w:bCs/>
                      <w:szCs w:val="22"/>
                      <w:lang w:val="en-US" w:eastAsia="ru-RU"/>
                    </w:rPr>
                  </w:pPr>
                  <w:r w:rsidRPr="00E151B3">
                    <w:rPr>
                      <w:rFonts w:cs="Tahoma"/>
                      <w:bCs/>
                      <w:szCs w:val="22"/>
                      <w:lang w:val="en-US" w:eastAsia="ru-RU"/>
                    </w:rPr>
                    <w:t>Implementation report</w:t>
                  </w:r>
                </w:p>
                <w:p w14:paraId="6BD79059" w14:textId="469CB29F" w:rsidR="00830769" w:rsidRPr="00E151B3" w:rsidRDefault="00F404FD" w:rsidP="003F5797">
                  <w:pPr>
                    <w:pStyle w:val="ListParagraph"/>
                    <w:numPr>
                      <w:ilvl w:val="1"/>
                      <w:numId w:val="14"/>
                    </w:numPr>
                    <w:ind w:left="210" w:right="2240" w:hanging="250"/>
                    <w:jc w:val="left"/>
                    <w:rPr>
                      <w:rFonts w:cs="Tahoma"/>
                      <w:b w:val="0"/>
                      <w:bCs/>
                      <w:szCs w:val="22"/>
                      <w:lang w:val="en-US" w:eastAsia="ru-RU"/>
                    </w:rPr>
                  </w:pPr>
                  <w:r w:rsidRPr="00E151B3">
                    <w:rPr>
                      <w:rFonts w:cs="Tahoma"/>
                      <w:b w:val="0"/>
                      <w:bCs/>
                      <w:szCs w:val="22"/>
                      <w:lang w:val="en-US" w:eastAsia="ru-RU"/>
                    </w:rPr>
                    <w:t>Data</w:t>
                  </w:r>
                  <w:r w:rsidR="00830769" w:rsidRPr="00E151B3">
                    <w:rPr>
                      <w:rFonts w:cs="Tahoma"/>
                      <w:b w:val="0"/>
                      <w:bCs/>
                      <w:szCs w:val="22"/>
                      <w:lang w:val="en-US" w:eastAsia="ru-RU"/>
                    </w:rPr>
                    <w:t xml:space="preserve"> collection (</w:t>
                  </w:r>
                  <w:r w:rsidR="005E3324" w:rsidRPr="00E151B3">
                    <w:rPr>
                      <w:rFonts w:cs="Tahoma"/>
                      <w:b w:val="0"/>
                      <w:bCs/>
                      <w:szCs w:val="22"/>
                      <w:lang w:val="en-US" w:eastAsia="ru-RU"/>
                    </w:rPr>
                    <w:t>e-mail/</w:t>
                  </w:r>
                  <w:r w:rsidR="00830769" w:rsidRPr="00E151B3">
                    <w:rPr>
                      <w:rFonts w:cs="Tahoma"/>
                      <w:b w:val="0"/>
                      <w:bCs/>
                      <w:szCs w:val="22"/>
                      <w:lang w:val="en-US" w:eastAsia="ru-RU"/>
                    </w:rPr>
                    <w:t xml:space="preserve">letter of introduction, </w:t>
                  </w:r>
                  <w:r w:rsidR="005E3324" w:rsidRPr="00E151B3">
                    <w:rPr>
                      <w:rFonts w:cs="Tahoma"/>
                      <w:b w:val="0"/>
                      <w:bCs/>
                      <w:szCs w:val="22"/>
                      <w:lang w:val="en-US" w:eastAsia="ru-RU"/>
                    </w:rPr>
                    <w:t xml:space="preserve">health workers </w:t>
                  </w:r>
                  <w:r w:rsidR="00830769" w:rsidRPr="00E151B3">
                    <w:rPr>
                      <w:rFonts w:cs="Tahoma"/>
                      <w:b w:val="0"/>
                      <w:bCs/>
                      <w:szCs w:val="22"/>
                      <w:lang w:val="en-US" w:eastAsia="ru-RU"/>
                    </w:rPr>
                    <w:t>contact</w:t>
                  </w:r>
                  <w:r w:rsidR="006667DB" w:rsidRPr="00E151B3">
                    <w:rPr>
                      <w:rFonts w:cs="Tahoma"/>
                      <w:b w:val="0"/>
                      <w:bCs/>
                      <w:szCs w:val="22"/>
                      <w:lang w:val="en-US" w:eastAsia="ru-RU"/>
                    </w:rPr>
                    <w:t xml:space="preserve">s </w:t>
                  </w:r>
                  <w:r w:rsidR="005E3324" w:rsidRPr="00E151B3">
                    <w:rPr>
                      <w:rFonts w:cs="Tahoma"/>
                      <w:b w:val="0"/>
                      <w:bCs/>
                      <w:szCs w:val="22"/>
                      <w:lang w:val="en-US" w:eastAsia="ru-RU"/>
                    </w:rPr>
                    <w:t>response</w:t>
                  </w:r>
                  <w:r w:rsidR="002468EA" w:rsidRPr="00E151B3">
                    <w:rPr>
                      <w:rFonts w:cs="Tahoma"/>
                      <w:b w:val="0"/>
                      <w:bCs/>
                      <w:szCs w:val="22"/>
                      <w:lang w:val="en-US" w:eastAsia="ru-RU"/>
                    </w:rPr>
                    <w:t xml:space="preserve"> record</w:t>
                  </w:r>
                  <w:r w:rsidR="00830769" w:rsidRPr="00E151B3">
                    <w:rPr>
                      <w:rFonts w:cs="Tahoma"/>
                      <w:b w:val="0"/>
                      <w:bCs/>
                      <w:szCs w:val="22"/>
                      <w:lang w:val="en-US" w:eastAsia="ru-RU"/>
                    </w:rPr>
                    <w:t xml:space="preserve">) </w:t>
                  </w:r>
                </w:p>
                <w:p w14:paraId="47C98EA2" w14:textId="456DF0D6" w:rsidR="00830769" w:rsidRPr="00E151B3" w:rsidRDefault="006667DB" w:rsidP="003F5797">
                  <w:pPr>
                    <w:pStyle w:val="ListParagraph"/>
                    <w:numPr>
                      <w:ilvl w:val="1"/>
                      <w:numId w:val="14"/>
                    </w:numPr>
                    <w:ind w:left="210" w:right="2240" w:hanging="250"/>
                    <w:jc w:val="left"/>
                    <w:rPr>
                      <w:rFonts w:cs="Tahoma"/>
                      <w:b w:val="0"/>
                      <w:bCs/>
                      <w:szCs w:val="22"/>
                      <w:lang w:val="en-US" w:eastAsia="ru-RU"/>
                    </w:rPr>
                  </w:pPr>
                  <w:r w:rsidRPr="00E151B3">
                    <w:rPr>
                      <w:rFonts w:cs="Tahoma"/>
                      <w:b w:val="0"/>
                      <w:bCs/>
                      <w:szCs w:val="22"/>
                      <w:lang w:val="en-US" w:eastAsia="ru-RU"/>
                    </w:rPr>
                    <w:t>M</w:t>
                  </w:r>
                  <w:r w:rsidR="00830769" w:rsidRPr="00E151B3">
                    <w:rPr>
                      <w:rFonts w:cs="Tahoma"/>
                      <w:b w:val="0"/>
                      <w:bCs/>
                      <w:szCs w:val="22"/>
                      <w:lang w:val="en-US" w:eastAsia="ru-RU"/>
                    </w:rPr>
                    <w:t>aterials and tools for data collect</w:t>
                  </w:r>
                  <w:r w:rsidRPr="00E151B3">
                    <w:rPr>
                      <w:rFonts w:cs="Tahoma"/>
                      <w:b w:val="0"/>
                      <w:bCs/>
                      <w:szCs w:val="22"/>
                      <w:lang w:val="en-US" w:eastAsia="ru-RU"/>
                    </w:rPr>
                    <w:t>ion</w:t>
                  </w:r>
                  <w:r w:rsidR="00830769" w:rsidRPr="00E151B3">
                    <w:rPr>
                      <w:rFonts w:cs="Tahoma"/>
                      <w:b w:val="0"/>
                      <w:bCs/>
                      <w:szCs w:val="22"/>
                      <w:lang w:val="en-US" w:eastAsia="ru-RU"/>
                    </w:rPr>
                    <w:t xml:space="preserve"> </w:t>
                  </w:r>
                </w:p>
                <w:p w14:paraId="2C085EAF" w14:textId="7CB69094" w:rsidR="00830769" w:rsidRPr="00E151B3" w:rsidRDefault="00974EAB" w:rsidP="003F5797">
                  <w:pPr>
                    <w:pStyle w:val="ListParagraph"/>
                    <w:numPr>
                      <w:ilvl w:val="1"/>
                      <w:numId w:val="14"/>
                    </w:numPr>
                    <w:ind w:left="210" w:right="2240" w:hanging="250"/>
                    <w:jc w:val="left"/>
                    <w:rPr>
                      <w:rFonts w:cs="Tahoma"/>
                      <w:b w:val="0"/>
                      <w:bCs/>
                      <w:szCs w:val="22"/>
                      <w:lang w:val="en-US" w:eastAsia="ru-RU"/>
                    </w:rPr>
                  </w:pPr>
                  <w:r w:rsidRPr="00E151B3">
                    <w:rPr>
                      <w:rFonts w:cs="Tahoma"/>
                      <w:b w:val="0"/>
                      <w:bCs/>
                      <w:szCs w:val="22"/>
                      <w:lang w:val="en-US" w:eastAsia="ru-RU"/>
                    </w:rPr>
                    <w:t>Compilations of issues during</w:t>
                  </w:r>
                  <w:r w:rsidR="002468EA" w:rsidRPr="00E151B3">
                    <w:rPr>
                      <w:rFonts w:cs="Tahoma"/>
                      <w:b w:val="0"/>
                      <w:bCs/>
                      <w:szCs w:val="22"/>
                      <w:lang w:val="en-US" w:eastAsia="ru-RU"/>
                    </w:rPr>
                    <w:t xml:space="preserve"> online</w:t>
                  </w:r>
                  <w:r w:rsidRPr="00E151B3">
                    <w:rPr>
                      <w:rFonts w:cs="Tahoma"/>
                      <w:b w:val="0"/>
                      <w:bCs/>
                      <w:szCs w:val="22"/>
                      <w:lang w:val="en-US" w:eastAsia="ru-RU"/>
                    </w:rPr>
                    <w:t xml:space="preserve"> data collection</w:t>
                  </w:r>
                  <w:r w:rsidR="008D1267" w:rsidRPr="00E151B3">
                    <w:rPr>
                      <w:rFonts w:cs="Tahoma"/>
                      <w:b w:val="0"/>
                      <w:bCs/>
                      <w:szCs w:val="22"/>
                      <w:lang w:val="en-US" w:eastAsia="ru-RU"/>
                    </w:rPr>
                    <w:t>, KOBO collect application, and how to resolve</w:t>
                  </w:r>
                </w:p>
                <w:p w14:paraId="58252A5A" w14:textId="324395F4" w:rsidR="00830769" w:rsidRPr="00E151B3" w:rsidRDefault="008D1267" w:rsidP="003F5797">
                  <w:pPr>
                    <w:pStyle w:val="ListParagraph"/>
                    <w:numPr>
                      <w:ilvl w:val="1"/>
                      <w:numId w:val="14"/>
                    </w:numPr>
                    <w:ind w:left="210" w:right="2240" w:hanging="250"/>
                    <w:jc w:val="left"/>
                    <w:rPr>
                      <w:rFonts w:cs="Tahoma"/>
                      <w:b w:val="0"/>
                      <w:bCs/>
                      <w:szCs w:val="22"/>
                      <w:lang w:val="en-US" w:eastAsia="ru-RU"/>
                    </w:rPr>
                  </w:pPr>
                  <w:r w:rsidRPr="00E151B3">
                    <w:rPr>
                      <w:rFonts w:cs="Tahoma"/>
                      <w:b w:val="0"/>
                      <w:bCs/>
                      <w:szCs w:val="22"/>
                      <w:lang w:val="en-US" w:eastAsia="ru-RU"/>
                    </w:rPr>
                    <w:t>C</w:t>
                  </w:r>
                  <w:r w:rsidR="00830769" w:rsidRPr="00E151B3">
                    <w:rPr>
                      <w:rFonts w:cs="Tahoma"/>
                      <w:b w:val="0"/>
                      <w:bCs/>
                      <w:szCs w:val="22"/>
                      <w:lang w:val="en-US" w:eastAsia="ru-RU"/>
                    </w:rPr>
                    <w:t xml:space="preserve">ompleted </w:t>
                  </w:r>
                  <w:r w:rsidRPr="00E151B3">
                    <w:rPr>
                      <w:rFonts w:cs="Tahoma"/>
                      <w:b w:val="0"/>
                      <w:bCs/>
                      <w:szCs w:val="22"/>
                      <w:lang w:val="en-US" w:eastAsia="ru-RU"/>
                    </w:rPr>
                    <w:t xml:space="preserve">electronic </w:t>
                  </w:r>
                  <w:r w:rsidR="00830769" w:rsidRPr="00E151B3">
                    <w:rPr>
                      <w:rFonts w:cs="Tahoma"/>
                      <w:b w:val="0"/>
                      <w:bCs/>
                      <w:szCs w:val="22"/>
                      <w:lang w:val="en-US" w:eastAsia="ru-RU"/>
                    </w:rPr>
                    <w:t>forms and</w:t>
                  </w:r>
                  <w:r w:rsidRPr="00E151B3">
                    <w:rPr>
                      <w:rFonts w:cs="Tahoma"/>
                      <w:b w:val="0"/>
                      <w:bCs/>
                      <w:szCs w:val="22"/>
                      <w:lang w:val="en-US" w:eastAsia="ru-RU"/>
                    </w:rPr>
                    <w:t xml:space="preserve"> periodic</w:t>
                  </w:r>
                  <w:r w:rsidR="00434A15" w:rsidRPr="00E151B3">
                    <w:rPr>
                      <w:rFonts w:cs="Tahoma"/>
                      <w:b w:val="0"/>
                      <w:bCs/>
                      <w:szCs w:val="22"/>
                      <w:lang w:val="en-US" w:eastAsia="ru-RU"/>
                    </w:rPr>
                    <w:t>ally</w:t>
                  </w:r>
                  <w:r w:rsidRPr="00E151B3">
                    <w:rPr>
                      <w:rFonts w:cs="Tahoma"/>
                      <w:b w:val="0"/>
                      <w:bCs/>
                      <w:szCs w:val="22"/>
                      <w:lang w:val="en-US" w:eastAsia="ru-RU"/>
                    </w:rPr>
                    <w:t xml:space="preserve"> transferred</w:t>
                  </w:r>
                  <w:r w:rsidR="00830769" w:rsidRPr="00E151B3">
                    <w:rPr>
                      <w:rFonts w:cs="Tahoma"/>
                      <w:b w:val="0"/>
                      <w:bCs/>
                      <w:szCs w:val="22"/>
                      <w:lang w:val="en-US" w:eastAsia="ru-RU"/>
                    </w:rPr>
                    <w:t xml:space="preserve"> electronic files to </w:t>
                  </w:r>
                  <w:r w:rsidRPr="00E151B3">
                    <w:rPr>
                      <w:rFonts w:cs="Tahoma"/>
                      <w:b w:val="0"/>
                      <w:bCs/>
                      <w:szCs w:val="22"/>
                      <w:lang w:val="en-US" w:eastAsia="ru-RU"/>
                    </w:rPr>
                    <w:t xml:space="preserve">centralized </w:t>
                  </w:r>
                  <w:r w:rsidR="00434A15" w:rsidRPr="00E151B3">
                    <w:rPr>
                      <w:rFonts w:cs="Tahoma"/>
                      <w:b w:val="0"/>
                      <w:bCs/>
                      <w:szCs w:val="22"/>
                      <w:lang w:val="en-US" w:eastAsia="ru-RU"/>
                    </w:rPr>
                    <w:t>database/dashboard</w:t>
                  </w:r>
                  <w:r w:rsidR="00830769" w:rsidRPr="00E151B3">
                    <w:rPr>
                      <w:rFonts w:cs="Tahoma"/>
                      <w:b w:val="0"/>
                      <w:bCs/>
                      <w:szCs w:val="22"/>
                      <w:lang w:val="en-US" w:eastAsia="ru-RU"/>
                    </w:rPr>
                    <w:t xml:space="preserve"> </w:t>
                  </w:r>
                </w:p>
                <w:p w14:paraId="24D6A32D" w14:textId="7576EDF8" w:rsidR="00830769" w:rsidRPr="00E151B3" w:rsidRDefault="00434A15" w:rsidP="003F5797">
                  <w:pPr>
                    <w:pStyle w:val="ListParagraph"/>
                    <w:numPr>
                      <w:ilvl w:val="1"/>
                      <w:numId w:val="14"/>
                    </w:numPr>
                    <w:ind w:left="210" w:right="2240" w:hanging="250"/>
                    <w:jc w:val="left"/>
                    <w:rPr>
                      <w:rFonts w:cs="Tahoma"/>
                      <w:b w:val="0"/>
                      <w:bCs/>
                      <w:szCs w:val="22"/>
                      <w:lang w:val="en-US" w:eastAsia="ru-RU"/>
                    </w:rPr>
                  </w:pPr>
                  <w:r w:rsidRPr="00E151B3">
                    <w:rPr>
                      <w:rFonts w:cs="Tahoma"/>
                      <w:b w:val="0"/>
                      <w:bCs/>
                      <w:szCs w:val="22"/>
                      <w:lang w:val="en-US" w:eastAsia="ru-RU"/>
                    </w:rPr>
                    <w:lastRenderedPageBreak/>
                    <w:t>Dashboard update</w:t>
                  </w:r>
                  <w:r w:rsidR="00830769" w:rsidRPr="00E151B3">
                    <w:rPr>
                      <w:rFonts w:cs="Tahoma"/>
                      <w:b w:val="0"/>
                      <w:bCs/>
                      <w:szCs w:val="22"/>
                      <w:lang w:val="en-US" w:eastAsia="ru-RU"/>
                    </w:rPr>
                    <w:t xml:space="preserve"> when data collection is complete </w:t>
                  </w:r>
                </w:p>
                <w:p w14:paraId="593EBF13" w14:textId="77777777" w:rsidR="00830769" w:rsidRPr="00E151B3" w:rsidRDefault="00830769" w:rsidP="003F5797">
                  <w:pPr>
                    <w:pStyle w:val="ListParagraph"/>
                    <w:ind w:left="210" w:right="2240" w:hanging="250"/>
                    <w:jc w:val="left"/>
                    <w:rPr>
                      <w:rFonts w:cs="Tahoma"/>
                      <w:b w:val="0"/>
                      <w:bCs/>
                      <w:szCs w:val="22"/>
                      <w:lang w:val="en-US" w:eastAsia="ru-RU"/>
                    </w:rPr>
                  </w:pPr>
                </w:p>
              </w:tc>
            </w:tr>
          </w:tbl>
          <w:p w14:paraId="66BC551E" w14:textId="357EFD1F" w:rsidR="00C11957" w:rsidRPr="00E151B3" w:rsidRDefault="00C11957" w:rsidP="003F5797">
            <w:pPr>
              <w:pStyle w:val="ListParagraph"/>
              <w:autoSpaceDE w:val="0"/>
              <w:autoSpaceDN w:val="0"/>
              <w:adjustRightInd w:val="0"/>
              <w:jc w:val="left"/>
              <w:rPr>
                <w:rFonts w:cs="Tahoma"/>
                <w:szCs w:val="22"/>
                <w:lang w:eastAsia="ru-RU"/>
              </w:rPr>
            </w:pPr>
          </w:p>
        </w:tc>
        <w:tc>
          <w:tcPr>
            <w:tcW w:w="1710" w:type="dxa"/>
          </w:tcPr>
          <w:p w14:paraId="25F47901" w14:textId="7CB9F22A" w:rsidR="004A3926" w:rsidRPr="00E151B3" w:rsidRDefault="0094134E" w:rsidP="003F5797">
            <w:pPr>
              <w:tabs>
                <w:tab w:val="left" w:pos="144"/>
              </w:tabs>
              <w:jc w:val="left"/>
              <w:rPr>
                <w:rFonts w:cs="Tahoma"/>
                <w:szCs w:val="22"/>
              </w:rPr>
            </w:pPr>
            <w:r w:rsidRPr="00E151B3">
              <w:rPr>
                <w:rFonts w:cs="Tahoma"/>
                <w:szCs w:val="22"/>
              </w:rPr>
              <w:lastRenderedPageBreak/>
              <w:t>October 2020/</w:t>
            </w:r>
            <w:r w:rsidR="00654355" w:rsidRPr="00E151B3">
              <w:rPr>
                <w:rFonts w:cs="Tahoma"/>
                <w:szCs w:val="22"/>
              </w:rPr>
              <w:t xml:space="preserve">30% </w:t>
            </w:r>
            <w:r w:rsidR="006176B9" w:rsidRPr="00E151B3">
              <w:rPr>
                <w:rFonts w:cs="Tahoma"/>
                <w:szCs w:val="22"/>
              </w:rPr>
              <w:t xml:space="preserve">fee </w:t>
            </w:r>
            <w:r w:rsidR="00654355" w:rsidRPr="00E151B3">
              <w:rPr>
                <w:rFonts w:cs="Tahoma"/>
                <w:szCs w:val="22"/>
              </w:rPr>
              <w:t>payable</w:t>
            </w:r>
          </w:p>
        </w:tc>
      </w:tr>
      <w:tr w:rsidR="00145A1B" w:rsidRPr="00E151B3" w14:paraId="09B96CE4" w14:textId="77777777" w:rsidTr="103807B0">
        <w:trPr>
          <w:trHeight w:val="512"/>
        </w:trPr>
        <w:tc>
          <w:tcPr>
            <w:tcW w:w="4230" w:type="dxa"/>
            <w:tcBorders>
              <w:bottom w:val="single" w:sz="4" w:space="0" w:color="auto"/>
            </w:tcBorders>
            <w:vAlign w:val="center"/>
          </w:tcPr>
          <w:p w14:paraId="615D8B96" w14:textId="7090124C" w:rsidR="000C55E9" w:rsidRPr="00E151B3" w:rsidRDefault="00654355" w:rsidP="003F5797">
            <w:pPr>
              <w:jc w:val="left"/>
              <w:rPr>
                <w:rFonts w:cs="Tahoma"/>
                <w:szCs w:val="22"/>
              </w:rPr>
            </w:pPr>
            <w:r w:rsidRPr="00E151B3">
              <w:rPr>
                <w:rFonts w:cs="Tahoma"/>
                <w:szCs w:val="22"/>
              </w:rPr>
              <w:t>Data entry, analysis and interpretation</w:t>
            </w:r>
          </w:p>
        </w:tc>
        <w:tc>
          <w:tcPr>
            <w:tcW w:w="4320" w:type="dxa"/>
            <w:tcBorders>
              <w:bottom w:val="single" w:sz="4" w:space="0" w:color="auto"/>
            </w:tcBorders>
          </w:tcPr>
          <w:p w14:paraId="7408BB6C" w14:textId="272A1582" w:rsidR="000F44FA" w:rsidRPr="00E151B3" w:rsidRDefault="000F44FA" w:rsidP="003F5797">
            <w:pPr>
              <w:pStyle w:val="ListParagraph"/>
              <w:numPr>
                <w:ilvl w:val="1"/>
                <w:numId w:val="14"/>
              </w:numPr>
              <w:autoSpaceDE w:val="0"/>
              <w:autoSpaceDN w:val="0"/>
              <w:adjustRightInd w:val="0"/>
              <w:ind w:left="320" w:hanging="270"/>
              <w:jc w:val="left"/>
              <w:rPr>
                <w:rFonts w:cs="Tahoma"/>
                <w:b w:val="0"/>
                <w:bCs/>
                <w:szCs w:val="22"/>
                <w:lang w:eastAsia="ru-RU"/>
              </w:rPr>
            </w:pPr>
            <w:r w:rsidRPr="00E151B3">
              <w:rPr>
                <w:rFonts w:cs="Tahoma"/>
                <w:b w:val="0"/>
                <w:bCs/>
                <w:szCs w:val="22"/>
                <w:lang w:eastAsia="ru-RU"/>
              </w:rPr>
              <w:t>D</w:t>
            </w:r>
            <w:r w:rsidR="00790D4A" w:rsidRPr="00E151B3">
              <w:rPr>
                <w:rFonts w:cs="Tahoma"/>
                <w:b w:val="0"/>
                <w:bCs/>
                <w:szCs w:val="22"/>
                <w:lang w:eastAsia="ru-RU"/>
              </w:rPr>
              <w:t>ata entered</w:t>
            </w:r>
            <w:r w:rsidRPr="00E151B3">
              <w:rPr>
                <w:rFonts w:cs="Tahoma"/>
                <w:b w:val="0"/>
                <w:bCs/>
                <w:szCs w:val="22"/>
                <w:lang w:eastAsia="ru-RU"/>
              </w:rPr>
              <w:t xml:space="preserve"> using </w:t>
            </w:r>
            <w:r w:rsidR="00C71246" w:rsidRPr="00E151B3">
              <w:rPr>
                <w:rFonts w:cs="Tahoma"/>
                <w:b w:val="0"/>
                <w:bCs/>
                <w:szCs w:val="22"/>
                <w:lang w:eastAsia="ru-RU"/>
              </w:rPr>
              <w:t>licensed</w:t>
            </w:r>
            <w:r w:rsidRPr="00E151B3">
              <w:rPr>
                <w:rFonts w:cs="Tahoma"/>
                <w:b w:val="0"/>
                <w:bCs/>
                <w:szCs w:val="22"/>
                <w:lang w:eastAsia="ru-RU"/>
              </w:rPr>
              <w:t xml:space="preserve"> application</w:t>
            </w:r>
          </w:p>
          <w:p w14:paraId="0E0B233C" w14:textId="72DE1F11" w:rsidR="000F44FA" w:rsidRPr="00E151B3" w:rsidRDefault="00790D4A" w:rsidP="003F5797">
            <w:pPr>
              <w:pStyle w:val="ListParagraph"/>
              <w:numPr>
                <w:ilvl w:val="1"/>
                <w:numId w:val="14"/>
              </w:numPr>
              <w:autoSpaceDE w:val="0"/>
              <w:autoSpaceDN w:val="0"/>
              <w:adjustRightInd w:val="0"/>
              <w:ind w:left="320" w:hanging="270"/>
              <w:jc w:val="left"/>
              <w:rPr>
                <w:rFonts w:cs="Tahoma"/>
                <w:b w:val="0"/>
                <w:bCs/>
                <w:szCs w:val="22"/>
                <w:lang w:eastAsia="ru-RU"/>
              </w:rPr>
            </w:pPr>
            <w:r w:rsidRPr="00E151B3">
              <w:rPr>
                <w:rFonts w:cs="Tahoma"/>
                <w:b w:val="0"/>
                <w:bCs/>
                <w:szCs w:val="22"/>
                <w:lang w:eastAsia="ru-RU"/>
              </w:rPr>
              <w:t>Edited</w:t>
            </w:r>
            <w:r w:rsidR="000F44FA" w:rsidRPr="00E151B3">
              <w:rPr>
                <w:rFonts w:cs="Tahoma"/>
                <w:b w:val="0"/>
                <w:bCs/>
                <w:szCs w:val="22"/>
                <w:lang w:eastAsia="ru-RU"/>
              </w:rPr>
              <w:t>, validate</w:t>
            </w:r>
            <w:r w:rsidRPr="00E151B3">
              <w:rPr>
                <w:rFonts w:cs="Tahoma"/>
                <w:b w:val="0"/>
                <w:bCs/>
                <w:szCs w:val="22"/>
                <w:lang w:eastAsia="ru-RU"/>
              </w:rPr>
              <w:t>d</w:t>
            </w:r>
            <w:r w:rsidR="000F44FA" w:rsidRPr="00E151B3">
              <w:rPr>
                <w:rFonts w:cs="Tahoma"/>
                <w:b w:val="0"/>
                <w:bCs/>
                <w:szCs w:val="22"/>
                <w:lang w:eastAsia="ru-RU"/>
              </w:rPr>
              <w:t xml:space="preserve"> and clean data set, </w:t>
            </w:r>
            <w:r w:rsidRPr="00E151B3">
              <w:rPr>
                <w:rFonts w:cs="Tahoma"/>
                <w:b w:val="0"/>
                <w:bCs/>
                <w:szCs w:val="22"/>
                <w:lang w:eastAsia="ru-RU"/>
              </w:rPr>
              <w:t xml:space="preserve">presented and checked </w:t>
            </w:r>
            <w:r w:rsidR="000F44FA" w:rsidRPr="00E151B3">
              <w:rPr>
                <w:rFonts w:cs="Tahoma"/>
                <w:b w:val="0"/>
                <w:bCs/>
                <w:szCs w:val="22"/>
                <w:lang w:eastAsia="ru-RU"/>
              </w:rPr>
              <w:t>for consistency and accuracy</w:t>
            </w:r>
          </w:p>
          <w:p w14:paraId="5C537828" w14:textId="1AFA428B" w:rsidR="000F44FA" w:rsidRPr="00E151B3" w:rsidRDefault="000F44FA" w:rsidP="003F5797">
            <w:pPr>
              <w:pStyle w:val="ListParagraph"/>
              <w:numPr>
                <w:ilvl w:val="1"/>
                <w:numId w:val="14"/>
              </w:numPr>
              <w:autoSpaceDE w:val="0"/>
              <w:autoSpaceDN w:val="0"/>
              <w:adjustRightInd w:val="0"/>
              <w:ind w:left="320" w:hanging="270"/>
              <w:jc w:val="left"/>
              <w:rPr>
                <w:rFonts w:cs="Tahoma"/>
                <w:b w:val="0"/>
                <w:bCs/>
                <w:szCs w:val="22"/>
                <w:lang w:eastAsia="ru-RU"/>
              </w:rPr>
            </w:pPr>
            <w:r w:rsidRPr="00E151B3">
              <w:rPr>
                <w:rFonts w:cs="Tahoma"/>
                <w:b w:val="0"/>
                <w:bCs/>
                <w:szCs w:val="22"/>
                <w:lang w:eastAsia="ru-RU"/>
              </w:rPr>
              <w:t>Export</w:t>
            </w:r>
            <w:r w:rsidR="00790D4A" w:rsidRPr="00E151B3">
              <w:rPr>
                <w:rFonts w:cs="Tahoma"/>
                <w:b w:val="0"/>
                <w:bCs/>
                <w:szCs w:val="22"/>
                <w:lang w:eastAsia="ru-RU"/>
              </w:rPr>
              <w:t>ed</w:t>
            </w:r>
            <w:r w:rsidRPr="00E151B3">
              <w:rPr>
                <w:rFonts w:cs="Tahoma"/>
                <w:b w:val="0"/>
                <w:bCs/>
                <w:szCs w:val="22"/>
                <w:lang w:eastAsia="ru-RU"/>
              </w:rPr>
              <w:t xml:space="preserve"> data set for analysis (</w:t>
            </w:r>
            <w:r w:rsidR="00C71246" w:rsidRPr="00E151B3">
              <w:rPr>
                <w:rFonts w:cs="Tahoma"/>
                <w:b w:val="0"/>
                <w:bCs/>
                <w:szCs w:val="22"/>
                <w:lang w:eastAsia="ru-RU"/>
              </w:rPr>
              <w:t>HRH</w:t>
            </w:r>
            <w:r w:rsidRPr="00E151B3">
              <w:rPr>
                <w:rFonts w:cs="Tahoma"/>
                <w:b w:val="0"/>
                <w:bCs/>
                <w:szCs w:val="22"/>
                <w:lang w:eastAsia="ru-RU"/>
              </w:rPr>
              <w:t xml:space="preserve"> indicators)</w:t>
            </w:r>
          </w:p>
          <w:p w14:paraId="5CC0E251" w14:textId="732A8E95" w:rsidR="004A3926" w:rsidRPr="00E151B3" w:rsidRDefault="00790D4A" w:rsidP="003F5797">
            <w:pPr>
              <w:pStyle w:val="ListParagraph"/>
              <w:numPr>
                <w:ilvl w:val="0"/>
                <w:numId w:val="15"/>
              </w:numPr>
              <w:autoSpaceDE w:val="0"/>
              <w:autoSpaceDN w:val="0"/>
              <w:adjustRightInd w:val="0"/>
              <w:ind w:left="320" w:hanging="270"/>
              <w:jc w:val="left"/>
              <w:rPr>
                <w:rFonts w:cs="Tahoma"/>
                <w:b w:val="0"/>
                <w:bCs/>
                <w:szCs w:val="22"/>
                <w:lang w:eastAsia="ru-RU"/>
              </w:rPr>
            </w:pPr>
            <w:r w:rsidRPr="00E151B3">
              <w:rPr>
                <w:rFonts w:cs="Tahoma"/>
                <w:b w:val="0"/>
                <w:bCs/>
                <w:szCs w:val="22"/>
                <w:lang w:eastAsia="ru-RU"/>
              </w:rPr>
              <w:t>Analysis</w:t>
            </w:r>
            <w:r w:rsidR="000F44FA" w:rsidRPr="00E151B3">
              <w:rPr>
                <w:rFonts w:cs="Tahoma"/>
                <w:b w:val="0"/>
                <w:bCs/>
                <w:szCs w:val="22"/>
                <w:lang w:eastAsia="ru-RU"/>
              </w:rPr>
              <w:t xml:space="preserve"> of </w:t>
            </w:r>
            <w:r w:rsidR="00C71246" w:rsidRPr="00E151B3">
              <w:rPr>
                <w:rFonts w:cs="Tahoma"/>
                <w:b w:val="0"/>
                <w:bCs/>
                <w:szCs w:val="22"/>
                <w:lang w:eastAsia="ru-RU"/>
              </w:rPr>
              <w:t>HRH</w:t>
            </w:r>
            <w:r w:rsidR="000F44FA" w:rsidRPr="00E151B3">
              <w:rPr>
                <w:rFonts w:cs="Tahoma"/>
                <w:b w:val="0"/>
                <w:bCs/>
                <w:szCs w:val="22"/>
                <w:lang w:eastAsia="ru-RU"/>
              </w:rPr>
              <w:t xml:space="preserve"> data using the standard core indicators as well as any </w:t>
            </w:r>
            <w:r w:rsidRPr="00E151B3">
              <w:rPr>
                <w:rFonts w:cs="Tahoma"/>
                <w:b w:val="0"/>
                <w:bCs/>
                <w:szCs w:val="22"/>
                <w:lang w:eastAsia="ru-RU"/>
              </w:rPr>
              <w:t>context</w:t>
            </w:r>
            <w:r w:rsidR="000F44FA" w:rsidRPr="00E151B3">
              <w:rPr>
                <w:rFonts w:cs="Tahoma"/>
                <w:b w:val="0"/>
                <w:bCs/>
                <w:szCs w:val="22"/>
                <w:lang w:eastAsia="ru-RU"/>
              </w:rPr>
              <w:t>-specific indicators of interest</w:t>
            </w:r>
          </w:p>
        </w:tc>
        <w:tc>
          <w:tcPr>
            <w:tcW w:w="1710" w:type="dxa"/>
            <w:tcBorders>
              <w:bottom w:val="single" w:sz="4" w:space="0" w:color="auto"/>
            </w:tcBorders>
          </w:tcPr>
          <w:p w14:paraId="01ADF5C0" w14:textId="5EFBB538" w:rsidR="004A3926" w:rsidRPr="00E151B3" w:rsidRDefault="00790D4A" w:rsidP="003F5797">
            <w:pPr>
              <w:tabs>
                <w:tab w:val="left" w:pos="144"/>
              </w:tabs>
              <w:jc w:val="left"/>
              <w:rPr>
                <w:rFonts w:cs="Tahoma"/>
                <w:szCs w:val="22"/>
              </w:rPr>
            </w:pPr>
            <w:r w:rsidRPr="00E151B3">
              <w:rPr>
                <w:rFonts w:cs="Tahoma"/>
                <w:szCs w:val="22"/>
              </w:rPr>
              <w:t>November</w:t>
            </w:r>
            <w:r w:rsidR="006176B9" w:rsidRPr="00E151B3">
              <w:rPr>
                <w:rFonts w:cs="Tahoma"/>
                <w:szCs w:val="22"/>
              </w:rPr>
              <w:t xml:space="preserve"> 2020/30% fee payable</w:t>
            </w:r>
          </w:p>
        </w:tc>
      </w:tr>
      <w:tr w:rsidR="00E609B0" w:rsidRPr="00E151B3" w14:paraId="591819FB" w14:textId="77777777" w:rsidTr="103807B0">
        <w:trPr>
          <w:trHeight w:val="512"/>
        </w:trPr>
        <w:tc>
          <w:tcPr>
            <w:tcW w:w="4230" w:type="dxa"/>
            <w:tcBorders>
              <w:bottom w:val="single" w:sz="4" w:space="0" w:color="auto"/>
            </w:tcBorders>
            <w:vAlign w:val="center"/>
          </w:tcPr>
          <w:p w14:paraId="610B1EAD" w14:textId="59F0ED63" w:rsidR="00E609B0" w:rsidRPr="00E151B3" w:rsidRDefault="00690333" w:rsidP="002C22AD">
            <w:pPr>
              <w:rPr>
                <w:rFonts w:cs="Tahoma"/>
                <w:szCs w:val="22"/>
              </w:rPr>
            </w:pPr>
            <w:r w:rsidRPr="00E151B3">
              <w:rPr>
                <w:rFonts w:cs="Tahoma"/>
                <w:szCs w:val="22"/>
              </w:rPr>
              <w:t>Results dissemination</w:t>
            </w:r>
          </w:p>
        </w:tc>
        <w:tc>
          <w:tcPr>
            <w:tcW w:w="4320" w:type="dxa"/>
            <w:tcBorders>
              <w:bottom w:val="single" w:sz="4" w:space="0" w:color="auto"/>
            </w:tcBorders>
          </w:tcPr>
          <w:p w14:paraId="78FCE451" w14:textId="5071A348" w:rsidR="004D2E8B" w:rsidRPr="00E151B3" w:rsidRDefault="00C71246" w:rsidP="006B02DB">
            <w:pPr>
              <w:pStyle w:val="ListParagraph"/>
              <w:numPr>
                <w:ilvl w:val="1"/>
                <w:numId w:val="14"/>
              </w:numPr>
              <w:autoSpaceDE w:val="0"/>
              <w:autoSpaceDN w:val="0"/>
              <w:adjustRightInd w:val="0"/>
              <w:ind w:left="320" w:hanging="270"/>
              <w:rPr>
                <w:rFonts w:cs="Tahoma"/>
                <w:b w:val="0"/>
                <w:bCs/>
                <w:szCs w:val="22"/>
                <w:lang w:eastAsia="ru-RU"/>
              </w:rPr>
            </w:pPr>
            <w:r w:rsidRPr="00E151B3">
              <w:rPr>
                <w:rFonts w:cs="Tahoma"/>
                <w:b w:val="0"/>
                <w:bCs/>
                <w:szCs w:val="22"/>
                <w:lang w:eastAsia="ru-RU"/>
              </w:rPr>
              <w:t>HRH</w:t>
            </w:r>
            <w:r w:rsidR="006B02DB" w:rsidRPr="00E151B3">
              <w:rPr>
                <w:rFonts w:cs="Tahoma"/>
                <w:b w:val="0"/>
                <w:bCs/>
                <w:szCs w:val="22"/>
                <w:lang w:eastAsia="ru-RU"/>
              </w:rPr>
              <w:t>-EHO</w:t>
            </w:r>
            <w:r w:rsidR="004D2E8B" w:rsidRPr="00E151B3">
              <w:rPr>
                <w:rFonts w:cs="Tahoma"/>
                <w:b w:val="0"/>
                <w:bCs/>
                <w:szCs w:val="22"/>
                <w:lang w:eastAsia="ru-RU"/>
              </w:rPr>
              <w:t xml:space="preserve"> coordinating group </w:t>
            </w:r>
            <w:r w:rsidRPr="00E151B3">
              <w:rPr>
                <w:rFonts w:cs="Tahoma"/>
                <w:b w:val="0"/>
                <w:bCs/>
                <w:szCs w:val="22"/>
                <w:lang w:eastAsia="ru-RU"/>
              </w:rPr>
              <w:t>facilitated</w:t>
            </w:r>
            <w:r w:rsidR="006B02DB" w:rsidRPr="00E151B3">
              <w:rPr>
                <w:rFonts w:cs="Tahoma"/>
                <w:b w:val="0"/>
                <w:bCs/>
                <w:szCs w:val="22"/>
                <w:lang w:eastAsia="ru-RU"/>
              </w:rPr>
              <w:t xml:space="preserve"> </w:t>
            </w:r>
            <w:r w:rsidR="004D2E8B" w:rsidRPr="00E151B3">
              <w:rPr>
                <w:rFonts w:cs="Tahoma"/>
                <w:b w:val="0"/>
                <w:bCs/>
                <w:szCs w:val="22"/>
                <w:lang w:eastAsia="ru-RU"/>
              </w:rPr>
              <w:t xml:space="preserve">to </w:t>
            </w:r>
            <w:r w:rsidR="00FB02BE" w:rsidRPr="00E151B3">
              <w:rPr>
                <w:rFonts w:cs="Tahoma"/>
                <w:b w:val="0"/>
                <w:bCs/>
                <w:szCs w:val="22"/>
                <w:lang w:eastAsia="ru-RU"/>
              </w:rPr>
              <w:t>analyse</w:t>
            </w:r>
            <w:r w:rsidR="004D2E8B" w:rsidRPr="00E151B3">
              <w:rPr>
                <w:rFonts w:cs="Tahoma"/>
                <w:b w:val="0"/>
                <w:bCs/>
                <w:szCs w:val="22"/>
                <w:lang w:eastAsia="ru-RU"/>
              </w:rPr>
              <w:t xml:space="preserve"> and interpret </w:t>
            </w:r>
            <w:r w:rsidR="006B02DB" w:rsidRPr="00E151B3">
              <w:rPr>
                <w:rFonts w:cs="Tahoma"/>
                <w:b w:val="0"/>
                <w:bCs/>
                <w:szCs w:val="22"/>
                <w:lang w:eastAsia="ru-RU"/>
              </w:rPr>
              <w:t>assessment</w:t>
            </w:r>
            <w:r w:rsidR="004D2E8B" w:rsidRPr="00E151B3">
              <w:rPr>
                <w:rFonts w:cs="Tahoma"/>
                <w:b w:val="0"/>
                <w:bCs/>
                <w:szCs w:val="22"/>
                <w:lang w:eastAsia="ru-RU"/>
              </w:rPr>
              <w:t xml:space="preserve"> results and to finalize recommendations</w:t>
            </w:r>
          </w:p>
          <w:p w14:paraId="18CFFE73" w14:textId="0C306D0B" w:rsidR="004D2E8B" w:rsidRPr="00E151B3" w:rsidRDefault="006B02DB" w:rsidP="006B02DB">
            <w:pPr>
              <w:pStyle w:val="ListParagraph"/>
              <w:numPr>
                <w:ilvl w:val="1"/>
                <w:numId w:val="14"/>
              </w:numPr>
              <w:autoSpaceDE w:val="0"/>
              <w:autoSpaceDN w:val="0"/>
              <w:adjustRightInd w:val="0"/>
              <w:ind w:left="320" w:hanging="270"/>
              <w:rPr>
                <w:rFonts w:cs="Tahoma"/>
                <w:b w:val="0"/>
                <w:bCs/>
                <w:szCs w:val="22"/>
                <w:lang w:eastAsia="ru-RU"/>
              </w:rPr>
            </w:pPr>
            <w:r w:rsidRPr="00E151B3">
              <w:rPr>
                <w:rFonts w:cs="Tahoma"/>
                <w:b w:val="0"/>
                <w:bCs/>
                <w:szCs w:val="22"/>
                <w:lang w:eastAsia="ru-RU"/>
              </w:rPr>
              <w:t>Fi</w:t>
            </w:r>
            <w:r w:rsidR="004D2E8B" w:rsidRPr="00E151B3">
              <w:rPr>
                <w:rFonts w:cs="Tahoma"/>
                <w:b w:val="0"/>
                <w:bCs/>
                <w:szCs w:val="22"/>
                <w:lang w:eastAsia="ru-RU"/>
              </w:rPr>
              <w:t>nal report</w:t>
            </w:r>
          </w:p>
          <w:p w14:paraId="7E61418A" w14:textId="6AC84683" w:rsidR="004D2E8B" w:rsidRPr="00E151B3" w:rsidRDefault="006B02DB" w:rsidP="006B02DB">
            <w:pPr>
              <w:pStyle w:val="ListParagraph"/>
              <w:numPr>
                <w:ilvl w:val="1"/>
                <w:numId w:val="14"/>
              </w:numPr>
              <w:autoSpaceDE w:val="0"/>
              <w:autoSpaceDN w:val="0"/>
              <w:adjustRightInd w:val="0"/>
              <w:ind w:left="320" w:hanging="270"/>
              <w:rPr>
                <w:rFonts w:cs="Tahoma"/>
                <w:b w:val="0"/>
                <w:bCs/>
                <w:szCs w:val="22"/>
                <w:lang w:eastAsia="ru-RU"/>
              </w:rPr>
            </w:pPr>
            <w:r w:rsidRPr="00E151B3">
              <w:rPr>
                <w:rFonts w:cs="Tahoma"/>
                <w:b w:val="0"/>
                <w:bCs/>
                <w:szCs w:val="22"/>
                <w:lang w:eastAsia="ru-RU"/>
              </w:rPr>
              <w:t xml:space="preserve">Dissemination plan </w:t>
            </w:r>
            <w:r w:rsidR="006A3553" w:rsidRPr="00E151B3">
              <w:rPr>
                <w:rFonts w:cs="Tahoma"/>
                <w:b w:val="0"/>
                <w:bCs/>
                <w:szCs w:val="22"/>
                <w:lang w:eastAsia="ru-RU"/>
              </w:rPr>
              <w:t>drafted</w:t>
            </w:r>
          </w:p>
          <w:p w14:paraId="02A4C09F" w14:textId="3E30F570" w:rsidR="00E609B0" w:rsidRPr="00E151B3" w:rsidRDefault="004D2E8B" w:rsidP="006B02DB">
            <w:pPr>
              <w:pStyle w:val="ListParagraph"/>
              <w:numPr>
                <w:ilvl w:val="0"/>
                <w:numId w:val="15"/>
              </w:numPr>
              <w:autoSpaceDE w:val="0"/>
              <w:autoSpaceDN w:val="0"/>
              <w:adjustRightInd w:val="0"/>
              <w:ind w:left="320" w:hanging="270"/>
              <w:rPr>
                <w:rFonts w:cs="Tahoma"/>
                <w:b w:val="0"/>
                <w:bCs/>
                <w:szCs w:val="22"/>
                <w:lang w:eastAsia="ru-RU"/>
              </w:rPr>
            </w:pPr>
            <w:r w:rsidRPr="00E151B3">
              <w:rPr>
                <w:rFonts w:cs="Tahoma"/>
                <w:b w:val="0"/>
                <w:bCs/>
                <w:szCs w:val="22"/>
                <w:lang w:eastAsia="ru-RU"/>
              </w:rPr>
              <w:t>Document</w:t>
            </w:r>
            <w:r w:rsidR="002C75D6" w:rsidRPr="00E151B3">
              <w:rPr>
                <w:rFonts w:cs="Tahoma"/>
                <w:b w:val="0"/>
                <w:bCs/>
                <w:szCs w:val="22"/>
                <w:lang w:eastAsia="ru-RU"/>
              </w:rPr>
              <w:t>ed</w:t>
            </w:r>
            <w:r w:rsidRPr="00E151B3">
              <w:rPr>
                <w:rFonts w:cs="Tahoma"/>
                <w:b w:val="0"/>
                <w:bCs/>
                <w:szCs w:val="22"/>
                <w:lang w:eastAsia="ru-RU"/>
              </w:rPr>
              <w:t xml:space="preserve"> and archive</w:t>
            </w:r>
            <w:r w:rsidR="002C75D6" w:rsidRPr="00E151B3">
              <w:rPr>
                <w:rFonts w:cs="Tahoma"/>
                <w:b w:val="0"/>
                <w:bCs/>
                <w:szCs w:val="22"/>
                <w:lang w:eastAsia="ru-RU"/>
              </w:rPr>
              <w:t>d</w:t>
            </w:r>
            <w:r w:rsidRPr="00E151B3">
              <w:rPr>
                <w:rFonts w:cs="Tahoma"/>
                <w:b w:val="0"/>
                <w:bCs/>
                <w:szCs w:val="22"/>
                <w:lang w:eastAsia="ru-RU"/>
              </w:rPr>
              <w:t xml:space="preserve"> </w:t>
            </w:r>
            <w:r w:rsidR="006A3553" w:rsidRPr="00E151B3">
              <w:rPr>
                <w:rFonts w:cs="Tahoma"/>
                <w:b w:val="0"/>
                <w:bCs/>
                <w:szCs w:val="22"/>
                <w:lang w:eastAsia="ru-RU"/>
              </w:rPr>
              <w:t>assessment</w:t>
            </w:r>
            <w:r w:rsidRPr="00E151B3">
              <w:rPr>
                <w:rFonts w:cs="Tahoma"/>
                <w:b w:val="0"/>
                <w:bCs/>
                <w:szCs w:val="22"/>
                <w:lang w:eastAsia="ru-RU"/>
              </w:rPr>
              <w:t xml:space="preserve"> using metadata standards</w:t>
            </w:r>
          </w:p>
        </w:tc>
        <w:tc>
          <w:tcPr>
            <w:tcW w:w="1710" w:type="dxa"/>
            <w:tcBorders>
              <w:bottom w:val="single" w:sz="4" w:space="0" w:color="auto"/>
            </w:tcBorders>
          </w:tcPr>
          <w:p w14:paraId="057E4B36" w14:textId="3D5476E8" w:rsidR="00E609B0" w:rsidRPr="00E151B3" w:rsidRDefault="006A3553" w:rsidP="00873B6A">
            <w:pPr>
              <w:tabs>
                <w:tab w:val="left" w:pos="144"/>
              </w:tabs>
              <w:rPr>
                <w:rFonts w:cs="Tahoma"/>
                <w:szCs w:val="22"/>
              </w:rPr>
            </w:pPr>
            <w:r w:rsidRPr="00E151B3">
              <w:rPr>
                <w:rFonts w:cs="Tahoma"/>
                <w:szCs w:val="22"/>
              </w:rPr>
              <w:t>Dec 2020/10% fee payable</w:t>
            </w:r>
          </w:p>
        </w:tc>
      </w:tr>
      <w:tr w:rsidR="00E609B0" w:rsidRPr="00E151B3" w14:paraId="705B1B61" w14:textId="77777777" w:rsidTr="103807B0">
        <w:trPr>
          <w:trHeight w:val="512"/>
        </w:trPr>
        <w:tc>
          <w:tcPr>
            <w:tcW w:w="4230" w:type="dxa"/>
            <w:tcBorders>
              <w:bottom w:val="single" w:sz="4" w:space="0" w:color="auto"/>
            </w:tcBorders>
            <w:vAlign w:val="center"/>
          </w:tcPr>
          <w:p w14:paraId="0FF6CB09" w14:textId="77777777" w:rsidR="00E609B0" w:rsidRPr="00E151B3" w:rsidRDefault="00E609B0" w:rsidP="002C22AD">
            <w:pPr>
              <w:rPr>
                <w:rFonts w:cs="Tahoma"/>
                <w:szCs w:val="22"/>
              </w:rPr>
            </w:pPr>
          </w:p>
        </w:tc>
        <w:tc>
          <w:tcPr>
            <w:tcW w:w="4320" w:type="dxa"/>
            <w:tcBorders>
              <w:bottom w:val="single" w:sz="4" w:space="0" w:color="auto"/>
            </w:tcBorders>
          </w:tcPr>
          <w:p w14:paraId="09D7E2AD" w14:textId="77777777" w:rsidR="00E609B0" w:rsidRPr="00E151B3" w:rsidRDefault="00E609B0" w:rsidP="00406D45">
            <w:pPr>
              <w:autoSpaceDE w:val="0"/>
              <w:autoSpaceDN w:val="0"/>
              <w:adjustRightInd w:val="0"/>
              <w:rPr>
                <w:rFonts w:cs="Tahoma"/>
                <w:b/>
                <w:szCs w:val="22"/>
                <w:lang w:eastAsia="ru-RU"/>
              </w:rPr>
            </w:pPr>
          </w:p>
        </w:tc>
        <w:tc>
          <w:tcPr>
            <w:tcW w:w="1710" w:type="dxa"/>
            <w:tcBorders>
              <w:bottom w:val="single" w:sz="4" w:space="0" w:color="auto"/>
            </w:tcBorders>
          </w:tcPr>
          <w:p w14:paraId="3A1FC87C" w14:textId="77777777" w:rsidR="00E609B0" w:rsidRPr="00E151B3" w:rsidRDefault="00E609B0" w:rsidP="00873B6A">
            <w:pPr>
              <w:tabs>
                <w:tab w:val="left" w:pos="144"/>
              </w:tabs>
              <w:rPr>
                <w:rFonts w:cs="Tahoma"/>
                <w:szCs w:val="22"/>
              </w:rPr>
            </w:pPr>
          </w:p>
        </w:tc>
      </w:tr>
      <w:tr w:rsidR="00AC1BA0" w:rsidRPr="00E151B3" w14:paraId="586B31CD" w14:textId="77777777" w:rsidTr="103807B0">
        <w:trPr>
          <w:trHeight w:val="848"/>
        </w:trPr>
        <w:tc>
          <w:tcPr>
            <w:tcW w:w="10260" w:type="dxa"/>
            <w:gridSpan w:val="3"/>
          </w:tcPr>
          <w:p w14:paraId="29932BC4" w14:textId="77777777" w:rsidR="00AC1BA0" w:rsidRPr="00E151B3" w:rsidRDefault="00AC1BA0" w:rsidP="00AC1BA0">
            <w:pPr>
              <w:pStyle w:val="ListParagraph"/>
              <w:numPr>
                <w:ilvl w:val="0"/>
                <w:numId w:val="7"/>
              </w:numPr>
              <w:ind w:left="342" w:hanging="342"/>
              <w:rPr>
                <w:rFonts w:cs="Tahoma"/>
                <w:szCs w:val="22"/>
              </w:rPr>
            </w:pPr>
            <w:r w:rsidRPr="00E151B3">
              <w:rPr>
                <w:rFonts w:cs="Tahoma"/>
                <w:szCs w:val="22"/>
              </w:rPr>
              <w:t>Advertisement / Invitation / Request for Expression of Interest</w:t>
            </w:r>
          </w:p>
          <w:p w14:paraId="0E02CCDF" w14:textId="03009A1E" w:rsidR="00E119FB" w:rsidRPr="00E151B3" w:rsidRDefault="00824CF5" w:rsidP="00AC1BA0">
            <w:pPr>
              <w:rPr>
                <w:rFonts w:cs="Tahoma"/>
                <w:szCs w:val="22"/>
              </w:rPr>
            </w:pPr>
            <w:r w:rsidRPr="00E151B3">
              <w:rPr>
                <w:rFonts w:cs="Tahoma"/>
                <w:szCs w:val="22"/>
              </w:rPr>
              <w:t>The consultancy will be published to the UN vacancy and UNICEF open vacancy</w:t>
            </w:r>
            <w:r w:rsidR="00646984" w:rsidRPr="00E151B3">
              <w:rPr>
                <w:rFonts w:cs="Tahoma"/>
                <w:szCs w:val="22"/>
              </w:rPr>
              <w:t xml:space="preserve"> will be circulated to the </w:t>
            </w:r>
            <w:r w:rsidRPr="00E151B3">
              <w:rPr>
                <w:rFonts w:cs="Tahoma"/>
                <w:szCs w:val="22"/>
              </w:rPr>
              <w:t xml:space="preserve">roster </w:t>
            </w:r>
            <w:r w:rsidR="00CB7729" w:rsidRPr="00E151B3">
              <w:rPr>
                <w:rFonts w:cs="Tahoma"/>
                <w:szCs w:val="22"/>
              </w:rPr>
              <w:t>of national consultants in health and PME</w:t>
            </w:r>
            <w:r w:rsidRPr="00E151B3">
              <w:rPr>
                <w:rFonts w:cs="Tahoma"/>
                <w:szCs w:val="22"/>
              </w:rPr>
              <w:t xml:space="preserve"> </w:t>
            </w:r>
            <w:r w:rsidR="00646984" w:rsidRPr="00E151B3">
              <w:rPr>
                <w:rFonts w:cs="Tahoma"/>
                <w:szCs w:val="22"/>
              </w:rPr>
              <w:t xml:space="preserve">technical networks. </w:t>
            </w:r>
            <w:r w:rsidR="00951AF5" w:rsidRPr="00E151B3">
              <w:rPr>
                <w:rFonts w:cs="Tahoma"/>
                <w:szCs w:val="22"/>
              </w:rPr>
              <w:t>The vacancy will be marked</w:t>
            </w:r>
            <w:r w:rsidR="00DD01BC" w:rsidRPr="00E151B3">
              <w:rPr>
                <w:rFonts w:cs="Tahoma"/>
                <w:szCs w:val="22"/>
              </w:rPr>
              <w:t xml:space="preserve"> ‘For Myanmar Nationals</w:t>
            </w:r>
            <w:r w:rsidR="00CB7729" w:rsidRPr="00E151B3">
              <w:rPr>
                <w:rFonts w:cs="Tahoma"/>
                <w:szCs w:val="22"/>
              </w:rPr>
              <w:t xml:space="preserve"> only</w:t>
            </w:r>
            <w:r w:rsidR="00DD01BC" w:rsidRPr="00E151B3">
              <w:rPr>
                <w:rFonts w:cs="Tahoma"/>
                <w:szCs w:val="22"/>
              </w:rPr>
              <w:t>’</w:t>
            </w:r>
          </w:p>
          <w:p w14:paraId="3C09A0D0" w14:textId="4F8F8284" w:rsidR="00AC1BA0" w:rsidRPr="00E151B3" w:rsidRDefault="00824CF5" w:rsidP="002C22AD">
            <w:pPr>
              <w:rPr>
                <w:rFonts w:cs="Tahoma"/>
                <w:szCs w:val="22"/>
              </w:rPr>
            </w:pPr>
            <w:r w:rsidRPr="00E151B3">
              <w:rPr>
                <w:rFonts w:cs="Tahoma"/>
                <w:szCs w:val="22"/>
              </w:rPr>
              <w:t xml:space="preserve">HR Unit will </w:t>
            </w:r>
            <w:r w:rsidR="00E119FB" w:rsidRPr="00E151B3">
              <w:rPr>
                <w:rFonts w:cs="Tahoma"/>
                <w:szCs w:val="22"/>
              </w:rPr>
              <w:t xml:space="preserve">be responsible </w:t>
            </w:r>
            <w:r w:rsidR="00850019" w:rsidRPr="00E151B3">
              <w:rPr>
                <w:rFonts w:cs="Tahoma"/>
                <w:szCs w:val="22"/>
              </w:rPr>
              <w:t xml:space="preserve">for </w:t>
            </w:r>
            <w:r w:rsidRPr="00E151B3">
              <w:rPr>
                <w:rFonts w:cs="Tahoma"/>
                <w:szCs w:val="22"/>
              </w:rPr>
              <w:t>publishing in UN and UNICEF websites</w:t>
            </w:r>
          </w:p>
        </w:tc>
      </w:tr>
      <w:tr w:rsidR="001E405C" w:rsidRPr="00E151B3" w14:paraId="4C73E60F" w14:textId="77777777" w:rsidTr="103807B0">
        <w:trPr>
          <w:trHeight w:val="848"/>
        </w:trPr>
        <w:tc>
          <w:tcPr>
            <w:tcW w:w="10260" w:type="dxa"/>
            <w:gridSpan w:val="3"/>
          </w:tcPr>
          <w:p w14:paraId="23626CBA" w14:textId="77777777" w:rsidR="001E405C" w:rsidRPr="00E151B3" w:rsidRDefault="000A40CF" w:rsidP="00FA3389">
            <w:pPr>
              <w:pStyle w:val="ListParagraph"/>
              <w:numPr>
                <w:ilvl w:val="0"/>
                <w:numId w:val="7"/>
              </w:numPr>
              <w:ind w:left="342" w:hanging="342"/>
              <w:rPr>
                <w:rFonts w:cs="Tahoma"/>
                <w:szCs w:val="22"/>
              </w:rPr>
            </w:pPr>
            <w:r w:rsidRPr="00E151B3">
              <w:rPr>
                <w:rFonts w:cs="Tahoma"/>
                <w:szCs w:val="22"/>
              </w:rPr>
              <w:t>Selection process</w:t>
            </w:r>
            <w:r w:rsidR="000C51C1" w:rsidRPr="00E151B3">
              <w:rPr>
                <w:rFonts w:cs="Tahoma"/>
                <w:szCs w:val="22"/>
              </w:rPr>
              <w:t xml:space="preserve"> (EOI to be attached to TOR)</w:t>
            </w:r>
          </w:p>
          <w:p w14:paraId="11F1DA97" w14:textId="7895B8F8" w:rsidR="00AF487C" w:rsidRPr="00E151B3" w:rsidRDefault="00141B28" w:rsidP="000D4058">
            <w:pPr>
              <w:rPr>
                <w:rFonts w:cs="Tahoma"/>
                <w:szCs w:val="22"/>
              </w:rPr>
            </w:pPr>
            <w:r w:rsidRPr="00E151B3">
              <w:rPr>
                <w:rFonts w:cs="Tahoma"/>
                <w:szCs w:val="22"/>
              </w:rPr>
              <w:t>Interested candidates are required to comp</w:t>
            </w:r>
            <w:r w:rsidR="00643DD5" w:rsidRPr="00E151B3">
              <w:rPr>
                <w:rFonts w:cs="Tahoma"/>
                <w:szCs w:val="22"/>
              </w:rPr>
              <w:t>lete</w:t>
            </w:r>
            <w:r w:rsidRPr="00E151B3">
              <w:rPr>
                <w:rFonts w:cs="Tahoma"/>
                <w:szCs w:val="22"/>
              </w:rPr>
              <w:t xml:space="preserve"> the Expression of Interest Form circulated with the call for proposals, answering the technical questions included. </w:t>
            </w:r>
          </w:p>
          <w:p w14:paraId="065B7D1E" w14:textId="23627997" w:rsidR="00141B28" w:rsidRPr="00E151B3" w:rsidRDefault="00141B28" w:rsidP="000D4058">
            <w:pPr>
              <w:rPr>
                <w:rFonts w:cs="Tahoma"/>
                <w:szCs w:val="22"/>
              </w:rPr>
            </w:pPr>
            <w:r w:rsidRPr="00E151B3">
              <w:rPr>
                <w:rFonts w:cs="Tahoma"/>
                <w:szCs w:val="22"/>
              </w:rPr>
              <w:t>The consultant will be identified by UNICEF based on a competitive selection</w:t>
            </w:r>
            <w:r w:rsidR="00406D45" w:rsidRPr="00E151B3">
              <w:rPr>
                <w:rFonts w:cs="Tahoma"/>
                <w:szCs w:val="22"/>
              </w:rPr>
              <w:t xml:space="preserve"> process</w:t>
            </w:r>
            <w:r w:rsidRPr="00E151B3">
              <w:rPr>
                <w:rFonts w:cs="Tahoma"/>
                <w:szCs w:val="22"/>
              </w:rPr>
              <w:t xml:space="preserve">, </w:t>
            </w:r>
            <w:r w:rsidR="00FB02BE" w:rsidRPr="00E151B3">
              <w:rPr>
                <w:rFonts w:cs="Tahoma"/>
                <w:szCs w:val="22"/>
              </w:rPr>
              <w:t>considering</w:t>
            </w:r>
            <w:r w:rsidRPr="00E151B3">
              <w:rPr>
                <w:rFonts w:cs="Tahoma"/>
                <w:szCs w:val="22"/>
              </w:rPr>
              <w:t xml:space="preserve"> the </w:t>
            </w:r>
            <w:r w:rsidR="00AF487C" w:rsidRPr="00E151B3">
              <w:rPr>
                <w:rFonts w:cs="Tahoma"/>
                <w:szCs w:val="22"/>
              </w:rPr>
              <w:t xml:space="preserve">candidate’s experience, the </w:t>
            </w:r>
            <w:r w:rsidRPr="00E151B3">
              <w:rPr>
                <w:rFonts w:cs="Tahoma"/>
                <w:szCs w:val="22"/>
              </w:rPr>
              <w:t>quality of the answers produced</w:t>
            </w:r>
            <w:r w:rsidR="00406D45" w:rsidRPr="00E151B3">
              <w:rPr>
                <w:rFonts w:cs="Tahoma"/>
                <w:szCs w:val="22"/>
              </w:rPr>
              <w:t>,</w:t>
            </w:r>
            <w:r w:rsidRPr="00E151B3">
              <w:rPr>
                <w:rFonts w:cs="Tahoma"/>
                <w:szCs w:val="22"/>
              </w:rPr>
              <w:t xml:space="preserve"> and of the lump</w:t>
            </w:r>
            <w:r w:rsidR="00406D45" w:rsidRPr="00E151B3">
              <w:rPr>
                <w:rFonts w:cs="Tahoma"/>
                <w:szCs w:val="22"/>
              </w:rPr>
              <w:t>-</w:t>
            </w:r>
            <w:r w:rsidRPr="00E151B3">
              <w:rPr>
                <w:rFonts w:cs="Tahoma"/>
                <w:szCs w:val="22"/>
              </w:rPr>
              <w:t>sum requested.</w:t>
            </w:r>
          </w:p>
          <w:p w14:paraId="7EDBAC74" w14:textId="77777777" w:rsidR="001E405C" w:rsidRPr="00E151B3" w:rsidRDefault="00141B28" w:rsidP="00406D45">
            <w:pPr>
              <w:rPr>
                <w:rFonts w:cs="Tahoma"/>
                <w:szCs w:val="22"/>
              </w:rPr>
            </w:pPr>
            <w:r w:rsidRPr="00E151B3">
              <w:rPr>
                <w:rFonts w:cs="Tahoma"/>
                <w:szCs w:val="22"/>
              </w:rPr>
              <w:t xml:space="preserve">If deemed opportune, UNICEF will require a telephone interview with shortlisted candidates. </w:t>
            </w:r>
          </w:p>
        </w:tc>
      </w:tr>
      <w:tr w:rsidR="001E405C" w:rsidRPr="00E151B3" w14:paraId="6CEE6BFC" w14:textId="77777777" w:rsidTr="103807B0">
        <w:trPr>
          <w:trHeight w:val="848"/>
        </w:trPr>
        <w:tc>
          <w:tcPr>
            <w:tcW w:w="10260" w:type="dxa"/>
            <w:gridSpan w:val="3"/>
          </w:tcPr>
          <w:p w14:paraId="154DBA79" w14:textId="77777777" w:rsidR="001E405C" w:rsidRPr="00E151B3" w:rsidRDefault="001E405C" w:rsidP="00FA3389">
            <w:pPr>
              <w:pStyle w:val="ListParagraph"/>
              <w:numPr>
                <w:ilvl w:val="0"/>
                <w:numId w:val="7"/>
              </w:numPr>
              <w:ind w:left="342" w:hanging="342"/>
              <w:rPr>
                <w:rFonts w:cs="Tahoma"/>
                <w:szCs w:val="22"/>
              </w:rPr>
            </w:pPr>
            <w:r w:rsidRPr="00E151B3">
              <w:rPr>
                <w:rFonts w:cs="Tahoma"/>
                <w:szCs w:val="22"/>
              </w:rPr>
              <w:t>Qualification and specialized knowledge/experience required for the assignment:</w:t>
            </w:r>
          </w:p>
          <w:p w14:paraId="61F77272" w14:textId="597C10D0" w:rsidR="000B3FAB" w:rsidRPr="00E151B3" w:rsidRDefault="00525127" w:rsidP="00F45AAD">
            <w:pPr>
              <w:pStyle w:val="ListParagraph"/>
              <w:numPr>
                <w:ilvl w:val="0"/>
                <w:numId w:val="9"/>
              </w:numPr>
              <w:rPr>
                <w:rFonts w:cs="Tahoma"/>
                <w:b w:val="0"/>
                <w:szCs w:val="22"/>
              </w:rPr>
            </w:pPr>
            <w:proofErr w:type="gramStart"/>
            <w:r w:rsidRPr="00E151B3">
              <w:rPr>
                <w:rFonts w:cs="Tahoma"/>
                <w:b w:val="0"/>
                <w:szCs w:val="22"/>
              </w:rPr>
              <w:t>B</w:t>
            </w:r>
            <w:r w:rsidR="00F45AAD" w:rsidRPr="00E151B3">
              <w:rPr>
                <w:rFonts w:cs="Tahoma"/>
                <w:b w:val="0"/>
                <w:szCs w:val="22"/>
              </w:rPr>
              <w:t>achelor</w:t>
            </w:r>
            <w:proofErr w:type="gramEnd"/>
            <w:r w:rsidR="00F45AAD" w:rsidRPr="00E151B3">
              <w:rPr>
                <w:rFonts w:cs="Tahoma"/>
                <w:b w:val="0"/>
                <w:szCs w:val="22"/>
              </w:rPr>
              <w:t xml:space="preserve"> degree </w:t>
            </w:r>
            <w:r w:rsidRPr="00E151B3">
              <w:rPr>
                <w:rFonts w:cs="Tahoma"/>
                <w:b w:val="0"/>
                <w:szCs w:val="22"/>
              </w:rPr>
              <w:t>i</w:t>
            </w:r>
            <w:r w:rsidR="00F45AAD" w:rsidRPr="00E151B3">
              <w:rPr>
                <w:rFonts w:cs="Tahoma"/>
                <w:b w:val="0"/>
                <w:szCs w:val="22"/>
              </w:rPr>
              <w:t xml:space="preserve">s a requirement and Masters’ </w:t>
            </w:r>
            <w:r w:rsidRPr="00E151B3">
              <w:rPr>
                <w:rFonts w:cs="Tahoma"/>
                <w:b w:val="0"/>
                <w:szCs w:val="22"/>
              </w:rPr>
              <w:t>i</w:t>
            </w:r>
            <w:r w:rsidR="00F45AAD" w:rsidRPr="00E151B3">
              <w:rPr>
                <w:rFonts w:cs="Tahoma"/>
                <w:b w:val="0"/>
                <w:szCs w:val="22"/>
              </w:rPr>
              <w:t>s an asset</w:t>
            </w:r>
            <w:r w:rsidRPr="00E151B3">
              <w:rPr>
                <w:rFonts w:cs="Tahoma"/>
                <w:b w:val="0"/>
                <w:szCs w:val="22"/>
              </w:rPr>
              <w:t>.</w:t>
            </w:r>
            <w:r w:rsidR="002668D9" w:rsidRPr="00E151B3">
              <w:rPr>
                <w:rFonts w:cs="Tahoma"/>
                <w:b w:val="0"/>
                <w:szCs w:val="22"/>
              </w:rPr>
              <w:t xml:space="preserve"> </w:t>
            </w:r>
            <w:r w:rsidRPr="00E151B3">
              <w:rPr>
                <w:rFonts w:cs="Tahoma"/>
                <w:b w:val="0"/>
                <w:szCs w:val="22"/>
              </w:rPr>
              <w:t>O</w:t>
            </w:r>
            <w:r w:rsidR="00F45AAD" w:rsidRPr="00E151B3">
              <w:rPr>
                <w:rFonts w:cs="Tahoma"/>
                <w:b w:val="0"/>
                <w:szCs w:val="22"/>
              </w:rPr>
              <w:t xml:space="preserve">ne of the following fields is required: </w:t>
            </w:r>
            <w:r w:rsidRPr="00E151B3">
              <w:rPr>
                <w:rFonts w:cs="Tahoma"/>
                <w:b w:val="0"/>
                <w:szCs w:val="22"/>
              </w:rPr>
              <w:t xml:space="preserve">medical, </w:t>
            </w:r>
            <w:r w:rsidR="00F45AAD" w:rsidRPr="00E151B3">
              <w:rPr>
                <w:rFonts w:cs="Tahoma"/>
                <w:b w:val="0"/>
                <w:szCs w:val="22"/>
              </w:rPr>
              <w:t>public health, paediatric health, family health, health research, global/international health, health policy and/or management, biostatistics/statistics, epidemiology or another relevant technical field.</w:t>
            </w:r>
          </w:p>
          <w:p w14:paraId="1A9BE94F" w14:textId="51185EE6" w:rsidR="00525127" w:rsidRPr="00E151B3" w:rsidRDefault="005C6D07" w:rsidP="005C6D07">
            <w:pPr>
              <w:pStyle w:val="ListParagraph"/>
              <w:numPr>
                <w:ilvl w:val="0"/>
                <w:numId w:val="9"/>
              </w:numPr>
              <w:rPr>
                <w:b w:val="0"/>
              </w:rPr>
            </w:pPr>
            <w:r w:rsidRPr="00E151B3">
              <w:rPr>
                <w:b w:val="0"/>
              </w:rPr>
              <w:t xml:space="preserve">A minimum of </w:t>
            </w:r>
            <w:r w:rsidR="007A6A03" w:rsidRPr="00E151B3">
              <w:rPr>
                <w:b w:val="0"/>
              </w:rPr>
              <w:t>5</w:t>
            </w:r>
            <w:r w:rsidRPr="00E151B3">
              <w:rPr>
                <w:b w:val="0"/>
              </w:rPr>
              <w:t xml:space="preserve"> years of professional experience in one or more of the following areas, is required: public health planning and management, </w:t>
            </w:r>
            <w:r w:rsidR="00E86ECE" w:rsidRPr="00E151B3">
              <w:rPr>
                <w:b w:val="0"/>
              </w:rPr>
              <w:t>maternal</w:t>
            </w:r>
            <w:r w:rsidR="007A6A03" w:rsidRPr="00E151B3">
              <w:rPr>
                <w:b w:val="0"/>
              </w:rPr>
              <w:t xml:space="preserve">, </w:t>
            </w:r>
            <w:r w:rsidRPr="00E151B3">
              <w:rPr>
                <w:b w:val="0"/>
              </w:rPr>
              <w:t>neonatal</w:t>
            </w:r>
            <w:r w:rsidR="007A6A03" w:rsidRPr="00E151B3">
              <w:rPr>
                <w:b w:val="0"/>
              </w:rPr>
              <w:t xml:space="preserve"> and child</w:t>
            </w:r>
            <w:r w:rsidRPr="00E151B3">
              <w:rPr>
                <w:b w:val="0"/>
              </w:rPr>
              <w:t xml:space="preserve"> health care, </w:t>
            </w:r>
            <w:r w:rsidR="007A6A03" w:rsidRPr="00E151B3">
              <w:rPr>
                <w:b w:val="0"/>
              </w:rPr>
              <w:t xml:space="preserve">and nutrition </w:t>
            </w:r>
            <w:r w:rsidRPr="00E151B3">
              <w:rPr>
                <w:b w:val="0"/>
              </w:rPr>
              <w:t>or health emergency/humanitarian preparedness</w:t>
            </w:r>
            <w:r w:rsidR="00F45AAD" w:rsidRPr="00E151B3">
              <w:rPr>
                <w:b w:val="0"/>
              </w:rPr>
              <w:t xml:space="preserve"> </w:t>
            </w:r>
          </w:p>
          <w:p w14:paraId="015C76FE" w14:textId="2B5C5D40" w:rsidR="005C6D07" w:rsidRPr="00E151B3" w:rsidRDefault="00525127" w:rsidP="005C6D07">
            <w:pPr>
              <w:pStyle w:val="ListParagraph"/>
              <w:numPr>
                <w:ilvl w:val="0"/>
                <w:numId w:val="9"/>
              </w:numPr>
              <w:rPr>
                <w:b w:val="0"/>
              </w:rPr>
            </w:pPr>
            <w:r w:rsidRPr="00E151B3">
              <w:rPr>
                <w:b w:val="0"/>
              </w:rPr>
              <w:t>A</w:t>
            </w:r>
            <w:r w:rsidR="00F45AAD" w:rsidRPr="00E151B3">
              <w:rPr>
                <w:b w:val="0"/>
              </w:rPr>
              <w:t>dditional technical experiences such as data analysis, survey, report writing, organizing and facilitating workshop, advocacy and coordination</w:t>
            </w:r>
            <w:r w:rsidRPr="00E151B3">
              <w:rPr>
                <w:b w:val="0"/>
              </w:rPr>
              <w:t xml:space="preserve"> is an asset.</w:t>
            </w:r>
          </w:p>
          <w:p w14:paraId="074BBB21" w14:textId="0ABBE60B" w:rsidR="00756B1F" w:rsidRPr="00E151B3" w:rsidRDefault="00D37843" w:rsidP="00756B1F">
            <w:pPr>
              <w:pStyle w:val="ListParagraph"/>
              <w:numPr>
                <w:ilvl w:val="0"/>
                <w:numId w:val="9"/>
              </w:numPr>
            </w:pPr>
            <w:r>
              <w:t>Prior e</w:t>
            </w:r>
            <w:r w:rsidR="00756B1F" w:rsidRPr="00E151B3">
              <w:t xml:space="preserve">xperience </w:t>
            </w:r>
            <w:r>
              <w:t xml:space="preserve">of </w:t>
            </w:r>
            <w:r w:rsidR="00756B1F" w:rsidRPr="00E151B3">
              <w:t xml:space="preserve">working on </w:t>
            </w:r>
            <w:r w:rsidR="00E86ECE" w:rsidRPr="00E151B3">
              <w:t>Human Resource for Health Development</w:t>
            </w:r>
            <w:r w:rsidR="007368F2" w:rsidRPr="00E151B3">
              <w:t>/</w:t>
            </w:r>
            <w:r>
              <w:t xml:space="preserve">Health </w:t>
            </w:r>
            <w:r w:rsidR="007368F2" w:rsidRPr="00E151B3">
              <w:t>Planning and Assessment</w:t>
            </w:r>
            <w:r w:rsidR="00756B1F" w:rsidRPr="00E151B3">
              <w:t xml:space="preserve"> is</w:t>
            </w:r>
            <w:r w:rsidR="00357637" w:rsidRPr="00E151B3">
              <w:t xml:space="preserve"> </w:t>
            </w:r>
            <w:proofErr w:type="gramStart"/>
            <w:r w:rsidR="00357637" w:rsidRPr="00E151B3">
              <w:t>an</w:t>
            </w:r>
            <w:proofErr w:type="gramEnd"/>
            <w:r w:rsidR="00357637" w:rsidRPr="00E151B3">
              <w:t xml:space="preserve"> </w:t>
            </w:r>
            <w:r>
              <w:t>needed</w:t>
            </w:r>
          </w:p>
          <w:p w14:paraId="4CA9D522" w14:textId="3C826400" w:rsidR="005C6D07" w:rsidRPr="00E151B3" w:rsidRDefault="005C6D07" w:rsidP="005C6D07">
            <w:pPr>
              <w:pStyle w:val="ListParagraph"/>
              <w:numPr>
                <w:ilvl w:val="0"/>
                <w:numId w:val="9"/>
              </w:numPr>
              <w:rPr>
                <w:b w:val="0"/>
              </w:rPr>
            </w:pPr>
            <w:r w:rsidRPr="00E151B3">
              <w:rPr>
                <w:b w:val="0"/>
              </w:rPr>
              <w:t xml:space="preserve">Relevant experience working with </w:t>
            </w:r>
            <w:r w:rsidR="00542F8B" w:rsidRPr="00E151B3">
              <w:rPr>
                <w:b w:val="0"/>
              </w:rPr>
              <w:t>ethnic health organization is an asset</w:t>
            </w:r>
          </w:p>
          <w:p w14:paraId="7DDA5EA6" w14:textId="53FBE3A8" w:rsidR="001E405C" w:rsidRPr="00E151B3" w:rsidRDefault="000B3FAB" w:rsidP="000B3FAB">
            <w:pPr>
              <w:tabs>
                <w:tab w:val="left" w:pos="2976"/>
              </w:tabs>
              <w:rPr>
                <w:rFonts w:cs="Tahoma"/>
                <w:szCs w:val="22"/>
              </w:rPr>
            </w:pPr>
            <w:r w:rsidRPr="00E151B3">
              <w:rPr>
                <w:rFonts w:cs="Tahoma"/>
                <w:szCs w:val="22"/>
              </w:rPr>
              <w:tab/>
            </w:r>
          </w:p>
        </w:tc>
      </w:tr>
      <w:tr w:rsidR="001E405C" w:rsidRPr="00E151B3" w14:paraId="13273E46" w14:textId="77777777" w:rsidTr="103807B0">
        <w:tc>
          <w:tcPr>
            <w:tcW w:w="10260" w:type="dxa"/>
            <w:gridSpan w:val="3"/>
          </w:tcPr>
          <w:p w14:paraId="2F8F39BA" w14:textId="77777777" w:rsidR="001E405C" w:rsidRPr="00E151B3" w:rsidRDefault="001E405C" w:rsidP="00FA3389">
            <w:pPr>
              <w:pStyle w:val="ListParagraph"/>
              <w:numPr>
                <w:ilvl w:val="0"/>
                <w:numId w:val="7"/>
              </w:numPr>
              <w:ind w:left="342" w:hanging="342"/>
            </w:pPr>
            <w:r w:rsidRPr="00E151B3">
              <w:t>Other conditions:</w:t>
            </w:r>
            <w:r w:rsidR="001266B4" w:rsidRPr="00E151B3">
              <w:t xml:space="preserve"> </w:t>
            </w:r>
          </w:p>
          <w:p w14:paraId="24A67109" w14:textId="3D5A805C" w:rsidR="00AC1BA0" w:rsidRPr="00E151B3" w:rsidRDefault="005C6D07" w:rsidP="00AF487C">
            <w:pPr>
              <w:rPr>
                <w:rFonts w:cs="Tahoma"/>
                <w:szCs w:val="22"/>
                <w:lang w:val="en-AU"/>
              </w:rPr>
            </w:pPr>
            <w:r w:rsidRPr="00E151B3">
              <w:rPr>
                <w:rFonts w:cs="Tahoma"/>
                <w:szCs w:val="22"/>
                <w:lang w:val="en-AU"/>
              </w:rPr>
              <w:lastRenderedPageBreak/>
              <w:t xml:space="preserve">The consultant </w:t>
            </w:r>
            <w:r w:rsidR="00BD0270" w:rsidRPr="00E151B3">
              <w:rPr>
                <w:rFonts w:cs="Tahoma"/>
                <w:szCs w:val="22"/>
                <w:lang w:val="en-AU"/>
              </w:rPr>
              <w:t>should be able to</w:t>
            </w:r>
            <w:r w:rsidRPr="00E151B3">
              <w:rPr>
                <w:rFonts w:cs="Tahoma"/>
                <w:szCs w:val="22"/>
                <w:lang w:val="en-AU"/>
              </w:rPr>
              <w:t xml:space="preserve"> work remotely </w:t>
            </w:r>
            <w:r w:rsidR="00BD0270" w:rsidRPr="00E151B3">
              <w:rPr>
                <w:rFonts w:cs="Tahoma"/>
                <w:szCs w:val="22"/>
                <w:lang w:val="en-AU"/>
              </w:rPr>
              <w:t xml:space="preserve">if </w:t>
            </w:r>
            <w:r w:rsidR="00824DAA" w:rsidRPr="00E151B3">
              <w:rPr>
                <w:rFonts w:cs="Tahoma"/>
                <w:szCs w:val="22"/>
                <w:lang w:val="en-AU"/>
              </w:rPr>
              <w:t>COVID-19 situation does not allow direct meetings or on-site visits</w:t>
            </w:r>
          </w:p>
          <w:p w14:paraId="616102CB" w14:textId="6EDC65BB" w:rsidR="005C6D07" w:rsidRPr="00E151B3" w:rsidRDefault="005C6D07" w:rsidP="00AF487C">
            <w:pPr>
              <w:rPr>
                <w:rFonts w:cs="Tahoma"/>
                <w:szCs w:val="22"/>
                <w:lang w:val="en-AU"/>
              </w:rPr>
            </w:pPr>
            <w:r w:rsidRPr="00E151B3">
              <w:rPr>
                <w:rFonts w:cs="Tahoma"/>
                <w:szCs w:val="22"/>
                <w:lang w:val="en-AU"/>
              </w:rPr>
              <w:t xml:space="preserve">The consultant will travel from </w:t>
            </w:r>
            <w:r w:rsidR="00824DAA" w:rsidRPr="00E151B3">
              <w:rPr>
                <w:rFonts w:cs="Tahoma"/>
                <w:szCs w:val="22"/>
                <w:lang w:val="en-AU"/>
              </w:rPr>
              <w:t>place of origin</w:t>
            </w:r>
            <w:r w:rsidRPr="00E151B3">
              <w:rPr>
                <w:rFonts w:cs="Tahoma"/>
                <w:szCs w:val="22"/>
                <w:lang w:val="en-AU"/>
              </w:rPr>
              <w:t xml:space="preserve"> and to </w:t>
            </w:r>
            <w:r w:rsidR="00824DAA" w:rsidRPr="00E151B3">
              <w:rPr>
                <w:rFonts w:cs="Tahoma"/>
                <w:szCs w:val="22"/>
                <w:lang w:val="en-AU"/>
              </w:rPr>
              <w:t xml:space="preserve">areas stated in the </w:t>
            </w:r>
            <w:proofErr w:type="spellStart"/>
            <w:r w:rsidR="00824DAA" w:rsidRPr="00E151B3">
              <w:rPr>
                <w:rFonts w:cs="Tahoma"/>
                <w:szCs w:val="22"/>
                <w:lang w:val="en-AU"/>
              </w:rPr>
              <w:t>ToR</w:t>
            </w:r>
            <w:proofErr w:type="spellEnd"/>
          </w:p>
          <w:p w14:paraId="781C90DB" w14:textId="7D6F9A96" w:rsidR="005576A5" w:rsidRPr="00E151B3" w:rsidRDefault="00F14055" w:rsidP="00AF487C">
            <w:pPr>
              <w:rPr>
                <w:rFonts w:cs="Tahoma"/>
                <w:szCs w:val="22"/>
                <w:lang w:val="en-AU"/>
              </w:rPr>
            </w:pPr>
            <w:r w:rsidRPr="00E151B3">
              <w:rPr>
                <w:rFonts w:cs="Tahoma"/>
                <w:szCs w:val="22"/>
                <w:lang w:val="en-AU"/>
              </w:rPr>
              <w:t>The consultant will utilise personal laptop</w:t>
            </w:r>
            <w:r w:rsidR="00824DAA" w:rsidRPr="00E151B3">
              <w:rPr>
                <w:rFonts w:cs="Tahoma"/>
                <w:szCs w:val="22"/>
                <w:lang w:val="en-AU"/>
              </w:rPr>
              <w:t xml:space="preserve"> and </w:t>
            </w:r>
            <w:r w:rsidR="005576A5" w:rsidRPr="00E151B3">
              <w:rPr>
                <w:rFonts w:cs="Tahoma"/>
                <w:szCs w:val="22"/>
                <w:lang w:val="en-AU"/>
              </w:rPr>
              <w:t xml:space="preserve">licensed </w:t>
            </w:r>
            <w:r w:rsidR="00824DAA" w:rsidRPr="00E151B3">
              <w:rPr>
                <w:rFonts w:cs="Tahoma"/>
                <w:szCs w:val="22"/>
                <w:lang w:val="en-AU"/>
              </w:rPr>
              <w:t>software</w:t>
            </w:r>
            <w:r w:rsidRPr="00E151B3">
              <w:rPr>
                <w:rFonts w:cs="Tahoma"/>
                <w:szCs w:val="22"/>
                <w:lang w:val="en-AU"/>
              </w:rPr>
              <w:t xml:space="preserve"> during </w:t>
            </w:r>
            <w:r w:rsidR="005576A5" w:rsidRPr="00E151B3">
              <w:rPr>
                <w:rFonts w:cs="Tahoma"/>
                <w:szCs w:val="22"/>
                <w:lang w:val="en-AU"/>
              </w:rPr>
              <w:t>consultancy</w:t>
            </w:r>
            <w:r w:rsidR="00824DAA" w:rsidRPr="00E151B3">
              <w:rPr>
                <w:rFonts w:cs="Tahoma"/>
                <w:szCs w:val="22"/>
                <w:lang w:val="en-AU"/>
              </w:rPr>
              <w:t xml:space="preserve"> with own </w:t>
            </w:r>
            <w:r w:rsidRPr="00E151B3">
              <w:rPr>
                <w:rFonts w:cs="Tahoma"/>
                <w:szCs w:val="22"/>
                <w:lang w:val="en-AU"/>
              </w:rPr>
              <w:t>internet access</w:t>
            </w:r>
          </w:p>
          <w:p w14:paraId="3D8A7516" w14:textId="77777777" w:rsidR="005576A5" w:rsidRPr="00E151B3" w:rsidRDefault="005576A5" w:rsidP="00AF487C">
            <w:pPr>
              <w:rPr>
                <w:rFonts w:cs="Tahoma"/>
                <w:szCs w:val="22"/>
                <w:lang w:val="en-AU"/>
              </w:rPr>
            </w:pPr>
          </w:p>
          <w:p w14:paraId="443E2369" w14:textId="77777777" w:rsidR="00C74F76" w:rsidRPr="00E151B3" w:rsidRDefault="00C74F76" w:rsidP="00C74F76">
            <w:pPr>
              <w:rPr>
                <w:b/>
              </w:rPr>
            </w:pPr>
            <w:r w:rsidRPr="00E151B3">
              <w:rPr>
                <w:b/>
              </w:rPr>
              <w:t xml:space="preserve">Life and health insurance </w:t>
            </w:r>
          </w:p>
          <w:p w14:paraId="1EE14DE3" w14:textId="77777777" w:rsidR="00C74F76" w:rsidRPr="00E151B3" w:rsidRDefault="00C74F76" w:rsidP="00C74F76">
            <w:r w:rsidRPr="00E151B3">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5E120C19" w14:textId="77777777" w:rsidR="00CC5B2C" w:rsidRPr="00E151B3" w:rsidRDefault="00CC5B2C" w:rsidP="00C74F76">
            <w:pPr>
              <w:rPr>
                <w:b/>
              </w:rPr>
            </w:pPr>
          </w:p>
          <w:p w14:paraId="4475AFAB" w14:textId="14716A91" w:rsidR="00C74F76" w:rsidRPr="00E151B3" w:rsidRDefault="00C74F76" w:rsidP="00C74F76">
            <w:pPr>
              <w:rPr>
                <w:b/>
              </w:rPr>
            </w:pPr>
            <w:r w:rsidRPr="00E151B3">
              <w:rPr>
                <w:b/>
              </w:rPr>
              <w:t>Insurance for service-incurred death, injury or illness</w:t>
            </w:r>
          </w:p>
          <w:p w14:paraId="71E1016B" w14:textId="66413DFD" w:rsidR="00C74F76" w:rsidRPr="00E151B3" w:rsidRDefault="00C74F76" w:rsidP="00C74F76">
            <w:r w:rsidRPr="00E151B3">
              <w:t xml:space="preserve">Consultants and individual contractors who are authorized to travel at UNICEF expense or who are required under their contract to perform services in a UNICEF or United Nations office shall be provided with insurance coverage, through a UNICEF-retained </w:t>
            </w:r>
            <w:r w:rsidR="00ED499A" w:rsidRPr="00E151B3">
              <w:t>third-party</w:t>
            </w:r>
            <w:r w:rsidRPr="00E151B3">
              <w:t xml:space="preserve">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0CE82FB7" w14:textId="77777777" w:rsidR="00CC5B2C" w:rsidRPr="00E151B3" w:rsidRDefault="00CC5B2C" w:rsidP="00B06A9C">
            <w:pPr>
              <w:rPr>
                <w:rFonts w:cs="Tahoma"/>
                <w:b/>
                <w:szCs w:val="22"/>
                <w:lang w:val="en-AU"/>
              </w:rPr>
            </w:pPr>
          </w:p>
          <w:p w14:paraId="60005EF4" w14:textId="75670999" w:rsidR="00670000" w:rsidRPr="00E151B3" w:rsidRDefault="00C74F76" w:rsidP="00B06A9C">
            <w:pPr>
              <w:rPr>
                <w:rFonts w:cs="Tahoma"/>
                <w:b/>
                <w:szCs w:val="22"/>
                <w:lang w:val="en-AU"/>
              </w:rPr>
            </w:pPr>
            <w:r w:rsidRPr="00E151B3">
              <w:rPr>
                <w:rFonts w:cs="Tahoma"/>
                <w:b/>
                <w:szCs w:val="22"/>
                <w:lang w:val="en-AU"/>
              </w:rPr>
              <w:t>Payment</w:t>
            </w:r>
          </w:p>
          <w:p w14:paraId="0947A4DD" w14:textId="77777777" w:rsidR="008B6AF5" w:rsidRPr="00E151B3" w:rsidRDefault="008B6AF5" w:rsidP="008B6AF5">
            <w:pPr>
              <w:spacing w:line="260" w:lineRule="exact"/>
            </w:pPr>
            <w:r w:rsidRPr="00E151B3">
              <w:rPr>
                <w:rFonts w:cs="Tahoma"/>
                <w:szCs w:val="22"/>
                <w:lang w:val="en-AU"/>
              </w:rPr>
              <w:t xml:space="preserve">Payment schedules </w:t>
            </w:r>
            <w:r w:rsidRPr="00E151B3">
              <w:t>should be directly linked with deliverables at specific time intervals. Payments should be processed based on satisfactory delivery of the services/products as certified by the supervisor/ manager.</w:t>
            </w:r>
          </w:p>
          <w:p w14:paraId="1C8C6D2E" w14:textId="77777777" w:rsidR="00421D69" w:rsidRPr="00E151B3" w:rsidRDefault="00421D69" w:rsidP="00B06A9C">
            <w:pPr>
              <w:rPr>
                <w:rFonts w:cs="Tahoma"/>
                <w:szCs w:val="22"/>
              </w:rPr>
            </w:pPr>
          </w:p>
          <w:p w14:paraId="52454EB5" w14:textId="77777777" w:rsidR="00B06A9C" w:rsidRPr="00E151B3" w:rsidRDefault="00B06A9C" w:rsidP="00B06A9C">
            <w:pPr>
              <w:rPr>
                <w:rFonts w:cs="Tahoma"/>
                <w:b/>
                <w:szCs w:val="22"/>
                <w:lang w:val="en-AU"/>
              </w:rPr>
            </w:pPr>
            <w:r w:rsidRPr="00E151B3">
              <w:rPr>
                <w:rFonts w:cs="Tahoma"/>
                <w:b/>
                <w:szCs w:val="22"/>
                <w:lang w:val="en-AU"/>
              </w:rPr>
              <w:t>Confidentiality:</w:t>
            </w:r>
            <w:r w:rsidRPr="00E151B3">
              <w:rPr>
                <w:rFonts w:cs="Tahoma"/>
                <w:b/>
                <w:szCs w:val="22"/>
                <w:lang w:val="en-AU"/>
              </w:rPr>
              <w:tab/>
            </w:r>
          </w:p>
          <w:p w14:paraId="47E95D28" w14:textId="77777777" w:rsidR="00C74F76" w:rsidRPr="00E151B3" w:rsidRDefault="00B06A9C" w:rsidP="00C74F76">
            <w:pPr>
              <w:rPr>
                <w:rFonts w:cs="Tahoma"/>
                <w:szCs w:val="22"/>
                <w:lang w:val="en-AU"/>
              </w:rPr>
            </w:pPr>
            <w:r w:rsidRPr="00E151B3">
              <w:rPr>
                <w:rFonts w:cs="Tahoma"/>
                <w:szCs w:val="22"/>
                <w:lang w:val="en-AU"/>
              </w:rPr>
              <w:t>The documents produced during the period of this consultancy will be treated as strictly confidential, and the rights of distribution and/ or publication will reside solely with UNICEF.</w:t>
            </w:r>
            <w:r w:rsidR="00C74F76" w:rsidRPr="00E151B3">
              <w:rPr>
                <w:rFonts w:cs="Tahoma"/>
                <w:szCs w:val="22"/>
                <w:lang w:val="en-AU"/>
              </w:rPr>
              <w:t xml:space="preserve"> </w:t>
            </w:r>
          </w:p>
          <w:p w14:paraId="5EA7947B" w14:textId="77777777" w:rsidR="00C74F76" w:rsidRPr="00E151B3" w:rsidRDefault="00C74F76" w:rsidP="00C74F76">
            <w:pPr>
              <w:rPr>
                <w:rFonts w:cs="Tahoma"/>
                <w:szCs w:val="22"/>
                <w:lang w:val="en-AU"/>
              </w:rPr>
            </w:pPr>
          </w:p>
          <w:p w14:paraId="5DF8216D" w14:textId="77777777" w:rsidR="00B06A9C" w:rsidRPr="00E151B3" w:rsidRDefault="00C74F76" w:rsidP="00C74F76">
            <w:pPr>
              <w:rPr>
                <w:rFonts w:cs="Tahoma"/>
                <w:szCs w:val="22"/>
                <w:lang w:val="en-AU"/>
              </w:rPr>
            </w:pPr>
            <w:r w:rsidRPr="00E151B3">
              <w:rPr>
                <w:rFonts w:cs="Tahoma"/>
                <w:szCs w:val="22"/>
                <w:lang w:val="en-AU"/>
              </w:rPr>
              <w:t>The contract signed with the consultant will include the other general terms defined by UNICEF.</w:t>
            </w:r>
          </w:p>
        </w:tc>
      </w:tr>
      <w:tr w:rsidR="001E405C" w:rsidRPr="00E151B3" w14:paraId="41EB2A0C" w14:textId="77777777" w:rsidTr="103807B0">
        <w:tc>
          <w:tcPr>
            <w:tcW w:w="10260" w:type="dxa"/>
            <w:gridSpan w:val="3"/>
          </w:tcPr>
          <w:p w14:paraId="638CB794" w14:textId="77777777" w:rsidR="001E405C" w:rsidRPr="00E151B3" w:rsidRDefault="001E405C" w:rsidP="00FA3389">
            <w:pPr>
              <w:pStyle w:val="ListParagraph"/>
              <w:numPr>
                <w:ilvl w:val="0"/>
                <w:numId w:val="7"/>
              </w:numPr>
              <w:ind w:left="342" w:hanging="342"/>
              <w:rPr>
                <w:rFonts w:cs="Tahoma"/>
                <w:szCs w:val="22"/>
              </w:rPr>
            </w:pPr>
            <w:r w:rsidRPr="00E151B3">
              <w:rPr>
                <w:rFonts w:cs="Tahoma"/>
                <w:szCs w:val="22"/>
              </w:rPr>
              <w:lastRenderedPageBreak/>
              <w:t>Nature of Penalty Clause to be stipulated in the contract:</w:t>
            </w:r>
          </w:p>
          <w:p w14:paraId="286B92CA" w14:textId="77777777" w:rsidR="001E405C" w:rsidRPr="00E151B3" w:rsidRDefault="001E405C" w:rsidP="00974BF9">
            <w:pPr>
              <w:pStyle w:val="BodyText3"/>
              <w:tabs>
                <w:tab w:val="clear" w:pos="720"/>
              </w:tabs>
              <w:rPr>
                <w:rFonts w:asciiTheme="minorHAnsi" w:hAnsiTheme="minorHAnsi" w:cs="Tahoma"/>
                <w:b/>
                <w:szCs w:val="22"/>
              </w:rPr>
            </w:pPr>
            <w:r w:rsidRPr="00E151B3">
              <w:rPr>
                <w:rFonts w:asciiTheme="minorHAnsi" w:hAnsiTheme="minorHAnsi" w:cs="Tahoma"/>
                <w:szCs w:val="22"/>
              </w:rPr>
              <w:t xml:space="preserve">UNICEF </w:t>
            </w:r>
            <w:r w:rsidR="00974BF9" w:rsidRPr="00E151B3">
              <w:rPr>
                <w:rFonts w:asciiTheme="minorHAnsi" w:hAnsiTheme="minorHAnsi" w:cs="Tahoma"/>
                <w:szCs w:val="22"/>
              </w:rPr>
              <w:t>Myanmar</w:t>
            </w:r>
            <w:r w:rsidRPr="00E151B3">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tc>
      </w:tr>
    </w:tbl>
    <w:p w14:paraId="3C9C278C" w14:textId="77777777" w:rsidR="006F5C7E" w:rsidRPr="006E7AE5" w:rsidRDefault="006F5C7E" w:rsidP="00DC6462">
      <w:pPr>
        <w:rPr>
          <w:rFonts w:cs="Tahoma"/>
          <w:szCs w:val="22"/>
        </w:rPr>
      </w:pPr>
      <w:bookmarkStart w:id="0" w:name="_GoBack"/>
      <w:bookmarkEnd w:id="0"/>
    </w:p>
    <w:sectPr w:rsidR="006F5C7E" w:rsidRPr="006E7AE5" w:rsidSect="00866ECE">
      <w:headerReference w:type="even" r:id="rId17"/>
      <w:headerReference w:type="default" r:id="rId18"/>
      <w:footerReference w:type="even" r:id="rId19"/>
      <w:footerReference w:type="default" r:id="rId20"/>
      <w:headerReference w:type="first" r:id="rId21"/>
      <w:footerReference w:type="first" r:id="rId22"/>
      <w:pgSz w:w="11909" w:h="16834" w:code="9"/>
      <w:pgMar w:top="1084" w:right="1134" w:bottom="720" w:left="1701" w:header="86"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67E349" w16cex:dateUtc="2020-07-29T09:59:13.9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4442" w14:textId="77777777" w:rsidR="00802DB9" w:rsidRDefault="00802DB9">
      <w:r>
        <w:separator/>
      </w:r>
    </w:p>
  </w:endnote>
  <w:endnote w:type="continuationSeparator" w:id="0">
    <w:p w14:paraId="5E7618A1" w14:textId="77777777" w:rsidR="00802DB9" w:rsidRDefault="00802DB9">
      <w:r>
        <w:continuationSeparator/>
      </w:r>
    </w:p>
  </w:endnote>
  <w:endnote w:type="continuationNotice" w:id="1">
    <w:p w14:paraId="3BCF3BBE" w14:textId="77777777" w:rsidR="00802DB9" w:rsidRDefault="00802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F480" w14:textId="77777777" w:rsidR="007D07E1" w:rsidRDefault="007D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BF1E" w14:textId="010E6959" w:rsidR="00B06A9C" w:rsidRPr="008D3A21" w:rsidRDefault="00B06A9C" w:rsidP="00A607E7">
    <w:pPr>
      <w:pStyle w:val="Footer"/>
      <w:jc w:val="center"/>
      <w:rPr>
        <w:rFonts w:ascii="Tahoma" w:eastAsiaTheme="majorEastAsia" w:hAnsi="Tahoma" w:cs="Tahoma"/>
      </w:rPr>
    </w:pPr>
    <w:r>
      <w:rPr>
        <w:rFonts w:ascii="Tahoma" w:eastAsiaTheme="majorEastAsia" w:hAnsi="Tahoma" w:cs="Tahoma"/>
      </w:rPr>
      <w:t xml:space="preserve">TOR </w:t>
    </w:r>
    <w:r w:rsidR="008D3A21">
      <w:rPr>
        <w:rFonts w:ascii="Tahoma" w:eastAsiaTheme="majorEastAsia" w:hAnsi="Tahoma" w:cs="Tahoma"/>
      </w:rPr>
      <w:t>Consultancy</w:t>
    </w:r>
    <w:r w:rsidR="000C55E9">
      <w:rPr>
        <w:rFonts w:ascii="Tahoma" w:eastAsiaTheme="majorEastAsia" w:hAnsi="Tahoma" w:cs="Tahoma"/>
      </w:rPr>
      <w:t xml:space="preserve"> </w:t>
    </w:r>
    <w:r w:rsidR="00B068AF" w:rsidRPr="00B068AF">
      <w:rPr>
        <w:rFonts w:ascii="Tahoma" w:eastAsiaTheme="majorEastAsia" w:hAnsi="Tahoma" w:cs="Tahoma"/>
      </w:rPr>
      <w:t>National Consultant for</w:t>
    </w:r>
    <w:r w:rsidR="00AC388B">
      <w:rPr>
        <w:rFonts w:ascii="Tahoma" w:eastAsiaTheme="majorEastAsia" w:hAnsi="Tahoma" w:cs="Tahoma"/>
      </w:rPr>
      <w:t xml:space="preserve"> </w:t>
    </w:r>
    <w:r w:rsidR="00B068AF">
      <w:rPr>
        <w:rFonts w:ascii="Tahoma" w:eastAsiaTheme="majorEastAsia" w:hAnsi="Tahoma" w:cs="Tahoma"/>
      </w:rPr>
      <w:t>HRH</w:t>
    </w:r>
    <w:r w:rsidR="00B068AF" w:rsidRPr="00B068AF">
      <w:rPr>
        <w:rFonts w:ascii="Tahoma" w:eastAsiaTheme="majorEastAsia" w:hAnsi="Tahoma" w:cs="Tahoma"/>
      </w:rPr>
      <w:t xml:space="preserve"> </w:t>
    </w:r>
    <w:r w:rsidR="00AC388B">
      <w:rPr>
        <w:rFonts w:ascii="Tahoma" w:eastAsiaTheme="majorEastAsia" w:hAnsi="Tahoma" w:cs="Tahoma"/>
      </w:rPr>
      <w:t xml:space="preserve">Assessment </w:t>
    </w:r>
    <w:r w:rsidR="00B068AF" w:rsidRPr="00B068AF">
      <w:rPr>
        <w:rFonts w:ascii="Tahoma" w:eastAsiaTheme="majorEastAsia" w:hAnsi="Tahoma" w:cs="Tahoma"/>
      </w:rPr>
      <w:t xml:space="preserve">in </w:t>
    </w:r>
    <w:r w:rsidR="005803E6">
      <w:rPr>
        <w:rFonts w:ascii="Tahoma" w:eastAsiaTheme="majorEastAsia" w:hAnsi="Tahoma" w:cs="Tahoma"/>
      </w:rPr>
      <w:t>EHOs</w:t>
    </w:r>
    <w:r w:rsidR="00B068AF" w:rsidRPr="00B068AF">
      <w:rPr>
        <w:rFonts w:ascii="Tahoma" w:eastAsiaTheme="majorEastAsia" w:hAnsi="Tahoma" w:cs="Tahoma"/>
      </w:rPr>
      <w:t xml:space="preserve"> Kachin and Shan</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B4B38" w:rsidRPr="00B06A9C">
      <w:rPr>
        <w:rFonts w:ascii="Tahoma" w:eastAsiaTheme="minorEastAsia" w:hAnsi="Tahoma" w:cs="Tahoma"/>
      </w:rPr>
      <w:fldChar w:fldCharType="begin"/>
    </w:r>
    <w:r w:rsidRPr="00B06A9C">
      <w:rPr>
        <w:rFonts w:ascii="Tahoma" w:hAnsi="Tahoma" w:cs="Tahoma"/>
      </w:rPr>
      <w:instrText xml:space="preserve"> PAGE   \* MERGEFORMAT </w:instrText>
    </w:r>
    <w:r w:rsidR="002B4B38" w:rsidRPr="00B06A9C">
      <w:rPr>
        <w:rFonts w:ascii="Tahoma" w:eastAsiaTheme="minorEastAsia" w:hAnsi="Tahoma" w:cs="Tahoma"/>
      </w:rPr>
      <w:fldChar w:fldCharType="separate"/>
    </w:r>
    <w:r w:rsidR="00AF2650" w:rsidRPr="00AF2650">
      <w:rPr>
        <w:rFonts w:ascii="Tahoma" w:eastAsiaTheme="majorEastAsia" w:hAnsi="Tahoma" w:cs="Tahoma"/>
        <w:noProof/>
      </w:rPr>
      <w:t>1</w:t>
    </w:r>
    <w:r w:rsidR="002B4B38" w:rsidRPr="00B06A9C">
      <w:rPr>
        <w:rFonts w:ascii="Tahoma" w:eastAsiaTheme="majorEastAsia" w:hAnsi="Tahoma" w:cs="Tahoma"/>
        <w:noProof/>
      </w:rPr>
      <w:fldChar w:fldCharType="end"/>
    </w:r>
    <w:r w:rsidR="003634D2">
      <w:rPr>
        <w:rFonts w:ascii="Tahoma" w:hAnsi="Tahoma" w:cs="Tahoma"/>
        <w:noProof/>
        <w:lang w:val="en-US"/>
      </w:rPr>
      <mc:AlternateContent>
        <mc:Choice Requires="wpg">
          <w:drawing>
            <wp:anchor distT="0" distB="0" distL="114300" distR="114300" simplePos="0" relativeHeight="251613184" behindDoc="0" locked="0" layoutInCell="0" allowOverlap="1" wp14:anchorId="15CA4A85" wp14:editId="0C998884">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a14="http://schemas.microsoft.com/office/drawing/2010/main" xmlns:a="http://schemas.openxmlformats.org/drawingml/2006/main">
          <w:pict w14:anchorId="715952B7">
            <v:group id="Group 441" style="position:absolute;margin-left:0;margin-top:0;width:594.25pt;height:32.75pt;flip:y;z-index:251613184;mso-width-percent:1000;mso-height-percent:910;mso-position-horizontal:center;mso-position-horizontal-relative:page;mso-position-vertical:bottom;mso-position-vertical-relative:page;mso-width-percent:1000;mso-height-percent:910;mso-height-relative:bottom-margin-area" coordsize="12208,1439" coordorigin="8,9" o:spid="_x0000_s1026" o:allowincell="f" w14:anchorId="7571E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v:shapetype id="_x0000_t32" coordsize="21600,21600" o:oned="t" filled="f" o:spt="32" path="m,l21600,21600e">
                <v:path fillok="f" arrowok="t" o:connecttype="none"/>
                <o:lock v:ext="edit" shapetype="t"/>
              </v:shapetype>
              <v:shape id="AutoShape 4" style="position:absolute;left:9;top:1433;width:12207;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v:rect id="Rectangle 443"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w10:wrap anchorx="page" anchory="page"/>
            </v:group>
          </w:pict>
        </mc:Fallback>
      </mc:AlternateContent>
    </w:r>
    <w:r w:rsidR="003634D2">
      <w:rPr>
        <w:rFonts w:ascii="Tahoma" w:hAnsi="Tahoma" w:cs="Tahoma"/>
        <w:noProof/>
        <w:lang w:val="en-US"/>
      </w:rPr>
      <mc:AlternateContent>
        <mc:Choice Requires="wps">
          <w:drawing>
            <wp:anchor distT="0" distB="0" distL="114300" distR="114300" simplePos="0" relativeHeight="251789312" behindDoc="0" locked="0" layoutInCell="1" allowOverlap="1" wp14:anchorId="7916EC44" wp14:editId="7F72F55E">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14="http://schemas.microsoft.com/office/drawing/2010/main" xmlns:a="http://schemas.openxmlformats.org/drawingml/2006/main">
          <w:pict w14:anchorId="09E4183B">
            <v:rect id="Rectangle 444" style="position:absolute;margin-left:0;margin-top:0;width:7.15pt;height:31.2pt;z-index:251789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spid="_x0000_s1026" fillcolor="#4bacc6 [3208]" strokecolor="#4f81bd [3204]" w14:anchorId="497F1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w10:wrap anchorx="margin" anchory="page"/>
            </v:rect>
          </w:pict>
        </mc:Fallback>
      </mc:AlternateContent>
    </w:r>
    <w:r w:rsidR="003634D2">
      <w:rPr>
        <w:rFonts w:ascii="Tahoma" w:hAnsi="Tahoma" w:cs="Tahoma"/>
        <w:noProof/>
        <w:lang w:val="en-US"/>
      </w:rPr>
      <mc:AlternateContent>
        <mc:Choice Requires="wps">
          <w:drawing>
            <wp:anchor distT="0" distB="0" distL="114300" distR="114300" simplePos="0" relativeHeight="251701248" behindDoc="0" locked="0" layoutInCell="1" allowOverlap="1" wp14:anchorId="783C2356" wp14:editId="362494C0">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14="http://schemas.microsoft.com/office/drawing/2010/main" xmlns:a="http://schemas.openxmlformats.org/drawingml/2006/main">
          <w:pict w14:anchorId="519B9C8D">
            <v:rect id="Rectangle 445" style="position:absolute;margin-left:0;margin-top:0;width:7.2pt;height:31.2pt;z-index:25170124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spid="_x0000_s1026" fillcolor="#4bacc6 [3208]" strokecolor="#4f81bd [3204]" w14:anchorId="04AD1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0436" w14:textId="77777777" w:rsidR="007D07E1" w:rsidRDefault="007D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CF70" w14:textId="77777777" w:rsidR="00802DB9" w:rsidRDefault="00802DB9">
      <w:r>
        <w:separator/>
      </w:r>
    </w:p>
  </w:footnote>
  <w:footnote w:type="continuationSeparator" w:id="0">
    <w:p w14:paraId="0605D662" w14:textId="77777777" w:rsidR="00802DB9" w:rsidRDefault="00802DB9">
      <w:r>
        <w:continuationSeparator/>
      </w:r>
    </w:p>
  </w:footnote>
  <w:footnote w:type="continuationNotice" w:id="1">
    <w:p w14:paraId="3958E1A7" w14:textId="77777777" w:rsidR="00802DB9" w:rsidRDefault="00802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D6BB" w14:textId="77777777" w:rsidR="007D07E1" w:rsidRDefault="007D0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A0C9" w14:textId="77777777" w:rsidR="00866ECE" w:rsidRDefault="00866ECE" w:rsidP="004F3D9C">
    <w:pPr>
      <w:pStyle w:val="Header"/>
      <w:rPr>
        <w:rFonts w:ascii="Tahoma" w:eastAsiaTheme="majorEastAsia" w:hAnsi="Tahoma" w:cs="Tahoma"/>
        <w:lang w:val="en-US"/>
      </w:rPr>
    </w:pPr>
  </w:p>
  <w:p w14:paraId="0F2238A2" w14:textId="76AB3B1B" w:rsidR="004F3D9C" w:rsidRPr="004F3D9C" w:rsidRDefault="00421D69" w:rsidP="004F3D9C">
    <w:pPr>
      <w:pStyle w:val="Heade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58243" behindDoc="0" locked="0" layoutInCell="1" allowOverlap="1" wp14:anchorId="6F18B8CC" wp14:editId="227658A1">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a14="http://schemas.microsoft.com/office/drawing/2010/main" xmlns:a="http://schemas.openxmlformats.org/drawingml/2006/main">
          <w:pict w14:anchorId="224CB23B">
            <v:group id="Group 468" style="position:absolute;margin-left:1.55pt;margin-top:-7.6pt;width:593.85pt;height:33.3pt;z-index:251658243;mso-width-percent:1000;mso-height-percent:925;mso-position-horizontal-relative:page;mso-position-vertical-relative:page;mso-width-percent:1000;mso-height-percent:925;mso-height-relative:top-margin-area" coordsize="15823,1439" coordorigin="8,9" o:spid="_x0000_s1026" w14:anchorId="6BEAD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2" behindDoc="0" locked="0" layoutInCell="1" allowOverlap="1" wp14:anchorId="3132EF55" wp14:editId="0A14575D">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14="http://schemas.microsoft.com/office/drawing/2010/main" xmlns:a="http://schemas.openxmlformats.org/drawingml/2006/main">
          <w:pict w14:anchorId="33C58426">
            <v:rect id="Rectangle 471" style="position:absolute;margin-left:0;margin-top:0;width:7.15pt;height:31.2pt;z-index:25165824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spid="_x0000_s1026" fillcolor="#4bacc6 [3208]" strokecolor="#4f81bd [3204]" w14:anchorId="1EEAC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w10:wrap anchorx="margin" anchory="page"/>
            </v:rect>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1" behindDoc="0" locked="0" layoutInCell="1" allowOverlap="1" wp14:anchorId="49684933" wp14:editId="40CD0F21">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14="http://schemas.microsoft.com/office/drawing/2010/main" xmlns:a="http://schemas.openxmlformats.org/drawingml/2006/main">
          <w:pict w14:anchorId="5612DAA3">
            <v:rect id="Rectangle 472" style="position:absolute;margin-left:0;margin-top:0;width:7.15pt;height:31.2pt;z-index:251658241;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spid="_x0000_s1026" fillcolor="#4bacc6 [3208]" strokecolor="#4f81bd [3204]" w14:anchorId="5161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w10:wrap anchorx="margin" anchory="page"/>
            </v:rect>
          </w:pict>
        </mc:Fallback>
      </mc:AlternateContent>
    </w:r>
    <w:r>
      <w:rPr>
        <w:rFonts w:ascii="Tahoma" w:eastAsiaTheme="majorEastAsia" w:hAnsi="Tahoma" w:cs="Tahoma"/>
        <w:lang w:val="en-US"/>
      </w:rPr>
      <w:t xml:space="preserve"> Terms </w:t>
    </w:r>
    <w:r w:rsidR="00392B76">
      <w:rPr>
        <w:rFonts w:ascii="Tahoma" w:eastAsiaTheme="majorEastAsia" w:hAnsi="Tahoma" w:cs="Tahoma"/>
        <w:lang w:val="en-US"/>
      </w:rPr>
      <w:t>of</w:t>
    </w:r>
    <w:r>
      <w:rPr>
        <w:rFonts w:ascii="Tahoma" w:eastAsiaTheme="majorEastAsia" w:hAnsi="Tahoma" w:cs="Tahoma"/>
        <w:lang w:val="en-US"/>
      </w:rPr>
      <w:t xml:space="preserve"> Reference (TOR) for Individual Consultant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DCDB" w14:textId="77777777" w:rsidR="007D07E1" w:rsidRDefault="007D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D026E"/>
    <w:multiLevelType w:val="hybridMultilevel"/>
    <w:tmpl w:val="EC3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08060A"/>
    <w:multiLevelType w:val="hybridMultilevel"/>
    <w:tmpl w:val="AFD6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E3AD6"/>
    <w:multiLevelType w:val="hybridMultilevel"/>
    <w:tmpl w:val="05169D28"/>
    <w:lvl w:ilvl="0" w:tplc="123CE84A">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6" w15:restartNumberingAfterBreak="0">
    <w:nsid w:val="40D624B4"/>
    <w:multiLevelType w:val="hybridMultilevel"/>
    <w:tmpl w:val="F5FA1A6A"/>
    <w:lvl w:ilvl="0" w:tplc="04090001">
      <w:start w:val="1"/>
      <w:numFmt w:val="bullet"/>
      <w:lvlText w:val=""/>
      <w:lvlJc w:val="left"/>
      <w:pPr>
        <w:ind w:left="720" w:hanging="360"/>
      </w:pPr>
      <w:rPr>
        <w:rFonts w:ascii="Symbol" w:hAnsi="Symbol" w:hint="default"/>
      </w:rPr>
    </w:lvl>
    <w:lvl w:ilvl="1" w:tplc="C540B65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25EAE"/>
    <w:multiLevelType w:val="hybridMultilevel"/>
    <w:tmpl w:val="DA78AA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80CE66">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31BFE"/>
    <w:multiLevelType w:val="hybridMultilevel"/>
    <w:tmpl w:val="FEAA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B1613"/>
    <w:multiLevelType w:val="hybridMultilevel"/>
    <w:tmpl w:val="F17A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D64228"/>
    <w:multiLevelType w:val="hybridMultilevel"/>
    <w:tmpl w:val="F42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B5039"/>
    <w:multiLevelType w:val="hybridMultilevel"/>
    <w:tmpl w:val="9A9A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0"/>
  </w:num>
  <w:num w:numId="3">
    <w:abstractNumId w:val="16"/>
  </w:num>
  <w:num w:numId="4">
    <w:abstractNumId w:val="7"/>
  </w:num>
  <w:num w:numId="5">
    <w:abstractNumId w:val="14"/>
  </w:num>
  <w:num w:numId="6">
    <w:abstractNumId w:val="9"/>
  </w:num>
  <w:num w:numId="7">
    <w:abstractNumId w:val="12"/>
  </w:num>
  <w:num w:numId="8">
    <w:abstractNumId w:val="2"/>
  </w:num>
  <w:num w:numId="9">
    <w:abstractNumId w:val="10"/>
  </w:num>
  <w:num w:numId="10">
    <w:abstractNumId w:val="3"/>
  </w:num>
  <w:num w:numId="11">
    <w:abstractNumId w:val="8"/>
  </w:num>
  <w:num w:numId="12">
    <w:abstractNumId w:val="15"/>
  </w:num>
  <w:num w:numId="13">
    <w:abstractNumId w:val="11"/>
  </w:num>
  <w:num w:numId="14">
    <w:abstractNumId w:val="6"/>
  </w:num>
  <w:num w:numId="15">
    <w:abstractNumId w:val="13"/>
  </w:num>
  <w:num w:numId="16">
    <w:abstractNumId w:val="1"/>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478"/>
    <w:rsid w:val="00004E11"/>
    <w:rsid w:val="0000592D"/>
    <w:rsid w:val="000128F7"/>
    <w:rsid w:val="00013A5A"/>
    <w:rsid w:val="00015F5D"/>
    <w:rsid w:val="00016468"/>
    <w:rsid w:val="000302E3"/>
    <w:rsid w:val="00030A7F"/>
    <w:rsid w:val="00031FAE"/>
    <w:rsid w:val="00035ADE"/>
    <w:rsid w:val="000369E2"/>
    <w:rsid w:val="0004001E"/>
    <w:rsid w:val="000405D1"/>
    <w:rsid w:val="00040925"/>
    <w:rsid w:val="0004217C"/>
    <w:rsid w:val="00043660"/>
    <w:rsid w:val="00046F03"/>
    <w:rsid w:val="00052C95"/>
    <w:rsid w:val="00056C4B"/>
    <w:rsid w:val="00057328"/>
    <w:rsid w:val="0005749C"/>
    <w:rsid w:val="00065638"/>
    <w:rsid w:val="0008553B"/>
    <w:rsid w:val="00086E79"/>
    <w:rsid w:val="0009285C"/>
    <w:rsid w:val="000964EB"/>
    <w:rsid w:val="000A06D8"/>
    <w:rsid w:val="000A1035"/>
    <w:rsid w:val="000A2E64"/>
    <w:rsid w:val="000A2FF4"/>
    <w:rsid w:val="000A40CF"/>
    <w:rsid w:val="000A6DD5"/>
    <w:rsid w:val="000A749E"/>
    <w:rsid w:val="000A7E6F"/>
    <w:rsid w:val="000A7EA8"/>
    <w:rsid w:val="000B3FAB"/>
    <w:rsid w:val="000B5AE0"/>
    <w:rsid w:val="000C0B9A"/>
    <w:rsid w:val="000C51C1"/>
    <w:rsid w:val="000C55E9"/>
    <w:rsid w:val="000C5EB3"/>
    <w:rsid w:val="000C5F53"/>
    <w:rsid w:val="000D02A0"/>
    <w:rsid w:val="000D0399"/>
    <w:rsid w:val="000D0CD4"/>
    <w:rsid w:val="000D4058"/>
    <w:rsid w:val="000D6D3E"/>
    <w:rsid w:val="000E40C6"/>
    <w:rsid w:val="000F0BE4"/>
    <w:rsid w:val="000F44FA"/>
    <w:rsid w:val="000F6CEC"/>
    <w:rsid w:val="00113CAB"/>
    <w:rsid w:val="001146D4"/>
    <w:rsid w:val="001208FA"/>
    <w:rsid w:val="0012186C"/>
    <w:rsid w:val="001223A8"/>
    <w:rsid w:val="0012465C"/>
    <w:rsid w:val="00125DAC"/>
    <w:rsid w:val="001266B4"/>
    <w:rsid w:val="00126E47"/>
    <w:rsid w:val="001327C4"/>
    <w:rsid w:val="0013501A"/>
    <w:rsid w:val="001415BD"/>
    <w:rsid w:val="00141B28"/>
    <w:rsid w:val="00143EAC"/>
    <w:rsid w:val="00145A1B"/>
    <w:rsid w:val="001466C9"/>
    <w:rsid w:val="001512C2"/>
    <w:rsid w:val="00152E6C"/>
    <w:rsid w:val="00160446"/>
    <w:rsid w:val="0016210E"/>
    <w:rsid w:val="00170A79"/>
    <w:rsid w:val="0017144C"/>
    <w:rsid w:val="00172467"/>
    <w:rsid w:val="001773D0"/>
    <w:rsid w:val="001809BC"/>
    <w:rsid w:val="00186387"/>
    <w:rsid w:val="00186867"/>
    <w:rsid w:val="00190F7E"/>
    <w:rsid w:val="00192489"/>
    <w:rsid w:val="00194096"/>
    <w:rsid w:val="00194BD2"/>
    <w:rsid w:val="001A3568"/>
    <w:rsid w:val="001A3D1B"/>
    <w:rsid w:val="001B17AD"/>
    <w:rsid w:val="001B44E4"/>
    <w:rsid w:val="001B747A"/>
    <w:rsid w:val="001C39F8"/>
    <w:rsid w:val="001C66F5"/>
    <w:rsid w:val="001D0F9C"/>
    <w:rsid w:val="001D2A70"/>
    <w:rsid w:val="001D51C0"/>
    <w:rsid w:val="001E058E"/>
    <w:rsid w:val="001E0650"/>
    <w:rsid w:val="001E30D6"/>
    <w:rsid w:val="001E405C"/>
    <w:rsid w:val="001E4572"/>
    <w:rsid w:val="001E7EEC"/>
    <w:rsid w:val="001F274A"/>
    <w:rsid w:val="001F4950"/>
    <w:rsid w:val="002000FB"/>
    <w:rsid w:val="002115E5"/>
    <w:rsid w:val="002132DA"/>
    <w:rsid w:val="00217810"/>
    <w:rsid w:val="00221771"/>
    <w:rsid w:val="0022792A"/>
    <w:rsid w:val="00230149"/>
    <w:rsid w:val="00230B3A"/>
    <w:rsid w:val="00235A32"/>
    <w:rsid w:val="002468EA"/>
    <w:rsid w:val="00246E7C"/>
    <w:rsid w:val="002471BC"/>
    <w:rsid w:val="00250FAD"/>
    <w:rsid w:val="0025402B"/>
    <w:rsid w:val="002568F4"/>
    <w:rsid w:val="00260192"/>
    <w:rsid w:val="002631FD"/>
    <w:rsid w:val="00263D04"/>
    <w:rsid w:val="00264DCC"/>
    <w:rsid w:val="002668D9"/>
    <w:rsid w:val="002749DE"/>
    <w:rsid w:val="00280F62"/>
    <w:rsid w:val="00281B61"/>
    <w:rsid w:val="00285127"/>
    <w:rsid w:val="00286CE7"/>
    <w:rsid w:val="00292946"/>
    <w:rsid w:val="002933CC"/>
    <w:rsid w:val="00293ACF"/>
    <w:rsid w:val="00294682"/>
    <w:rsid w:val="002963F0"/>
    <w:rsid w:val="002A3F45"/>
    <w:rsid w:val="002A674D"/>
    <w:rsid w:val="002B0969"/>
    <w:rsid w:val="002B0D24"/>
    <w:rsid w:val="002B42C0"/>
    <w:rsid w:val="002B4B38"/>
    <w:rsid w:val="002B6E58"/>
    <w:rsid w:val="002C22AD"/>
    <w:rsid w:val="002C74E3"/>
    <w:rsid w:val="002C75D6"/>
    <w:rsid w:val="002D16DC"/>
    <w:rsid w:val="002D3ACE"/>
    <w:rsid w:val="002D61BB"/>
    <w:rsid w:val="002D644E"/>
    <w:rsid w:val="002E17DC"/>
    <w:rsid w:val="002E39FC"/>
    <w:rsid w:val="002E4739"/>
    <w:rsid w:val="002F2691"/>
    <w:rsid w:val="002F7E0F"/>
    <w:rsid w:val="003016E0"/>
    <w:rsid w:val="00311314"/>
    <w:rsid w:val="00314B23"/>
    <w:rsid w:val="00326A9C"/>
    <w:rsid w:val="00336F77"/>
    <w:rsid w:val="003374B0"/>
    <w:rsid w:val="00346201"/>
    <w:rsid w:val="003531A9"/>
    <w:rsid w:val="0035498F"/>
    <w:rsid w:val="00354DA8"/>
    <w:rsid w:val="00357637"/>
    <w:rsid w:val="003634D2"/>
    <w:rsid w:val="003669A4"/>
    <w:rsid w:val="00367545"/>
    <w:rsid w:val="00370C2D"/>
    <w:rsid w:val="00372A77"/>
    <w:rsid w:val="0037598C"/>
    <w:rsid w:val="003834E2"/>
    <w:rsid w:val="00384D8F"/>
    <w:rsid w:val="00392B76"/>
    <w:rsid w:val="00392F3A"/>
    <w:rsid w:val="00393A96"/>
    <w:rsid w:val="003A1EF8"/>
    <w:rsid w:val="003A259A"/>
    <w:rsid w:val="003B1866"/>
    <w:rsid w:val="003B272C"/>
    <w:rsid w:val="003B48A3"/>
    <w:rsid w:val="003B4D73"/>
    <w:rsid w:val="003B5C17"/>
    <w:rsid w:val="003B66E3"/>
    <w:rsid w:val="003B6733"/>
    <w:rsid w:val="003C1CB7"/>
    <w:rsid w:val="003C4533"/>
    <w:rsid w:val="003C4AE6"/>
    <w:rsid w:val="003C5627"/>
    <w:rsid w:val="003D1E5B"/>
    <w:rsid w:val="003D79E6"/>
    <w:rsid w:val="003E37BC"/>
    <w:rsid w:val="003F0539"/>
    <w:rsid w:val="003F43C1"/>
    <w:rsid w:val="003F5797"/>
    <w:rsid w:val="004039E4"/>
    <w:rsid w:val="00404C91"/>
    <w:rsid w:val="00405B72"/>
    <w:rsid w:val="00406D45"/>
    <w:rsid w:val="00407E68"/>
    <w:rsid w:val="00410127"/>
    <w:rsid w:val="00410850"/>
    <w:rsid w:val="0041135D"/>
    <w:rsid w:val="00417DCB"/>
    <w:rsid w:val="00420292"/>
    <w:rsid w:val="00420910"/>
    <w:rsid w:val="00421D69"/>
    <w:rsid w:val="00424D18"/>
    <w:rsid w:val="00426123"/>
    <w:rsid w:val="0042682A"/>
    <w:rsid w:val="00434A15"/>
    <w:rsid w:val="00450C6E"/>
    <w:rsid w:val="004617D2"/>
    <w:rsid w:val="00464974"/>
    <w:rsid w:val="004649EC"/>
    <w:rsid w:val="0047163A"/>
    <w:rsid w:val="00474682"/>
    <w:rsid w:val="00475B95"/>
    <w:rsid w:val="00475E96"/>
    <w:rsid w:val="00476130"/>
    <w:rsid w:val="00477D57"/>
    <w:rsid w:val="00477FC2"/>
    <w:rsid w:val="00483B47"/>
    <w:rsid w:val="0048735F"/>
    <w:rsid w:val="00490EFC"/>
    <w:rsid w:val="004913E8"/>
    <w:rsid w:val="00497391"/>
    <w:rsid w:val="004A00B1"/>
    <w:rsid w:val="004A2C47"/>
    <w:rsid w:val="004A2DFB"/>
    <w:rsid w:val="004A3926"/>
    <w:rsid w:val="004A4D4D"/>
    <w:rsid w:val="004A4FB5"/>
    <w:rsid w:val="004B51AC"/>
    <w:rsid w:val="004B7CF2"/>
    <w:rsid w:val="004C4CA3"/>
    <w:rsid w:val="004C4DE1"/>
    <w:rsid w:val="004C5557"/>
    <w:rsid w:val="004C7CC2"/>
    <w:rsid w:val="004D2E8B"/>
    <w:rsid w:val="004E0045"/>
    <w:rsid w:val="004E48D9"/>
    <w:rsid w:val="004E565F"/>
    <w:rsid w:val="004F3D9C"/>
    <w:rsid w:val="004F4035"/>
    <w:rsid w:val="004F7BF6"/>
    <w:rsid w:val="005006AC"/>
    <w:rsid w:val="005027ED"/>
    <w:rsid w:val="0050523E"/>
    <w:rsid w:val="005067B5"/>
    <w:rsid w:val="005077B5"/>
    <w:rsid w:val="00511325"/>
    <w:rsid w:val="005120F2"/>
    <w:rsid w:val="005227BE"/>
    <w:rsid w:val="00525127"/>
    <w:rsid w:val="005319B8"/>
    <w:rsid w:val="0053203C"/>
    <w:rsid w:val="00532A3E"/>
    <w:rsid w:val="00540DF1"/>
    <w:rsid w:val="00542F8B"/>
    <w:rsid w:val="005576A5"/>
    <w:rsid w:val="005608AC"/>
    <w:rsid w:val="0057170F"/>
    <w:rsid w:val="00572E67"/>
    <w:rsid w:val="00577EC0"/>
    <w:rsid w:val="005803E6"/>
    <w:rsid w:val="00583821"/>
    <w:rsid w:val="00590285"/>
    <w:rsid w:val="00591E54"/>
    <w:rsid w:val="0059728E"/>
    <w:rsid w:val="00597AF7"/>
    <w:rsid w:val="005A16A8"/>
    <w:rsid w:val="005A5BF0"/>
    <w:rsid w:val="005A7500"/>
    <w:rsid w:val="005B325C"/>
    <w:rsid w:val="005B45B8"/>
    <w:rsid w:val="005C1716"/>
    <w:rsid w:val="005C2DE3"/>
    <w:rsid w:val="005C3C54"/>
    <w:rsid w:val="005C6D07"/>
    <w:rsid w:val="005C7337"/>
    <w:rsid w:val="005C7BCD"/>
    <w:rsid w:val="005D1C59"/>
    <w:rsid w:val="005D34BC"/>
    <w:rsid w:val="005D544C"/>
    <w:rsid w:val="005D6376"/>
    <w:rsid w:val="005E3324"/>
    <w:rsid w:val="005E373C"/>
    <w:rsid w:val="005E59B4"/>
    <w:rsid w:val="005E5DDB"/>
    <w:rsid w:val="005E6C51"/>
    <w:rsid w:val="005F29DE"/>
    <w:rsid w:val="00601EA6"/>
    <w:rsid w:val="00602AD5"/>
    <w:rsid w:val="00603D08"/>
    <w:rsid w:val="006069CA"/>
    <w:rsid w:val="00607A74"/>
    <w:rsid w:val="00610BF8"/>
    <w:rsid w:val="00610F73"/>
    <w:rsid w:val="00611F09"/>
    <w:rsid w:val="006121DC"/>
    <w:rsid w:val="00612C06"/>
    <w:rsid w:val="00615B4B"/>
    <w:rsid w:val="006176B9"/>
    <w:rsid w:val="00626195"/>
    <w:rsid w:val="00627FDC"/>
    <w:rsid w:val="006309C1"/>
    <w:rsid w:val="00637809"/>
    <w:rsid w:val="00637C65"/>
    <w:rsid w:val="00640A3E"/>
    <w:rsid w:val="00643730"/>
    <w:rsid w:val="00643DD5"/>
    <w:rsid w:val="00643F7A"/>
    <w:rsid w:val="00645DAB"/>
    <w:rsid w:val="00646984"/>
    <w:rsid w:val="00652AC3"/>
    <w:rsid w:val="006542FF"/>
    <w:rsid w:val="00654355"/>
    <w:rsid w:val="00655278"/>
    <w:rsid w:val="00657DB3"/>
    <w:rsid w:val="00661C46"/>
    <w:rsid w:val="006625CC"/>
    <w:rsid w:val="00663288"/>
    <w:rsid w:val="006667DB"/>
    <w:rsid w:val="00667233"/>
    <w:rsid w:val="00667D83"/>
    <w:rsid w:val="00670000"/>
    <w:rsid w:val="00671482"/>
    <w:rsid w:val="00676277"/>
    <w:rsid w:val="00680855"/>
    <w:rsid w:val="00683F91"/>
    <w:rsid w:val="00690333"/>
    <w:rsid w:val="00693D4D"/>
    <w:rsid w:val="006A0A5E"/>
    <w:rsid w:val="006A3553"/>
    <w:rsid w:val="006A3944"/>
    <w:rsid w:val="006A3B08"/>
    <w:rsid w:val="006A6100"/>
    <w:rsid w:val="006B02DB"/>
    <w:rsid w:val="006B71F5"/>
    <w:rsid w:val="006C7D6A"/>
    <w:rsid w:val="006D01FD"/>
    <w:rsid w:val="006D07FC"/>
    <w:rsid w:val="006D21F8"/>
    <w:rsid w:val="006E64D7"/>
    <w:rsid w:val="006E7AE5"/>
    <w:rsid w:val="006F34DE"/>
    <w:rsid w:val="006F5A9C"/>
    <w:rsid w:val="006F5C7E"/>
    <w:rsid w:val="006F6774"/>
    <w:rsid w:val="00702277"/>
    <w:rsid w:val="007040BE"/>
    <w:rsid w:val="00707602"/>
    <w:rsid w:val="00710618"/>
    <w:rsid w:val="00711FE9"/>
    <w:rsid w:val="0072203F"/>
    <w:rsid w:val="00726A4B"/>
    <w:rsid w:val="007324DE"/>
    <w:rsid w:val="00732CCB"/>
    <w:rsid w:val="00735B2E"/>
    <w:rsid w:val="007368F2"/>
    <w:rsid w:val="00737189"/>
    <w:rsid w:val="00742B90"/>
    <w:rsid w:val="00745D4E"/>
    <w:rsid w:val="0075064F"/>
    <w:rsid w:val="007509A0"/>
    <w:rsid w:val="007511E2"/>
    <w:rsid w:val="00755C83"/>
    <w:rsid w:val="00756B1F"/>
    <w:rsid w:val="007642BB"/>
    <w:rsid w:val="0076466D"/>
    <w:rsid w:val="00767554"/>
    <w:rsid w:val="00767FD4"/>
    <w:rsid w:val="0077516E"/>
    <w:rsid w:val="007762FA"/>
    <w:rsid w:val="00781DE3"/>
    <w:rsid w:val="0078242C"/>
    <w:rsid w:val="00790D4A"/>
    <w:rsid w:val="00795E68"/>
    <w:rsid w:val="007A09AE"/>
    <w:rsid w:val="007A4CE1"/>
    <w:rsid w:val="007A6A03"/>
    <w:rsid w:val="007B5719"/>
    <w:rsid w:val="007B73D5"/>
    <w:rsid w:val="007C14B0"/>
    <w:rsid w:val="007C1F73"/>
    <w:rsid w:val="007C2079"/>
    <w:rsid w:val="007C46BB"/>
    <w:rsid w:val="007C4AD2"/>
    <w:rsid w:val="007C7B1F"/>
    <w:rsid w:val="007D07E1"/>
    <w:rsid w:val="007D1120"/>
    <w:rsid w:val="007D25DF"/>
    <w:rsid w:val="007E0729"/>
    <w:rsid w:val="007F421C"/>
    <w:rsid w:val="007F586D"/>
    <w:rsid w:val="00802DB9"/>
    <w:rsid w:val="00804852"/>
    <w:rsid w:val="00806204"/>
    <w:rsid w:val="00807BA4"/>
    <w:rsid w:val="008145E7"/>
    <w:rsid w:val="00817BBB"/>
    <w:rsid w:val="00824CF5"/>
    <w:rsid w:val="00824DAA"/>
    <w:rsid w:val="00830769"/>
    <w:rsid w:val="0083247C"/>
    <w:rsid w:val="00834E99"/>
    <w:rsid w:val="00837EF7"/>
    <w:rsid w:val="0084337F"/>
    <w:rsid w:val="00850019"/>
    <w:rsid w:val="008529F3"/>
    <w:rsid w:val="00854058"/>
    <w:rsid w:val="00857319"/>
    <w:rsid w:val="00860A93"/>
    <w:rsid w:val="0086321A"/>
    <w:rsid w:val="00863B6F"/>
    <w:rsid w:val="008663C4"/>
    <w:rsid w:val="0086683B"/>
    <w:rsid w:val="00866ECE"/>
    <w:rsid w:val="008713CC"/>
    <w:rsid w:val="00871615"/>
    <w:rsid w:val="00872E83"/>
    <w:rsid w:val="00873B6A"/>
    <w:rsid w:val="008745C1"/>
    <w:rsid w:val="00876ED6"/>
    <w:rsid w:val="00881712"/>
    <w:rsid w:val="00881ED3"/>
    <w:rsid w:val="0088261C"/>
    <w:rsid w:val="008831D1"/>
    <w:rsid w:val="0088675C"/>
    <w:rsid w:val="00887950"/>
    <w:rsid w:val="0089115F"/>
    <w:rsid w:val="00897EBC"/>
    <w:rsid w:val="008A1C95"/>
    <w:rsid w:val="008A1EDF"/>
    <w:rsid w:val="008A40C6"/>
    <w:rsid w:val="008A5C01"/>
    <w:rsid w:val="008A757A"/>
    <w:rsid w:val="008B1CE7"/>
    <w:rsid w:val="008B6AF5"/>
    <w:rsid w:val="008C0184"/>
    <w:rsid w:val="008C290F"/>
    <w:rsid w:val="008C2ED5"/>
    <w:rsid w:val="008C3966"/>
    <w:rsid w:val="008C556D"/>
    <w:rsid w:val="008D008D"/>
    <w:rsid w:val="008D043C"/>
    <w:rsid w:val="008D1267"/>
    <w:rsid w:val="008D1A52"/>
    <w:rsid w:val="008D3A21"/>
    <w:rsid w:val="008D3E6A"/>
    <w:rsid w:val="008D4075"/>
    <w:rsid w:val="008D4534"/>
    <w:rsid w:val="008E1CBC"/>
    <w:rsid w:val="008E3E59"/>
    <w:rsid w:val="008E55A1"/>
    <w:rsid w:val="008E7A03"/>
    <w:rsid w:val="008F2224"/>
    <w:rsid w:val="008F2877"/>
    <w:rsid w:val="0090043F"/>
    <w:rsid w:val="00901522"/>
    <w:rsid w:val="009114FF"/>
    <w:rsid w:val="009117C7"/>
    <w:rsid w:val="00912245"/>
    <w:rsid w:val="00913508"/>
    <w:rsid w:val="00916BC2"/>
    <w:rsid w:val="009173B4"/>
    <w:rsid w:val="00923597"/>
    <w:rsid w:val="00924C8E"/>
    <w:rsid w:val="00925E88"/>
    <w:rsid w:val="00926940"/>
    <w:rsid w:val="00926AB4"/>
    <w:rsid w:val="009367B6"/>
    <w:rsid w:val="009374A5"/>
    <w:rsid w:val="00941211"/>
    <w:rsid w:val="0094134E"/>
    <w:rsid w:val="009421CC"/>
    <w:rsid w:val="00946D12"/>
    <w:rsid w:val="009474EF"/>
    <w:rsid w:val="00950DEB"/>
    <w:rsid w:val="00951AF5"/>
    <w:rsid w:val="00952805"/>
    <w:rsid w:val="009549B2"/>
    <w:rsid w:val="00960A0F"/>
    <w:rsid w:val="009621E9"/>
    <w:rsid w:val="0096240D"/>
    <w:rsid w:val="009650A8"/>
    <w:rsid w:val="00970E03"/>
    <w:rsid w:val="00971BA1"/>
    <w:rsid w:val="00974486"/>
    <w:rsid w:val="00974864"/>
    <w:rsid w:val="00974BF9"/>
    <w:rsid w:val="00974EAB"/>
    <w:rsid w:val="00976AA5"/>
    <w:rsid w:val="00984CA2"/>
    <w:rsid w:val="009A0E44"/>
    <w:rsid w:val="009A3EFB"/>
    <w:rsid w:val="009A5E22"/>
    <w:rsid w:val="009A6843"/>
    <w:rsid w:val="009B1768"/>
    <w:rsid w:val="009C1D3F"/>
    <w:rsid w:val="009C3FD4"/>
    <w:rsid w:val="009C589D"/>
    <w:rsid w:val="009D2425"/>
    <w:rsid w:val="009D2B21"/>
    <w:rsid w:val="009E4FE6"/>
    <w:rsid w:val="009F0062"/>
    <w:rsid w:val="009F32E1"/>
    <w:rsid w:val="009F3655"/>
    <w:rsid w:val="009F4159"/>
    <w:rsid w:val="00A03B54"/>
    <w:rsid w:val="00A03ED7"/>
    <w:rsid w:val="00A07FC2"/>
    <w:rsid w:val="00A14004"/>
    <w:rsid w:val="00A15397"/>
    <w:rsid w:val="00A219B7"/>
    <w:rsid w:val="00A26074"/>
    <w:rsid w:val="00A26EB5"/>
    <w:rsid w:val="00A27476"/>
    <w:rsid w:val="00A32A34"/>
    <w:rsid w:val="00A3327C"/>
    <w:rsid w:val="00A352AA"/>
    <w:rsid w:val="00A43219"/>
    <w:rsid w:val="00A44AB5"/>
    <w:rsid w:val="00A51666"/>
    <w:rsid w:val="00A562FA"/>
    <w:rsid w:val="00A57746"/>
    <w:rsid w:val="00A607E7"/>
    <w:rsid w:val="00A614F6"/>
    <w:rsid w:val="00A62349"/>
    <w:rsid w:val="00A70720"/>
    <w:rsid w:val="00A72265"/>
    <w:rsid w:val="00A75285"/>
    <w:rsid w:val="00A779AD"/>
    <w:rsid w:val="00A90BF1"/>
    <w:rsid w:val="00A94395"/>
    <w:rsid w:val="00A9565A"/>
    <w:rsid w:val="00A97DDC"/>
    <w:rsid w:val="00AB1DE7"/>
    <w:rsid w:val="00AB2046"/>
    <w:rsid w:val="00AB2B77"/>
    <w:rsid w:val="00AB69EC"/>
    <w:rsid w:val="00AC1BA0"/>
    <w:rsid w:val="00AC2EB6"/>
    <w:rsid w:val="00AC388B"/>
    <w:rsid w:val="00AD2208"/>
    <w:rsid w:val="00AD4CAA"/>
    <w:rsid w:val="00AD67D0"/>
    <w:rsid w:val="00AE0770"/>
    <w:rsid w:val="00AE2655"/>
    <w:rsid w:val="00AE30EF"/>
    <w:rsid w:val="00AE5E8D"/>
    <w:rsid w:val="00AE7601"/>
    <w:rsid w:val="00AE7FAE"/>
    <w:rsid w:val="00AF0842"/>
    <w:rsid w:val="00AF24F2"/>
    <w:rsid w:val="00AF2650"/>
    <w:rsid w:val="00AF4017"/>
    <w:rsid w:val="00AF487C"/>
    <w:rsid w:val="00AF615D"/>
    <w:rsid w:val="00B068AF"/>
    <w:rsid w:val="00B06A9C"/>
    <w:rsid w:val="00B07EB8"/>
    <w:rsid w:val="00B221C1"/>
    <w:rsid w:val="00B26911"/>
    <w:rsid w:val="00B348EA"/>
    <w:rsid w:val="00B42147"/>
    <w:rsid w:val="00B45644"/>
    <w:rsid w:val="00B5095E"/>
    <w:rsid w:val="00B514EF"/>
    <w:rsid w:val="00B52C1C"/>
    <w:rsid w:val="00B56FCF"/>
    <w:rsid w:val="00B60B69"/>
    <w:rsid w:val="00B638E1"/>
    <w:rsid w:val="00B67ACD"/>
    <w:rsid w:val="00B73FF3"/>
    <w:rsid w:val="00B81A5F"/>
    <w:rsid w:val="00B83111"/>
    <w:rsid w:val="00B86709"/>
    <w:rsid w:val="00B871D2"/>
    <w:rsid w:val="00B92A07"/>
    <w:rsid w:val="00B96A5D"/>
    <w:rsid w:val="00BA1BF0"/>
    <w:rsid w:val="00BA3793"/>
    <w:rsid w:val="00BA4DC7"/>
    <w:rsid w:val="00BA59CE"/>
    <w:rsid w:val="00BA64B9"/>
    <w:rsid w:val="00BB0245"/>
    <w:rsid w:val="00BB0874"/>
    <w:rsid w:val="00BB1012"/>
    <w:rsid w:val="00BB34B3"/>
    <w:rsid w:val="00BB43FF"/>
    <w:rsid w:val="00BB515A"/>
    <w:rsid w:val="00BC5C25"/>
    <w:rsid w:val="00BD0270"/>
    <w:rsid w:val="00BD1B85"/>
    <w:rsid w:val="00BF4018"/>
    <w:rsid w:val="00C01F42"/>
    <w:rsid w:val="00C05D7C"/>
    <w:rsid w:val="00C10CC5"/>
    <w:rsid w:val="00C11957"/>
    <w:rsid w:val="00C13C16"/>
    <w:rsid w:val="00C17D02"/>
    <w:rsid w:val="00C2094F"/>
    <w:rsid w:val="00C21C15"/>
    <w:rsid w:val="00C22CB0"/>
    <w:rsid w:val="00C2729C"/>
    <w:rsid w:val="00C279E4"/>
    <w:rsid w:val="00C301BC"/>
    <w:rsid w:val="00C3126A"/>
    <w:rsid w:val="00C3233F"/>
    <w:rsid w:val="00C41EB9"/>
    <w:rsid w:val="00C42C00"/>
    <w:rsid w:val="00C47E49"/>
    <w:rsid w:val="00C51B79"/>
    <w:rsid w:val="00C55162"/>
    <w:rsid w:val="00C65569"/>
    <w:rsid w:val="00C71246"/>
    <w:rsid w:val="00C7171E"/>
    <w:rsid w:val="00C73548"/>
    <w:rsid w:val="00C73DEE"/>
    <w:rsid w:val="00C73E69"/>
    <w:rsid w:val="00C7489F"/>
    <w:rsid w:val="00C74F76"/>
    <w:rsid w:val="00C75117"/>
    <w:rsid w:val="00C75852"/>
    <w:rsid w:val="00C76FAE"/>
    <w:rsid w:val="00C82422"/>
    <w:rsid w:val="00C84DA5"/>
    <w:rsid w:val="00C8717C"/>
    <w:rsid w:val="00C9138D"/>
    <w:rsid w:val="00C97823"/>
    <w:rsid w:val="00CA4B8A"/>
    <w:rsid w:val="00CA5D2B"/>
    <w:rsid w:val="00CA74FB"/>
    <w:rsid w:val="00CB1E4B"/>
    <w:rsid w:val="00CB44E8"/>
    <w:rsid w:val="00CB530E"/>
    <w:rsid w:val="00CB6FCB"/>
    <w:rsid w:val="00CB7729"/>
    <w:rsid w:val="00CC0099"/>
    <w:rsid w:val="00CC1B2D"/>
    <w:rsid w:val="00CC2244"/>
    <w:rsid w:val="00CC33F6"/>
    <w:rsid w:val="00CC5B2C"/>
    <w:rsid w:val="00CC7E82"/>
    <w:rsid w:val="00CD2C3B"/>
    <w:rsid w:val="00CD3056"/>
    <w:rsid w:val="00CD3E6F"/>
    <w:rsid w:val="00CD6B82"/>
    <w:rsid w:val="00CE129F"/>
    <w:rsid w:val="00CE6929"/>
    <w:rsid w:val="00CF60AE"/>
    <w:rsid w:val="00CF704C"/>
    <w:rsid w:val="00D005C2"/>
    <w:rsid w:val="00D12545"/>
    <w:rsid w:val="00D16359"/>
    <w:rsid w:val="00D20970"/>
    <w:rsid w:val="00D20AED"/>
    <w:rsid w:val="00D20C69"/>
    <w:rsid w:val="00D22142"/>
    <w:rsid w:val="00D2385C"/>
    <w:rsid w:val="00D25DC1"/>
    <w:rsid w:val="00D30CE3"/>
    <w:rsid w:val="00D33A3A"/>
    <w:rsid w:val="00D36E96"/>
    <w:rsid w:val="00D37843"/>
    <w:rsid w:val="00D414AD"/>
    <w:rsid w:val="00D42991"/>
    <w:rsid w:val="00D45A13"/>
    <w:rsid w:val="00D47254"/>
    <w:rsid w:val="00D52584"/>
    <w:rsid w:val="00D554B6"/>
    <w:rsid w:val="00D56641"/>
    <w:rsid w:val="00D61597"/>
    <w:rsid w:val="00D63327"/>
    <w:rsid w:val="00D64BC6"/>
    <w:rsid w:val="00D6638B"/>
    <w:rsid w:val="00D6699E"/>
    <w:rsid w:val="00D6731A"/>
    <w:rsid w:val="00D7270E"/>
    <w:rsid w:val="00D73159"/>
    <w:rsid w:val="00D76A35"/>
    <w:rsid w:val="00D7759F"/>
    <w:rsid w:val="00D80400"/>
    <w:rsid w:val="00D85C8D"/>
    <w:rsid w:val="00D939DD"/>
    <w:rsid w:val="00D97FAD"/>
    <w:rsid w:val="00DA332E"/>
    <w:rsid w:val="00DA3836"/>
    <w:rsid w:val="00DB137D"/>
    <w:rsid w:val="00DB2E5A"/>
    <w:rsid w:val="00DB7861"/>
    <w:rsid w:val="00DC2C8F"/>
    <w:rsid w:val="00DC46B3"/>
    <w:rsid w:val="00DC6462"/>
    <w:rsid w:val="00DD01BC"/>
    <w:rsid w:val="00DF0267"/>
    <w:rsid w:val="00DF102C"/>
    <w:rsid w:val="00DF4584"/>
    <w:rsid w:val="00DF74D2"/>
    <w:rsid w:val="00E05BA7"/>
    <w:rsid w:val="00E07A0C"/>
    <w:rsid w:val="00E07B65"/>
    <w:rsid w:val="00E119FB"/>
    <w:rsid w:val="00E13192"/>
    <w:rsid w:val="00E151B3"/>
    <w:rsid w:val="00E210D3"/>
    <w:rsid w:val="00E21AAA"/>
    <w:rsid w:val="00E30150"/>
    <w:rsid w:val="00E306DD"/>
    <w:rsid w:val="00E31792"/>
    <w:rsid w:val="00E31AB0"/>
    <w:rsid w:val="00E3390F"/>
    <w:rsid w:val="00E40E0D"/>
    <w:rsid w:val="00E4395C"/>
    <w:rsid w:val="00E500EB"/>
    <w:rsid w:val="00E50328"/>
    <w:rsid w:val="00E5124D"/>
    <w:rsid w:val="00E560A5"/>
    <w:rsid w:val="00E609B0"/>
    <w:rsid w:val="00E61D6B"/>
    <w:rsid w:val="00E62E90"/>
    <w:rsid w:val="00E661A4"/>
    <w:rsid w:val="00E723AE"/>
    <w:rsid w:val="00E748C5"/>
    <w:rsid w:val="00E760EC"/>
    <w:rsid w:val="00E83486"/>
    <w:rsid w:val="00E84449"/>
    <w:rsid w:val="00E86C4C"/>
    <w:rsid w:val="00E86ECE"/>
    <w:rsid w:val="00EB0EB9"/>
    <w:rsid w:val="00EB552E"/>
    <w:rsid w:val="00EC03A1"/>
    <w:rsid w:val="00EC291A"/>
    <w:rsid w:val="00EC442F"/>
    <w:rsid w:val="00ED05AD"/>
    <w:rsid w:val="00ED09FF"/>
    <w:rsid w:val="00ED2C5A"/>
    <w:rsid w:val="00ED499A"/>
    <w:rsid w:val="00EE1AFE"/>
    <w:rsid w:val="00EE26C8"/>
    <w:rsid w:val="00EE5663"/>
    <w:rsid w:val="00EE6E2B"/>
    <w:rsid w:val="00EF303E"/>
    <w:rsid w:val="00EF34B7"/>
    <w:rsid w:val="00EF38DC"/>
    <w:rsid w:val="00EF501E"/>
    <w:rsid w:val="00EF7194"/>
    <w:rsid w:val="00F0049D"/>
    <w:rsid w:val="00F03683"/>
    <w:rsid w:val="00F0586A"/>
    <w:rsid w:val="00F06FB8"/>
    <w:rsid w:val="00F10C5D"/>
    <w:rsid w:val="00F10D1B"/>
    <w:rsid w:val="00F14055"/>
    <w:rsid w:val="00F24619"/>
    <w:rsid w:val="00F303E4"/>
    <w:rsid w:val="00F337BB"/>
    <w:rsid w:val="00F33AE9"/>
    <w:rsid w:val="00F36E77"/>
    <w:rsid w:val="00F404FD"/>
    <w:rsid w:val="00F428D4"/>
    <w:rsid w:val="00F45AAD"/>
    <w:rsid w:val="00F466B1"/>
    <w:rsid w:val="00F50177"/>
    <w:rsid w:val="00F52C32"/>
    <w:rsid w:val="00F61706"/>
    <w:rsid w:val="00F63829"/>
    <w:rsid w:val="00F66F08"/>
    <w:rsid w:val="00F76527"/>
    <w:rsid w:val="00F81FC0"/>
    <w:rsid w:val="00F8321A"/>
    <w:rsid w:val="00F85F73"/>
    <w:rsid w:val="00F8683D"/>
    <w:rsid w:val="00F90027"/>
    <w:rsid w:val="00F91AFC"/>
    <w:rsid w:val="00F922D8"/>
    <w:rsid w:val="00F9312F"/>
    <w:rsid w:val="00F96E9F"/>
    <w:rsid w:val="00F970B5"/>
    <w:rsid w:val="00F97825"/>
    <w:rsid w:val="00F97B25"/>
    <w:rsid w:val="00FA26FB"/>
    <w:rsid w:val="00FA308E"/>
    <w:rsid w:val="00FA3389"/>
    <w:rsid w:val="00FB02BE"/>
    <w:rsid w:val="00FB1275"/>
    <w:rsid w:val="00FB224D"/>
    <w:rsid w:val="00FB2B09"/>
    <w:rsid w:val="00FC1817"/>
    <w:rsid w:val="00FC57A9"/>
    <w:rsid w:val="00FC5A07"/>
    <w:rsid w:val="00FC687D"/>
    <w:rsid w:val="00FC704B"/>
    <w:rsid w:val="00FD1839"/>
    <w:rsid w:val="00FD3D86"/>
    <w:rsid w:val="00FD5068"/>
    <w:rsid w:val="00FD5B20"/>
    <w:rsid w:val="00FE20C7"/>
    <w:rsid w:val="00FE28D4"/>
    <w:rsid w:val="00FE322B"/>
    <w:rsid w:val="00FE3BA3"/>
    <w:rsid w:val="00FE6FEA"/>
    <w:rsid w:val="00FE7B60"/>
    <w:rsid w:val="00FF39E3"/>
    <w:rsid w:val="00FF7DE9"/>
    <w:rsid w:val="103807B0"/>
    <w:rsid w:val="18F14078"/>
    <w:rsid w:val="7A2C835D"/>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16A91"/>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Bullets"/>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aliases w:val="Bullets Char"/>
    <w:basedOn w:val="DefaultParagraphFont"/>
    <w:link w:val="ListParagraph"/>
    <w:uiPriority w:val="34"/>
    <w:locked/>
    <w:rsid w:val="00CA5D2B"/>
    <w:rPr>
      <w:rFonts w:asciiTheme="minorHAnsi" w:hAnsiTheme="minorHAnsi"/>
      <w:b/>
      <w:sz w:val="22"/>
      <w:lang w:val="en-GB"/>
    </w:rPr>
  </w:style>
  <w:style w:type="table" w:styleId="TableGrid">
    <w:name w:val="Table Grid"/>
    <w:basedOn w:val="TableNormal"/>
    <w:uiPriority w:val="59"/>
    <w:rsid w:val="00DA3836"/>
    <w:rPr>
      <w:rFonts w:ascii="Cambria" w:eastAsia="MS Minngs"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07FC2"/>
    <w:rPr>
      <w:color w:val="0000FF" w:themeColor="hyperlink"/>
      <w:u w:val="single"/>
    </w:rPr>
  </w:style>
  <w:style w:type="character" w:styleId="UnresolvedMention">
    <w:name w:val="Unresolved Mention"/>
    <w:basedOn w:val="DefaultParagraphFont"/>
    <w:uiPriority w:val="99"/>
    <w:semiHidden/>
    <w:unhideWhenUsed/>
    <w:rsid w:val="00A0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hrh/tools/en/Rapid_Assessment_guide.pdf?ua=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9369e2b96636451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F82B8A79AAF844CA9B8FDE1659A23DA" ma:contentTypeVersion="37" ma:contentTypeDescription="" ma:contentTypeScope="" ma:versionID="74c08287eb1e2178c97939f402076add">
  <xsd:schema xmlns:xsd="http://www.w3.org/2001/XMLSchema" xmlns:xs="http://www.w3.org/2001/XMLSchema" xmlns:p="http://schemas.microsoft.com/office/2006/metadata/properties" xmlns:ns1="http://schemas.microsoft.com/sharepoint/v3" xmlns:ns2="ca283e0b-db31-4043-a2ef-b80661bf084a" xmlns:ns3="http://schemas.microsoft.com/sharepoint.v3" xmlns:ns4="b88ae345-31a1-401d-a315-20c30aab9178" xmlns:ns5="http://schemas.microsoft.com/sharepoint/v4" xmlns:ns6="ed724f69-3982-4ff8-9bce-556f4d02ae27" targetNamespace="http://schemas.microsoft.com/office/2006/metadata/properties" ma:root="true" ma:fieldsID="7bbdea3ca02956d86526a34ffeb26276" ns1:_="" ns2:_="" ns3:_="" ns4:_="" ns5:_="" ns6:_="">
    <xsd:import namespace="http://schemas.microsoft.com/sharepoint/v3"/>
    <xsd:import namespace="ca283e0b-db31-4043-a2ef-b80661bf084a"/>
    <xsd:import namespace="http://schemas.microsoft.com/sharepoint.v3"/>
    <xsd:import namespace="b88ae345-31a1-401d-a315-20c30aab9178"/>
    <xsd:import namespace="http://schemas.microsoft.com/sharepoint/v4"/>
    <xsd:import namespace="ed724f69-3982-4ff8-9bce-556f4d02ae2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element ref="ns4:TaxKeywordTaxHTField" minOccurs="0"/>
                <xsd:element ref="ns6:MediaServiceMetadata" minOccurs="0"/>
                <xsd:element ref="ns6:MediaServiceFastMetadata" minOccurs="0"/>
                <xsd:element ref="ns6:MediaServiceAutoKeyPoints" minOccurs="0"/>
                <xsd:element ref="ns6:MediaServiceKeyPoints"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0" nillable="true" ma:displayName="Declared Record" ma:hidden="true" ma:internalName="_vti_ItemDeclaredRecord" ma:readOnly="true">
      <xsd:simpleType>
        <xsd:restriction base="dms:DateTime"/>
      </xsd:simpleType>
    </xsd:element>
    <xsd:element name="_vti_ItemHoldRecordStatus" ma:index="3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Myanmar-0600|2791d2ba-0b97-487e-9694-c5e0cf5d566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95572bb-d409-4a00-ac00-e0d80bc7b8a0}" ma:internalName="TaxCatchAllLabel" ma:readOnly="true" ma:showField="CatchAllDataLabel" ma:web="b88ae345-31a1-401d-a315-20c30aab917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95572bb-d409-4a00-ac00-e0d80bc7b8a0}" ma:internalName="TaxCatchAll" ma:showField="CatchAllData" ma:web="b88ae345-31a1-401d-a315-20c30aab917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ae345-31a1-401d-a315-20c30aab9178"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TaxKeywordTaxHTField" ma:index="3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24f69-3982-4ff8-9bce-556f4d02ae27"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b88ae345-31a1-401d-a315-20c30aab9178">CDRWUWWTTX6A-1959028719-3759</_dlc_DocId>
    <_dlc_DocIdUrl xmlns="b88ae345-31a1-401d-a315-20c30aab9178">
      <Url>https://unicef.sharepoint.com/teams/MMR-HealthNutrition/_layouts/15/DocIdRedir.aspx?ID=CDRWUWWTTX6A-1959028719-3759</Url>
      <Description>CDRWUWWTTX6A-1959028719-3759</Description>
    </_dlc_DocIdUrl>
    <TaxCatchAll xmlns="ca283e0b-db31-4043-a2ef-b80661bf084a">
      <Value>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Myanmar-0600</TermName>
          <TermId xmlns="http://schemas.microsoft.com/office/infopath/2007/PartnerControls">2791d2ba-0b97-487e-9694-c5e0cf5d5664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b88ae345-31a1-401d-a315-20c30aab9178">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4600-36B0-4119-A92A-5A1998A31345}">
  <ds:schemaRefs>
    <ds:schemaRef ds:uri="http://schemas.microsoft.com/sharepoint/events"/>
  </ds:schemaRefs>
</ds:datastoreItem>
</file>

<file path=customXml/itemProps2.xml><?xml version="1.0" encoding="utf-8"?>
<ds:datastoreItem xmlns:ds="http://schemas.openxmlformats.org/officeDocument/2006/customXml" ds:itemID="{59352A1C-B69C-497A-A7E3-3048F6E77256}">
  <ds:schemaRefs>
    <ds:schemaRef ds:uri="Microsoft.SharePoint.Taxonomy.ContentTypeSync"/>
  </ds:schemaRefs>
</ds:datastoreItem>
</file>

<file path=customXml/itemProps3.xml><?xml version="1.0" encoding="utf-8"?>
<ds:datastoreItem xmlns:ds="http://schemas.openxmlformats.org/officeDocument/2006/customXml" ds:itemID="{C1A4D41C-E6F5-4E74-A1C1-8589EA084A6F}">
  <ds:schemaRefs>
    <ds:schemaRef ds:uri="http://schemas.microsoft.com/office/2006/metadata/customXsn"/>
  </ds:schemaRefs>
</ds:datastoreItem>
</file>

<file path=customXml/itemProps4.xml><?xml version="1.0" encoding="utf-8"?>
<ds:datastoreItem xmlns:ds="http://schemas.openxmlformats.org/officeDocument/2006/customXml" ds:itemID="{50A2FF68-39ED-4C92-9B84-CE9D926D1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b88ae345-31a1-401d-a315-20c30aab9178"/>
    <ds:schemaRef ds:uri="http://schemas.microsoft.com/sharepoint/v4"/>
    <ds:schemaRef ds:uri="ed724f69-3982-4ff8-9bce-556f4d02a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28A8D8-A247-4ADC-AEBE-E408EB0C19BD}">
  <ds:schemaRefs>
    <ds:schemaRef ds:uri="http://schemas.microsoft.com/sharepoint/v3/contenttype/forms"/>
  </ds:schemaRefs>
</ds:datastoreItem>
</file>

<file path=customXml/itemProps6.xml><?xml version="1.0" encoding="utf-8"?>
<ds:datastoreItem xmlns:ds="http://schemas.openxmlformats.org/officeDocument/2006/customXml" ds:itemID="{F9898CA9-F117-4ECE-BB46-026CF1205399}">
  <ds:schemaRefs>
    <ds:schemaRef ds:uri="http://schemas.microsoft.com/office/2006/metadata/properties"/>
    <ds:schemaRef ds:uri="http://schemas.microsoft.com/office/infopath/2007/PartnerControls"/>
    <ds:schemaRef ds:uri="b88ae345-31a1-401d-a315-20c30aab9178"/>
    <ds:schemaRef ds:uri="ca283e0b-db31-4043-a2ef-b80661bf084a"/>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47D3DC0B-563E-4671-912E-8E399AEB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5</cp:revision>
  <cp:lastPrinted>2014-04-28T09:51:00Z</cp:lastPrinted>
  <dcterms:created xsi:type="dcterms:W3CDTF">2020-08-13T12:38:00Z</dcterms:created>
  <dcterms:modified xsi:type="dcterms:W3CDTF">2020-08-24T07:29:00Z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0x0101009BA85F8052A6DA4FA3E31FF9F74C6970002F82B8A79AAF844CA9B8FDE1659A23DA</vt:lpwstr>
  </property>
  <property fmtid="{D5CDD505-2E9C-101B-9397-08002B2CF9AE}" pid="3" name="_dlc_DocIdItemGuid">
    <vt:lpwstr>e79c5d55-59ee-4999-9b0f-a6d2e6b83c9e</vt:lpwstr>
  </property>
  <property fmtid="{D5CDD505-2E9C-101B-9397-08002B2CF9AE}" pid="4" name="TaxKeyword">
    <vt:lpwstr/>
  </property>
  <property fmtid="{D5CDD505-2E9C-101B-9397-08002B2CF9AE}" pid="5" name="Topic">
    <vt:lpwstr/>
  </property>
  <property fmtid="{D5CDD505-2E9C-101B-9397-08002B2CF9AE}" pid="6" name="OfficeDivision">
    <vt:lpwstr>7;#Myanmar-0600|2791d2ba-0b97-487e-9694-c5e0cf5d5664</vt:lpwstr>
  </property>
  <property fmtid="{D5CDD505-2E9C-101B-9397-08002B2CF9AE}" pid="7" name="DocumentType">
    <vt:lpwstr/>
  </property>
  <property fmtid="{D5CDD505-2E9C-101B-9397-08002B2CF9AE}" pid="8" name="GeographicScope">
    <vt:lpwstr/>
  </property>
</Properties>
</file>