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07DBDFB7" w:rsidR="00B14BE6" w:rsidRPr="00EB25F2" w:rsidRDefault="009B73C1" w:rsidP="00B14BE6">
      <w:pPr>
        <w:jc w:val="center"/>
        <w:rPr>
          <w:lang w:val="fr-FR"/>
        </w:rPr>
      </w:pPr>
      <w:r w:rsidRPr="00EB25F2">
        <w:rPr>
          <w:rFonts w:ascii="Calibri" w:hAnsi="Calibri" w:cs="Calibri"/>
          <w:b/>
          <w:bCs/>
          <w:color w:val="00B0F0"/>
          <w:sz w:val="24"/>
          <w:szCs w:val="24"/>
          <w:u w:val="single"/>
          <w:lang w:val="fr-FR"/>
        </w:rPr>
        <w:t xml:space="preserve">Termes de référence </w:t>
      </w:r>
      <w:r w:rsidR="00A67209" w:rsidRPr="00EB25F2">
        <w:rPr>
          <w:rFonts w:ascii="Calibri" w:hAnsi="Calibri" w:cs="Calibri"/>
          <w:b/>
          <w:bCs/>
          <w:color w:val="00B0F0"/>
          <w:sz w:val="24"/>
          <w:szCs w:val="24"/>
          <w:u w:val="single"/>
          <w:lang w:val="fr-FR"/>
        </w:rPr>
        <w:t>pour la consultation pour l’élaboration du plan de contingence SP</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87"/>
      </w:tblGrid>
      <w:tr w:rsidR="007613B3" w:rsidRPr="00EB25F2" w14:paraId="2F971280" w14:textId="77777777" w:rsidTr="00B63E76">
        <w:trPr>
          <w:trHeight w:val="828"/>
        </w:trPr>
        <w:tc>
          <w:tcPr>
            <w:tcW w:w="9887" w:type="dxa"/>
            <w:tcBorders>
              <w:bottom w:val="nil"/>
            </w:tcBorders>
            <w:shd w:val="clear" w:color="auto" w:fill="auto"/>
            <w:noWrap/>
            <w:hideMark/>
          </w:tcPr>
          <w:p w14:paraId="087CCFE4" w14:textId="77777777" w:rsidR="007613B3" w:rsidRP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108C0802" w14:textId="373AB7F2" w:rsidR="007613B3" w:rsidRPr="00EB25F2" w:rsidRDefault="00084B42" w:rsidP="00084B42">
            <w:pPr>
              <w:spacing w:before="60" w:after="60" w:line="240" w:lineRule="auto"/>
              <w:rPr>
                <w:rFonts w:ascii="Calibri" w:eastAsia="Arial Unicode MS" w:hAnsi="Calibri" w:cs="Calibri"/>
                <w:bCs/>
                <w:color w:val="auto"/>
                <w:lang w:val="fr-FR"/>
              </w:rPr>
            </w:pPr>
            <w:r w:rsidRPr="00EB25F2">
              <w:rPr>
                <w:rFonts w:ascii="Calibri" w:eastAsia="Arial Unicode MS" w:hAnsi="Calibri" w:cs="Calibri"/>
                <w:bCs/>
                <w:color w:val="auto"/>
                <w:lang w:val="fr-FR"/>
              </w:rPr>
              <w:t xml:space="preserve">Elaboration </w:t>
            </w:r>
            <w:proofErr w:type="gramStart"/>
            <w:r w:rsidRPr="00EB25F2">
              <w:rPr>
                <w:rFonts w:ascii="Calibri" w:eastAsia="Arial Unicode MS" w:hAnsi="Calibri" w:cs="Calibri"/>
                <w:bCs/>
                <w:color w:val="auto"/>
                <w:lang w:val="fr-FR"/>
              </w:rPr>
              <w:t>d’ un</w:t>
            </w:r>
            <w:proofErr w:type="gramEnd"/>
            <w:r w:rsidRPr="00EB25F2">
              <w:rPr>
                <w:rFonts w:ascii="Calibri" w:eastAsia="Arial Unicode MS" w:hAnsi="Calibri" w:cs="Calibri"/>
                <w:bCs/>
                <w:color w:val="auto"/>
                <w:lang w:val="fr-FR"/>
              </w:rPr>
              <w:t xml:space="preserve"> plan de contingence du secteur de la protection sociale</w:t>
            </w:r>
          </w:p>
          <w:p w14:paraId="37400F48" w14:textId="593CE78E" w:rsidR="00084B42" w:rsidRPr="00EB25F2" w:rsidRDefault="00084B42" w:rsidP="00084B42">
            <w:pPr>
              <w:rPr>
                <w:lang w:val="fr-FR"/>
              </w:rPr>
            </w:pPr>
          </w:p>
        </w:tc>
      </w:tr>
      <w:tr w:rsidR="007613B3" w:rsidRPr="00EB25F2" w14:paraId="55B63C31" w14:textId="77777777" w:rsidTr="00B63E76">
        <w:trPr>
          <w:trHeight w:val="3771"/>
        </w:trPr>
        <w:tc>
          <w:tcPr>
            <w:tcW w:w="9887" w:type="dxa"/>
            <w:tcBorders>
              <w:bottom w:val="nil"/>
            </w:tcBorders>
            <w:shd w:val="clear" w:color="auto" w:fill="auto"/>
            <w:noWrap/>
          </w:tcPr>
          <w:p w14:paraId="64EE50FB" w14:textId="1020CD95" w:rsidR="007613B3" w:rsidRPr="00EB25F2" w:rsidRDefault="00243774" w:rsidP="00B63E76">
            <w:pPr>
              <w:spacing w:before="60" w:after="60" w:line="240" w:lineRule="auto"/>
              <w:rPr>
                <w:rFonts w:ascii="Calibri" w:eastAsia="Arial Unicode MS" w:hAnsi="Calibri" w:cs="Calibri"/>
                <w:b/>
                <w:bCs/>
                <w:color w:val="auto"/>
                <w:lang w:val="fr-FR"/>
              </w:rPr>
            </w:pPr>
            <w:r w:rsidRPr="00EB25F2">
              <w:rPr>
                <w:rFonts w:ascii="Calibri" w:eastAsia="Arial Unicode MS" w:hAnsi="Calibri" w:cs="Calibri"/>
                <w:b/>
                <w:bCs/>
                <w:color w:val="auto"/>
                <w:lang w:val="fr-FR"/>
              </w:rPr>
              <w:t xml:space="preserve">Contexte et </w:t>
            </w:r>
            <w:proofErr w:type="gramStart"/>
            <w:r w:rsidRPr="00EB25F2">
              <w:rPr>
                <w:rFonts w:ascii="Calibri" w:eastAsia="Arial Unicode MS" w:hAnsi="Calibri" w:cs="Calibri"/>
                <w:b/>
                <w:bCs/>
                <w:color w:val="auto"/>
                <w:lang w:val="fr-FR"/>
              </w:rPr>
              <w:t>justification</w:t>
            </w:r>
            <w:r w:rsidR="007613B3" w:rsidRPr="00EB25F2">
              <w:rPr>
                <w:rFonts w:ascii="Calibri" w:eastAsia="Arial Unicode MS" w:hAnsi="Calibri" w:cs="Calibri"/>
                <w:b/>
                <w:bCs/>
                <w:color w:val="auto"/>
                <w:lang w:val="fr-FR"/>
              </w:rPr>
              <w:t>:</w:t>
            </w:r>
            <w:proofErr w:type="gramEnd"/>
          </w:p>
          <w:p w14:paraId="630E70CB" w14:textId="7B6F7403" w:rsidR="007613B3" w:rsidRPr="00EB25F2" w:rsidRDefault="007613B3" w:rsidP="00B63E76">
            <w:pPr>
              <w:spacing w:before="60" w:after="60" w:line="240" w:lineRule="auto"/>
              <w:rPr>
                <w:rFonts w:ascii="Calibri" w:eastAsia="Arial Unicode MS" w:hAnsi="Calibri" w:cs="Calibri"/>
                <w:b/>
                <w:bCs/>
                <w:color w:val="auto"/>
                <w:lang w:val="fr-FR"/>
              </w:rPr>
            </w:pPr>
          </w:p>
          <w:p w14:paraId="6CC1C9AF" w14:textId="77777777" w:rsidR="00084B42" w:rsidRPr="0049451D" w:rsidRDefault="00084B42" w:rsidP="00084B42">
            <w:pPr>
              <w:pStyle w:val="Default"/>
              <w:shd w:val="clear" w:color="auto" w:fill="FFFFFF"/>
              <w:spacing w:after="120" w:line="276" w:lineRule="auto"/>
              <w:jc w:val="both"/>
              <w:rPr>
                <w:rFonts w:ascii="Times New Roman" w:eastAsia="Times" w:hAnsi="Times New Roman" w:cs="Times New Roman"/>
                <w:sz w:val="20"/>
                <w:szCs w:val="20"/>
                <w:lang w:val="fr-FR" w:eastAsia="fr-FR"/>
              </w:rPr>
            </w:pPr>
            <w:r w:rsidRPr="0049451D">
              <w:rPr>
                <w:rFonts w:ascii="Times New Roman" w:eastAsia="Times" w:hAnsi="Times New Roman" w:cs="Times New Roman"/>
                <w:sz w:val="20"/>
                <w:szCs w:val="20"/>
                <w:lang w:val="fr-FR" w:eastAsia="fr-FR"/>
              </w:rPr>
              <w:t>La République de Djibouti est un petit pays d’Afrique de l’Est, situé à l’entrée de la Mer Rouge, entre l’Erythrée (Nord), l’Ethiopie (Ouest) et la Somalie (Sud) avec une superficie de 23,200 Km². La population totale pour 2017 est estimée à 948,249 habitants selon les dernières estimations de l’Institut national de la statistique (INDS) dont environ 40% sont des enfants (0-18 ans) et 70% de la population vit dans les zones urbaines, avec 60% dans la capitale Djibouti. C’est un pays à revenu intermédiaire (Produit intérieur brut de 1921 dollars par habitant en prix courant en 2017). Le manque d’activités économiques dans les régions de l’intérieur pousse la population rurale vers la ville de Djibouti qui regroupe l’essentiel d’activités. Dans le contexte d’une urbanisation non planifiée les populations issues de l’exode rural ainsi que les afflux de migrants des pays voisins exercent des pressions additionnelles sur les services sociaux de base déjà limités dans la capitale.</w:t>
            </w:r>
          </w:p>
          <w:p w14:paraId="6163376F" w14:textId="77777777" w:rsidR="00084B42" w:rsidRPr="0049451D" w:rsidRDefault="00084B42" w:rsidP="00084B42">
            <w:pPr>
              <w:pStyle w:val="Default"/>
              <w:spacing w:after="120" w:line="276" w:lineRule="auto"/>
              <w:jc w:val="both"/>
              <w:rPr>
                <w:rFonts w:ascii="Times New Roman" w:eastAsia="Times" w:hAnsi="Times New Roman" w:cs="Times New Roman"/>
                <w:sz w:val="20"/>
                <w:szCs w:val="20"/>
                <w:lang w:val="fr-FR" w:eastAsia="fr-FR"/>
              </w:rPr>
            </w:pPr>
            <w:r w:rsidRPr="0049451D">
              <w:rPr>
                <w:rFonts w:ascii="Times New Roman" w:eastAsia="Times" w:hAnsi="Times New Roman" w:cs="Times New Roman"/>
                <w:sz w:val="20"/>
                <w:szCs w:val="20"/>
                <w:lang w:val="fr-FR" w:eastAsia="fr-FR"/>
              </w:rPr>
              <w:t xml:space="preserve">La croissance économique continue à se maintenir à un niveau de 7% (2017)   grâce au développement des activités portuaires, aux télécommunications, au développement des infrastructures. L’économie est fortement dominée par le secteur tertiaire (77%), les secteurs primaire et secondaire contribuent que respectivement pour 4 % et 19 % au produit intérieur brut. A 47% le taux de chômage reste élevé, plus accentué pour les femmes (63%) et touche de plus en plus aussi les jeunes, y compris ceux qui sont diplômés. </w:t>
            </w:r>
          </w:p>
          <w:p w14:paraId="365276B7" w14:textId="77777777" w:rsidR="00084B42" w:rsidRPr="0049451D" w:rsidRDefault="00084B42" w:rsidP="00084B42">
            <w:pPr>
              <w:pStyle w:val="Default"/>
              <w:spacing w:after="120" w:line="276" w:lineRule="auto"/>
              <w:jc w:val="both"/>
              <w:rPr>
                <w:rFonts w:ascii="Times New Roman" w:eastAsia="Times" w:hAnsi="Times New Roman" w:cs="Times New Roman"/>
                <w:sz w:val="20"/>
                <w:szCs w:val="20"/>
                <w:lang w:val="fr-FR" w:eastAsia="fr-FR"/>
              </w:rPr>
            </w:pPr>
            <w:r w:rsidRPr="0049451D">
              <w:rPr>
                <w:rFonts w:ascii="Times New Roman" w:eastAsia="Times" w:hAnsi="Times New Roman" w:cs="Times New Roman"/>
                <w:sz w:val="20"/>
                <w:szCs w:val="20"/>
                <w:lang w:val="fr-FR" w:eastAsia="fr-FR"/>
              </w:rPr>
              <w:t>L’enquête de pauvreté (EDAM 4), réalisée en 2017, a montré que malgré le taux de croissance économique moyen de 5% pendant les dernières années, la pauvreté n’a pas reculé de manière significative depuis 2013. En effet l’enquête montre que le taux de pauvreté absolue est de 21% alors qu’elle était de 23% en 2013 et le taux de pauvreté globale est de 36% au lieu de 41% en 2013 avec des disparités importantes entre la ville de Djibouti et les autres régions et entre le milieu urbain et le milieu rural (taux respectivement de 13.6% et 45% ; 14.8% et 62.6%). De plus, le coefficient de Gini est de 0.42, démontrant ainsi la répartition inégale des ressources et une concentration de ces dernières parmi les déciles les plus aisés. Le taux de pauvreté monétaire des enfants se situe à 23% au niveau national et 67% en milieu rural.</w:t>
            </w:r>
          </w:p>
          <w:p w14:paraId="7D0EABCB" w14:textId="14A118B5" w:rsidR="007613B3" w:rsidRPr="00EB25F2" w:rsidRDefault="00084B42" w:rsidP="00084B42">
            <w:pPr>
              <w:spacing w:before="60" w:after="60" w:line="240" w:lineRule="auto"/>
              <w:jc w:val="both"/>
              <w:rPr>
                <w:rFonts w:ascii="Calibri" w:eastAsia="Arial Unicode MS" w:hAnsi="Calibri" w:cs="Calibri"/>
                <w:b/>
                <w:bCs/>
                <w:color w:val="auto"/>
                <w:lang w:val="fr-FR"/>
              </w:rPr>
            </w:pPr>
            <w:r w:rsidRPr="0049451D">
              <w:rPr>
                <w:rFonts w:ascii="Times New Roman" w:eastAsia="Times" w:hAnsi="Times New Roman"/>
                <w:lang w:val="fr-FR" w:eastAsia="fr-FR"/>
              </w:rPr>
              <w:t xml:space="preserve">Afin de faire face à cette situation le Gouvernement a mis en place une stratégie de protection sociale visant à atténuer les effets de la pauvreté sur les populations les plus vulnérables et mis en place un programme fédérateur de Transfer d’argent aux familles les </w:t>
            </w:r>
            <w:r>
              <w:rPr>
                <w:rFonts w:ascii="Times New Roman" w:eastAsia="Times" w:hAnsi="Times New Roman"/>
                <w:lang w:val="fr-FR" w:eastAsia="fr-FR"/>
              </w:rPr>
              <w:t xml:space="preserve">plus </w:t>
            </w:r>
            <w:r w:rsidRPr="0049451D">
              <w:rPr>
                <w:rFonts w:ascii="Times New Roman" w:eastAsia="Times" w:hAnsi="Times New Roman"/>
                <w:lang w:val="fr-FR" w:eastAsia="fr-FR"/>
              </w:rPr>
              <w:t xml:space="preserve">pauvres. Malheureusement la recrudescence des flux de réfugiés et de déplacés internes ainsi que les inondations et autres crises épidémiques/endémiques qui apportent leur lot de dégradations/destructions des infrastructures et pertes d’emploi en plus des pertes humaines et des cheptels mettent à rude épreuves la stratégie de protection sociale qui y apporte des réponses spontanées </w:t>
            </w:r>
            <w:r>
              <w:rPr>
                <w:rFonts w:ascii="Times New Roman" w:eastAsia="Times" w:hAnsi="Times New Roman"/>
                <w:lang w:val="fr-FR" w:eastAsia="fr-FR"/>
              </w:rPr>
              <w:t>s</w:t>
            </w:r>
            <w:r w:rsidRPr="0049451D">
              <w:rPr>
                <w:rFonts w:ascii="Times New Roman" w:eastAsia="Times" w:hAnsi="Times New Roman"/>
                <w:lang w:val="fr-FR" w:eastAsia="fr-FR"/>
              </w:rPr>
              <w:t xml:space="preserve">ans réelles préparations et avec des ressources limitées. Le plan national des contingences élaboré avec l’appui de la Banque Mondiale comporte quelques aspects de réponses liées à la protection sociale mais reste à un niveau de détail très insuffisant.  C’est pour palier </w:t>
            </w:r>
            <w:r w:rsidRPr="00EB25F2">
              <w:rPr>
                <w:rFonts w:ascii="Times New Roman" w:eastAsia="Times" w:hAnsi="Times New Roman"/>
                <w:lang w:val="fr-FR" w:eastAsia="fr-FR"/>
              </w:rPr>
              <w:t>à</w:t>
            </w:r>
            <w:r w:rsidRPr="0049451D">
              <w:rPr>
                <w:rFonts w:ascii="Times New Roman" w:eastAsia="Times" w:hAnsi="Times New Roman"/>
                <w:lang w:val="fr-FR" w:eastAsia="fr-FR"/>
              </w:rPr>
              <w:t xml:space="preserve"> ce manque de préparations et au manque des mécanismes claires d’interventions dans le secteur de la protection sociale que le Ministère des Affaires Sociales compte élaborer son propre plan de contingence</w:t>
            </w:r>
            <w:r>
              <w:rPr>
                <w:rFonts w:ascii="Times New Roman" w:eastAsia="Times" w:hAnsi="Times New Roman"/>
                <w:lang w:val="fr-FR" w:eastAsia="fr-FR"/>
              </w:rPr>
              <w:t xml:space="preserve"> avec l’appui des partenaires au développement notamment l’UNICEF et le PAM.</w:t>
            </w:r>
          </w:p>
          <w:p w14:paraId="03889607" w14:textId="77777777" w:rsidR="00B14BE6" w:rsidRPr="00EB25F2" w:rsidRDefault="00B14BE6" w:rsidP="00B63E76">
            <w:pPr>
              <w:spacing w:before="60" w:after="60" w:line="240" w:lineRule="auto"/>
              <w:rPr>
                <w:rFonts w:ascii="Calibri" w:eastAsia="Arial Unicode MS" w:hAnsi="Calibri" w:cs="Calibri"/>
                <w:b/>
                <w:bCs/>
                <w:color w:val="auto"/>
                <w:lang w:val="fr-FR"/>
              </w:rPr>
            </w:pPr>
          </w:p>
          <w:p w14:paraId="74A03BE6" w14:textId="77777777" w:rsidR="00084B42" w:rsidRPr="00EB25F2" w:rsidRDefault="00084B42" w:rsidP="00084B42">
            <w:pPr>
              <w:spacing w:before="60" w:after="60" w:line="240" w:lineRule="auto"/>
              <w:rPr>
                <w:rFonts w:ascii="Times New Roman" w:eastAsia="Arial Unicode MS" w:hAnsi="Times New Roman"/>
                <w:b/>
                <w:bCs/>
                <w:color w:val="auto"/>
                <w:lang w:val="fr-FR"/>
              </w:rPr>
            </w:pPr>
            <w:r w:rsidRPr="00EB25F2">
              <w:rPr>
                <w:rFonts w:ascii="Times New Roman" w:eastAsia="Arial Unicode MS" w:hAnsi="Times New Roman"/>
                <w:b/>
                <w:bCs/>
                <w:color w:val="auto"/>
                <w:lang w:val="fr-FR"/>
              </w:rPr>
              <w:t xml:space="preserve">Objectifs de la </w:t>
            </w:r>
            <w:proofErr w:type="gramStart"/>
            <w:r w:rsidRPr="00EB25F2">
              <w:rPr>
                <w:rFonts w:ascii="Times New Roman" w:eastAsia="Arial Unicode MS" w:hAnsi="Times New Roman"/>
                <w:b/>
                <w:bCs/>
                <w:color w:val="auto"/>
                <w:lang w:val="fr-FR"/>
              </w:rPr>
              <w:t>consultation:</w:t>
            </w:r>
            <w:proofErr w:type="gramEnd"/>
          </w:p>
          <w:p w14:paraId="4226EA34" w14:textId="77777777" w:rsidR="00084B42" w:rsidRPr="00EB25F2" w:rsidRDefault="00084B42" w:rsidP="00084B42">
            <w:pPr>
              <w:spacing w:before="60" w:after="60" w:line="240" w:lineRule="auto"/>
              <w:rPr>
                <w:rFonts w:ascii="Times New Roman" w:eastAsia="Arial Unicode MS" w:hAnsi="Times New Roman"/>
                <w:b/>
                <w:bCs/>
                <w:color w:val="auto"/>
                <w:lang w:val="fr-FR"/>
              </w:rPr>
            </w:pPr>
          </w:p>
          <w:p w14:paraId="69F3AC46" w14:textId="04700363" w:rsidR="00084B42" w:rsidRPr="0049451D" w:rsidRDefault="00084B42" w:rsidP="00084B42">
            <w:pPr>
              <w:autoSpaceDE w:val="0"/>
              <w:autoSpaceDN w:val="0"/>
              <w:adjustRightInd w:val="0"/>
              <w:jc w:val="both"/>
              <w:rPr>
                <w:rFonts w:ascii="Times New Roman" w:hAnsi="Times New Roman"/>
                <w:lang w:val="fr-FR" w:eastAsia="fr-FR"/>
              </w:rPr>
            </w:pPr>
            <w:r w:rsidRPr="0049451D">
              <w:rPr>
                <w:rFonts w:ascii="Times New Roman" w:hAnsi="Times New Roman"/>
                <w:lang w:val="fr-FR" w:eastAsia="fr-FR"/>
              </w:rPr>
              <w:t>L’objectif de la consultation est de doter le secteur de la protection sociale d’un Plan National de contingence</w:t>
            </w:r>
            <w:r>
              <w:rPr>
                <w:rFonts w:ascii="Times New Roman" w:hAnsi="Times New Roman"/>
                <w:lang w:val="fr-FR" w:eastAsia="fr-FR"/>
              </w:rPr>
              <w:t xml:space="preserve"> afin de compléter et rendre la stratégie nationale beaucoup plus sensible aux chocs</w:t>
            </w:r>
            <w:r w:rsidRPr="0049451D">
              <w:rPr>
                <w:rFonts w:ascii="Times New Roman" w:hAnsi="Times New Roman"/>
                <w:lang w:val="fr-FR" w:eastAsia="fr-FR"/>
              </w:rPr>
              <w:t>. De manière spécifique, la mission consistera à identifier et analyser les forces et faiblesses des approches et stratégies utilisées à ce jour par les acteurs du secteur de la protection sociale dans le cadre de la réponse humanitaire aux chocs récurrentes des années passées</w:t>
            </w:r>
            <w:r>
              <w:rPr>
                <w:rFonts w:ascii="Times New Roman" w:hAnsi="Times New Roman"/>
                <w:lang w:val="fr-FR" w:eastAsia="fr-FR"/>
              </w:rPr>
              <w:t xml:space="preserve">, donc poser un </w:t>
            </w:r>
            <w:proofErr w:type="spellStart"/>
            <w:r>
              <w:rPr>
                <w:rFonts w:ascii="Times New Roman" w:hAnsi="Times New Roman"/>
                <w:lang w:val="fr-FR" w:eastAsia="fr-FR"/>
              </w:rPr>
              <w:t>diagnostique</w:t>
            </w:r>
            <w:proofErr w:type="spellEnd"/>
            <w:r>
              <w:rPr>
                <w:rFonts w:ascii="Times New Roman" w:hAnsi="Times New Roman"/>
                <w:lang w:val="fr-FR" w:eastAsia="fr-FR"/>
              </w:rPr>
              <w:t xml:space="preserve"> de l’existant, </w:t>
            </w:r>
            <w:r w:rsidRPr="0049451D">
              <w:rPr>
                <w:rFonts w:ascii="Times New Roman" w:hAnsi="Times New Roman"/>
                <w:lang w:val="fr-FR" w:eastAsia="fr-FR"/>
              </w:rPr>
              <w:t xml:space="preserve">et développer/faciliter un processus participatif d’élaboration du plan national de contingence du secteur de la protection sociale. </w:t>
            </w:r>
          </w:p>
          <w:p w14:paraId="4424DC09" w14:textId="77777777" w:rsidR="00084B42" w:rsidRPr="0049451D" w:rsidRDefault="00084B42" w:rsidP="00084B42">
            <w:pPr>
              <w:autoSpaceDE w:val="0"/>
              <w:autoSpaceDN w:val="0"/>
              <w:adjustRightInd w:val="0"/>
              <w:jc w:val="both"/>
              <w:rPr>
                <w:rFonts w:ascii="Times New Roman" w:hAnsi="Times New Roman"/>
                <w:lang w:val="fr-FR" w:eastAsia="fr-FR"/>
              </w:rPr>
            </w:pPr>
            <w:r w:rsidRPr="0049451D">
              <w:rPr>
                <w:rFonts w:ascii="Times New Roman" w:hAnsi="Times New Roman"/>
                <w:lang w:val="fr-FR" w:eastAsia="fr-FR"/>
              </w:rPr>
              <w:t xml:space="preserve">Ce processus passera par : </w:t>
            </w:r>
          </w:p>
          <w:p w14:paraId="551A209B" w14:textId="77777777" w:rsidR="00084B42"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Pr>
                <w:rFonts w:ascii="Times New Roman" w:hAnsi="Times New Roman"/>
                <w:lang w:val="fr-FR" w:eastAsia="fr-FR"/>
              </w:rPr>
              <w:t xml:space="preserve">Un diagnostique de ce qui est fait et a été fait jusqu’à présent dans la protection sociale en matière de réponse aux urgences. </w:t>
            </w:r>
          </w:p>
          <w:p w14:paraId="6661C441" w14:textId="77777777" w:rsidR="00084B42" w:rsidRPr="0049451D"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sidRPr="0049451D">
              <w:rPr>
                <w:rFonts w:ascii="Times New Roman" w:hAnsi="Times New Roman"/>
                <w:lang w:val="fr-FR" w:eastAsia="fr-FR"/>
              </w:rPr>
              <w:lastRenderedPageBreak/>
              <w:t xml:space="preserve">La </w:t>
            </w:r>
            <w:r w:rsidRPr="0049451D">
              <w:rPr>
                <w:rFonts w:ascii="Times New Roman" w:hAnsi="Times New Roman"/>
                <w:lang w:val="fr-FR"/>
              </w:rPr>
              <w:t>formulation / mise à jour</w:t>
            </w:r>
            <w:r w:rsidRPr="0049451D">
              <w:rPr>
                <w:rFonts w:ascii="Times New Roman" w:hAnsi="Times New Roman"/>
                <w:lang w:val="fr-FR" w:eastAsia="fr-FR"/>
              </w:rPr>
              <w:t xml:space="preserve"> des scenarios probables </w:t>
            </w:r>
            <w:r w:rsidRPr="0049451D">
              <w:rPr>
                <w:rFonts w:ascii="Times New Roman" w:hAnsi="Times New Roman"/>
                <w:lang w:val="fr-FR"/>
              </w:rPr>
              <w:t>et des hypothèses</w:t>
            </w:r>
            <w:r w:rsidRPr="0049451D">
              <w:rPr>
                <w:rFonts w:ascii="Times New Roman" w:hAnsi="Times New Roman"/>
                <w:lang w:val="fr-FR" w:eastAsia="fr-FR"/>
              </w:rPr>
              <w:t xml:space="preserve"> au vu du niveau de risques</w:t>
            </w:r>
            <w:r w:rsidRPr="0049451D">
              <w:rPr>
                <w:rFonts w:ascii="Times New Roman" w:hAnsi="Times New Roman"/>
                <w:lang w:val="fr-FR"/>
              </w:rPr>
              <w:t xml:space="preserve"> et détermination pour chaque scenario du nombre possible de personnes affectées et ayant besoin d’assistance.</w:t>
            </w:r>
          </w:p>
          <w:p w14:paraId="4FB2EBAC" w14:textId="77777777" w:rsidR="00084B42" w:rsidRPr="0049451D"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sidRPr="0049451D">
              <w:rPr>
                <w:rFonts w:ascii="Times New Roman" w:hAnsi="Times New Roman"/>
                <w:lang w:val="fr-FR" w:eastAsia="fr-FR"/>
              </w:rPr>
              <w:t xml:space="preserve">La planification et </w:t>
            </w:r>
            <w:r>
              <w:rPr>
                <w:rFonts w:ascii="Times New Roman" w:hAnsi="Times New Roman"/>
                <w:lang w:val="fr-FR" w:eastAsia="fr-FR"/>
              </w:rPr>
              <w:t>l’</w:t>
            </w:r>
            <w:r w:rsidRPr="0049451D">
              <w:rPr>
                <w:rFonts w:ascii="Times New Roman" w:hAnsi="Times New Roman"/>
                <w:lang w:val="fr-FR" w:eastAsia="fr-FR"/>
              </w:rPr>
              <w:t>évaluation, pour chacun des scenarios, des interventions de préparation/prévention/réduction des risques, de réponse (immédiate en urgence) et de relèvement précoce</w:t>
            </w:r>
          </w:p>
          <w:p w14:paraId="1E07FB34" w14:textId="77777777" w:rsidR="00084B42" w:rsidRPr="0049451D"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sidRPr="0049451D">
              <w:rPr>
                <w:rFonts w:ascii="Times New Roman" w:hAnsi="Times New Roman"/>
                <w:lang w:val="fr-FR" w:eastAsia="fr-FR"/>
              </w:rPr>
              <w:t>L’élaboration des protocoles explicitant les « Conduites à Tenir » (SOP) en cas de survenue d’une situation d’urgence soudaine. Ces protocoles identifieront les mesures à prendre par les différents intervenants notamment le Ministère des Affaires Sociales et des Solidarités (MASS) ainsi que la séquence dans laquelle ces mesures seront prises ; des checklists standards seront en outre développées.</w:t>
            </w:r>
          </w:p>
          <w:p w14:paraId="333CCBF0" w14:textId="77777777" w:rsidR="00084B42" w:rsidRPr="0049451D"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sidRPr="0049451D">
              <w:rPr>
                <w:rFonts w:ascii="Times New Roman" w:hAnsi="Times New Roman"/>
                <w:lang w:val="fr-FR" w:eastAsia="fr-FR"/>
              </w:rPr>
              <w:t>Le renforcement des capacités (analyse, évaluation des besoins, planification, suivi d’exécution, gestion de l’information coordination, mise à jour du plan,) des acteurs impliqués dans l’élaboration de ce plan et sa mise en œuvre ;</w:t>
            </w:r>
          </w:p>
          <w:p w14:paraId="3E688C0E" w14:textId="77777777" w:rsidR="00084B42" w:rsidRPr="0049451D"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sidRPr="0049451D">
              <w:rPr>
                <w:rFonts w:ascii="Times New Roman" w:hAnsi="Times New Roman"/>
                <w:lang w:val="fr-FR" w:eastAsia="fr-FR"/>
              </w:rPr>
              <w:t>La proposition d’un organigramme sous forme de mécanisme réaliste et fonctionnel d’opérationnalisation du Plan National de Contingence à tous les niveaux d’interventions</w:t>
            </w:r>
          </w:p>
          <w:p w14:paraId="4BD1D512" w14:textId="31CCF0D3" w:rsidR="00084B42" w:rsidRDefault="00084B42" w:rsidP="00084B42">
            <w:pPr>
              <w:numPr>
                <w:ilvl w:val="0"/>
                <w:numId w:val="25"/>
              </w:numPr>
              <w:autoSpaceDE w:val="0"/>
              <w:autoSpaceDN w:val="0"/>
              <w:adjustRightInd w:val="0"/>
              <w:spacing w:line="240" w:lineRule="auto"/>
              <w:jc w:val="both"/>
              <w:rPr>
                <w:rFonts w:ascii="Times New Roman" w:hAnsi="Times New Roman"/>
                <w:lang w:val="fr-FR" w:eastAsia="fr-FR"/>
              </w:rPr>
            </w:pPr>
            <w:r w:rsidRPr="0049451D">
              <w:rPr>
                <w:rFonts w:ascii="Times New Roman" w:hAnsi="Times New Roman"/>
                <w:lang w:val="fr-FR" w:eastAsia="fr-FR"/>
              </w:rPr>
              <w:t xml:space="preserve">L’organisation des exercices de simulation de l’opérationnalisation de ce plan par les acteurs en charge de sa mise en œuvre, </w:t>
            </w:r>
          </w:p>
          <w:p w14:paraId="0EEF362D" w14:textId="1525F3C2" w:rsidR="00A16D1B" w:rsidRPr="00DF0D8D" w:rsidRDefault="008875CD" w:rsidP="00DF0D8D">
            <w:pPr>
              <w:numPr>
                <w:ilvl w:val="0"/>
                <w:numId w:val="25"/>
              </w:numPr>
              <w:autoSpaceDE w:val="0"/>
              <w:autoSpaceDN w:val="0"/>
              <w:adjustRightInd w:val="0"/>
              <w:spacing w:line="240" w:lineRule="auto"/>
              <w:jc w:val="both"/>
              <w:rPr>
                <w:rFonts w:ascii="Times New Roman" w:hAnsi="Times New Roman"/>
                <w:lang w:val="fr-FR" w:eastAsia="fr-FR"/>
              </w:rPr>
            </w:pPr>
            <w:r>
              <w:rPr>
                <w:rFonts w:ascii="Times New Roman" w:hAnsi="Times New Roman"/>
                <w:lang w:val="fr-FR" w:eastAsia="fr-FR"/>
              </w:rPr>
              <w:t xml:space="preserve">La budgétisation </w:t>
            </w:r>
            <w:r w:rsidR="00A16D1B">
              <w:rPr>
                <w:rFonts w:ascii="Times New Roman" w:hAnsi="Times New Roman"/>
                <w:lang w:val="fr-FR" w:eastAsia="fr-FR"/>
              </w:rPr>
              <w:t>du plan de contingence du secteur de la protection sociale</w:t>
            </w:r>
          </w:p>
          <w:p w14:paraId="7C6DDDEF" w14:textId="77777777" w:rsidR="00084B42" w:rsidRPr="00EB25F2" w:rsidRDefault="00084B42" w:rsidP="00084B42">
            <w:pPr>
              <w:spacing w:before="60" w:after="60" w:line="240" w:lineRule="auto"/>
              <w:rPr>
                <w:rFonts w:ascii="Times New Roman" w:eastAsia="Arial Unicode MS" w:hAnsi="Times New Roman"/>
                <w:b/>
                <w:bCs/>
                <w:color w:val="auto"/>
                <w:lang w:val="fr-FR"/>
              </w:rPr>
            </w:pPr>
            <w:r w:rsidRPr="00EB25F2">
              <w:rPr>
                <w:rFonts w:ascii="Times New Roman" w:eastAsia="Arial Unicode MS" w:hAnsi="Times New Roman"/>
                <w:b/>
                <w:bCs/>
                <w:color w:val="auto"/>
                <w:lang w:val="fr-FR"/>
              </w:rPr>
              <w:t>Méthodologie et tâches principales</w:t>
            </w:r>
          </w:p>
          <w:p w14:paraId="1DE81BC1" w14:textId="77777777" w:rsidR="00084B42" w:rsidRPr="00EB25F2" w:rsidRDefault="00084B42" w:rsidP="00084B42">
            <w:pPr>
              <w:spacing w:before="60" w:after="60" w:line="240" w:lineRule="auto"/>
              <w:rPr>
                <w:rFonts w:ascii="Times New Roman" w:eastAsia="Arial Unicode MS" w:hAnsi="Times New Roman"/>
                <w:b/>
                <w:bCs/>
                <w:color w:val="auto"/>
                <w:lang w:val="fr-FR"/>
              </w:rPr>
            </w:pPr>
          </w:p>
          <w:p w14:paraId="6C7D6D63" w14:textId="77777777" w:rsidR="00084B42" w:rsidRPr="0049451D" w:rsidRDefault="00084B42" w:rsidP="00084B42">
            <w:pPr>
              <w:jc w:val="both"/>
              <w:rPr>
                <w:rFonts w:ascii="Times New Roman" w:hAnsi="Times New Roman"/>
                <w:lang w:val="fr-FR" w:eastAsia="fr-FR"/>
              </w:rPr>
            </w:pPr>
            <w:r w:rsidRPr="0049451D">
              <w:rPr>
                <w:rFonts w:ascii="Times New Roman" w:hAnsi="Times New Roman"/>
                <w:lang w:val="fr-FR" w:eastAsia="fr-FR"/>
              </w:rPr>
              <w:t xml:space="preserve">Le Plan National de contingence du secteur de la protection sociale se veut être un outil de </w:t>
            </w:r>
            <w:r w:rsidRPr="0049451D">
              <w:rPr>
                <w:rFonts w:ascii="Times New Roman" w:hAnsi="Times New Roman"/>
                <w:lang w:val="fr-FR"/>
              </w:rPr>
              <w:t>planification anticipée</w:t>
            </w:r>
            <w:r w:rsidRPr="0049451D">
              <w:rPr>
                <w:rFonts w:ascii="Times New Roman" w:hAnsi="Times New Roman"/>
                <w:lang w:val="fr-FR" w:eastAsia="fr-FR"/>
              </w:rPr>
              <w:t xml:space="preserve">, qui </w:t>
            </w:r>
            <w:r w:rsidRPr="0049451D">
              <w:rPr>
                <w:rFonts w:ascii="Times New Roman" w:hAnsi="Times New Roman"/>
                <w:lang w:val="fr-FR"/>
              </w:rPr>
              <w:t>servira à prévoir et à répondre aux problèmes qui pourraient se poser aux acteurs du secteur en cas de survenue des chocs et des crises humanitaires à Djibouti</w:t>
            </w:r>
            <w:r w:rsidRPr="0049451D">
              <w:rPr>
                <w:rFonts w:ascii="Times New Roman" w:hAnsi="Times New Roman"/>
                <w:lang w:val="fr-FR" w:eastAsia="fr-FR"/>
              </w:rPr>
              <w:t>.</w:t>
            </w:r>
          </w:p>
          <w:p w14:paraId="22DA6A99" w14:textId="4BC0AA44" w:rsidR="00084B42" w:rsidRPr="0049451D" w:rsidRDefault="00084B42" w:rsidP="00084B42">
            <w:pPr>
              <w:jc w:val="both"/>
              <w:rPr>
                <w:rFonts w:ascii="Times New Roman" w:hAnsi="Times New Roman"/>
                <w:lang w:val="fr-FR"/>
              </w:rPr>
            </w:pPr>
            <w:r w:rsidRPr="0049451D">
              <w:rPr>
                <w:rFonts w:ascii="Times New Roman" w:hAnsi="Times New Roman"/>
                <w:lang w:val="fr-FR"/>
              </w:rPr>
              <w:t>Cet outil sera utilisé pour analyser l’impact de crises potentielles et pour s’assurer que des processus adéquats sont prévus à l’avance en vue de réduire les risques et d’être en mesure de répondre à temps et de manière efficace et appropriée aux besoins des populations affectées. Il doit tenir compte des références et standards internationaux en matière de la réponse de la protection sociale en gestion des urgences.</w:t>
            </w:r>
          </w:p>
          <w:p w14:paraId="30383E55" w14:textId="77777777" w:rsidR="00084B42" w:rsidRPr="0049451D" w:rsidRDefault="00084B42" w:rsidP="00084B42">
            <w:pPr>
              <w:autoSpaceDE w:val="0"/>
              <w:autoSpaceDN w:val="0"/>
              <w:adjustRightInd w:val="0"/>
              <w:spacing w:before="120" w:after="120"/>
              <w:jc w:val="both"/>
              <w:rPr>
                <w:rFonts w:ascii="Times New Roman" w:hAnsi="Times New Roman"/>
                <w:lang w:val="fr-FR" w:eastAsia="fr-FR"/>
              </w:rPr>
            </w:pPr>
            <w:r w:rsidRPr="0049451D">
              <w:rPr>
                <w:rFonts w:ascii="Times New Roman" w:hAnsi="Times New Roman"/>
                <w:lang w:val="fr-FR" w:eastAsia="fr-FR"/>
              </w:rPr>
              <w:t>Le plan National de Contingence du secteur de la Protection Sociale sera élaboré de façon participative, mis à jour régulièrement dans l’optique d’aider le Gouvernement et les partenaires du secteur de la protection sociale à s’assurer d’avoir en tout temps des réponses adéquates aux différentes situations d’urgence.</w:t>
            </w:r>
          </w:p>
          <w:p w14:paraId="78BC190B" w14:textId="04335471" w:rsidR="00084B42" w:rsidRPr="0049451D" w:rsidRDefault="00084B42" w:rsidP="00084B42">
            <w:pPr>
              <w:autoSpaceDE w:val="0"/>
              <w:autoSpaceDN w:val="0"/>
              <w:adjustRightInd w:val="0"/>
              <w:spacing w:before="120" w:after="120"/>
              <w:jc w:val="both"/>
              <w:rPr>
                <w:rFonts w:ascii="Times New Roman" w:hAnsi="Times New Roman"/>
                <w:lang w:val="fr-FR" w:eastAsia="fr-FR"/>
              </w:rPr>
            </w:pPr>
            <w:r w:rsidRPr="00E56810">
              <w:rPr>
                <w:rFonts w:ascii="Times New Roman" w:hAnsi="Times New Roman"/>
                <w:b/>
                <w:bCs/>
                <w:i/>
                <w:iCs/>
                <w:lang w:val="fr-FR" w:eastAsia="fr-FR"/>
              </w:rPr>
              <w:t>Dans un premier temps</w:t>
            </w:r>
            <w:r w:rsidRPr="0049451D">
              <w:rPr>
                <w:rFonts w:ascii="Times New Roman" w:hAnsi="Times New Roman"/>
                <w:lang w:val="fr-FR" w:eastAsia="fr-FR"/>
              </w:rPr>
              <w:t xml:space="preserve"> le consultant international</w:t>
            </w:r>
            <w:r>
              <w:rPr>
                <w:rFonts w:ascii="Times New Roman" w:hAnsi="Times New Roman"/>
                <w:lang w:val="fr-FR" w:eastAsia="fr-FR"/>
              </w:rPr>
              <w:t>/Cabinet</w:t>
            </w:r>
            <w:r w:rsidRPr="0049451D">
              <w:rPr>
                <w:rFonts w:ascii="Times New Roman" w:hAnsi="Times New Roman"/>
                <w:lang w:val="fr-FR" w:eastAsia="fr-FR"/>
              </w:rPr>
              <w:t xml:space="preserve"> mènera un travail d’analyse documentaire à partir notamment du plan national de contingence élaboré par le Secrétariat Exécutif de gestion des Risques et des catastrophes (SEGRC) et tout autres documentations disponibles en matière de la protection sociale en situation d’urgence</w:t>
            </w:r>
            <w:r>
              <w:rPr>
                <w:rFonts w:ascii="Times New Roman" w:hAnsi="Times New Roman"/>
                <w:lang w:val="fr-FR" w:eastAsia="fr-FR"/>
              </w:rPr>
              <w:t xml:space="preserve"> en vue d’établir un </w:t>
            </w:r>
            <w:proofErr w:type="spellStart"/>
            <w:r>
              <w:rPr>
                <w:rFonts w:ascii="Times New Roman" w:hAnsi="Times New Roman"/>
                <w:lang w:val="fr-FR" w:eastAsia="fr-FR"/>
              </w:rPr>
              <w:t>diagnostique</w:t>
            </w:r>
            <w:proofErr w:type="spellEnd"/>
            <w:r>
              <w:rPr>
                <w:rFonts w:ascii="Times New Roman" w:hAnsi="Times New Roman"/>
                <w:lang w:val="fr-FR" w:eastAsia="fr-FR"/>
              </w:rPr>
              <w:t xml:space="preserve"> de la réponse actuelle aux situations d’urgences dans le secteur</w:t>
            </w:r>
            <w:r w:rsidRPr="0049451D">
              <w:rPr>
                <w:rFonts w:ascii="Times New Roman" w:hAnsi="Times New Roman"/>
                <w:lang w:val="fr-FR" w:eastAsia="fr-FR"/>
              </w:rPr>
              <w:t xml:space="preserve">. </w:t>
            </w:r>
          </w:p>
          <w:p w14:paraId="6319B6DA" w14:textId="77777777" w:rsidR="00084B42" w:rsidRPr="0049451D" w:rsidRDefault="00084B42" w:rsidP="00084B42">
            <w:pPr>
              <w:autoSpaceDE w:val="0"/>
              <w:autoSpaceDN w:val="0"/>
              <w:adjustRightInd w:val="0"/>
              <w:spacing w:before="120" w:after="120"/>
              <w:jc w:val="both"/>
              <w:rPr>
                <w:rFonts w:ascii="Times New Roman" w:hAnsi="Times New Roman"/>
                <w:lang w:val="fr-FR" w:eastAsia="fr-FR"/>
              </w:rPr>
            </w:pPr>
            <w:r w:rsidRPr="00E56810">
              <w:rPr>
                <w:rFonts w:ascii="Times New Roman" w:hAnsi="Times New Roman"/>
                <w:b/>
                <w:bCs/>
                <w:i/>
                <w:iCs/>
                <w:lang w:val="fr-FR" w:eastAsia="fr-FR"/>
              </w:rPr>
              <w:t>Ensuite</w:t>
            </w:r>
            <w:r w:rsidRPr="0049451D">
              <w:rPr>
                <w:rFonts w:ascii="Times New Roman" w:hAnsi="Times New Roman"/>
                <w:lang w:val="fr-FR" w:eastAsia="fr-FR"/>
              </w:rPr>
              <w:t xml:space="preserve"> il y aura des rencontres avec les acteurs de la protection sociale à Djibouti afin de recueillir les avis et attentes mais aussi connaitre précisément le niveau des connaissances de ces acteurs par rapport à la question de la protection sociale en situation d’urgence. </w:t>
            </w:r>
          </w:p>
          <w:p w14:paraId="6C88ACC6" w14:textId="36394BB7" w:rsidR="00084B42" w:rsidRPr="0049451D" w:rsidRDefault="00084B42" w:rsidP="00084B42">
            <w:pPr>
              <w:autoSpaceDE w:val="0"/>
              <w:autoSpaceDN w:val="0"/>
              <w:adjustRightInd w:val="0"/>
              <w:spacing w:before="120" w:after="120"/>
              <w:jc w:val="both"/>
              <w:rPr>
                <w:rFonts w:ascii="Times New Roman" w:hAnsi="Times New Roman"/>
                <w:lang w:val="fr-FR" w:eastAsia="fr-FR"/>
              </w:rPr>
            </w:pPr>
            <w:r w:rsidRPr="0049451D">
              <w:rPr>
                <w:rFonts w:ascii="Times New Roman" w:hAnsi="Times New Roman"/>
                <w:lang w:val="fr-FR" w:eastAsia="fr-FR"/>
              </w:rPr>
              <w:t>Enfin plusieurs ateliers participatifs coordonnés et facilités par l’équipe les consultants</w:t>
            </w:r>
            <w:r w:rsidR="004132F5">
              <w:rPr>
                <w:rFonts w:ascii="Times New Roman" w:hAnsi="Times New Roman"/>
                <w:lang w:val="fr-FR" w:eastAsia="fr-FR"/>
              </w:rPr>
              <w:t>/cabinet</w:t>
            </w:r>
            <w:r w:rsidRPr="0049451D">
              <w:rPr>
                <w:rFonts w:ascii="Times New Roman" w:hAnsi="Times New Roman"/>
                <w:lang w:val="fr-FR" w:eastAsia="fr-FR"/>
              </w:rPr>
              <w:t xml:space="preserve"> seront organisés tout au long du processus de consultation. Ces ateliers sont répartis comme suit :</w:t>
            </w:r>
          </w:p>
          <w:p w14:paraId="52591121" w14:textId="2125EF8E" w:rsidR="00084B42" w:rsidRPr="0049451D" w:rsidRDefault="00084B42" w:rsidP="00084B42">
            <w:pPr>
              <w:pStyle w:val="ListParagraph"/>
              <w:numPr>
                <w:ilvl w:val="0"/>
                <w:numId w:val="26"/>
              </w:numPr>
              <w:autoSpaceDE w:val="0"/>
              <w:autoSpaceDN w:val="0"/>
              <w:adjustRightInd w:val="0"/>
              <w:spacing w:before="120" w:after="120"/>
              <w:jc w:val="both"/>
              <w:rPr>
                <w:rFonts w:ascii="Times New Roman" w:hAnsi="Times New Roman"/>
                <w:lang w:val="fr-FR" w:eastAsia="fr-FR"/>
              </w:rPr>
            </w:pPr>
            <w:r w:rsidRPr="0049451D">
              <w:rPr>
                <w:rFonts w:ascii="Times New Roman" w:hAnsi="Times New Roman"/>
                <w:lang w:val="fr-FR" w:eastAsia="fr-FR"/>
              </w:rPr>
              <w:t>Un atelier de formation des acteurs</w:t>
            </w:r>
            <w:r>
              <w:rPr>
                <w:rFonts w:ascii="Times New Roman" w:hAnsi="Times New Roman"/>
                <w:lang w:val="fr-FR" w:eastAsia="fr-FR"/>
              </w:rPr>
              <w:t xml:space="preserve"> clés</w:t>
            </w:r>
            <w:r w:rsidRPr="0049451D">
              <w:rPr>
                <w:rFonts w:ascii="Times New Roman" w:hAnsi="Times New Roman"/>
                <w:lang w:val="fr-FR" w:eastAsia="fr-FR"/>
              </w:rPr>
              <w:t xml:space="preserve"> sur la protection sociale en situation</w:t>
            </w:r>
            <w:r>
              <w:rPr>
                <w:rFonts w:ascii="Times New Roman" w:hAnsi="Times New Roman"/>
                <w:lang w:val="fr-FR" w:eastAsia="fr-FR"/>
              </w:rPr>
              <w:t xml:space="preserve"> d’urgence</w:t>
            </w:r>
            <w:r w:rsidR="00E311AD">
              <w:rPr>
                <w:rFonts w:ascii="Times New Roman" w:hAnsi="Times New Roman"/>
                <w:lang w:val="fr-FR" w:eastAsia="fr-FR"/>
              </w:rPr>
              <w:t xml:space="preserve"> </w:t>
            </w:r>
            <w:r w:rsidR="004132F5">
              <w:rPr>
                <w:rFonts w:ascii="Times New Roman" w:hAnsi="Times New Roman"/>
                <w:lang w:val="fr-FR" w:eastAsia="fr-FR"/>
              </w:rPr>
              <w:t xml:space="preserve">et </w:t>
            </w:r>
            <w:r w:rsidR="00E311AD">
              <w:rPr>
                <w:rFonts w:ascii="Times New Roman" w:hAnsi="Times New Roman"/>
                <w:lang w:val="fr-FR" w:eastAsia="fr-FR"/>
              </w:rPr>
              <w:t>production d’un guide de formation sur la protection sociale en situation d’urgence</w:t>
            </w:r>
          </w:p>
          <w:p w14:paraId="2D632D23" w14:textId="79FB5EA1" w:rsidR="00084B42" w:rsidRDefault="00084B42" w:rsidP="007E6B5B">
            <w:pPr>
              <w:pStyle w:val="ListParagraph"/>
              <w:numPr>
                <w:ilvl w:val="0"/>
                <w:numId w:val="26"/>
              </w:numPr>
              <w:autoSpaceDE w:val="0"/>
              <w:autoSpaceDN w:val="0"/>
              <w:adjustRightInd w:val="0"/>
              <w:spacing w:before="120" w:after="120"/>
              <w:jc w:val="both"/>
              <w:rPr>
                <w:rFonts w:ascii="Times New Roman" w:hAnsi="Times New Roman"/>
                <w:lang w:val="fr-FR" w:eastAsia="fr-FR"/>
              </w:rPr>
            </w:pPr>
            <w:r w:rsidRPr="0049451D">
              <w:rPr>
                <w:rFonts w:ascii="Times New Roman" w:hAnsi="Times New Roman"/>
                <w:lang w:val="fr-FR" w:eastAsia="fr-FR"/>
              </w:rPr>
              <w:t xml:space="preserve">Un atelier de formulation du plan de contingence de la protection sociale où un certain nombre des questions seront abordés avec les scénarios </w:t>
            </w:r>
            <w:r>
              <w:rPr>
                <w:rFonts w:ascii="Times New Roman" w:hAnsi="Times New Roman"/>
                <w:lang w:val="fr-FR" w:eastAsia="fr-FR"/>
              </w:rPr>
              <w:t xml:space="preserve">(identification des risques et leurs impacts potentiels sur les populations) </w:t>
            </w:r>
            <w:r w:rsidRPr="0049451D">
              <w:rPr>
                <w:rFonts w:ascii="Times New Roman" w:hAnsi="Times New Roman"/>
                <w:lang w:val="fr-FR" w:eastAsia="fr-FR"/>
              </w:rPr>
              <w:t>et les réponses à apporter sont défini</w:t>
            </w:r>
            <w:r>
              <w:rPr>
                <w:rFonts w:ascii="Times New Roman" w:hAnsi="Times New Roman"/>
                <w:lang w:val="fr-FR" w:eastAsia="fr-FR"/>
              </w:rPr>
              <w:t>e</w:t>
            </w:r>
            <w:r w:rsidRPr="0049451D">
              <w:rPr>
                <w:rFonts w:ascii="Times New Roman" w:hAnsi="Times New Roman"/>
                <w:lang w:val="fr-FR" w:eastAsia="fr-FR"/>
              </w:rPr>
              <w:t xml:space="preserve">s avec à chaque fois </w:t>
            </w:r>
            <w:r>
              <w:rPr>
                <w:rFonts w:ascii="Times New Roman" w:hAnsi="Times New Roman"/>
                <w:lang w:val="fr-FR" w:eastAsia="fr-FR"/>
              </w:rPr>
              <w:t>l</w:t>
            </w:r>
            <w:r w:rsidRPr="0049451D">
              <w:rPr>
                <w:rFonts w:ascii="Times New Roman" w:hAnsi="Times New Roman"/>
                <w:lang w:val="fr-FR" w:eastAsia="fr-FR"/>
              </w:rPr>
              <w:t xml:space="preserve">es acteurs, le système de coordination et les méthodologies d’action identifiés. </w:t>
            </w:r>
            <w:r w:rsidR="003C62B2">
              <w:rPr>
                <w:rFonts w:ascii="Times New Roman" w:hAnsi="Times New Roman"/>
                <w:lang w:val="fr-FR" w:eastAsia="fr-FR"/>
              </w:rPr>
              <w:t>L</w:t>
            </w:r>
            <w:r w:rsidR="00BE73DF">
              <w:rPr>
                <w:rFonts w:ascii="Times New Roman" w:hAnsi="Times New Roman"/>
                <w:lang w:val="fr-FR" w:eastAsia="fr-FR"/>
              </w:rPr>
              <w:t>’</w:t>
            </w:r>
            <w:r w:rsidRPr="007E6B5B">
              <w:rPr>
                <w:rFonts w:ascii="Times New Roman" w:hAnsi="Times New Roman"/>
                <w:lang w:val="fr-FR" w:eastAsia="fr-FR"/>
              </w:rPr>
              <w:t xml:space="preserve">exercice de simulation </w:t>
            </w:r>
            <w:r w:rsidR="00BE73DF">
              <w:rPr>
                <w:rFonts w:ascii="Times New Roman" w:hAnsi="Times New Roman"/>
                <w:lang w:val="fr-FR" w:eastAsia="fr-FR"/>
              </w:rPr>
              <w:t xml:space="preserve">qui va clôturer l’atelier de formulation </w:t>
            </w:r>
            <w:r w:rsidR="009F7376">
              <w:rPr>
                <w:rFonts w:ascii="Times New Roman" w:hAnsi="Times New Roman"/>
                <w:lang w:val="fr-FR" w:eastAsia="fr-FR"/>
              </w:rPr>
              <w:t xml:space="preserve">du plan est un élément crucial </w:t>
            </w:r>
            <w:r w:rsidR="003C62B2">
              <w:rPr>
                <w:rFonts w:ascii="Times New Roman" w:hAnsi="Times New Roman"/>
                <w:lang w:val="fr-FR" w:eastAsia="fr-FR"/>
              </w:rPr>
              <w:t>pour vérifier l’assimilation mais aussi la fonctionnalité des mécanismes mises en place.</w:t>
            </w:r>
          </w:p>
          <w:p w14:paraId="4B79E744" w14:textId="22B97C1C" w:rsidR="003C62B2" w:rsidRPr="007609DE" w:rsidRDefault="004816BB" w:rsidP="00E56810">
            <w:pPr>
              <w:autoSpaceDE w:val="0"/>
              <w:autoSpaceDN w:val="0"/>
              <w:adjustRightInd w:val="0"/>
              <w:spacing w:before="120" w:after="120"/>
              <w:jc w:val="both"/>
              <w:rPr>
                <w:rFonts w:ascii="Times New Roman" w:hAnsi="Times New Roman"/>
                <w:lang w:val="fr-FR" w:eastAsia="fr-FR"/>
              </w:rPr>
            </w:pPr>
            <w:r w:rsidRPr="004E4695">
              <w:rPr>
                <w:rFonts w:ascii="Times New Roman" w:hAnsi="Times New Roman"/>
                <w:b/>
                <w:bCs/>
                <w:i/>
                <w:iCs/>
                <w:lang w:val="fr-FR" w:eastAsia="fr-FR"/>
              </w:rPr>
              <w:t xml:space="preserve">Enfin </w:t>
            </w:r>
            <w:r w:rsidR="008B65F6" w:rsidRPr="004E4695">
              <w:rPr>
                <w:rFonts w:ascii="Times New Roman" w:hAnsi="Times New Roman"/>
                <w:b/>
                <w:bCs/>
                <w:i/>
                <w:iCs/>
                <w:lang w:val="fr-FR" w:eastAsia="fr-FR"/>
              </w:rPr>
              <w:t>le plan de contingence sera budgétisé</w:t>
            </w:r>
            <w:r w:rsidR="00535B45">
              <w:rPr>
                <w:rFonts w:ascii="Times New Roman" w:hAnsi="Times New Roman"/>
                <w:lang w:val="fr-FR" w:eastAsia="fr-FR"/>
              </w:rPr>
              <w:t xml:space="preserve">. Cette étape de budgétisation sera </w:t>
            </w:r>
            <w:proofErr w:type="spellStart"/>
            <w:r w:rsidR="00535B45">
              <w:rPr>
                <w:rFonts w:ascii="Times New Roman" w:hAnsi="Times New Roman"/>
                <w:lang w:val="fr-FR" w:eastAsia="fr-FR"/>
              </w:rPr>
              <w:t>baséE</w:t>
            </w:r>
            <w:proofErr w:type="spellEnd"/>
            <w:r w:rsidR="00535B45">
              <w:rPr>
                <w:rFonts w:ascii="Times New Roman" w:hAnsi="Times New Roman"/>
                <w:lang w:val="fr-FR" w:eastAsia="fr-FR"/>
              </w:rPr>
              <w:t xml:space="preserve"> sur l’exercice de budgétisation effectué par ILO. </w:t>
            </w:r>
          </w:p>
          <w:p w14:paraId="43EA4DAE" w14:textId="77777777" w:rsidR="00084B42" w:rsidRPr="00EB25F2" w:rsidRDefault="00084B42" w:rsidP="00084B42">
            <w:pPr>
              <w:spacing w:before="60" w:after="60" w:line="240" w:lineRule="auto"/>
              <w:rPr>
                <w:rFonts w:ascii="Times New Roman" w:eastAsia="Arial Unicode MS" w:hAnsi="Times New Roman"/>
                <w:b/>
                <w:bCs/>
                <w:color w:val="auto"/>
                <w:lang w:val="fr-FR"/>
              </w:rPr>
            </w:pPr>
            <w:r w:rsidRPr="00EB25F2">
              <w:rPr>
                <w:rFonts w:ascii="Times New Roman" w:eastAsia="Arial Unicode MS" w:hAnsi="Times New Roman"/>
                <w:b/>
                <w:bCs/>
                <w:color w:val="auto"/>
                <w:lang w:val="fr-FR"/>
              </w:rPr>
              <w:t xml:space="preserve">Supervision et conditions de </w:t>
            </w:r>
            <w:proofErr w:type="gramStart"/>
            <w:r w:rsidRPr="00EB25F2">
              <w:rPr>
                <w:rFonts w:ascii="Times New Roman" w:eastAsia="Arial Unicode MS" w:hAnsi="Times New Roman"/>
                <w:b/>
                <w:bCs/>
                <w:color w:val="auto"/>
                <w:lang w:val="fr-FR"/>
              </w:rPr>
              <w:t>travail:</w:t>
            </w:r>
            <w:proofErr w:type="gramEnd"/>
          </w:p>
          <w:p w14:paraId="0EB2E873" w14:textId="77777777" w:rsidR="00084B42" w:rsidRPr="00EB25F2" w:rsidRDefault="00084B42" w:rsidP="00084B42">
            <w:pPr>
              <w:spacing w:before="60" w:after="60" w:line="240" w:lineRule="auto"/>
              <w:rPr>
                <w:rFonts w:ascii="Times New Roman" w:eastAsia="Arial Unicode MS" w:hAnsi="Times New Roman"/>
                <w:b/>
                <w:bCs/>
                <w:color w:val="auto"/>
                <w:lang w:val="fr-FR"/>
              </w:rPr>
            </w:pPr>
          </w:p>
          <w:p w14:paraId="008C4E43" w14:textId="66C4B70B" w:rsidR="00084B42" w:rsidRDefault="00084B42" w:rsidP="00084B42">
            <w:pPr>
              <w:jc w:val="both"/>
              <w:rPr>
                <w:rFonts w:ascii="Times New Roman" w:hAnsi="Times New Roman"/>
                <w:lang w:val="fr-FR" w:eastAsia="fr-FR"/>
              </w:rPr>
            </w:pPr>
            <w:r w:rsidRPr="0049451D">
              <w:rPr>
                <w:rFonts w:ascii="Times New Roman" w:hAnsi="Times New Roman"/>
                <w:lang w:val="fr-FR" w:eastAsia="fr-FR"/>
              </w:rPr>
              <w:t xml:space="preserve">Le contrat de Consultation sera signé entre l’UNICEF et le (la) Consultant(e) international sous la supervision du chargé de suivi et évaluation et des Politiques Sociales de l’UNICEF. </w:t>
            </w:r>
          </w:p>
          <w:p w14:paraId="23AF215A" w14:textId="77777777" w:rsidR="00E90AB1" w:rsidRPr="0049451D" w:rsidRDefault="00E90AB1" w:rsidP="00084B42">
            <w:pPr>
              <w:jc w:val="both"/>
              <w:rPr>
                <w:rFonts w:ascii="Times New Roman" w:hAnsi="Times New Roman"/>
                <w:lang w:val="fr-FR" w:eastAsia="fr-FR"/>
              </w:rPr>
            </w:pPr>
          </w:p>
          <w:p w14:paraId="05A6E859" w14:textId="77777777" w:rsidR="00084B42" w:rsidRPr="0049451D" w:rsidRDefault="00084B42" w:rsidP="00084B42">
            <w:pPr>
              <w:jc w:val="both"/>
              <w:rPr>
                <w:rFonts w:ascii="Times New Roman" w:hAnsi="Times New Roman"/>
                <w:lang w:val="fr-FR" w:eastAsia="fr-FR"/>
              </w:rPr>
            </w:pPr>
            <w:r w:rsidRPr="0049451D">
              <w:rPr>
                <w:rFonts w:ascii="Times New Roman" w:hAnsi="Times New Roman"/>
                <w:lang w:val="fr-FR" w:eastAsia="fr-FR"/>
              </w:rPr>
              <w:t>Le consultant international aura la charge d’élaborer les Termes de Références du consultant avec l’appui de l’UNICEF et du MASS ainsi que sa supervision. Le contrat du consultant national sera signé avec l’UNICEF mais l</w:t>
            </w:r>
            <w:r>
              <w:rPr>
                <w:rFonts w:ascii="Times New Roman" w:hAnsi="Times New Roman"/>
                <w:lang w:val="fr-FR" w:eastAsia="fr-FR"/>
              </w:rPr>
              <w:t>’évaluation de son travail sera effectuée par l’expert international</w:t>
            </w:r>
            <w:r w:rsidRPr="0049451D">
              <w:rPr>
                <w:rFonts w:ascii="Times New Roman" w:hAnsi="Times New Roman"/>
                <w:lang w:val="fr-FR" w:eastAsia="fr-FR"/>
              </w:rPr>
              <w:t xml:space="preserve">. </w:t>
            </w:r>
          </w:p>
          <w:p w14:paraId="6F2C519E" w14:textId="77777777" w:rsidR="00084B42" w:rsidRPr="0049451D" w:rsidRDefault="00084B42" w:rsidP="00084B42">
            <w:pPr>
              <w:jc w:val="both"/>
              <w:rPr>
                <w:rFonts w:ascii="Times New Roman" w:hAnsi="Times New Roman"/>
                <w:lang w:val="fr-FR" w:eastAsia="fr-FR"/>
              </w:rPr>
            </w:pPr>
          </w:p>
          <w:p w14:paraId="12441433" w14:textId="565F5B5B" w:rsidR="00084B42" w:rsidRDefault="00084B42" w:rsidP="00084B42">
            <w:pPr>
              <w:jc w:val="both"/>
              <w:rPr>
                <w:rFonts w:ascii="Times New Roman" w:hAnsi="Times New Roman"/>
                <w:lang w:val="fr-FR" w:eastAsia="fr-FR"/>
              </w:rPr>
            </w:pPr>
            <w:r w:rsidRPr="0049451D">
              <w:rPr>
                <w:rFonts w:ascii="Times New Roman" w:hAnsi="Times New Roman"/>
                <w:lang w:val="fr-FR" w:eastAsia="fr-FR"/>
              </w:rPr>
              <w:t xml:space="preserve">Une mise à jour hebdomadaire sur l’exécution de la mission </w:t>
            </w:r>
            <w:r>
              <w:rPr>
                <w:rFonts w:ascii="Times New Roman" w:hAnsi="Times New Roman"/>
                <w:lang w:val="fr-FR" w:eastAsia="fr-FR"/>
              </w:rPr>
              <w:t xml:space="preserve">sera </w:t>
            </w:r>
            <w:r w:rsidRPr="0049451D">
              <w:rPr>
                <w:rFonts w:ascii="Times New Roman" w:hAnsi="Times New Roman"/>
                <w:lang w:val="fr-FR" w:eastAsia="fr-FR"/>
              </w:rPr>
              <w:t xml:space="preserve">effectuée par les consultants au cours de laquelle des réajustements techniques pourront être apportés. </w:t>
            </w:r>
          </w:p>
          <w:p w14:paraId="23409424" w14:textId="77777777" w:rsidR="008035A9" w:rsidRPr="0049451D" w:rsidRDefault="008035A9" w:rsidP="00084B42">
            <w:pPr>
              <w:jc w:val="both"/>
              <w:rPr>
                <w:rFonts w:ascii="Times New Roman" w:hAnsi="Times New Roman"/>
                <w:lang w:val="fr-FR" w:eastAsia="fr-FR"/>
              </w:rPr>
            </w:pPr>
          </w:p>
          <w:p w14:paraId="58C792B6" w14:textId="77777777" w:rsidR="00084B42" w:rsidRPr="0049451D" w:rsidRDefault="00084B42" w:rsidP="00084B42">
            <w:pPr>
              <w:jc w:val="both"/>
              <w:rPr>
                <w:rFonts w:ascii="Times New Roman" w:hAnsi="Times New Roman"/>
                <w:lang w:val="fr-FR" w:eastAsia="fr-FR"/>
              </w:rPr>
            </w:pPr>
            <w:r w:rsidRPr="0049451D">
              <w:rPr>
                <w:rFonts w:ascii="Times New Roman" w:hAnsi="Times New Roman"/>
                <w:lang w:val="fr-FR" w:eastAsia="fr-FR"/>
              </w:rPr>
              <w:t xml:space="preserve">Un comité de pilotage présidé par le MASS sera mis en place et composé des départements sectoriels notamment le Ministère de la santé, le Ministère de l’éducation, le Ministère de la Femme et de la Famille, le Ministère de l’intérieur, les partenaires techniques et financiers </w:t>
            </w:r>
            <w:r>
              <w:rPr>
                <w:rFonts w:ascii="Times New Roman" w:hAnsi="Times New Roman"/>
                <w:lang w:val="fr-FR" w:eastAsia="fr-FR"/>
              </w:rPr>
              <w:t xml:space="preserve">notamment le Programme Alimentaire Mondial (PAM) </w:t>
            </w:r>
            <w:r w:rsidRPr="0049451D">
              <w:rPr>
                <w:rFonts w:ascii="Times New Roman" w:hAnsi="Times New Roman"/>
                <w:lang w:val="fr-FR" w:eastAsia="fr-FR"/>
              </w:rPr>
              <w:t xml:space="preserve">et les acteurs de la société civile et du secteur privé. Ce comité aura pour mission de valider tous les produits de la consultation. </w:t>
            </w:r>
          </w:p>
          <w:p w14:paraId="7B543411" w14:textId="77777777" w:rsidR="00084B42" w:rsidRPr="0049451D" w:rsidRDefault="00084B42" w:rsidP="00084B42">
            <w:pPr>
              <w:pStyle w:val="BodyText"/>
              <w:jc w:val="both"/>
              <w:rPr>
                <w:rFonts w:ascii="Times New Roman" w:hAnsi="Times New Roman"/>
                <w:b/>
                <w:lang w:val="fr-CA"/>
              </w:rPr>
            </w:pPr>
            <w:r w:rsidRPr="0049451D">
              <w:rPr>
                <w:rFonts w:ascii="Times New Roman" w:hAnsi="Times New Roman"/>
                <w:lang w:val="fr-CA"/>
              </w:rPr>
              <w:t>Les consultants devront se conformer au code de conduite des activités menées par les Nations Unies particulièrement les considérations liées à l’éthique.</w:t>
            </w:r>
          </w:p>
          <w:p w14:paraId="685E7C37" w14:textId="77777777" w:rsidR="00084B42" w:rsidRPr="0049451D" w:rsidRDefault="00084B42" w:rsidP="00084B42">
            <w:pPr>
              <w:autoSpaceDE w:val="0"/>
              <w:autoSpaceDN w:val="0"/>
              <w:adjustRightInd w:val="0"/>
              <w:jc w:val="both"/>
              <w:rPr>
                <w:rFonts w:ascii="Times New Roman" w:hAnsi="Times New Roman"/>
                <w:lang w:val="fr-FR" w:eastAsia="fr-FR"/>
              </w:rPr>
            </w:pPr>
            <w:r w:rsidRPr="0049451D">
              <w:rPr>
                <w:rFonts w:ascii="Times New Roman" w:hAnsi="Times New Roman"/>
                <w:lang w:val="fr-FR" w:eastAsia="fr-FR"/>
              </w:rPr>
              <w:t xml:space="preserve">Les consultants seront basés au Ministère des Affaires Sociales et des Solidarités où un espace de travail leur sera aménagé mais se rendra aussi au bureau de l’UNICEF pour des réunions ponctuelles. </w:t>
            </w:r>
          </w:p>
          <w:p w14:paraId="0BD0368E" w14:textId="77777777" w:rsidR="00084B42" w:rsidRPr="0049451D" w:rsidRDefault="00084B42" w:rsidP="00084B42">
            <w:pPr>
              <w:autoSpaceDE w:val="0"/>
              <w:autoSpaceDN w:val="0"/>
              <w:adjustRightInd w:val="0"/>
              <w:jc w:val="both"/>
              <w:rPr>
                <w:rFonts w:ascii="Times New Roman" w:hAnsi="Times New Roman"/>
                <w:lang w:val="fr-FR" w:eastAsia="fr-FR"/>
              </w:rPr>
            </w:pPr>
          </w:p>
          <w:p w14:paraId="4DC9A0A1" w14:textId="77777777" w:rsidR="00084B42" w:rsidRPr="0049451D" w:rsidRDefault="00084B42" w:rsidP="00084B42">
            <w:pPr>
              <w:jc w:val="both"/>
              <w:rPr>
                <w:rFonts w:ascii="Times New Roman" w:hAnsi="Times New Roman"/>
                <w:lang w:val="fr-FR"/>
              </w:rPr>
            </w:pPr>
            <w:r w:rsidRPr="0049451D">
              <w:rPr>
                <w:rFonts w:ascii="Times New Roman" w:hAnsi="Times New Roman"/>
                <w:lang w:val="fr-FR"/>
              </w:rPr>
              <w:t>Les déplacements sur le terrain seront planifiés et organisés avec l’assistance de l’UNICEF en collaboration avec le MASS et pris en charge complétement par le consultant international qui devra intégrer dans sa proposition technique tous les éléments relatifs à la logistique de son travail. En ce qui concerne les frais d’organisation des réunions, ateliers et formation elles seront pris en charge par l’UNICEF</w:t>
            </w:r>
            <w:r>
              <w:rPr>
                <w:rFonts w:ascii="Times New Roman" w:hAnsi="Times New Roman"/>
                <w:lang w:val="fr-FR"/>
              </w:rPr>
              <w:t xml:space="preserve"> et mis en œuvre par le MASS</w:t>
            </w:r>
            <w:r w:rsidRPr="0049451D">
              <w:rPr>
                <w:rFonts w:ascii="Times New Roman" w:hAnsi="Times New Roman"/>
                <w:lang w:val="fr-FR"/>
              </w:rPr>
              <w:t xml:space="preserve">. </w:t>
            </w:r>
            <w:r w:rsidRPr="0049451D">
              <w:rPr>
                <w:rFonts w:ascii="Times New Roman" w:hAnsi="Times New Roman"/>
                <w:bCs/>
                <w:lang w:val="fr-FR"/>
              </w:rPr>
              <w:t xml:space="preserve">Les consultants devront disposer de leurs propres équipements de travail. </w:t>
            </w:r>
          </w:p>
          <w:p w14:paraId="000326BB" w14:textId="045EC91D" w:rsidR="00B14BE6" w:rsidRPr="00EB25F2" w:rsidRDefault="00B14BE6" w:rsidP="00B63E76">
            <w:pPr>
              <w:spacing w:before="60" w:after="60" w:line="240" w:lineRule="auto"/>
              <w:rPr>
                <w:rFonts w:ascii="Calibri" w:eastAsia="Arial Unicode MS" w:hAnsi="Calibri" w:cs="Calibri"/>
                <w:b/>
                <w:bCs/>
                <w:color w:val="auto"/>
                <w:lang w:val="fr-FR"/>
              </w:rPr>
            </w:pPr>
          </w:p>
          <w:p w14:paraId="32F043D0" w14:textId="7AE26797" w:rsidR="00B14BE6" w:rsidRPr="00EB25F2" w:rsidRDefault="00E62ED6" w:rsidP="00B63E76">
            <w:pPr>
              <w:spacing w:before="60" w:after="60" w:line="240" w:lineRule="auto"/>
              <w:rPr>
                <w:rFonts w:ascii="Calibri" w:eastAsia="Arial Unicode MS" w:hAnsi="Calibri" w:cs="Calibri"/>
                <w:b/>
                <w:bCs/>
                <w:color w:val="auto"/>
                <w:lang w:val="fr-FR"/>
              </w:rPr>
            </w:pPr>
            <w:r w:rsidRPr="00EB25F2">
              <w:rPr>
                <w:rFonts w:ascii="Calibri" w:eastAsia="Arial Unicode MS" w:hAnsi="Calibri" w:cs="Calibri"/>
                <w:b/>
                <w:bCs/>
                <w:color w:val="auto"/>
                <w:lang w:val="fr-FR"/>
              </w:rPr>
              <w:t>Rémunération, évaluation des performances et termes de paiement</w:t>
            </w:r>
          </w:p>
          <w:p w14:paraId="5CF59F8E" w14:textId="492B00B5" w:rsidR="00B14BE6" w:rsidRDefault="006C0546" w:rsidP="00B63E76">
            <w:pPr>
              <w:spacing w:before="60" w:after="60" w:line="240" w:lineRule="auto"/>
              <w:rPr>
                <w:rFonts w:ascii="Times New Roman" w:hAnsi="Times New Roman"/>
                <w:lang w:val="fr-FR"/>
              </w:rPr>
            </w:pPr>
            <w:r w:rsidRPr="006C0546">
              <w:rPr>
                <w:rFonts w:ascii="Times New Roman" w:hAnsi="Times New Roman"/>
                <w:lang w:val="fr-FR"/>
              </w:rPr>
              <w:t>L’offre technique couvrira l’approche méthodologique pour effectuer le travail</w:t>
            </w:r>
            <w:r>
              <w:rPr>
                <w:rFonts w:ascii="Times New Roman" w:hAnsi="Times New Roman"/>
                <w:lang w:val="fr-FR"/>
              </w:rPr>
              <w:t xml:space="preserve"> </w:t>
            </w:r>
            <w:r w:rsidR="004369F0">
              <w:rPr>
                <w:rFonts w:ascii="Times New Roman" w:hAnsi="Times New Roman"/>
                <w:lang w:val="fr-FR"/>
              </w:rPr>
              <w:t xml:space="preserve">demandé </w:t>
            </w:r>
            <w:r w:rsidR="008E7C82">
              <w:rPr>
                <w:rFonts w:ascii="Times New Roman" w:hAnsi="Times New Roman"/>
                <w:lang w:val="fr-FR"/>
              </w:rPr>
              <w:t xml:space="preserve">et la </w:t>
            </w:r>
            <w:r w:rsidR="00182B65">
              <w:rPr>
                <w:rFonts w:ascii="Times New Roman" w:hAnsi="Times New Roman"/>
                <w:lang w:val="fr-FR"/>
              </w:rPr>
              <w:t>compréh</w:t>
            </w:r>
            <w:r w:rsidR="008E7C82">
              <w:rPr>
                <w:rFonts w:ascii="Times New Roman" w:hAnsi="Times New Roman"/>
                <w:lang w:val="fr-FR"/>
              </w:rPr>
              <w:t>e</w:t>
            </w:r>
            <w:r w:rsidR="00182B65">
              <w:rPr>
                <w:rFonts w:ascii="Times New Roman" w:hAnsi="Times New Roman"/>
                <w:lang w:val="fr-FR"/>
              </w:rPr>
              <w:t xml:space="preserve">nsion des </w:t>
            </w:r>
            <w:proofErr w:type="spellStart"/>
            <w:r w:rsidR="00182B65">
              <w:rPr>
                <w:rFonts w:ascii="Times New Roman" w:hAnsi="Times New Roman"/>
                <w:lang w:val="fr-FR"/>
              </w:rPr>
              <w:t>TdRs</w:t>
            </w:r>
            <w:proofErr w:type="spellEnd"/>
            <w:r w:rsidR="00182B65">
              <w:rPr>
                <w:rFonts w:ascii="Times New Roman" w:hAnsi="Times New Roman"/>
                <w:lang w:val="fr-FR"/>
              </w:rPr>
              <w:t xml:space="preserve"> et les éventuels commentaires et suggestions</w:t>
            </w:r>
            <w:r w:rsidR="008E7C82">
              <w:rPr>
                <w:rFonts w:ascii="Times New Roman" w:hAnsi="Times New Roman"/>
                <w:lang w:val="fr-FR"/>
              </w:rPr>
              <w:t xml:space="preserve"> formulées par les postulants seront des éléments clés </w:t>
            </w:r>
            <w:r w:rsidR="00F67C43">
              <w:rPr>
                <w:rFonts w:ascii="Times New Roman" w:hAnsi="Times New Roman"/>
                <w:lang w:val="fr-FR"/>
              </w:rPr>
              <w:t>de l’évaluation de l’offre technique</w:t>
            </w:r>
            <w:r w:rsidR="004369F0">
              <w:rPr>
                <w:rFonts w:ascii="Times New Roman" w:hAnsi="Times New Roman"/>
                <w:lang w:val="fr-FR"/>
              </w:rPr>
              <w:t>.</w:t>
            </w:r>
          </w:p>
          <w:p w14:paraId="63F130B7" w14:textId="77777777" w:rsidR="00641D8A" w:rsidRPr="00CD2456" w:rsidRDefault="00641D8A" w:rsidP="00641D8A">
            <w:pPr>
              <w:pStyle w:val="Title"/>
              <w:jc w:val="both"/>
              <w:rPr>
                <w:bCs/>
                <w:sz w:val="20"/>
                <w:lang w:val="fr-FR"/>
              </w:rPr>
            </w:pPr>
            <w:r w:rsidRPr="00CD2456">
              <w:rPr>
                <w:bCs/>
                <w:sz w:val="20"/>
                <w:lang w:val="fr-FR"/>
              </w:rPr>
              <w:t>L’offre financière couvrira les dépenses suivantes :</w:t>
            </w:r>
          </w:p>
          <w:p w14:paraId="36E6D2A5" w14:textId="77777777" w:rsidR="00641D8A" w:rsidRPr="00CD2456" w:rsidRDefault="00641D8A" w:rsidP="00641D8A">
            <w:pPr>
              <w:pStyle w:val="Title"/>
              <w:numPr>
                <w:ilvl w:val="0"/>
                <w:numId w:val="30"/>
              </w:numPr>
              <w:jc w:val="both"/>
              <w:rPr>
                <w:bCs/>
                <w:sz w:val="20"/>
                <w:lang w:val="fr-FR"/>
              </w:rPr>
            </w:pPr>
            <w:r w:rsidRPr="00CD2456">
              <w:rPr>
                <w:bCs/>
                <w:sz w:val="20"/>
                <w:lang w:val="fr-FR"/>
              </w:rPr>
              <w:t xml:space="preserve">Le coût par livrable </w:t>
            </w:r>
          </w:p>
          <w:p w14:paraId="502BC893" w14:textId="77777777" w:rsidR="00641D8A" w:rsidRDefault="00641D8A" w:rsidP="00641D8A">
            <w:pPr>
              <w:pStyle w:val="Title"/>
              <w:numPr>
                <w:ilvl w:val="0"/>
                <w:numId w:val="30"/>
              </w:numPr>
              <w:jc w:val="both"/>
              <w:rPr>
                <w:bCs/>
                <w:sz w:val="20"/>
                <w:lang w:val="fr-FR"/>
              </w:rPr>
            </w:pPr>
            <w:r w:rsidRPr="00CD2456">
              <w:rPr>
                <w:bCs/>
                <w:sz w:val="20"/>
                <w:lang w:val="fr-FR"/>
              </w:rPr>
              <w:t>Perdiems en fonction de jours présents dans le pays</w:t>
            </w:r>
          </w:p>
          <w:p w14:paraId="3ABA97EE" w14:textId="77777777" w:rsidR="00641D8A" w:rsidRPr="00CD2456" w:rsidRDefault="00641D8A" w:rsidP="00641D8A">
            <w:pPr>
              <w:pStyle w:val="Title"/>
              <w:numPr>
                <w:ilvl w:val="0"/>
                <w:numId w:val="30"/>
              </w:numPr>
              <w:jc w:val="both"/>
              <w:rPr>
                <w:bCs/>
                <w:sz w:val="20"/>
                <w:lang w:val="fr-FR"/>
              </w:rPr>
            </w:pPr>
            <w:r>
              <w:rPr>
                <w:bCs/>
                <w:sz w:val="20"/>
                <w:lang w:val="fr-FR"/>
              </w:rPr>
              <w:t>Coût de la logistique relative à la mission</w:t>
            </w:r>
          </w:p>
          <w:p w14:paraId="236347D9" w14:textId="77777777" w:rsidR="00641D8A" w:rsidRPr="00CD2456" w:rsidRDefault="00641D8A" w:rsidP="00641D8A">
            <w:pPr>
              <w:pStyle w:val="Title"/>
              <w:jc w:val="both"/>
              <w:rPr>
                <w:bCs/>
                <w:sz w:val="20"/>
                <w:lang w:val="fr-FR"/>
              </w:rPr>
            </w:pPr>
          </w:p>
          <w:p w14:paraId="32C82720" w14:textId="77777777" w:rsidR="00641D8A" w:rsidRPr="00CD2456" w:rsidRDefault="00641D8A" w:rsidP="00641D8A">
            <w:pPr>
              <w:pStyle w:val="Title"/>
              <w:jc w:val="both"/>
              <w:rPr>
                <w:bCs/>
                <w:sz w:val="20"/>
                <w:lang w:val="fr-FR"/>
              </w:rPr>
            </w:pPr>
            <w:r w:rsidRPr="00CD2456">
              <w:rPr>
                <w:bCs/>
                <w:sz w:val="20"/>
                <w:lang w:val="fr-FR"/>
              </w:rPr>
              <w:t>Tout autre frais sera à la charge du consultant, notamment visa et vaccins. Le consultant devra fournir une preuve de sa couverture médicale le couvrant durant la période de la consultation.</w:t>
            </w:r>
          </w:p>
          <w:p w14:paraId="4391C18E" w14:textId="77777777" w:rsidR="00641D8A" w:rsidRPr="00CD2456" w:rsidRDefault="00641D8A" w:rsidP="00641D8A">
            <w:pPr>
              <w:pStyle w:val="Title"/>
              <w:jc w:val="both"/>
              <w:rPr>
                <w:bCs/>
                <w:sz w:val="20"/>
                <w:lang w:val="fr-FR"/>
              </w:rPr>
            </w:pPr>
          </w:p>
          <w:p w14:paraId="5715F33B" w14:textId="77777777" w:rsidR="00CB267A" w:rsidRDefault="00641D8A" w:rsidP="00641D8A">
            <w:pPr>
              <w:pStyle w:val="Title"/>
              <w:jc w:val="both"/>
              <w:rPr>
                <w:bCs/>
                <w:sz w:val="20"/>
                <w:lang w:val="fr-FR"/>
              </w:rPr>
            </w:pPr>
            <w:r w:rsidRPr="00CD2456">
              <w:rPr>
                <w:bCs/>
                <w:sz w:val="20"/>
                <w:lang w:val="fr-FR"/>
              </w:rPr>
              <w:t>Le consultant sera payé à la soumission de factures relatives aux différents livrables, sous réserve de validation par le superviseur de la consultation</w:t>
            </w:r>
            <w:r w:rsidR="00CB267A">
              <w:rPr>
                <w:bCs/>
                <w:sz w:val="20"/>
                <w:lang w:val="fr-FR"/>
              </w:rPr>
              <w:t xml:space="preserve"> et se fera sur la base des livrables comme suite :</w:t>
            </w:r>
          </w:p>
          <w:p w14:paraId="3B94FADC" w14:textId="51C6E149" w:rsidR="00CB267A" w:rsidRDefault="00CB267A" w:rsidP="00CB267A">
            <w:pPr>
              <w:pStyle w:val="Title"/>
              <w:numPr>
                <w:ilvl w:val="0"/>
                <w:numId w:val="34"/>
              </w:numPr>
              <w:jc w:val="both"/>
              <w:rPr>
                <w:rFonts w:eastAsia="Arial"/>
                <w:sz w:val="20"/>
                <w:lang w:val="fr-FR"/>
              </w:rPr>
            </w:pPr>
            <w:r>
              <w:rPr>
                <w:rFonts w:eastAsia="Arial"/>
                <w:sz w:val="20"/>
                <w:lang w:val="fr-FR"/>
              </w:rPr>
              <w:t>2</w:t>
            </w:r>
            <w:r w:rsidR="00641D8A" w:rsidRPr="00CD2456">
              <w:rPr>
                <w:rFonts w:eastAsia="Arial"/>
                <w:sz w:val="20"/>
                <w:lang w:val="fr-FR"/>
              </w:rPr>
              <w:t xml:space="preserve">0% </w:t>
            </w:r>
            <w:r w:rsidR="00B5070E" w:rsidRPr="00EB25F2">
              <w:rPr>
                <w:rFonts w:eastAsia="Arial"/>
                <w:sz w:val="20"/>
                <w:lang w:val="fr-FR"/>
              </w:rPr>
              <w:t xml:space="preserve">à la soumission du </w:t>
            </w:r>
            <w:r w:rsidR="00535B45">
              <w:rPr>
                <w:rFonts w:eastAsia="Arial"/>
                <w:sz w:val="20"/>
                <w:lang w:val="fr-FR"/>
              </w:rPr>
              <w:t xml:space="preserve">rapport </w:t>
            </w:r>
            <w:r>
              <w:rPr>
                <w:rFonts w:eastAsia="Arial"/>
                <w:sz w:val="20"/>
                <w:lang w:val="fr-FR"/>
              </w:rPr>
              <w:t>de démarrage</w:t>
            </w:r>
            <w:r w:rsidR="00B5070E">
              <w:rPr>
                <w:rFonts w:eastAsia="Arial"/>
                <w:sz w:val="20"/>
                <w:lang w:val="fr-FR"/>
              </w:rPr>
              <w:t xml:space="preserve"> validé</w:t>
            </w:r>
            <w:r w:rsidR="00641D8A" w:rsidRPr="00CD2456">
              <w:rPr>
                <w:rFonts w:eastAsia="Arial"/>
                <w:sz w:val="20"/>
                <w:lang w:val="fr-FR"/>
              </w:rPr>
              <w:t xml:space="preserve">, </w:t>
            </w:r>
          </w:p>
          <w:p w14:paraId="3C47CC95" w14:textId="759E9125" w:rsidR="00CB267A" w:rsidRDefault="00CB267A" w:rsidP="00CB267A">
            <w:pPr>
              <w:pStyle w:val="Title"/>
              <w:numPr>
                <w:ilvl w:val="0"/>
                <w:numId w:val="34"/>
              </w:numPr>
              <w:jc w:val="both"/>
              <w:rPr>
                <w:rFonts w:eastAsia="Arial"/>
                <w:sz w:val="20"/>
                <w:lang w:val="fr-FR"/>
              </w:rPr>
            </w:pPr>
            <w:r>
              <w:rPr>
                <w:rFonts w:eastAsia="Arial"/>
                <w:sz w:val="20"/>
                <w:lang w:val="fr-FR"/>
              </w:rPr>
              <w:t xml:space="preserve">30% </w:t>
            </w:r>
            <w:r w:rsidR="00086DA4">
              <w:rPr>
                <w:rFonts w:eastAsia="Arial"/>
                <w:sz w:val="20"/>
                <w:lang w:val="fr-FR"/>
              </w:rPr>
              <w:t xml:space="preserve">à la soumission du </w:t>
            </w:r>
            <w:r>
              <w:rPr>
                <w:rFonts w:eastAsia="Arial"/>
                <w:sz w:val="20"/>
                <w:lang w:val="fr-FR"/>
              </w:rPr>
              <w:t>rapport sur le diagnostique de la protection sociale</w:t>
            </w:r>
            <w:r w:rsidR="00086DA4">
              <w:rPr>
                <w:rFonts w:eastAsia="Arial"/>
                <w:sz w:val="20"/>
                <w:lang w:val="fr-FR"/>
              </w:rPr>
              <w:t xml:space="preserve"> validé</w:t>
            </w:r>
            <w:r>
              <w:rPr>
                <w:rFonts w:eastAsia="Arial"/>
                <w:sz w:val="20"/>
                <w:lang w:val="fr-FR"/>
              </w:rPr>
              <w:t xml:space="preserve"> </w:t>
            </w:r>
          </w:p>
          <w:p w14:paraId="6099272F" w14:textId="5FE1D046" w:rsidR="00CB267A" w:rsidRDefault="00CB267A" w:rsidP="00CB267A">
            <w:pPr>
              <w:pStyle w:val="Title"/>
              <w:numPr>
                <w:ilvl w:val="0"/>
                <w:numId w:val="34"/>
              </w:numPr>
              <w:jc w:val="both"/>
              <w:rPr>
                <w:rFonts w:eastAsia="Arial"/>
                <w:sz w:val="20"/>
                <w:lang w:val="fr-FR"/>
              </w:rPr>
            </w:pPr>
            <w:r>
              <w:rPr>
                <w:rFonts w:eastAsia="Arial"/>
                <w:sz w:val="20"/>
                <w:lang w:val="fr-FR"/>
              </w:rPr>
              <w:t xml:space="preserve">20% </w:t>
            </w:r>
            <w:r w:rsidR="00A20EE6">
              <w:rPr>
                <w:rFonts w:eastAsia="Arial"/>
                <w:sz w:val="20"/>
                <w:lang w:val="fr-FR"/>
              </w:rPr>
              <w:t xml:space="preserve">à la soumission du rapport de </w:t>
            </w:r>
            <w:r>
              <w:rPr>
                <w:rFonts w:eastAsia="Arial"/>
                <w:sz w:val="20"/>
                <w:lang w:val="fr-FR"/>
              </w:rPr>
              <w:t xml:space="preserve">formation et </w:t>
            </w:r>
            <w:r w:rsidR="00A20EE6">
              <w:rPr>
                <w:rFonts w:eastAsia="Arial"/>
                <w:sz w:val="20"/>
                <w:lang w:val="fr-FR"/>
              </w:rPr>
              <w:t>du gui</w:t>
            </w:r>
            <w:r>
              <w:rPr>
                <w:rFonts w:eastAsia="Arial"/>
                <w:sz w:val="20"/>
                <w:lang w:val="fr-FR"/>
              </w:rPr>
              <w:t xml:space="preserve">de de formation en matière de protection sociale en situation d’urgence. </w:t>
            </w:r>
          </w:p>
          <w:p w14:paraId="069D8A91" w14:textId="3B60E388" w:rsidR="00641D8A" w:rsidRDefault="00CB267A" w:rsidP="00424396">
            <w:pPr>
              <w:pStyle w:val="Title"/>
              <w:numPr>
                <w:ilvl w:val="0"/>
                <w:numId w:val="34"/>
              </w:numPr>
              <w:jc w:val="both"/>
              <w:rPr>
                <w:rFonts w:eastAsia="Arial"/>
                <w:sz w:val="20"/>
                <w:lang w:val="fr-FR"/>
              </w:rPr>
            </w:pPr>
            <w:r w:rsidRPr="00C40B56">
              <w:rPr>
                <w:rFonts w:eastAsia="Arial"/>
                <w:sz w:val="20"/>
                <w:lang w:val="fr-FR"/>
              </w:rPr>
              <w:t xml:space="preserve">30% </w:t>
            </w:r>
            <w:r w:rsidR="00FA4222" w:rsidRPr="00C40B56">
              <w:rPr>
                <w:rFonts w:eastAsia="Arial"/>
                <w:sz w:val="20"/>
                <w:lang w:val="fr-FR"/>
              </w:rPr>
              <w:t>à la soumission d</w:t>
            </w:r>
            <w:r w:rsidRPr="00C40B56">
              <w:rPr>
                <w:rFonts w:eastAsia="Arial"/>
                <w:sz w:val="20"/>
                <w:lang w:val="fr-FR"/>
              </w:rPr>
              <w:t xml:space="preserve">u document sur la protection sociale en situation d’urgence </w:t>
            </w:r>
            <w:r w:rsidR="00C40B56" w:rsidRPr="00C40B56">
              <w:rPr>
                <w:rFonts w:eastAsia="Arial"/>
                <w:sz w:val="20"/>
                <w:lang w:val="fr-FR"/>
              </w:rPr>
              <w:t xml:space="preserve">budgétisé et </w:t>
            </w:r>
            <w:r w:rsidR="00FA4222" w:rsidRPr="00C40B56">
              <w:rPr>
                <w:rFonts w:eastAsia="Arial"/>
                <w:sz w:val="20"/>
                <w:lang w:val="fr-FR"/>
              </w:rPr>
              <w:t xml:space="preserve">validé </w:t>
            </w:r>
          </w:p>
          <w:p w14:paraId="0F05A9A2" w14:textId="77777777" w:rsidR="00C40B56" w:rsidRPr="00C40B56" w:rsidRDefault="00C40B56" w:rsidP="00C40B56">
            <w:pPr>
              <w:pStyle w:val="Title"/>
              <w:ind w:left="720"/>
              <w:jc w:val="both"/>
              <w:rPr>
                <w:rFonts w:eastAsia="Arial"/>
                <w:sz w:val="20"/>
                <w:lang w:val="fr-FR"/>
              </w:rPr>
            </w:pPr>
          </w:p>
          <w:p w14:paraId="526E97A6" w14:textId="4C4A714B" w:rsidR="00641D8A" w:rsidRPr="00641D8A" w:rsidRDefault="00641D8A" w:rsidP="00641D8A">
            <w:pPr>
              <w:pStyle w:val="Title"/>
              <w:jc w:val="both"/>
              <w:rPr>
                <w:bCs/>
                <w:sz w:val="20"/>
                <w:lang w:val="fr-FR"/>
              </w:rPr>
            </w:pPr>
            <w:r w:rsidRPr="00641D8A">
              <w:rPr>
                <w:bCs/>
                <w:sz w:val="20"/>
                <w:lang w:val="fr-FR"/>
              </w:rPr>
              <w:t xml:space="preserve">L’évaluation des consultants se basera sur : </w:t>
            </w:r>
          </w:p>
          <w:p w14:paraId="3098D77C" w14:textId="77777777" w:rsidR="00641D8A" w:rsidRDefault="00641D8A" w:rsidP="00641D8A">
            <w:pPr>
              <w:pStyle w:val="Title"/>
              <w:jc w:val="both"/>
              <w:rPr>
                <w:bCs/>
                <w:sz w:val="20"/>
                <w:lang w:val="fr-FR"/>
              </w:rPr>
            </w:pPr>
          </w:p>
          <w:p w14:paraId="77BC967D" w14:textId="5EE920B6" w:rsidR="00641D8A" w:rsidRPr="00641D8A" w:rsidRDefault="00641D8A" w:rsidP="00641D8A">
            <w:pPr>
              <w:pStyle w:val="Title"/>
              <w:jc w:val="both"/>
              <w:rPr>
                <w:bCs/>
                <w:sz w:val="20"/>
                <w:lang w:val="fr-FR"/>
              </w:rPr>
            </w:pPr>
            <w:r w:rsidRPr="00641D8A">
              <w:rPr>
                <w:bCs/>
                <w:sz w:val="20"/>
                <w:lang w:val="fr-FR"/>
              </w:rPr>
              <w:t>La mise à jour régulière des progrès par rapport au processus d’élaboration du plan de contingence entre les consultants et le superviseur</w:t>
            </w:r>
          </w:p>
          <w:p w14:paraId="18E63BCA" w14:textId="77777777" w:rsidR="00641D8A" w:rsidRPr="00641D8A" w:rsidRDefault="00641D8A" w:rsidP="00641D8A">
            <w:pPr>
              <w:pStyle w:val="Title"/>
              <w:jc w:val="both"/>
              <w:rPr>
                <w:bCs/>
                <w:sz w:val="20"/>
                <w:lang w:val="fr-FR"/>
              </w:rPr>
            </w:pPr>
            <w:r w:rsidRPr="00641D8A">
              <w:rPr>
                <w:bCs/>
                <w:sz w:val="20"/>
                <w:lang w:val="fr-FR"/>
              </w:rPr>
              <w:t xml:space="preserve">La livraison à temps de tous les produits attendus de la consultation </w:t>
            </w:r>
          </w:p>
          <w:p w14:paraId="539069F5" w14:textId="77777777" w:rsidR="00641D8A" w:rsidRPr="00641D8A" w:rsidRDefault="00641D8A" w:rsidP="00641D8A">
            <w:pPr>
              <w:pStyle w:val="Title"/>
              <w:jc w:val="both"/>
              <w:rPr>
                <w:bCs/>
                <w:sz w:val="20"/>
                <w:lang w:val="fr-FR"/>
              </w:rPr>
            </w:pPr>
            <w:r w:rsidRPr="00641D8A">
              <w:rPr>
                <w:bCs/>
                <w:sz w:val="20"/>
                <w:lang w:val="fr-FR"/>
              </w:rPr>
              <w:t xml:space="preserve">La satisfaction de la qualité des documents produits </w:t>
            </w:r>
          </w:p>
          <w:p w14:paraId="7C4F93A3" w14:textId="77777777" w:rsidR="00B14BE6" w:rsidRPr="00EB25F2" w:rsidRDefault="00B14BE6" w:rsidP="00B63E76">
            <w:pPr>
              <w:spacing w:before="60" w:after="60" w:line="240" w:lineRule="auto"/>
              <w:rPr>
                <w:rFonts w:ascii="Calibri" w:eastAsia="Arial Unicode MS" w:hAnsi="Calibri" w:cs="Calibri"/>
                <w:b/>
                <w:bCs/>
                <w:color w:val="auto"/>
                <w:lang w:val="fr-FR"/>
              </w:rPr>
            </w:pPr>
          </w:p>
          <w:p w14:paraId="0AE255B2" w14:textId="77777777" w:rsidR="00B14BE6" w:rsidRPr="00EB25F2" w:rsidRDefault="00B14BE6" w:rsidP="00B63E76">
            <w:pPr>
              <w:spacing w:before="60" w:after="60" w:line="240" w:lineRule="auto"/>
              <w:rPr>
                <w:rFonts w:ascii="Calibri" w:eastAsia="Arial Unicode MS" w:hAnsi="Calibri" w:cs="Calibri"/>
                <w:b/>
                <w:bCs/>
                <w:color w:val="auto"/>
                <w:lang w:val="fr-FR"/>
              </w:rPr>
            </w:pPr>
          </w:p>
          <w:p w14:paraId="6154E565" w14:textId="0630B0A9" w:rsidR="00B14BE6" w:rsidRPr="00EB25F2" w:rsidRDefault="005E369F" w:rsidP="00B63E76">
            <w:pPr>
              <w:spacing w:before="60" w:after="60" w:line="240" w:lineRule="auto"/>
              <w:rPr>
                <w:rFonts w:ascii="Calibri" w:eastAsia="Arial Unicode MS" w:hAnsi="Calibri" w:cs="Calibri"/>
                <w:b/>
                <w:bCs/>
                <w:color w:val="auto"/>
                <w:lang w:val="fr-FR"/>
              </w:rPr>
            </w:pPr>
            <w:r w:rsidRPr="00EB25F2">
              <w:rPr>
                <w:rFonts w:ascii="Calibri" w:eastAsia="Arial Unicode MS" w:hAnsi="Calibri" w:cs="Calibri"/>
                <w:b/>
                <w:bCs/>
                <w:color w:val="auto"/>
                <w:lang w:val="fr-FR"/>
              </w:rPr>
              <w:t>Processus de soumission et évaluation des offres</w:t>
            </w:r>
          </w:p>
          <w:p w14:paraId="14F5F7FF" w14:textId="3B37B8BF" w:rsidR="005E369F" w:rsidRPr="00EB25F2" w:rsidRDefault="005E369F" w:rsidP="00B63E76">
            <w:pPr>
              <w:spacing w:before="60" w:after="60" w:line="240" w:lineRule="auto"/>
              <w:rPr>
                <w:rFonts w:ascii="Calibri" w:eastAsia="Arial Unicode MS" w:hAnsi="Calibri" w:cs="Calibri"/>
                <w:b/>
                <w:bCs/>
                <w:color w:val="auto"/>
                <w:lang w:val="fr-FR"/>
              </w:rPr>
            </w:pPr>
          </w:p>
          <w:p w14:paraId="071EF900" w14:textId="77777777" w:rsidR="005E369F" w:rsidRPr="0099224C" w:rsidRDefault="005E369F" w:rsidP="005E369F">
            <w:pPr>
              <w:pStyle w:val="Title"/>
              <w:jc w:val="both"/>
              <w:rPr>
                <w:bCs/>
                <w:sz w:val="20"/>
                <w:lang w:val="fr-FR"/>
              </w:rPr>
            </w:pPr>
            <w:r w:rsidRPr="0099224C">
              <w:rPr>
                <w:bCs/>
                <w:sz w:val="20"/>
                <w:lang w:val="fr-FR"/>
              </w:rPr>
              <w:t xml:space="preserve">Les candidats intéressés devront postuler directement sur le site internet de l’UNICEF </w:t>
            </w:r>
            <w:hyperlink r:id="rId14" w:history="1">
              <w:r w:rsidRPr="0099224C">
                <w:rPr>
                  <w:rStyle w:val="Hyperlink"/>
                  <w:sz w:val="20"/>
                  <w:lang w:val="fr-FR"/>
                </w:rPr>
                <w:t>www.unicef.org/employ</w:t>
              </w:r>
            </w:hyperlink>
            <w:r w:rsidRPr="0099224C">
              <w:rPr>
                <w:bCs/>
                <w:sz w:val="20"/>
                <w:lang w:val="fr-FR"/>
              </w:rPr>
              <w:t xml:space="preserve"> en incluant les documents suivants avant le</w:t>
            </w:r>
            <w:r>
              <w:rPr>
                <w:bCs/>
                <w:sz w:val="20"/>
                <w:lang w:val="fr-FR"/>
              </w:rPr>
              <w:t xml:space="preserve"> </w:t>
            </w:r>
            <w:r w:rsidRPr="0099224C">
              <w:rPr>
                <w:bCs/>
                <w:sz w:val="20"/>
                <w:lang w:val="fr-FR"/>
              </w:rPr>
              <w:t xml:space="preserve">: </w:t>
            </w:r>
          </w:p>
          <w:p w14:paraId="4A43324B" w14:textId="77777777" w:rsidR="005E369F" w:rsidRPr="0099224C" w:rsidRDefault="005E369F" w:rsidP="005E369F">
            <w:pPr>
              <w:pStyle w:val="Title"/>
              <w:numPr>
                <w:ilvl w:val="0"/>
                <w:numId w:val="35"/>
              </w:numPr>
              <w:jc w:val="both"/>
              <w:rPr>
                <w:bCs/>
                <w:sz w:val="20"/>
                <w:lang w:val="fr-FR"/>
              </w:rPr>
            </w:pPr>
            <w:r w:rsidRPr="0099224C">
              <w:rPr>
                <w:bCs/>
                <w:sz w:val="20"/>
                <w:lang w:val="fr-FR"/>
              </w:rPr>
              <w:t>Le formulaire de soumission</w:t>
            </w:r>
          </w:p>
          <w:p w14:paraId="0EED310E" w14:textId="77777777" w:rsidR="005E369F" w:rsidRPr="0099224C" w:rsidRDefault="005E369F" w:rsidP="005E369F">
            <w:pPr>
              <w:pStyle w:val="Title"/>
              <w:numPr>
                <w:ilvl w:val="0"/>
                <w:numId w:val="35"/>
              </w:numPr>
              <w:jc w:val="both"/>
              <w:rPr>
                <w:bCs/>
                <w:sz w:val="20"/>
                <w:lang w:val="fr-FR"/>
              </w:rPr>
            </w:pPr>
            <w:r w:rsidRPr="0099224C">
              <w:rPr>
                <w:bCs/>
                <w:sz w:val="20"/>
                <w:lang w:val="fr-FR"/>
              </w:rPr>
              <w:t>Un CV à jour et une lettre de motivation</w:t>
            </w:r>
          </w:p>
          <w:p w14:paraId="3C7F9657" w14:textId="77777777" w:rsidR="005E369F" w:rsidRPr="0099224C" w:rsidRDefault="005E369F" w:rsidP="005E369F">
            <w:pPr>
              <w:pStyle w:val="Title"/>
              <w:numPr>
                <w:ilvl w:val="0"/>
                <w:numId w:val="35"/>
              </w:numPr>
              <w:jc w:val="both"/>
              <w:rPr>
                <w:bCs/>
                <w:sz w:val="20"/>
                <w:lang w:val="fr-FR"/>
              </w:rPr>
            </w:pPr>
            <w:r w:rsidRPr="0099224C">
              <w:rPr>
                <w:bCs/>
                <w:sz w:val="20"/>
                <w:lang w:val="fr-FR"/>
              </w:rPr>
              <w:t>Les propositions technique et financière indiquant les dates de disponibilités</w:t>
            </w:r>
          </w:p>
          <w:p w14:paraId="05B7608D" w14:textId="68898194" w:rsidR="005E369F" w:rsidRPr="0099224C" w:rsidRDefault="005E369F" w:rsidP="005E369F">
            <w:pPr>
              <w:pStyle w:val="Title"/>
              <w:numPr>
                <w:ilvl w:val="0"/>
                <w:numId w:val="35"/>
              </w:numPr>
              <w:jc w:val="both"/>
              <w:rPr>
                <w:bCs/>
                <w:sz w:val="20"/>
                <w:lang w:val="fr-FR"/>
              </w:rPr>
            </w:pPr>
            <w:r w:rsidRPr="0099224C">
              <w:rPr>
                <w:bCs/>
                <w:sz w:val="20"/>
                <w:lang w:val="fr-FR"/>
              </w:rPr>
              <w:t xml:space="preserve">Des exemplaires de travaux similaires </w:t>
            </w:r>
            <w:r w:rsidR="00D133C8">
              <w:rPr>
                <w:bCs/>
                <w:sz w:val="20"/>
                <w:lang w:val="fr-FR"/>
              </w:rPr>
              <w:t>réalisés</w:t>
            </w:r>
          </w:p>
          <w:p w14:paraId="66FFA5A3" w14:textId="77777777" w:rsidR="005E369F" w:rsidRPr="0099224C" w:rsidRDefault="005E369F" w:rsidP="005E369F">
            <w:pPr>
              <w:pStyle w:val="Title"/>
              <w:jc w:val="both"/>
              <w:rPr>
                <w:bCs/>
                <w:sz w:val="20"/>
                <w:lang w:val="fr-FR"/>
              </w:rPr>
            </w:pPr>
          </w:p>
          <w:p w14:paraId="29D1F9A1" w14:textId="77777777" w:rsidR="0074341D" w:rsidRDefault="005E369F" w:rsidP="005E369F">
            <w:pPr>
              <w:pStyle w:val="Title"/>
              <w:jc w:val="both"/>
              <w:rPr>
                <w:bCs/>
                <w:sz w:val="20"/>
                <w:lang w:val="fr-FR"/>
              </w:rPr>
            </w:pPr>
            <w:r w:rsidRPr="0099224C">
              <w:rPr>
                <w:bCs/>
                <w:sz w:val="20"/>
                <w:lang w:val="fr-FR"/>
              </w:rPr>
              <w:t>Chaque soumission devra inclure le taux journalier des honoraires ainsi que les autres frais</w:t>
            </w:r>
          </w:p>
          <w:p w14:paraId="788242B1" w14:textId="02CA66AF" w:rsidR="005E369F" w:rsidRPr="0099224C" w:rsidRDefault="005E369F" w:rsidP="005E369F">
            <w:pPr>
              <w:pStyle w:val="Title"/>
              <w:jc w:val="both"/>
              <w:rPr>
                <w:bCs/>
                <w:sz w:val="20"/>
                <w:lang w:val="fr-FR"/>
              </w:rPr>
            </w:pPr>
            <w:r w:rsidRPr="0099224C">
              <w:rPr>
                <w:bCs/>
                <w:sz w:val="20"/>
                <w:lang w:val="fr-FR"/>
              </w:rPr>
              <w:t xml:space="preserve"> </w:t>
            </w:r>
          </w:p>
          <w:p w14:paraId="63B73952" w14:textId="497B6097" w:rsidR="005E369F" w:rsidRPr="0074341D" w:rsidRDefault="00D133C8" w:rsidP="0074341D">
            <w:pPr>
              <w:pStyle w:val="Title"/>
              <w:jc w:val="both"/>
              <w:rPr>
                <w:bCs/>
                <w:sz w:val="20"/>
                <w:lang w:val="fr-FR"/>
              </w:rPr>
            </w:pPr>
            <w:r w:rsidRPr="0074341D">
              <w:rPr>
                <w:bCs/>
                <w:sz w:val="20"/>
                <w:lang w:val="fr-FR"/>
              </w:rPr>
              <w:t xml:space="preserve">L’évaluation des offres se fera </w:t>
            </w:r>
            <w:r w:rsidR="006A55C0" w:rsidRPr="0074341D">
              <w:rPr>
                <w:bCs/>
                <w:sz w:val="20"/>
                <w:lang w:val="fr-FR"/>
              </w:rPr>
              <w:t>sur la base des critères suivants:</w:t>
            </w:r>
          </w:p>
          <w:p w14:paraId="1D356A95" w14:textId="2E3B4DF8" w:rsidR="006A55C0" w:rsidRPr="0074341D" w:rsidRDefault="006A55C0" w:rsidP="0074341D">
            <w:pPr>
              <w:pStyle w:val="Title"/>
              <w:numPr>
                <w:ilvl w:val="0"/>
                <w:numId w:val="36"/>
              </w:numPr>
              <w:jc w:val="both"/>
              <w:rPr>
                <w:bCs/>
                <w:sz w:val="20"/>
                <w:lang w:val="fr-FR"/>
              </w:rPr>
            </w:pPr>
            <w:r w:rsidRPr="0074341D">
              <w:rPr>
                <w:bCs/>
                <w:sz w:val="20"/>
                <w:lang w:val="fr-FR"/>
              </w:rPr>
              <w:t xml:space="preserve">Diplômes </w:t>
            </w:r>
            <w:r w:rsidR="00FD39E6" w:rsidRPr="0074341D">
              <w:rPr>
                <w:bCs/>
                <w:sz w:val="20"/>
                <w:lang w:val="fr-FR"/>
              </w:rPr>
              <w:t>académiques</w:t>
            </w:r>
            <w:r w:rsidRPr="0074341D">
              <w:rPr>
                <w:bCs/>
                <w:sz w:val="20"/>
                <w:lang w:val="fr-FR"/>
              </w:rPr>
              <w:t xml:space="preserve"> des candidats</w:t>
            </w:r>
          </w:p>
          <w:p w14:paraId="24116742" w14:textId="5296F79F" w:rsidR="006A55C0" w:rsidRPr="0074341D" w:rsidRDefault="006A55C0" w:rsidP="0074341D">
            <w:pPr>
              <w:pStyle w:val="Title"/>
              <w:numPr>
                <w:ilvl w:val="0"/>
                <w:numId w:val="36"/>
              </w:numPr>
              <w:jc w:val="both"/>
              <w:rPr>
                <w:bCs/>
                <w:sz w:val="20"/>
                <w:lang w:val="fr-FR"/>
              </w:rPr>
            </w:pPr>
            <w:r w:rsidRPr="0074341D">
              <w:rPr>
                <w:bCs/>
                <w:sz w:val="20"/>
                <w:lang w:val="fr-FR"/>
              </w:rPr>
              <w:t xml:space="preserve">Expériences </w:t>
            </w:r>
            <w:r w:rsidR="00983D6E" w:rsidRPr="0074341D">
              <w:rPr>
                <w:bCs/>
                <w:sz w:val="20"/>
                <w:lang w:val="fr-FR"/>
              </w:rPr>
              <w:t>dans le domaine de la protection sociale en situation d’urgence</w:t>
            </w:r>
          </w:p>
          <w:p w14:paraId="04A67E1C" w14:textId="45FD5B09" w:rsidR="00944C8C" w:rsidRPr="0074341D" w:rsidRDefault="00944C8C" w:rsidP="0074341D">
            <w:pPr>
              <w:pStyle w:val="Title"/>
              <w:numPr>
                <w:ilvl w:val="0"/>
                <w:numId w:val="36"/>
              </w:numPr>
              <w:jc w:val="both"/>
              <w:rPr>
                <w:bCs/>
                <w:sz w:val="20"/>
                <w:lang w:val="fr-FR"/>
              </w:rPr>
            </w:pPr>
            <w:r w:rsidRPr="0074341D">
              <w:rPr>
                <w:bCs/>
                <w:sz w:val="20"/>
                <w:lang w:val="fr-FR"/>
              </w:rPr>
              <w:t xml:space="preserve">Offre technique </w:t>
            </w:r>
            <w:r w:rsidR="004E2187" w:rsidRPr="0074341D">
              <w:rPr>
                <w:bCs/>
                <w:sz w:val="20"/>
                <w:lang w:val="fr-FR"/>
              </w:rPr>
              <w:t>(une attention particulière sera accordée à la revue critique des</w:t>
            </w:r>
            <w:r w:rsidR="005367EA" w:rsidRPr="0074341D">
              <w:rPr>
                <w:bCs/>
                <w:sz w:val="20"/>
                <w:lang w:val="fr-FR"/>
              </w:rPr>
              <w:t xml:space="preserve"> présents</w:t>
            </w:r>
            <w:r w:rsidR="004E2187" w:rsidRPr="0074341D">
              <w:rPr>
                <w:bCs/>
                <w:sz w:val="20"/>
                <w:lang w:val="fr-FR"/>
              </w:rPr>
              <w:t xml:space="preserve"> </w:t>
            </w:r>
            <w:proofErr w:type="spellStart"/>
            <w:r w:rsidR="004E2187" w:rsidRPr="0074341D">
              <w:rPr>
                <w:bCs/>
                <w:sz w:val="20"/>
                <w:lang w:val="fr-FR"/>
              </w:rPr>
              <w:t>TdRs</w:t>
            </w:r>
            <w:proofErr w:type="spellEnd"/>
            <w:r w:rsidR="004E2187" w:rsidRPr="0074341D">
              <w:rPr>
                <w:bCs/>
                <w:sz w:val="20"/>
                <w:lang w:val="fr-FR"/>
              </w:rPr>
              <w:t>)</w:t>
            </w:r>
          </w:p>
          <w:p w14:paraId="239A434F" w14:textId="7F9A98D2" w:rsidR="005367EA" w:rsidRPr="0074341D" w:rsidRDefault="005367EA" w:rsidP="0074341D">
            <w:pPr>
              <w:pStyle w:val="Title"/>
              <w:numPr>
                <w:ilvl w:val="0"/>
                <w:numId w:val="36"/>
              </w:numPr>
              <w:jc w:val="both"/>
              <w:rPr>
                <w:bCs/>
                <w:sz w:val="20"/>
                <w:lang w:val="fr-FR"/>
              </w:rPr>
            </w:pPr>
            <w:r w:rsidRPr="0074341D">
              <w:rPr>
                <w:bCs/>
                <w:sz w:val="20"/>
                <w:lang w:val="fr-FR"/>
              </w:rPr>
              <w:t xml:space="preserve">Offre </w:t>
            </w:r>
            <w:r w:rsidR="00FD39E6">
              <w:rPr>
                <w:bCs/>
                <w:sz w:val="20"/>
                <w:lang w:val="fr-FR"/>
              </w:rPr>
              <w:t>financière</w:t>
            </w:r>
          </w:p>
          <w:p w14:paraId="0D5CF37C" w14:textId="5D6AF472" w:rsidR="005367EA" w:rsidRPr="0074341D" w:rsidRDefault="005367EA" w:rsidP="0074341D">
            <w:pPr>
              <w:pStyle w:val="Title"/>
              <w:numPr>
                <w:ilvl w:val="0"/>
                <w:numId w:val="36"/>
              </w:numPr>
              <w:jc w:val="both"/>
              <w:rPr>
                <w:bCs/>
                <w:sz w:val="20"/>
                <w:lang w:val="fr-FR"/>
              </w:rPr>
            </w:pPr>
            <w:r w:rsidRPr="0074341D">
              <w:rPr>
                <w:bCs/>
                <w:sz w:val="20"/>
                <w:lang w:val="fr-FR"/>
              </w:rPr>
              <w:t>Fourniture de la pre</w:t>
            </w:r>
            <w:r w:rsidR="0074341D" w:rsidRPr="0074341D">
              <w:rPr>
                <w:bCs/>
                <w:sz w:val="20"/>
                <w:lang w:val="fr-FR"/>
              </w:rPr>
              <w:t>uve de réalisation des travaux similaires</w:t>
            </w:r>
          </w:p>
          <w:p w14:paraId="78C5C227" w14:textId="27FE4975" w:rsidR="00B14BE6" w:rsidRPr="00EB25F2" w:rsidRDefault="00B14BE6" w:rsidP="00B63E76">
            <w:pPr>
              <w:spacing w:before="60" w:after="60" w:line="240" w:lineRule="auto"/>
              <w:rPr>
                <w:rFonts w:ascii="Calibri" w:eastAsia="Arial Unicode MS" w:hAnsi="Calibri" w:cs="Calibri"/>
                <w:b/>
                <w:bCs/>
                <w:color w:val="auto"/>
                <w:lang w:val="fr-FR"/>
              </w:rPr>
            </w:pPr>
          </w:p>
        </w:tc>
      </w:tr>
      <w:tr w:rsidR="007613B3" w:rsidRPr="00EB25F2" w14:paraId="0A300CA7" w14:textId="77777777" w:rsidTr="00B63E76">
        <w:trPr>
          <w:trHeight w:val="60"/>
        </w:trPr>
        <w:tc>
          <w:tcPr>
            <w:tcW w:w="9887" w:type="dxa"/>
            <w:tcBorders>
              <w:top w:val="nil"/>
            </w:tcBorders>
            <w:shd w:val="clear" w:color="auto" w:fill="auto"/>
            <w:noWrap/>
          </w:tcPr>
          <w:p w14:paraId="51AD8E11" w14:textId="77777777" w:rsidR="007613B3" w:rsidRPr="00EB25F2"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00B63E76">
        <w:trPr>
          <w:trHeight w:val="60"/>
        </w:trPr>
        <w:tc>
          <w:tcPr>
            <w:tcW w:w="9887" w:type="dxa"/>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5"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0FAF8F26"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DA3A6F">
              <w:rPr>
                <w:rFonts w:ascii="Calibri" w:eastAsia="Arial Unicode MS" w:hAnsi="Calibri" w:cs="Calibri"/>
                <w:sz w:val="20"/>
                <w:szCs w:val="20"/>
                <w:lang w:val="en-AU"/>
              </w:rPr>
            </w:r>
            <w:r w:rsidR="00DA3A6F">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084B42">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0" w:name="Check9"/>
            <w:r w:rsidR="00084B42">
              <w:rPr>
                <w:rFonts w:ascii="Calibri" w:eastAsia="Arial Unicode MS" w:hAnsi="Calibri" w:cs="Calibri"/>
                <w:sz w:val="20"/>
                <w:szCs w:val="20"/>
                <w:lang w:val="en-AU"/>
              </w:rPr>
              <w:instrText xml:space="preserve"> FORMCHECKBOX </w:instrText>
            </w:r>
            <w:r w:rsidR="00DA3A6F">
              <w:rPr>
                <w:rFonts w:ascii="Calibri" w:eastAsia="Arial Unicode MS" w:hAnsi="Calibri" w:cs="Calibri"/>
                <w:sz w:val="20"/>
                <w:szCs w:val="20"/>
                <w:lang w:val="en-AU"/>
              </w:rPr>
            </w:r>
            <w:r w:rsidR="00DA3A6F">
              <w:rPr>
                <w:rFonts w:ascii="Calibri" w:eastAsia="Arial Unicode MS" w:hAnsi="Calibri" w:cs="Calibri"/>
                <w:sz w:val="20"/>
                <w:szCs w:val="20"/>
                <w:lang w:val="en-AU"/>
              </w:rPr>
              <w:fldChar w:fldCharType="separate"/>
            </w:r>
            <w:r w:rsidR="00084B42">
              <w:rPr>
                <w:rFonts w:ascii="Calibri" w:eastAsia="Arial Unicode MS" w:hAnsi="Calibri" w:cs="Calibri"/>
                <w:sz w:val="20"/>
                <w:szCs w:val="20"/>
                <w:lang w:val="en-AU"/>
              </w:rPr>
              <w:fldChar w:fldCharType="end"/>
            </w:r>
            <w:bookmarkEnd w:id="0"/>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569514B8"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DA3A6F">
              <w:rPr>
                <w:rFonts w:ascii="Calibri" w:eastAsia="Arial Unicode MS" w:hAnsi="Calibri" w:cs="Calibri"/>
                <w:sz w:val="20"/>
                <w:szCs w:val="20"/>
                <w:lang w:val="en-AU"/>
              </w:rPr>
            </w:r>
            <w:r w:rsidR="00DA3A6F">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084B42">
              <w:rPr>
                <w:rFonts w:ascii="Calibri" w:eastAsia="Arial Unicode MS" w:hAnsi="Calibri" w:cs="Calibri"/>
                <w:sz w:val="20"/>
                <w:szCs w:val="20"/>
                <w:lang w:val="en-AU"/>
              </w:rPr>
              <w:fldChar w:fldCharType="begin">
                <w:ffData>
                  <w:name w:val=""/>
                  <w:enabled/>
                  <w:calcOnExit w:val="0"/>
                  <w:checkBox>
                    <w:sizeAuto/>
                    <w:default w:val="1"/>
                  </w:checkBox>
                </w:ffData>
              </w:fldChar>
            </w:r>
            <w:r w:rsidR="00084B42">
              <w:rPr>
                <w:rFonts w:ascii="Calibri" w:eastAsia="Arial Unicode MS" w:hAnsi="Calibri" w:cs="Calibri"/>
                <w:sz w:val="20"/>
                <w:szCs w:val="20"/>
                <w:lang w:val="en-AU"/>
              </w:rPr>
              <w:instrText xml:space="preserve"> FORMCHECKBOX </w:instrText>
            </w:r>
            <w:r w:rsidR="00DA3A6F">
              <w:rPr>
                <w:rFonts w:ascii="Calibri" w:eastAsia="Arial Unicode MS" w:hAnsi="Calibri" w:cs="Calibri"/>
                <w:sz w:val="20"/>
                <w:szCs w:val="20"/>
                <w:lang w:val="en-AU"/>
              </w:rPr>
            </w:r>
            <w:r w:rsidR="00DA3A6F">
              <w:rPr>
                <w:rFonts w:ascii="Calibri" w:eastAsia="Arial Unicode MS" w:hAnsi="Calibri" w:cs="Calibri"/>
                <w:sz w:val="20"/>
                <w:szCs w:val="20"/>
                <w:lang w:val="en-AU"/>
              </w:rPr>
              <w:fldChar w:fldCharType="separate"/>
            </w:r>
            <w:r w:rsidR="00084B42">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3D468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3D468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2797D73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DA3A6F">
              <w:rPr>
                <w:rFonts w:ascii="Calibri" w:eastAsia="Arial Unicode MS" w:hAnsi="Calibri" w:cs="Calibri"/>
                <w:sz w:val="20"/>
                <w:szCs w:val="20"/>
                <w:lang w:val="en-AU"/>
              </w:rPr>
            </w:r>
            <w:r w:rsidR="00DA3A6F">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E62ED6">
              <w:rPr>
                <w:rFonts w:ascii="Calibri" w:eastAsia="Arial Unicode MS" w:hAnsi="Calibri" w:cs="Calibri"/>
                <w:sz w:val="20"/>
                <w:szCs w:val="20"/>
                <w:lang w:val="en-AU"/>
              </w:rPr>
              <w:fldChar w:fldCharType="begin">
                <w:ffData>
                  <w:name w:val=""/>
                  <w:enabled/>
                  <w:calcOnExit w:val="0"/>
                  <w:checkBox>
                    <w:sizeAuto/>
                    <w:default w:val="1"/>
                  </w:checkBox>
                </w:ffData>
              </w:fldChar>
            </w:r>
            <w:r w:rsidR="00E62ED6">
              <w:rPr>
                <w:rFonts w:ascii="Calibri" w:eastAsia="Arial Unicode MS" w:hAnsi="Calibri" w:cs="Calibri"/>
                <w:sz w:val="20"/>
                <w:szCs w:val="20"/>
                <w:lang w:val="en-AU"/>
              </w:rPr>
              <w:instrText xml:space="preserve"> FORMCHECKBOX </w:instrText>
            </w:r>
            <w:r w:rsidR="00DA3A6F">
              <w:rPr>
                <w:rFonts w:ascii="Calibri" w:eastAsia="Arial Unicode MS" w:hAnsi="Calibri" w:cs="Calibri"/>
                <w:sz w:val="20"/>
                <w:szCs w:val="20"/>
                <w:lang w:val="en-AU"/>
              </w:rPr>
            </w:r>
            <w:r w:rsidR="00DA3A6F">
              <w:rPr>
                <w:rFonts w:ascii="Calibri" w:eastAsia="Arial Unicode MS" w:hAnsi="Calibri" w:cs="Calibri"/>
                <w:sz w:val="20"/>
                <w:szCs w:val="20"/>
                <w:lang w:val="en-AU"/>
              </w:rPr>
              <w:fldChar w:fldCharType="separate"/>
            </w:r>
            <w:r w:rsidR="00E62ED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3D468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3D468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6"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7"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rsidP="00E311AD">
      <w:pPr>
        <w:rPr>
          <w:rFonts w:ascii="Calibri" w:hAnsi="Calibri" w:cs="Calibri"/>
          <w:b/>
          <w:bCs/>
          <w:sz w:val="24"/>
          <w:szCs w:val="24"/>
          <w:u w:val="single"/>
        </w:rPr>
      </w:pPr>
    </w:p>
    <w:tbl>
      <w:tblPr>
        <w:tblpPr w:leftFromText="180" w:rightFromText="180" w:vertAnchor="page" w:horzAnchor="margin" w:tblpY="1741"/>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093"/>
        <w:gridCol w:w="3862"/>
      </w:tblGrid>
      <w:tr w:rsidR="00E74EB8" w:rsidRPr="007613B3" w14:paraId="4666AE20" w14:textId="77777777" w:rsidTr="00EB25F2">
        <w:tc>
          <w:tcPr>
            <w:tcW w:w="6093" w:type="dxa"/>
            <w:tcBorders>
              <w:top w:val="single" w:sz="4" w:space="0" w:color="auto"/>
              <w:bottom w:val="single" w:sz="4" w:space="0" w:color="auto"/>
            </w:tcBorders>
            <w:shd w:val="clear" w:color="auto" w:fill="FFFFFF" w:themeFill="background1"/>
            <w:noWrap/>
          </w:tcPr>
          <w:p w14:paraId="1DFCC9C5" w14:textId="3F011D73" w:rsidR="00E74EB8" w:rsidRDefault="00E74EB8" w:rsidP="00E74EB8">
            <w:pPr>
              <w:spacing w:before="60" w:after="60" w:line="240" w:lineRule="auto"/>
              <w:rPr>
                <w:rFonts w:ascii="Calibri" w:eastAsia="Arial Unicode MS" w:hAnsi="Calibri" w:cs="Calibri"/>
                <w:color w:val="auto"/>
                <w:lang w:val="en-AU"/>
              </w:rPr>
            </w:pPr>
            <w:r w:rsidRPr="007613B3">
              <w:rPr>
                <w:rFonts w:ascii="Calibri" w:eastAsia="Arial Unicode MS" w:hAnsi="Calibri" w:cs="Calibri"/>
                <w:b/>
                <w:color w:val="auto"/>
                <w:lang w:val="en-AU"/>
              </w:rPr>
              <w:t>Minimum Qualifications required:</w:t>
            </w:r>
          </w:p>
        </w:tc>
        <w:tc>
          <w:tcPr>
            <w:tcW w:w="3862" w:type="dxa"/>
            <w:tcBorders>
              <w:top w:val="single" w:sz="4" w:space="0" w:color="auto"/>
              <w:bottom w:val="single" w:sz="4" w:space="0" w:color="auto"/>
            </w:tcBorders>
            <w:shd w:val="clear" w:color="auto" w:fill="FFFFFF" w:themeFill="background1"/>
          </w:tcPr>
          <w:p w14:paraId="61CB1161" w14:textId="28D3A4E9" w:rsidR="00E74EB8" w:rsidRDefault="00E74EB8" w:rsidP="00E74EB8">
            <w:pPr>
              <w:spacing w:before="60" w:after="60" w:line="240" w:lineRule="auto"/>
              <w:rPr>
                <w:rFonts w:ascii="Calibri" w:eastAsia="Arial Unicode MS" w:hAnsi="Calibri" w:cs="Calibri"/>
                <w:color w:val="auto"/>
                <w:lang w:val="en-AU"/>
              </w:rPr>
            </w:pPr>
            <w:r w:rsidRPr="007613B3">
              <w:rPr>
                <w:rFonts w:ascii="Calibri" w:eastAsia="Arial Unicode MS" w:hAnsi="Calibri" w:cs="Calibri"/>
                <w:b/>
                <w:color w:val="auto"/>
                <w:lang w:val="en-AU"/>
              </w:rPr>
              <w:t>Knowledge/Expertise/Skills required:</w:t>
            </w:r>
          </w:p>
        </w:tc>
      </w:tr>
      <w:tr w:rsidR="00E74EB8" w:rsidRPr="00EB25F2" w14:paraId="6B59E44E" w14:textId="77777777" w:rsidTr="00EB25F2">
        <w:tc>
          <w:tcPr>
            <w:tcW w:w="6093" w:type="dxa"/>
            <w:tcBorders>
              <w:top w:val="single" w:sz="4" w:space="0" w:color="auto"/>
              <w:bottom w:val="single" w:sz="4" w:space="0" w:color="auto"/>
            </w:tcBorders>
            <w:shd w:val="clear" w:color="auto" w:fill="FFFFFF" w:themeFill="background1"/>
            <w:noWrap/>
          </w:tcPr>
          <w:p w14:paraId="7BBB7C5F" w14:textId="77777777" w:rsidR="00E74EB8" w:rsidRPr="007613B3" w:rsidRDefault="00E74EB8" w:rsidP="00E74EB8">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r>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629F3335" w14:textId="77777777" w:rsidR="00E74EB8" w:rsidRPr="007613B3" w:rsidRDefault="00E74EB8" w:rsidP="00E74EB8">
            <w:pPr>
              <w:spacing w:before="60" w:line="240" w:lineRule="auto"/>
              <w:rPr>
                <w:rFonts w:ascii="Calibri" w:eastAsia="Arial Unicode MS" w:hAnsi="Calibri" w:cs="Calibri"/>
                <w:color w:val="auto"/>
                <w:lang w:val="en-AU"/>
              </w:rPr>
            </w:pPr>
          </w:p>
          <w:p w14:paraId="107C6B46" w14:textId="77777777" w:rsidR="00E74EB8" w:rsidRPr="00084B42" w:rsidRDefault="00E74EB8" w:rsidP="00E74EB8">
            <w:pPr>
              <w:numPr>
                <w:ilvl w:val="0"/>
                <w:numId w:val="28"/>
              </w:numPr>
              <w:spacing w:line="240" w:lineRule="auto"/>
              <w:contextualSpacing/>
              <w:jc w:val="both"/>
              <w:rPr>
                <w:rFonts w:ascii="Times New Roman" w:hAnsi="Times New Roman"/>
                <w:lang w:val="fr-FR"/>
              </w:rPr>
            </w:pPr>
            <w:r w:rsidRPr="00084B42">
              <w:rPr>
                <w:rFonts w:ascii="Times New Roman" w:hAnsi="Times New Roman"/>
                <w:lang w:val="fr-FR"/>
              </w:rPr>
              <w:t>Diplôme universitaire de troisième cycle (Master ou équivalent Master ou Doctorat) en en sciences sociale notamment l’économie, les politiques sociales ;</w:t>
            </w:r>
          </w:p>
          <w:p w14:paraId="0FD6203D" w14:textId="77777777" w:rsidR="00E74EB8" w:rsidRPr="00EB25F2" w:rsidRDefault="00E74EB8" w:rsidP="00E74EB8">
            <w:pPr>
              <w:spacing w:before="60" w:after="60" w:line="240" w:lineRule="auto"/>
              <w:rPr>
                <w:rFonts w:ascii="Calibri" w:eastAsia="Arial Unicode MS" w:hAnsi="Calibri" w:cs="Calibri"/>
                <w:color w:val="auto"/>
                <w:lang w:val="fr-FR"/>
              </w:rPr>
            </w:pPr>
          </w:p>
        </w:tc>
        <w:tc>
          <w:tcPr>
            <w:tcW w:w="3862" w:type="dxa"/>
            <w:tcBorders>
              <w:top w:val="single" w:sz="4" w:space="0" w:color="auto"/>
              <w:bottom w:val="single" w:sz="4" w:space="0" w:color="auto"/>
            </w:tcBorders>
            <w:shd w:val="clear" w:color="auto" w:fill="FFFFFF" w:themeFill="background1"/>
          </w:tcPr>
          <w:p w14:paraId="66438AAA" w14:textId="77777777" w:rsidR="00E74EB8" w:rsidRPr="00084B42" w:rsidRDefault="00E74EB8" w:rsidP="00E74EB8">
            <w:pPr>
              <w:jc w:val="both"/>
              <w:rPr>
                <w:rFonts w:ascii="Times New Roman" w:hAnsi="Times New Roman"/>
                <w:lang w:val="fr-FR"/>
              </w:rPr>
            </w:pPr>
            <w:r w:rsidRPr="00084B42">
              <w:rPr>
                <w:rFonts w:ascii="Times New Roman" w:hAnsi="Times New Roman"/>
                <w:lang w:val="fr-FR"/>
              </w:rPr>
              <w:t>Peuvent faire acte de candidature, les personnes justifiant des qualifications suivantes :</w:t>
            </w:r>
          </w:p>
          <w:p w14:paraId="482B912C" w14:textId="77777777" w:rsidR="00E74EB8" w:rsidRPr="00084B42" w:rsidRDefault="00E74EB8" w:rsidP="00E74EB8">
            <w:pPr>
              <w:numPr>
                <w:ilvl w:val="0"/>
                <w:numId w:val="28"/>
              </w:numPr>
              <w:spacing w:line="240" w:lineRule="auto"/>
              <w:contextualSpacing/>
              <w:jc w:val="both"/>
              <w:rPr>
                <w:rFonts w:ascii="Times New Roman" w:hAnsi="Times New Roman"/>
                <w:lang w:val="fr-FR"/>
              </w:rPr>
            </w:pPr>
            <w:r w:rsidRPr="00084B42">
              <w:rPr>
                <w:rFonts w:ascii="Times New Roman" w:hAnsi="Times New Roman"/>
                <w:lang w:val="fr-FR"/>
              </w:rPr>
              <w:t xml:space="preserve">Justifier d’une expérience d’au moins huit (08) ans dans la préparation aux urgences et / ou la gestion de réponse à des crises humanitaires notamment dans le secteur de la protection sociale </w:t>
            </w:r>
          </w:p>
          <w:p w14:paraId="4A6D10A9" w14:textId="77777777" w:rsidR="00E74EB8" w:rsidRPr="00084B42" w:rsidRDefault="00E74EB8" w:rsidP="00E74EB8">
            <w:pPr>
              <w:numPr>
                <w:ilvl w:val="0"/>
                <w:numId w:val="27"/>
              </w:numPr>
              <w:spacing w:line="240" w:lineRule="auto"/>
              <w:jc w:val="both"/>
              <w:rPr>
                <w:rFonts w:ascii="Times New Roman" w:hAnsi="Times New Roman"/>
                <w:lang w:val="fr-FR"/>
              </w:rPr>
            </w:pPr>
            <w:r w:rsidRPr="00084B42">
              <w:rPr>
                <w:rFonts w:ascii="Times New Roman" w:hAnsi="Times New Roman"/>
                <w:lang w:val="fr-FR"/>
              </w:rPr>
              <w:t xml:space="preserve">Avoir la capacité à travailler sous pression et en équipe avec la contrainte de produire des résultats de qualité ; </w:t>
            </w:r>
          </w:p>
          <w:p w14:paraId="55250EC4" w14:textId="77777777" w:rsidR="00E74EB8" w:rsidRPr="00084B42" w:rsidRDefault="00E74EB8" w:rsidP="00E74EB8">
            <w:pPr>
              <w:numPr>
                <w:ilvl w:val="0"/>
                <w:numId w:val="27"/>
              </w:numPr>
              <w:spacing w:line="240" w:lineRule="auto"/>
              <w:jc w:val="both"/>
              <w:rPr>
                <w:rFonts w:ascii="Times New Roman" w:hAnsi="Times New Roman"/>
                <w:lang w:val="fr-FR"/>
              </w:rPr>
            </w:pPr>
            <w:r w:rsidRPr="00084B42">
              <w:rPr>
                <w:rFonts w:ascii="Times New Roman" w:hAnsi="Times New Roman"/>
                <w:lang w:val="fr-FR"/>
              </w:rPr>
              <w:t>Une expérience de formateur dans le domaine de la préparation et réponse humanitaire</w:t>
            </w:r>
          </w:p>
          <w:p w14:paraId="09B45A36" w14:textId="77777777" w:rsidR="00E74EB8" w:rsidRPr="00084B42" w:rsidRDefault="00E74EB8" w:rsidP="00E74EB8">
            <w:pPr>
              <w:numPr>
                <w:ilvl w:val="0"/>
                <w:numId w:val="27"/>
              </w:numPr>
              <w:spacing w:line="240" w:lineRule="auto"/>
              <w:jc w:val="both"/>
              <w:rPr>
                <w:rFonts w:ascii="Times New Roman" w:hAnsi="Times New Roman"/>
                <w:lang w:val="fr-FR"/>
              </w:rPr>
            </w:pPr>
            <w:r w:rsidRPr="00084B42">
              <w:rPr>
                <w:rFonts w:ascii="Times New Roman" w:hAnsi="Times New Roman"/>
                <w:lang w:val="fr-FR"/>
              </w:rPr>
              <w:t xml:space="preserve">Une expérience de travail ou de collaboration avec l’UNICEF ou toute autre agence des Nations Unies sur l’élaboration du plan de contingence dans le domaine de la protection sociale serait un atout </w:t>
            </w:r>
          </w:p>
          <w:p w14:paraId="66F57765" w14:textId="77777777" w:rsidR="00E74EB8" w:rsidRPr="00084B42" w:rsidRDefault="00E74EB8" w:rsidP="00E74EB8">
            <w:pPr>
              <w:numPr>
                <w:ilvl w:val="0"/>
                <w:numId w:val="27"/>
              </w:numPr>
              <w:spacing w:line="240" w:lineRule="auto"/>
              <w:jc w:val="both"/>
              <w:rPr>
                <w:rFonts w:ascii="Times New Roman" w:hAnsi="Times New Roman"/>
                <w:lang w:val="fr-FR"/>
              </w:rPr>
            </w:pPr>
            <w:r w:rsidRPr="00084B42">
              <w:rPr>
                <w:rFonts w:ascii="Times New Roman" w:hAnsi="Times New Roman"/>
                <w:lang w:val="fr-FR"/>
              </w:rPr>
              <w:t>Avoir une expérience en gestion des urgences en Afrique et notamment dans la corne de l’Afrique est un atout</w:t>
            </w:r>
          </w:p>
          <w:p w14:paraId="0BD76721" w14:textId="77777777" w:rsidR="000F68F8" w:rsidRDefault="00E74EB8" w:rsidP="000F68F8">
            <w:pPr>
              <w:numPr>
                <w:ilvl w:val="0"/>
                <w:numId w:val="27"/>
              </w:numPr>
              <w:spacing w:line="240" w:lineRule="auto"/>
              <w:jc w:val="both"/>
              <w:rPr>
                <w:rFonts w:ascii="Times New Roman" w:hAnsi="Times New Roman"/>
                <w:lang w:val="fr-FR"/>
              </w:rPr>
            </w:pPr>
            <w:r w:rsidRPr="00084B42">
              <w:rPr>
                <w:rFonts w:ascii="Times New Roman" w:hAnsi="Times New Roman"/>
                <w:lang w:val="fr-FR"/>
              </w:rPr>
              <w:t xml:space="preserve">Avoir une bonne connaissance en langue Française   </w:t>
            </w:r>
          </w:p>
          <w:p w14:paraId="14CBD93E" w14:textId="7BABE0AE" w:rsidR="00E74EB8" w:rsidRPr="000F68F8" w:rsidRDefault="00E74EB8" w:rsidP="000F68F8">
            <w:pPr>
              <w:numPr>
                <w:ilvl w:val="0"/>
                <w:numId w:val="27"/>
              </w:numPr>
              <w:spacing w:line="240" w:lineRule="auto"/>
              <w:jc w:val="both"/>
              <w:rPr>
                <w:rFonts w:ascii="Times New Roman" w:hAnsi="Times New Roman"/>
                <w:lang w:val="fr-FR"/>
              </w:rPr>
            </w:pPr>
            <w:r w:rsidRPr="000F68F8">
              <w:rPr>
                <w:rFonts w:ascii="Times New Roman" w:hAnsi="Times New Roman"/>
                <w:lang w:val="fr-FR"/>
              </w:rPr>
              <w:t>Fournir la preuve d’un travail similaire déjà effectu</w:t>
            </w:r>
            <w:r w:rsidRPr="00EB25F2">
              <w:rPr>
                <w:rFonts w:ascii="Times New Roman" w:hAnsi="Times New Roman"/>
                <w:lang w:val="fr-FR"/>
              </w:rPr>
              <w:t>é</w:t>
            </w:r>
          </w:p>
        </w:tc>
      </w:tr>
      <w:tr w:rsidR="00F14F58" w:rsidRPr="007613B3" w14:paraId="60BC4A92" w14:textId="77777777" w:rsidTr="00EB25F2">
        <w:tc>
          <w:tcPr>
            <w:tcW w:w="6093" w:type="dxa"/>
            <w:tcBorders>
              <w:top w:val="single" w:sz="4" w:space="0" w:color="auto"/>
              <w:bottom w:val="single" w:sz="4" w:space="0" w:color="auto"/>
            </w:tcBorders>
            <w:shd w:val="clear" w:color="auto" w:fill="FFFFFF" w:themeFill="background1"/>
            <w:noWrap/>
          </w:tcPr>
          <w:p w14:paraId="6A47BA68" w14:textId="77777777" w:rsidR="00F14F58" w:rsidRDefault="00F14F58" w:rsidP="00F14F58">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5CC7201D" w14:textId="77777777" w:rsidR="00F14F58" w:rsidRDefault="00F14F58" w:rsidP="00F14F58">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E27EDCC" w14:textId="77777777" w:rsidR="00F14F58" w:rsidRDefault="00F14F58" w:rsidP="00F14F58">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CDA8F37" w14:textId="77777777" w:rsidR="00F14F58" w:rsidRDefault="00F14F58" w:rsidP="00F14F58">
            <w:pPr>
              <w:rPr>
                <w:rFonts w:ascii="Calibri" w:eastAsia="Arial Unicode MS" w:hAnsi="Calibri" w:cs="Calibri"/>
                <w:color w:val="auto"/>
                <w:lang w:val="en-AU"/>
              </w:rPr>
            </w:pPr>
          </w:p>
          <w:p w14:paraId="5BAF2E7F" w14:textId="77777777" w:rsidR="00F14F58" w:rsidRDefault="00F14F58" w:rsidP="00F14F58">
            <w:pPr>
              <w:spacing w:before="60" w:after="60" w:line="240" w:lineRule="auto"/>
              <w:rPr>
                <w:rFonts w:ascii="Calibri" w:eastAsia="Arial Unicode MS" w:hAnsi="Calibri" w:cs="Calibri"/>
                <w:color w:val="auto"/>
                <w:lang w:val="en-AU"/>
              </w:rPr>
            </w:pPr>
          </w:p>
        </w:tc>
        <w:tc>
          <w:tcPr>
            <w:tcW w:w="3862" w:type="dxa"/>
            <w:tcBorders>
              <w:top w:val="single" w:sz="4" w:space="0" w:color="auto"/>
              <w:bottom w:val="single" w:sz="4" w:space="0" w:color="auto"/>
            </w:tcBorders>
            <w:shd w:val="clear" w:color="auto" w:fill="FFFFFF" w:themeFill="background1"/>
          </w:tcPr>
          <w:p w14:paraId="27B4FE3C" w14:textId="77777777" w:rsidR="00F14F58" w:rsidRPr="007613B3" w:rsidRDefault="00F14F58" w:rsidP="00F14F58">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658A01B0" w14:textId="77777777" w:rsidR="00F14F58" w:rsidRPr="007613B3" w:rsidRDefault="00F14F58" w:rsidP="00F14F58">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7A6F981F" w14:textId="77777777" w:rsidR="00F14F58" w:rsidRDefault="00F14F58" w:rsidP="00F14F58">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262BDFA4" w14:textId="77777777" w:rsidR="00F14F58" w:rsidRDefault="00F14F58" w:rsidP="00F14F58">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A3A6F">
              <w:rPr>
                <w:rFonts w:ascii="Calibri" w:eastAsia="Arial Unicode MS" w:hAnsi="Calibri" w:cs="Calibri"/>
                <w:color w:val="auto"/>
                <w:lang w:val="en-AU"/>
              </w:rPr>
            </w:r>
            <w:r w:rsidR="00DA3A6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55DED5C8" w14:textId="77777777" w:rsidR="00F14F58" w:rsidRDefault="00F14F58" w:rsidP="00F14F58">
            <w:pPr>
              <w:spacing w:before="60" w:after="60" w:line="240" w:lineRule="auto"/>
              <w:rPr>
                <w:rFonts w:ascii="Calibri" w:eastAsia="Arial Unicode MS" w:hAnsi="Calibri" w:cs="Calibri"/>
                <w:color w:val="auto"/>
                <w:lang w:val="en-AU"/>
              </w:rPr>
            </w:pPr>
          </w:p>
        </w:tc>
      </w:tr>
    </w:tbl>
    <w:p w14:paraId="618A9325" w14:textId="7F9669CA" w:rsidR="00FF2CC7" w:rsidRDefault="00FF2CC7" w:rsidP="002048DB">
      <w:pPr>
        <w:rPr>
          <w:rFonts w:ascii="Calibri" w:hAnsi="Calibri" w:cs="Calibri"/>
          <w:b/>
          <w:bCs/>
          <w:sz w:val="24"/>
          <w:szCs w:val="24"/>
          <w:u w:val="single"/>
        </w:rPr>
      </w:pPr>
    </w:p>
    <w:p w14:paraId="486557A1" w14:textId="77777777" w:rsidR="00522604" w:rsidRPr="00B63E76" w:rsidRDefault="00522604" w:rsidP="002048DB">
      <w:pPr>
        <w:rPr>
          <w:rFonts w:ascii="Calibri" w:hAnsi="Calibri" w:cs="Calibri"/>
          <w:b/>
          <w:bCs/>
          <w:sz w:val="24"/>
          <w:szCs w:val="24"/>
          <w:u w:val="single"/>
        </w:rPr>
      </w:pPr>
    </w:p>
    <w:p w14:paraId="6A9C38E1" w14:textId="77777777" w:rsidR="007613B3" w:rsidRPr="007613B3" w:rsidRDefault="007613B3" w:rsidP="00C34C2B">
      <w:pPr>
        <w:spacing w:before="120" w:after="200"/>
        <w:rPr>
          <w:rFonts w:ascii="Calibri" w:eastAsia="Arial Unicode MS" w:hAnsi="Calibri" w:cs="Calibri"/>
        </w:rPr>
      </w:pPr>
    </w:p>
    <w:sectPr w:rsidR="007613B3" w:rsidRPr="007613B3"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C1987" w14:textId="77777777" w:rsidR="00DA3A6F" w:rsidRDefault="00DA3A6F" w:rsidP="000C3710">
      <w:r>
        <w:separator/>
      </w:r>
    </w:p>
  </w:endnote>
  <w:endnote w:type="continuationSeparator" w:id="0">
    <w:p w14:paraId="4FDFAFBB" w14:textId="77777777" w:rsidR="00DA3A6F" w:rsidRDefault="00DA3A6F"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85A19" w14:textId="77777777" w:rsidR="00DA3A6F" w:rsidRDefault="00DA3A6F" w:rsidP="000C3710">
      <w:r>
        <w:separator/>
      </w:r>
    </w:p>
  </w:footnote>
  <w:footnote w:type="continuationSeparator" w:id="0">
    <w:p w14:paraId="1FA2A289" w14:textId="77777777" w:rsidR="00DA3A6F" w:rsidRDefault="00DA3A6F"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EAE17C"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A60C21"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4107622"/>
    <w:multiLevelType w:val="multilevel"/>
    <w:tmpl w:val="6EC86E08"/>
    <w:lvl w:ilvl="0">
      <w:start w:val="1"/>
      <w:numFmt w:val="bullet"/>
      <w:lvlText w:val=""/>
      <w:lvlJc w:val="left"/>
      <w:pPr>
        <w:tabs>
          <w:tab w:val="num" w:pos="720"/>
        </w:tabs>
        <w:ind w:left="720" w:hanging="360"/>
      </w:pPr>
      <w:rPr>
        <w:rFonts w:ascii="Wingdings" w:hAnsi="Wingdings" w:hint="default"/>
        <w:sz w:val="20"/>
      </w:rPr>
    </w:lvl>
    <w:lvl w:ilvl="1">
      <w:start w:val="6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BF6C0D"/>
    <w:multiLevelType w:val="hybridMultilevel"/>
    <w:tmpl w:val="0AB042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55A10"/>
    <w:multiLevelType w:val="multilevel"/>
    <w:tmpl w:val="DEB2E4F0"/>
    <w:lvl w:ilvl="0">
      <w:start w:val="1"/>
      <w:numFmt w:val="bullet"/>
      <w:lvlText w:val=""/>
      <w:lvlJc w:val="left"/>
      <w:pPr>
        <w:tabs>
          <w:tab w:val="num" w:pos="720"/>
        </w:tabs>
        <w:ind w:left="720" w:hanging="360"/>
      </w:pPr>
      <w:rPr>
        <w:rFonts w:ascii="Wingdings" w:hAnsi="Wingdings" w:hint="default"/>
        <w:sz w:val="20"/>
      </w:rPr>
    </w:lvl>
    <w:lvl w:ilvl="1">
      <w:start w:val="6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2B1272"/>
    <w:multiLevelType w:val="hybridMultilevel"/>
    <w:tmpl w:val="5002E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63197C"/>
    <w:multiLevelType w:val="hybridMultilevel"/>
    <w:tmpl w:val="CD84E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33E45"/>
    <w:multiLevelType w:val="hybridMultilevel"/>
    <w:tmpl w:val="4C908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BC102A"/>
    <w:multiLevelType w:val="hybridMultilevel"/>
    <w:tmpl w:val="7A1AC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460622"/>
    <w:multiLevelType w:val="hybridMultilevel"/>
    <w:tmpl w:val="C7465FF2"/>
    <w:lvl w:ilvl="0" w:tplc="0409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5511D"/>
    <w:multiLevelType w:val="hybridMultilevel"/>
    <w:tmpl w:val="35988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7B0E63"/>
    <w:multiLevelType w:val="hybridMultilevel"/>
    <w:tmpl w:val="3E76B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527AC"/>
    <w:multiLevelType w:val="hybridMultilevel"/>
    <w:tmpl w:val="ECFC1EBC"/>
    <w:lvl w:ilvl="0" w:tplc="E98EA2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52259"/>
    <w:multiLevelType w:val="hybridMultilevel"/>
    <w:tmpl w:val="D7849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0"/>
  </w:num>
  <w:num w:numId="4">
    <w:abstractNumId w:val="15"/>
  </w:num>
  <w:num w:numId="5">
    <w:abstractNumId w:val="14"/>
  </w:num>
  <w:num w:numId="6">
    <w:abstractNumId w:val="21"/>
  </w:num>
  <w:num w:numId="7">
    <w:abstractNumId w:val="29"/>
  </w:num>
  <w:num w:numId="8">
    <w:abstractNumId w:val="30"/>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5"/>
  </w:num>
  <w:num w:numId="11">
    <w:abstractNumId w:val="24"/>
  </w:num>
  <w:num w:numId="12">
    <w:abstractNumId w:val="3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8"/>
  </w:num>
  <w:num w:numId="26">
    <w:abstractNumId w:val="19"/>
  </w:num>
  <w:num w:numId="27">
    <w:abstractNumId w:val="12"/>
  </w:num>
  <w:num w:numId="28">
    <w:abstractNumId w:val="16"/>
  </w:num>
  <w:num w:numId="29">
    <w:abstractNumId w:val="18"/>
  </w:num>
  <w:num w:numId="30">
    <w:abstractNumId w:val="23"/>
  </w:num>
  <w:num w:numId="31">
    <w:abstractNumId w:val="13"/>
  </w:num>
  <w:num w:numId="32">
    <w:abstractNumId w:val="27"/>
  </w:num>
  <w:num w:numId="33">
    <w:abstractNumId w:val="35"/>
  </w:num>
  <w:num w:numId="34">
    <w:abstractNumId w:val="34"/>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4530"/>
    <w:rsid w:val="00025F29"/>
    <w:rsid w:val="00030834"/>
    <w:rsid w:val="00030BAD"/>
    <w:rsid w:val="000310DE"/>
    <w:rsid w:val="000415E9"/>
    <w:rsid w:val="000419EE"/>
    <w:rsid w:val="00042383"/>
    <w:rsid w:val="0004433C"/>
    <w:rsid w:val="00056A18"/>
    <w:rsid w:val="000576DC"/>
    <w:rsid w:val="00066CAF"/>
    <w:rsid w:val="00071EBD"/>
    <w:rsid w:val="00076437"/>
    <w:rsid w:val="00084B42"/>
    <w:rsid w:val="00086DA4"/>
    <w:rsid w:val="00096574"/>
    <w:rsid w:val="000A7045"/>
    <w:rsid w:val="000B5829"/>
    <w:rsid w:val="000C3710"/>
    <w:rsid w:val="000C61F2"/>
    <w:rsid w:val="000D618B"/>
    <w:rsid w:val="000D6CA1"/>
    <w:rsid w:val="000E1755"/>
    <w:rsid w:val="000E1FCA"/>
    <w:rsid w:val="000E3253"/>
    <w:rsid w:val="000E375F"/>
    <w:rsid w:val="000E414F"/>
    <w:rsid w:val="000E4D76"/>
    <w:rsid w:val="000F6440"/>
    <w:rsid w:val="000F68F8"/>
    <w:rsid w:val="00107B7A"/>
    <w:rsid w:val="00110E67"/>
    <w:rsid w:val="00112DEE"/>
    <w:rsid w:val="00125048"/>
    <w:rsid w:val="001555CD"/>
    <w:rsid w:val="00155AA4"/>
    <w:rsid w:val="0015757A"/>
    <w:rsid w:val="001637C2"/>
    <w:rsid w:val="00164C95"/>
    <w:rsid w:val="00165C9B"/>
    <w:rsid w:val="00175E9C"/>
    <w:rsid w:val="00176711"/>
    <w:rsid w:val="00182B65"/>
    <w:rsid w:val="00182C1C"/>
    <w:rsid w:val="00183FA9"/>
    <w:rsid w:val="0018526D"/>
    <w:rsid w:val="00186E13"/>
    <w:rsid w:val="001A3FB5"/>
    <w:rsid w:val="001A4B63"/>
    <w:rsid w:val="001A5A1C"/>
    <w:rsid w:val="001B190C"/>
    <w:rsid w:val="001B5D66"/>
    <w:rsid w:val="001D0436"/>
    <w:rsid w:val="001E112E"/>
    <w:rsid w:val="001E3D65"/>
    <w:rsid w:val="001E7405"/>
    <w:rsid w:val="001F651F"/>
    <w:rsid w:val="002048DB"/>
    <w:rsid w:val="002072D5"/>
    <w:rsid w:val="00213A86"/>
    <w:rsid w:val="00215E5E"/>
    <w:rsid w:val="0022123C"/>
    <w:rsid w:val="00222F56"/>
    <w:rsid w:val="00234AD4"/>
    <w:rsid w:val="00243774"/>
    <w:rsid w:val="002460BE"/>
    <w:rsid w:val="00247353"/>
    <w:rsid w:val="00254EB9"/>
    <w:rsid w:val="00257BD7"/>
    <w:rsid w:val="002659AE"/>
    <w:rsid w:val="002662A3"/>
    <w:rsid w:val="0026644B"/>
    <w:rsid w:val="002731C6"/>
    <w:rsid w:val="002756C3"/>
    <w:rsid w:val="00276597"/>
    <w:rsid w:val="00285811"/>
    <w:rsid w:val="00293255"/>
    <w:rsid w:val="002952E4"/>
    <w:rsid w:val="002A4EA6"/>
    <w:rsid w:val="002B2A26"/>
    <w:rsid w:val="002B6832"/>
    <w:rsid w:val="002B7647"/>
    <w:rsid w:val="002B7E57"/>
    <w:rsid w:val="002C435C"/>
    <w:rsid w:val="002C5AA6"/>
    <w:rsid w:val="002D0C54"/>
    <w:rsid w:val="002D16CD"/>
    <w:rsid w:val="002D38E9"/>
    <w:rsid w:val="002D4DEF"/>
    <w:rsid w:val="002D62E4"/>
    <w:rsid w:val="002D7D3A"/>
    <w:rsid w:val="002E443D"/>
    <w:rsid w:val="002E7EAA"/>
    <w:rsid w:val="002F2367"/>
    <w:rsid w:val="00306E1E"/>
    <w:rsid w:val="003117C2"/>
    <w:rsid w:val="003173D4"/>
    <w:rsid w:val="00320886"/>
    <w:rsid w:val="0032151B"/>
    <w:rsid w:val="003317E6"/>
    <w:rsid w:val="0034354C"/>
    <w:rsid w:val="00353547"/>
    <w:rsid w:val="00357B9E"/>
    <w:rsid w:val="00361834"/>
    <w:rsid w:val="003655B8"/>
    <w:rsid w:val="0037152D"/>
    <w:rsid w:val="0037242D"/>
    <w:rsid w:val="00372E4B"/>
    <w:rsid w:val="00373453"/>
    <w:rsid w:val="0037425C"/>
    <w:rsid w:val="00377BF5"/>
    <w:rsid w:val="00377E69"/>
    <w:rsid w:val="0038200F"/>
    <w:rsid w:val="00396BF0"/>
    <w:rsid w:val="003A00B6"/>
    <w:rsid w:val="003B3F83"/>
    <w:rsid w:val="003B52AA"/>
    <w:rsid w:val="003B7251"/>
    <w:rsid w:val="003C1BC1"/>
    <w:rsid w:val="003C4672"/>
    <w:rsid w:val="003C48FF"/>
    <w:rsid w:val="003C62B2"/>
    <w:rsid w:val="003D04D3"/>
    <w:rsid w:val="003D0F6C"/>
    <w:rsid w:val="003D2BCF"/>
    <w:rsid w:val="003D42F1"/>
    <w:rsid w:val="003D468A"/>
    <w:rsid w:val="003E4220"/>
    <w:rsid w:val="003E7E75"/>
    <w:rsid w:val="003F4F7D"/>
    <w:rsid w:val="00406C74"/>
    <w:rsid w:val="00407258"/>
    <w:rsid w:val="00407853"/>
    <w:rsid w:val="00411244"/>
    <w:rsid w:val="00411F46"/>
    <w:rsid w:val="004132F5"/>
    <w:rsid w:val="004160E9"/>
    <w:rsid w:val="00416141"/>
    <w:rsid w:val="00422305"/>
    <w:rsid w:val="0043496B"/>
    <w:rsid w:val="00435AB0"/>
    <w:rsid w:val="0043646D"/>
    <w:rsid w:val="004369F0"/>
    <w:rsid w:val="004429D6"/>
    <w:rsid w:val="00445CFF"/>
    <w:rsid w:val="00472BBD"/>
    <w:rsid w:val="004809D8"/>
    <w:rsid w:val="004816BB"/>
    <w:rsid w:val="00481D11"/>
    <w:rsid w:val="004922AA"/>
    <w:rsid w:val="004A4F1C"/>
    <w:rsid w:val="004A64C8"/>
    <w:rsid w:val="004A6CA6"/>
    <w:rsid w:val="004B276A"/>
    <w:rsid w:val="004B5D1D"/>
    <w:rsid w:val="004D08C1"/>
    <w:rsid w:val="004D2245"/>
    <w:rsid w:val="004D5D35"/>
    <w:rsid w:val="004E2187"/>
    <w:rsid w:val="004E2D0B"/>
    <w:rsid w:val="004E4695"/>
    <w:rsid w:val="004E67BE"/>
    <w:rsid w:val="004F1A27"/>
    <w:rsid w:val="004F3C8B"/>
    <w:rsid w:val="005032F9"/>
    <w:rsid w:val="005075C6"/>
    <w:rsid w:val="00511A6E"/>
    <w:rsid w:val="00522604"/>
    <w:rsid w:val="00523923"/>
    <w:rsid w:val="005246DC"/>
    <w:rsid w:val="0052723B"/>
    <w:rsid w:val="005356FF"/>
    <w:rsid w:val="00535B45"/>
    <w:rsid w:val="005367EA"/>
    <w:rsid w:val="00540145"/>
    <w:rsid w:val="00544027"/>
    <w:rsid w:val="00544A89"/>
    <w:rsid w:val="0054592E"/>
    <w:rsid w:val="00547F51"/>
    <w:rsid w:val="00574FCD"/>
    <w:rsid w:val="00576D70"/>
    <w:rsid w:val="00581779"/>
    <w:rsid w:val="00591246"/>
    <w:rsid w:val="0059671E"/>
    <w:rsid w:val="005A4DA3"/>
    <w:rsid w:val="005A643C"/>
    <w:rsid w:val="005B3739"/>
    <w:rsid w:val="005B5BA7"/>
    <w:rsid w:val="005D0BBF"/>
    <w:rsid w:val="005E369F"/>
    <w:rsid w:val="005E629A"/>
    <w:rsid w:val="005E6FE1"/>
    <w:rsid w:val="005F3AFC"/>
    <w:rsid w:val="006007DA"/>
    <w:rsid w:val="006131F7"/>
    <w:rsid w:val="00626681"/>
    <w:rsid w:val="00632D59"/>
    <w:rsid w:val="00633D9E"/>
    <w:rsid w:val="00641D8A"/>
    <w:rsid w:val="00653E0C"/>
    <w:rsid w:val="006579B7"/>
    <w:rsid w:val="00661BE1"/>
    <w:rsid w:val="006642C4"/>
    <w:rsid w:val="00666E7A"/>
    <w:rsid w:val="0067026E"/>
    <w:rsid w:val="00674FCB"/>
    <w:rsid w:val="0068655C"/>
    <w:rsid w:val="00687B9B"/>
    <w:rsid w:val="006907A6"/>
    <w:rsid w:val="006921D1"/>
    <w:rsid w:val="006968C1"/>
    <w:rsid w:val="006A55C0"/>
    <w:rsid w:val="006A5CFB"/>
    <w:rsid w:val="006B3463"/>
    <w:rsid w:val="006B4298"/>
    <w:rsid w:val="006B7F68"/>
    <w:rsid w:val="006C0546"/>
    <w:rsid w:val="006C5703"/>
    <w:rsid w:val="006C688F"/>
    <w:rsid w:val="006C7D5A"/>
    <w:rsid w:val="006D1BD7"/>
    <w:rsid w:val="006D635E"/>
    <w:rsid w:val="006D6C69"/>
    <w:rsid w:val="006E3839"/>
    <w:rsid w:val="006F3357"/>
    <w:rsid w:val="007001DA"/>
    <w:rsid w:val="0070263C"/>
    <w:rsid w:val="00711C06"/>
    <w:rsid w:val="0071297F"/>
    <w:rsid w:val="00712C71"/>
    <w:rsid w:val="0072357F"/>
    <w:rsid w:val="00723EC6"/>
    <w:rsid w:val="00741BBF"/>
    <w:rsid w:val="0074341D"/>
    <w:rsid w:val="00746FD9"/>
    <w:rsid w:val="0075490C"/>
    <w:rsid w:val="00756755"/>
    <w:rsid w:val="007609DE"/>
    <w:rsid w:val="007613B3"/>
    <w:rsid w:val="007702B1"/>
    <w:rsid w:val="00774438"/>
    <w:rsid w:val="007826F8"/>
    <w:rsid w:val="007959D4"/>
    <w:rsid w:val="007B6BF8"/>
    <w:rsid w:val="007C7F78"/>
    <w:rsid w:val="007D5968"/>
    <w:rsid w:val="007D7750"/>
    <w:rsid w:val="007E4ABD"/>
    <w:rsid w:val="007E6B5B"/>
    <w:rsid w:val="007E73F5"/>
    <w:rsid w:val="00801C3E"/>
    <w:rsid w:val="008035A9"/>
    <w:rsid w:val="0080603F"/>
    <w:rsid w:val="00806AF3"/>
    <w:rsid w:val="00812FFA"/>
    <w:rsid w:val="00813D3A"/>
    <w:rsid w:val="0084111C"/>
    <w:rsid w:val="00845125"/>
    <w:rsid w:val="00861563"/>
    <w:rsid w:val="00873C12"/>
    <w:rsid w:val="00883D70"/>
    <w:rsid w:val="00884F21"/>
    <w:rsid w:val="008875CD"/>
    <w:rsid w:val="00895B06"/>
    <w:rsid w:val="008B0A0B"/>
    <w:rsid w:val="008B3BDE"/>
    <w:rsid w:val="008B65F6"/>
    <w:rsid w:val="008C5761"/>
    <w:rsid w:val="008D79DD"/>
    <w:rsid w:val="008E375E"/>
    <w:rsid w:val="008E7C82"/>
    <w:rsid w:val="0090065A"/>
    <w:rsid w:val="00903E9D"/>
    <w:rsid w:val="00905953"/>
    <w:rsid w:val="00906E2A"/>
    <w:rsid w:val="0091382D"/>
    <w:rsid w:val="009203FF"/>
    <w:rsid w:val="00922852"/>
    <w:rsid w:val="009247BD"/>
    <w:rsid w:val="00944C8C"/>
    <w:rsid w:val="009512AC"/>
    <w:rsid w:val="0095309F"/>
    <w:rsid w:val="00960715"/>
    <w:rsid w:val="0096249B"/>
    <w:rsid w:val="00962F0B"/>
    <w:rsid w:val="009637FF"/>
    <w:rsid w:val="00963C52"/>
    <w:rsid w:val="009657AF"/>
    <w:rsid w:val="00970EBD"/>
    <w:rsid w:val="00975550"/>
    <w:rsid w:val="00976F3D"/>
    <w:rsid w:val="00983D6E"/>
    <w:rsid w:val="00990912"/>
    <w:rsid w:val="009A012F"/>
    <w:rsid w:val="009A1C63"/>
    <w:rsid w:val="009B3C84"/>
    <w:rsid w:val="009B6BAC"/>
    <w:rsid w:val="009B73C1"/>
    <w:rsid w:val="009D5ED5"/>
    <w:rsid w:val="009E4AA9"/>
    <w:rsid w:val="009E758D"/>
    <w:rsid w:val="009F7376"/>
    <w:rsid w:val="00A0375D"/>
    <w:rsid w:val="00A11FA1"/>
    <w:rsid w:val="00A127F7"/>
    <w:rsid w:val="00A15D12"/>
    <w:rsid w:val="00A16D1B"/>
    <w:rsid w:val="00A20EE6"/>
    <w:rsid w:val="00A3477D"/>
    <w:rsid w:val="00A56EC7"/>
    <w:rsid w:val="00A67209"/>
    <w:rsid w:val="00A6756A"/>
    <w:rsid w:val="00A71AB3"/>
    <w:rsid w:val="00A72CE3"/>
    <w:rsid w:val="00A73543"/>
    <w:rsid w:val="00A7722C"/>
    <w:rsid w:val="00A80C16"/>
    <w:rsid w:val="00A8354D"/>
    <w:rsid w:val="00A94248"/>
    <w:rsid w:val="00AC083A"/>
    <w:rsid w:val="00AC78AC"/>
    <w:rsid w:val="00AE2C2C"/>
    <w:rsid w:val="00AE3B13"/>
    <w:rsid w:val="00AE48C4"/>
    <w:rsid w:val="00AF077A"/>
    <w:rsid w:val="00AF3B0E"/>
    <w:rsid w:val="00B02636"/>
    <w:rsid w:val="00B05ABF"/>
    <w:rsid w:val="00B14BE6"/>
    <w:rsid w:val="00B22FF0"/>
    <w:rsid w:val="00B25923"/>
    <w:rsid w:val="00B35723"/>
    <w:rsid w:val="00B37562"/>
    <w:rsid w:val="00B4127F"/>
    <w:rsid w:val="00B415E7"/>
    <w:rsid w:val="00B43CA8"/>
    <w:rsid w:val="00B5070E"/>
    <w:rsid w:val="00B51127"/>
    <w:rsid w:val="00B63E76"/>
    <w:rsid w:val="00B66698"/>
    <w:rsid w:val="00B677D8"/>
    <w:rsid w:val="00B814B7"/>
    <w:rsid w:val="00B84938"/>
    <w:rsid w:val="00B961F7"/>
    <w:rsid w:val="00B96CAE"/>
    <w:rsid w:val="00BA2526"/>
    <w:rsid w:val="00BB1006"/>
    <w:rsid w:val="00BB4A6F"/>
    <w:rsid w:val="00BC0092"/>
    <w:rsid w:val="00BC06E9"/>
    <w:rsid w:val="00BE73DF"/>
    <w:rsid w:val="00BF1829"/>
    <w:rsid w:val="00BF605F"/>
    <w:rsid w:val="00C046B2"/>
    <w:rsid w:val="00C25DC0"/>
    <w:rsid w:val="00C32384"/>
    <w:rsid w:val="00C34C2B"/>
    <w:rsid w:val="00C401E7"/>
    <w:rsid w:val="00C4072F"/>
    <w:rsid w:val="00C40B56"/>
    <w:rsid w:val="00C448ED"/>
    <w:rsid w:val="00C4731E"/>
    <w:rsid w:val="00C5203F"/>
    <w:rsid w:val="00C62EFB"/>
    <w:rsid w:val="00C67879"/>
    <w:rsid w:val="00C67C11"/>
    <w:rsid w:val="00C756A2"/>
    <w:rsid w:val="00C76DCD"/>
    <w:rsid w:val="00C77893"/>
    <w:rsid w:val="00C77B32"/>
    <w:rsid w:val="00C92726"/>
    <w:rsid w:val="00C972F8"/>
    <w:rsid w:val="00CA489A"/>
    <w:rsid w:val="00CA5015"/>
    <w:rsid w:val="00CB267A"/>
    <w:rsid w:val="00CB3A47"/>
    <w:rsid w:val="00CB69A0"/>
    <w:rsid w:val="00CD3149"/>
    <w:rsid w:val="00CD3E5C"/>
    <w:rsid w:val="00CD4CA1"/>
    <w:rsid w:val="00CE3842"/>
    <w:rsid w:val="00CE46A7"/>
    <w:rsid w:val="00CE769B"/>
    <w:rsid w:val="00CF1219"/>
    <w:rsid w:val="00D03797"/>
    <w:rsid w:val="00D042EF"/>
    <w:rsid w:val="00D05933"/>
    <w:rsid w:val="00D133C8"/>
    <w:rsid w:val="00D22ED0"/>
    <w:rsid w:val="00D24E21"/>
    <w:rsid w:val="00D26336"/>
    <w:rsid w:val="00D3303B"/>
    <w:rsid w:val="00D35998"/>
    <w:rsid w:val="00D460BE"/>
    <w:rsid w:val="00D5258E"/>
    <w:rsid w:val="00D541BC"/>
    <w:rsid w:val="00D61A9A"/>
    <w:rsid w:val="00D64897"/>
    <w:rsid w:val="00D65499"/>
    <w:rsid w:val="00D67207"/>
    <w:rsid w:val="00D675C4"/>
    <w:rsid w:val="00D72E5E"/>
    <w:rsid w:val="00D82E1E"/>
    <w:rsid w:val="00D830AD"/>
    <w:rsid w:val="00D84097"/>
    <w:rsid w:val="00D86D91"/>
    <w:rsid w:val="00D92AE1"/>
    <w:rsid w:val="00DA3A6F"/>
    <w:rsid w:val="00DA4187"/>
    <w:rsid w:val="00DE40E3"/>
    <w:rsid w:val="00DF0D8D"/>
    <w:rsid w:val="00E00B53"/>
    <w:rsid w:val="00E13740"/>
    <w:rsid w:val="00E2153C"/>
    <w:rsid w:val="00E22EB5"/>
    <w:rsid w:val="00E24709"/>
    <w:rsid w:val="00E311AD"/>
    <w:rsid w:val="00E42732"/>
    <w:rsid w:val="00E46E75"/>
    <w:rsid w:val="00E5163F"/>
    <w:rsid w:val="00E53364"/>
    <w:rsid w:val="00E54A5D"/>
    <w:rsid w:val="00E55B2F"/>
    <w:rsid w:val="00E56810"/>
    <w:rsid w:val="00E612AA"/>
    <w:rsid w:val="00E61D56"/>
    <w:rsid w:val="00E62ED6"/>
    <w:rsid w:val="00E630F3"/>
    <w:rsid w:val="00E654DC"/>
    <w:rsid w:val="00E74EB8"/>
    <w:rsid w:val="00E82A93"/>
    <w:rsid w:val="00E90AB1"/>
    <w:rsid w:val="00E92E7A"/>
    <w:rsid w:val="00EA6D4D"/>
    <w:rsid w:val="00EB2524"/>
    <w:rsid w:val="00EB25F2"/>
    <w:rsid w:val="00EB6CBA"/>
    <w:rsid w:val="00EB76A6"/>
    <w:rsid w:val="00EC5E3A"/>
    <w:rsid w:val="00EE2C03"/>
    <w:rsid w:val="00EE3A60"/>
    <w:rsid w:val="00EE7747"/>
    <w:rsid w:val="00EF5A83"/>
    <w:rsid w:val="00EF709A"/>
    <w:rsid w:val="00F027D0"/>
    <w:rsid w:val="00F14F58"/>
    <w:rsid w:val="00F2296D"/>
    <w:rsid w:val="00F2300E"/>
    <w:rsid w:val="00F24528"/>
    <w:rsid w:val="00F246C3"/>
    <w:rsid w:val="00F31886"/>
    <w:rsid w:val="00F349B0"/>
    <w:rsid w:val="00F35E74"/>
    <w:rsid w:val="00F45AA8"/>
    <w:rsid w:val="00F509A4"/>
    <w:rsid w:val="00F67C43"/>
    <w:rsid w:val="00F732E5"/>
    <w:rsid w:val="00F7484C"/>
    <w:rsid w:val="00F77E4B"/>
    <w:rsid w:val="00F834BF"/>
    <w:rsid w:val="00F8439C"/>
    <w:rsid w:val="00F90618"/>
    <w:rsid w:val="00F97B64"/>
    <w:rsid w:val="00FA3778"/>
    <w:rsid w:val="00FA4222"/>
    <w:rsid w:val="00FA55CB"/>
    <w:rsid w:val="00FA6F38"/>
    <w:rsid w:val="00FB6F21"/>
    <w:rsid w:val="00FC1ABD"/>
    <w:rsid w:val="00FD094E"/>
    <w:rsid w:val="00FD39E6"/>
    <w:rsid w:val="00FE1530"/>
    <w:rsid w:val="00FE3848"/>
    <w:rsid w:val="00FE46C7"/>
    <w:rsid w:val="00FF2CC7"/>
    <w:rsid w:val="00FF45D1"/>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Square,Bullet List,FooterText,List Paragraph1,Colorful List Accent 1,numbered,Paragraphe de liste1,列出段落,列出段落1,Bulletr List Paragraph,List Paragraph2,List Paragraph21,Párrafo de lista1,Parágrafo da Lista1,リスト段落1,Plan,Dot pt,Ha,Bullets"/>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Square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084B42"/>
    <w:rPr>
      <w:rFonts w:ascii="Arial" w:eastAsia="MS PGothic" w:hAnsi="Arial"/>
      <w:color w:val="000000"/>
    </w:rPr>
  </w:style>
  <w:style w:type="paragraph" w:styleId="BodyText">
    <w:name w:val="Body Text"/>
    <w:basedOn w:val="Normal"/>
    <w:link w:val="BodyTextChar"/>
    <w:semiHidden/>
    <w:unhideWhenUsed/>
    <w:rsid w:val="00084B42"/>
    <w:pPr>
      <w:spacing w:after="120"/>
    </w:pPr>
  </w:style>
  <w:style w:type="character" w:customStyle="1" w:styleId="BodyTextChar">
    <w:name w:val="Body Text Char"/>
    <w:basedOn w:val="DefaultParagraphFont"/>
    <w:link w:val="BodyText"/>
    <w:semiHidden/>
    <w:rsid w:val="00084B42"/>
    <w:rPr>
      <w:rFonts w:ascii="Arial" w:eastAsia="MS PGothic" w:hAnsi="Arial"/>
      <w:color w:val="000000"/>
    </w:rPr>
  </w:style>
  <w:style w:type="paragraph" w:styleId="Title">
    <w:name w:val="Title"/>
    <w:basedOn w:val="Normal"/>
    <w:link w:val="TitleChar"/>
    <w:qFormat/>
    <w:rsid w:val="00641D8A"/>
    <w:pPr>
      <w:widowControl w:val="0"/>
      <w:spacing w:line="240" w:lineRule="auto"/>
      <w:jc w:val="center"/>
    </w:pPr>
    <w:rPr>
      <w:rFonts w:ascii="Times New Roman" w:eastAsia="Times New Roman" w:hAnsi="Times New Roman"/>
      <w:snapToGrid w:val="0"/>
      <w:color w:val="auto"/>
      <w:sz w:val="24"/>
    </w:rPr>
  </w:style>
  <w:style w:type="character" w:customStyle="1" w:styleId="TitleChar">
    <w:name w:val="Title Char"/>
    <w:basedOn w:val="DefaultParagraphFont"/>
    <w:link w:val="Title"/>
    <w:rsid w:val="00641D8A"/>
    <w:rPr>
      <w:snapToGrid w:val="0"/>
      <w:sz w:val="24"/>
    </w:rPr>
  </w:style>
  <w:style w:type="character" w:styleId="CommentReference">
    <w:name w:val="annotation reference"/>
    <w:basedOn w:val="DefaultParagraphFont"/>
    <w:semiHidden/>
    <w:unhideWhenUsed/>
    <w:rsid w:val="00687B9B"/>
    <w:rPr>
      <w:sz w:val="16"/>
      <w:szCs w:val="16"/>
    </w:rPr>
  </w:style>
  <w:style w:type="paragraph" w:styleId="CommentSubject">
    <w:name w:val="annotation subject"/>
    <w:basedOn w:val="CommentText"/>
    <w:next w:val="CommentText"/>
    <w:link w:val="CommentSubjectChar"/>
    <w:semiHidden/>
    <w:unhideWhenUsed/>
    <w:rsid w:val="00687B9B"/>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87B9B"/>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icef.org/emplo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1</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Fatouma Salem</cp:lastModifiedBy>
  <cp:revision>3</cp:revision>
  <cp:lastPrinted>2021-09-08T08:42:00Z</cp:lastPrinted>
  <dcterms:created xsi:type="dcterms:W3CDTF">2021-09-09T05:41:00Z</dcterms:created>
  <dcterms:modified xsi:type="dcterms:W3CDTF">2021-09-09T05:43:00Z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