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37E4B" w14:textId="77777777" w:rsidR="00112FC3" w:rsidRDefault="00C50ACE" w:rsidP="00167073">
      <w:pPr>
        <w:pStyle w:val="Header"/>
        <w:rPr>
          <w:sz w:val="22"/>
          <w:szCs w:val="22"/>
        </w:rPr>
      </w:pPr>
      <w:r w:rsidRPr="00167073">
        <w:rPr>
          <w:noProof/>
          <w:sz w:val="22"/>
          <w:szCs w:val="22"/>
        </w:rPr>
        <w:drawing>
          <wp:inline distT="0" distB="0" distL="0" distR="0" wp14:anchorId="4F338276" wp14:editId="0620BD8A">
            <wp:extent cx="1238250" cy="311150"/>
            <wp:effectExtent l="0" t="0" r="0" b="0"/>
            <wp:docPr id="4" name="Picture 4"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11150"/>
                    </a:xfrm>
                    <a:prstGeom prst="rect">
                      <a:avLst/>
                    </a:prstGeom>
                    <a:noFill/>
                    <a:ln>
                      <a:noFill/>
                    </a:ln>
                  </pic:spPr>
                </pic:pic>
              </a:graphicData>
            </a:graphic>
          </wp:inline>
        </w:drawing>
      </w:r>
      <w:r w:rsidRPr="00167073">
        <w:rPr>
          <w:sz w:val="22"/>
          <w:szCs w:val="22"/>
        </w:rPr>
        <w:t xml:space="preserve">       </w:t>
      </w:r>
    </w:p>
    <w:p w14:paraId="69011EEA" w14:textId="63EE5799" w:rsidR="00C50ACE" w:rsidRPr="00167073" w:rsidRDefault="00C50ACE" w:rsidP="00167073">
      <w:pPr>
        <w:pStyle w:val="Header"/>
        <w:rPr>
          <w:sz w:val="22"/>
          <w:szCs w:val="22"/>
        </w:rPr>
      </w:pPr>
      <w:r w:rsidRPr="00167073">
        <w:rPr>
          <w:sz w:val="22"/>
          <w:szCs w:val="22"/>
        </w:rPr>
        <w:t xml:space="preserve">                                                                                                       </w:t>
      </w:r>
    </w:p>
    <w:p w14:paraId="6B0BE3A7" w14:textId="652B1323" w:rsidR="00AC0C70" w:rsidRPr="00167073" w:rsidRDefault="00C50ACE" w:rsidP="00167073">
      <w:pPr>
        <w:shd w:val="clear" w:color="auto" w:fill="F3F3F3"/>
        <w:jc w:val="center"/>
        <w:rPr>
          <w:b/>
          <w:sz w:val="22"/>
          <w:szCs w:val="22"/>
          <w:lang w:val="fr-FR"/>
        </w:rPr>
      </w:pPr>
      <w:r w:rsidRPr="00167073">
        <w:rPr>
          <w:rStyle w:val="UNPakistan-Highlightedtext"/>
          <w:color w:val="auto"/>
          <w:sz w:val="22"/>
          <w:szCs w:val="22"/>
          <w:lang w:val="fr-FR"/>
        </w:rPr>
        <w:t>Ter</w:t>
      </w:r>
      <w:r w:rsidR="002178E6" w:rsidRPr="00167073">
        <w:rPr>
          <w:rStyle w:val="UNPakistan-Highlightedtext"/>
          <w:color w:val="auto"/>
          <w:sz w:val="22"/>
          <w:szCs w:val="22"/>
          <w:lang w:val="fr-FR"/>
        </w:rPr>
        <w:t xml:space="preserve">mes de </w:t>
      </w:r>
      <w:r w:rsidRPr="00167073">
        <w:rPr>
          <w:rStyle w:val="UNPakistan-Highlightedtext"/>
          <w:color w:val="auto"/>
          <w:sz w:val="22"/>
          <w:szCs w:val="22"/>
          <w:lang w:val="fr-FR"/>
        </w:rPr>
        <w:t>Reference (</w:t>
      </w:r>
      <w:proofErr w:type="spellStart"/>
      <w:r w:rsidRPr="00167073">
        <w:rPr>
          <w:rStyle w:val="UNPakistan-Highlightedtext"/>
          <w:color w:val="auto"/>
          <w:sz w:val="22"/>
          <w:szCs w:val="22"/>
          <w:lang w:val="fr-FR"/>
        </w:rPr>
        <w:t>ToR</w:t>
      </w:r>
      <w:proofErr w:type="spellEnd"/>
      <w:r w:rsidRPr="00167073">
        <w:rPr>
          <w:rStyle w:val="UNPakistan-Highlightedtext"/>
          <w:color w:val="auto"/>
          <w:sz w:val="22"/>
          <w:szCs w:val="22"/>
          <w:lang w:val="fr-FR"/>
        </w:rPr>
        <w:t xml:space="preserve">) </w:t>
      </w:r>
      <w:r w:rsidR="002178E6" w:rsidRPr="00167073">
        <w:rPr>
          <w:rStyle w:val="UNPakistan-Highlightedtext"/>
          <w:color w:val="auto"/>
          <w:sz w:val="22"/>
          <w:szCs w:val="22"/>
          <w:lang w:val="fr-FR"/>
        </w:rPr>
        <w:t xml:space="preserve">d’un consultant </w:t>
      </w:r>
      <w:r w:rsidR="00112FC3" w:rsidRPr="009314BF">
        <w:rPr>
          <w:rFonts w:cs="Calibri"/>
          <w:b/>
          <w:bCs/>
          <w:lang w:val="fr-FR"/>
        </w:rPr>
        <w:t xml:space="preserve">un </w:t>
      </w:r>
      <w:r w:rsidR="00112FC3" w:rsidRPr="00112FC3">
        <w:rPr>
          <w:b/>
          <w:bCs/>
          <w:lang w:val="fr-FR"/>
        </w:rPr>
        <w:t>appui à l'élaboration d'un manuel sur les rôles et responsabilités du PEV et de la PCG dans le cadre de l'intégration des dépôts</w:t>
      </w:r>
      <w:r w:rsidR="00E34F8F" w:rsidRPr="00112FC3">
        <w:rPr>
          <w:rStyle w:val="UNPakistan-Highlightedtext"/>
          <w:b w:val="0"/>
          <w:bCs/>
          <w:color w:val="auto"/>
          <w:sz w:val="22"/>
          <w:szCs w:val="22"/>
          <w:lang w:val="fr-FR"/>
        </w:rPr>
        <w:t xml:space="preserve"> </w:t>
      </w:r>
      <w:r w:rsidR="00112FC3" w:rsidRPr="00112FC3">
        <w:rPr>
          <w:rStyle w:val="UNPakistan-Highlightedtext"/>
          <w:color w:val="auto"/>
          <w:sz w:val="22"/>
          <w:szCs w:val="22"/>
          <w:lang w:val="fr-FR"/>
        </w:rPr>
        <w:t>en</w:t>
      </w:r>
      <w:r w:rsidR="00112FC3">
        <w:rPr>
          <w:rStyle w:val="UNPakistan-Highlightedtext"/>
          <w:b w:val="0"/>
          <w:bCs/>
          <w:color w:val="auto"/>
          <w:sz w:val="22"/>
          <w:szCs w:val="22"/>
          <w:lang w:val="fr-FR"/>
        </w:rPr>
        <w:t xml:space="preserve"> </w:t>
      </w:r>
      <w:r w:rsidR="00BB1FCD" w:rsidRPr="00112FC3">
        <w:rPr>
          <w:rStyle w:val="UNPakistan-Highlightedtext"/>
          <w:color w:val="auto"/>
          <w:sz w:val="22"/>
          <w:szCs w:val="22"/>
          <w:lang w:val="fr-FR"/>
        </w:rPr>
        <w:t>République de Guinée</w:t>
      </w:r>
      <w:r w:rsidR="00BB1FCD" w:rsidRPr="00167073">
        <w:rPr>
          <w:rStyle w:val="UNPakistan-Highlightedtext"/>
          <w:color w:val="auto"/>
          <w:sz w:val="22"/>
          <w:szCs w:val="22"/>
          <w:lang w:val="fr-FR"/>
        </w:rPr>
        <w:t xml:space="preserve"> </w:t>
      </w:r>
    </w:p>
    <w:p w14:paraId="4229660B" w14:textId="77777777" w:rsidR="00AC0C70" w:rsidRPr="00167073" w:rsidRDefault="00AC0C70" w:rsidP="00167073">
      <w:pPr>
        <w:rPr>
          <w:b/>
          <w:sz w:val="22"/>
          <w:szCs w:val="22"/>
          <w:lang w:val="fr-FR"/>
        </w:rPr>
      </w:pPr>
      <w:r w:rsidRPr="00167073">
        <w:rPr>
          <w:noProof/>
          <w:sz w:val="22"/>
          <w:szCs w:val="22"/>
        </w:rPr>
        <mc:AlternateContent>
          <mc:Choice Requires="wps">
            <w:drawing>
              <wp:anchor distT="0" distB="0" distL="114300" distR="114300" simplePos="0" relativeHeight="251659264" behindDoc="0" locked="0" layoutInCell="1" allowOverlap="1" wp14:anchorId="3114145A" wp14:editId="6A5D8387">
                <wp:simplePos x="0" y="0"/>
                <wp:positionH relativeFrom="margin">
                  <wp:align>center</wp:align>
                </wp:positionH>
                <wp:positionV relativeFrom="paragraph">
                  <wp:posOffset>47625</wp:posOffset>
                </wp:positionV>
                <wp:extent cx="47625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D6CDC"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5pt" to="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Iw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s4f5ZJbA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">
                <w10:wrap anchorx="margin"/>
              </v:line>
            </w:pict>
          </mc:Fallback>
        </mc:AlternateContent>
      </w:r>
    </w:p>
    <w:p w14:paraId="493C8EE2" w14:textId="77777777" w:rsidR="00AC0C70" w:rsidRPr="00167073" w:rsidRDefault="00AC0C70" w:rsidP="00167073">
      <w:pPr>
        <w:rPr>
          <w:b/>
          <w:sz w:val="22"/>
          <w:szCs w:val="22"/>
          <w:lang w:val="fr-FR"/>
        </w:rPr>
      </w:pPr>
      <w:r w:rsidRPr="00167073">
        <w:rPr>
          <w:b/>
          <w:sz w:val="22"/>
          <w:szCs w:val="22"/>
          <w:lang w:val="fr-FR"/>
        </w:rPr>
        <w:t>Partie I :</w:t>
      </w:r>
      <w:r w:rsidRPr="00167073">
        <w:rPr>
          <w:b/>
          <w:sz w:val="22"/>
          <w:szCs w:val="22"/>
          <w:lang w:val="fr-FR"/>
        </w:rPr>
        <w:tab/>
      </w:r>
      <w:r w:rsidRPr="00167073">
        <w:rPr>
          <w:b/>
          <w:caps/>
          <w:sz w:val="22"/>
          <w:szCs w:val="22"/>
          <w:lang w:val="fr-FR"/>
        </w:rPr>
        <w:t>TERMES DE REFERENCE (TDRs)</w:t>
      </w:r>
    </w:p>
    <w:p w14:paraId="33425A9B" w14:textId="77777777" w:rsidR="00C50ACE" w:rsidRPr="00167073" w:rsidRDefault="00C50ACE" w:rsidP="00167073">
      <w:pPr>
        <w:pBdr>
          <w:bottom w:val="single" w:sz="12" w:space="5" w:color="auto"/>
        </w:pBdr>
        <w:rPr>
          <w:sz w:val="22"/>
          <w:szCs w:val="22"/>
          <w:lang w:val="fr-FR"/>
        </w:rPr>
      </w:pPr>
    </w:p>
    <w:p w14:paraId="139AB25F" w14:textId="77777777" w:rsidR="00C50ACE" w:rsidRPr="00167073" w:rsidRDefault="00C50ACE" w:rsidP="00167073">
      <w:pPr>
        <w:ind w:left="360"/>
        <w:jc w:val="both"/>
        <w:rPr>
          <w:sz w:val="22"/>
          <w:szCs w:val="22"/>
          <w:lang w:val="fr-FR"/>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930"/>
      </w:tblGrid>
      <w:tr w:rsidR="008A06C4" w:rsidRPr="005E2C11" w14:paraId="57884EE2" w14:textId="77777777" w:rsidTr="009B35FB">
        <w:trPr>
          <w:trHeight w:val="620"/>
        </w:trPr>
        <w:tc>
          <w:tcPr>
            <w:tcW w:w="11070" w:type="dxa"/>
            <w:gridSpan w:val="2"/>
            <w:tcBorders>
              <w:top w:val="single" w:sz="4" w:space="0" w:color="auto"/>
              <w:left w:val="single" w:sz="4" w:space="0" w:color="auto"/>
              <w:bottom w:val="single" w:sz="4" w:space="0" w:color="auto"/>
              <w:right w:val="single" w:sz="4" w:space="0" w:color="auto"/>
            </w:tcBorders>
          </w:tcPr>
          <w:p w14:paraId="603C82E5" w14:textId="3E263E12" w:rsidR="00CC0E4E" w:rsidRPr="009314BF" w:rsidRDefault="00CC0E4E" w:rsidP="00CC0E4E">
            <w:pPr>
              <w:widowControl w:val="0"/>
              <w:numPr>
                <w:ilvl w:val="0"/>
                <w:numId w:val="10"/>
              </w:numPr>
              <w:rPr>
                <w:rFonts w:cs="Calibri"/>
                <w:i/>
                <w:szCs w:val="22"/>
                <w:lang w:val="fr-FR"/>
              </w:rPr>
            </w:pPr>
            <w:r w:rsidRPr="009314BF">
              <w:rPr>
                <w:rFonts w:cs="Calibri"/>
                <w:b/>
                <w:szCs w:val="22"/>
                <w:lang w:val="fr-FR"/>
              </w:rPr>
              <w:t xml:space="preserve">Titre de la </w:t>
            </w:r>
            <w:proofErr w:type="gramStart"/>
            <w:r w:rsidR="00B35A76" w:rsidRPr="009314BF">
              <w:rPr>
                <w:rFonts w:cs="Calibri"/>
                <w:b/>
                <w:szCs w:val="22"/>
                <w:lang w:val="fr-FR"/>
              </w:rPr>
              <w:t>Consultation:</w:t>
            </w:r>
            <w:proofErr w:type="gramEnd"/>
            <w:r w:rsidRPr="009314BF">
              <w:rPr>
                <w:rFonts w:cs="Calibri"/>
                <w:b/>
                <w:szCs w:val="22"/>
                <w:lang w:val="fr-FR"/>
              </w:rPr>
              <w:t xml:space="preserve">   </w:t>
            </w:r>
            <w:r w:rsidRPr="009314BF">
              <w:rPr>
                <w:rFonts w:cs="Calibri"/>
                <w:szCs w:val="22"/>
                <w:lang w:val="fr-FR"/>
              </w:rPr>
              <w:t>Consultant</w:t>
            </w:r>
            <w:r w:rsidRPr="009314BF">
              <w:rPr>
                <w:rFonts w:cs="Calibri"/>
                <w:lang w:val="fr-FR"/>
              </w:rPr>
              <w:t xml:space="preserve"> pour un </w:t>
            </w:r>
            <w:r w:rsidRPr="000C2ED7">
              <w:rPr>
                <w:lang w:val="fr-FR"/>
              </w:rPr>
              <w:t>appui à l'élaboration d'un manuel sur les rôles et responsabilités du PEV et de la PCG dans le cadre de l'intégration des dépôts</w:t>
            </w:r>
            <w:r w:rsidRPr="009314BF">
              <w:rPr>
                <w:rFonts w:cs="Calibri"/>
                <w:szCs w:val="22"/>
                <w:lang w:val="fr-FR"/>
              </w:rPr>
              <w:t xml:space="preserve"> - </w:t>
            </w:r>
            <w:r w:rsidRPr="00167073">
              <w:rPr>
                <w:sz w:val="22"/>
                <w:szCs w:val="22"/>
                <w:lang w:val="fr-FR"/>
              </w:rPr>
              <w:t xml:space="preserve">Niveau </w:t>
            </w:r>
            <w:r w:rsidR="005E2C11">
              <w:rPr>
                <w:sz w:val="22"/>
                <w:szCs w:val="22"/>
                <w:lang w:val="fr-FR"/>
              </w:rPr>
              <w:t xml:space="preserve">Senior </w:t>
            </w:r>
            <w:r w:rsidRPr="009314BF">
              <w:rPr>
                <w:rFonts w:cs="Calibri"/>
                <w:szCs w:val="22"/>
                <w:lang w:val="fr-FR"/>
              </w:rPr>
              <w:t xml:space="preserve"> </w:t>
            </w:r>
          </w:p>
          <w:p w14:paraId="0C7670CC" w14:textId="29029E41" w:rsidR="00CC0E4E" w:rsidRPr="009314BF" w:rsidRDefault="00CC0E4E" w:rsidP="00CC0E4E">
            <w:pPr>
              <w:widowControl w:val="0"/>
              <w:numPr>
                <w:ilvl w:val="0"/>
                <w:numId w:val="10"/>
              </w:numPr>
              <w:rPr>
                <w:rFonts w:cs="Calibri"/>
                <w:i/>
                <w:szCs w:val="22"/>
                <w:lang w:val="fr-FR"/>
              </w:rPr>
            </w:pPr>
            <w:r w:rsidRPr="009314BF">
              <w:rPr>
                <w:rFonts w:cs="Calibri"/>
                <w:b/>
                <w:szCs w:val="22"/>
                <w:lang w:val="fr-FR"/>
              </w:rPr>
              <w:t>Programme/</w:t>
            </w:r>
            <w:proofErr w:type="gramStart"/>
            <w:r w:rsidR="00112FC3" w:rsidRPr="009314BF">
              <w:rPr>
                <w:rFonts w:cs="Calibri"/>
                <w:b/>
                <w:szCs w:val="22"/>
                <w:lang w:val="fr-FR"/>
              </w:rPr>
              <w:t>PCR</w:t>
            </w:r>
            <w:r w:rsidR="00112FC3" w:rsidRPr="009314BF">
              <w:rPr>
                <w:rFonts w:cs="Calibri"/>
                <w:b/>
                <w:i/>
                <w:szCs w:val="22"/>
                <w:lang w:val="fr-FR"/>
              </w:rPr>
              <w:t>:</w:t>
            </w:r>
            <w:proofErr w:type="gramEnd"/>
            <w:r w:rsidRPr="009314BF">
              <w:rPr>
                <w:rFonts w:cs="Calibri"/>
                <w:i/>
                <w:szCs w:val="22"/>
                <w:lang w:val="fr-FR"/>
              </w:rPr>
              <w:t xml:space="preserve">              [Santé de la mère et du jeune enfant]</w:t>
            </w:r>
          </w:p>
          <w:p w14:paraId="794B444E" w14:textId="5C280E7B" w:rsidR="003A66E0" w:rsidRPr="00CC0E4E" w:rsidRDefault="003A66E0" w:rsidP="005E2C11">
            <w:pPr>
              <w:widowControl w:val="0"/>
              <w:ind w:left="410"/>
              <w:jc w:val="both"/>
              <w:rPr>
                <w:sz w:val="22"/>
                <w:szCs w:val="22"/>
                <w:lang w:val="fr-FR"/>
              </w:rPr>
            </w:pPr>
          </w:p>
        </w:tc>
      </w:tr>
      <w:tr w:rsidR="00CC0E4E" w:rsidRPr="005E2C11" w14:paraId="13874B7B" w14:textId="77777777" w:rsidTr="009B35FB">
        <w:trPr>
          <w:trHeight w:val="548"/>
        </w:trPr>
        <w:tc>
          <w:tcPr>
            <w:tcW w:w="4140" w:type="dxa"/>
          </w:tcPr>
          <w:p w14:paraId="23471955" w14:textId="24FE9348" w:rsidR="00CC0E4E" w:rsidRPr="00167073" w:rsidRDefault="00CC0E4E" w:rsidP="00CC0E4E">
            <w:pPr>
              <w:widowControl w:val="0"/>
              <w:numPr>
                <w:ilvl w:val="0"/>
                <w:numId w:val="10"/>
              </w:numPr>
              <w:spacing w:before="120" w:after="120"/>
              <w:jc w:val="both"/>
              <w:rPr>
                <w:sz w:val="22"/>
                <w:szCs w:val="22"/>
                <w:lang w:val="fr-FR"/>
              </w:rPr>
            </w:pPr>
            <w:r w:rsidRPr="009314BF">
              <w:rPr>
                <w:rFonts w:cs="Calibri"/>
                <w:b/>
                <w:szCs w:val="22"/>
                <w:lang w:val="fr-FR"/>
              </w:rPr>
              <w:t xml:space="preserve">Préparé par : </w:t>
            </w:r>
            <w:r w:rsidRPr="009314BF">
              <w:rPr>
                <w:rFonts w:cs="Calibri"/>
                <w:bCs/>
                <w:i/>
                <w:iCs/>
                <w:szCs w:val="22"/>
                <w:lang w:val="fr-FR"/>
              </w:rPr>
              <w:t>Section CSD/santé</w:t>
            </w:r>
            <w:r w:rsidRPr="009314BF">
              <w:rPr>
                <w:rFonts w:cs="Calibri"/>
                <w:b/>
                <w:szCs w:val="22"/>
                <w:lang w:val="fr-FR"/>
              </w:rPr>
              <w:t xml:space="preserve"> </w:t>
            </w:r>
          </w:p>
        </w:tc>
        <w:tc>
          <w:tcPr>
            <w:tcW w:w="6930" w:type="dxa"/>
          </w:tcPr>
          <w:p w14:paraId="79A39490" w14:textId="0E8B3B22" w:rsidR="00CC0E4E" w:rsidRPr="00167073" w:rsidRDefault="00CC0E4E" w:rsidP="00CC0E4E">
            <w:pPr>
              <w:widowControl w:val="0"/>
              <w:numPr>
                <w:ilvl w:val="0"/>
                <w:numId w:val="10"/>
              </w:numPr>
              <w:spacing w:before="120" w:after="120"/>
              <w:jc w:val="both"/>
              <w:rPr>
                <w:sz w:val="22"/>
                <w:szCs w:val="22"/>
                <w:lang w:val="fr-FR"/>
              </w:rPr>
            </w:pPr>
            <w:r w:rsidRPr="001522BE">
              <w:rPr>
                <w:b/>
                <w:bCs/>
                <w:lang w:val="fr-FR"/>
              </w:rPr>
              <w:t xml:space="preserve">Lieu d’exécution du </w:t>
            </w:r>
            <w:r w:rsidR="001522BE" w:rsidRPr="001522BE">
              <w:rPr>
                <w:b/>
                <w:bCs/>
                <w:lang w:val="fr-FR"/>
              </w:rPr>
              <w:t>contrat</w:t>
            </w:r>
            <w:r w:rsidR="001522BE" w:rsidRPr="009314BF">
              <w:rPr>
                <w:rFonts w:cs="Calibri"/>
                <w:b/>
                <w:szCs w:val="22"/>
                <w:lang w:val="fr-FR"/>
              </w:rPr>
              <w:t xml:space="preserve"> :</w:t>
            </w:r>
            <w:r w:rsidRPr="009314BF">
              <w:rPr>
                <w:rFonts w:cs="Calibri"/>
                <w:b/>
                <w:szCs w:val="22"/>
                <w:lang w:val="fr-FR"/>
              </w:rPr>
              <w:t xml:space="preserve"> </w:t>
            </w:r>
            <w:r w:rsidRPr="009314BF">
              <w:rPr>
                <w:rFonts w:cs="Calibri"/>
                <w:i/>
                <w:szCs w:val="22"/>
                <w:lang w:val="fr-FR"/>
              </w:rPr>
              <w:t>(</w:t>
            </w:r>
            <w:r w:rsidRPr="000C2ED7">
              <w:rPr>
                <w:i/>
                <w:lang w:val="fr-FR"/>
              </w:rPr>
              <w:t>Basé à Conakry couvre l’ensemble du pays)</w:t>
            </w:r>
          </w:p>
        </w:tc>
      </w:tr>
      <w:tr w:rsidR="008A06C4" w:rsidRPr="00167073" w14:paraId="34E9AC45" w14:textId="77777777" w:rsidTr="009B35FB">
        <w:trPr>
          <w:trHeight w:val="530"/>
        </w:trPr>
        <w:tc>
          <w:tcPr>
            <w:tcW w:w="11070" w:type="dxa"/>
            <w:gridSpan w:val="2"/>
          </w:tcPr>
          <w:p w14:paraId="4A2CFCCA" w14:textId="63527228" w:rsidR="003A66E0" w:rsidRPr="009B35FB" w:rsidRDefault="003A66E0" w:rsidP="009B35FB">
            <w:pPr>
              <w:pBdr>
                <w:bottom w:val="single" w:sz="4" w:space="1" w:color="auto"/>
              </w:pBdr>
              <w:autoSpaceDE w:val="0"/>
              <w:autoSpaceDN w:val="0"/>
              <w:adjustRightInd w:val="0"/>
              <w:jc w:val="both"/>
              <w:rPr>
                <w:b/>
                <w:bCs/>
                <w:sz w:val="22"/>
                <w:szCs w:val="22"/>
                <w:lang w:val="fr-FR"/>
              </w:rPr>
            </w:pPr>
          </w:p>
          <w:p w14:paraId="2962FE48" w14:textId="24F31BC9" w:rsidR="009B35FB" w:rsidRPr="00B35A76" w:rsidRDefault="009B35FB" w:rsidP="009B35FB">
            <w:pPr>
              <w:pStyle w:val="ListParagraph"/>
              <w:numPr>
                <w:ilvl w:val="0"/>
                <w:numId w:val="29"/>
              </w:numPr>
              <w:autoSpaceDE w:val="0"/>
              <w:autoSpaceDN w:val="0"/>
              <w:adjustRightInd w:val="0"/>
              <w:spacing w:before="120" w:after="120"/>
              <w:jc w:val="both"/>
              <w:rPr>
                <w:b/>
                <w:bCs/>
                <w:lang w:val="fr-FR"/>
              </w:rPr>
            </w:pPr>
            <w:r w:rsidRPr="00B35A76">
              <w:rPr>
                <w:b/>
                <w:bCs/>
                <w:lang w:val="fr-FR"/>
              </w:rPr>
              <w:t>Contexte/Justification</w:t>
            </w:r>
          </w:p>
          <w:p w14:paraId="09C7E97F" w14:textId="4519E5CF" w:rsidR="009B35FB" w:rsidRPr="00B35A76" w:rsidRDefault="009B35FB" w:rsidP="009B35FB">
            <w:pPr>
              <w:autoSpaceDE w:val="0"/>
              <w:autoSpaceDN w:val="0"/>
              <w:adjustRightInd w:val="0"/>
              <w:spacing w:before="120" w:after="120"/>
              <w:jc w:val="both"/>
              <w:rPr>
                <w:lang w:val="fr-FR"/>
              </w:rPr>
            </w:pPr>
            <w:r w:rsidRPr="00B35A76">
              <w:rPr>
                <w:lang w:val="fr-FR"/>
              </w:rPr>
              <w:t>Le secteur de la santé en République de Guinée, conformément aux engagements nationaux et internationaux dispose d’un Plan National de Développement Sanitaire (PNDS 2015-2024) comme instrument de mise en œuvre de sa Politique Nationale de Santé et qui s’alignent sur les 5 principes de la Déclaration de Paris et les « 7 comportements des partenaires » dans le cadre de la promotion de l’IHP+.</w:t>
            </w:r>
          </w:p>
          <w:p w14:paraId="48B88993" w14:textId="0D920314" w:rsidR="009B35FB" w:rsidRPr="00B35A76" w:rsidRDefault="009B35FB" w:rsidP="009B35FB">
            <w:pPr>
              <w:autoSpaceDE w:val="0"/>
              <w:autoSpaceDN w:val="0"/>
              <w:adjustRightInd w:val="0"/>
              <w:spacing w:before="120" w:after="120"/>
              <w:jc w:val="both"/>
              <w:rPr>
                <w:lang w:val="fr-FR"/>
              </w:rPr>
            </w:pPr>
            <w:r w:rsidRPr="00B35A76">
              <w:rPr>
                <w:lang w:val="fr-FR"/>
              </w:rPr>
              <w:t>Cependant, les analyses montrent que les ressources actuellement disponibles dans le secteur de la santé ne peuvent couvrir tous les besoins en matière de la chaîne d’approvisionnement de bout en bout. Ainsi dans le domaine logistique, il convient de noter que la Guinée dispose d’une chaine d’approvisionnement en vaccins qui ne garantit pas toujours la disponibilité des vaccins de qualité aux points finaux d’utilisation (transport, stockage et gestion logistique). En effet, l’évaluation de la Gestion Efficace des Vaccins (GEV) conduite en 2016 a révélé que sur les 9 critères, aucun n’a atteint le score minimal de 80% comme recommandé par l’OMS, montrant ainsi la fragilité de la chaine d’approvisionnement des vaccins. L’analyse des goulots d’étranglement montre que la chaîne d’approvisionnement actuelle reste fragmentée et irrationnelle conduisant à un gaspillage des ressources déjà rares dans le secteur.</w:t>
            </w:r>
          </w:p>
          <w:p w14:paraId="339A6E64" w14:textId="358CD7AE" w:rsidR="009B35FB" w:rsidRPr="00B35A76" w:rsidRDefault="009B35FB" w:rsidP="009B35FB">
            <w:pPr>
              <w:autoSpaceDE w:val="0"/>
              <w:autoSpaceDN w:val="0"/>
              <w:adjustRightInd w:val="0"/>
              <w:spacing w:before="120" w:after="120"/>
              <w:jc w:val="both"/>
              <w:rPr>
                <w:lang w:val="fr-FR"/>
              </w:rPr>
            </w:pPr>
            <w:r w:rsidRPr="00B35A76">
              <w:rPr>
                <w:lang w:val="fr-FR"/>
              </w:rPr>
              <w:t xml:space="preserve">Face à cette situation et en vue d’améliorer la chaine d'approvisionnement et la gestion des vaccins, des efforts sont en cours dans le pays avec l’appui de </w:t>
            </w:r>
            <w:proofErr w:type="spellStart"/>
            <w:r w:rsidRPr="00B35A76">
              <w:rPr>
                <w:lang w:val="fr-FR"/>
              </w:rPr>
              <w:t>Gavi</w:t>
            </w:r>
            <w:proofErr w:type="spellEnd"/>
            <w:r w:rsidRPr="00B35A76">
              <w:rPr>
                <w:lang w:val="fr-FR"/>
              </w:rPr>
              <w:t xml:space="preserve"> et des partenaires traditionnels, notamment la mise en œuvre du plan d’amélioration de la GEV, l’étude de la modélisation de la chaîne d’approvisionnement et le dimensionnement des dépôts régionaux avec l’acquisition des chambres froides solaires pour le niveau régional. </w:t>
            </w:r>
          </w:p>
          <w:p w14:paraId="2ECC4668" w14:textId="773AF7A3" w:rsidR="009B35FB" w:rsidRPr="00B35A76" w:rsidRDefault="009B35FB" w:rsidP="009B35FB">
            <w:pPr>
              <w:autoSpaceDE w:val="0"/>
              <w:autoSpaceDN w:val="0"/>
              <w:adjustRightInd w:val="0"/>
              <w:spacing w:before="120" w:after="120"/>
              <w:jc w:val="both"/>
              <w:rPr>
                <w:lang w:val="fr-FR"/>
              </w:rPr>
            </w:pPr>
            <w:r w:rsidRPr="00B35A76">
              <w:rPr>
                <w:lang w:val="fr-FR"/>
              </w:rPr>
              <w:t xml:space="preserve">En 2015, une évaluation des infrastructures de la PCG a été réalisée par l’UNOPS avec comme principales recommandations l’intégration de la chaine logistique, l’élaboration d’un plan stratégique et la construction d’un entrepôt central pour le stockage des intrants de santé. Un manuel et un plan stratégique 2017-2024 sur la logistique Intégrée ont été élaborés et diffusés et une Unité de Gestion Logistique (UGL) été mise en place. </w:t>
            </w:r>
          </w:p>
          <w:p w14:paraId="6DB5D9A6" w14:textId="77777777" w:rsidR="009B35FB" w:rsidRPr="00B35A76" w:rsidRDefault="009B35FB" w:rsidP="009B35FB">
            <w:pPr>
              <w:autoSpaceDE w:val="0"/>
              <w:autoSpaceDN w:val="0"/>
              <w:adjustRightInd w:val="0"/>
              <w:spacing w:before="120" w:after="120"/>
              <w:jc w:val="both"/>
              <w:rPr>
                <w:lang w:val="fr-FR"/>
              </w:rPr>
            </w:pPr>
            <w:r w:rsidRPr="00B35A76">
              <w:rPr>
                <w:lang w:val="fr-FR"/>
              </w:rPr>
              <w:t xml:space="preserve">À la suite des résultats des différentes évaluations, et après consultation auprès du cabinet d’études chargé de la construction du nouvel entrepôt de la PCG, le Ministère de la Santé, par correspondance No 3099/MS/CAB/2019 datée du 22 Octobre 2019, a pris l’option de l’intégration de la construction de l’entrepôt du PEV dans le projet de construction de la PCG, entreprise avec l’appui des partenaires tels que le Fonds Mondial, l’USAID, l’Union Européenne, la Coopération Japonaise, l’UNFPA, </w:t>
            </w:r>
            <w:proofErr w:type="spellStart"/>
            <w:r w:rsidRPr="00B35A76">
              <w:rPr>
                <w:lang w:val="fr-FR"/>
              </w:rPr>
              <w:t>Gavi</w:t>
            </w:r>
            <w:proofErr w:type="spellEnd"/>
            <w:r w:rsidRPr="00B35A76">
              <w:rPr>
                <w:lang w:val="fr-FR"/>
              </w:rPr>
              <w:t xml:space="preserve"> , l’UNICEF, l’OMS et CRS. Un Comité de pilotage, placé sous l’autorité du Secrétaire Général du Ministère de la Santé et chargé d’orienter et de suivre la mise en œuvre </w:t>
            </w:r>
            <w:r w:rsidRPr="00B35A76">
              <w:rPr>
                <w:lang w:val="fr-FR"/>
              </w:rPr>
              <w:lastRenderedPageBreak/>
              <w:t xml:space="preserve">technique du Projet a été mis en place en 2017 par arrêté ministériel No 6754/MS/CAB/2017. Ce comité qui, au départ, n’impliquait pas la Coordination du PEV, l’UNICEF et </w:t>
            </w:r>
            <w:proofErr w:type="spellStart"/>
            <w:r w:rsidRPr="00B35A76">
              <w:rPr>
                <w:lang w:val="fr-FR"/>
              </w:rPr>
              <w:t>Gavi</w:t>
            </w:r>
            <w:proofErr w:type="spellEnd"/>
            <w:r w:rsidRPr="00B35A76">
              <w:rPr>
                <w:lang w:val="fr-FR"/>
              </w:rPr>
              <w:t xml:space="preserve"> a été révisé en 2019 pour prendre en compte ces 3 structures. L’estimation des besoins du PEV en termes d’espace de stockage et de bureaux pour les logisticiens du niveau central a été communiquée à la PCG et prise en compte dans le processus de construction du futur entrepôt sis à Manéah. </w:t>
            </w:r>
          </w:p>
          <w:p w14:paraId="746B9549" w14:textId="77777777" w:rsidR="009B35FB" w:rsidRPr="00B35A76" w:rsidRDefault="009B35FB" w:rsidP="009B35FB">
            <w:pPr>
              <w:autoSpaceDE w:val="0"/>
              <w:autoSpaceDN w:val="0"/>
              <w:adjustRightInd w:val="0"/>
              <w:spacing w:before="120" w:after="120"/>
              <w:jc w:val="both"/>
              <w:rPr>
                <w:lang w:val="fr-FR"/>
              </w:rPr>
            </w:pPr>
            <w:r w:rsidRPr="00B35A76">
              <w:rPr>
                <w:lang w:val="fr-FR"/>
              </w:rPr>
              <w:t xml:space="preserve">L’une des options proposées par les résultats de la modélisation de la chaine d’approvisionnement présentés en décembre 2020 au Ministère de la Santé par JSI sur financement de </w:t>
            </w:r>
            <w:proofErr w:type="spellStart"/>
            <w:r w:rsidRPr="00B35A76">
              <w:rPr>
                <w:lang w:val="fr-FR"/>
              </w:rPr>
              <w:t>Gavi</w:t>
            </w:r>
            <w:proofErr w:type="spellEnd"/>
            <w:r w:rsidRPr="00B35A76">
              <w:rPr>
                <w:lang w:val="fr-FR"/>
              </w:rPr>
              <w:t xml:space="preserve">, préconise l’intégration des entrepôts au niveau régional. En effet, la PCG dispose de chambres froides dans cinq (05) des régions sanitaires du pays, à savoir Boké (30m3), Faranah (30m3), Kankan (40m3), Labé (40m3) et Nzérékoré (40m3). Cependant, l’évaluation effectuée en Novembre 2020 a montré que les chambres froides de Kankan, Labé et Nzérékoré sont mal installées. Elles étaient en mauvais état et n’étaient pas fonctionnelles au moment de l’évaluation. </w:t>
            </w:r>
          </w:p>
          <w:p w14:paraId="5E4B0595" w14:textId="77777777" w:rsidR="009B35FB" w:rsidRPr="00B35A76" w:rsidRDefault="009B35FB" w:rsidP="009B35FB">
            <w:pPr>
              <w:autoSpaceDE w:val="0"/>
              <w:autoSpaceDN w:val="0"/>
              <w:adjustRightInd w:val="0"/>
              <w:spacing w:before="120" w:after="120"/>
              <w:jc w:val="both"/>
              <w:rPr>
                <w:lang w:val="fr-FR"/>
              </w:rPr>
            </w:pPr>
            <w:r w:rsidRPr="00B35A76">
              <w:rPr>
                <w:lang w:val="fr-FR"/>
              </w:rPr>
              <w:t xml:space="preserve">Dans le cadre de la deuxième phase de la relance du système de santé en Guinée (RSS2), </w:t>
            </w:r>
            <w:proofErr w:type="spellStart"/>
            <w:r w:rsidRPr="00B35A76">
              <w:rPr>
                <w:lang w:val="fr-FR"/>
              </w:rPr>
              <w:t>Gavi</w:t>
            </w:r>
            <w:proofErr w:type="spellEnd"/>
            <w:r w:rsidRPr="00B35A76">
              <w:rPr>
                <w:lang w:val="fr-FR"/>
              </w:rPr>
              <w:t xml:space="preserve"> a financé des nouveaux équipements (réfrigérateurs solaires et motos) de « dernier kilomètre » pour les formations sanitaires périphériques (Poste de santé et structures privées et/ou confessionnelles). Cet appui prévoit en plus, un montant de 1,000,000 USD avec la possibilité d’une tranche supplémentaire de 500,000 USD pour un investissement dans les nouvelles infrastructures, notamment la contribution à la construction du nouvel entrepôt de la PCG et des bâtiments administratifs du PEV). </w:t>
            </w:r>
          </w:p>
          <w:p w14:paraId="5FD32B09" w14:textId="2C3B28B8" w:rsidR="009B35FB" w:rsidRPr="00B35A76" w:rsidRDefault="009B35FB" w:rsidP="00B35A76">
            <w:pPr>
              <w:pBdr>
                <w:bottom w:val="single" w:sz="4" w:space="1" w:color="auto"/>
              </w:pBdr>
              <w:autoSpaceDE w:val="0"/>
              <w:autoSpaceDN w:val="0"/>
              <w:adjustRightInd w:val="0"/>
              <w:spacing w:before="120" w:after="120"/>
              <w:jc w:val="both"/>
              <w:rPr>
                <w:lang w:val="fr-FR"/>
              </w:rPr>
            </w:pPr>
            <w:r w:rsidRPr="00B35A76">
              <w:rPr>
                <w:lang w:val="fr-FR"/>
              </w:rPr>
              <w:t xml:space="preserve">Aussi, le Ministère de la santé, en collaboration avec ses partenaires notamment </w:t>
            </w:r>
            <w:proofErr w:type="spellStart"/>
            <w:r w:rsidRPr="00B35A76">
              <w:rPr>
                <w:lang w:val="fr-FR"/>
              </w:rPr>
              <w:t>Gavi</w:t>
            </w:r>
            <w:proofErr w:type="spellEnd"/>
            <w:r w:rsidRPr="00B35A76">
              <w:rPr>
                <w:lang w:val="fr-FR"/>
              </w:rPr>
              <w:t xml:space="preserve"> et l’UNICEF, envisage le recrutement d’un consultant expérimenté pour appuyer la mise en place d’un système intégré optimisé d’approvisionnement des vaccins et intrants PEV et des autres produits.</w:t>
            </w:r>
          </w:p>
          <w:p w14:paraId="48950C40" w14:textId="6A0B4A1F" w:rsidR="009B35FB" w:rsidRDefault="009B35FB" w:rsidP="009B35FB">
            <w:pPr>
              <w:pStyle w:val="ListParagraph"/>
              <w:numPr>
                <w:ilvl w:val="0"/>
                <w:numId w:val="29"/>
              </w:numPr>
              <w:jc w:val="both"/>
              <w:rPr>
                <w:b/>
                <w:bCs/>
                <w:color w:val="000000"/>
              </w:rPr>
            </w:pPr>
            <w:proofErr w:type="spellStart"/>
            <w:r w:rsidRPr="009B35FB">
              <w:rPr>
                <w:b/>
                <w:bCs/>
                <w:color w:val="000000"/>
              </w:rPr>
              <w:t>Objectifs</w:t>
            </w:r>
            <w:proofErr w:type="spellEnd"/>
            <w:r w:rsidRPr="009B35FB">
              <w:rPr>
                <w:b/>
                <w:bCs/>
                <w:color w:val="000000"/>
              </w:rPr>
              <w:t xml:space="preserve"> </w:t>
            </w:r>
          </w:p>
          <w:p w14:paraId="4E2772DC" w14:textId="77777777" w:rsidR="009B35FB" w:rsidRPr="009B35FB" w:rsidRDefault="009B35FB" w:rsidP="009B35FB">
            <w:pPr>
              <w:pStyle w:val="ListParagraph"/>
              <w:jc w:val="both"/>
              <w:rPr>
                <w:b/>
                <w:bCs/>
                <w:color w:val="000000"/>
                <w:sz w:val="8"/>
                <w:szCs w:val="8"/>
              </w:rPr>
            </w:pPr>
          </w:p>
          <w:p w14:paraId="1903D1AA" w14:textId="77DAC80A" w:rsidR="009B35FB" w:rsidRDefault="009B35FB" w:rsidP="009B35FB">
            <w:pPr>
              <w:numPr>
                <w:ilvl w:val="1"/>
                <w:numId w:val="32"/>
              </w:numPr>
              <w:jc w:val="both"/>
              <w:rPr>
                <w:b/>
                <w:bCs/>
                <w:color w:val="000000"/>
              </w:rPr>
            </w:pPr>
            <w:r>
              <w:rPr>
                <w:b/>
                <w:bCs/>
                <w:color w:val="000000"/>
              </w:rPr>
              <w:t xml:space="preserve">Objectif </w:t>
            </w:r>
            <w:r w:rsidR="00112FC3" w:rsidRPr="00112FC3">
              <w:rPr>
                <w:b/>
                <w:bCs/>
                <w:lang w:val="fr-FR"/>
              </w:rPr>
              <w:t>général</w:t>
            </w:r>
            <w:r w:rsidR="00112FC3" w:rsidRPr="00112FC3">
              <w:rPr>
                <w:b/>
                <w:bCs/>
                <w:color w:val="000000"/>
              </w:rPr>
              <w:t>:</w:t>
            </w:r>
            <w:r w:rsidRPr="00605CD1">
              <w:rPr>
                <w:b/>
                <w:bCs/>
                <w:color w:val="000000"/>
              </w:rPr>
              <w:t xml:space="preserve"> </w:t>
            </w:r>
          </w:p>
          <w:p w14:paraId="4E673FE6" w14:textId="77777777" w:rsidR="009B35FB" w:rsidRPr="009314BF" w:rsidRDefault="009B35FB" w:rsidP="009B35FB">
            <w:pPr>
              <w:rPr>
                <w:lang w:val="fr-FR"/>
              </w:rPr>
            </w:pPr>
            <w:r w:rsidRPr="00A75A95">
              <w:rPr>
                <w:lang w:val="fr-FR"/>
              </w:rPr>
              <w:t>L’objectif principal de cette consultation est d’appuyer le Ministère de la Santé dans la mise en place d’un système intégré optimisé d’approvisionnement des vaccins et intrants PEV et des autres produits</w:t>
            </w:r>
            <w:r w:rsidRPr="009314BF">
              <w:rPr>
                <w:lang w:val="fr-FR"/>
              </w:rPr>
              <w:t>.</w:t>
            </w:r>
          </w:p>
          <w:p w14:paraId="428F1523" w14:textId="44C783DC" w:rsidR="009B35FB" w:rsidRPr="009314BF" w:rsidRDefault="009B35FB" w:rsidP="009B35FB">
            <w:pPr>
              <w:rPr>
                <w:lang w:val="fr-FR"/>
              </w:rPr>
            </w:pPr>
          </w:p>
          <w:p w14:paraId="062ACA44" w14:textId="6873B43D" w:rsidR="009B35FB" w:rsidRPr="00112FC3" w:rsidRDefault="009B35FB" w:rsidP="00112FC3">
            <w:pPr>
              <w:pStyle w:val="ListParagraph"/>
              <w:numPr>
                <w:ilvl w:val="1"/>
                <w:numId w:val="32"/>
              </w:numPr>
              <w:jc w:val="both"/>
              <w:rPr>
                <w:b/>
                <w:bCs/>
                <w:lang w:val="fr-FR"/>
              </w:rPr>
            </w:pPr>
            <w:r w:rsidRPr="00112FC3">
              <w:rPr>
                <w:b/>
                <w:bCs/>
                <w:lang w:val="fr-FR"/>
              </w:rPr>
              <w:t>Objectifs spécifiques</w:t>
            </w:r>
          </w:p>
          <w:p w14:paraId="329E516B" w14:textId="77777777" w:rsidR="009B35FB" w:rsidRPr="00A75A95" w:rsidRDefault="009B35FB" w:rsidP="00A75A95">
            <w:pPr>
              <w:pStyle w:val="ListParagraph"/>
              <w:numPr>
                <w:ilvl w:val="0"/>
                <w:numId w:val="43"/>
              </w:numPr>
              <w:rPr>
                <w:lang w:val="fr-FR"/>
              </w:rPr>
            </w:pPr>
            <w:r w:rsidRPr="00A75A95">
              <w:rPr>
                <w:lang w:val="fr-FR"/>
              </w:rPr>
              <w:t xml:space="preserve">Définir les rôles et responsabilités de chaque entité, particulièrement le PEV et la PCG, pour les différentes fonctions et les 5 niveaux de de la chaine d’approvisionnement des vaccins et consommables du PEV (central, régional, district, centre de santé et poste de sante) ;  </w:t>
            </w:r>
          </w:p>
          <w:p w14:paraId="7EA650FB" w14:textId="77777777" w:rsidR="009B35FB" w:rsidRPr="00A75A95" w:rsidRDefault="009B35FB" w:rsidP="00A75A95">
            <w:pPr>
              <w:pStyle w:val="ListParagraph"/>
              <w:numPr>
                <w:ilvl w:val="0"/>
                <w:numId w:val="43"/>
              </w:numPr>
              <w:rPr>
                <w:lang w:val="fr-FR"/>
              </w:rPr>
            </w:pPr>
            <w:r w:rsidRPr="00A75A95">
              <w:rPr>
                <w:lang w:val="fr-FR"/>
              </w:rPr>
              <w:t xml:space="preserve">Elaborer un manuel de procédures et un cahier des charges en conséquence ; </w:t>
            </w:r>
          </w:p>
          <w:p w14:paraId="4D7DA897" w14:textId="77777777" w:rsidR="009B35FB" w:rsidRPr="00A75A95" w:rsidRDefault="009B35FB" w:rsidP="00A75A95">
            <w:pPr>
              <w:pStyle w:val="ListParagraph"/>
              <w:numPr>
                <w:ilvl w:val="0"/>
                <w:numId w:val="43"/>
              </w:numPr>
              <w:rPr>
                <w:lang w:val="fr-FR"/>
              </w:rPr>
            </w:pPr>
            <w:r w:rsidRPr="00A75A95">
              <w:rPr>
                <w:lang w:val="fr-FR"/>
              </w:rPr>
              <w:t>Faire un état des lieux des besoins de renforcement de capacités (RH, logistique roulante, équipements…) de la PCG et du PEV pour mener à bien leurs missions liées à la SC des vaccins et intrants PEV</w:t>
            </w:r>
          </w:p>
          <w:p w14:paraId="68B988FC" w14:textId="77777777" w:rsidR="009B35FB" w:rsidRPr="00A75A95" w:rsidRDefault="009B35FB" w:rsidP="00A75A95">
            <w:pPr>
              <w:pStyle w:val="ListParagraph"/>
              <w:numPr>
                <w:ilvl w:val="0"/>
                <w:numId w:val="43"/>
              </w:numPr>
              <w:rPr>
                <w:lang w:val="fr-FR"/>
              </w:rPr>
            </w:pPr>
            <w:r w:rsidRPr="00A75A95">
              <w:rPr>
                <w:lang w:val="fr-FR"/>
              </w:rPr>
              <w:t>Elaborer des hypothèses de couts de gestion des vaccins et intrants PEV par la PCG ;</w:t>
            </w:r>
          </w:p>
          <w:p w14:paraId="30C92D79" w14:textId="77777777" w:rsidR="009B35FB" w:rsidRPr="009314BF" w:rsidRDefault="009B35FB" w:rsidP="009B35FB">
            <w:pPr>
              <w:rPr>
                <w:color w:val="000000"/>
                <w:sz w:val="16"/>
                <w:szCs w:val="14"/>
                <w:lang w:val="fr-FR"/>
              </w:rPr>
            </w:pPr>
          </w:p>
          <w:p w14:paraId="30E25373" w14:textId="71E8959F" w:rsidR="009B35FB" w:rsidRPr="009314BF" w:rsidRDefault="009B35FB" w:rsidP="009B35FB">
            <w:pPr>
              <w:rPr>
                <w:color w:val="000000"/>
                <w:szCs w:val="22"/>
                <w:lang w:val="fr-FR"/>
              </w:rPr>
            </w:pPr>
            <w:r w:rsidRPr="005A5C4D">
              <w:rPr>
                <w:lang w:val="fr-FR"/>
              </w:rPr>
              <w:t xml:space="preserve">L’accent sera mis sur les rôles et responsabilités du PEV et de la PCG dans le cadre de l'intégration des deux entrepôts.  Plus spécifiquement, il s’agira de déterminer non seulement les rôles et responsabilités de chaque entité dans la gestion des principales fonctions de la chaine d’approvisionnement, mais également de déterminer dans quelle mesure les fonctions suivantes doivent être mises en </w:t>
            </w:r>
            <w:r w:rsidR="005A5C4D" w:rsidRPr="005A5C4D">
              <w:rPr>
                <w:lang w:val="fr-FR"/>
              </w:rPr>
              <w:t>œuvre</w:t>
            </w:r>
            <w:r w:rsidR="005A5C4D" w:rsidRPr="009314BF">
              <w:rPr>
                <w:color w:val="000000"/>
                <w:szCs w:val="22"/>
                <w:lang w:val="fr-FR"/>
              </w:rPr>
              <w:t xml:space="preserve"> :</w:t>
            </w:r>
            <w:r w:rsidRPr="009314BF">
              <w:rPr>
                <w:color w:val="000000"/>
                <w:szCs w:val="22"/>
                <w:lang w:val="fr-FR"/>
              </w:rPr>
              <w:t xml:space="preserve"> </w:t>
            </w:r>
          </w:p>
          <w:p w14:paraId="75A82A1B" w14:textId="77777777" w:rsidR="009B35FB" w:rsidRPr="005A5C4D" w:rsidRDefault="009B35FB" w:rsidP="009B35FB">
            <w:pPr>
              <w:numPr>
                <w:ilvl w:val="0"/>
                <w:numId w:val="31"/>
              </w:numPr>
              <w:jc w:val="both"/>
              <w:rPr>
                <w:lang w:val="fr-FR"/>
              </w:rPr>
            </w:pPr>
            <w:r w:rsidRPr="005A5C4D">
              <w:rPr>
                <w:lang w:val="fr-FR"/>
              </w:rPr>
              <w:t>Définition/quantification des besoins</w:t>
            </w:r>
          </w:p>
          <w:p w14:paraId="4F644B03" w14:textId="77777777" w:rsidR="009B35FB" w:rsidRPr="005A5C4D" w:rsidRDefault="009B35FB" w:rsidP="009B35FB">
            <w:pPr>
              <w:numPr>
                <w:ilvl w:val="0"/>
                <w:numId w:val="31"/>
              </w:numPr>
              <w:jc w:val="both"/>
              <w:rPr>
                <w:lang w:val="fr-FR"/>
              </w:rPr>
            </w:pPr>
            <w:r w:rsidRPr="005A5C4D">
              <w:rPr>
                <w:lang w:val="fr-FR"/>
              </w:rPr>
              <w:t xml:space="preserve">Acquisition des vaccins (traditionnels et co-financés) et des intrants secs. </w:t>
            </w:r>
          </w:p>
          <w:p w14:paraId="559EA002" w14:textId="77777777" w:rsidR="009B35FB" w:rsidRPr="005A5C4D" w:rsidRDefault="009B35FB" w:rsidP="009B35FB">
            <w:pPr>
              <w:numPr>
                <w:ilvl w:val="0"/>
                <w:numId w:val="31"/>
              </w:numPr>
              <w:jc w:val="both"/>
              <w:rPr>
                <w:lang w:val="fr-FR"/>
              </w:rPr>
            </w:pPr>
            <w:r w:rsidRPr="005A5C4D">
              <w:rPr>
                <w:lang w:val="fr-FR"/>
              </w:rPr>
              <w:t>Livraison et dédouanement</w:t>
            </w:r>
          </w:p>
          <w:p w14:paraId="416D5879" w14:textId="77777777" w:rsidR="009B35FB" w:rsidRPr="005A5C4D" w:rsidRDefault="009B35FB" w:rsidP="009B35FB">
            <w:pPr>
              <w:numPr>
                <w:ilvl w:val="0"/>
                <w:numId w:val="31"/>
              </w:numPr>
              <w:jc w:val="both"/>
              <w:rPr>
                <w:lang w:val="fr-FR"/>
              </w:rPr>
            </w:pPr>
            <w:r w:rsidRPr="005A5C4D">
              <w:rPr>
                <w:lang w:val="fr-FR"/>
              </w:rPr>
              <w:t>Inspection des arrivées</w:t>
            </w:r>
          </w:p>
          <w:p w14:paraId="1AE7FB71" w14:textId="77777777" w:rsidR="009B35FB" w:rsidRPr="005A5C4D" w:rsidRDefault="009B35FB" w:rsidP="009B35FB">
            <w:pPr>
              <w:numPr>
                <w:ilvl w:val="0"/>
                <w:numId w:val="31"/>
              </w:numPr>
              <w:jc w:val="both"/>
              <w:rPr>
                <w:lang w:val="fr-FR"/>
              </w:rPr>
            </w:pPr>
            <w:r w:rsidRPr="005A5C4D">
              <w:rPr>
                <w:lang w:val="fr-FR"/>
              </w:rPr>
              <w:t xml:space="preserve">Gestion des vaccins et autres intrants du PEV ; réception, stockage, et suivi des stocks ; </w:t>
            </w:r>
          </w:p>
          <w:p w14:paraId="50A5DD97" w14:textId="77777777" w:rsidR="009B35FB" w:rsidRPr="005A5C4D" w:rsidRDefault="009B35FB" w:rsidP="009B35FB">
            <w:pPr>
              <w:numPr>
                <w:ilvl w:val="0"/>
                <w:numId w:val="31"/>
              </w:numPr>
              <w:jc w:val="both"/>
              <w:rPr>
                <w:lang w:val="fr-FR"/>
              </w:rPr>
            </w:pPr>
            <w:r w:rsidRPr="005A5C4D">
              <w:rPr>
                <w:lang w:val="fr-FR"/>
              </w:rPr>
              <w:t xml:space="preserve">Distribution des intrants jusqu’au dernier km ; </w:t>
            </w:r>
          </w:p>
          <w:p w14:paraId="0632C4E6" w14:textId="77777777" w:rsidR="009B35FB" w:rsidRPr="005A5C4D" w:rsidRDefault="009B35FB" w:rsidP="009B35FB">
            <w:pPr>
              <w:numPr>
                <w:ilvl w:val="0"/>
                <w:numId w:val="31"/>
              </w:numPr>
              <w:jc w:val="both"/>
              <w:rPr>
                <w:lang w:val="fr-FR"/>
              </w:rPr>
            </w:pPr>
            <w:r w:rsidRPr="005A5C4D">
              <w:rPr>
                <w:lang w:val="fr-FR"/>
              </w:rPr>
              <w:t>Budgétisation et planification des activités opérationnelles (coût des distributions, maintenance, etc.) ;</w:t>
            </w:r>
          </w:p>
          <w:p w14:paraId="64B85344" w14:textId="77777777" w:rsidR="009B35FB" w:rsidRPr="005A5C4D" w:rsidRDefault="009B35FB" w:rsidP="009B35FB">
            <w:pPr>
              <w:numPr>
                <w:ilvl w:val="0"/>
                <w:numId w:val="31"/>
              </w:numPr>
              <w:jc w:val="both"/>
              <w:rPr>
                <w:lang w:val="fr-FR"/>
              </w:rPr>
            </w:pPr>
            <w:r w:rsidRPr="005A5C4D">
              <w:rPr>
                <w:lang w:val="fr-FR"/>
              </w:rPr>
              <w:t>Système d’Information et de Gestion Logistique (SIGL)</w:t>
            </w:r>
          </w:p>
          <w:p w14:paraId="0E5F3BE3" w14:textId="77777777" w:rsidR="009B35FB" w:rsidRPr="009314BF" w:rsidRDefault="009B35FB" w:rsidP="009B35FB">
            <w:pPr>
              <w:rPr>
                <w:color w:val="000000"/>
                <w:szCs w:val="22"/>
                <w:lang w:val="fr-FR"/>
              </w:rPr>
            </w:pPr>
          </w:p>
          <w:p w14:paraId="76892151" w14:textId="77777777" w:rsidR="009B35FB" w:rsidRPr="00D02A48" w:rsidRDefault="009B35FB" w:rsidP="009B35FB">
            <w:pPr>
              <w:rPr>
                <w:color w:val="000000"/>
                <w:szCs w:val="22"/>
              </w:rPr>
            </w:pPr>
            <w:r w:rsidRPr="005A5C4D">
              <w:rPr>
                <w:lang w:val="fr-FR"/>
              </w:rPr>
              <w:lastRenderedPageBreak/>
              <w:t>Le Consultant devra proposer les fonctions qui seront intégrées, mutualisées et séparées au niveau central, régional et district. Pour ce faire, le consultant devra identifier les ressources qui permettront de faciliter cette intégration. Ces ressources pourraient inclure les éléments suivants</w:t>
            </w:r>
            <w:r w:rsidRPr="00D02A48">
              <w:rPr>
                <w:color w:val="000000"/>
                <w:szCs w:val="22"/>
              </w:rPr>
              <w:t> :</w:t>
            </w:r>
          </w:p>
          <w:p w14:paraId="05D026ED" w14:textId="65E062D9" w:rsidR="009B35FB" w:rsidRPr="00B66467" w:rsidRDefault="009B35FB" w:rsidP="00B66467">
            <w:pPr>
              <w:pStyle w:val="ListParagraph"/>
              <w:numPr>
                <w:ilvl w:val="0"/>
                <w:numId w:val="36"/>
              </w:numPr>
              <w:jc w:val="both"/>
              <w:rPr>
                <w:color w:val="000000"/>
                <w:szCs w:val="22"/>
              </w:rPr>
            </w:pPr>
            <w:r w:rsidRPr="00B66467">
              <w:rPr>
                <w:b/>
                <w:bCs/>
                <w:color w:val="000000"/>
                <w:szCs w:val="22"/>
              </w:rPr>
              <w:t>Les circuits de distribution</w:t>
            </w:r>
            <w:r w:rsidRPr="00B66467">
              <w:rPr>
                <w:color w:val="000000"/>
                <w:szCs w:val="22"/>
              </w:rPr>
              <w:t xml:space="preserve">: </w:t>
            </w:r>
          </w:p>
          <w:p w14:paraId="1D720760" w14:textId="649E5D0A" w:rsidR="009B35FB" w:rsidRPr="00B35A76" w:rsidRDefault="009B35FB" w:rsidP="009B35FB">
            <w:pPr>
              <w:numPr>
                <w:ilvl w:val="1"/>
                <w:numId w:val="29"/>
              </w:numPr>
              <w:jc w:val="both"/>
              <w:rPr>
                <w:lang w:val="fr-FR"/>
              </w:rPr>
            </w:pPr>
            <w:r w:rsidRPr="009314BF">
              <w:rPr>
                <w:color w:val="000000"/>
                <w:szCs w:val="22"/>
                <w:lang w:val="fr-FR"/>
              </w:rPr>
              <w:t xml:space="preserve">Quelle structure </w:t>
            </w:r>
            <w:proofErr w:type="gramStart"/>
            <w:r w:rsidRPr="009314BF">
              <w:rPr>
                <w:color w:val="000000"/>
                <w:szCs w:val="22"/>
                <w:lang w:val="fr-FR"/>
              </w:rPr>
              <w:t>sera en charge</w:t>
            </w:r>
            <w:proofErr w:type="gramEnd"/>
            <w:r w:rsidRPr="009314BF">
              <w:rPr>
                <w:color w:val="000000"/>
                <w:szCs w:val="22"/>
                <w:lang w:val="fr-FR"/>
              </w:rPr>
              <w:t xml:space="preserve"> de la distribution des </w:t>
            </w:r>
            <w:r w:rsidRPr="00B35A76">
              <w:rPr>
                <w:lang w:val="fr-FR"/>
              </w:rPr>
              <w:t xml:space="preserve">intrants des districts vers les CS et postes de </w:t>
            </w:r>
            <w:r w:rsidR="006B21AA" w:rsidRPr="00B35A76">
              <w:rPr>
                <w:lang w:val="fr-FR"/>
              </w:rPr>
              <w:t>santé ?</w:t>
            </w:r>
            <w:r w:rsidRPr="00B35A76">
              <w:rPr>
                <w:lang w:val="fr-FR"/>
              </w:rPr>
              <w:t xml:space="preserve"> </w:t>
            </w:r>
          </w:p>
          <w:p w14:paraId="3A91A6F9" w14:textId="61A4F07B" w:rsidR="009B35FB" w:rsidRPr="00B35A76" w:rsidRDefault="009B35FB" w:rsidP="009B35FB">
            <w:pPr>
              <w:numPr>
                <w:ilvl w:val="1"/>
                <w:numId w:val="29"/>
              </w:numPr>
              <w:jc w:val="both"/>
              <w:rPr>
                <w:lang w:val="fr-FR"/>
              </w:rPr>
            </w:pPr>
            <w:r w:rsidRPr="00B35A76">
              <w:rPr>
                <w:lang w:val="fr-FR"/>
              </w:rPr>
              <w:t xml:space="preserve">La PCG assure la distribution des autres intrants pharmaceutiques de leurs dépôts régionaux vers les districts. La distribution des vaccins sera-t-elle intégrée a celle des autres produits de santé vers les districts sanitaires, des districts sanitaires vers les centres et postes de </w:t>
            </w:r>
            <w:r w:rsidR="006B21AA" w:rsidRPr="00B35A76">
              <w:rPr>
                <w:lang w:val="fr-FR"/>
              </w:rPr>
              <w:t>santé ?</w:t>
            </w:r>
          </w:p>
          <w:p w14:paraId="00BF61AC" w14:textId="2C0FF631" w:rsidR="009B35FB" w:rsidRPr="00B35A76" w:rsidRDefault="009B35FB" w:rsidP="009B35FB">
            <w:pPr>
              <w:numPr>
                <w:ilvl w:val="1"/>
                <w:numId w:val="29"/>
              </w:numPr>
              <w:jc w:val="both"/>
              <w:rPr>
                <w:lang w:val="fr-FR"/>
              </w:rPr>
            </w:pPr>
            <w:r w:rsidRPr="00B35A76">
              <w:rPr>
                <w:lang w:val="fr-FR"/>
              </w:rPr>
              <w:t xml:space="preserve">Qui </w:t>
            </w:r>
            <w:proofErr w:type="gramStart"/>
            <w:r w:rsidRPr="00B35A76">
              <w:rPr>
                <w:lang w:val="fr-FR"/>
              </w:rPr>
              <w:t>sera en charge</w:t>
            </w:r>
            <w:proofErr w:type="gramEnd"/>
            <w:r w:rsidRPr="00B35A76">
              <w:rPr>
                <w:lang w:val="fr-FR"/>
              </w:rPr>
              <w:t xml:space="preserve"> du paiement de la facture (si besoin</w:t>
            </w:r>
            <w:r w:rsidR="006B21AA" w:rsidRPr="00B35A76">
              <w:rPr>
                <w:lang w:val="fr-FR"/>
              </w:rPr>
              <w:t>) ;</w:t>
            </w:r>
          </w:p>
          <w:p w14:paraId="4912B456" w14:textId="77777777" w:rsidR="009B35FB" w:rsidRPr="008D7220" w:rsidRDefault="009B35FB" w:rsidP="009B35FB">
            <w:pPr>
              <w:numPr>
                <w:ilvl w:val="1"/>
                <w:numId w:val="29"/>
              </w:numPr>
              <w:jc w:val="both"/>
              <w:rPr>
                <w:color w:val="000000"/>
                <w:szCs w:val="22"/>
              </w:rPr>
            </w:pPr>
            <w:proofErr w:type="spellStart"/>
            <w:r>
              <w:rPr>
                <w:color w:val="000000"/>
                <w:szCs w:val="22"/>
              </w:rPr>
              <w:t>Etc</w:t>
            </w:r>
            <w:proofErr w:type="spellEnd"/>
            <w:r>
              <w:rPr>
                <w:color w:val="000000"/>
                <w:szCs w:val="22"/>
              </w:rPr>
              <w:t>…</w:t>
            </w:r>
          </w:p>
          <w:p w14:paraId="6D9D3190" w14:textId="6BAB6303" w:rsidR="009B35FB" w:rsidRPr="009314BF" w:rsidRDefault="009B35FB" w:rsidP="00B66467">
            <w:pPr>
              <w:pStyle w:val="ListParagraph"/>
              <w:numPr>
                <w:ilvl w:val="0"/>
                <w:numId w:val="36"/>
              </w:numPr>
              <w:jc w:val="both"/>
              <w:rPr>
                <w:b/>
                <w:bCs/>
                <w:color w:val="000000"/>
                <w:szCs w:val="22"/>
                <w:lang w:val="fr-FR"/>
              </w:rPr>
            </w:pPr>
            <w:r w:rsidRPr="00B35A76">
              <w:rPr>
                <w:b/>
                <w:bCs/>
                <w:lang w:val="fr-FR"/>
              </w:rPr>
              <w:t>Système</w:t>
            </w:r>
            <w:r w:rsidRPr="009314BF">
              <w:rPr>
                <w:b/>
                <w:bCs/>
                <w:color w:val="000000"/>
                <w:szCs w:val="22"/>
                <w:lang w:val="fr-FR"/>
              </w:rPr>
              <w:t xml:space="preserve"> </w:t>
            </w:r>
            <w:r w:rsidRPr="00B35A76">
              <w:rPr>
                <w:b/>
                <w:bCs/>
                <w:lang w:val="fr-FR"/>
              </w:rPr>
              <w:t>d’Information et de Gestion Logistique (SIGL</w:t>
            </w:r>
            <w:r w:rsidR="006B21AA" w:rsidRPr="00B35A76">
              <w:rPr>
                <w:b/>
                <w:bCs/>
                <w:lang w:val="fr-FR"/>
              </w:rPr>
              <w:t>) :</w:t>
            </w:r>
          </w:p>
          <w:p w14:paraId="42836350" w14:textId="2E02E7D9" w:rsidR="009B35FB" w:rsidRPr="00B35A76" w:rsidRDefault="009B35FB" w:rsidP="00B66467">
            <w:pPr>
              <w:pStyle w:val="ListParagraph"/>
              <w:numPr>
                <w:ilvl w:val="1"/>
                <w:numId w:val="10"/>
              </w:numPr>
              <w:jc w:val="both"/>
              <w:rPr>
                <w:lang w:val="fr-FR"/>
              </w:rPr>
            </w:pPr>
            <w:r w:rsidRPr="00B35A76">
              <w:rPr>
                <w:lang w:val="fr-FR"/>
              </w:rPr>
              <w:t xml:space="preserve">Quels outils de gestion utiliser au niveau central, et périphérique pour un système d’information et de gestion logistique intégré ? </w:t>
            </w:r>
          </w:p>
          <w:p w14:paraId="4585D399" w14:textId="77777777" w:rsidR="009B35FB" w:rsidRPr="00B35A76" w:rsidRDefault="009B35FB" w:rsidP="00B35A76">
            <w:pPr>
              <w:pStyle w:val="ListParagraph"/>
              <w:numPr>
                <w:ilvl w:val="1"/>
                <w:numId w:val="10"/>
              </w:numPr>
              <w:jc w:val="both"/>
              <w:rPr>
                <w:lang w:val="fr-FR"/>
              </w:rPr>
            </w:pPr>
            <w:r w:rsidRPr="00B35A76">
              <w:rPr>
                <w:lang w:val="fr-FR"/>
              </w:rPr>
              <w:t>Quelles informations doivent-elles être générées et utilisées à quels niveaux, du niveau central au niveau périphérique ? ;</w:t>
            </w:r>
          </w:p>
          <w:p w14:paraId="3A135EC3" w14:textId="42464A7E" w:rsidR="009B35FB" w:rsidRPr="00B35A76" w:rsidRDefault="009B35FB" w:rsidP="00B66467">
            <w:pPr>
              <w:pStyle w:val="ListParagraph"/>
              <w:numPr>
                <w:ilvl w:val="1"/>
                <w:numId w:val="10"/>
              </w:numPr>
              <w:jc w:val="both"/>
              <w:rPr>
                <w:lang w:val="fr-FR"/>
              </w:rPr>
            </w:pPr>
            <w:r w:rsidRPr="00B35A76">
              <w:rPr>
                <w:lang w:val="fr-FR"/>
              </w:rPr>
              <w:t>Qui sera responsable de générer, analyser et disséminer l’information à chaque niveau de la chaine d’approvisionnement</w:t>
            </w:r>
            <w:r w:rsidR="00B35A76">
              <w:rPr>
                <w:lang w:val="fr-FR"/>
              </w:rPr>
              <w:t> ?</w:t>
            </w:r>
          </w:p>
          <w:p w14:paraId="142731F0" w14:textId="77777777" w:rsidR="009B35FB" w:rsidRPr="00B35A76" w:rsidRDefault="009B35FB" w:rsidP="00B66467">
            <w:pPr>
              <w:numPr>
                <w:ilvl w:val="1"/>
                <w:numId w:val="10"/>
              </w:numPr>
              <w:jc w:val="both"/>
              <w:rPr>
                <w:lang w:val="fr-FR"/>
              </w:rPr>
            </w:pPr>
            <w:r w:rsidRPr="00B35A76">
              <w:rPr>
                <w:lang w:val="fr-FR"/>
              </w:rPr>
              <w:t xml:space="preserve">Quel circuit pour le système d’information logistique ?   </w:t>
            </w:r>
          </w:p>
          <w:p w14:paraId="3EB38886" w14:textId="2D85EAC4" w:rsidR="009B35FB" w:rsidRPr="00B35A76" w:rsidRDefault="009B35FB" w:rsidP="00B66467">
            <w:pPr>
              <w:numPr>
                <w:ilvl w:val="1"/>
                <w:numId w:val="10"/>
              </w:numPr>
              <w:jc w:val="both"/>
              <w:rPr>
                <w:lang w:val="fr-FR"/>
              </w:rPr>
            </w:pPr>
            <w:r w:rsidRPr="00B35A76">
              <w:rPr>
                <w:lang w:val="fr-FR"/>
              </w:rPr>
              <w:t>Etc…</w:t>
            </w:r>
          </w:p>
          <w:p w14:paraId="058C2EAF" w14:textId="77777777" w:rsidR="00B66467" w:rsidRPr="008E6687" w:rsidRDefault="00B66467" w:rsidP="00B66467">
            <w:pPr>
              <w:ind w:left="1440"/>
              <w:jc w:val="both"/>
              <w:rPr>
                <w:color w:val="000000"/>
                <w:szCs w:val="22"/>
              </w:rPr>
            </w:pPr>
          </w:p>
          <w:p w14:paraId="08894956" w14:textId="706875F3" w:rsidR="009B35FB" w:rsidRPr="00B35A76" w:rsidRDefault="009B35FB" w:rsidP="00A75A95">
            <w:pPr>
              <w:pStyle w:val="ListParagraph"/>
              <w:numPr>
                <w:ilvl w:val="0"/>
                <w:numId w:val="36"/>
              </w:numPr>
              <w:jc w:val="both"/>
              <w:rPr>
                <w:b/>
                <w:bCs/>
                <w:lang w:val="fr-FR"/>
              </w:rPr>
            </w:pPr>
            <w:r w:rsidRPr="00B35A76">
              <w:rPr>
                <w:b/>
                <w:bCs/>
                <w:lang w:val="fr-FR"/>
              </w:rPr>
              <w:t xml:space="preserve">Financement et mobilisation des ressources relatifs aux coûts d’opérationnalisation et du fonctionnement de la chaine d’approvisionnement intégrée (électricité, eau, maintenance équipements et bâtiments, etc…). </w:t>
            </w:r>
          </w:p>
          <w:p w14:paraId="392F6D37" w14:textId="46A80A25" w:rsidR="00B66467" w:rsidRPr="00B35A76" w:rsidRDefault="009B35FB" w:rsidP="00A75A95">
            <w:pPr>
              <w:numPr>
                <w:ilvl w:val="1"/>
                <w:numId w:val="36"/>
              </w:numPr>
              <w:jc w:val="both"/>
              <w:rPr>
                <w:lang w:val="fr-FR"/>
              </w:rPr>
            </w:pPr>
            <w:r w:rsidRPr="00B35A76">
              <w:rPr>
                <w:lang w:val="fr-FR"/>
              </w:rPr>
              <w:t xml:space="preserve">Il s’agira de déterminer comment et par qui ces coûts </w:t>
            </w:r>
            <w:proofErr w:type="spellStart"/>
            <w:r w:rsidRPr="00B35A76">
              <w:rPr>
                <w:lang w:val="fr-FR"/>
              </w:rPr>
              <w:t>seront-ils</w:t>
            </w:r>
            <w:proofErr w:type="spellEnd"/>
            <w:r w:rsidRPr="00B35A76">
              <w:rPr>
                <w:lang w:val="fr-FR"/>
              </w:rPr>
              <w:t xml:space="preserve"> pris en charge.</w:t>
            </w:r>
          </w:p>
          <w:p w14:paraId="379A178A" w14:textId="77777777" w:rsidR="00B66467" w:rsidRPr="001522BE" w:rsidRDefault="00B66467" w:rsidP="00B66467">
            <w:pPr>
              <w:jc w:val="both"/>
              <w:rPr>
                <w:sz w:val="20"/>
                <w:szCs w:val="20"/>
                <w:lang w:val="fr-FR"/>
              </w:rPr>
            </w:pPr>
          </w:p>
          <w:p w14:paraId="445BDF8B" w14:textId="64BCA3F3" w:rsidR="009B35FB" w:rsidRPr="00112FC3" w:rsidRDefault="009B35FB" w:rsidP="00A75A95">
            <w:pPr>
              <w:pStyle w:val="ListParagraph"/>
              <w:numPr>
                <w:ilvl w:val="0"/>
                <w:numId w:val="36"/>
              </w:numPr>
              <w:jc w:val="both"/>
              <w:rPr>
                <w:b/>
                <w:bCs/>
                <w:lang w:val="fr-CI"/>
              </w:rPr>
            </w:pPr>
            <w:r w:rsidRPr="00A75A95">
              <w:rPr>
                <w:b/>
                <w:bCs/>
                <w:color w:val="000000"/>
                <w:szCs w:val="22"/>
              </w:rPr>
              <w:t xml:space="preserve">Politiques et cadres </w:t>
            </w:r>
            <w:r w:rsidRPr="00112FC3">
              <w:rPr>
                <w:b/>
                <w:bCs/>
                <w:lang w:val="fr-CI"/>
              </w:rPr>
              <w:t>réglementaires</w:t>
            </w:r>
          </w:p>
          <w:p w14:paraId="64A54956" w14:textId="77777777" w:rsidR="00B66467" w:rsidRPr="00A75A95" w:rsidRDefault="00B66467" w:rsidP="00B66467">
            <w:pPr>
              <w:ind w:left="50"/>
              <w:jc w:val="both"/>
              <w:rPr>
                <w:b/>
                <w:bCs/>
                <w:color w:val="000000"/>
                <w:sz w:val="18"/>
                <w:szCs w:val="16"/>
              </w:rPr>
            </w:pPr>
          </w:p>
          <w:p w14:paraId="139BB084" w14:textId="4792A72C" w:rsidR="009B35FB" w:rsidRPr="00B66467" w:rsidRDefault="009B35FB" w:rsidP="00A75A95">
            <w:pPr>
              <w:numPr>
                <w:ilvl w:val="0"/>
                <w:numId w:val="36"/>
              </w:numPr>
              <w:jc w:val="both"/>
              <w:rPr>
                <w:b/>
                <w:bCs/>
                <w:color w:val="000000"/>
                <w:szCs w:val="22"/>
              </w:rPr>
            </w:pPr>
            <w:proofErr w:type="spellStart"/>
            <w:r w:rsidRPr="00B66467">
              <w:rPr>
                <w:b/>
                <w:bCs/>
                <w:color w:val="000000"/>
                <w:szCs w:val="22"/>
              </w:rPr>
              <w:t>Ressources</w:t>
            </w:r>
            <w:proofErr w:type="spellEnd"/>
            <w:r w:rsidRPr="00B66467">
              <w:rPr>
                <w:b/>
                <w:bCs/>
                <w:color w:val="000000"/>
                <w:szCs w:val="22"/>
              </w:rPr>
              <w:t xml:space="preserve"> </w:t>
            </w:r>
            <w:proofErr w:type="spellStart"/>
            <w:r w:rsidR="00AA28A8" w:rsidRPr="00B66467">
              <w:rPr>
                <w:b/>
                <w:bCs/>
                <w:color w:val="000000"/>
                <w:szCs w:val="22"/>
              </w:rPr>
              <w:t>humaines</w:t>
            </w:r>
            <w:proofErr w:type="spellEnd"/>
            <w:r w:rsidR="00AA28A8" w:rsidRPr="00B66467">
              <w:rPr>
                <w:b/>
                <w:bCs/>
                <w:color w:val="000000"/>
                <w:szCs w:val="22"/>
              </w:rPr>
              <w:t>:</w:t>
            </w:r>
            <w:r w:rsidRPr="00B66467">
              <w:rPr>
                <w:b/>
                <w:bCs/>
                <w:color w:val="000000"/>
                <w:szCs w:val="22"/>
              </w:rPr>
              <w:t xml:space="preserve"> </w:t>
            </w:r>
          </w:p>
          <w:p w14:paraId="56CF6356" w14:textId="77777777" w:rsidR="009B35FB" w:rsidRPr="00B35A76" w:rsidRDefault="009B35FB" w:rsidP="00A75A95">
            <w:pPr>
              <w:numPr>
                <w:ilvl w:val="1"/>
                <w:numId w:val="36"/>
              </w:numPr>
              <w:jc w:val="both"/>
              <w:rPr>
                <w:lang w:val="fr-CI"/>
              </w:rPr>
            </w:pPr>
            <w:r w:rsidRPr="00B35A76">
              <w:rPr>
                <w:lang w:val="fr-CI"/>
              </w:rPr>
              <w:t xml:space="preserve">Qui sera en charge des ressources humaines affectées à la gestion des intrants ? Il s’agira de déterminer concrètement comment devront travailler les agents du PEV et ceux de la PCG de manière à optimiser la gestion de la chaine d’approvisionnement. </w:t>
            </w:r>
          </w:p>
          <w:p w14:paraId="7EE17FC9" w14:textId="568729D9" w:rsidR="00B66467" w:rsidRPr="00B35A76" w:rsidRDefault="009B35FB" w:rsidP="00A75A95">
            <w:pPr>
              <w:numPr>
                <w:ilvl w:val="1"/>
                <w:numId w:val="36"/>
              </w:numPr>
              <w:jc w:val="both"/>
              <w:rPr>
                <w:lang w:val="fr-CI"/>
              </w:rPr>
            </w:pPr>
            <w:r w:rsidRPr="00B35A76">
              <w:rPr>
                <w:lang w:val="fr-CI"/>
              </w:rPr>
              <w:t xml:space="preserve">Comment intégrer le personnel de la logistique des 2 </w:t>
            </w:r>
            <w:r w:rsidR="00AA28A8" w:rsidRPr="00B35A76">
              <w:rPr>
                <w:lang w:val="fr-CI"/>
              </w:rPr>
              <w:t>structures ?</w:t>
            </w:r>
          </w:p>
          <w:p w14:paraId="2D670EF0" w14:textId="0D5E8A04" w:rsidR="003A66E0" w:rsidRPr="00B35A76" w:rsidRDefault="009B35FB" w:rsidP="00A75A95">
            <w:pPr>
              <w:numPr>
                <w:ilvl w:val="1"/>
                <w:numId w:val="36"/>
              </w:numPr>
              <w:jc w:val="both"/>
              <w:rPr>
                <w:lang w:val="fr-CI"/>
              </w:rPr>
            </w:pPr>
            <w:r w:rsidRPr="00B35A76">
              <w:rPr>
                <w:lang w:val="fr-CI"/>
              </w:rPr>
              <w:t xml:space="preserve">Etc…   </w:t>
            </w:r>
            <w:r w:rsidR="00185C7B" w:rsidRPr="00B35A76">
              <w:rPr>
                <w:lang w:val="fr-CI"/>
              </w:rPr>
              <w:t xml:space="preserve"> </w:t>
            </w:r>
          </w:p>
          <w:p w14:paraId="5FF0D35E" w14:textId="446D3A6C" w:rsidR="00167073" w:rsidRPr="00167073" w:rsidRDefault="00167073" w:rsidP="00167073">
            <w:pPr>
              <w:jc w:val="both"/>
              <w:rPr>
                <w:sz w:val="22"/>
                <w:szCs w:val="22"/>
                <w:lang w:val="fr-FR"/>
              </w:rPr>
            </w:pPr>
          </w:p>
        </w:tc>
      </w:tr>
      <w:tr w:rsidR="008A06C4" w:rsidRPr="005E2C11" w14:paraId="6EBCD4C6" w14:textId="77777777" w:rsidTr="009B35FB">
        <w:trPr>
          <w:trHeight w:val="1020"/>
        </w:trPr>
        <w:tc>
          <w:tcPr>
            <w:tcW w:w="11070" w:type="dxa"/>
            <w:gridSpan w:val="2"/>
          </w:tcPr>
          <w:p w14:paraId="265C2CAE" w14:textId="29C87C7E" w:rsidR="00B66797" w:rsidRPr="00B66467" w:rsidRDefault="00B66797" w:rsidP="00B66467">
            <w:pPr>
              <w:pStyle w:val="ListParagraph"/>
              <w:numPr>
                <w:ilvl w:val="0"/>
                <w:numId w:val="29"/>
              </w:numPr>
              <w:autoSpaceDE w:val="0"/>
              <w:autoSpaceDN w:val="0"/>
              <w:adjustRightInd w:val="0"/>
              <w:jc w:val="both"/>
              <w:rPr>
                <w:b/>
                <w:sz w:val="22"/>
                <w:szCs w:val="22"/>
                <w:lang w:val="fr-FR"/>
              </w:rPr>
            </w:pPr>
            <w:r w:rsidRPr="00B66467">
              <w:rPr>
                <w:b/>
                <w:sz w:val="22"/>
                <w:szCs w:val="22"/>
                <w:lang w:val="fr-FR"/>
              </w:rPr>
              <w:lastRenderedPageBreak/>
              <w:t xml:space="preserve">Résultats attendus :  </w:t>
            </w:r>
          </w:p>
          <w:p w14:paraId="061441E0" w14:textId="5D868239" w:rsidR="00B66467" w:rsidRPr="00A75A95" w:rsidRDefault="00B66467" w:rsidP="00B66467">
            <w:pPr>
              <w:autoSpaceDE w:val="0"/>
              <w:autoSpaceDN w:val="0"/>
              <w:adjustRightInd w:val="0"/>
              <w:jc w:val="both"/>
              <w:rPr>
                <w:lang w:val="fr-CI"/>
              </w:rPr>
            </w:pPr>
            <w:r w:rsidRPr="00A75A95">
              <w:rPr>
                <w:lang w:val="fr-CI"/>
              </w:rPr>
              <w:t>Les résultats attendus sont les suivants :</w:t>
            </w:r>
          </w:p>
          <w:p w14:paraId="522FEDC3" w14:textId="77777777" w:rsidR="00B66467" w:rsidRPr="00A75A95" w:rsidRDefault="00B66467" w:rsidP="00B66467">
            <w:pPr>
              <w:pStyle w:val="ListParagraph"/>
              <w:numPr>
                <w:ilvl w:val="0"/>
                <w:numId w:val="9"/>
              </w:numPr>
              <w:autoSpaceDE w:val="0"/>
              <w:autoSpaceDN w:val="0"/>
              <w:adjustRightInd w:val="0"/>
              <w:jc w:val="both"/>
              <w:rPr>
                <w:lang w:val="fr-CI"/>
              </w:rPr>
            </w:pPr>
            <w:r w:rsidRPr="00A75A95">
              <w:rPr>
                <w:lang w:val="fr-CI"/>
              </w:rPr>
              <w:t>Les rôles et responsabilités sont définis par fonction de la chaine d’approvisionnement et pour les 5 niveaux de la chaine d’approvisionnement et validés par le Ministère de Santé ;</w:t>
            </w:r>
          </w:p>
          <w:p w14:paraId="13C1454F" w14:textId="77777777" w:rsidR="00B66467" w:rsidRPr="00A75A95" w:rsidRDefault="00B66467" w:rsidP="00B66467">
            <w:pPr>
              <w:pStyle w:val="ListParagraph"/>
              <w:numPr>
                <w:ilvl w:val="0"/>
                <w:numId w:val="9"/>
              </w:numPr>
              <w:autoSpaceDE w:val="0"/>
              <w:autoSpaceDN w:val="0"/>
              <w:adjustRightInd w:val="0"/>
              <w:jc w:val="both"/>
              <w:rPr>
                <w:lang w:val="fr-CI"/>
              </w:rPr>
            </w:pPr>
            <w:r w:rsidRPr="00A75A95">
              <w:rPr>
                <w:lang w:val="fr-CI"/>
              </w:rPr>
              <w:t xml:space="preserve">Un manuel de procédure et un cahier de charge sont élaborés pour la mise en œuvre des fonctions de la chaine d’approvisionnement ; </w:t>
            </w:r>
          </w:p>
          <w:p w14:paraId="788C97A6" w14:textId="77777777" w:rsidR="00B66467" w:rsidRPr="00A75A95" w:rsidRDefault="00B66467" w:rsidP="00B66467">
            <w:pPr>
              <w:pStyle w:val="ListParagraph"/>
              <w:numPr>
                <w:ilvl w:val="0"/>
                <w:numId w:val="9"/>
              </w:numPr>
              <w:autoSpaceDE w:val="0"/>
              <w:autoSpaceDN w:val="0"/>
              <w:adjustRightInd w:val="0"/>
              <w:jc w:val="both"/>
              <w:rPr>
                <w:lang w:val="fr-CI"/>
              </w:rPr>
            </w:pPr>
            <w:r w:rsidRPr="00A75A95">
              <w:rPr>
                <w:lang w:val="fr-CI"/>
              </w:rPr>
              <w:t xml:space="preserve">Les besoins de renforcement de capacités (RH, Logistique roulante et équipements) de la PCG et du PEV sont identifiés ;  </w:t>
            </w:r>
          </w:p>
          <w:p w14:paraId="54EDCB98" w14:textId="772BA692" w:rsidR="005E18A0" w:rsidRPr="00A75A95" w:rsidRDefault="00B66467" w:rsidP="00B66467">
            <w:pPr>
              <w:pStyle w:val="ListParagraph"/>
              <w:numPr>
                <w:ilvl w:val="0"/>
                <w:numId w:val="9"/>
              </w:numPr>
              <w:autoSpaceDE w:val="0"/>
              <w:autoSpaceDN w:val="0"/>
              <w:adjustRightInd w:val="0"/>
              <w:jc w:val="both"/>
              <w:rPr>
                <w:lang w:val="fr-FR"/>
              </w:rPr>
            </w:pPr>
            <w:r w:rsidRPr="00A75A95">
              <w:rPr>
                <w:lang w:val="fr-CI"/>
              </w:rPr>
              <w:t>Des hypothèses de coûts de gestion des vaccins et intrants du PEV par la PCG sont élaborés et validés par les parties prenantes conformément aux fonctions retenues.</w:t>
            </w:r>
            <w:r w:rsidR="005E18A0" w:rsidRPr="00A75A95">
              <w:rPr>
                <w:lang w:val="fr-FR"/>
              </w:rPr>
              <w:t xml:space="preserve"> </w:t>
            </w:r>
          </w:p>
          <w:p w14:paraId="0F1D4618" w14:textId="77777777" w:rsidR="00B66467" w:rsidRDefault="00B66467" w:rsidP="00B66467">
            <w:pPr>
              <w:pStyle w:val="ListParagraph"/>
              <w:autoSpaceDE w:val="0"/>
              <w:autoSpaceDN w:val="0"/>
              <w:adjustRightInd w:val="0"/>
              <w:ind w:left="675"/>
              <w:jc w:val="both"/>
              <w:rPr>
                <w:sz w:val="22"/>
                <w:szCs w:val="22"/>
                <w:lang w:val="fr-FR"/>
              </w:rPr>
            </w:pPr>
          </w:p>
          <w:p w14:paraId="126A4563" w14:textId="77777777" w:rsidR="00816887" w:rsidRDefault="00816887" w:rsidP="00B66467">
            <w:pPr>
              <w:pStyle w:val="ListParagraph"/>
              <w:autoSpaceDE w:val="0"/>
              <w:autoSpaceDN w:val="0"/>
              <w:adjustRightInd w:val="0"/>
              <w:ind w:left="675"/>
              <w:jc w:val="both"/>
              <w:rPr>
                <w:sz w:val="22"/>
                <w:szCs w:val="22"/>
                <w:lang w:val="fr-FR"/>
              </w:rPr>
            </w:pPr>
          </w:p>
          <w:p w14:paraId="62A85474" w14:textId="7116CAAD" w:rsidR="00816887" w:rsidRPr="00167073" w:rsidRDefault="00816887" w:rsidP="00B66467">
            <w:pPr>
              <w:pStyle w:val="ListParagraph"/>
              <w:autoSpaceDE w:val="0"/>
              <w:autoSpaceDN w:val="0"/>
              <w:adjustRightInd w:val="0"/>
              <w:ind w:left="675"/>
              <w:jc w:val="both"/>
              <w:rPr>
                <w:sz w:val="22"/>
                <w:szCs w:val="22"/>
                <w:lang w:val="fr-FR"/>
              </w:rPr>
            </w:pPr>
          </w:p>
        </w:tc>
      </w:tr>
      <w:tr w:rsidR="008A06C4" w:rsidRPr="005E2C11" w14:paraId="211B6583" w14:textId="77777777" w:rsidTr="009B35FB">
        <w:trPr>
          <w:trHeight w:val="1020"/>
        </w:trPr>
        <w:tc>
          <w:tcPr>
            <w:tcW w:w="11070" w:type="dxa"/>
            <w:gridSpan w:val="2"/>
          </w:tcPr>
          <w:p w14:paraId="6625AECB" w14:textId="6571EC73" w:rsidR="00B66467" w:rsidRPr="00B66467" w:rsidRDefault="00B66467" w:rsidP="00B66467">
            <w:pPr>
              <w:pStyle w:val="ListParagraph"/>
              <w:numPr>
                <w:ilvl w:val="0"/>
                <w:numId w:val="29"/>
              </w:numPr>
              <w:jc w:val="both"/>
              <w:rPr>
                <w:b/>
                <w:bCs/>
              </w:rPr>
            </w:pPr>
            <w:proofErr w:type="spellStart"/>
            <w:r w:rsidRPr="00B66467">
              <w:rPr>
                <w:b/>
                <w:bCs/>
              </w:rPr>
              <w:t>Méthodologie</w:t>
            </w:r>
            <w:proofErr w:type="spellEnd"/>
          </w:p>
          <w:p w14:paraId="1159FB08" w14:textId="77777777" w:rsidR="00B66467" w:rsidRPr="00A75A95" w:rsidRDefault="00B66467" w:rsidP="00B66467">
            <w:pPr>
              <w:jc w:val="both"/>
              <w:rPr>
                <w:lang w:val="fr-FR"/>
              </w:rPr>
            </w:pPr>
            <w:r w:rsidRPr="00A75A95">
              <w:rPr>
                <w:lang w:val="fr-FR"/>
              </w:rPr>
              <w:t xml:space="preserve">Ce travail sera réalisé en 3 étapes à savoir :  </w:t>
            </w:r>
          </w:p>
          <w:p w14:paraId="44000CB1" w14:textId="3BD9901D" w:rsidR="00B66467" w:rsidRPr="00A75A95" w:rsidRDefault="00B66467" w:rsidP="00A75A95">
            <w:pPr>
              <w:pStyle w:val="ListParagraph"/>
              <w:numPr>
                <w:ilvl w:val="0"/>
                <w:numId w:val="37"/>
              </w:numPr>
              <w:jc w:val="both"/>
              <w:rPr>
                <w:lang w:val="fr-FR"/>
              </w:rPr>
            </w:pPr>
            <w:r w:rsidRPr="00A75A95">
              <w:rPr>
                <w:lang w:val="fr-FR"/>
              </w:rPr>
              <w:t>L’atteinte du résultat 1 mentionné dans la section 7 où la proposition des rôles et responsabilités est défini par fonction de la chaine d’approvisionnement et pour les 5 niveaux de la chaine d’approvisionnement et validé par le Ministère de Santé ;</w:t>
            </w:r>
          </w:p>
          <w:p w14:paraId="50F3B146" w14:textId="68018972" w:rsidR="00B66467" w:rsidRPr="00A75A95" w:rsidRDefault="00B66467" w:rsidP="00A75A95">
            <w:pPr>
              <w:pStyle w:val="ListParagraph"/>
              <w:numPr>
                <w:ilvl w:val="0"/>
                <w:numId w:val="37"/>
              </w:numPr>
              <w:jc w:val="both"/>
              <w:rPr>
                <w:lang w:val="fr-FR"/>
              </w:rPr>
            </w:pPr>
            <w:r w:rsidRPr="00A75A95">
              <w:rPr>
                <w:lang w:val="fr-FR"/>
              </w:rPr>
              <w:t>L’atteinte des résultats 2 et 3, c’est à dire la production du manuel et du cahier de charges sont élaborés et les besoins de renforcement sont identifiés ;</w:t>
            </w:r>
          </w:p>
          <w:p w14:paraId="2FE4B581" w14:textId="179AC223" w:rsidR="00B66467" w:rsidRPr="00A75A95" w:rsidRDefault="00B66467" w:rsidP="00A75A95">
            <w:pPr>
              <w:pStyle w:val="ListParagraph"/>
              <w:numPr>
                <w:ilvl w:val="0"/>
                <w:numId w:val="37"/>
              </w:numPr>
              <w:jc w:val="both"/>
              <w:rPr>
                <w:lang w:val="fr-FR"/>
              </w:rPr>
            </w:pPr>
            <w:r w:rsidRPr="00A75A95">
              <w:rPr>
                <w:lang w:val="fr-FR"/>
              </w:rPr>
              <w:t>L’atteinte du résultat 4 où les notions de tarifications de la PCG pour le stockage, le transport/distribution et la gestion des vaccins sont définies en fonction des normes logistiques.</w:t>
            </w:r>
          </w:p>
          <w:p w14:paraId="7413DEFE" w14:textId="77777777" w:rsidR="00B66467" w:rsidRPr="00B66467" w:rsidRDefault="00B66467" w:rsidP="00B66467">
            <w:pPr>
              <w:jc w:val="both"/>
              <w:rPr>
                <w:sz w:val="22"/>
                <w:szCs w:val="22"/>
                <w:lang w:val="fr-FR"/>
              </w:rPr>
            </w:pPr>
          </w:p>
          <w:p w14:paraId="395E9AE7" w14:textId="77777777" w:rsidR="00B66467" w:rsidRPr="00A75A95" w:rsidRDefault="00B66467" w:rsidP="00B66467">
            <w:pPr>
              <w:jc w:val="both"/>
              <w:rPr>
                <w:lang w:val="fr-FR"/>
              </w:rPr>
            </w:pPr>
            <w:r w:rsidRPr="00A75A95">
              <w:rPr>
                <w:lang w:val="fr-FR"/>
              </w:rPr>
              <w:t xml:space="preserve">Le consultant proposera un guide d’entretien pour faciliter les discussions avec les acteurs impliqués dans la gestion des entrepôts du PEV et de la PCG. Les entretiens sur Zoom ou Teams avec option ‘’Enregistrement’’ afin de faciliter la transmission par écrit par le consultant. Les personnes cibles de l’entretien sont : </w:t>
            </w:r>
          </w:p>
          <w:p w14:paraId="7D6967A8" w14:textId="00526CBE" w:rsidR="00B66467" w:rsidRPr="00A75A95" w:rsidRDefault="00B66467" w:rsidP="00A75A95">
            <w:pPr>
              <w:pStyle w:val="ListParagraph"/>
              <w:numPr>
                <w:ilvl w:val="0"/>
                <w:numId w:val="38"/>
              </w:numPr>
              <w:jc w:val="both"/>
              <w:rPr>
                <w:lang w:val="fr-FR"/>
              </w:rPr>
            </w:pPr>
            <w:r w:rsidRPr="00A75A95">
              <w:rPr>
                <w:lang w:val="fr-FR"/>
              </w:rPr>
              <w:t>Les autorités du ministère de la santé :</w:t>
            </w:r>
          </w:p>
          <w:p w14:paraId="4FBA8CC5" w14:textId="33EBE80E" w:rsidR="00B66467" w:rsidRPr="00A75A95" w:rsidRDefault="00B66467" w:rsidP="00A75A95">
            <w:pPr>
              <w:pStyle w:val="ListParagraph"/>
              <w:numPr>
                <w:ilvl w:val="0"/>
                <w:numId w:val="39"/>
              </w:numPr>
              <w:jc w:val="both"/>
              <w:rPr>
                <w:lang w:val="fr-FR"/>
              </w:rPr>
            </w:pPr>
            <w:r w:rsidRPr="00A75A95">
              <w:rPr>
                <w:lang w:val="fr-FR"/>
              </w:rPr>
              <w:t xml:space="preserve">Le Ministre de la santé, </w:t>
            </w:r>
          </w:p>
          <w:p w14:paraId="0FCCAC3F" w14:textId="77777777" w:rsidR="00A75A95" w:rsidRPr="00A75A95" w:rsidRDefault="00B66467" w:rsidP="00A75A95">
            <w:pPr>
              <w:pStyle w:val="ListParagraph"/>
              <w:numPr>
                <w:ilvl w:val="0"/>
                <w:numId w:val="39"/>
              </w:numPr>
              <w:jc w:val="both"/>
              <w:rPr>
                <w:lang w:val="fr-FR"/>
              </w:rPr>
            </w:pPr>
            <w:r w:rsidRPr="00A75A95">
              <w:rPr>
                <w:lang w:val="fr-FR"/>
              </w:rPr>
              <w:t xml:space="preserve">Le Secrétaire General du ministère de la sante, </w:t>
            </w:r>
          </w:p>
          <w:p w14:paraId="0A6ED675" w14:textId="42D8BCB8" w:rsidR="00B66467" w:rsidRPr="00A75A95" w:rsidRDefault="00B66467" w:rsidP="00A75A95">
            <w:pPr>
              <w:pStyle w:val="ListParagraph"/>
              <w:numPr>
                <w:ilvl w:val="0"/>
                <w:numId w:val="39"/>
              </w:numPr>
              <w:jc w:val="both"/>
              <w:rPr>
                <w:lang w:val="fr-FR"/>
              </w:rPr>
            </w:pPr>
            <w:r w:rsidRPr="00A75A95">
              <w:rPr>
                <w:lang w:val="fr-FR"/>
              </w:rPr>
              <w:t xml:space="preserve">Le Conseiller principal du Ministère de la santé, </w:t>
            </w:r>
          </w:p>
          <w:p w14:paraId="5925F987" w14:textId="4A568506" w:rsidR="00B66467" w:rsidRPr="00A75A95" w:rsidRDefault="00B66467" w:rsidP="00A75A95">
            <w:pPr>
              <w:pStyle w:val="ListParagraph"/>
              <w:numPr>
                <w:ilvl w:val="0"/>
                <w:numId w:val="39"/>
              </w:numPr>
              <w:jc w:val="both"/>
              <w:rPr>
                <w:lang w:val="fr-FR"/>
              </w:rPr>
            </w:pPr>
            <w:r w:rsidRPr="00A75A95">
              <w:rPr>
                <w:lang w:val="fr-FR"/>
              </w:rPr>
              <w:t>Le Conseiller chargé de Missions du Ministère de la santé</w:t>
            </w:r>
          </w:p>
          <w:p w14:paraId="20E2A4A2" w14:textId="7186A2AE" w:rsidR="00B66467" w:rsidRPr="00A75A95" w:rsidRDefault="00B66467" w:rsidP="00A75A95">
            <w:pPr>
              <w:pStyle w:val="ListParagraph"/>
              <w:numPr>
                <w:ilvl w:val="0"/>
                <w:numId w:val="39"/>
              </w:numPr>
              <w:jc w:val="both"/>
              <w:rPr>
                <w:lang w:val="fr-FR"/>
              </w:rPr>
            </w:pPr>
            <w:r w:rsidRPr="00A75A95">
              <w:rPr>
                <w:lang w:val="fr-FR"/>
              </w:rPr>
              <w:t xml:space="preserve">La Directrice Nationale des Grandes Endémies et de la Lutte contre la Maladie  </w:t>
            </w:r>
          </w:p>
          <w:p w14:paraId="31D2A69B" w14:textId="29C66066" w:rsidR="00B66467" w:rsidRPr="00A75A95" w:rsidRDefault="00B66467" w:rsidP="00A75A95">
            <w:pPr>
              <w:pStyle w:val="ListParagraph"/>
              <w:numPr>
                <w:ilvl w:val="0"/>
                <w:numId w:val="39"/>
              </w:numPr>
              <w:jc w:val="both"/>
              <w:rPr>
                <w:lang w:val="fr-FR"/>
              </w:rPr>
            </w:pPr>
            <w:r w:rsidRPr="00A75A95">
              <w:rPr>
                <w:lang w:val="fr-FR"/>
              </w:rPr>
              <w:t>Le Directeur National de la Santé communautaire</w:t>
            </w:r>
          </w:p>
          <w:p w14:paraId="794E5448" w14:textId="7DB9BA8C" w:rsidR="00B66467" w:rsidRPr="00A75A95" w:rsidRDefault="00B66467" w:rsidP="00A75A95">
            <w:pPr>
              <w:pStyle w:val="ListParagraph"/>
              <w:numPr>
                <w:ilvl w:val="0"/>
                <w:numId w:val="39"/>
              </w:numPr>
              <w:jc w:val="both"/>
              <w:rPr>
                <w:lang w:val="fr-FR"/>
              </w:rPr>
            </w:pPr>
            <w:r w:rsidRPr="00A75A95">
              <w:rPr>
                <w:lang w:val="fr-FR"/>
              </w:rPr>
              <w:t>La Direction Nationale de la Pharmacie et du Médicament (DNPM) qui est chargée d’assurer les fonctions de l'autorité nationale de règlementation ;</w:t>
            </w:r>
          </w:p>
          <w:p w14:paraId="4D045567" w14:textId="1E1EC15B" w:rsidR="00B66467" w:rsidRPr="00A75A95" w:rsidRDefault="00B66467" w:rsidP="00A75A95">
            <w:pPr>
              <w:pStyle w:val="ListParagraph"/>
              <w:numPr>
                <w:ilvl w:val="0"/>
                <w:numId w:val="39"/>
              </w:numPr>
              <w:jc w:val="both"/>
              <w:rPr>
                <w:lang w:val="fr-FR"/>
              </w:rPr>
            </w:pPr>
            <w:r w:rsidRPr="00A75A95">
              <w:rPr>
                <w:lang w:val="fr-FR"/>
              </w:rPr>
              <w:t xml:space="preserve">L’Unité de Gestion Logistique (UGL) rattachée </w:t>
            </w:r>
            <w:proofErr w:type="spellStart"/>
            <w:r w:rsidRPr="00A75A95">
              <w:rPr>
                <w:lang w:val="fr-FR"/>
              </w:rPr>
              <w:t>a</w:t>
            </w:r>
            <w:proofErr w:type="spellEnd"/>
            <w:r w:rsidRPr="00A75A95">
              <w:rPr>
                <w:lang w:val="fr-FR"/>
              </w:rPr>
              <w:t xml:space="preserve"> la DNPM</w:t>
            </w:r>
          </w:p>
          <w:p w14:paraId="3A4D2503" w14:textId="641684AA" w:rsidR="00B66467" w:rsidRPr="00A75A95" w:rsidRDefault="00B66467" w:rsidP="00A75A95">
            <w:pPr>
              <w:pStyle w:val="ListParagraph"/>
              <w:numPr>
                <w:ilvl w:val="0"/>
                <w:numId w:val="40"/>
              </w:numPr>
              <w:jc w:val="both"/>
              <w:rPr>
                <w:lang w:val="fr-FR"/>
              </w:rPr>
            </w:pPr>
            <w:r w:rsidRPr="00A75A95">
              <w:rPr>
                <w:lang w:val="fr-FR"/>
              </w:rPr>
              <w:t>Le Président du Comité de pilotage de la construction de l’entrepôt de la PCG</w:t>
            </w:r>
          </w:p>
          <w:p w14:paraId="3C91C0B4" w14:textId="6C21149C" w:rsidR="00B66467" w:rsidRPr="00A75A95" w:rsidRDefault="00A75A95" w:rsidP="00A75A95">
            <w:pPr>
              <w:pStyle w:val="ListParagraph"/>
              <w:numPr>
                <w:ilvl w:val="0"/>
                <w:numId w:val="40"/>
              </w:numPr>
              <w:jc w:val="both"/>
              <w:rPr>
                <w:lang w:val="fr-FR"/>
              </w:rPr>
            </w:pPr>
            <w:r w:rsidRPr="00A75A95">
              <w:rPr>
                <w:lang w:val="fr-FR"/>
              </w:rPr>
              <w:t>L</w:t>
            </w:r>
            <w:r w:rsidR="00B66467" w:rsidRPr="00A75A95">
              <w:rPr>
                <w:lang w:val="fr-FR"/>
              </w:rPr>
              <w:t>’Ingénieur Chef du projet de l’entrepôt de la PCG ;</w:t>
            </w:r>
          </w:p>
          <w:p w14:paraId="7CE94DAB" w14:textId="0D4D0C8C" w:rsidR="00F0220A" w:rsidRPr="00A75A95" w:rsidRDefault="00B66467" w:rsidP="00A75A95">
            <w:pPr>
              <w:pStyle w:val="ListParagraph"/>
              <w:numPr>
                <w:ilvl w:val="0"/>
                <w:numId w:val="40"/>
              </w:numPr>
              <w:jc w:val="both"/>
              <w:rPr>
                <w:lang w:val="fr-FR"/>
              </w:rPr>
            </w:pPr>
            <w:proofErr w:type="spellStart"/>
            <w:r w:rsidRPr="00A75A95">
              <w:rPr>
                <w:lang w:val="fr-FR"/>
              </w:rPr>
              <w:t>Chemonics</w:t>
            </w:r>
            <w:proofErr w:type="spellEnd"/>
            <w:r w:rsidRPr="00A75A95">
              <w:rPr>
                <w:lang w:val="fr-FR"/>
              </w:rPr>
              <w:t>/</w:t>
            </w:r>
            <w:proofErr w:type="spellStart"/>
            <w:r w:rsidRPr="00A75A95">
              <w:rPr>
                <w:lang w:val="fr-FR"/>
              </w:rPr>
              <w:t>eLMIS</w:t>
            </w:r>
            <w:proofErr w:type="spellEnd"/>
            <w:r w:rsidRPr="00A75A95">
              <w:rPr>
                <w:lang w:val="fr-FR"/>
              </w:rPr>
              <w:t xml:space="preserve"> ;</w:t>
            </w:r>
          </w:p>
          <w:p w14:paraId="174D1777" w14:textId="77777777" w:rsidR="00A75A95" w:rsidRPr="00A75A95" w:rsidRDefault="00A75A95" w:rsidP="00A75A95">
            <w:pPr>
              <w:pStyle w:val="ListParagraph"/>
              <w:numPr>
                <w:ilvl w:val="0"/>
                <w:numId w:val="40"/>
              </w:numPr>
              <w:jc w:val="both"/>
              <w:rPr>
                <w:lang w:val="fr-FR"/>
              </w:rPr>
            </w:pPr>
            <w:r w:rsidRPr="00A75A95">
              <w:rPr>
                <w:lang w:val="fr-FR"/>
              </w:rPr>
              <w:t>La Coordination du PEV :</w:t>
            </w:r>
          </w:p>
          <w:p w14:paraId="038A00A2" w14:textId="77777777" w:rsidR="00A75A95" w:rsidRPr="00A75A95" w:rsidRDefault="00A75A95" w:rsidP="00A75A95">
            <w:pPr>
              <w:pStyle w:val="ListParagraph"/>
              <w:numPr>
                <w:ilvl w:val="0"/>
                <w:numId w:val="39"/>
              </w:numPr>
              <w:jc w:val="both"/>
              <w:rPr>
                <w:lang w:val="fr-FR"/>
              </w:rPr>
            </w:pPr>
            <w:r w:rsidRPr="00A75A95">
              <w:rPr>
                <w:lang w:val="fr-FR"/>
              </w:rPr>
              <w:t>Le Coordonnateur National du PEV</w:t>
            </w:r>
          </w:p>
          <w:p w14:paraId="6046F681" w14:textId="77777777" w:rsidR="00A75A95" w:rsidRPr="00A75A95" w:rsidRDefault="00A75A95" w:rsidP="00A75A95">
            <w:pPr>
              <w:pStyle w:val="ListParagraph"/>
              <w:numPr>
                <w:ilvl w:val="0"/>
                <w:numId w:val="39"/>
              </w:numPr>
              <w:jc w:val="both"/>
              <w:rPr>
                <w:lang w:val="fr-FR"/>
              </w:rPr>
            </w:pPr>
            <w:r w:rsidRPr="00A75A95">
              <w:rPr>
                <w:lang w:val="fr-FR"/>
              </w:rPr>
              <w:t>Les services techniques</w:t>
            </w:r>
          </w:p>
          <w:p w14:paraId="1D6BA0C9" w14:textId="77777777" w:rsidR="00A75A95" w:rsidRPr="00A75A95" w:rsidRDefault="00A75A95" w:rsidP="00A75A95">
            <w:pPr>
              <w:pStyle w:val="ListParagraph"/>
              <w:numPr>
                <w:ilvl w:val="0"/>
                <w:numId w:val="40"/>
              </w:numPr>
              <w:jc w:val="both"/>
              <w:rPr>
                <w:lang w:val="fr-FR"/>
              </w:rPr>
            </w:pPr>
            <w:r w:rsidRPr="00A75A95">
              <w:rPr>
                <w:lang w:val="fr-FR"/>
              </w:rPr>
              <w:t>La Pharmacie Centrale de Guinee (PCG)</w:t>
            </w:r>
          </w:p>
          <w:p w14:paraId="45040467" w14:textId="77777777" w:rsidR="00A75A95" w:rsidRPr="00A75A95" w:rsidRDefault="00A75A95" w:rsidP="00A75A95">
            <w:pPr>
              <w:pStyle w:val="ListParagraph"/>
              <w:numPr>
                <w:ilvl w:val="0"/>
                <w:numId w:val="39"/>
              </w:numPr>
              <w:jc w:val="both"/>
              <w:rPr>
                <w:lang w:val="fr-FR"/>
              </w:rPr>
            </w:pPr>
            <w:r w:rsidRPr="00A75A95">
              <w:rPr>
                <w:lang w:val="fr-FR"/>
              </w:rPr>
              <w:t>Le Directeur Général</w:t>
            </w:r>
          </w:p>
          <w:p w14:paraId="4629C4E6" w14:textId="77777777" w:rsidR="00A75A95" w:rsidRPr="00A75A95" w:rsidRDefault="00A75A95" w:rsidP="00A75A95">
            <w:pPr>
              <w:pStyle w:val="ListParagraph"/>
              <w:numPr>
                <w:ilvl w:val="0"/>
                <w:numId w:val="39"/>
              </w:numPr>
              <w:jc w:val="both"/>
              <w:rPr>
                <w:lang w:val="fr-FR"/>
              </w:rPr>
            </w:pPr>
            <w:r w:rsidRPr="00A75A95">
              <w:rPr>
                <w:lang w:val="fr-FR"/>
              </w:rPr>
              <w:t>Les services techniques</w:t>
            </w:r>
          </w:p>
          <w:p w14:paraId="4B739175" w14:textId="77777777" w:rsidR="00A75A95" w:rsidRPr="00A75A95" w:rsidRDefault="00A75A95" w:rsidP="00A75A95">
            <w:pPr>
              <w:pStyle w:val="ListParagraph"/>
              <w:numPr>
                <w:ilvl w:val="0"/>
                <w:numId w:val="39"/>
              </w:numPr>
              <w:jc w:val="both"/>
              <w:rPr>
                <w:lang w:val="fr-FR"/>
              </w:rPr>
            </w:pPr>
            <w:r w:rsidRPr="00A75A95">
              <w:rPr>
                <w:lang w:val="fr-FR"/>
              </w:rPr>
              <w:t xml:space="preserve">Au moins 02 directions régionales de la PCG  </w:t>
            </w:r>
          </w:p>
          <w:p w14:paraId="2BA0108B" w14:textId="77777777" w:rsidR="00A75A95" w:rsidRPr="00A75A95" w:rsidRDefault="00A75A95" w:rsidP="00A75A95">
            <w:pPr>
              <w:pStyle w:val="ListParagraph"/>
              <w:numPr>
                <w:ilvl w:val="0"/>
                <w:numId w:val="40"/>
              </w:numPr>
              <w:jc w:val="both"/>
              <w:rPr>
                <w:lang w:val="fr-FR"/>
              </w:rPr>
            </w:pPr>
            <w:r w:rsidRPr="00A75A95">
              <w:rPr>
                <w:lang w:val="fr-FR"/>
              </w:rPr>
              <w:t xml:space="preserve">Les partenaires impliqués dans la chaine d’approvisionnement tels que l’Organisation Mondiale de la santé, l’USAID, le FNUAP, l’UNICEF, le Fonds Mondial, CRS et </w:t>
            </w:r>
            <w:proofErr w:type="spellStart"/>
            <w:r w:rsidRPr="00A75A95">
              <w:rPr>
                <w:lang w:val="fr-FR"/>
              </w:rPr>
              <w:t>Gavi</w:t>
            </w:r>
            <w:proofErr w:type="spellEnd"/>
            <w:r w:rsidRPr="00A75A95">
              <w:rPr>
                <w:lang w:val="fr-FR"/>
              </w:rPr>
              <w:t xml:space="preserve"> et UAGCP, etc…</w:t>
            </w:r>
          </w:p>
          <w:p w14:paraId="36A77293" w14:textId="77777777" w:rsidR="00A75A95" w:rsidRPr="00A75A95" w:rsidRDefault="00A75A95" w:rsidP="00A75A95">
            <w:pPr>
              <w:pStyle w:val="ListParagraph"/>
              <w:numPr>
                <w:ilvl w:val="0"/>
                <w:numId w:val="40"/>
              </w:numPr>
              <w:jc w:val="both"/>
              <w:rPr>
                <w:lang w:val="fr-FR"/>
              </w:rPr>
            </w:pPr>
            <w:r w:rsidRPr="00A75A95">
              <w:rPr>
                <w:lang w:val="fr-FR"/>
              </w:rPr>
              <w:t>Au moins 02 Directions Régionales de la Santé ;</w:t>
            </w:r>
          </w:p>
          <w:p w14:paraId="5FE71D5E" w14:textId="50E32F38" w:rsidR="00A75A95" w:rsidRPr="00A75A95" w:rsidRDefault="00A75A95" w:rsidP="00A75A95">
            <w:pPr>
              <w:pStyle w:val="ListParagraph"/>
              <w:numPr>
                <w:ilvl w:val="0"/>
                <w:numId w:val="40"/>
              </w:numPr>
              <w:jc w:val="both"/>
              <w:rPr>
                <w:lang w:val="fr-FR"/>
              </w:rPr>
            </w:pPr>
            <w:r w:rsidRPr="00A75A95">
              <w:rPr>
                <w:lang w:val="fr-FR"/>
              </w:rPr>
              <w:t>Au moins 02 Directions Préfectorales de la Santé et 2 Centres de santé.</w:t>
            </w:r>
          </w:p>
          <w:p w14:paraId="60C282A9" w14:textId="5C6A8125" w:rsidR="00A75A95" w:rsidRPr="00A75A95" w:rsidRDefault="00A75A95" w:rsidP="00A75A95">
            <w:pPr>
              <w:jc w:val="both"/>
              <w:rPr>
                <w:sz w:val="22"/>
                <w:szCs w:val="22"/>
                <w:lang w:val="fr-FR"/>
              </w:rPr>
            </w:pPr>
          </w:p>
        </w:tc>
      </w:tr>
      <w:tr w:rsidR="00A75A95" w:rsidRPr="005E2C11" w14:paraId="27BD0E0D" w14:textId="77777777" w:rsidTr="009B35FB">
        <w:trPr>
          <w:trHeight w:val="1020"/>
        </w:trPr>
        <w:tc>
          <w:tcPr>
            <w:tcW w:w="11070" w:type="dxa"/>
            <w:gridSpan w:val="2"/>
          </w:tcPr>
          <w:p w14:paraId="65E99971" w14:textId="77777777" w:rsidR="00A75A95" w:rsidRPr="008C1352" w:rsidRDefault="00A75A95" w:rsidP="00A75A95">
            <w:pPr>
              <w:numPr>
                <w:ilvl w:val="0"/>
                <w:numId w:val="42"/>
              </w:numPr>
              <w:jc w:val="both"/>
              <w:rPr>
                <w:b/>
                <w:bCs/>
              </w:rPr>
            </w:pPr>
            <w:r w:rsidRPr="008C1352">
              <w:rPr>
                <w:b/>
                <w:bCs/>
              </w:rPr>
              <w:t>Conditions de travail</w:t>
            </w:r>
          </w:p>
          <w:p w14:paraId="4DB07977" w14:textId="77777777" w:rsidR="00A75A95" w:rsidRPr="00DB0DCE" w:rsidRDefault="00A75A95" w:rsidP="00A75A95">
            <w:pPr>
              <w:rPr>
                <w:lang w:val="fr-FR"/>
              </w:rPr>
            </w:pPr>
            <w:r w:rsidRPr="00DB0DCE">
              <w:rPr>
                <w:lang w:val="fr-FR"/>
              </w:rPr>
              <w:t xml:space="preserve">Le consultant travaillera sous la supervision du Chef Santé du bureau de l’UNICEF, en étroite collaboration avec la Spécialiste Chaine du Froid &amp; Logistique et la Coordination du PEV. </w:t>
            </w:r>
          </w:p>
          <w:p w14:paraId="063095E9" w14:textId="77777777" w:rsidR="00A75A95" w:rsidRPr="00DB0DCE" w:rsidRDefault="00A75A95" w:rsidP="00A75A95">
            <w:pPr>
              <w:rPr>
                <w:lang w:val="fr-FR"/>
              </w:rPr>
            </w:pPr>
            <w:r w:rsidRPr="00DB0DCE">
              <w:rPr>
                <w:lang w:val="fr-FR"/>
              </w:rPr>
              <w:t xml:space="preserve">Le consultant devra avoir son assurance santé personnelle valable tout au long de la période de consultance. Le consultant devra respecter les consignes de sécurité du système des Nations Unies lors de son déplacement. </w:t>
            </w:r>
          </w:p>
          <w:p w14:paraId="10F3D0A8" w14:textId="47B119EB" w:rsidR="00A75A95" w:rsidRPr="00DB0DCE" w:rsidRDefault="00A75A95" w:rsidP="00A75A95">
            <w:pPr>
              <w:rPr>
                <w:lang w:val="fr-FR"/>
              </w:rPr>
            </w:pPr>
            <w:r w:rsidRPr="00DB0DCE">
              <w:rPr>
                <w:lang w:val="fr-FR"/>
              </w:rPr>
              <w:t xml:space="preserve">Le consultant travaillera de la manière </w:t>
            </w:r>
            <w:r w:rsidR="00DB0DCE" w:rsidRPr="00DB0DCE">
              <w:rPr>
                <w:lang w:val="fr-FR"/>
              </w:rPr>
              <w:t>suivante :</w:t>
            </w:r>
          </w:p>
          <w:p w14:paraId="74987BAB" w14:textId="2B079EB0" w:rsidR="00A75A95" w:rsidRPr="00DB0DCE" w:rsidRDefault="00A75A95" w:rsidP="00DB0DCE">
            <w:pPr>
              <w:pStyle w:val="ListParagraph"/>
              <w:numPr>
                <w:ilvl w:val="0"/>
                <w:numId w:val="41"/>
              </w:numPr>
              <w:jc w:val="both"/>
              <w:rPr>
                <w:lang w:val="fr-FR"/>
              </w:rPr>
            </w:pPr>
            <w:r w:rsidRPr="00DB0DCE">
              <w:rPr>
                <w:lang w:val="fr-FR"/>
              </w:rPr>
              <w:t>Revue documentaire, élaboration de propositions schémas d’intégration/mutualisation et de</w:t>
            </w:r>
            <w:r w:rsidR="005A5C4D">
              <w:rPr>
                <w:lang w:val="fr-FR"/>
              </w:rPr>
              <w:t xml:space="preserve">s </w:t>
            </w:r>
            <w:proofErr w:type="spellStart"/>
            <w:r w:rsidR="005A5C4D">
              <w:rPr>
                <w:lang w:val="fr-FR"/>
              </w:rPr>
              <w:t>roles</w:t>
            </w:r>
            <w:proofErr w:type="spellEnd"/>
            <w:r w:rsidR="005A5C4D">
              <w:rPr>
                <w:lang w:val="fr-FR"/>
              </w:rPr>
              <w:t xml:space="preserve"> et responsabilités e</w:t>
            </w:r>
            <w:r w:rsidRPr="00DB0DCE">
              <w:rPr>
                <w:lang w:val="fr-FR"/>
              </w:rPr>
              <w:t xml:space="preserve">t validation par le Ministère de la santé </w:t>
            </w:r>
          </w:p>
          <w:p w14:paraId="18CD49A2" w14:textId="6AEC0108" w:rsidR="00A75A95" w:rsidRPr="00DB0DCE" w:rsidRDefault="00A75A95" w:rsidP="00A75A95">
            <w:pPr>
              <w:numPr>
                <w:ilvl w:val="0"/>
                <w:numId w:val="41"/>
              </w:numPr>
              <w:jc w:val="both"/>
              <w:rPr>
                <w:lang w:val="fr-FR"/>
              </w:rPr>
            </w:pPr>
            <w:r w:rsidRPr="00DB0DCE">
              <w:rPr>
                <w:lang w:val="fr-FR"/>
              </w:rPr>
              <w:t>À la suite de cette validation, élaboration du manuel et du cahier de charge</w:t>
            </w:r>
            <w:r w:rsidR="00DB0DCE">
              <w:rPr>
                <w:lang w:val="fr-FR"/>
              </w:rPr>
              <w:t> :</w:t>
            </w:r>
            <w:r w:rsidRPr="00DB0DCE">
              <w:rPr>
                <w:lang w:val="fr-FR"/>
              </w:rPr>
              <w:t xml:space="preserve"> identification des besoins de renforcement des capacités et enfin détermination des hypothèses de coûts</w:t>
            </w:r>
          </w:p>
          <w:p w14:paraId="10AC6513" w14:textId="77777777" w:rsidR="00DB0DCE" w:rsidRPr="00DB0DCE" w:rsidRDefault="00DB0DCE" w:rsidP="00A75A95">
            <w:pPr>
              <w:rPr>
                <w:lang w:val="fr-FR"/>
              </w:rPr>
            </w:pPr>
          </w:p>
          <w:p w14:paraId="168E7EBB" w14:textId="6186EFDA" w:rsidR="00A75A95" w:rsidRPr="00DB0DCE" w:rsidRDefault="00A75A95" w:rsidP="00A75A95">
            <w:pPr>
              <w:rPr>
                <w:lang w:val="fr-FR"/>
              </w:rPr>
            </w:pPr>
            <w:r w:rsidRPr="00DB0DCE">
              <w:rPr>
                <w:lang w:val="fr-FR"/>
              </w:rPr>
              <w:t xml:space="preserve">Etant donné le contexte de la pandémie de la Covid-19, une grande partie du travail se fera à distance. Cependant, le consultant sera appelé à voyager à Conakry/Guinée et travaillera principalement dans les bureaux de l’UNICEF et du PEV. Il utilisera ses équipements personnels : ordinateur portable, téléphone, etc…Certains interviews pourraient se faire à distance. Les interviews peuvent être facilités par le bureau de pays de l’UNICEF à travers ‘’Zoom’’ et Teams.  </w:t>
            </w:r>
          </w:p>
          <w:p w14:paraId="73A08C38" w14:textId="77777777" w:rsidR="00A75A95" w:rsidRPr="00DB0DCE" w:rsidRDefault="00A75A95" w:rsidP="00A75A95">
            <w:pPr>
              <w:rPr>
                <w:lang w:val="fr-FR"/>
              </w:rPr>
            </w:pPr>
            <w:r w:rsidRPr="00DB0DCE">
              <w:rPr>
                <w:lang w:val="fr-FR"/>
              </w:rPr>
              <w:t>L'UNICEF facilitera le bon déroulement de la mission en prenant les rendez-vous nécessaires avec les acteurs cités plus hauts.</w:t>
            </w:r>
          </w:p>
          <w:p w14:paraId="3B3CD4D0" w14:textId="77777777" w:rsidR="00A75A95" w:rsidRPr="009314BF" w:rsidRDefault="00A75A95" w:rsidP="00DB0DCE">
            <w:pPr>
              <w:jc w:val="both"/>
              <w:rPr>
                <w:b/>
                <w:bCs/>
                <w:lang w:val="fr-FR"/>
              </w:rPr>
            </w:pPr>
          </w:p>
        </w:tc>
      </w:tr>
      <w:tr w:rsidR="00DB0DCE" w:rsidRPr="005E2C11" w14:paraId="7B7FDCBD" w14:textId="77777777" w:rsidTr="001522BE">
        <w:trPr>
          <w:trHeight w:val="566"/>
        </w:trPr>
        <w:tc>
          <w:tcPr>
            <w:tcW w:w="11070" w:type="dxa"/>
            <w:gridSpan w:val="2"/>
          </w:tcPr>
          <w:p w14:paraId="734431AC" w14:textId="77777777" w:rsidR="00DB0DCE" w:rsidRDefault="00DB0DCE" w:rsidP="00DB0DCE">
            <w:pPr>
              <w:numPr>
                <w:ilvl w:val="0"/>
                <w:numId w:val="44"/>
              </w:numPr>
              <w:jc w:val="both"/>
              <w:rPr>
                <w:b/>
                <w:bCs/>
              </w:rPr>
            </w:pPr>
            <w:r>
              <w:rPr>
                <w:b/>
                <w:bCs/>
              </w:rPr>
              <w:t>Durée de la consultation</w:t>
            </w:r>
          </w:p>
          <w:p w14:paraId="55A02387" w14:textId="6A7A000B" w:rsidR="00DB0DCE" w:rsidRPr="009314BF" w:rsidRDefault="00DB0DCE" w:rsidP="00DB0DCE">
            <w:pPr>
              <w:rPr>
                <w:szCs w:val="22"/>
                <w:lang w:val="fr-FR"/>
              </w:rPr>
            </w:pPr>
            <w:r w:rsidRPr="00DB0DCE">
              <w:rPr>
                <w:lang w:val="fr-FR"/>
              </w:rPr>
              <w:t xml:space="preserve">La durée de la consultation est de 3 mois dont au maximum </w:t>
            </w:r>
            <w:r w:rsidR="00AA28A8">
              <w:rPr>
                <w:lang w:val="fr-FR"/>
              </w:rPr>
              <w:t>1 mois et demi</w:t>
            </w:r>
            <w:r w:rsidRPr="00DB0DCE">
              <w:rPr>
                <w:lang w:val="fr-FR"/>
              </w:rPr>
              <w:t xml:space="preserve"> sur place à Conakry, Guinée.</w:t>
            </w:r>
          </w:p>
        </w:tc>
      </w:tr>
    </w:tbl>
    <w:p w14:paraId="07DD4883" w14:textId="471379E7" w:rsidR="00E20952" w:rsidRPr="00167073" w:rsidRDefault="00E20952" w:rsidP="005E2C11">
      <w:pPr>
        <w:jc w:val="both"/>
        <w:rPr>
          <w:sz w:val="22"/>
          <w:szCs w:val="22"/>
        </w:rPr>
      </w:pPr>
    </w:p>
    <w:sectPr w:rsidR="00E20952" w:rsidRPr="00167073" w:rsidSect="0016707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6A2B7" w14:textId="77777777" w:rsidR="00217D47" w:rsidRDefault="00217D47" w:rsidP="008A06C4">
      <w:r>
        <w:separator/>
      </w:r>
    </w:p>
  </w:endnote>
  <w:endnote w:type="continuationSeparator" w:id="0">
    <w:p w14:paraId="7490D764" w14:textId="77777777" w:rsidR="00217D47" w:rsidRDefault="00217D47" w:rsidP="008A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3A559" w14:textId="77777777" w:rsidR="00217D47" w:rsidRDefault="00217D47" w:rsidP="008A06C4">
      <w:r>
        <w:separator/>
      </w:r>
    </w:p>
  </w:footnote>
  <w:footnote w:type="continuationSeparator" w:id="0">
    <w:p w14:paraId="04FBD173" w14:textId="77777777" w:rsidR="00217D47" w:rsidRDefault="00217D47" w:rsidP="008A0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
      </v:shape>
    </w:pict>
  </w:numPicBullet>
  <w:abstractNum w:abstractNumId="0" w15:restartNumberingAfterBreak="0">
    <w:nsid w:val="05E00C18"/>
    <w:multiLevelType w:val="hybridMultilevel"/>
    <w:tmpl w:val="3EA6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1D6A"/>
    <w:multiLevelType w:val="multilevel"/>
    <w:tmpl w:val="67EAF46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7F8551F"/>
    <w:multiLevelType w:val="hybridMultilevel"/>
    <w:tmpl w:val="9136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E4EA5"/>
    <w:multiLevelType w:val="hybridMultilevel"/>
    <w:tmpl w:val="A7A4D36A"/>
    <w:lvl w:ilvl="0" w:tplc="34C0F8F6">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721CD3"/>
    <w:multiLevelType w:val="hybridMultilevel"/>
    <w:tmpl w:val="EA64A1CA"/>
    <w:lvl w:ilvl="0" w:tplc="6CF0C074">
      <w:start w:val="1"/>
      <w:numFmt w:val="bullet"/>
      <w:lvlText w:val=""/>
      <w:lvlJc w:val="left"/>
      <w:pPr>
        <w:tabs>
          <w:tab w:val="num" w:pos="1035"/>
        </w:tabs>
        <w:ind w:left="1035" w:hanging="360"/>
      </w:pPr>
      <w:rPr>
        <w:rFonts w:ascii="Wingdings" w:hAnsi="Wingdings" w:hint="default"/>
        <w:sz w:val="18"/>
        <w:szCs w:val="18"/>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5" w15:restartNumberingAfterBreak="0">
    <w:nsid w:val="164C2482"/>
    <w:multiLevelType w:val="hybridMultilevel"/>
    <w:tmpl w:val="A73E9510"/>
    <w:lvl w:ilvl="0" w:tplc="2ABCBFFA">
      <w:start w:val="1"/>
      <w:numFmt w:val="bullet"/>
      <w:lvlText w:val=""/>
      <w:lvlJc w:val="left"/>
      <w:pPr>
        <w:tabs>
          <w:tab w:val="num" w:pos="720"/>
        </w:tabs>
        <w:ind w:left="720" w:hanging="360"/>
      </w:pPr>
      <w:rPr>
        <w:rFonts w:ascii="Symbol" w:hAnsi="Symbol" w:hint="default"/>
      </w:rPr>
    </w:lvl>
    <w:lvl w:ilvl="1" w:tplc="86EC9BC6" w:tentative="1">
      <w:start w:val="1"/>
      <w:numFmt w:val="bullet"/>
      <w:lvlText w:val=""/>
      <w:lvlJc w:val="left"/>
      <w:pPr>
        <w:tabs>
          <w:tab w:val="num" w:pos="1440"/>
        </w:tabs>
        <w:ind w:left="1440" w:hanging="360"/>
      </w:pPr>
      <w:rPr>
        <w:rFonts w:ascii="Symbol" w:hAnsi="Symbol" w:hint="default"/>
      </w:rPr>
    </w:lvl>
    <w:lvl w:ilvl="2" w:tplc="728AACAC" w:tentative="1">
      <w:start w:val="1"/>
      <w:numFmt w:val="bullet"/>
      <w:lvlText w:val=""/>
      <w:lvlJc w:val="left"/>
      <w:pPr>
        <w:tabs>
          <w:tab w:val="num" w:pos="2160"/>
        </w:tabs>
        <w:ind w:left="2160" w:hanging="360"/>
      </w:pPr>
      <w:rPr>
        <w:rFonts w:ascii="Symbol" w:hAnsi="Symbol" w:hint="default"/>
      </w:rPr>
    </w:lvl>
    <w:lvl w:ilvl="3" w:tplc="E36A1FB4" w:tentative="1">
      <w:start w:val="1"/>
      <w:numFmt w:val="bullet"/>
      <w:lvlText w:val=""/>
      <w:lvlJc w:val="left"/>
      <w:pPr>
        <w:tabs>
          <w:tab w:val="num" w:pos="2880"/>
        </w:tabs>
        <w:ind w:left="2880" w:hanging="360"/>
      </w:pPr>
      <w:rPr>
        <w:rFonts w:ascii="Symbol" w:hAnsi="Symbol" w:hint="default"/>
      </w:rPr>
    </w:lvl>
    <w:lvl w:ilvl="4" w:tplc="84A08018" w:tentative="1">
      <w:start w:val="1"/>
      <w:numFmt w:val="bullet"/>
      <w:lvlText w:val=""/>
      <w:lvlJc w:val="left"/>
      <w:pPr>
        <w:tabs>
          <w:tab w:val="num" w:pos="3600"/>
        </w:tabs>
        <w:ind w:left="3600" w:hanging="360"/>
      </w:pPr>
      <w:rPr>
        <w:rFonts w:ascii="Symbol" w:hAnsi="Symbol" w:hint="default"/>
      </w:rPr>
    </w:lvl>
    <w:lvl w:ilvl="5" w:tplc="AF909D4A" w:tentative="1">
      <w:start w:val="1"/>
      <w:numFmt w:val="bullet"/>
      <w:lvlText w:val=""/>
      <w:lvlJc w:val="left"/>
      <w:pPr>
        <w:tabs>
          <w:tab w:val="num" w:pos="4320"/>
        </w:tabs>
        <w:ind w:left="4320" w:hanging="360"/>
      </w:pPr>
      <w:rPr>
        <w:rFonts w:ascii="Symbol" w:hAnsi="Symbol" w:hint="default"/>
      </w:rPr>
    </w:lvl>
    <w:lvl w:ilvl="6" w:tplc="89D64CCC" w:tentative="1">
      <w:start w:val="1"/>
      <w:numFmt w:val="bullet"/>
      <w:lvlText w:val=""/>
      <w:lvlJc w:val="left"/>
      <w:pPr>
        <w:tabs>
          <w:tab w:val="num" w:pos="5040"/>
        </w:tabs>
        <w:ind w:left="5040" w:hanging="360"/>
      </w:pPr>
      <w:rPr>
        <w:rFonts w:ascii="Symbol" w:hAnsi="Symbol" w:hint="default"/>
      </w:rPr>
    </w:lvl>
    <w:lvl w:ilvl="7" w:tplc="B068F76A" w:tentative="1">
      <w:start w:val="1"/>
      <w:numFmt w:val="bullet"/>
      <w:lvlText w:val=""/>
      <w:lvlJc w:val="left"/>
      <w:pPr>
        <w:tabs>
          <w:tab w:val="num" w:pos="5760"/>
        </w:tabs>
        <w:ind w:left="5760" w:hanging="360"/>
      </w:pPr>
      <w:rPr>
        <w:rFonts w:ascii="Symbol" w:hAnsi="Symbol" w:hint="default"/>
      </w:rPr>
    </w:lvl>
    <w:lvl w:ilvl="8" w:tplc="5186D06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ED5717"/>
    <w:multiLevelType w:val="hybridMultilevel"/>
    <w:tmpl w:val="BBA64028"/>
    <w:lvl w:ilvl="0" w:tplc="25B62D92">
      <w:start w:val="1"/>
      <w:numFmt w:val="decimal"/>
      <w:lvlText w:val="%1."/>
      <w:lvlJc w:val="left"/>
      <w:pPr>
        <w:ind w:left="720" w:hanging="360"/>
      </w:pPr>
      <w:rPr>
        <w:rFonts w:hint="default"/>
        <w:color w:val="48484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C2FA2"/>
    <w:multiLevelType w:val="hybridMultilevel"/>
    <w:tmpl w:val="1AA4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D7A09"/>
    <w:multiLevelType w:val="hybridMultilevel"/>
    <w:tmpl w:val="578AA060"/>
    <w:lvl w:ilvl="0" w:tplc="28E8A7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A6F29"/>
    <w:multiLevelType w:val="hybridMultilevel"/>
    <w:tmpl w:val="837E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2278"/>
    <w:multiLevelType w:val="hybridMultilevel"/>
    <w:tmpl w:val="1FD0DDB8"/>
    <w:lvl w:ilvl="0" w:tplc="4770E8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4616E"/>
    <w:multiLevelType w:val="hybridMultilevel"/>
    <w:tmpl w:val="39307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5273AF"/>
    <w:multiLevelType w:val="hybridMultilevel"/>
    <w:tmpl w:val="DE24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D12C0"/>
    <w:multiLevelType w:val="hybridMultilevel"/>
    <w:tmpl w:val="18F6D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7F6424"/>
    <w:multiLevelType w:val="hybridMultilevel"/>
    <w:tmpl w:val="0ECE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946E9"/>
    <w:multiLevelType w:val="hybridMultilevel"/>
    <w:tmpl w:val="2EA4BB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449A9"/>
    <w:multiLevelType w:val="hybridMultilevel"/>
    <w:tmpl w:val="9BB2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07DED"/>
    <w:multiLevelType w:val="hybridMultilevel"/>
    <w:tmpl w:val="A3DA73EE"/>
    <w:lvl w:ilvl="0" w:tplc="4B265EF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37E7E"/>
    <w:multiLevelType w:val="hybridMultilevel"/>
    <w:tmpl w:val="D8027482"/>
    <w:lvl w:ilvl="0" w:tplc="397A8E92">
      <w:start w:val="1"/>
      <w:numFmt w:val="lowerLetter"/>
      <w:lvlText w:val="(%1)"/>
      <w:lvlJc w:val="left"/>
      <w:pPr>
        <w:ind w:left="2130" w:hanging="360"/>
      </w:pPr>
      <w:rPr>
        <w:rFonts w:asciiTheme="minorHAnsi" w:hAnsi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9" w15:restartNumberingAfterBreak="0">
    <w:nsid w:val="2F9D5003"/>
    <w:multiLevelType w:val="hybridMultilevel"/>
    <w:tmpl w:val="AE34B4C0"/>
    <w:lvl w:ilvl="0" w:tplc="C51EC1C0">
      <w:start w:val="1"/>
      <w:numFmt w:val="bullet"/>
      <w:lvlText w:val="o"/>
      <w:lvlJc w:val="left"/>
      <w:pPr>
        <w:tabs>
          <w:tab w:val="num" w:pos="720"/>
        </w:tabs>
        <w:ind w:left="720" w:hanging="360"/>
      </w:pPr>
      <w:rPr>
        <w:rFonts w:ascii="Courier New" w:hAnsi="Courier New" w:hint="default"/>
      </w:rPr>
    </w:lvl>
    <w:lvl w:ilvl="1" w:tplc="7708F8A6">
      <w:start w:val="1"/>
      <w:numFmt w:val="bullet"/>
      <w:lvlText w:val="o"/>
      <w:lvlJc w:val="left"/>
      <w:pPr>
        <w:tabs>
          <w:tab w:val="num" w:pos="1440"/>
        </w:tabs>
        <w:ind w:left="1440" w:hanging="360"/>
      </w:pPr>
      <w:rPr>
        <w:rFonts w:ascii="Courier New" w:hAnsi="Courier New" w:hint="default"/>
      </w:rPr>
    </w:lvl>
    <w:lvl w:ilvl="2" w:tplc="94D65896" w:tentative="1">
      <w:start w:val="1"/>
      <w:numFmt w:val="bullet"/>
      <w:lvlText w:val="o"/>
      <w:lvlJc w:val="left"/>
      <w:pPr>
        <w:tabs>
          <w:tab w:val="num" w:pos="2160"/>
        </w:tabs>
        <w:ind w:left="2160" w:hanging="360"/>
      </w:pPr>
      <w:rPr>
        <w:rFonts w:ascii="Courier New" w:hAnsi="Courier New" w:hint="default"/>
      </w:rPr>
    </w:lvl>
    <w:lvl w:ilvl="3" w:tplc="D78EDA3A" w:tentative="1">
      <w:start w:val="1"/>
      <w:numFmt w:val="bullet"/>
      <w:lvlText w:val="o"/>
      <w:lvlJc w:val="left"/>
      <w:pPr>
        <w:tabs>
          <w:tab w:val="num" w:pos="2880"/>
        </w:tabs>
        <w:ind w:left="2880" w:hanging="360"/>
      </w:pPr>
      <w:rPr>
        <w:rFonts w:ascii="Courier New" w:hAnsi="Courier New" w:hint="default"/>
      </w:rPr>
    </w:lvl>
    <w:lvl w:ilvl="4" w:tplc="9082522C" w:tentative="1">
      <w:start w:val="1"/>
      <w:numFmt w:val="bullet"/>
      <w:lvlText w:val="o"/>
      <w:lvlJc w:val="left"/>
      <w:pPr>
        <w:tabs>
          <w:tab w:val="num" w:pos="3600"/>
        </w:tabs>
        <w:ind w:left="3600" w:hanging="360"/>
      </w:pPr>
      <w:rPr>
        <w:rFonts w:ascii="Courier New" w:hAnsi="Courier New" w:hint="default"/>
      </w:rPr>
    </w:lvl>
    <w:lvl w:ilvl="5" w:tplc="F55EB9CA" w:tentative="1">
      <w:start w:val="1"/>
      <w:numFmt w:val="bullet"/>
      <w:lvlText w:val="o"/>
      <w:lvlJc w:val="left"/>
      <w:pPr>
        <w:tabs>
          <w:tab w:val="num" w:pos="4320"/>
        </w:tabs>
        <w:ind w:left="4320" w:hanging="360"/>
      </w:pPr>
      <w:rPr>
        <w:rFonts w:ascii="Courier New" w:hAnsi="Courier New" w:hint="default"/>
      </w:rPr>
    </w:lvl>
    <w:lvl w:ilvl="6" w:tplc="F67445BC" w:tentative="1">
      <w:start w:val="1"/>
      <w:numFmt w:val="bullet"/>
      <w:lvlText w:val="o"/>
      <w:lvlJc w:val="left"/>
      <w:pPr>
        <w:tabs>
          <w:tab w:val="num" w:pos="5040"/>
        </w:tabs>
        <w:ind w:left="5040" w:hanging="360"/>
      </w:pPr>
      <w:rPr>
        <w:rFonts w:ascii="Courier New" w:hAnsi="Courier New" w:hint="default"/>
      </w:rPr>
    </w:lvl>
    <w:lvl w:ilvl="7" w:tplc="9E663344" w:tentative="1">
      <w:start w:val="1"/>
      <w:numFmt w:val="bullet"/>
      <w:lvlText w:val="o"/>
      <w:lvlJc w:val="left"/>
      <w:pPr>
        <w:tabs>
          <w:tab w:val="num" w:pos="5760"/>
        </w:tabs>
        <w:ind w:left="5760" w:hanging="360"/>
      </w:pPr>
      <w:rPr>
        <w:rFonts w:ascii="Courier New" w:hAnsi="Courier New" w:hint="default"/>
      </w:rPr>
    </w:lvl>
    <w:lvl w:ilvl="8" w:tplc="1270A870"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02F3D9A"/>
    <w:multiLevelType w:val="hybridMultilevel"/>
    <w:tmpl w:val="23BEAA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FA335B"/>
    <w:multiLevelType w:val="hybridMultilevel"/>
    <w:tmpl w:val="F17A6BCC"/>
    <w:lvl w:ilvl="0" w:tplc="0409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A13319"/>
    <w:multiLevelType w:val="hybridMultilevel"/>
    <w:tmpl w:val="E856EA76"/>
    <w:lvl w:ilvl="0" w:tplc="3D82381E">
      <w:start w:val="1"/>
      <w:numFmt w:val="bullet"/>
      <w:lvlText w:val=""/>
      <w:lvlJc w:val="left"/>
      <w:pPr>
        <w:tabs>
          <w:tab w:val="num" w:pos="720"/>
        </w:tabs>
        <w:ind w:left="720" w:hanging="360"/>
      </w:pPr>
      <w:rPr>
        <w:rFonts w:ascii="Symbol" w:hAnsi="Symbol" w:hint="default"/>
      </w:rPr>
    </w:lvl>
    <w:lvl w:ilvl="1" w:tplc="3F1C6ADE" w:tentative="1">
      <w:start w:val="1"/>
      <w:numFmt w:val="bullet"/>
      <w:lvlText w:val=""/>
      <w:lvlJc w:val="left"/>
      <w:pPr>
        <w:tabs>
          <w:tab w:val="num" w:pos="1440"/>
        </w:tabs>
        <w:ind w:left="1440" w:hanging="360"/>
      </w:pPr>
      <w:rPr>
        <w:rFonts w:ascii="Symbol" w:hAnsi="Symbol" w:hint="default"/>
      </w:rPr>
    </w:lvl>
    <w:lvl w:ilvl="2" w:tplc="2294113E" w:tentative="1">
      <w:start w:val="1"/>
      <w:numFmt w:val="bullet"/>
      <w:lvlText w:val=""/>
      <w:lvlJc w:val="left"/>
      <w:pPr>
        <w:tabs>
          <w:tab w:val="num" w:pos="2160"/>
        </w:tabs>
        <w:ind w:left="2160" w:hanging="360"/>
      </w:pPr>
      <w:rPr>
        <w:rFonts w:ascii="Symbol" w:hAnsi="Symbol" w:hint="default"/>
      </w:rPr>
    </w:lvl>
    <w:lvl w:ilvl="3" w:tplc="C7EE878C" w:tentative="1">
      <w:start w:val="1"/>
      <w:numFmt w:val="bullet"/>
      <w:lvlText w:val=""/>
      <w:lvlJc w:val="left"/>
      <w:pPr>
        <w:tabs>
          <w:tab w:val="num" w:pos="2880"/>
        </w:tabs>
        <w:ind w:left="2880" w:hanging="360"/>
      </w:pPr>
      <w:rPr>
        <w:rFonts w:ascii="Symbol" w:hAnsi="Symbol" w:hint="default"/>
      </w:rPr>
    </w:lvl>
    <w:lvl w:ilvl="4" w:tplc="74E87B6E" w:tentative="1">
      <w:start w:val="1"/>
      <w:numFmt w:val="bullet"/>
      <w:lvlText w:val=""/>
      <w:lvlJc w:val="left"/>
      <w:pPr>
        <w:tabs>
          <w:tab w:val="num" w:pos="3600"/>
        </w:tabs>
        <w:ind w:left="3600" w:hanging="360"/>
      </w:pPr>
      <w:rPr>
        <w:rFonts w:ascii="Symbol" w:hAnsi="Symbol" w:hint="default"/>
      </w:rPr>
    </w:lvl>
    <w:lvl w:ilvl="5" w:tplc="B694FB72" w:tentative="1">
      <w:start w:val="1"/>
      <w:numFmt w:val="bullet"/>
      <w:lvlText w:val=""/>
      <w:lvlJc w:val="left"/>
      <w:pPr>
        <w:tabs>
          <w:tab w:val="num" w:pos="4320"/>
        </w:tabs>
        <w:ind w:left="4320" w:hanging="360"/>
      </w:pPr>
      <w:rPr>
        <w:rFonts w:ascii="Symbol" w:hAnsi="Symbol" w:hint="default"/>
      </w:rPr>
    </w:lvl>
    <w:lvl w:ilvl="6" w:tplc="DB0631BE" w:tentative="1">
      <w:start w:val="1"/>
      <w:numFmt w:val="bullet"/>
      <w:lvlText w:val=""/>
      <w:lvlJc w:val="left"/>
      <w:pPr>
        <w:tabs>
          <w:tab w:val="num" w:pos="5040"/>
        </w:tabs>
        <w:ind w:left="5040" w:hanging="360"/>
      </w:pPr>
      <w:rPr>
        <w:rFonts w:ascii="Symbol" w:hAnsi="Symbol" w:hint="default"/>
      </w:rPr>
    </w:lvl>
    <w:lvl w:ilvl="7" w:tplc="8EC23216" w:tentative="1">
      <w:start w:val="1"/>
      <w:numFmt w:val="bullet"/>
      <w:lvlText w:val=""/>
      <w:lvlJc w:val="left"/>
      <w:pPr>
        <w:tabs>
          <w:tab w:val="num" w:pos="5760"/>
        </w:tabs>
        <w:ind w:left="5760" w:hanging="360"/>
      </w:pPr>
      <w:rPr>
        <w:rFonts w:ascii="Symbol" w:hAnsi="Symbol" w:hint="default"/>
      </w:rPr>
    </w:lvl>
    <w:lvl w:ilvl="8" w:tplc="E482E96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3894DC8"/>
    <w:multiLevelType w:val="hybridMultilevel"/>
    <w:tmpl w:val="FA6205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4AC611C"/>
    <w:multiLevelType w:val="multilevel"/>
    <w:tmpl w:val="67EAF46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8636ACA"/>
    <w:multiLevelType w:val="hybridMultilevel"/>
    <w:tmpl w:val="5B60F84E"/>
    <w:lvl w:ilvl="0" w:tplc="08421492">
      <w:start w:val="1"/>
      <w:numFmt w:val="decimal"/>
      <w:lvlText w:val="%1."/>
      <w:lvlJc w:val="right"/>
      <w:pPr>
        <w:tabs>
          <w:tab w:val="num" w:pos="540"/>
        </w:tabs>
        <w:ind w:left="540" w:hanging="180"/>
      </w:pPr>
      <w:rPr>
        <w:rFonts w:hint="default"/>
        <w:b w:val="0"/>
      </w:rPr>
    </w:lvl>
    <w:lvl w:ilvl="1" w:tplc="04090005">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5C4622"/>
    <w:multiLevelType w:val="hybridMultilevel"/>
    <w:tmpl w:val="81CA89B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7" w15:restartNumberingAfterBreak="0">
    <w:nsid w:val="3B560497"/>
    <w:multiLevelType w:val="hybridMultilevel"/>
    <w:tmpl w:val="692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C605A"/>
    <w:multiLevelType w:val="hybridMultilevel"/>
    <w:tmpl w:val="64B26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06169C"/>
    <w:multiLevelType w:val="singleLevel"/>
    <w:tmpl w:val="0409000F"/>
    <w:lvl w:ilvl="0">
      <w:start w:val="1"/>
      <w:numFmt w:val="decimal"/>
      <w:lvlText w:val="%1."/>
      <w:lvlJc w:val="left"/>
      <w:pPr>
        <w:tabs>
          <w:tab w:val="num" w:pos="540"/>
        </w:tabs>
        <w:ind w:left="540" w:hanging="360"/>
      </w:pPr>
    </w:lvl>
  </w:abstractNum>
  <w:abstractNum w:abstractNumId="30" w15:restartNumberingAfterBreak="0">
    <w:nsid w:val="42AC12A0"/>
    <w:multiLevelType w:val="hybridMultilevel"/>
    <w:tmpl w:val="7318E964"/>
    <w:lvl w:ilvl="0" w:tplc="34C0F8F6">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520270"/>
    <w:multiLevelType w:val="hybridMultilevel"/>
    <w:tmpl w:val="8696BFE0"/>
    <w:lvl w:ilvl="0" w:tplc="A19C5F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B190B"/>
    <w:multiLevelType w:val="hybridMultilevel"/>
    <w:tmpl w:val="C444DB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D15B24"/>
    <w:multiLevelType w:val="hybridMultilevel"/>
    <w:tmpl w:val="EB1290B0"/>
    <w:lvl w:ilvl="0" w:tplc="04090001">
      <w:start w:val="1"/>
      <w:numFmt w:val="bullet"/>
      <w:lvlText w:val=""/>
      <w:lvlJc w:val="left"/>
      <w:pPr>
        <w:ind w:left="410" w:hanging="360"/>
      </w:pPr>
      <w:rPr>
        <w:rFonts w:ascii="Symbol" w:hAnsi="Symbol" w:hint="default"/>
        <w:b w:val="0"/>
        <w:i w:val="0"/>
        <w:sz w:val="20"/>
        <w:szCs w:val="20"/>
      </w:rPr>
    </w:lvl>
    <w:lvl w:ilvl="1" w:tplc="04090019">
      <w:start w:val="1"/>
      <w:numFmt w:val="lowerLetter"/>
      <w:lvlText w:val="%2."/>
      <w:lvlJc w:val="left"/>
      <w:pPr>
        <w:ind w:left="1130" w:hanging="360"/>
      </w:pPr>
    </w:lvl>
    <w:lvl w:ilvl="2" w:tplc="38AA2A3E">
      <w:start w:val="7"/>
      <w:numFmt w:val="decimal"/>
      <w:lvlText w:val="%3."/>
      <w:lvlJc w:val="left"/>
      <w:pPr>
        <w:ind w:left="2030" w:hanging="360"/>
      </w:pPr>
      <w:rPr>
        <w:rFonts w:hint="default"/>
      </w:r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4" w15:restartNumberingAfterBreak="0">
    <w:nsid w:val="47EA14A5"/>
    <w:multiLevelType w:val="hybridMultilevel"/>
    <w:tmpl w:val="443402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B703E"/>
    <w:multiLevelType w:val="hybridMultilevel"/>
    <w:tmpl w:val="C722E422"/>
    <w:lvl w:ilvl="0" w:tplc="79726F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8C743F"/>
    <w:multiLevelType w:val="hybridMultilevel"/>
    <w:tmpl w:val="187CB89C"/>
    <w:lvl w:ilvl="0" w:tplc="B6C64D4C">
      <w:start w:val="1"/>
      <w:numFmt w:val="decimal"/>
      <w:lvlText w:val="%1."/>
      <w:lvlJc w:val="left"/>
      <w:pPr>
        <w:ind w:left="675" w:hanging="360"/>
      </w:pPr>
      <w:rPr>
        <w:rFonts w:ascii="Times New Roman" w:eastAsia="Times New Roman" w:hAnsi="Times New Roman" w:cs="Times New Roman"/>
      </w:rPr>
    </w:lvl>
    <w:lvl w:ilvl="1" w:tplc="040C0003">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37" w15:restartNumberingAfterBreak="0">
    <w:nsid w:val="567054F0"/>
    <w:multiLevelType w:val="hybridMultilevel"/>
    <w:tmpl w:val="6B9E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A7E19"/>
    <w:multiLevelType w:val="hybridMultilevel"/>
    <w:tmpl w:val="C9D2030C"/>
    <w:lvl w:ilvl="0" w:tplc="34C0F8F6">
      <w:numFmt w:val="bullet"/>
      <w:lvlText w:val="-"/>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3D2376"/>
    <w:multiLevelType w:val="hybridMultilevel"/>
    <w:tmpl w:val="2CFC2250"/>
    <w:lvl w:ilvl="0" w:tplc="7E946D38">
      <w:start w:val="1"/>
      <w:numFmt w:val="lowerLetter"/>
      <w:lvlText w:val="%1."/>
      <w:lvlJc w:val="left"/>
      <w:pPr>
        <w:ind w:left="1050" w:hanging="63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5C305CCF"/>
    <w:multiLevelType w:val="hybridMultilevel"/>
    <w:tmpl w:val="CF92BC16"/>
    <w:lvl w:ilvl="0" w:tplc="167601D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5F255198"/>
    <w:multiLevelType w:val="hybridMultilevel"/>
    <w:tmpl w:val="19645E68"/>
    <w:lvl w:ilvl="0" w:tplc="0234FD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CA0F45"/>
    <w:multiLevelType w:val="multilevel"/>
    <w:tmpl w:val="2A30FA02"/>
    <w:lvl w:ilvl="0">
      <w:start w:val="1"/>
      <w:numFmt w:val="upperRoman"/>
      <w:lvlText w:val="%1."/>
      <w:lvlJc w:val="left"/>
      <w:pPr>
        <w:ind w:left="770" w:hanging="720"/>
      </w:pPr>
      <w:rPr>
        <w:rFonts w:hint="default"/>
        <w:b/>
      </w:rPr>
    </w:lvl>
    <w:lvl w:ilvl="1">
      <w:start w:val="1"/>
      <w:numFmt w:val="decimal"/>
      <w:isLgl/>
      <w:lvlText w:val="%1.%2"/>
      <w:lvlJc w:val="left"/>
      <w:pPr>
        <w:ind w:left="41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490" w:hanging="1440"/>
      </w:pPr>
      <w:rPr>
        <w:rFonts w:hint="default"/>
      </w:rPr>
    </w:lvl>
  </w:abstractNum>
  <w:abstractNum w:abstractNumId="43" w15:restartNumberingAfterBreak="0">
    <w:nsid w:val="64196E09"/>
    <w:multiLevelType w:val="hybridMultilevel"/>
    <w:tmpl w:val="BF22007A"/>
    <w:lvl w:ilvl="0" w:tplc="C6D67714">
      <w:start w:val="3"/>
      <w:numFmt w:val="bullet"/>
      <w:lvlText w:val="-"/>
      <w:lvlJc w:val="left"/>
      <w:pPr>
        <w:ind w:left="720" w:hanging="360"/>
      </w:pPr>
      <w:rPr>
        <w:rFonts w:ascii="Bookman Old Style" w:eastAsia="Calibri" w:hAnsi="Bookman Old Style"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013655"/>
    <w:multiLevelType w:val="hybridMultilevel"/>
    <w:tmpl w:val="8696BFE0"/>
    <w:lvl w:ilvl="0" w:tplc="A19C5F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3C7F45"/>
    <w:multiLevelType w:val="hybridMultilevel"/>
    <w:tmpl w:val="AE742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20197"/>
    <w:multiLevelType w:val="singleLevel"/>
    <w:tmpl w:val="2452B628"/>
    <w:lvl w:ilvl="0">
      <w:start w:val="1"/>
      <w:numFmt w:val="decimal"/>
      <w:lvlText w:val="%1."/>
      <w:lvlJc w:val="left"/>
      <w:pPr>
        <w:tabs>
          <w:tab w:val="num" w:pos="420"/>
        </w:tabs>
        <w:ind w:left="420" w:hanging="420"/>
      </w:pPr>
      <w:rPr>
        <w:rFonts w:hint="default"/>
      </w:rPr>
    </w:lvl>
  </w:abstractNum>
  <w:abstractNum w:abstractNumId="47" w15:restartNumberingAfterBreak="0">
    <w:nsid w:val="7480270B"/>
    <w:multiLevelType w:val="hybridMultilevel"/>
    <w:tmpl w:val="A692B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481460"/>
    <w:multiLevelType w:val="hybridMultilevel"/>
    <w:tmpl w:val="614C3DEE"/>
    <w:lvl w:ilvl="0" w:tplc="04090005">
      <w:start w:val="1"/>
      <w:numFmt w:val="bullet"/>
      <w:lvlText w:val=""/>
      <w:lvlJc w:val="left"/>
      <w:pPr>
        <w:tabs>
          <w:tab w:val="num" w:pos="1224"/>
        </w:tabs>
        <w:ind w:left="1080" w:hanging="360"/>
      </w:pPr>
      <w:rPr>
        <w:rFonts w:ascii="Wingdings" w:hAnsi="Wingdings" w:hint="default"/>
      </w:rPr>
    </w:lvl>
    <w:lvl w:ilvl="1" w:tplc="04090003" w:tentative="1">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cs="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num w:numId="1">
    <w:abstractNumId w:val="25"/>
  </w:num>
  <w:num w:numId="2">
    <w:abstractNumId w:val="11"/>
  </w:num>
  <w:num w:numId="3">
    <w:abstractNumId w:val="43"/>
  </w:num>
  <w:num w:numId="4">
    <w:abstractNumId w:val="14"/>
  </w:num>
  <w:num w:numId="5">
    <w:abstractNumId w:val="28"/>
  </w:num>
  <w:num w:numId="6">
    <w:abstractNumId w:val="21"/>
  </w:num>
  <w:num w:numId="7">
    <w:abstractNumId w:val="6"/>
  </w:num>
  <w:num w:numId="8">
    <w:abstractNumId w:val="23"/>
  </w:num>
  <w:num w:numId="9">
    <w:abstractNumId w:val="36"/>
  </w:num>
  <w:num w:numId="10">
    <w:abstractNumId w:val="33"/>
  </w:num>
  <w:num w:numId="11">
    <w:abstractNumId w:val="40"/>
  </w:num>
  <w:num w:numId="12">
    <w:abstractNumId w:val="42"/>
  </w:num>
  <w:num w:numId="13">
    <w:abstractNumId w:val="17"/>
  </w:num>
  <w:num w:numId="14">
    <w:abstractNumId w:val="26"/>
  </w:num>
  <w:num w:numId="15">
    <w:abstractNumId w:val="46"/>
  </w:num>
  <w:num w:numId="16">
    <w:abstractNumId w:val="39"/>
  </w:num>
  <w:num w:numId="17">
    <w:abstractNumId w:val="29"/>
  </w:num>
  <w:num w:numId="18">
    <w:abstractNumId w:val="4"/>
  </w:num>
  <w:num w:numId="19">
    <w:abstractNumId w:val="48"/>
  </w:num>
  <w:num w:numId="20">
    <w:abstractNumId w:val="20"/>
  </w:num>
  <w:num w:numId="21">
    <w:abstractNumId w:val="10"/>
  </w:num>
  <w:num w:numId="22">
    <w:abstractNumId w:val="18"/>
  </w:num>
  <w:num w:numId="23">
    <w:abstractNumId w:val="16"/>
  </w:num>
  <w:num w:numId="24">
    <w:abstractNumId w:val="41"/>
  </w:num>
  <w:num w:numId="25">
    <w:abstractNumId w:val="19"/>
  </w:num>
  <w:num w:numId="26">
    <w:abstractNumId w:val="5"/>
  </w:num>
  <w:num w:numId="27">
    <w:abstractNumId w:val="22"/>
  </w:num>
  <w:num w:numId="28">
    <w:abstractNumId w:val="13"/>
  </w:num>
  <w:num w:numId="29">
    <w:abstractNumId w:val="8"/>
  </w:num>
  <w:num w:numId="30">
    <w:abstractNumId w:val="15"/>
  </w:num>
  <w:num w:numId="31">
    <w:abstractNumId w:val="34"/>
  </w:num>
  <w:num w:numId="32">
    <w:abstractNumId w:val="1"/>
  </w:num>
  <w:num w:numId="33">
    <w:abstractNumId w:val="7"/>
  </w:num>
  <w:num w:numId="34">
    <w:abstractNumId w:val="24"/>
  </w:num>
  <w:num w:numId="35">
    <w:abstractNumId w:val="2"/>
  </w:num>
  <w:num w:numId="36">
    <w:abstractNumId w:val="45"/>
  </w:num>
  <w:num w:numId="37">
    <w:abstractNumId w:val="0"/>
  </w:num>
  <w:num w:numId="38">
    <w:abstractNumId w:val="37"/>
  </w:num>
  <w:num w:numId="39">
    <w:abstractNumId w:val="32"/>
  </w:num>
  <w:num w:numId="40">
    <w:abstractNumId w:val="27"/>
  </w:num>
  <w:num w:numId="41">
    <w:abstractNumId w:val="35"/>
  </w:num>
  <w:num w:numId="42">
    <w:abstractNumId w:val="44"/>
  </w:num>
  <w:num w:numId="43">
    <w:abstractNumId w:val="9"/>
  </w:num>
  <w:num w:numId="44">
    <w:abstractNumId w:val="31"/>
  </w:num>
  <w:num w:numId="45">
    <w:abstractNumId w:val="30"/>
  </w:num>
  <w:num w:numId="46">
    <w:abstractNumId w:val="3"/>
  </w:num>
  <w:num w:numId="47">
    <w:abstractNumId w:val="38"/>
  </w:num>
  <w:num w:numId="48">
    <w:abstractNumId w:val="4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CE"/>
    <w:rsid w:val="000060F8"/>
    <w:rsid w:val="00017360"/>
    <w:rsid w:val="00023930"/>
    <w:rsid w:val="000253BD"/>
    <w:rsid w:val="00033E32"/>
    <w:rsid w:val="000359F6"/>
    <w:rsid w:val="00035B59"/>
    <w:rsid w:val="00060131"/>
    <w:rsid w:val="00064CE4"/>
    <w:rsid w:val="000849A8"/>
    <w:rsid w:val="00094F7C"/>
    <w:rsid w:val="000978EF"/>
    <w:rsid w:val="000B59FB"/>
    <w:rsid w:val="000C0EBD"/>
    <w:rsid w:val="000C2ED7"/>
    <w:rsid w:val="000D1C9E"/>
    <w:rsid w:val="0010272E"/>
    <w:rsid w:val="00112FC3"/>
    <w:rsid w:val="0013730D"/>
    <w:rsid w:val="001404E7"/>
    <w:rsid w:val="001522BE"/>
    <w:rsid w:val="00167073"/>
    <w:rsid w:val="001741F6"/>
    <w:rsid w:val="001802F3"/>
    <w:rsid w:val="00185C7B"/>
    <w:rsid w:val="00187F07"/>
    <w:rsid w:val="00194A69"/>
    <w:rsid w:val="001B603A"/>
    <w:rsid w:val="001C1A0E"/>
    <w:rsid w:val="001C2A42"/>
    <w:rsid w:val="001C3C4E"/>
    <w:rsid w:val="001F2A1F"/>
    <w:rsid w:val="002178E6"/>
    <w:rsid w:val="00217D47"/>
    <w:rsid w:val="00240EB1"/>
    <w:rsid w:val="00251C2C"/>
    <w:rsid w:val="00273DAD"/>
    <w:rsid w:val="002A0E5D"/>
    <w:rsid w:val="002A3D87"/>
    <w:rsid w:val="002C46F1"/>
    <w:rsid w:val="002F64C8"/>
    <w:rsid w:val="00310994"/>
    <w:rsid w:val="003148AC"/>
    <w:rsid w:val="00344FCD"/>
    <w:rsid w:val="00360F23"/>
    <w:rsid w:val="003619FE"/>
    <w:rsid w:val="0036330D"/>
    <w:rsid w:val="00373347"/>
    <w:rsid w:val="0039528C"/>
    <w:rsid w:val="003A6334"/>
    <w:rsid w:val="003A66E0"/>
    <w:rsid w:val="003C0463"/>
    <w:rsid w:val="003D1232"/>
    <w:rsid w:val="003D7F5F"/>
    <w:rsid w:val="003F5C81"/>
    <w:rsid w:val="00425BC5"/>
    <w:rsid w:val="004417EC"/>
    <w:rsid w:val="00457C33"/>
    <w:rsid w:val="0046287E"/>
    <w:rsid w:val="0047190C"/>
    <w:rsid w:val="00490D8E"/>
    <w:rsid w:val="004A40AA"/>
    <w:rsid w:val="004C3171"/>
    <w:rsid w:val="004C6FA5"/>
    <w:rsid w:val="004D2E9B"/>
    <w:rsid w:val="004D491A"/>
    <w:rsid w:val="004D5350"/>
    <w:rsid w:val="004D6B27"/>
    <w:rsid w:val="004F216F"/>
    <w:rsid w:val="004F4774"/>
    <w:rsid w:val="00500496"/>
    <w:rsid w:val="00514A3B"/>
    <w:rsid w:val="0054394B"/>
    <w:rsid w:val="00560DFD"/>
    <w:rsid w:val="005733BA"/>
    <w:rsid w:val="0058369B"/>
    <w:rsid w:val="00592EC2"/>
    <w:rsid w:val="00594E2B"/>
    <w:rsid w:val="005951AE"/>
    <w:rsid w:val="005A5C4D"/>
    <w:rsid w:val="005C35A0"/>
    <w:rsid w:val="005D2F5C"/>
    <w:rsid w:val="005D3221"/>
    <w:rsid w:val="005E18A0"/>
    <w:rsid w:val="005E2218"/>
    <w:rsid w:val="005E2C11"/>
    <w:rsid w:val="005E4767"/>
    <w:rsid w:val="006018E1"/>
    <w:rsid w:val="006041C9"/>
    <w:rsid w:val="00605386"/>
    <w:rsid w:val="006170B0"/>
    <w:rsid w:val="00640DD5"/>
    <w:rsid w:val="00670175"/>
    <w:rsid w:val="006949C5"/>
    <w:rsid w:val="006A0DDF"/>
    <w:rsid w:val="006A320E"/>
    <w:rsid w:val="006B12DB"/>
    <w:rsid w:val="006B21AA"/>
    <w:rsid w:val="006B5E0D"/>
    <w:rsid w:val="006B7CA9"/>
    <w:rsid w:val="006C04EA"/>
    <w:rsid w:val="006E4F19"/>
    <w:rsid w:val="006E7443"/>
    <w:rsid w:val="006F5C20"/>
    <w:rsid w:val="0070028B"/>
    <w:rsid w:val="0070397A"/>
    <w:rsid w:val="0070615C"/>
    <w:rsid w:val="00724042"/>
    <w:rsid w:val="00753EA7"/>
    <w:rsid w:val="007709CB"/>
    <w:rsid w:val="0077355B"/>
    <w:rsid w:val="00775FEF"/>
    <w:rsid w:val="00781ACB"/>
    <w:rsid w:val="007918E8"/>
    <w:rsid w:val="007A192A"/>
    <w:rsid w:val="007C0693"/>
    <w:rsid w:val="007C4443"/>
    <w:rsid w:val="007F1A35"/>
    <w:rsid w:val="00806DC2"/>
    <w:rsid w:val="00816887"/>
    <w:rsid w:val="00825F16"/>
    <w:rsid w:val="0083247E"/>
    <w:rsid w:val="00833C27"/>
    <w:rsid w:val="0083406B"/>
    <w:rsid w:val="00846C15"/>
    <w:rsid w:val="00860BCD"/>
    <w:rsid w:val="00870E6F"/>
    <w:rsid w:val="008740FF"/>
    <w:rsid w:val="0089024B"/>
    <w:rsid w:val="008A06C4"/>
    <w:rsid w:val="008A4CBB"/>
    <w:rsid w:val="008B0633"/>
    <w:rsid w:val="008C6361"/>
    <w:rsid w:val="008D4633"/>
    <w:rsid w:val="008D770F"/>
    <w:rsid w:val="008E0A0A"/>
    <w:rsid w:val="008F1A56"/>
    <w:rsid w:val="00900F43"/>
    <w:rsid w:val="009100D3"/>
    <w:rsid w:val="0091159A"/>
    <w:rsid w:val="009128FE"/>
    <w:rsid w:val="00915F41"/>
    <w:rsid w:val="00925203"/>
    <w:rsid w:val="009314BF"/>
    <w:rsid w:val="00945AF5"/>
    <w:rsid w:val="00960F04"/>
    <w:rsid w:val="009725DA"/>
    <w:rsid w:val="00974868"/>
    <w:rsid w:val="00974C14"/>
    <w:rsid w:val="009809F9"/>
    <w:rsid w:val="00982F77"/>
    <w:rsid w:val="00984D20"/>
    <w:rsid w:val="00996C89"/>
    <w:rsid w:val="009B35FB"/>
    <w:rsid w:val="009D0639"/>
    <w:rsid w:val="009D6519"/>
    <w:rsid w:val="00A0794C"/>
    <w:rsid w:val="00A20AAC"/>
    <w:rsid w:val="00A21841"/>
    <w:rsid w:val="00A22F24"/>
    <w:rsid w:val="00A50230"/>
    <w:rsid w:val="00A5413E"/>
    <w:rsid w:val="00A61CCD"/>
    <w:rsid w:val="00A64679"/>
    <w:rsid w:val="00A75A95"/>
    <w:rsid w:val="00A76C18"/>
    <w:rsid w:val="00A77DBF"/>
    <w:rsid w:val="00A82594"/>
    <w:rsid w:val="00A9487F"/>
    <w:rsid w:val="00A94C41"/>
    <w:rsid w:val="00AA28A8"/>
    <w:rsid w:val="00AC0C70"/>
    <w:rsid w:val="00AE7AE0"/>
    <w:rsid w:val="00B14823"/>
    <w:rsid w:val="00B171A1"/>
    <w:rsid w:val="00B27CFB"/>
    <w:rsid w:val="00B32A52"/>
    <w:rsid w:val="00B35A76"/>
    <w:rsid w:val="00B41EF3"/>
    <w:rsid w:val="00B448A8"/>
    <w:rsid w:val="00B54079"/>
    <w:rsid w:val="00B548EA"/>
    <w:rsid w:val="00B57F93"/>
    <w:rsid w:val="00B66467"/>
    <w:rsid w:val="00B66797"/>
    <w:rsid w:val="00B70F03"/>
    <w:rsid w:val="00B71CD6"/>
    <w:rsid w:val="00B75E49"/>
    <w:rsid w:val="00B861F9"/>
    <w:rsid w:val="00BA3D16"/>
    <w:rsid w:val="00BB194D"/>
    <w:rsid w:val="00BB1FCD"/>
    <w:rsid w:val="00BB3958"/>
    <w:rsid w:val="00BB7B7E"/>
    <w:rsid w:val="00BD20F0"/>
    <w:rsid w:val="00BE0B96"/>
    <w:rsid w:val="00BF20BE"/>
    <w:rsid w:val="00C01AA3"/>
    <w:rsid w:val="00C245CD"/>
    <w:rsid w:val="00C35E88"/>
    <w:rsid w:val="00C3640A"/>
    <w:rsid w:val="00C432BF"/>
    <w:rsid w:val="00C50ACE"/>
    <w:rsid w:val="00C71BAF"/>
    <w:rsid w:val="00C87E42"/>
    <w:rsid w:val="00CA2292"/>
    <w:rsid w:val="00CA6392"/>
    <w:rsid w:val="00CB2BE1"/>
    <w:rsid w:val="00CC0E4E"/>
    <w:rsid w:val="00CC440F"/>
    <w:rsid w:val="00D06A4D"/>
    <w:rsid w:val="00D113F5"/>
    <w:rsid w:val="00D140D9"/>
    <w:rsid w:val="00D348AC"/>
    <w:rsid w:val="00D551CC"/>
    <w:rsid w:val="00D6597B"/>
    <w:rsid w:val="00D7166C"/>
    <w:rsid w:val="00D74071"/>
    <w:rsid w:val="00D81FA0"/>
    <w:rsid w:val="00D911AF"/>
    <w:rsid w:val="00D94D1B"/>
    <w:rsid w:val="00D95123"/>
    <w:rsid w:val="00DA4455"/>
    <w:rsid w:val="00DA5EDB"/>
    <w:rsid w:val="00DB0DCE"/>
    <w:rsid w:val="00DC7809"/>
    <w:rsid w:val="00DD242E"/>
    <w:rsid w:val="00DD5E6C"/>
    <w:rsid w:val="00DF7856"/>
    <w:rsid w:val="00E059F9"/>
    <w:rsid w:val="00E06199"/>
    <w:rsid w:val="00E077BD"/>
    <w:rsid w:val="00E20952"/>
    <w:rsid w:val="00E34F8F"/>
    <w:rsid w:val="00E63512"/>
    <w:rsid w:val="00E646D9"/>
    <w:rsid w:val="00E94435"/>
    <w:rsid w:val="00EA46B1"/>
    <w:rsid w:val="00EA53C7"/>
    <w:rsid w:val="00EB5DF0"/>
    <w:rsid w:val="00EB5E41"/>
    <w:rsid w:val="00EF5765"/>
    <w:rsid w:val="00F002BA"/>
    <w:rsid w:val="00F0089B"/>
    <w:rsid w:val="00F00C29"/>
    <w:rsid w:val="00F0220A"/>
    <w:rsid w:val="00F205D0"/>
    <w:rsid w:val="00F23432"/>
    <w:rsid w:val="00F26430"/>
    <w:rsid w:val="00F430E1"/>
    <w:rsid w:val="00F52EE5"/>
    <w:rsid w:val="00F54A40"/>
    <w:rsid w:val="00F856C3"/>
    <w:rsid w:val="00F95CFA"/>
    <w:rsid w:val="00FD726D"/>
    <w:rsid w:val="00FF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4AB55C"/>
  <w15:chartTrackingRefBased/>
  <w15:docId w15:val="{C7369D01-85F4-40E0-BCC1-74871296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AC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NPakistan-Highlightedtext">
    <w:name w:val="UN Pakistan - Highlighted text"/>
    <w:uiPriority w:val="1"/>
    <w:qFormat/>
    <w:rsid w:val="00C50ACE"/>
    <w:rPr>
      <w:b/>
      <w:color w:val="2780C0"/>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
    <w:basedOn w:val="Normal"/>
    <w:link w:val="ListParagraphChar"/>
    <w:uiPriority w:val="34"/>
    <w:qFormat/>
    <w:rsid w:val="00C50ACE"/>
    <w:pPr>
      <w:ind w:left="720"/>
    </w:p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locked/>
    <w:rsid w:val="00C50ACE"/>
    <w:rPr>
      <w:rFonts w:ascii="Times New Roman" w:eastAsia="Times New Roman" w:hAnsi="Times New Roman" w:cs="Times New Roman"/>
      <w:sz w:val="24"/>
      <w:szCs w:val="24"/>
    </w:rPr>
  </w:style>
  <w:style w:type="paragraph" w:styleId="Header">
    <w:name w:val="header"/>
    <w:basedOn w:val="Normal"/>
    <w:link w:val="HeaderChar"/>
    <w:uiPriority w:val="99"/>
    <w:rsid w:val="00C50A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50ACE"/>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A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E0"/>
    <w:rPr>
      <w:rFonts w:ascii="Segoe UI" w:eastAsia="Times New Roman" w:hAnsi="Segoe UI" w:cs="Segoe UI"/>
      <w:sz w:val="18"/>
      <w:szCs w:val="18"/>
    </w:rPr>
  </w:style>
  <w:style w:type="paragraph" w:styleId="BodyText2">
    <w:name w:val="Body Text 2"/>
    <w:basedOn w:val="Normal"/>
    <w:link w:val="BodyText2Char"/>
    <w:rsid w:val="00945AF5"/>
    <w:pPr>
      <w:jc w:val="both"/>
    </w:pPr>
    <w:rPr>
      <w:rFonts w:ascii="Book Antiqua" w:hAnsi="Book Antiqua"/>
      <w:sz w:val="22"/>
      <w:szCs w:val="20"/>
    </w:rPr>
  </w:style>
  <w:style w:type="character" w:customStyle="1" w:styleId="BodyText2Char">
    <w:name w:val="Body Text 2 Char"/>
    <w:basedOn w:val="DefaultParagraphFont"/>
    <w:link w:val="BodyText2"/>
    <w:rsid w:val="00945AF5"/>
    <w:rPr>
      <w:rFonts w:ascii="Book Antiqua" w:eastAsia="Times New Roman" w:hAnsi="Book Antiqua" w:cs="Times New Roman"/>
      <w:szCs w:val="20"/>
    </w:rPr>
  </w:style>
  <w:style w:type="paragraph" w:styleId="BodyText3">
    <w:name w:val="Body Text 3"/>
    <w:basedOn w:val="Normal"/>
    <w:link w:val="BodyText3Char"/>
    <w:uiPriority w:val="99"/>
    <w:semiHidden/>
    <w:unhideWhenUsed/>
    <w:rsid w:val="00E20952"/>
    <w:pPr>
      <w:spacing w:after="120"/>
    </w:pPr>
    <w:rPr>
      <w:sz w:val="16"/>
      <w:szCs w:val="16"/>
    </w:rPr>
  </w:style>
  <w:style w:type="character" w:customStyle="1" w:styleId="BodyText3Char">
    <w:name w:val="Body Text 3 Char"/>
    <w:basedOn w:val="DefaultParagraphFont"/>
    <w:link w:val="BodyText3"/>
    <w:uiPriority w:val="99"/>
    <w:semiHidden/>
    <w:rsid w:val="00E20952"/>
    <w:rPr>
      <w:rFonts w:ascii="Times New Roman" w:eastAsia="Times New Roman" w:hAnsi="Times New Roman" w:cs="Times New Roman"/>
      <w:sz w:val="16"/>
      <w:szCs w:val="16"/>
    </w:rPr>
  </w:style>
  <w:style w:type="table" w:customStyle="1" w:styleId="TableGrid1">
    <w:name w:val="Table Grid1"/>
    <w:basedOn w:val="TableNormal"/>
    <w:next w:val="TableGrid"/>
    <w:uiPriority w:val="39"/>
    <w:rsid w:val="00E20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75"/>
    <w:rPr>
      <w:sz w:val="16"/>
      <w:szCs w:val="16"/>
    </w:rPr>
  </w:style>
  <w:style w:type="paragraph" w:styleId="CommentText">
    <w:name w:val="annotation text"/>
    <w:basedOn w:val="Normal"/>
    <w:link w:val="CommentTextChar"/>
    <w:uiPriority w:val="99"/>
    <w:semiHidden/>
    <w:unhideWhenUsed/>
    <w:rsid w:val="00670175"/>
    <w:rPr>
      <w:sz w:val="20"/>
      <w:szCs w:val="20"/>
    </w:rPr>
  </w:style>
  <w:style w:type="character" w:customStyle="1" w:styleId="CommentTextChar">
    <w:name w:val="Comment Text Char"/>
    <w:basedOn w:val="DefaultParagraphFont"/>
    <w:link w:val="CommentText"/>
    <w:uiPriority w:val="99"/>
    <w:semiHidden/>
    <w:rsid w:val="006701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175"/>
    <w:rPr>
      <w:b/>
      <w:bCs/>
    </w:rPr>
  </w:style>
  <w:style w:type="character" w:customStyle="1" w:styleId="CommentSubjectChar">
    <w:name w:val="Comment Subject Char"/>
    <w:basedOn w:val="CommentTextChar"/>
    <w:link w:val="CommentSubject"/>
    <w:uiPriority w:val="99"/>
    <w:semiHidden/>
    <w:rsid w:val="0067017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A06C4"/>
    <w:pPr>
      <w:tabs>
        <w:tab w:val="center" w:pos="4680"/>
        <w:tab w:val="right" w:pos="9360"/>
      </w:tabs>
    </w:pPr>
  </w:style>
  <w:style w:type="character" w:customStyle="1" w:styleId="FooterChar">
    <w:name w:val="Footer Char"/>
    <w:basedOn w:val="DefaultParagraphFont"/>
    <w:link w:val="Footer"/>
    <w:uiPriority w:val="99"/>
    <w:rsid w:val="008A06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862289">
      <w:bodyDiv w:val="1"/>
      <w:marLeft w:val="0"/>
      <w:marRight w:val="0"/>
      <w:marTop w:val="0"/>
      <w:marBottom w:val="0"/>
      <w:divBdr>
        <w:top w:val="none" w:sz="0" w:space="0" w:color="auto"/>
        <w:left w:val="none" w:sz="0" w:space="0" w:color="auto"/>
        <w:bottom w:val="none" w:sz="0" w:space="0" w:color="auto"/>
        <w:right w:val="none" w:sz="0" w:space="0" w:color="auto"/>
      </w:divBdr>
      <w:divsChild>
        <w:div w:id="685986876">
          <w:marLeft w:val="547"/>
          <w:marRight w:val="0"/>
          <w:marTop w:val="200"/>
          <w:marBottom w:val="0"/>
          <w:divBdr>
            <w:top w:val="none" w:sz="0" w:space="0" w:color="auto"/>
            <w:left w:val="none" w:sz="0" w:space="0" w:color="auto"/>
            <w:bottom w:val="none" w:sz="0" w:space="0" w:color="auto"/>
            <w:right w:val="none" w:sz="0" w:space="0" w:color="auto"/>
          </w:divBdr>
        </w:div>
      </w:divsChild>
    </w:div>
    <w:div w:id="588391816">
      <w:bodyDiv w:val="1"/>
      <w:marLeft w:val="0"/>
      <w:marRight w:val="0"/>
      <w:marTop w:val="0"/>
      <w:marBottom w:val="0"/>
      <w:divBdr>
        <w:top w:val="none" w:sz="0" w:space="0" w:color="auto"/>
        <w:left w:val="none" w:sz="0" w:space="0" w:color="auto"/>
        <w:bottom w:val="none" w:sz="0" w:space="0" w:color="auto"/>
        <w:right w:val="none" w:sz="0" w:space="0" w:color="auto"/>
      </w:divBdr>
    </w:div>
    <w:div w:id="1127160336">
      <w:bodyDiv w:val="1"/>
      <w:marLeft w:val="0"/>
      <w:marRight w:val="0"/>
      <w:marTop w:val="0"/>
      <w:marBottom w:val="0"/>
      <w:divBdr>
        <w:top w:val="none" w:sz="0" w:space="0" w:color="auto"/>
        <w:left w:val="none" w:sz="0" w:space="0" w:color="auto"/>
        <w:bottom w:val="none" w:sz="0" w:space="0" w:color="auto"/>
        <w:right w:val="none" w:sz="0" w:space="0" w:color="auto"/>
      </w:divBdr>
      <w:divsChild>
        <w:div w:id="1507479819">
          <w:marLeft w:val="720"/>
          <w:marRight w:val="0"/>
          <w:marTop w:val="0"/>
          <w:marBottom w:val="0"/>
          <w:divBdr>
            <w:top w:val="none" w:sz="0" w:space="0" w:color="auto"/>
            <w:left w:val="none" w:sz="0" w:space="0" w:color="auto"/>
            <w:bottom w:val="none" w:sz="0" w:space="0" w:color="auto"/>
            <w:right w:val="none" w:sz="0" w:space="0" w:color="auto"/>
          </w:divBdr>
        </w:div>
      </w:divsChild>
    </w:div>
    <w:div w:id="1294599973">
      <w:bodyDiv w:val="1"/>
      <w:marLeft w:val="0"/>
      <w:marRight w:val="0"/>
      <w:marTop w:val="0"/>
      <w:marBottom w:val="0"/>
      <w:divBdr>
        <w:top w:val="none" w:sz="0" w:space="0" w:color="auto"/>
        <w:left w:val="none" w:sz="0" w:space="0" w:color="auto"/>
        <w:bottom w:val="none" w:sz="0" w:space="0" w:color="auto"/>
        <w:right w:val="none" w:sz="0" w:space="0" w:color="auto"/>
      </w:divBdr>
    </w:div>
    <w:div w:id="2021154685">
      <w:bodyDiv w:val="1"/>
      <w:marLeft w:val="0"/>
      <w:marRight w:val="0"/>
      <w:marTop w:val="0"/>
      <w:marBottom w:val="0"/>
      <w:divBdr>
        <w:top w:val="none" w:sz="0" w:space="0" w:color="auto"/>
        <w:left w:val="none" w:sz="0" w:space="0" w:color="auto"/>
        <w:bottom w:val="none" w:sz="0" w:space="0" w:color="auto"/>
        <w:right w:val="none" w:sz="0" w:space="0" w:color="auto"/>
      </w:divBdr>
      <w:divsChild>
        <w:div w:id="41316494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FF71-CD6C-46D2-855E-29E814D2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2053</Words>
  <Characters>11707</Characters>
  <Application>Microsoft Office Word</Application>
  <DocSecurity>4</DocSecurity>
  <Lines>97</Lines>
  <Paragraphs>27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vt:lpstr>UNICEF GUINEA OFFICE</vt:lpstr>
      <vt:lpstr/>
      <vt:lpstr/>
      <vt:lpstr>CONSULTANT/INDIVIDUAL CONTRACTOR REQUEST FORM</vt:lpstr>
      <vt:lpstr>FROM:     Adama Ouedraogo         	Section Chief CSD			</vt:lpstr>
      <vt:lpstr>8.	Deliverables and payment Schedule :</vt:lpstr>
      <vt:lpstr/>
      <vt:lpstr>Les frais de consultations seront payes mensuellement et tenant compte des livra</vt:lpstr>
      <vt:lpstr/>
      <vt:lpstr/>
      <vt:lpstr/>
      <vt:lpstr/>
      <vt:lpstr/>
      <vt:lpstr/>
      <vt:lpstr/>
      <vt:lpstr/>
      <vt:lpstr/>
      <vt:lpstr/>
      <vt:lpstr/>
      <vt:lpstr/>
      <vt:lpstr/>
      <vt:lpstr>Tranches de paiement</vt:lpstr>
      <vt:lpstr>1ere tranche : fin du 1e mois de consultation en fonction des livrables les atte</vt:lpstr>
      <vt:lpstr>2eme tranche fin du 2e mois de consultation en fonction des livrables les attend</vt:lpstr>
      <vt:lpstr>3eme tranche fin du 3e mois de consultation en fonction des livrables les attend</vt:lpstr>
      <vt:lpstr/>
      <vt:lpstr>9. Costs chargeable to (WBS: 177/0A/05/701/002/002; Grant: SC200211/TCA Gavi </vt: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Nkiko</dc:creator>
  <cp:keywords/>
  <dc:description/>
  <cp:lastModifiedBy>Kounda Traore</cp:lastModifiedBy>
  <cp:revision>2</cp:revision>
  <cp:lastPrinted>2021-04-13T13:27:00Z</cp:lastPrinted>
  <dcterms:created xsi:type="dcterms:W3CDTF">2021-05-27T12:42:00Z</dcterms:created>
  <dcterms:modified xsi:type="dcterms:W3CDTF">2021-05-27T12:42:00Z</dcterms:modified>
</cp:coreProperties>
</file>