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42903527">
        <w:tc>
          <w:tcPr>
            <w:tcW w:w="2698" w:type="dxa"/>
            <w:tcBorders>
              <w:bottom w:val="nil"/>
            </w:tcBorders>
            <w:shd w:val="clear" w:color="auto" w:fill="auto"/>
            <w:noWrap/>
            <w:hideMark/>
          </w:tcPr>
          <w:p w14:paraId="75D9A581" w14:textId="6E456E25" w:rsidR="007613B3" w:rsidRPr="006D4DCB" w:rsidRDefault="007613B3" w:rsidP="006D4DCB">
            <w:pPr>
              <w:spacing w:before="100" w:beforeAutospacing="1" w:after="100" w:afterAutospacing="1" w:line="240" w:lineRule="auto"/>
              <w:rPr>
                <w:rFonts w:ascii="Calibri" w:eastAsia="Arial Unicode MS" w:hAnsi="Calibri" w:cs="Calibri"/>
                <w:color w:val="auto"/>
                <w:lang w:val="fr-FR"/>
              </w:rPr>
            </w:pPr>
            <w:proofErr w:type="spellStart"/>
            <w:r w:rsidRPr="006D4DCB">
              <w:rPr>
                <w:rFonts w:ascii="Calibri" w:eastAsia="Arial Unicode MS" w:hAnsi="Calibri" w:cs="Calibri"/>
                <w:b/>
                <w:color w:val="auto"/>
                <w:lang w:val="fr-FR"/>
              </w:rPr>
              <w:t>Title</w:t>
            </w:r>
            <w:proofErr w:type="spellEnd"/>
            <w:r w:rsidR="006D4DCB" w:rsidRPr="006D4DCB">
              <w:rPr>
                <w:lang w:val="fr-FR"/>
              </w:rPr>
              <w:t xml:space="preserve"> </w:t>
            </w:r>
            <w:r w:rsidR="006D4DCB" w:rsidRPr="002925FE">
              <w:rPr>
                <w:rFonts w:ascii="Calibri" w:eastAsia="Arial Unicode MS" w:hAnsi="Calibri" w:cs="Calibri"/>
                <w:bCs/>
                <w:color w:val="auto"/>
                <w:lang w:val="fr-FR"/>
              </w:rPr>
              <w:t>Consultant en gouvernance locale et pérennisation</w:t>
            </w:r>
          </w:p>
        </w:tc>
        <w:tc>
          <w:tcPr>
            <w:tcW w:w="2143" w:type="dxa"/>
            <w:tcBorders>
              <w:bottom w:val="nil"/>
            </w:tcBorders>
            <w:shd w:val="clear" w:color="auto" w:fill="auto"/>
          </w:tcPr>
          <w:p w14:paraId="2F348E19" w14:textId="77777777" w:rsidR="000E375B" w:rsidRDefault="007613B3" w:rsidP="00EA714F">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r w:rsidR="000E375B">
              <w:rPr>
                <w:rFonts w:ascii="Calibri" w:eastAsia="Arial Unicode MS" w:hAnsi="Calibri" w:cs="Calibri"/>
                <w:b/>
                <w:color w:val="auto"/>
                <w:lang w:val="en-AU"/>
              </w:rPr>
              <w:t xml:space="preserve"> </w:t>
            </w:r>
          </w:p>
          <w:p w14:paraId="2206AA9B" w14:textId="7F5C7B16" w:rsidR="000E375B" w:rsidRPr="00BB25E0" w:rsidRDefault="00900FA6" w:rsidP="00EA714F">
            <w:pPr>
              <w:spacing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FC </w:t>
            </w:r>
            <w:r w:rsidR="000E375B" w:rsidRPr="00BB25E0">
              <w:rPr>
                <w:rFonts w:ascii="Calibri" w:eastAsia="Arial Unicode MS" w:hAnsi="Calibri" w:cs="Calibri"/>
                <w:b/>
                <w:color w:val="auto"/>
                <w:lang w:val="en-AU"/>
              </w:rPr>
              <w:t>354866</w:t>
            </w:r>
          </w:p>
          <w:p w14:paraId="441BBD0E" w14:textId="5B3CD49B" w:rsidR="00EA714F" w:rsidRPr="00BB25E0" w:rsidRDefault="00EA714F" w:rsidP="00EA714F">
            <w:pPr>
              <w:rPr>
                <w:rFonts w:ascii="Calibri" w:eastAsia="Arial Unicode MS" w:hAnsi="Calibri" w:cs="Calibri"/>
                <w:b/>
                <w:color w:val="auto"/>
                <w:lang w:val="en-AU"/>
              </w:rPr>
            </w:pPr>
            <w:r w:rsidRPr="00BB25E0">
              <w:rPr>
                <w:rFonts w:ascii="Calibri" w:eastAsia="Arial Unicode MS" w:hAnsi="Calibri" w:cs="Calibri"/>
                <w:b/>
                <w:color w:val="auto"/>
                <w:lang w:val="en-AU"/>
              </w:rPr>
              <w:t>SC229936</w:t>
            </w:r>
          </w:p>
          <w:p w14:paraId="46480B20" w14:textId="712C1B2F" w:rsidR="00EA714F" w:rsidRPr="00BB25E0" w:rsidRDefault="00EA714F" w:rsidP="00EA714F">
            <w:pPr>
              <w:rPr>
                <w:rFonts w:ascii="Calibri" w:eastAsia="Arial Unicode MS" w:hAnsi="Calibri" w:cs="Calibri"/>
                <w:b/>
                <w:color w:val="auto"/>
                <w:lang w:val="en-AU"/>
              </w:rPr>
            </w:pPr>
            <w:r w:rsidRPr="00BB25E0">
              <w:rPr>
                <w:rFonts w:ascii="Calibri" w:eastAsia="Arial Unicode MS" w:hAnsi="Calibri" w:cs="Calibri"/>
                <w:b/>
                <w:color w:val="auto"/>
                <w:lang w:val="en-AU"/>
              </w:rPr>
              <w:t>2670/A0/07/802/001/003</w:t>
            </w:r>
          </w:p>
          <w:p w14:paraId="74FE4FE4" w14:textId="77777777" w:rsidR="000E375B" w:rsidRDefault="000E375B" w:rsidP="00EA714F">
            <w:pPr>
              <w:spacing w:line="240" w:lineRule="auto"/>
              <w:rPr>
                <w:rFonts w:ascii="Calibri" w:eastAsia="Arial Unicode MS" w:hAnsi="Calibri" w:cs="Calibri"/>
                <w:b/>
                <w:color w:val="auto"/>
                <w:lang w:val="en-AU"/>
              </w:rPr>
            </w:pPr>
          </w:p>
          <w:p w14:paraId="39AF361B" w14:textId="2BD112A0" w:rsidR="000E375B" w:rsidRPr="00BB25E0" w:rsidRDefault="000E375B" w:rsidP="00EA714F">
            <w:pPr>
              <w:spacing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D929E4D" w:rsidR="007613B3" w:rsidRDefault="006D4DCB"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286FC9B2" w:rsidR="007613B3" w:rsidRDefault="007613B3" w:rsidP="42903527">
            <w:pPr>
              <w:spacing w:before="60" w:after="60" w:line="240" w:lineRule="auto"/>
              <w:ind w:right="-108"/>
              <w:rPr>
                <w:rFonts w:ascii="Calibri" w:eastAsia="Arial Unicode MS" w:hAnsi="Calibri" w:cs="Calibri"/>
                <w:color w:val="FF0000"/>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42903527">
              <w:rPr>
                <w:rFonts w:ascii="Calibri" w:eastAsia="Arial Unicode MS" w:hAnsi="Calibri" w:cs="Calibri"/>
                <w:color w:val="FF0000"/>
                <w:lang w:val="en-AU"/>
              </w:rPr>
              <w:t xml:space="preserve"> Individual Contractor</w:t>
            </w:r>
            <w:r w:rsidR="00F027D0" w:rsidRPr="42903527">
              <w:rPr>
                <w:rFonts w:ascii="Calibri" w:eastAsia="Arial Unicode MS" w:hAnsi="Calibri" w:cs="Calibri"/>
                <w:color w:val="FF0000"/>
                <w:lang w:val="en-AU"/>
              </w:rPr>
              <w:t xml:space="preserve"> Part-Time</w:t>
            </w:r>
            <w:r w:rsidR="5B460848" w:rsidRPr="42903527">
              <w:rPr>
                <w:rFonts w:ascii="Calibri" w:eastAsia="Arial Unicode MS" w:hAnsi="Calibri" w:cs="Calibri"/>
                <w:color w:val="FF0000"/>
                <w:lang w:val="en-AU"/>
              </w:rPr>
              <w:t>*</w:t>
            </w:r>
          </w:p>
          <w:p w14:paraId="07F2D202" w14:textId="7FECA885" w:rsidR="00F027D0" w:rsidRPr="007613B3" w:rsidRDefault="00F027D0" w:rsidP="42903527">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Pr="42903527">
              <w:rPr>
                <w:rFonts w:ascii="Calibri" w:eastAsia="Arial Unicode MS" w:hAnsi="Calibri" w:cs="Calibri"/>
                <w:color w:val="FF0000"/>
                <w:lang w:val="en-AU"/>
              </w:rPr>
              <w:t>Individual Contractor Full-Time</w:t>
            </w:r>
            <w:r w:rsidR="3656F599" w:rsidRPr="42903527">
              <w:rPr>
                <w:rFonts w:ascii="Calibri" w:eastAsia="Arial Unicode MS" w:hAnsi="Calibri" w:cs="Calibri"/>
                <w:color w:val="FF0000"/>
                <w:lang w:val="en-AU"/>
              </w:rPr>
              <w:t xml:space="preserve"> *</w:t>
            </w:r>
          </w:p>
          <w:p w14:paraId="0F67FA87" w14:textId="247BA5AD" w:rsidR="00F027D0" w:rsidRPr="007613B3" w:rsidRDefault="1D622199" w:rsidP="42903527">
            <w:pPr>
              <w:spacing w:before="60" w:after="60" w:line="240" w:lineRule="auto"/>
              <w:ind w:right="-108"/>
              <w:rPr>
                <w:rFonts w:ascii="Calibri" w:eastAsia="Arial Unicode MS" w:hAnsi="Calibri" w:cs="Calibri"/>
                <w:color w:val="FF0000"/>
                <w:lang w:val="en-AU"/>
              </w:rPr>
            </w:pPr>
            <w:r w:rsidRPr="42903527">
              <w:rPr>
                <w:rFonts w:ascii="Calibri" w:eastAsia="Arial Unicode MS" w:hAnsi="Calibri" w:cs="Calibri"/>
                <w:color w:val="FF0000"/>
                <w:lang w:val="en-AU"/>
              </w:rPr>
              <w:t>*</w:t>
            </w:r>
            <w:proofErr w:type="gramStart"/>
            <w:r w:rsidR="46DAE54F" w:rsidRPr="42903527">
              <w:rPr>
                <w:rFonts w:ascii="Calibri" w:eastAsia="Arial Unicode MS" w:hAnsi="Calibri" w:cs="Calibri"/>
                <w:color w:val="FF0000"/>
                <w:lang w:val="en-AU"/>
              </w:rPr>
              <w:t>maximum</w:t>
            </w:r>
            <w:proofErr w:type="gramEnd"/>
            <w:r w:rsidR="46DAE54F" w:rsidRPr="42903527">
              <w:rPr>
                <w:rFonts w:ascii="Calibri" w:eastAsia="Arial Unicode MS" w:hAnsi="Calibri" w:cs="Calibri"/>
                <w:color w:val="FF0000"/>
                <w:lang w:val="en-AU"/>
              </w:rPr>
              <w:t xml:space="preserve"> </w:t>
            </w:r>
            <w:r w:rsidRPr="42903527">
              <w:rPr>
                <w:rFonts w:ascii="Calibri" w:eastAsia="Arial Unicode MS" w:hAnsi="Calibri" w:cs="Calibri"/>
                <w:color w:val="FF0000"/>
                <w:lang w:val="en-AU"/>
              </w:rPr>
              <w:t xml:space="preserve">end date </w:t>
            </w:r>
            <w:r w:rsidRPr="42903527">
              <w:rPr>
                <w:rFonts w:ascii="Calibri" w:eastAsia="Arial Unicode MS" w:hAnsi="Calibri" w:cs="Calibri"/>
                <w:b/>
                <w:bCs/>
                <w:color w:val="FF0000"/>
                <w:lang w:val="en-AU"/>
              </w:rPr>
              <w:t>31 June 2023</w:t>
            </w:r>
          </w:p>
        </w:tc>
        <w:tc>
          <w:tcPr>
            <w:tcW w:w="1976" w:type="dxa"/>
            <w:tcBorders>
              <w:bottom w:val="nil"/>
            </w:tcBorders>
            <w:shd w:val="clear" w:color="auto" w:fill="auto"/>
          </w:tcPr>
          <w:p w14:paraId="2302C863" w14:textId="136C828A"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r w:rsidR="006D4DCB">
              <w:rPr>
                <w:rFonts w:ascii="Calibri" w:eastAsia="Arial Unicode MS" w:hAnsi="Calibri" w:cs="Calibri"/>
                <w:b/>
                <w:color w:val="auto"/>
                <w:lang w:val="en-AU"/>
              </w:rPr>
              <w:t xml:space="preserve"> </w:t>
            </w:r>
            <w:r w:rsidR="006D4DCB" w:rsidRPr="006D4DCB">
              <w:rPr>
                <w:rFonts w:ascii="Calibri" w:eastAsia="Arial Unicode MS" w:hAnsi="Calibri" w:cs="Calibri"/>
                <w:bCs/>
                <w:color w:val="auto"/>
                <w:lang w:val="en-AU"/>
              </w:rPr>
              <w:t>Antananarivo</w:t>
            </w:r>
          </w:p>
          <w:p w14:paraId="3CCE5269"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r>
      <w:tr w:rsidR="007613B3" w:rsidRPr="0050455A" w14:paraId="2F971280" w14:textId="77777777" w:rsidTr="00CF5B80">
        <w:trPr>
          <w:trHeight w:val="662"/>
        </w:trPr>
        <w:tc>
          <w:tcPr>
            <w:tcW w:w="9887" w:type="dxa"/>
            <w:gridSpan w:val="4"/>
            <w:tcBorders>
              <w:bottom w:val="nil"/>
            </w:tcBorders>
            <w:shd w:val="clear" w:color="auto" w:fill="auto"/>
            <w:noWrap/>
            <w:hideMark/>
          </w:tcPr>
          <w:p w14:paraId="087CCFE4" w14:textId="1E2B2EA4" w:rsidR="007613B3" w:rsidRPr="006D4DCB" w:rsidRDefault="007613B3" w:rsidP="00D34BC9">
            <w:pPr>
              <w:spacing w:before="100" w:beforeAutospacing="1" w:after="100" w:afterAutospacing="1" w:line="240" w:lineRule="auto"/>
              <w:rPr>
                <w:rFonts w:ascii="Calibri" w:eastAsia="Arial Unicode MS" w:hAnsi="Calibri" w:cs="Calibri"/>
                <w:b/>
                <w:color w:val="auto"/>
                <w:lang w:val="fr-FR"/>
              </w:rPr>
            </w:pPr>
            <w:proofErr w:type="spellStart"/>
            <w:r w:rsidRPr="006D4DCB">
              <w:rPr>
                <w:rFonts w:ascii="Calibri" w:eastAsia="Arial Unicode MS" w:hAnsi="Calibri" w:cs="Calibri"/>
                <w:b/>
                <w:color w:val="auto"/>
                <w:lang w:val="fr-FR"/>
              </w:rPr>
              <w:t>Purpose</w:t>
            </w:r>
            <w:proofErr w:type="spellEnd"/>
            <w:r w:rsidRPr="006D4DCB">
              <w:rPr>
                <w:rFonts w:ascii="Calibri" w:eastAsia="Arial Unicode MS" w:hAnsi="Calibri" w:cs="Calibri"/>
                <w:b/>
                <w:color w:val="auto"/>
                <w:lang w:val="fr-FR"/>
              </w:rPr>
              <w:t xml:space="preserve"> of Activity/</w:t>
            </w:r>
            <w:proofErr w:type="spellStart"/>
            <w:proofErr w:type="gramStart"/>
            <w:r w:rsidRPr="006D4DCB">
              <w:rPr>
                <w:rFonts w:ascii="Calibri" w:eastAsia="Arial Unicode MS" w:hAnsi="Calibri" w:cs="Calibri"/>
                <w:b/>
                <w:color w:val="auto"/>
                <w:lang w:val="fr-FR"/>
              </w:rPr>
              <w:t>Assignment</w:t>
            </w:r>
            <w:proofErr w:type="spellEnd"/>
            <w:r w:rsidRPr="006D4DCB">
              <w:rPr>
                <w:rFonts w:ascii="Calibri" w:eastAsia="Arial Unicode MS" w:hAnsi="Calibri" w:cs="Calibri"/>
                <w:b/>
                <w:color w:val="auto"/>
                <w:lang w:val="fr-FR"/>
              </w:rPr>
              <w:t>:</w:t>
            </w:r>
            <w:proofErr w:type="gramEnd"/>
            <w:r w:rsidRPr="006D4DCB">
              <w:rPr>
                <w:rFonts w:ascii="Calibri" w:eastAsia="Arial Unicode MS" w:hAnsi="Calibri" w:cs="Calibri"/>
                <w:b/>
                <w:color w:val="auto"/>
                <w:lang w:val="fr-FR"/>
              </w:rPr>
              <w:t xml:space="preserve"> </w:t>
            </w:r>
            <w:r w:rsidR="006D4DCB" w:rsidRPr="006D4DCB">
              <w:rPr>
                <w:rFonts w:ascii="Calibri" w:eastAsia="Arial Unicode MS" w:hAnsi="Calibri" w:cs="Calibri"/>
                <w:b/>
                <w:color w:val="auto"/>
                <w:lang w:val="fr-FR"/>
              </w:rPr>
              <w:t xml:space="preserve"> </w:t>
            </w:r>
            <w:r w:rsidR="006D4DCB" w:rsidRPr="006D4DCB">
              <w:rPr>
                <w:rFonts w:ascii="Calibri" w:eastAsia="Arial Unicode MS" w:hAnsi="Calibri" w:cs="Calibri"/>
                <w:bCs/>
                <w:color w:val="auto"/>
                <w:lang w:val="fr-FR"/>
              </w:rPr>
              <w:t xml:space="preserve"> Appui à la mise en œuvre du Volet Gouvernance locale et pérennisation au niveau de la section WASH de l’UNICEF Madagascar</w:t>
            </w:r>
          </w:p>
          <w:p w14:paraId="37400F48" w14:textId="77777777" w:rsidR="007613B3" w:rsidRPr="006D4DCB" w:rsidRDefault="007613B3" w:rsidP="00377BF5">
            <w:pPr>
              <w:pStyle w:val="ListParagraph"/>
              <w:spacing w:before="60" w:after="60" w:line="240" w:lineRule="auto"/>
              <w:rPr>
                <w:rFonts w:ascii="Calibri" w:eastAsia="Arial Unicode MS" w:hAnsi="Calibri" w:cs="Calibri"/>
                <w:b/>
                <w:color w:val="auto"/>
                <w:lang w:val="fr-FR"/>
              </w:rPr>
            </w:pPr>
          </w:p>
        </w:tc>
      </w:tr>
      <w:tr w:rsidR="007613B3" w:rsidRPr="0050455A" w14:paraId="55B63C31" w14:textId="77777777" w:rsidTr="002C21F5">
        <w:trPr>
          <w:trHeight w:val="800"/>
        </w:trPr>
        <w:tc>
          <w:tcPr>
            <w:tcW w:w="9887" w:type="dxa"/>
            <w:gridSpan w:val="4"/>
            <w:tcBorders>
              <w:bottom w:val="nil"/>
            </w:tcBorders>
            <w:shd w:val="clear" w:color="auto" w:fill="auto"/>
            <w:noWrap/>
          </w:tcPr>
          <w:p w14:paraId="64EE50FB" w14:textId="0CC41C5B" w:rsidR="007613B3" w:rsidRPr="002925FE" w:rsidRDefault="007613B3" w:rsidP="00B63E76">
            <w:pPr>
              <w:spacing w:before="60" w:after="60" w:line="240" w:lineRule="auto"/>
              <w:rPr>
                <w:rFonts w:ascii="Calibri" w:eastAsia="Arial Unicode MS" w:hAnsi="Calibri" w:cs="Calibri"/>
                <w:b/>
                <w:bCs/>
                <w:color w:val="auto"/>
                <w:lang w:val="fr-FR"/>
              </w:rPr>
            </w:pPr>
            <w:r w:rsidRPr="002925FE">
              <w:rPr>
                <w:rFonts w:ascii="Calibri" w:eastAsia="Arial Unicode MS" w:hAnsi="Calibri" w:cs="Calibri"/>
                <w:b/>
                <w:bCs/>
                <w:color w:val="auto"/>
                <w:lang w:val="fr-FR"/>
              </w:rPr>
              <w:t xml:space="preserve">Scope of </w:t>
            </w:r>
            <w:proofErr w:type="gramStart"/>
            <w:r w:rsidRPr="002925FE">
              <w:rPr>
                <w:rFonts w:ascii="Calibri" w:eastAsia="Arial Unicode MS" w:hAnsi="Calibri" w:cs="Calibri"/>
                <w:b/>
                <w:bCs/>
                <w:color w:val="auto"/>
                <w:lang w:val="fr-FR"/>
              </w:rPr>
              <w:t>Work:</w:t>
            </w:r>
            <w:proofErr w:type="gramEnd"/>
          </w:p>
          <w:p w14:paraId="754F02D8" w14:textId="77777777" w:rsidR="002925FE" w:rsidRPr="002925FE" w:rsidRDefault="002925FE" w:rsidP="002925FE">
            <w:pPr>
              <w:spacing w:line="240" w:lineRule="auto"/>
              <w:rPr>
                <w:rFonts w:ascii="Calibri" w:eastAsia="Arial Unicode MS" w:hAnsi="Calibri" w:cs="Calibri"/>
                <w:color w:val="auto"/>
                <w:u w:val="single"/>
                <w:lang w:val="fr-FR"/>
              </w:rPr>
            </w:pPr>
            <w:r w:rsidRPr="002925FE">
              <w:rPr>
                <w:rFonts w:ascii="Calibri" w:eastAsia="Arial Unicode MS" w:hAnsi="Calibri" w:cs="Calibri"/>
                <w:b/>
                <w:bCs/>
                <w:color w:val="auto"/>
                <w:lang w:val="fr-FR"/>
              </w:rPr>
              <w:t>a.</w:t>
            </w:r>
            <w:r w:rsidRPr="002925FE">
              <w:rPr>
                <w:rFonts w:ascii="Calibri" w:eastAsia="Arial Unicode MS" w:hAnsi="Calibri" w:cs="Calibri"/>
                <w:b/>
                <w:bCs/>
                <w:color w:val="auto"/>
                <w:lang w:val="fr-FR"/>
              </w:rPr>
              <w:tab/>
            </w:r>
            <w:r w:rsidRPr="002925FE">
              <w:rPr>
                <w:rFonts w:ascii="Calibri" w:eastAsia="Arial Unicode MS" w:hAnsi="Calibri" w:cs="Calibri"/>
                <w:color w:val="auto"/>
                <w:u w:val="single"/>
                <w:lang w:val="fr-FR"/>
              </w:rPr>
              <w:t xml:space="preserve">il/elle contribue à la réalisation des objectifs et de la vision de l’UNICEF et du </w:t>
            </w:r>
            <w:proofErr w:type="gramStart"/>
            <w:r w:rsidRPr="002925FE">
              <w:rPr>
                <w:rFonts w:ascii="Calibri" w:eastAsia="Arial Unicode MS" w:hAnsi="Calibri" w:cs="Calibri"/>
                <w:color w:val="auto"/>
                <w:u w:val="single"/>
                <w:lang w:val="fr-FR"/>
              </w:rPr>
              <w:t>Ministère de l’Eau</w:t>
            </w:r>
            <w:proofErr w:type="gramEnd"/>
            <w:r w:rsidRPr="002925FE">
              <w:rPr>
                <w:rFonts w:ascii="Calibri" w:eastAsia="Arial Unicode MS" w:hAnsi="Calibri" w:cs="Calibri"/>
                <w:color w:val="auto"/>
                <w:u w:val="single"/>
                <w:lang w:val="fr-FR"/>
              </w:rPr>
              <w:t xml:space="preserve"> de l’Assainissement et de l’Hygiène (MEAH) en termes de la gouvernance locale du secteur EAH, pour :</w:t>
            </w:r>
          </w:p>
          <w:p w14:paraId="732CFF1E" w14:textId="717F165B" w:rsidR="002925FE" w:rsidRPr="002925FE" w:rsidRDefault="002925FE" w:rsidP="002925FE">
            <w:pPr>
              <w:pStyle w:val="ListParagraph"/>
              <w:numPr>
                <w:ilvl w:val="0"/>
                <w:numId w:val="26"/>
              </w:numPr>
              <w:tabs>
                <w:tab w:val="left" w:pos="690"/>
              </w:tabs>
              <w:spacing w:line="240" w:lineRule="auto"/>
              <w:ind w:left="690" w:hanging="270"/>
              <w:contextualSpacing w:val="0"/>
              <w:rPr>
                <w:rFonts w:ascii="Calibri" w:eastAsia="Arial Unicode MS" w:hAnsi="Calibri" w:cs="Calibri"/>
                <w:color w:val="auto"/>
                <w:lang w:val="fr-FR"/>
              </w:rPr>
            </w:pPr>
            <w:r w:rsidRPr="002925FE">
              <w:rPr>
                <w:rFonts w:ascii="Calibri" w:eastAsia="Arial Unicode MS" w:hAnsi="Calibri" w:cs="Calibri"/>
                <w:color w:val="auto"/>
                <w:lang w:val="fr-FR"/>
              </w:rPr>
              <w:t>Participer à la coordination de la mise en place des infrastructures ;</w:t>
            </w:r>
          </w:p>
          <w:p w14:paraId="20441C69" w14:textId="06C78514"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Suivre et contrôler la qualité technique, la viabilité économique et la pérennité des ouvrages d’eau potable                                    à mettre en place ;</w:t>
            </w:r>
          </w:p>
          <w:p w14:paraId="70029B05" w14:textId="55B5FBFB"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Assurer le respect des normes et les règles de l’art de construction et la conformité avec les règles environnementales ;</w:t>
            </w:r>
          </w:p>
          <w:p w14:paraId="2F01F578" w14:textId="5E3BAA8A"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Encadrer les Techniciens de Suivi, Conseil et Contrôle Qualité.</w:t>
            </w:r>
          </w:p>
          <w:p w14:paraId="2D7EBBD4" w14:textId="77777777" w:rsidR="002925FE" w:rsidRPr="002925FE" w:rsidRDefault="002925FE" w:rsidP="002925FE">
            <w:pPr>
              <w:spacing w:line="240" w:lineRule="auto"/>
              <w:rPr>
                <w:rFonts w:ascii="Calibri" w:eastAsia="Arial Unicode MS" w:hAnsi="Calibri" w:cs="Calibri"/>
                <w:color w:val="auto"/>
                <w:lang w:val="fr-FR"/>
              </w:rPr>
            </w:pPr>
            <w:r w:rsidRPr="002925FE">
              <w:rPr>
                <w:rFonts w:ascii="Calibri" w:eastAsia="Arial Unicode MS" w:hAnsi="Calibri" w:cs="Calibri"/>
                <w:color w:val="auto"/>
                <w:u w:val="single"/>
                <w:lang w:val="fr-FR"/>
              </w:rPr>
              <w:t>Responsabilité 1 :</w:t>
            </w:r>
            <w:r w:rsidRPr="002925FE">
              <w:rPr>
                <w:rFonts w:ascii="Calibri" w:eastAsia="Arial Unicode MS" w:hAnsi="Calibri" w:cs="Calibri"/>
                <w:color w:val="auto"/>
                <w:lang w:val="fr-FR"/>
              </w:rPr>
              <w:t xml:space="preserve"> Assurer le développement et l’harmonisation de modèles contractuels ainsi que des outils de suivi avec le MEAH et le ministère de l’intérieur et de la décentralisation MID pour la fourniture et la gestion des services EAH </w:t>
            </w:r>
          </w:p>
          <w:p w14:paraId="71F86D7C" w14:textId="76B417B2" w:rsidR="002925FE" w:rsidRPr="002925FE" w:rsidRDefault="002925FE" w:rsidP="002925FE">
            <w:pPr>
              <w:pStyle w:val="ListParagraph"/>
              <w:numPr>
                <w:ilvl w:val="0"/>
                <w:numId w:val="26"/>
              </w:numPr>
              <w:tabs>
                <w:tab w:val="left" w:pos="690"/>
              </w:tabs>
              <w:spacing w:line="240" w:lineRule="auto"/>
              <w:ind w:left="690" w:hanging="270"/>
              <w:contextualSpacing w:val="0"/>
              <w:rPr>
                <w:rFonts w:ascii="Calibri" w:eastAsia="Arial Unicode MS" w:hAnsi="Calibri" w:cs="Calibri"/>
                <w:color w:val="auto"/>
                <w:lang w:val="fr-FR"/>
              </w:rPr>
            </w:pPr>
            <w:r w:rsidRPr="002925FE">
              <w:rPr>
                <w:rFonts w:ascii="Calibri" w:eastAsia="Arial Unicode MS" w:hAnsi="Calibri" w:cs="Calibri"/>
                <w:color w:val="auto"/>
                <w:lang w:val="fr-FR"/>
              </w:rPr>
              <w:t>Contribuer à la finalisation et validation du modèle de contrat de délégation de gestion de service EAH ;</w:t>
            </w:r>
          </w:p>
          <w:p w14:paraId="628D1419" w14:textId="1ABEAD59"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b/>
              <w:t>Appuyer la mise en œuvre du processus d’habilitation des communes en tant que maitre d’ouvrage ;</w:t>
            </w:r>
          </w:p>
          <w:p w14:paraId="5948EC35" w14:textId="1732109D"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 xml:space="preserve">Collaborer avec les DREAH sur l’élaboration et signature des contrats de délégation de gestion des systèmes d’adduction d’eau potable </w:t>
            </w:r>
          </w:p>
          <w:p w14:paraId="5D9A8106" w14:textId="17BBB597"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Contribuer au développement et application du manuel de gouvernance local EAH qui est un outil d’évaluation de l’indice de gouvernance locale des communes dans le secteur EAH.</w:t>
            </w:r>
          </w:p>
          <w:p w14:paraId="0B549FDF" w14:textId="2C1951A3"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Développer un outil de suivi de performance des gestionnaires privés des systèmes AEP, basé sur la plateforme mWater</w:t>
            </w:r>
          </w:p>
          <w:p w14:paraId="4DF31C67" w14:textId="77777777" w:rsidR="002925FE" w:rsidRPr="002925FE" w:rsidRDefault="002925FE" w:rsidP="002925FE">
            <w:pPr>
              <w:spacing w:line="240" w:lineRule="auto"/>
              <w:rPr>
                <w:rFonts w:ascii="Calibri" w:eastAsia="Arial Unicode MS" w:hAnsi="Calibri" w:cs="Calibri"/>
                <w:color w:val="auto"/>
                <w:lang w:val="fr-FR"/>
              </w:rPr>
            </w:pPr>
            <w:r w:rsidRPr="002925FE">
              <w:rPr>
                <w:rFonts w:ascii="Calibri" w:eastAsia="Arial Unicode MS" w:hAnsi="Calibri" w:cs="Calibri"/>
                <w:color w:val="auto"/>
                <w:u w:val="single"/>
                <w:lang w:val="fr-FR"/>
              </w:rPr>
              <w:t>Responsabilité 2 :</w:t>
            </w:r>
            <w:r w:rsidRPr="002925FE">
              <w:rPr>
                <w:rFonts w:ascii="Calibri" w:eastAsia="Arial Unicode MS" w:hAnsi="Calibri" w:cs="Calibri"/>
                <w:color w:val="auto"/>
                <w:lang w:val="fr-FR"/>
              </w:rPr>
              <w:t xml:space="preserve"> Participer activement au processus de mise en place et fonctionnalité des STEFI et STEAH</w:t>
            </w:r>
          </w:p>
          <w:p w14:paraId="02957ACE" w14:textId="13CFC5E0" w:rsidR="002925FE" w:rsidRPr="002925FE" w:rsidRDefault="002925FE" w:rsidP="002925FE">
            <w:pPr>
              <w:pStyle w:val="ListParagraph"/>
              <w:numPr>
                <w:ilvl w:val="0"/>
                <w:numId w:val="26"/>
              </w:numPr>
              <w:tabs>
                <w:tab w:val="left" w:pos="690"/>
              </w:tabs>
              <w:spacing w:line="240" w:lineRule="auto"/>
              <w:ind w:left="690" w:hanging="270"/>
              <w:contextualSpacing w:val="0"/>
              <w:rPr>
                <w:rFonts w:ascii="Calibri" w:eastAsia="Arial Unicode MS" w:hAnsi="Calibri" w:cs="Calibri"/>
                <w:color w:val="auto"/>
                <w:lang w:val="fr-FR"/>
              </w:rPr>
            </w:pPr>
            <w:r>
              <w:rPr>
                <w:rFonts w:ascii="Calibri" w:eastAsia="Arial Unicode MS" w:hAnsi="Calibri" w:cs="Calibri"/>
                <w:color w:val="auto"/>
                <w:lang w:val="fr-FR"/>
              </w:rPr>
              <w:t>E</w:t>
            </w:r>
            <w:r w:rsidRPr="002925FE">
              <w:rPr>
                <w:rFonts w:ascii="Calibri" w:eastAsia="Arial Unicode MS" w:hAnsi="Calibri" w:cs="Calibri"/>
                <w:color w:val="auto"/>
                <w:lang w:val="fr-FR"/>
              </w:rPr>
              <w:t>laborer un stratégie et méthodologie de mise en place des STEFI dans les 06 régions d’intervention de la section WASH</w:t>
            </w:r>
          </w:p>
          <w:p w14:paraId="5B57F39B" w14:textId="6CC72087" w:rsidR="002925FE" w:rsidRPr="002925FE" w:rsidRDefault="002925FE" w:rsidP="007277E0">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En collaboration avec les ONG partenaires de mise en œuvre (PCA</w:t>
            </w:r>
            <w:proofErr w:type="gramStart"/>
            <w:r w:rsidRPr="002925FE">
              <w:rPr>
                <w:rFonts w:ascii="Calibri" w:eastAsia="Arial Unicode MS" w:hAnsi="Calibri" w:cs="Calibri"/>
                <w:color w:val="auto"/>
                <w:lang w:val="fr-FR"/>
              </w:rPr>
              <w:t xml:space="preserve">), </w:t>
            </w:r>
            <w:r>
              <w:rPr>
                <w:rFonts w:ascii="Calibri" w:eastAsia="Arial Unicode MS" w:hAnsi="Calibri" w:cs="Calibri"/>
                <w:color w:val="auto"/>
                <w:lang w:val="fr-FR"/>
              </w:rPr>
              <w:t xml:space="preserve"> </w:t>
            </w:r>
            <w:r w:rsidRPr="002925FE">
              <w:rPr>
                <w:rFonts w:ascii="Calibri" w:eastAsia="Arial Unicode MS" w:hAnsi="Calibri" w:cs="Calibri"/>
                <w:color w:val="auto"/>
                <w:lang w:val="fr-FR"/>
              </w:rPr>
              <w:t>appuyer</w:t>
            </w:r>
            <w:proofErr w:type="gramEnd"/>
            <w:r w:rsidRPr="002925FE">
              <w:rPr>
                <w:rFonts w:ascii="Calibri" w:eastAsia="Arial Unicode MS" w:hAnsi="Calibri" w:cs="Calibri"/>
                <w:color w:val="auto"/>
                <w:lang w:val="fr-FR"/>
              </w:rPr>
              <w:t xml:space="preserve"> les DREAH et les ONG partenaires dans la mise en place et le renforcement de capacite des STEAH, selon la méthodologie et les modules de formations déjà établies,  </w:t>
            </w:r>
          </w:p>
          <w:p w14:paraId="58295BE5" w14:textId="2D844CD9"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Apporter des appuis aux POT (program Officer Terrain) de l’UNICEF sur le suivi et accompagnement des STEFI et STEAH</w:t>
            </w:r>
          </w:p>
          <w:p w14:paraId="45B7512F" w14:textId="5194A10C"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Contribuer à l’alimentation des données sur Mwater concernant les STEFI et STEAH ainsi que leur fonctionnalité</w:t>
            </w:r>
          </w:p>
          <w:p w14:paraId="24B24E9E" w14:textId="039D0D13"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Faire une capitalisation des acquis sur les STEFI et STEAH</w:t>
            </w:r>
          </w:p>
          <w:p w14:paraId="4867DC40" w14:textId="7CC7A65B" w:rsidR="002925FE" w:rsidRPr="002925FE" w:rsidRDefault="002925FE" w:rsidP="002925FE">
            <w:pPr>
              <w:spacing w:line="240" w:lineRule="auto"/>
              <w:rPr>
                <w:rFonts w:ascii="Calibri" w:eastAsia="Arial Unicode MS" w:hAnsi="Calibri" w:cs="Calibri"/>
                <w:color w:val="auto"/>
                <w:lang w:val="fr-FR"/>
              </w:rPr>
            </w:pPr>
            <w:r w:rsidRPr="002925FE">
              <w:rPr>
                <w:rFonts w:ascii="Calibri" w:eastAsia="Arial Unicode MS" w:hAnsi="Calibri" w:cs="Calibri"/>
                <w:color w:val="auto"/>
                <w:u w:val="single"/>
                <w:lang w:val="fr-FR"/>
              </w:rPr>
              <w:t>Responsabilité 3 :</w:t>
            </w:r>
            <w:r w:rsidRPr="002925FE">
              <w:rPr>
                <w:rFonts w:ascii="Calibri" w:eastAsia="Arial Unicode MS" w:hAnsi="Calibri" w:cs="Calibri"/>
                <w:color w:val="auto"/>
                <w:lang w:val="fr-FR"/>
              </w:rPr>
              <w:t xml:space="preserve"> Renforcement de capacités des acteurs locaux principalement les municipalités sur la planification, la fourniture et la gestion durable des services EHA :</w:t>
            </w:r>
          </w:p>
          <w:p w14:paraId="53795080" w14:textId="39A28CC3" w:rsidR="002925FE" w:rsidRPr="002925FE" w:rsidRDefault="002925FE" w:rsidP="002925FE">
            <w:pPr>
              <w:pStyle w:val="ListParagraph"/>
              <w:numPr>
                <w:ilvl w:val="0"/>
                <w:numId w:val="26"/>
              </w:numPr>
              <w:tabs>
                <w:tab w:val="left" w:pos="690"/>
              </w:tabs>
              <w:spacing w:line="240" w:lineRule="auto"/>
              <w:ind w:left="690" w:hanging="270"/>
              <w:contextualSpacing w:val="0"/>
              <w:rPr>
                <w:rFonts w:ascii="Calibri" w:eastAsia="Arial Unicode MS" w:hAnsi="Calibri" w:cs="Calibri"/>
                <w:color w:val="auto"/>
                <w:lang w:val="fr-FR"/>
              </w:rPr>
            </w:pPr>
            <w:r w:rsidRPr="002925FE">
              <w:rPr>
                <w:rFonts w:ascii="Calibri" w:eastAsia="Arial Unicode MS" w:hAnsi="Calibri" w:cs="Calibri"/>
                <w:color w:val="auto"/>
                <w:lang w:val="fr-FR"/>
              </w:rPr>
              <w:t>Planification et Priorisation des activités prévues dans les plans d’actions des communes assortis d’un chronogramme sur la durée de l’appui de 12 mois, reproductible à long terme ;</w:t>
            </w:r>
          </w:p>
          <w:p w14:paraId="701222C0" w14:textId="6DD53DDB"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Organisation des sessions de formation et coaching régulier à l’intention des acteurs communaux et d’ONG appuyant les communes ;</w:t>
            </w:r>
          </w:p>
          <w:p w14:paraId="02CC214E" w14:textId="5F166C1E"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 xml:space="preserve">Encadrement de proximité des communes sur la collecte, l’analyse et la gestion des données WASH ainsi que leur intégration dans mWater le cas échéant, via la mise en place des mécanisme STEFI et </w:t>
            </w:r>
            <w:proofErr w:type="gramStart"/>
            <w:r w:rsidRPr="002925FE">
              <w:rPr>
                <w:rFonts w:ascii="Calibri" w:eastAsia="Arial Unicode MS" w:hAnsi="Calibri" w:cs="Calibri"/>
                <w:color w:val="auto"/>
                <w:lang w:val="fr-FR"/>
              </w:rPr>
              <w:t>STEAH  ;</w:t>
            </w:r>
            <w:proofErr w:type="gramEnd"/>
          </w:p>
          <w:p w14:paraId="6C26630F" w14:textId="4DDFC834"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Appui et conseils aux communes pour la mise en œuvre de leur plan de travail annuel EHA, via STEFI et STEAH en coordination du volet gouvernance du Programme MIONJO ;</w:t>
            </w:r>
          </w:p>
          <w:p w14:paraId="17B3195C" w14:textId="14AFFB5E"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lastRenderedPageBreak/>
              <w:t>Mettre en place un mécanisme de redevabilité pour garantir la transparence et assurer l’efficacité des services fournis par les gestionnaires privés, ainsi qu’un mécanisme de suivi de ces services</w:t>
            </w:r>
          </w:p>
          <w:p w14:paraId="4CE09FFC" w14:textId="5FAF0716"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 xml:space="preserve">Appui à la mise en œuvre d’instruments communaux réglementant la fourniture et l’utilisation des services WASH </w:t>
            </w:r>
          </w:p>
          <w:p w14:paraId="60665DE9" w14:textId="78C3BD3A"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Appu</w:t>
            </w:r>
            <w:r w:rsidR="007851CF">
              <w:rPr>
                <w:rFonts w:ascii="Calibri" w:eastAsia="Arial Unicode MS" w:hAnsi="Calibri" w:cs="Calibri"/>
                <w:color w:val="auto"/>
                <w:lang w:val="fr-FR"/>
              </w:rPr>
              <w:t>yer</w:t>
            </w:r>
            <w:r w:rsidRPr="002925FE">
              <w:rPr>
                <w:rFonts w:ascii="Calibri" w:eastAsia="Arial Unicode MS" w:hAnsi="Calibri" w:cs="Calibri"/>
                <w:color w:val="auto"/>
                <w:lang w:val="fr-FR"/>
              </w:rPr>
              <w:t xml:space="preserve"> </w:t>
            </w:r>
            <w:r w:rsidR="007851CF">
              <w:rPr>
                <w:rFonts w:ascii="Calibri" w:eastAsia="Arial Unicode MS" w:hAnsi="Calibri" w:cs="Calibri"/>
                <w:color w:val="auto"/>
                <w:lang w:val="fr-FR"/>
              </w:rPr>
              <w:t xml:space="preserve">UNICEF </w:t>
            </w:r>
            <w:r w:rsidRPr="002925FE">
              <w:rPr>
                <w:rFonts w:ascii="Calibri" w:eastAsia="Arial Unicode MS" w:hAnsi="Calibri" w:cs="Calibri"/>
                <w:color w:val="auto"/>
                <w:lang w:val="fr-FR"/>
              </w:rPr>
              <w:t>à l’organisation des réunions du cadre de concertation communale avec la participation de la société civile, des communautés, élus locaux, organisations à base communautaire ;</w:t>
            </w:r>
          </w:p>
          <w:p w14:paraId="3D28AB37" w14:textId="77777777" w:rsidR="002925FE" w:rsidRPr="002925FE" w:rsidRDefault="002925FE" w:rsidP="002925FE">
            <w:pPr>
              <w:spacing w:line="240" w:lineRule="auto"/>
              <w:rPr>
                <w:rFonts w:ascii="Calibri" w:eastAsia="Arial Unicode MS" w:hAnsi="Calibri" w:cs="Calibri"/>
                <w:color w:val="auto"/>
                <w:lang w:val="fr-FR"/>
              </w:rPr>
            </w:pPr>
            <w:r w:rsidRPr="002925FE">
              <w:rPr>
                <w:rFonts w:ascii="Calibri" w:eastAsia="Arial Unicode MS" w:hAnsi="Calibri" w:cs="Calibri"/>
                <w:color w:val="auto"/>
                <w:u w:val="single"/>
                <w:lang w:val="fr-FR"/>
              </w:rPr>
              <w:t>Responsabilité 4 :</w:t>
            </w:r>
            <w:r w:rsidRPr="002925FE">
              <w:rPr>
                <w:rFonts w:ascii="Calibri" w:eastAsia="Arial Unicode MS" w:hAnsi="Calibri" w:cs="Calibri"/>
                <w:color w:val="auto"/>
                <w:lang w:val="fr-FR"/>
              </w:rPr>
              <w:t xml:space="preserve"> Assister la section WASH dans la mise en œuvre des activités soft dans le cadre du projet Mionjo pour assurer l’engagement communautaire </w:t>
            </w:r>
          </w:p>
          <w:p w14:paraId="5C3D1ED7" w14:textId="2BC5D07C" w:rsidR="002925FE" w:rsidRPr="002925FE" w:rsidRDefault="002925FE" w:rsidP="002925FE">
            <w:pPr>
              <w:pStyle w:val="ListParagraph"/>
              <w:numPr>
                <w:ilvl w:val="0"/>
                <w:numId w:val="26"/>
              </w:numPr>
              <w:tabs>
                <w:tab w:val="left" w:pos="690"/>
              </w:tabs>
              <w:spacing w:line="240" w:lineRule="auto"/>
              <w:ind w:left="690" w:hanging="270"/>
              <w:contextualSpacing w:val="0"/>
              <w:rPr>
                <w:rFonts w:ascii="Calibri" w:eastAsia="Arial Unicode MS" w:hAnsi="Calibri" w:cs="Calibri"/>
                <w:color w:val="auto"/>
                <w:lang w:val="fr-FR"/>
              </w:rPr>
            </w:pPr>
            <w:r w:rsidRPr="002925FE">
              <w:rPr>
                <w:rFonts w:ascii="Calibri" w:eastAsia="Arial Unicode MS" w:hAnsi="Calibri" w:cs="Calibri"/>
                <w:color w:val="auto"/>
                <w:lang w:val="fr-FR"/>
              </w:rPr>
              <w:t xml:space="preserve">Planifier des activités relatives aux engagements communautaire : ateliers, formations, sensibilisations, etc…. </w:t>
            </w:r>
            <w:proofErr w:type="gramStart"/>
            <w:r w:rsidRPr="002925FE">
              <w:rPr>
                <w:rFonts w:ascii="Calibri" w:eastAsia="Arial Unicode MS" w:hAnsi="Calibri" w:cs="Calibri"/>
                <w:color w:val="auto"/>
                <w:lang w:val="fr-FR"/>
              </w:rPr>
              <w:t>en</w:t>
            </w:r>
            <w:proofErr w:type="gramEnd"/>
            <w:r w:rsidRPr="002925FE">
              <w:rPr>
                <w:rFonts w:ascii="Calibri" w:eastAsia="Arial Unicode MS" w:hAnsi="Calibri" w:cs="Calibri"/>
                <w:color w:val="auto"/>
                <w:lang w:val="fr-FR"/>
              </w:rPr>
              <w:t xml:space="preserve"> synergie avec les activités et </w:t>
            </w:r>
            <w:proofErr w:type="spellStart"/>
            <w:r w:rsidRPr="002925FE">
              <w:rPr>
                <w:rFonts w:ascii="Calibri" w:eastAsia="Arial Unicode MS" w:hAnsi="Calibri" w:cs="Calibri"/>
                <w:color w:val="auto"/>
                <w:lang w:val="fr-FR"/>
              </w:rPr>
              <w:t>PCAs</w:t>
            </w:r>
            <w:proofErr w:type="spellEnd"/>
            <w:r w:rsidRPr="002925FE">
              <w:rPr>
                <w:rFonts w:ascii="Calibri" w:eastAsia="Arial Unicode MS" w:hAnsi="Calibri" w:cs="Calibri"/>
                <w:color w:val="auto"/>
                <w:lang w:val="fr-FR"/>
              </w:rPr>
              <w:t xml:space="preserve"> déjà en place dans les zones d’interventions pour optimiser les ressources</w:t>
            </w:r>
          </w:p>
          <w:p w14:paraId="2FD51159" w14:textId="20A5BFC8"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 xml:space="preserve">Promouvoir l’approche par la demande pour la reconversion des points d’eau : vulgarisation de l’approche IGC </w:t>
            </w:r>
          </w:p>
          <w:p w14:paraId="1C0744BF" w14:textId="50B357DA"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Accompagner les prestataires dans la mise en œuvre des analyses de capacité et volonté à payer : élaboration méthodologie, descente sur terrain et analyse des données recueillies pour recommander les sites et types d’ouvrages les plus adéquats.</w:t>
            </w:r>
          </w:p>
          <w:p w14:paraId="5DE51CD1" w14:textId="67999F5F"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Appuyer le responsable du projet dans l’analyse de vulnérabilités des communautés cibles en vue d’adopter un mode tarifaire flexible</w:t>
            </w:r>
          </w:p>
          <w:p w14:paraId="398F5811" w14:textId="61BC63BD"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Appuyer le responsable du projet dans la supervision des consultants régionaux en charge du suivi de l’implémentation et du projet au niveau local</w:t>
            </w:r>
          </w:p>
          <w:p w14:paraId="4B324B5B" w14:textId="035251F4"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 xml:space="preserve">Appuyer les DREAH dans le processus de mise en place du Dinan’ny </w:t>
            </w:r>
            <w:r w:rsidR="001222FF" w:rsidRPr="002925FE">
              <w:rPr>
                <w:rFonts w:ascii="Calibri" w:eastAsia="Arial Unicode MS" w:hAnsi="Calibri" w:cs="Calibri"/>
                <w:color w:val="auto"/>
                <w:lang w:val="fr-FR"/>
              </w:rPr>
              <w:t>Rano</w:t>
            </w:r>
            <w:r w:rsidRPr="002925FE">
              <w:rPr>
                <w:rFonts w:ascii="Calibri" w:eastAsia="Arial Unicode MS" w:hAnsi="Calibri" w:cs="Calibri"/>
                <w:color w:val="auto"/>
                <w:lang w:val="fr-FR"/>
              </w:rPr>
              <w:t xml:space="preserve"> dans les 3 régions du sud : consultation, rédaction, homologation et vulgarisation </w:t>
            </w:r>
          </w:p>
          <w:p w14:paraId="6381D153" w14:textId="13BEDB4C"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Assurer la coordination de toutes les activités liées à la gouvernance locale avec toutes les parties prenantes dont essentiellement l’UNGP MIONJO et le MID</w:t>
            </w:r>
          </w:p>
          <w:p w14:paraId="0648533E" w14:textId="54F41DF4"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Collaborer avec les ONG partenaires, le UNGP Mionjo ainsi que les DREAH pour élaborer des outils efficaces pour la sensibilisation des communautés sur l’adhésion au système payant, protection des ouvrages et prévention contre les actes de vandalismes……</w:t>
            </w:r>
          </w:p>
          <w:p w14:paraId="1FAE2F31" w14:textId="77777777" w:rsidR="002925FE" w:rsidRPr="002925FE" w:rsidRDefault="002925FE" w:rsidP="002925FE">
            <w:pPr>
              <w:spacing w:before="60" w:after="60" w:line="240" w:lineRule="auto"/>
              <w:rPr>
                <w:rFonts w:ascii="Calibri" w:eastAsia="Arial Unicode MS" w:hAnsi="Calibri" w:cs="Calibri"/>
                <w:color w:val="auto"/>
                <w:lang w:val="fr-FR"/>
              </w:rPr>
            </w:pPr>
          </w:p>
          <w:p w14:paraId="78553115" w14:textId="77777777" w:rsidR="002925FE" w:rsidRPr="002925FE" w:rsidRDefault="002925FE" w:rsidP="002925FE">
            <w:pPr>
              <w:spacing w:before="60" w:after="60" w:line="240" w:lineRule="auto"/>
              <w:rPr>
                <w:rFonts w:ascii="Calibri" w:eastAsia="Arial Unicode MS" w:hAnsi="Calibri" w:cs="Calibri"/>
                <w:color w:val="auto"/>
                <w:u w:val="single"/>
                <w:lang w:val="fr-FR"/>
              </w:rPr>
            </w:pPr>
            <w:r w:rsidRPr="002925FE">
              <w:rPr>
                <w:rFonts w:ascii="Calibri" w:eastAsia="Arial Unicode MS" w:hAnsi="Calibri" w:cs="Calibri"/>
                <w:color w:val="auto"/>
                <w:lang w:val="fr-FR"/>
              </w:rPr>
              <w:t>b.</w:t>
            </w:r>
            <w:r w:rsidRPr="002925FE">
              <w:rPr>
                <w:rFonts w:ascii="Calibri" w:eastAsia="Arial Unicode MS" w:hAnsi="Calibri" w:cs="Calibri"/>
                <w:color w:val="auto"/>
                <w:lang w:val="fr-FR"/>
              </w:rPr>
              <w:tab/>
            </w:r>
            <w:r w:rsidRPr="002925FE">
              <w:rPr>
                <w:rFonts w:ascii="Calibri" w:eastAsia="Arial Unicode MS" w:hAnsi="Calibri" w:cs="Calibri"/>
                <w:color w:val="auto"/>
                <w:u w:val="single"/>
                <w:lang w:val="fr-FR"/>
              </w:rPr>
              <w:t xml:space="preserve">il/elle contribue à la réalisation des objectifs et de la vision de l’UNICEF et du </w:t>
            </w:r>
            <w:proofErr w:type="gramStart"/>
            <w:r w:rsidRPr="002925FE">
              <w:rPr>
                <w:rFonts w:ascii="Calibri" w:eastAsia="Arial Unicode MS" w:hAnsi="Calibri" w:cs="Calibri"/>
                <w:color w:val="auto"/>
                <w:u w:val="single"/>
                <w:lang w:val="fr-FR"/>
              </w:rPr>
              <w:t>Ministère de l’Eau</w:t>
            </w:r>
            <w:proofErr w:type="gramEnd"/>
            <w:r w:rsidRPr="002925FE">
              <w:rPr>
                <w:rFonts w:ascii="Calibri" w:eastAsia="Arial Unicode MS" w:hAnsi="Calibri" w:cs="Calibri"/>
                <w:color w:val="auto"/>
                <w:u w:val="single"/>
                <w:lang w:val="fr-FR"/>
              </w:rPr>
              <w:t xml:space="preserve"> de l’Assainissement et de l’Hygiène (MEAH) en termes de gestion des infrastructures :</w:t>
            </w:r>
          </w:p>
          <w:p w14:paraId="41069040" w14:textId="77777777" w:rsidR="002925FE" w:rsidRPr="002925FE" w:rsidRDefault="002925FE" w:rsidP="002925FE">
            <w:pPr>
              <w:spacing w:line="240" w:lineRule="auto"/>
              <w:rPr>
                <w:rFonts w:ascii="Calibri" w:eastAsia="Arial Unicode MS" w:hAnsi="Calibri" w:cs="Calibri"/>
                <w:color w:val="auto"/>
                <w:lang w:val="fr-FR"/>
              </w:rPr>
            </w:pPr>
            <w:r w:rsidRPr="002925FE">
              <w:rPr>
                <w:rFonts w:ascii="Calibri" w:eastAsia="Arial Unicode MS" w:hAnsi="Calibri" w:cs="Calibri"/>
                <w:color w:val="auto"/>
                <w:u w:val="single"/>
                <w:lang w:val="fr-FR"/>
              </w:rPr>
              <w:t>Responsabilité 5 :</w:t>
            </w:r>
            <w:r w:rsidRPr="002925FE">
              <w:rPr>
                <w:rFonts w:ascii="Calibri" w:eastAsia="Arial Unicode MS" w:hAnsi="Calibri" w:cs="Calibri"/>
                <w:color w:val="auto"/>
                <w:lang w:val="fr-FR"/>
              </w:rPr>
              <w:t xml:space="preserve"> Accompagner la section WASH pour l’effectivité des contrats de délégation de gestion des infrastructures</w:t>
            </w:r>
          </w:p>
          <w:p w14:paraId="33D8CDD4" w14:textId="72CD2025" w:rsidR="002925FE" w:rsidRPr="002925FE" w:rsidRDefault="002925FE" w:rsidP="002925FE">
            <w:pPr>
              <w:pStyle w:val="ListParagraph"/>
              <w:numPr>
                <w:ilvl w:val="0"/>
                <w:numId w:val="26"/>
              </w:numPr>
              <w:tabs>
                <w:tab w:val="left" w:pos="690"/>
              </w:tabs>
              <w:spacing w:line="240" w:lineRule="auto"/>
              <w:ind w:left="690" w:hanging="270"/>
              <w:contextualSpacing w:val="0"/>
              <w:rPr>
                <w:rFonts w:ascii="Calibri" w:eastAsia="Arial Unicode MS" w:hAnsi="Calibri" w:cs="Calibri"/>
                <w:color w:val="auto"/>
                <w:lang w:val="fr-FR"/>
              </w:rPr>
            </w:pPr>
            <w:r w:rsidRPr="002925FE">
              <w:rPr>
                <w:rFonts w:ascii="Calibri" w:eastAsia="Arial Unicode MS" w:hAnsi="Calibri" w:cs="Calibri"/>
                <w:color w:val="auto"/>
                <w:lang w:val="fr-FR"/>
              </w:rPr>
              <w:t>Constituer les éléments constitutifs des contrats de délégation : corps du contrat et ses annexes</w:t>
            </w:r>
          </w:p>
          <w:p w14:paraId="1F5D0B0B" w14:textId="2FAA2CA1"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Proposer différents modes de tarification/recouvrement des fonds par les gestionnaires privés, ainsi que leur application suivant le contexte/environnement</w:t>
            </w:r>
          </w:p>
          <w:p w14:paraId="4F7D7458" w14:textId="562D382A"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Former et accompagner les autorités communales pour qu’elles maitrisent le contrat de gestion et pour pouvoir assurer leurs rôles dans le suivi de ce contrat</w:t>
            </w:r>
          </w:p>
          <w:p w14:paraId="1AE53B86" w14:textId="1BE61F0F"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Apporter des suggestions sur la mise à jour des contrats types selon les réalités et contextes dans le pays</w:t>
            </w:r>
          </w:p>
          <w:p w14:paraId="67293834" w14:textId="175D5CC7"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Accompagner les DREAH dans la mise en œuvre de leurs activités en tant qu’organe régulateurs</w:t>
            </w:r>
          </w:p>
          <w:p w14:paraId="335E0965" w14:textId="34DB69FC"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Contribuer aux différentes réflexions et études stratégiques pour améliorer la gestion privée à Madagascar.</w:t>
            </w:r>
          </w:p>
          <w:p w14:paraId="03F73586" w14:textId="77777777" w:rsidR="002925FE" w:rsidRPr="002925FE" w:rsidRDefault="002925FE" w:rsidP="002925FE">
            <w:pPr>
              <w:spacing w:before="60" w:after="60" w:line="240" w:lineRule="auto"/>
              <w:rPr>
                <w:rFonts w:ascii="Calibri" w:eastAsia="Arial Unicode MS" w:hAnsi="Calibri" w:cs="Calibri"/>
                <w:color w:val="auto"/>
                <w:lang w:val="fr-FR"/>
              </w:rPr>
            </w:pPr>
            <w:r w:rsidRPr="002925FE">
              <w:rPr>
                <w:rFonts w:ascii="Calibri" w:eastAsia="Arial Unicode MS" w:hAnsi="Calibri" w:cs="Calibri"/>
                <w:color w:val="auto"/>
                <w:u w:val="single"/>
                <w:lang w:val="fr-FR"/>
              </w:rPr>
              <w:t>Responsabilité 6 :</w:t>
            </w:r>
            <w:r w:rsidRPr="002925FE">
              <w:rPr>
                <w:rFonts w:ascii="Calibri" w:eastAsia="Arial Unicode MS" w:hAnsi="Calibri" w:cs="Calibri"/>
                <w:color w:val="auto"/>
                <w:lang w:val="fr-FR"/>
              </w:rPr>
              <w:t xml:space="preserve"> Contribuer au suivi et évaluation des activités des gestionnaires privés  </w:t>
            </w:r>
          </w:p>
          <w:p w14:paraId="3DCD0DBA" w14:textId="4B5000CE"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Etablir un outil et un système de suivi des gestionnaires : réunion périodique, remplissage tableau de bord, ….</w:t>
            </w:r>
          </w:p>
          <w:p w14:paraId="7E946D50" w14:textId="2B61BCEA"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 xml:space="preserve">Contribuer à l’évaluation des gestionnaires et programmer des activités de renforcement de leur capacité selon les résultats </w:t>
            </w:r>
          </w:p>
          <w:p w14:paraId="6F7CC5E6" w14:textId="5C63C92B"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Mettre à jour les données correspondantes aux gestions des systèmes dans la plateforme Mwater.</w:t>
            </w:r>
          </w:p>
          <w:p w14:paraId="20C0F19B" w14:textId="77777777" w:rsidR="002925FE" w:rsidRPr="002925FE" w:rsidRDefault="002925FE" w:rsidP="002925FE">
            <w:pPr>
              <w:spacing w:before="60" w:after="60" w:line="240" w:lineRule="auto"/>
              <w:rPr>
                <w:rFonts w:ascii="Calibri" w:eastAsia="Arial Unicode MS" w:hAnsi="Calibri" w:cs="Calibri"/>
                <w:color w:val="auto"/>
                <w:u w:val="single"/>
                <w:lang w:val="fr-FR"/>
              </w:rPr>
            </w:pPr>
            <w:r w:rsidRPr="002925FE">
              <w:rPr>
                <w:rFonts w:ascii="Calibri" w:eastAsia="Arial Unicode MS" w:hAnsi="Calibri" w:cs="Calibri"/>
                <w:color w:val="auto"/>
                <w:lang w:val="fr-FR"/>
              </w:rPr>
              <w:t>c.</w:t>
            </w:r>
            <w:r w:rsidRPr="002925FE">
              <w:rPr>
                <w:rFonts w:ascii="Calibri" w:eastAsia="Arial Unicode MS" w:hAnsi="Calibri" w:cs="Calibri"/>
                <w:color w:val="auto"/>
                <w:lang w:val="fr-FR"/>
              </w:rPr>
              <w:tab/>
            </w:r>
            <w:r w:rsidRPr="002925FE">
              <w:rPr>
                <w:rFonts w:ascii="Calibri" w:eastAsia="Arial Unicode MS" w:hAnsi="Calibri" w:cs="Calibri"/>
                <w:color w:val="auto"/>
                <w:u w:val="single"/>
                <w:lang w:val="fr-FR"/>
              </w:rPr>
              <w:t>Autres :</w:t>
            </w:r>
          </w:p>
          <w:p w14:paraId="25019443" w14:textId="77777777" w:rsidR="002925FE" w:rsidRPr="002925FE" w:rsidRDefault="002925FE" w:rsidP="002925FE">
            <w:pPr>
              <w:spacing w:before="60" w:after="60" w:line="240" w:lineRule="auto"/>
              <w:rPr>
                <w:rFonts w:ascii="Calibri" w:eastAsia="Arial Unicode MS" w:hAnsi="Calibri" w:cs="Calibri"/>
                <w:color w:val="auto"/>
                <w:lang w:val="fr-FR"/>
              </w:rPr>
            </w:pPr>
            <w:r w:rsidRPr="002925FE">
              <w:rPr>
                <w:rFonts w:ascii="Calibri" w:eastAsia="Arial Unicode MS" w:hAnsi="Calibri" w:cs="Calibri"/>
                <w:color w:val="auto"/>
                <w:u w:val="single"/>
                <w:lang w:val="fr-FR"/>
              </w:rPr>
              <w:t>Responsabilité 7 :</w:t>
            </w:r>
            <w:r w:rsidRPr="002925FE">
              <w:rPr>
                <w:rFonts w:ascii="Calibri" w:eastAsia="Arial Unicode MS" w:hAnsi="Calibri" w:cs="Calibri"/>
                <w:color w:val="auto"/>
                <w:lang w:val="fr-FR"/>
              </w:rPr>
              <w:t xml:space="preserve"> Renforcer l’appui stratégique</w:t>
            </w:r>
          </w:p>
          <w:p w14:paraId="48A196B8" w14:textId="73D5060A" w:rsidR="002925FE" w:rsidRPr="002925FE" w:rsidRDefault="001A63BC"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Pr>
                <w:rFonts w:ascii="Calibri" w:eastAsia="Arial Unicode MS" w:hAnsi="Calibri" w:cs="Calibri"/>
                <w:color w:val="auto"/>
                <w:lang w:val="fr-FR"/>
              </w:rPr>
              <w:t>I</w:t>
            </w:r>
            <w:r w:rsidR="002925FE" w:rsidRPr="002925FE">
              <w:rPr>
                <w:rFonts w:ascii="Calibri" w:eastAsia="Arial Unicode MS" w:hAnsi="Calibri" w:cs="Calibri"/>
                <w:color w:val="auto"/>
                <w:lang w:val="fr-FR"/>
              </w:rPr>
              <w:t>dentifier et signaler les principales lacunes, les actions clés et les besoins financiers supplémentaires ;</w:t>
            </w:r>
          </w:p>
          <w:p w14:paraId="7A1FFC83" w14:textId="6CEA7E03"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Soutenir la communication sur les crises pour le plaidoyer externe de l'urgence WASH ;</w:t>
            </w:r>
          </w:p>
          <w:p w14:paraId="38272E78" w14:textId="117AD7A7"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Contribuer aux rapports des donateurs ;</w:t>
            </w:r>
          </w:p>
          <w:p w14:paraId="78C5C227" w14:textId="23527270" w:rsidR="00B14BE6"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b/>
                <w:bCs/>
                <w:color w:val="auto"/>
                <w:lang w:val="fr-FR"/>
              </w:rPr>
            </w:pPr>
            <w:r w:rsidRPr="002925FE">
              <w:rPr>
                <w:rFonts w:ascii="Calibri" w:eastAsia="Arial Unicode MS" w:hAnsi="Calibri" w:cs="Calibri"/>
                <w:color w:val="auto"/>
                <w:lang w:val="fr-FR"/>
              </w:rPr>
              <w:t>Proposer des mécanismes, d'échange/collecte d'informations, de suivi des projets (indicateurs croisés) et des activités afin d'assurer une meilleure réactivité et maîtrise technique sur la réponse WASH.</w:t>
            </w:r>
          </w:p>
        </w:tc>
      </w:tr>
      <w:tr w:rsidR="007613B3" w:rsidRPr="0050455A" w14:paraId="0A300CA7" w14:textId="77777777" w:rsidTr="00D34BC9">
        <w:trPr>
          <w:trHeight w:val="80"/>
        </w:trPr>
        <w:tc>
          <w:tcPr>
            <w:tcW w:w="9887" w:type="dxa"/>
            <w:gridSpan w:val="4"/>
            <w:tcBorders>
              <w:top w:val="nil"/>
              <w:bottom w:val="nil"/>
            </w:tcBorders>
            <w:shd w:val="clear" w:color="auto" w:fill="auto"/>
            <w:noWrap/>
          </w:tcPr>
          <w:p w14:paraId="51AD8E11" w14:textId="77777777" w:rsidR="007613B3" w:rsidRPr="002925FE" w:rsidRDefault="007613B3" w:rsidP="00377BF5">
            <w:pPr>
              <w:spacing w:before="60" w:after="60" w:line="240" w:lineRule="auto"/>
              <w:rPr>
                <w:rFonts w:ascii="Calibri" w:eastAsia="Arial Unicode MS" w:hAnsi="Calibri" w:cs="Calibri"/>
                <w:i/>
                <w:color w:val="auto"/>
                <w:lang w:val="fr-FR"/>
              </w:rPr>
            </w:pPr>
          </w:p>
        </w:tc>
      </w:tr>
      <w:tr w:rsidR="00B14BE6" w:rsidRPr="007613B3" w14:paraId="5BFCD508" w14:textId="77777777" w:rsidTr="42903527">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0FC31A32"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50455A">
              <w:rPr>
                <w:rFonts w:ascii="Calibri" w:eastAsia="Arial Unicode MS" w:hAnsi="Calibri" w:cs="Calibri"/>
                <w:sz w:val="20"/>
                <w:szCs w:val="20"/>
                <w:lang w:val="en-AU"/>
              </w:rPr>
            </w:r>
            <w:r w:rsidR="0050455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CF5B80">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CF5B80">
              <w:rPr>
                <w:rFonts w:ascii="Calibri" w:eastAsia="Arial Unicode MS" w:hAnsi="Calibri" w:cs="Calibri"/>
                <w:sz w:val="20"/>
                <w:szCs w:val="20"/>
                <w:lang w:val="en-AU"/>
              </w:rPr>
              <w:instrText xml:space="preserve"> FORMCHECKBOX </w:instrText>
            </w:r>
            <w:r w:rsidR="0050455A">
              <w:rPr>
                <w:rFonts w:ascii="Calibri" w:eastAsia="Arial Unicode MS" w:hAnsi="Calibri" w:cs="Calibri"/>
                <w:sz w:val="20"/>
                <w:szCs w:val="20"/>
                <w:lang w:val="en-AU"/>
              </w:rPr>
            </w:r>
            <w:r w:rsidR="0050455A">
              <w:rPr>
                <w:rFonts w:ascii="Calibri" w:eastAsia="Arial Unicode MS" w:hAnsi="Calibri" w:cs="Calibri"/>
                <w:sz w:val="20"/>
                <w:szCs w:val="20"/>
                <w:lang w:val="en-AU"/>
              </w:rPr>
              <w:fldChar w:fldCharType="separate"/>
            </w:r>
            <w:r w:rsidR="00CF5B80">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73FE608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50455A">
              <w:rPr>
                <w:rFonts w:ascii="Calibri" w:eastAsia="Arial Unicode MS" w:hAnsi="Calibri" w:cs="Calibri"/>
                <w:sz w:val="20"/>
                <w:szCs w:val="20"/>
                <w:lang w:val="en-AU"/>
              </w:rPr>
            </w:r>
            <w:r w:rsidR="0050455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0B4C20">
              <w:rPr>
                <w:rFonts w:ascii="Calibri" w:eastAsia="Arial Unicode MS" w:hAnsi="Calibri" w:cs="Calibri"/>
                <w:sz w:val="20"/>
                <w:szCs w:val="20"/>
                <w:lang w:val="en-AU"/>
              </w:rPr>
              <w:fldChar w:fldCharType="begin">
                <w:ffData>
                  <w:name w:val=""/>
                  <w:enabled/>
                  <w:calcOnExit w:val="0"/>
                  <w:checkBox>
                    <w:sizeAuto/>
                    <w:default w:val="1"/>
                  </w:checkBox>
                </w:ffData>
              </w:fldChar>
            </w:r>
            <w:r w:rsidR="000B4C20">
              <w:rPr>
                <w:rFonts w:ascii="Calibri" w:eastAsia="Arial Unicode MS" w:hAnsi="Calibri" w:cs="Calibri"/>
                <w:sz w:val="20"/>
                <w:szCs w:val="20"/>
                <w:lang w:val="en-AU"/>
              </w:rPr>
              <w:instrText xml:space="preserve"> FORMCHECKBOX </w:instrText>
            </w:r>
            <w:r w:rsidR="0050455A">
              <w:rPr>
                <w:rFonts w:ascii="Calibri" w:eastAsia="Arial Unicode MS" w:hAnsi="Calibri" w:cs="Calibri"/>
                <w:sz w:val="20"/>
                <w:szCs w:val="20"/>
                <w:lang w:val="en-AU"/>
              </w:rPr>
            </w:r>
            <w:r w:rsidR="0050455A">
              <w:rPr>
                <w:rFonts w:ascii="Calibri" w:eastAsia="Arial Unicode MS" w:hAnsi="Calibri" w:cs="Calibri"/>
                <w:sz w:val="20"/>
                <w:szCs w:val="20"/>
                <w:lang w:val="en-AU"/>
              </w:rPr>
              <w:fldChar w:fldCharType="separate"/>
            </w:r>
            <w:r w:rsidR="000B4C20">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50455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50455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36E04A8B"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50455A">
              <w:rPr>
                <w:rFonts w:ascii="Calibri" w:eastAsia="Arial Unicode MS" w:hAnsi="Calibri" w:cs="Calibri"/>
                <w:sz w:val="20"/>
                <w:szCs w:val="20"/>
                <w:lang w:val="en-AU"/>
              </w:rPr>
            </w:r>
            <w:r w:rsidR="0050455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0B4C20">
              <w:rPr>
                <w:rFonts w:ascii="Calibri" w:eastAsia="Arial Unicode MS" w:hAnsi="Calibri" w:cs="Calibri"/>
                <w:sz w:val="20"/>
                <w:szCs w:val="20"/>
                <w:lang w:val="en-AU"/>
              </w:rPr>
              <w:fldChar w:fldCharType="begin">
                <w:ffData>
                  <w:name w:val=""/>
                  <w:enabled/>
                  <w:calcOnExit w:val="0"/>
                  <w:checkBox>
                    <w:sizeAuto/>
                    <w:default w:val="1"/>
                  </w:checkBox>
                </w:ffData>
              </w:fldChar>
            </w:r>
            <w:r w:rsidR="000B4C20">
              <w:rPr>
                <w:rFonts w:ascii="Calibri" w:eastAsia="Arial Unicode MS" w:hAnsi="Calibri" w:cs="Calibri"/>
                <w:sz w:val="20"/>
                <w:szCs w:val="20"/>
                <w:lang w:val="en-AU"/>
              </w:rPr>
              <w:instrText xml:space="preserve"> FORMCHECKBOX </w:instrText>
            </w:r>
            <w:r w:rsidR="0050455A">
              <w:rPr>
                <w:rFonts w:ascii="Calibri" w:eastAsia="Arial Unicode MS" w:hAnsi="Calibri" w:cs="Calibri"/>
                <w:sz w:val="20"/>
                <w:szCs w:val="20"/>
                <w:lang w:val="en-AU"/>
              </w:rPr>
            </w:r>
            <w:r w:rsidR="0050455A">
              <w:rPr>
                <w:rFonts w:ascii="Calibri" w:eastAsia="Arial Unicode MS" w:hAnsi="Calibri" w:cs="Calibri"/>
                <w:sz w:val="20"/>
                <w:szCs w:val="20"/>
                <w:lang w:val="en-AU"/>
              </w:rPr>
              <w:fldChar w:fldCharType="separate"/>
            </w:r>
            <w:r w:rsidR="000B4C20">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50455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50455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p w14:paraId="465ADA06" w14:textId="77777777" w:rsidR="0050455A" w:rsidRDefault="0050455A" w:rsidP="005B0B20">
      <w:pPr>
        <w:widowControl w:val="0"/>
        <w:contextualSpacing/>
      </w:pPr>
    </w:p>
    <w:p w14:paraId="4886109E" w14:textId="33CFCF92" w:rsidR="005B0B20" w:rsidRDefault="005B0B20" w:rsidP="005B0B20">
      <w:pPr>
        <w:widowControl w:val="0"/>
        <w:contextualSpacing/>
      </w:pPr>
      <w:r>
        <w:br w:type="page"/>
      </w:r>
    </w:p>
    <w:tbl>
      <w:tblPr>
        <w:tblpPr w:leftFromText="180" w:rightFromText="180" w:vertAnchor="page" w:horzAnchor="page" w:tblpX="621" w:tblpY="1231"/>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20"/>
        <w:gridCol w:w="3410"/>
        <w:gridCol w:w="1260"/>
        <w:gridCol w:w="1087"/>
      </w:tblGrid>
      <w:tr w:rsidR="005B0B20" w:rsidRPr="007613B3" w14:paraId="5133600F" w14:textId="77777777" w:rsidTr="008263AC">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58FAA013" w14:textId="77777777" w:rsidR="005B0B20" w:rsidRPr="007613B3" w:rsidRDefault="005B0B20" w:rsidP="005B0B20">
            <w:pPr>
              <w:widowControl w:val="0"/>
              <w:ind w:left="12" w:hanging="12"/>
              <w:contextualSpacing/>
              <w:rPr>
                <w:rFonts w:ascii="Calibri" w:eastAsia="Arial Unicode MS" w:hAnsi="Calibri" w:cs="Calibri"/>
                <w:color w:val="auto"/>
                <w:lang w:val="en-AU"/>
              </w:rPr>
            </w:pPr>
            <w:r>
              <w:rPr>
                <w:rFonts w:ascii="Calibri" w:eastAsia="Arial Unicode MS" w:hAnsi="Calibri" w:cs="Calibri"/>
                <w:color w:val="auto"/>
                <w:lang w:val="en-AU"/>
              </w:rPr>
              <w:lastRenderedPageBreak/>
              <w:t>Work Assignments Overview</w:t>
            </w:r>
          </w:p>
        </w:tc>
        <w:tc>
          <w:tcPr>
            <w:tcW w:w="341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1DBE6F9" w14:textId="77777777" w:rsidR="005B0B20" w:rsidRPr="00CF5B80" w:rsidRDefault="005B0B20" w:rsidP="005B0B20">
            <w:pPr>
              <w:widowControl w:val="0"/>
              <w:ind w:left="12" w:hanging="12"/>
              <w:contextualSpacing/>
              <w:rPr>
                <w:rFonts w:ascii="Calibri" w:eastAsia="Arial Unicode MS" w:hAnsi="Calibri" w:cs="Calibri"/>
                <w:color w:val="auto"/>
                <w:lang w:val="fr-FR"/>
              </w:rPr>
            </w:pPr>
            <w:proofErr w:type="spellStart"/>
            <w:r w:rsidRPr="00CF5B80">
              <w:rPr>
                <w:rFonts w:ascii="Calibri" w:eastAsia="Arial Unicode MS" w:hAnsi="Calibri" w:cs="Calibri"/>
                <w:color w:val="auto"/>
                <w:lang w:val="fr-FR"/>
              </w:rPr>
              <w:t>Deliverables</w:t>
            </w:r>
            <w:proofErr w:type="spellEnd"/>
            <w:r w:rsidRPr="00CF5B80">
              <w:rPr>
                <w:rFonts w:ascii="Calibri" w:eastAsia="Arial Unicode MS" w:hAnsi="Calibri" w:cs="Calibri"/>
                <w:color w:val="auto"/>
                <w:lang w:val="fr-FR"/>
              </w:rPr>
              <w:t>/Outputs</w:t>
            </w:r>
          </w:p>
        </w:tc>
        <w:tc>
          <w:tcPr>
            <w:tcW w:w="126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C38B1C8" w14:textId="77777777" w:rsidR="005B0B20" w:rsidRPr="00CF5B80" w:rsidRDefault="005B0B20" w:rsidP="005B0B20">
            <w:pPr>
              <w:widowControl w:val="0"/>
              <w:ind w:left="12" w:hanging="12"/>
              <w:contextualSpacing/>
              <w:rPr>
                <w:rFonts w:ascii="Calibri" w:eastAsia="Arial Unicode MS" w:hAnsi="Calibri" w:cs="Calibri"/>
                <w:color w:val="auto"/>
                <w:lang w:val="fr-FR"/>
              </w:rPr>
            </w:pPr>
            <w:proofErr w:type="gramStart"/>
            <w:r w:rsidRPr="00CF5B80">
              <w:rPr>
                <w:rFonts w:ascii="Calibri" w:eastAsia="Arial Unicode MS" w:hAnsi="Calibri" w:cs="Calibri"/>
                <w:color w:val="auto"/>
                <w:lang w:val="fr-FR"/>
              </w:rPr>
              <w:t>Delivery  deadline</w:t>
            </w:r>
            <w:proofErr w:type="gramEnd"/>
          </w:p>
        </w:tc>
        <w:tc>
          <w:tcPr>
            <w:tcW w:w="108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608F888" w14:textId="77777777" w:rsidR="005B0B20" w:rsidRPr="00CF5B80" w:rsidRDefault="005B0B20" w:rsidP="005B0B20">
            <w:pPr>
              <w:widowControl w:val="0"/>
              <w:ind w:left="12" w:hanging="12"/>
              <w:contextualSpacing/>
              <w:rPr>
                <w:rFonts w:ascii="Calibri" w:eastAsia="Arial Unicode MS" w:hAnsi="Calibri" w:cs="Calibri"/>
                <w:color w:val="auto"/>
                <w:lang w:val="fr-FR"/>
              </w:rPr>
            </w:pPr>
            <w:proofErr w:type="spellStart"/>
            <w:r w:rsidRPr="00CF5B80">
              <w:rPr>
                <w:rFonts w:ascii="Calibri" w:eastAsia="Arial Unicode MS" w:hAnsi="Calibri" w:cs="Calibri"/>
                <w:color w:val="auto"/>
                <w:lang w:val="fr-FR"/>
              </w:rPr>
              <w:t>Estimated</w:t>
            </w:r>
            <w:proofErr w:type="spellEnd"/>
            <w:r w:rsidRPr="00CF5B80">
              <w:rPr>
                <w:rFonts w:ascii="Calibri" w:eastAsia="Arial Unicode MS" w:hAnsi="Calibri" w:cs="Calibri"/>
                <w:color w:val="auto"/>
                <w:lang w:val="fr-FR"/>
              </w:rPr>
              <w:t xml:space="preserve"> Budget</w:t>
            </w:r>
          </w:p>
        </w:tc>
      </w:tr>
      <w:tr w:rsidR="005B0B20" w:rsidRPr="00CF5B80" w14:paraId="4487C5FA" w14:textId="77777777" w:rsidTr="008263AC">
        <w:trPr>
          <w:trHeight w:val="343"/>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3AF8F398" w14:textId="77777777" w:rsidR="005B0B20" w:rsidRPr="00CF5B80" w:rsidRDefault="005B0B20" w:rsidP="005B0B20">
            <w:pPr>
              <w:ind w:left="-30" w:hanging="12"/>
              <w:rPr>
                <w:rFonts w:ascii="Calibri" w:eastAsia="Arial Unicode MS" w:hAnsi="Calibri" w:cs="Calibri"/>
                <w:color w:val="auto"/>
                <w:lang w:val="fr-FR"/>
              </w:rPr>
            </w:pPr>
            <w:r w:rsidRPr="00CF5B80">
              <w:rPr>
                <w:rFonts w:ascii="Calibri" w:eastAsia="Arial Unicode MS" w:hAnsi="Calibri" w:cs="Calibri"/>
                <w:color w:val="auto"/>
                <w:lang w:val="fr-FR"/>
              </w:rPr>
              <w:t>Assurer le développement et l’harmonisation de modèles contractuels ainsi que des outils de suivi avec le MEAH et le ministère de l’intérieur et de la décentralisation MID pour la fourniture et la gestion des services EAH</w:t>
            </w:r>
          </w:p>
        </w:tc>
        <w:tc>
          <w:tcPr>
            <w:tcW w:w="3410" w:type="dxa"/>
            <w:tcBorders>
              <w:top w:val="single" w:sz="8" w:space="0" w:color="6D6D6D"/>
              <w:left w:val="single" w:sz="8" w:space="0" w:color="6D6D6D"/>
              <w:bottom w:val="single" w:sz="8" w:space="0" w:color="6D6D6D"/>
              <w:right w:val="single" w:sz="8" w:space="0" w:color="6D6D6D"/>
            </w:tcBorders>
            <w:shd w:val="clear" w:color="auto" w:fill="auto"/>
          </w:tcPr>
          <w:p w14:paraId="4C2B9EF0" w14:textId="77777777" w:rsidR="001E074F" w:rsidRDefault="005B0B20" w:rsidP="001E074F">
            <w:pPr>
              <w:widowControl w:val="0"/>
              <w:rPr>
                <w:rFonts w:ascii="Calibri" w:eastAsia="Arial Unicode MS" w:hAnsi="Calibri" w:cs="Calibri"/>
                <w:color w:val="auto"/>
                <w:lang w:val="fr-FR"/>
              </w:rPr>
            </w:pPr>
            <w:r w:rsidRPr="001E074F">
              <w:rPr>
                <w:rFonts w:ascii="Calibri" w:eastAsia="Arial Unicode MS" w:hAnsi="Calibri" w:cs="Calibri"/>
                <w:color w:val="auto"/>
                <w:lang w:val="fr-FR"/>
              </w:rPr>
              <w:t xml:space="preserve">Livrable 1 : </w:t>
            </w:r>
          </w:p>
          <w:p w14:paraId="7BA5E761" w14:textId="0BA4CBD0" w:rsidR="005B0B20" w:rsidRPr="001E074F" w:rsidRDefault="005B0B20" w:rsidP="001E074F">
            <w:pPr>
              <w:widowControl w:val="0"/>
              <w:rPr>
                <w:rFonts w:ascii="Calibri" w:eastAsia="Arial Unicode MS" w:hAnsi="Calibri" w:cs="Calibri"/>
                <w:color w:val="auto"/>
                <w:lang w:val="fr-FR"/>
              </w:rPr>
            </w:pPr>
            <w:r w:rsidRPr="001E074F">
              <w:rPr>
                <w:rFonts w:ascii="Calibri" w:eastAsia="Arial Unicode MS" w:hAnsi="Calibri" w:cs="Calibri"/>
                <w:color w:val="auto"/>
                <w:lang w:val="fr-FR"/>
              </w:rPr>
              <w:t>Rapport de démarrage incluant la méthodologie d’intervention ainsi que le calendrier détaillé</w:t>
            </w:r>
          </w:p>
          <w:p w14:paraId="26AA7A49" w14:textId="77777777" w:rsidR="005B0B20" w:rsidRDefault="005B0B20" w:rsidP="005B0B20">
            <w:pPr>
              <w:ind w:left="12" w:hanging="12"/>
              <w:rPr>
                <w:rFonts w:ascii="Calibri" w:eastAsia="Arial Unicode MS" w:hAnsi="Calibri" w:cs="Calibri"/>
                <w:color w:val="auto"/>
                <w:lang w:val="fr-FR"/>
              </w:rPr>
            </w:pPr>
          </w:p>
          <w:p w14:paraId="7723A383" w14:textId="77777777" w:rsidR="005B0B20" w:rsidRPr="00CF5B80" w:rsidRDefault="005B0B20" w:rsidP="00BC3E8A">
            <w:pPr>
              <w:rPr>
                <w:rFonts w:ascii="Calibri" w:eastAsia="Arial Unicode MS" w:hAnsi="Calibri" w:cs="Calibri"/>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2E7CDD0" w14:textId="77777777" w:rsidR="005B0B20" w:rsidRDefault="005B0B20"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15 jours après début prestation</w:t>
            </w:r>
          </w:p>
          <w:p w14:paraId="2D44C4F0" w14:textId="1E2F50E7" w:rsidR="005B0B20" w:rsidRPr="00CF5B80" w:rsidRDefault="005B0B20" w:rsidP="005B0B20">
            <w:pPr>
              <w:ind w:left="12" w:hanging="12"/>
              <w:rPr>
                <w:rFonts w:ascii="Calibri" w:eastAsia="Arial Unicode MS" w:hAnsi="Calibri" w:cs="Calibri"/>
                <w:color w:val="auto"/>
                <w:lang w:val="fr-FR"/>
              </w:rPr>
            </w:pP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4316C925" w14:textId="77777777" w:rsidR="005B0B20" w:rsidRDefault="00EB244E"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15%</w:t>
            </w:r>
          </w:p>
          <w:p w14:paraId="232C90E6" w14:textId="77777777" w:rsidR="00EB244E" w:rsidRDefault="00EB244E" w:rsidP="005B0B20">
            <w:pPr>
              <w:ind w:left="12" w:hanging="12"/>
              <w:rPr>
                <w:rFonts w:ascii="Calibri" w:eastAsia="Arial Unicode MS" w:hAnsi="Calibri" w:cs="Calibri"/>
                <w:color w:val="auto"/>
                <w:lang w:val="fr-FR"/>
              </w:rPr>
            </w:pPr>
          </w:p>
          <w:p w14:paraId="4243F7D7" w14:textId="2C1013CF" w:rsidR="00EB244E" w:rsidRPr="00CF5B80" w:rsidRDefault="00EB244E" w:rsidP="00BC3E8A">
            <w:pPr>
              <w:rPr>
                <w:rFonts w:ascii="Calibri" w:eastAsia="Arial Unicode MS" w:hAnsi="Calibri" w:cs="Calibri"/>
                <w:color w:val="auto"/>
                <w:lang w:val="fr-FR"/>
              </w:rPr>
            </w:pPr>
          </w:p>
        </w:tc>
      </w:tr>
      <w:tr w:rsidR="005B0B20" w:rsidRPr="00CF5B80" w14:paraId="7AEEFA9D" w14:textId="77777777" w:rsidTr="008263AC">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7C2DD9D" w14:textId="642134BB" w:rsidR="005B0B20" w:rsidRPr="00CF5B80" w:rsidRDefault="000118E3"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 xml:space="preserve">Assurer le </w:t>
            </w:r>
            <w:r w:rsidR="005B0B20" w:rsidRPr="00CF5B80">
              <w:rPr>
                <w:rFonts w:ascii="Calibri" w:eastAsia="Arial Unicode MS" w:hAnsi="Calibri" w:cs="Calibri"/>
                <w:color w:val="auto"/>
                <w:lang w:val="fr-FR"/>
              </w:rPr>
              <w:t xml:space="preserve">processus de mise en place </w:t>
            </w:r>
            <w:r w:rsidR="00516578">
              <w:rPr>
                <w:rFonts w:ascii="Calibri" w:eastAsia="Arial Unicode MS" w:hAnsi="Calibri" w:cs="Calibri"/>
                <w:color w:val="auto"/>
                <w:lang w:val="fr-FR"/>
              </w:rPr>
              <w:t>d</w:t>
            </w:r>
            <w:r w:rsidR="000C5742">
              <w:rPr>
                <w:rFonts w:ascii="Calibri" w:eastAsia="Arial Unicode MS" w:hAnsi="Calibri" w:cs="Calibri"/>
                <w:color w:val="auto"/>
                <w:lang w:val="fr-FR"/>
              </w:rPr>
              <w:t xml:space="preserve">es services EAH et assurer la </w:t>
            </w:r>
            <w:r w:rsidR="005B0B20" w:rsidRPr="00CF5B80">
              <w:rPr>
                <w:rFonts w:ascii="Calibri" w:eastAsia="Arial Unicode MS" w:hAnsi="Calibri" w:cs="Calibri"/>
                <w:color w:val="auto"/>
                <w:lang w:val="fr-FR"/>
              </w:rPr>
              <w:t>fonctionnalité des STEFI et STEAH</w:t>
            </w:r>
          </w:p>
        </w:tc>
        <w:tc>
          <w:tcPr>
            <w:tcW w:w="3410" w:type="dxa"/>
            <w:tcBorders>
              <w:top w:val="single" w:sz="8" w:space="0" w:color="6D6D6D"/>
              <w:left w:val="single" w:sz="8" w:space="0" w:color="6D6D6D"/>
              <w:bottom w:val="single" w:sz="8" w:space="0" w:color="6D6D6D"/>
              <w:right w:val="single" w:sz="8" w:space="0" w:color="6D6D6D"/>
            </w:tcBorders>
            <w:shd w:val="clear" w:color="auto" w:fill="auto"/>
          </w:tcPr>
          <w:p w14:paraId="70905F6C" w14:textId="77777777" w:rsidR="001E074F" w:rsidRPr="001E074F" w:rsidRDefault="00BC3E8A" w:rsidP="001E074F">
            <w:pPr>
              <w:widowControl w:val="0"/>
              <w:rPr>
                <w:rFonts w:ascii="Calibri" w:eastAsia="Arial Unicode MS" w:hAnsi="Calibri" w:cs="Calibri"/>
                <w:color w:val="auto"/>
                <w:lang w:val="fr-FR"/>
              </w:rPr>
            </w:pPr>
            <w:r w:rsidRPr="001E074F">
              <w:rPr>
                <w:rFonts w:ascii="Calibri" w:eastAsia="Arial Unicode MS" w:hAnsi="Calibri" w:cs="Calibri"/>
                <w:color w:val="auto"/>
                <w:lang w:val="fr-FR"/>
              </w:rPr>
              <w:t xml:space="preserve">Livrable 2 : </w:t>
            </w:r>
          </w:p>
          <w:p w14:paraId="3AC709B4" w14:textId="168467D7" w:rsidR="00BC3E8A" w:rsidRPr="005B0B20" w:rsidRDefault="00BC3E8A" w:rsidP="00BC3E8A">
            <w:pPr>
              <w:pStyle w:val="ListParagraph"/>
              <w:widowControl w:val="0"/>
              <w:numPr>
                <w:ilvl w:val="0"/>
                <w:numId w:val="27"/>
              </w:numPr>
              <w:ind w:left="421" w:hanging="270"/>
              <w:contextualSpacing w:val="0"/>
              <w:rPr>
                <w:rFonts w:ascii="Calibri" w:eastAsia="Arial Unicode MS" w:hAnsi="Calibri" w:cs="Calibri"/>
                <w:color w:val="auto"/>
                <w:lang w:val="fr-FR"/>
              </w:rPr>
            </w:pPr>
            <w:proofErr w:type="gramStart"/>
            <w:r w:rsidRPr="005B0B20">
              <w:rPr>
                <w:rFonts w:ascii="Calibri" w:eastAsia="Arial Unicode MS" w:hAnsi="Calibri" w:cs="Calibri"/>
                <w:color w:val="auto"/>
                <w:lang w:val="fr-FR"/>
              </w:rPr>
              <w:t>présentation</w:t>
            </w:r>
            <w:proofErr w:type="gramEnd"/>
            <w:r w:rsidRPr="005B0B20">
              <w:rPr>
                <w:rFonts w:ascii="Calibri" w:eastAsia="Arial Unicode MS" w:hAnsi="Calibri" w:cs="Calibri"/>
                <w:color w:val="auto"/>
                <w:lang w:val="fr-FR"/>
              </w:rPr>
              <w:t xml:space="preserve"> des modèles contractuels ainsi que des outils de suivi avec le MEAH et le ministère de l’intérieur et de la décentralisation MID pour la fourniture et la gestion des services EAH (Plan d’action et de performance des communes, Plan d’action et rapport d’avancement de suivi des DREAH, etc.)</w:t>
            </w:r>
          </w:p>
          <w:p w14:paraId="15A93093" w14:textId="4249180C" w:rsidR="005B0B20" w:rsidRPr="005B0B20" w:rsidRDefault="001E074F" w:rsidP="005B0B20">
            <w:pPr>
              <w:pStyle w:val="ListParagraph"/>
              <w:widowControl w:val="0"/>
              <w:numPr>
                <w:ilvl w:val="0"/>
                <w:numId w:val="27"/>
              </w:numPr>
              <w:ind w:left="421" w:hanging="270"/>
              <w:contextualSpacing w:val="0"/>
              <w:rPr>
                <w:rFonts w:ascii="Calibri" w:eastAsia="Arial Unicode MS" w:hAnsi="Calibri" w:cs="Calibri"/>
                <w:color w:val="auto"/>
                <w:lang w:val="fr-FR"/>
              </w:rPr>
            </w:pPr>
            <w:r>
              <w:rPr>
                <w:rFonts w:ascii="Calibri" w:eastAsia="Arial Unicode MS" w:hAnsi="Calibri" w:cs="Calibri"/>
                <w:color w:val="auto"/>
                <w:lang w:val="fr-FR"/>
              </w:rPr>
              <w:t>R</w:t>
            </w:r>
            <w:r w:rsidR="005B0B20" w:rsidRPr="005B0B20">
              <w:rPr>
                <w:rFonts w:ascii="Calibri" w:eastAsia="Arial Unicode MS" w:hAnsi="Calibri" w:cs="Calibri"/>
                <w:color w:val="auto"/>
                <w:lang w:val="fr-FR"/>
              </w:rPr>
              <w:t xml:space="preserve">apport sur la mise en œuvre des activités relatives à </w:t>
            </w:r>
            <w:proofErr w:type="gramStart"/>
            <w:r w:rsidR="005B0B20" w:rsidRPr="005B0B20">
              <w:rPr>
                <w:rFonts w:ascii="Calibri" w:eastAsia="Arial Unicode MS" w:hAnsi="Calibri" w:cs="Calibri"/>
                <w:color w:val="auto"/>
                <w:lang w:val="fr-FR"/>
              </w:rPr>
              <w:t>la  mise</w:t>
            </w:r>
            <w:proofErr w:type="gramEnd"/>
            <w:r w:rsidR="005B0B20" w:rsidRPr="005B0B20">
              <w:rPr>
                <w:rFonts w:ascii="Calibri" w:eastAsia="Arial Unicode MS" w:hAnsi="Calibri" w:cs="Calibri"/>
                <w:color w:val="auto"/>
                <w:lang w:val="fr-FR"/>
              </w:rPr>
              <w:t xml:space="preserve"> en place des STEFI et STEAH (Module de formation, outils de renforcement de capacité, Rapport de formation, etc.)</w:t>
            </w:r>
          </w:p>
          <w:p w14:paraId="79BCA90C" w14:textId="77777777" w:rsidR="005B0B20" w:rsidRPr="00CF5B80" w:rsidRDefault="005B0B20" w:rsidP="005B0B20">
            <w:pPr>
              <w:pStyle w:val="ListParagraph"/>
              <w:widowControl w:val="0"/>
              <w:ind w:left="421"/>
              <w:contextualSpacing w:val="0"/>
              <w:rPr>
                <w:rFonts w:ascii="Calibri" w:eastAsia="Arial Unicode MS" w:hAnsi="Calibri" w:cs="Calibri"/>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55AE2978" w14:textId="6DFC23FB" w:rsidR="005B0B20" w:rsidRPr="00CF5B80" w:rsidRDefault="005B0B20"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3 mois après début prestation</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1579C108" w14:textId="018C9F10" w:rsidR="005B0B20" w:rsidRPr="00CF5B80" w:rsidRDefault="00BC3E8A"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2</w:t>
            </w:r>
            <w:r w:rsidR="00EB244E">
              <w:rPr>
                <w:rFonts w:ascii="Calibri" w:eastAsia="Arial Unicode MS" w:hAnsi="Calibri" w:cs="Calibri"/>
                <w:color w:val="auto"/>
                <w:lang w:val="fr-FR"/>
              </w:rPr>
              <w:t>0%</w:t>
            </w:r>
          </w:p>
        </w:tc>
      </w:tr>
      <w:tr w:rsidR="005B0B20" w:rsidRPr="00CF5B80" w14:paraId="4E49CAE1" w14:textId="77777777" w:rsidTr="008263AC">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3D114768" w14:textId="64C4BCAA" w:rsidR="005B0B20" w:rsidRPr="00CF5B80" w:rsidRDefault="005B0B20" w:rsidP="005B0B20">
            <w:pPr>
              <w:ind w:left="12" w:hanging="12"/>
              <w:rPr>
                <w:rFonts w:ascii="Calibri" w:eastAsia="Arial Unicode MS" w:hAnsi="Calibri" w:cs="Calibri"/>
                <w:color w:val="auto"/>
                <w:lang w:val="fr-FR"/>
              </w:rPr>
            </w:pPr>
            <w:r w:rsidRPr="00CF5B80">
              <w:rPr>
                <w:rFonts w:ascii="Calibri" w:eastAsia="Arial Unicode MS" w:hAnsi="Calibri" w:cs="Calibri"/>
                <w:color w:val="auto"/>
                <w:lang w:val="fr-FR"/>
              </w:rPr>
              <w:t>Renforc</w:t>
            </w:r>
            <w:r w:rsidR="00C27FE8">
              <w:rPr>
                <w:rFonts w:ascii="Calibri" w:eastAsia="Arial Unicode MS" w:hAnsi="Calibri" w:cs="Calibri"/>
                <w:color w:val="auto"/>
                <w:lang w:val="fr-FR"/>
              </w:rPr>
              <w:t>er la</w:t>
            </w:r>
            <w:r w:rsidRPr="00CF5B80">
              <w:rPr>
                <w:rFonts w:ascii="Calibri" w:eastAsia="Arial Unicode MS" w:hAnsi="Calibri" w:cs="Calibri"/>
                <w:color w:val="auto"/>
                <w:lang w:val="fr-FR"/>
              </w:rPr>
              <w:t xml:space="preserve"> capacité des acteurs locaux principalement les municipalités sur la planification, la fourniture et la gestion durable des services EAH</w:t>
            </w:r>
          </w:p>
        </w:tc>
        <w:tc>
          <w:tcPr>
            <w:tcW w:w="3410" w:type="dxa"/>
            <w:tcBorders>
              <w:top w:val="single" w:sz="8" w:space="0" w:color="6D6D6D"/>
              <w:left w:val="single" w:sz="8" w:space="0" w:color="6D6D6D"/>
              <w:bottom w:val="single" w:sz="8" w:space="0" w:color="6D6D6D"/>
              <w:right w:val="single" w:sz="8" w:space="0" w:color="6D6D6D"/>
            </w:tcBorders>
            <w:shd w:val="clear" w:color="auto" w:fill="auto"/>
          </w:tcPr>
          <w:p w14:paraId="29A2A2C2" w14:textId="77777777" w:rsidR="001E074F" w:rsidRDefault="005B0B20" w:rsidP="001E074F">
            <w:pPr>
              <w:widowControl w:val="0"/>
              <w:rPr>
                <w:rFonts w:ascii="Calibri" w:eastAsia="Arial Unicode MS" w:hAnsi="Calibri" w:cs="Calibri"/>
                <w:color w:val="auto"/>
                <w:lang w:val="fr-FR"/>
              </w:rPr>
            </w:pPr>
            <w:r w:rsidRPr="001E074F">
              <w:rPr>
                <w:rFonts w:ascii="Calibri" w:eastAsia="Arial Unicode MS" w:hAnsi="Calibri" w:cs="Calibri"/>
                <w:color w:val="auto"/>
                <w:lang w:val="fr-FR"/>
              </w:rPr>
              <w:t xml:space="preserve">Livrable </w:t>
            </w:r>
            <w:r w:rsidR="001E074F">
              <w:rPr>
                <w:rFonts w:ascii="Calibri" w:eastAsia="Arial Unicode MS" w:hAnsi="Calibri" w:cs="Calibri"/>
                <w:color w:val="auto"/>
                <w:lang w:val="fr-FR"/>
              </w:rPr>
              <w:t>3</w:t>
            </w:r>
            <w:r w:rsidRPr="001E074F">
              <w:rPr>
                <w:rFonts w:ascii="Calibri" w:eastAsia="Arial Unicode MS" w:hAnsi="Calibri" w:cs="Calibri"/>
                <w:color w:val="auto"/>
                <w:lang w:val="fr-FR"/>
              </w:rPr>
              <w:t xml:space="preserve"> : </w:t>
            </w:r>
          </w:p>
          <w:p w14:paraId="1BACC1F5" w14:textId="003919E2" w:rsidR="005B0B20" w:rsidRPr="001E074F" w:rsidRDefault="005B0B20" w:rsidP="001E074F">
            <w:pPr>
              <w:pStyle w:val="ListParagraph"/>
              <w:widowControl w:val="0"/>
              <w:numPr>
                <w:ilvl w:val="0"/>
                <w:numId w:val="27"/>
              </w:numPr>
              <w:ind w:left="421" w:hanging="270"/>
              <w:contextualSpacing w:val="0"/>
              <w:rPr>
                <w:rFonts w:ascii="Calibri" w:eastAsia="Arial Unicode MS" w:hAnsi="Calibri" w:cs="Calibri"/>
                <w:color w:val="auto"/>
                <w:lang w:val="fr-FR"/>
              </w:rPr>
            </w:pPr>
            <w:r w:rsidRPr="001E074F">
              <w:rPr>
                <w:rFonts w:ascii="Calibri" w:eastAsia="Arial Unicode MS" w:hAnsi="Calibri" w:cs="Calibri"/>
                <w:color w:val="auto"/>
                <w:lang w:val="fr-FR"/>
              </w:rPr>
              <w:t>Rapport sur l’effectivité des activités se rapportant aux engagements communautaires (Niveau commune et communauté : Maitrise d’ouvrage, DINA, effectivité de l’acceptation de payer les services de l’eau)</w:t>
            </w:r>
          </w:p>
          <w:p w14:paraId="5AED29AF" w14:textId="4D31F404" w:rsidR="005B0B20" w:rsidRPr="005B0B20" w:rsidRDefault="005B0B20" w:rsidP="005B0B20">
            <w:pPr>
              <w:pStyle w:val="ListParagraph"/>
              <w:widowControl w:val="0"/>
              <w:numPr>
                <w:ilvl w:val="0"/>
                <w:numId w:val="27"/>
              </w:numPr>
              <w:ind w:left="421" w:hanging="270"/>
              <w:contextualSpacing w:val="0"/>
              <w:rPr>
                <w:rFonts w:ascii="Calibri" w:eastAsia="Arial Unicode MS" w:hAnsi="Calibri" w:cs="Calibri"/>
                <w:color w:val="auto"/>
                <w:lang w:val="fr-FR"/>
              </w:rPr>
            </w:pPr>
            <w:r w:rsidRPr="005B0B20">
              <w:rPr>
                <w:rFonts w:ascii="Calibri" w:eastAsia="Arial Unicode MS" w:hAnsi="Calibri" w:cs="Calibri"/>
                <w:color w:val="auto"/>
                <w:lang w:val="fr-FR"/>
              </w:rPr>
              <w:t>Rapport de mise en œuvre et suivi de la contractualisation des Gestionnaires privés</w:t>
            </w:r>
            <w:r>
              <w:rPr>
                <w:rFonts w:ascii="Calibri" w:eastAsia="Arial Unicode MS" w:hAnsi="Calibri" w:cs="Calibri"/>
                <w:color w:val="auto"/>
                <w:lang w:val="fr-FR"/>
              </w:rPr>
              <w:t xml:space="preserve"> </w:t>
            </w:r>
            <w:r w:rsidRPr="005B0B20">
              <w:rPr>
                <w:rFonts w:ascii="Calibri" w:eastAsia="Arial Unicode MS" w:hAnsi="Calibri" w:cs="Calibri"/>
                <w:color w:val="auto"/>
                <w:lang w:val="fr-FR"/>
              </w:rPr>
              <w:t>(Contrat de délégation de gestion signés par les parties prenantes y compris le MEAH)</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05F3D35" w14:textId="1E83FB6A" w:rsidR="005B0B20" w:rsidRDefault="001E074F"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5</w:t>
            </w:r>
            <w:r w:rsidR="005B0B20">
              <w:rPr>
                <w:rFonts w:ascii="Calibri" w:eastAsia="Arial Unicode MS" w:hAnsi="Calibri" w:cs="Calibri"/>
                <w:color w:val="auto"/>
                <w:lang w:val="fr-FR"/>
              </w:rPr>
              <w:t xml:space="preserve"> mois après début prestation</w:t>
            </w:r>
          </w:p>
          <w:p w14:paraId="4370C6D5" w14:textId="77777777" w:rsidR="005B0B20" w:rsidRDefault="005B0B20" w:rsidP="005B0B20">
            <w:pPr>
              <w:ind w:left="12" w:hanging="12"/>
              <w:rPr>
                <w:rFonts w:ascii="Calibri" w:eastAsia="Arial Unicode MS" w:hAnsi="Calibri" w:cs="Calibri"/>
                <w:color w:val="auto"/>
                <w:lang w:val="fr-FR"/>
              </w:rPr>
            </w:pPr>
          </w:p>
          <w:p w14:paraId="10FC9537" w14:textId="77777777" w:rsidR="005B0B20" w:rsidRDefault="005B0B20" w:rsidP="005B0B20">
            <w:pPr>
              <w:ind w:left="12" w:hanging="12"/>
              <w:rPr>
                <w:rFonts w:ascii="Calibri" w:eastAsia="Arial Unicode MS" w:hAnsi="Calibri" w:cs="Calibri"/>
                <w:color w:val="auto"/>
                <w:lang w:val="fr-FR"/>
              </w:rPr>
            </w:pPr>
          </w:p>
          <w:p w14:paraId="0784732E" w14:textId="77777777" w:rsidR="005B0B20" w:rsidRDefault="005B0B20" w:rsidP="005B0B20">
            <w:pPr>
              <w:ind w:left="12" w:hanging="12"/>
              <w:rPr>
                <w:rFonts w:ascii="Calibri" w:eastAsia="Arial Unicode MS" w:hAnsi="Calibri" w:cs="Calibri"/>
                <w:color w:val="auto"/>
                <w:lang w:val="fr-FR"/>
              </w:rPr>
            </w:pPr>
          </w:p>
          <w:p w14:paraId="593CA85D" w14:textId="77777777" w:rsidR="005B0B20" w:rsidRDefault="005B0B20" w:rsidP="005B0B20">
            <w:pPr>
              <w:ind w:left="12" w:hanging="12"/>
              <w:rPr>
                <w:rFonts w:ascii="Calibri" w:eastAsia="Arial Unicode MS" w:hAnsi="Calibri" w:cs="Calibri"/>
                <w:color w:val="auto"/>
                <w:lang w:val="fr-FR"/>
              </w:rPr>
            </w:pPr>
          </w:p>
          <w:p w14:paraId="576514A9" w14:textId="782EAEB5" w:rsidR="005B0B20" w:rsidRPr="00CF5B80" w:rsidRDefault="005B0B20" w:rsidP="005B0B20">
            <w:pPr>
              <w:ind w:left="12" w:hanging="12"/>
              <w:rPr>
                <w:rFonts w:ascii="Calibri" w:eastAsia="Arial Unicode MS" w:hAnsi="Calibri" w:cs="Calibri"/>
                <w:color w:val="auto"/>
                <w:lang w:val="fr-FR"/>
              </w:rPr>
            </w:pP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1747F97B" w14:textId="64A89913" w:rsidR="005B0B20" w:rsidRDefault="001E074F"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20</w:t>
            </w:r>
            <w:r w:rsidR="00EB244E">
              <w:rPr>
                <w:rFonts w:ascii="Calibri" w:eastAsia="Arial Unicode MS" w:hAnsi="Calibri" w:cs="Calibri"/>
                <w:color w:val="auto"/>
                <w:lang w:val="fr-FR"/>
              </w:rPr>
              <w:t>%</w:t>
            </w:r>
          </w:p>
          <w:p w14:paraId="4527C42E" w14:textId="77777777" w:rsidR="00EB244E" w:rsidRDefault="00EB244E" w:rsidP="005B0B20">
            <w:pPr>
              <w:ind w:left="12" w:hanging="12"/>
              <w:rPr>
                <w:rFonts w:ascii="Calibri" w:eastAsia="Arial Unicode MS" w:hAnsi="Calibri" w:cs="Calibri"/>
                <w:color w:val="auto"/>
                <w:lang w:val="fr-FR"/>
              </w:rPr>
            </w:pPr>
          </w:p>
          <w:p w14:paraId="4509EA67" w14:textId="77777777" w:rsidR="00EB244E" w:rsidRDefault="00EB244E" w:rsidP="005B0B20">
            <w:pPr>
              <w:ind w:left="12" w:hanging="12"/>
              <w:rPr>
                <w:rFonts w:ascii="Calibri" w:eastAsia="Arial Unicode MS" w:hAnsi="Calibri" w:cs="Calibri"/>
                <w:color w:val="auto"/>
                <w:lang w:val="fr-FR"/>
              </w:rPr>
            </w:pPr>
          </w:p>
          <w:p w14:paraId="4198ED5A" w14:textId="77777777" w:rsidR="00EB244E" w:rsidRDefault="00EB244E" w:rsidP="005B0B20">
            <w:pPr>
              <w:ind w:left="12" w:hanging="12"/>
              <w:rPr>
                <w:rFonts w:ascii="Calibri" w:eastAsia="Arial Unicode MS" w:hAnsi="Calibri" w:cs="Calibri"/>
                <w:color w:val="auto"/>
                <w:lang w:val="fr-FR"/>
              </w:rPr>
            </w:pPr>
          </w:p>
          <w:p w14:paraId="14AA6D2A" w14:textId="77777777" w:rsidR="00EB244E" w:rsidRDefault="00EB244E" w:rsidP="005B0B20">
            <w:pPr>
              <w:ind w:left="12" w:hanging="12"/>
              <w:rPr>
                <w:rFonts w:ascii="Calibri" w:eastAsia="Arial Unicode MS" w:hAnsi="Calibri" w:cs="Calibri"/>
                <w:color w:val="auto"/>
                <w:lang w:val="fr-FR"/>
              </w:rPr>
            </w:pPr>
          </w:p>
          <w:p w14:paraId="23002DFA" w14:textId="77777777" w:rsidR="00EB244E" w:rsidRDefault="00EB244E" w:rsidP="005B0B20">
            <w:pPr>
              <w:ind w:left="12" w:hanging="12"/>
              <w:rPr>
                <w:rFonts w:ascii="Calibri" w:eastAsia="Arial Unicode MS" w:hAnsi="Calibri" w:cs="Calibri"/>
                <w:color w:val="auto"/>
                <w:lang w:val="fr-FR"/>
              </w:rPr>
            </w:pPr>
          </w:p>
          <w:p w14:paraId="22D7B382" w14:textId="77777777" w:rsidR="00EB244E" w:rsidRDefault="00EB244E" w:rsidP="005B0B20">
            <w:pPr>
              <w:ind w:left="12" w:hanging="12"/>
              <w:rPr>
                <w:rFonts w:ascii="Calibri" w:eastAsia="Arial Unicode MS" w:hAnsi="Calibri" w:cs="Calibri"/>
                <w:color w:val="auto"/>
                <w:lang w:val="fr-FR"/>
              </w:rPr>
            </w:pPr>
          </w:p>
          <w:p w14:paraId="68F4B519" w14:textId="77777777" w:rsidR="00EB244E" w:rsidRDefault="00EB244E" w:rsidP="005B0B20">
            <w:pPr>
              <w:ind w:left="12" w:hanging="12"/>
              <w:rPr>
                <w:rFonts w:ascii="Calibri" w:eastAsia="Arial Unicode MS" w:hAnsi="Calibri" w:cs="Calibri"/>
                <w:color w:val="auto"/>
                <w:lang w:val="fr-FR"/>
              </w:rPr>
            </w:pPr>
          </w:p>
          <w:p w14:paraId="5BD67B6C" w14:textId="7F7C0543" w:rsidR="00EB244E" w:rsidRPr="00CF5B80" w:rsidRDefault="00EB244E" w:rsidP="001E074F">
            <w:pPr>
              <w:rPr>
                <w:rFonts w:ascii="Calibri" w:eastAsia="Arial Unicode MS" w:hAnsi="Calibri" w:cs="Calibri"/>
                <w:color w:val="auto"/>
                <w:lang w:val="fr-FR"/>
              </w:rPr>
            </w:pPr>
          </w:p>
        </w:tc>
      </w:tr>
      <w:tr w:rsidR="005B0B20" w:rsidRPr="00CF5B80" w14:paraId="66F6EC1C" w14:textId="77777777" w:rsidTr="008263AC">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7FF9021C" w14:textId="77777777" w:rsidR="005B0B20" w:rsidRPr="00CF5B80" w:rsidRDefault="005B0B20" w:rsidP="005B0B20">
            <w:pPr>
              <w:ind w:left="12" w:hanging="12"/>
              <w:rPr>
                <w:rFonts w:ascii="Calibri" w:eastAsia="Arial Unicode MS" w:hAnsi="Calibri" w:cs="Calibri"/>
                <w:color w:val="auto"/>
                <w:lang w:val="fr-FR"/>
              </w:rPr>
            </w:pPr>
            <w:r w:rsidRPr="00CF5B80">
              <w:rPr>
                <w:rFonts w:ascii="Calibri" w:eastAsia="Arial Unicode MS" w:hAnsi="Calibri" w:cs="Calibri"/>
                <w:color w:val="auto"/>
                <w:lang w:val="fr-FR"/>
              </w:rPr>
              <w:t>Assister la section WASH dans la mise en œuvre des activités soft dans le cadre du projet Mionjo pour assurer l’engagement communautaire</w:t>
            </w:r>
          </w:p>
        </w:tc>
        <w:tc>
          <w:tcPr>
            <w:tcW w:w="3410" w:type="dxa"/>
            <w:tcBorders>
              <w:top w:val="single" w:sz="8" w:space="0" w:color="6D6D6D"/>
              <w:left w:val="single" w:sz="8" w:space="0" w:color="6D6D6D"/>
              <w:bottom w:val="single" w:sz="8" w:space="0" w:color="6D6D6D"/>
              <w:right w:val="single" w:sz="8" w:space="0" w:color="6D6D6D"/>
            </w:tcBorders>
            <w:shd w:val="clear" w:color="auto" w:fill="auto"/>
          </w:tcPr>
          <w:p w14:paraId="3D27513A" w14:textId="77777777" w:rsidR="00102100" w:rsidRDefault="005B0B20" w:rsidP="00102100">
            <w:pPr>
              <w:widowControl w:val="0"/>
              <w:rPr>
                <w:rFonts w:ascii="Calibri" w:eastAsia="Arial Unicode MS" w:hAnsi="Calibri" w:cs="Calibri"/>
                <w:color w:val="auto"/>
                <w:lang w:val="fr-FR"/>
              </w:rPr>
            </w:pPr>
            <w:r w:rsidRPr="00102100">
              <w:rPr>
                <w:rFonts w:ascii="Calibri" w:eastAsia="Arial Unicode MS" w:hAnsi="Calibri" w:cs="Calibri"/>
                <w:color w:val="auto"/>
                <w:lang w:val="fr-FR"/>
              </w:rPr>
              <w:t xml:space="preserve">Livrable </w:t>
            </w:r>
            <w:r w:rsidR="00102100">
              <w:rPr>
                <w:rFonts w:ascii="Calibri" w:eastAsia="Arial Unicode MS" w:hAnsi="Calibri" w:cs="Calibri"/>
                <w:color w:val="auto"/>
                <w:lang w:val="fr-FR"/>
              </w:rPr>
              <w:t>4</w:t>
            </w:r>
            <w:r w:rsidRPr="00102100">
              <w:rPr>
                <w:rFonts w:ascii="Calibri" w:eastAsia="Arial Unicode MS" w:hAnsi="Calibri" w:cs="Calibri"/>
                <w:color w:val="auto"/>
                <w:lang w:val="fr-FR"/>
              </w:rPr>
              <w:t xml:space="preserve"> : </w:t>
            </w:r>
          </w:p>
          <w:p w14:paraId="0ED2ED5A" w14:textId="6A00D63A" w:rsidR="005B0B20" w:rsidRPr="00102100" w:rsidRDefault="005B0B20" w:rsidP="00102100">
            <w:pPr>
              <w:widowControl w:val="0"/>
              <w:rPr>
                <w:rFonts w:ascii="Calibri" w:eastAsia="Arial Unicode MS" w:hAnsi="Calibri" w:cs="Calibri"/>
                <w:color w:val="auto"/>
                <w:lang w:val="fr-FR"/>
              </w:rPr>
            </w:pPr>
            <w:r w:rsidRPr="00102100">
              <w:rPr>
                <w:rFonts w:ascii="Calibri" w:eastAsia="Arial Unicode MS" w:hAnsi="Calibri" w:cs="Calibri"/>
                <w:color w:val="auto"/>
                <w:lang w:val="fr-FR"/>
              </w:rPr>
              <w:t xml:space="preserve">Rapport semestre 1 de la partie SOFT du Projet MIONJO notamment sur la </w:t>
            </w:r>
            <w:proofErr w:type="gramStart"/>
            <w:r w:rsidRPr="00102100">
              <w:rPr>
                <w:rFonts w:ascii="Calibri" w:eastAsia="Arial Unicode MS" w:hAnsi="Calibri" w:cs="Calibri"/>
                <w:color w:val="auto"/>
                <w:lang w:val="fr-FR"/>
              </w:rPr>
              <w:t>partie  bonne</w:t>
            </w:r>
            <w:proofErr w:type="gramEnd"/>
            <w:r w:rsidRPr="00102100">
              <w:rPr>
                <w:rFonts w:ascii="Calibri" w:eastAsia="Arial Unicode MS" w:hAnsi="Calibri" w:cs="Calibri"/>
                <w:color w:val="auto"/>
                <w:lang w:val="fr-FR"/>
              </w:rPr>
              <w:t xml:space="preserve"> gouvernance, gestion et pérennisation des infrastructures (MUS) et Rapport de suivi et </w:t>
            </w:r>
            <w:r w:rsidRPr="00102100">
              <w:rPr>
                <w:rFonts w:ascii="Calibri" w:eastAsia="Arial Unicode MS" w:hAnsi="Calibri" w:cs="Calibri"/>
                <w:color w:val="auto"/>
                <w:lang w:val="fr-FR"/>
              </w:rPr>
              <w:lastRenderedPageBreak/>
              <w:t>évaluation de performance des Gestionnaires Privés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CE84EDD" w14:textId="35120475" w:rsidR="005B0B20" w:rsidRPr="00CF5B80" w:rsidRDefault="005B0B20"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lastRenderedPageBreak/>
              <w:t>6 mois après début prestation</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072664D5" w14:textId="6CFBB412" w:rsidR="005B0B20" w:rsidRPr="00CF5B80" w:rsidRDefault="00BF59BC"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10%</w:t>
            </w:r>
          </w:p>
        </w:tc>
      </w:tr>
      <w:tr w:rsidR="005B0B20" w:rsidRPr="00CF5B80" w14:paraId="423A182C" w14:textId="77777777" w:rsidTr="008263AC">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9CCD8DF" w14:textId="47117038" w:rsidR="005B0B20" w:rsidRPr="00CF5B80" w:rsidRDefault="005B0B20" w:rsidP="005B0B20">
            <w:pPr>
              <w:ind w:left="12" w:hanging="12"/>
              <w:rPr>
                <w:rFonts w:ascii="Calibri" w:eastAsia="Arial Unicode MS" w:hAnsi="Calibri" w:cs="Calibri"/>
                <w:color w:val="auto"/>
                <w:lang w:val="fr-FR"/>
              </w:rPr>
            </w:pPr>
            <w:r w:rsidRPr="00CF5B80">
              <w:rPr>
                <w:rFonts w:ascii="Calibri" w:eastAsia="Arial Unicode MS" w:hAnsi="Calibri" w:cs="Calibri"/>
                <w:color w:val="auto"/>
                <w:lang w:val="fr-FR"/>
              </w:rPr>
              <w:t xml:space="preserve">Accompagner la section WASH pour l’effectivité </w:t>
            </w:r>
            <w:r w:rsidR="001C31F6">
              <w:rPr>
                <w:rFonts w:ascii="Calibri" w:eastAsia="Arial Unicode MS" w:hAnsi="Calibri" w:cs="Calibri"/>
                <w:color w:val="auto"/>
                <w:lang w:val="fr-FR"/>
              </w:rPr>
              <w:t xml:space="preserve">du service de </w:t>
            </w:r>
            <w:r w:rsidRPr="00CF5B80">
              <w:rPr>
                <w:rFonts w:ascii="Calibri" w:eastAsia="Arial Unicode MS" w:hAnsi="Calibri" w:cs="Calibri"/>
                <w:color w:val="auto"/>
                <w:lang w:val="fr-FR"/>
              </w:rPr>
              <w:t>délégation de gestion des infrastructures</w:t>
            </w:r>
          </w:p>
        </w:tc>
        <w:tc>
          <w:tcPr>
            <w:tcW w:w="3410" w:type="dxa"/>
            <w:tcBorders>
              <w:top w:val="single" w:sz="8" w:space="0" w:color="6D6D6D"/>
              <w:left w:val="single" w:sz="8" w:space="0" w:color="6D6D6D"/>
              <w:bottom w:val="single" w:sz="8" w:space="0" w:color="6D6D6D"/>
              <w:right w:val="single" w:sz="8" w:space="0" w:color="6D6D6D"/>
            </w:tcBorders>
            <w:shd w:val="clear" w:color="auto" w:fill="auto"/>
          </w:tcPr>
          <w:p w14:paraId="101CF61A" w14:textId="144E2E4A" w:rsidR="00B01BE4" w:rsidRDefault="00003B35" w:rsidP="00B01BE4">
            <w:pPr>
              <w:widowControl w:val="0"/>
              <w:rPr>
                <w:rFonts w:ascii="Calibri" w:eastAsia="Arial Unicode MS" w:hAnsi="Calibri" w:cs="Calibri"/>
                <w:color w:val="auto"/>
                <w:lang w:val="fr-FR"/>
              </w:rPr>
            </w:pPr>
            <w:r w:rsidRPr="00B01BE4">
              <w:rPr>
                <w:rFonts w:ascii="Calibri" w:eastAsia="Arial Unicode MS" w:hAnsi="Calibri" w:cs="Calibri"/>
                <w:color w:val="auto"/>
                <w:lang w:val="fr-FR"/>
              </w:rPr>
              <w:t xml:space="preserve">Livrable </w:t>
            </w:r>
            <w:r w:rsidR="008116F0">
              <w:rPr>
                <w:rFonts w:ascii="Calibri" w:eastAsia="Arial Unicode MS" w:hAnsi="Calibri" w:cs="Calibri"/>
                <w:color w:val="auto"/>
                <w:lang w:val="fr-FR"/>
              </w:rPr>
              <w:t>5</w:t>
            </w:r>
            <w:r w:rsidRPr="00B01BE4">
              <w:rPr>
                <w:rFonts w:ascii="Calibri" w:eastAsia="Arial Unicode MS" w:hAnsi="Calibri" w:cs="Calibri"/>
                <w:color w:val="auto"/>
                <w:lang w:val="fr-FR"/>
              </w:rPr>
              <w:t xml:space="preserve"> : </w:t>
            </w:r>
          </w:p>
          <w:p w14:paraId="63AFA0F8" w14:textId="17C232A1" w:rsidR="005B0B20" w:rsidRPr="00B01BE4" w:rsidRDefault="00003B35" w:rsidP="00B01BE4">
            <w:pPr>
              <w:pStyle w:val="ListParagraph"/>
              <w:widowControl w:val="0"/>
              <w:numPr>
                <w:ilvl w:val="0"/>
                <w:numId w:val="27"/>
              </w:numPr>
              <w:ind w:left="421" w:hanging="270"/>
              <w:contextualSpacing w:val="0"/>
              <w:rPr>
                <w:rFonts w:ascii="Calibri" w:eastAsia="Arial Unicode MS" w:hAnsi="Calibri" w:cs="Calibri"/>
                <w:color w:val="auto"/>
                <w:lang w:val="fr-FR"/>
              </w:rPr>
            </w:pPr>
            <w:r w:rsidRPr="00B01BE4">
              <w:rPr>
                <w:rFonts w:ascii="Calibri" w:eastAsia="Arial Unicode MS" w:hAnsi="Calibri" w:cs="Calibri"/>
                <w:color w:val="auto"/>
                <w:lang w:val="fr-FR"/>
              </w:rPr>
              <w:t>Rapport de suivi sur l’effectivité de la remontée des donnés sur le suivi et évaluation de performance sur la gestion des infrastructures EAH recueillies sur mWater</w:t>
            </w:r>
          </w:p>
          <w:p w14:paraId="47F0FC17" w14:textId="5E1B54E3" w:rsidR="00003B35" w:rsidRPr="00B01BE4" w:rsidRDefault="00003B35" w:rsidP="00B01BE4">
            <w:pPr>
              <w:pStyle w:val="ListParagraph"/>
              <w:widowControl w:val="0"/>
              <w:numPr>
                <w:ilvl w:val="0"/>
                <w:numId w:val="27"/>
              </w:numPr>
              <w:ind w:left="421" w:hanging="270"/>
              <w:contextualSpacing w:val="0"/>
              <w:rPr>
                <w:rFonts w:ascii="Calibri" w:eastAsia="Arial Unicode MS" w:hAnsi="Calibri" w:cs="Calibri"/>
                <w:color w:val="auto"/>
                <w:lang w:val="fr-FR"/>
              </w:rPr>
            </w:pPr>
            <w:r w:rsidRPr="00B01BE4">
              <w:rPr>
                <w:rFonts w:ascii="Calibri" w:eastAsia="Arial Unicode MS" w:hAnsi="Calibri" w:cs="Calibri"/>
                <w:color w:val="auto"/>
                <w:lang w:val="fr-FR"/>
              </w:rPr>
              <w:t xml:space="preserve">Rapport semestre 2 de la partie SOFT du Projet MIONJO notamment sur la </w:t>
            </w:r>
            <w:proofErr w:type="gramStart"/>
            <w:r w:rsidRPr="00B01BE4">
              <w:rPr>
                <w:rFonts w:ascii="Calibri" w:eastAsia="Arial Unicode MS" w:hAnsi="Calibri" w:cs="Calibri"/>
                <w:color w:val="auto"/>
                <w:lang w:val="fr-FR"/>
              </w:rPr>
              <w:t>partie  bonne</w:t>
            </w:r>
            <w:proofErr w:type="gramEnd"/>
            <w:r w:rsidRPr="00B01BE4">
              <w:rPr>
                <w:rFonts w:ascii="Calibri" w:eastAsia="Arial Unicode MS" w:hAnsi="Calibri" w:cs="Calibri"/>
                <w:color w:val="auto"/>
                <w:lang w:val="fr-FR"/>
              </w:rPr>
              <w:t xml:space="preserve"> gouvernance, gestion et pérennisation des infrastructures (MUS) </w:t>
            </w:r>
            <w:r w:rsidR="00A52F61">
              <w:rPr>
                <w:rFonts w:ascii="Calibri" w:eastAsia="Arial Unicode MS" w:hAnsi="Calibri" w:cs="Calibri"/>
                <w:color w:val="auto"/>
                <w:lang w:val="fr-FR"/>
              </w:rPr>
              <w:t>et la contractualisation des Gestionnaires privés.</w:t>
            </w:r>
          </w:p>
          <w:p w14:paraId="32A8AFAA" w14:textId="5F83F089" w:rsidR="00003B35" w:rsidRPr="00003B35" w:rsidRDefault="00003B35" w:rsidP="00003B35">
            <w:pPr>
              <w:widowControl w:val="0"/>
              <w:rPr>
                <w:rFonts w:ascii="Calibri" w:eastAsia="Arial Unicode MS" w:hAnsi="Calibri" w:cs="Calibri"/>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AE2E34B" w14:textId="12BDC20D" w:rsidR="005B0B20" w:rsidRDefault="00B01BE4"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9</w:t>
            </w:r>
            <w:r w:rsidR="00003B35">
              <w:rPr>
                <w:rFonts w:ascii="Calibri" w:eastAsia="Arial Unicode MS" w:hAnsi="Calibri" w:cs="Calibri"/>
                <w:color w:val="auto"/>
                <w:lang w:val="fr-FR"/>
              </w:rPr>
              <w:t xml:space="preserve"> mois après début prestation</w:t>
            </w:r>
          </w:p>
          <w:p w14:paraId="31770DD8" w14:textId="77777777" w:rsidR="00003B35" w:rsidRDefault="00003B35" w:rsidP="005B0B20">
            <w:pPr>
              <w:ind w:left="12" w:hanging="12"/>
              <w:rPr>
                <w:rFonts w:ascii="Calibri" w:eastAsia="Arial Unicode MS" w:hAnsi="Calibri" w:cs="Calibri"/>
                <w:color w:val="auto"/>
                <w:lang w:val="fr-FR"/>
              </w:rPr>
            </w:pPr>
          </w:p>
          <w:p w14:paraId="1FCE2B07" w14:textId="77777777" w:rsidR="00003B35" w:rsidRDefault="00003B35" w:rsidP="005B0B20">
            <w:pPr>
              <w:ind w:left="12" w:hanging="12"/>
              <w:rPr>
                <w:rFonts w:ascii="Calibri" w:eastAsia="Arial Unicode MS" w:hAnsi="Calibri" w:cs="Calibri"/>
                <w:color w:val="auto"/>
                <w:lang w:val="fr-FR"/>
              </w:rPr>
            </w:pPr>
          </w:p>
          <w:p w14:paraId="0C67DFA2" w14:textId="27844119" w:rsidR="00003B35" w:rsidRPr="00CF5B80" w:rsidRDefault="00003B35" w:rsidP="005B0B20">
            <w:pPr>
              <w:ind w:left="12" w:hanging="12"/>
              <w:rPr>
                <w:rFonts w:ascii="Calibri" w:eastAsia="Arial Unicode MS" w:hAnsi="Calibri" w:cs="Calibri"/>
                <w:color w:val="auto"/>
                <w:lang w:val="fr-FR"/>
              </w:rPr>
            </w:pP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7F3FF356" w14:textId="2A0B4D26" w:rsidR="005B0B20" w:rsidRDefault="00B01BE4"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2</w:t>
            </w:r>
            <w:r w:rsidR="00BF59BC">
              <w:rPr>
                <w:rFonts w:ascii="Calibri" w:eastAsia="Arial Unicode MS" w:hAnsi="Calibri" w:cs="Calibri"/>
                <w:color w:val="auto"/>
                <w:lang w:val="fr-FR"/>
              </w:rPr>
              <w:t>0%</w:t>
            </w:r>
          </w:p>
          <w:p w14:paraId="37E56863" w14:textId="77777777" w:rsidR="00BF59BC" w:rsidRDefault="00BF59BC" w:rsidP="005B0B20">
            <w:pPr>
              <w:ind w:left="12" w:hanging="12"/>
              <w:rPr>
                <w:rFonts w:ascii="Calibri" w:eastAsia="Arial Unicode MS" w:hAnsi="Calibri" w:cs="Calibri"/>
                <w:color w:val="auto"/>
                <w:lang w:val="fr-FR"/>
              </w:rPr>
            </w:pPr>
          </w:p>
          <w:p w14:paraId="66606AEF" w14:textId="77777777" w:rsidR="00BF59BC" w:rsidRDefault="00BF59BC" w:rsidP="005B0B20">
            <w:pPr>
              <w:ind w:left="12" w:hanging="12"/>
              <w:rPr>
                <w:rFonts w:ascii="Calibri" w:eastAsia="Arial Unicode MS" w:hAnsi="Calibri" w:cs="Calibri"/>
                <w:color w:val="auto"/>
                <w:lang w:val="fr-FR"/>
              </w:rPr>
            </w:pPr>
          </w:p>
          <w:p w14:paraId="5B8F4138" w14:textId="77777777" w:rsidR="00BF59BC" w:rsidRDefault="00BF59BC" w:rsidP="005B0B20">
            <w:pPr>
              <w:ind w:left="12" w:hanging="12"/>
              <w:rPr>
                <w:rFonts w:ascii="Calibri" w:eastAsia="Arial Unicode MS" w:hAnsi="Calibri" w:cs="Calibri"/>
                <w:color w:val="auto"/>
                <w:lang w:val="fr-FR"/>
              </w:rPr>
            </w:pPr>
          </w:p>
          <w:p w14:paraId="433EF4A7" w14:textId="77777777" w:rsidR="00BF59BC" w:rsidRDefault="00BF59BC" w:rsidP="005B0B20">
            <w:pPr>
              <w:ind w:left="12" w:hanging="12"/>
              <w:rPr>
                <w:rFonts w:ascii="Calibri" w:eastAsia="Arial Unicode MS" w:hAnsi="Calibri" w:cs="Calibri"/>
                <w:color w:val="auto"/>
                <w:lang w:val="fr-FR"/>
              </w:rPr>
            </w:pPr>
          </w:p>
          <w:p w14:paraId="07FAF949" w14:textId="2428012B" w:rsidR="00BF59BC" w:rsidRPr="00CF5B80" w:rsidRDefault="00BF59BC" w:rsidP="00BF59BC">
            <w:pPr>
              <w:rPr>
                <w:rFonts w:ascii="Calibri" w:eastAsia="Arial Unicode MS" w:hAnsi="Calibri" w:cs="Calibri"/>
                <w:color w:val="auto"/>
                <w:lang w:val="fr-FR"/>
              </w:rPr>
            </w:pPr>
          </w:p>
        </w:tc>
      </w:tr>
      <w:tr w:rsidR="005B0B20" w:rsidRPr="00CF5B80" w14:paraId="776D7D1B" w14:textId="77777777" w:rsidTr="008263AC">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9BE21BB" w14:textId="78817372" w:rsidR="005B0B20" w:rsidRPr="00CF5B80" w:rsidRDefault="00003B35"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 xml:space="preserve">Finalisation prestation </w:t>
            </w:r>
          </w:p>
        </w:tc>
        <w:tc>
          <w:tcPr>
            <w:tcW w:w="3410" w:type="dxa"/>
            <w:tcBorders>
              <w:top w:val="single" w:sz="8" w:space="0" w:color="6D6D6D"/>
              <w:left w:val="single" w:sz="8" w:space="0" w:color="6D6D6D"/>
              <w:bottom w:val="single" w:sz="8" w:space="0" w:color="6D6D6D"/>
              <w:right w:val="single" w:sz="8" w:space="0" w:color="6D6D6D"/>
            </w:tcBorders>
            <w:shd w:val="clear" w:color="auto" w:fill="auto"/>
          </w:tcPr>
          <w:p w14:paraId="698215BA" w14:textId="7530054F" w:rsidR="008116F0" w:rsidRDefault="00003B35" w:rsidP="005B0B20">
            <w:pPr>
              <w:ind w:left="12" w:hanging="12"/>
              <w:rPr>
                <w:rFonts w:ascii="Calibri" w:eastAsia="Arial Unicode MS" w:hAnsi="Calibri" w:cs="Calibri"/>
                <w:color w:val="auto"/>
                <w:lang w:val="fr-FR"/>
              </w:rPr>
            </w:pPr>
            <w:r w:rsidRPr="00003B35">
              <w:rPr>
                <w:rFonts w:ascii="Calibri" w:eastAsia="Arial Unicode MS" w:hAnsi="Calibri" w:cs="Calibri"/>
                <w:color w:val="auto"/>
                <w:lang w:val="fr-FR"/>
              </w:rPr>
              <w:t xml:space="preserve">Livrable </w:t>
            </w:r>
            <w:r w:rsidR="008116F0">
              <w:rPr>
                <w:rFonts w:ascii="Calibri" w:eastAsia="Arial Unicode MS" w:hAnsi="Calibri" w:cs="Calibri"/>
                <w:color w:val="auto"/>
                <w:lang w:val="fr-FR"/>
              </w:rPr>
              <w:t>6</w:t>
            </w:r>
            <w:r w:rsidRPr="00003B35">
              <w:rPr>
                <w:rFonts w:ascii="Calibri" w:eastAsia="Arial Unicode MS" w:hAnsi="Calibri" w:cs="Calibri"/>
                <w:color w:val="auto"/>
                <w:lang w:val="fr-FR"/>
              </w:rPr>
              <w:t xml:space="preserve"> : </w:t>
            </w:r>
          </w:p>
          <w:p w14:paraId="1E20E34B" w14:textId="1B035289" w:rsidR="005B0B20" w:rsidRPr="00CF5B80" w:rsidRDefault="00003B35" w:rsidP="005B0B20">
            <w:pPr>
              <w:ind w:left="12" w:hanging="12"/>
              <w:rPr>
                <w:rFonts w:ascii="Calibri" w:eastAsia="Arial Unicode MS" w:hAnsi="Calibri" w:cs="Calibri"/>
                <w:color w:val="auto"/>
                <w:lang w:val="fr-FR"/>
              </w:rPr>
            </w:pPr>
            <w:r w:rsidRPr="00003B35">
              <w:rPr>
                <w:rFonts w:ascii="Calibri" w:eastAsia="Arial Unicode MS" w:hAnsi="Calibri" w:cs="Calibri"/>
                <w:color w:val="auto"/>
                <w:lang w:val="fr-FR"/>
              </w:rPr>
              <w:t>Rapport final de synthèse de la mission de consultance</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EBC7E59" w14:textId="42AB3228" w:rsidR="005B0B20" w:rsidRPr="00CF5B80" w:rsidRDefault="00003B35"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11.5 mois après début prestation</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50480ED2" w14:textId="45A094CF" w:rsidR="005B0B20" w:rsidRPr="00CF5B80" w:rsidRDefault="00BF59BC"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15%</w:t>
            </w:r>
          </w:p>
        </w:tc>
      </w:tr>
    </w:tbl>
    <w:p w14:paraId="0D824075" w14:textId="77777777" w:rsidR="00C34C2B" w:rsidRDefault="00C34C2B" w:rsidP="00CF5B80">
      <w:pPr>
        <w:rPr>
          <w:rFonts w:ascii="Calibri" w:hAnsi="Calibri" w:cs="Calibri"/>
          <w:b/>
          <w:bCs/>
          <w:sz w:val="24"/>
          <w:szCs w:val="24"/>
          <w:u w:val="single"/>
          <w:lang w:val="fr-FR"/>
        </w:rPr>
      </w:pPr>
    </w:p>
    <w:p w14:paraId="37529E53" w14:textId="2BB37F26" w:rsidR="00CF5B80" w:rsidRDefault="00CF5B80">
      <w:pPr>
        <w:spacing w:line="240" w:lineRule="auto"/>
        <w:rPr>
          <w:rFonts w:ascii="Calibri" w:hAnsi="Calibri" w:cs="Calibri"/>
          <w:b/>
          <w:bCs/>
          <w:sz w:val="24"/>
          <w:szCs w:val="24"/>
          <w:u w:val="single"/>
          <w:lang w:val="fr-FR"/>
        </w:rPr>
      </w:pPr>
      <w:r>
        <w:rPr>
          <w:rFonts w:ascii="Calibri" w:hAnsi="Calibri" w:cs="Calibri"/>
          <w:b/>
          <w:bCs/>
          <w:sz w:val="24"/>
          <w:szCs w:val="24"/>
          <w:u w:val="single"/>
          <w:lang w:val="fr-FR"/>
        </w:rPr>
        <w:br w:type="page"/>
      </w: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10"/>
        <w:gridCol w:w="3060"/>
        <w:gridCol w:w="1545"/>
        <w:gridCol w:w="948"/>
        <w:gridCol w:w="351"/>
      </w:tblGrid>
      <w:tr w:rsidR="00CF5B80" w:rsidRPr="007613B3" w14:paraId="16B5B456" w14:textId="77777777" w:rsidTr="008263AC">
        <w:trPr>
          <w:gridAfter w:val="1"/>
          <w:wAfter w:w="351" w:type="dxa"/>
          <w:trHeight w:val="406"/>
        </w:trPr>
        <w:tc>
          <w:tcPr>
            <w:tcW w:w="43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1CC5D046" w14:textId="77777777" w:rsidR="00CF5B80" w:rsidRPr="007613B3" w:rsidRDefault="00CF5B80" w:rsidP="00E86A4A">
            <w:pPr>
              <w:spacing w:before="60" w:after="60" w:line="240" w:lineRule="auto"/>
              <w:rPr>
                <w:rFonts w:ascii="Calibri" w:eastAsia="Arial Unicode MS" w:hAnsi="Calibri" w:cs="Calibri"/>
                <w:b/>
                <w:color w:val="auto"/>
                <w:lang w:val="en-AU"/>
              </w:rPr>
            </w:pPr>
            <w:bookmarkStart w:id="3" w:name="_Hlk527733739"/>
            <w:r w:rsidRPr="007613B3">
              <w:rPr>
                <w:rFonts w:ascii="Calibri" w:eastAsia="Arial Unicode MS" w:hAnsi="Calibri" w:cs="Calibri"/>
                <w:b/>
                <w:color w:val="auto"/>
                <w:lang w:val="en-AU"/>
              </w:rPr>
              <w:lastRenderedPageBreak/>
              <w:t>Estimated Consultancy fee</w:t>
            </w:r>
          </w:p>
        </w:tc>
        <w:tc>
          <w:tcPr>
            <w:tcW w:w="30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BD3DA27" w14:textId="77777777" w:rsidR="00CF5B80" w:rsidRPr="007613B3" w:rsidRDefault="00CF5B80" w:rsidP="00E86A4A">
            <w:pPr>
              <w:ind w:left="12" w:hanging="12"/>
              <w:rPr>
                <w:rFonts w:ascii="Calibri" w:eastAsia="Arial Unicode MS" w:hAnsi="Calibri" w:cs="Calibri"/>
                <w:b/>
                <w:color w:val="auto"/>
                <w:lang w:val="en-AU"/>
              </w:rPr>
            </w:pPr>
          </w:p>
        </w:tc>
        <w:tc>
          <w:tcPr>
            <w:tcW w:w="154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9650A5F" w14:textId="77777777" w:rsidR="00CF5B80" w:rsidRPr="007613B3" w:rsidRDefault="00CF5B80" w:rsidP="00E86A4A">
            <w:pPr>
              <w:spacing w:before="60" w:after="60" w:line="240" w:lineRule="auto"/>
              <w:jc w:val="center"/>
              <w:rPr>
                <w:rFonts w:ascii="Calibri" w:eastAsia="Arial Unicode MS" w:hAnsi="Calibri" w:cs="Calibri"/>
                <w:b/>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44BB041" w14:textId="77777777" w:rsidR="00CF5B80" w:rsidRPr="007613B3" w:rsidRDefault="00CF5B80" w:rsidP="00E86A4A">
            <w:pPr>
              <w:spacing w:before="60" w:after="60"/>
              <w:jc w:val="center"/>
              <w:rPr>
                <w:rFonts w:ascii="Calibri" w:eastAsia="Arial Unicode MS" w:hAnsi="Calibri" w:cs="Calibri"/>
                <w:b/>
                <w:color w:val="auto"/>
                <w:lang w:val="en-AU"/>
              </w:rPr>
            </w:pPr>
          </w:p>
        </w:tc>
      </w:tr>
      <w:tr w:rsidR="00CF5B80" w:rsidRPr="007613B3" w14:paraId="3F39A4E8" w14:textId="77777777" w:rsidTr="008263AC">
        <w:trPr>
          <w:gridAfter w:val="1"/>
          <w:wAfter w:w="351" w:type="dxa"/>
          <w:trHeight w:val="677"/>
        </w:trPr>
        <w:tc>
          <w:tcPr>
            <w:tcW w:w="4310" w:type="dxa"/>
            <w:tcBorders>
              <w:top w:val="single" w:sz="8" w:space="0" w:color="6D6D6D"/>
              <w:left w:val="single" w:sz="8" w:space="0" w:color="6D6D6D"/>
              <w:bottom w:val="single" w:sz="8" w:space="0" w:color="6D6D6D"/>
              <w:right w:val="single" w:sz="8" w:space="0" w:color="6D6D6D"/>
            </w:tcBorders>
            <w:shd w:val="clear" w:color="auto" w:fill="auto"/>
            <w:noWrap/>
          </w:tcPr>
          <w:p w14:paraId="53D4117F" w14:textId="77777777" w:rsidR="00CF5B80" w:rsidRDefault="00CF5B80" w:rsidP="00E86A4A">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09B00F34" w14:textId="77777777" w:rsidR="00CF5B80" w:rsidRPr="007613B3" w:rsidRDefault="00CF5B80" w:rsidP="00E86A4A">
            <w:pPr>
              <w:spacing w:before="60" w:after="60" w:line="240" w:lineRule="auto"/>
              <w:rPr>
                <w:rFonts w:ascii="Calibri" w:eastAsia="Arial Unicode MS" w:hAnsi="Calibri" w:cs="Calibri"/>
                <w:color w:val="auto"/>
                <w:lang w:val="en-AU"/>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tcPr>
          <w:p w14:paraId="4243FE1B" w14:textId="644E59C7" w:rsidR="00CF5B80" w:rsidRPr="007613B3" w:rsidRDefault="00746F70" w:rsidP="00E86A4A">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545" w:type="dxa"/>
            <w:tcBorders>
              <w:top w:val="single" w:sz="8" w:space="0" w:color="6D6D6D"/>
              <w:left w:val="single" w:sz="8" w:space="0" w:color="6D6D6D"/>
              <w:bottom w:val="single" w:sz="8" w:space="0" w:color="6D6D6D"/>
              <w:right w:val="single" w:sz="8" w:space="0" w:color="6D6D6D"/>
            </w:tcBorders>
            <w:shd w:val="clear" w:color="auto" w:fill="auto"/>
          </w:tcPr>
          <w:p w14:paraId="45781ED6" w14:textId="77777777" w:rsidR="00CF5B80" w:rsidRPr="007613B3" w:rsidRDefault="00CF5B80" w:rsidP="00E86A4A">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2C43C718" w14:textId="77777777" w:rsidR="00CF5B80" w:rsidRPr="007613B3" w:rsidRDefault="00CF5B80" w:rsidP="00E86A4A">
            <w:pPr>
              <w:spacing w:before="60" w:after="60"/>
              <w:jc w:val="center"/>
              <w:rPr>
                <w:rFonts w:ascii="Calibri" w:eastAsia="Arial Unicode MS" w:hAnsi="Calibri" w:cs="Calibri"/>
                <w:color w:val="auto"/>
                <w:lang w:val="en-AU"/>
              </w:rPr>
            </w:pPr>
          </w:p>
        </w:tc>
      </w:tr>
      <w:tr w:rsidR="00CF5B80" w:rsidRPr="0050455A" w14:paraId="67CB7A2C" w14:textId="77777777" w:rsidTr="008263AC">
        <w:trPr>
          <w:gridAfter w:val="1"/>
          <w:wAfter w:w="351" w:type="dxa"/>
          <w:trHeight w:val="406"/>
        </w:trPr>
        <w:tc>
          <w:tcPr>
            <w:tcW w:w="4310" w:type="dxa"/>
            <w:tcBorders>
              <w:top w:val="single" w:sz="8" w:space="0" w:color="6D6D6D"/>
              <w:left w:val="single" w:sz="8" w:space="0" w:color="6D6D6D"/>
              <w:bottom w:val="single" w:sz="8" w:space="0" w:color="6D6D6D"/>
              <w:right w:val="single" w:sz="8" w:space="0" w:color="6D6D6D"/>
            </w:tcBorders>
            <w:shd w:val="clear" w:color="auto" w:fill="auto"/>
            <w:noWrap/>
          </w:tcPr>
          <w:p w14:paraId="2178332C" w14:textId="77777777" w:rsidR="00CF5B80" w:rsidRPr="007613B3" w:rsidRDefault="00CF5B80" w:rsidP="00E86A4A">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3060" w:type="dxa"/>
            <w:tcBorders>
              <w:top w:val="single" w:sz="8" w:space="0" w:color="6D6D6D"/>
              <w:left w:val="single" w:sz="8" w:space="0" w:color="6D6D6D"/>
              <w:bottom w:val="single" w:sz="8" w:space="0" w:color="6D6D6D"/>
              <w:right w:val="single" w:sz="8" w:space="0" w:color="6D6D6D"/>
            </w:tcBorders>
            <w:shd w:val="clear" w:color="auto" w:fill="auto"/>
          </w:tcPr>
          <w:p w14:paraId="1B4FDF20" w14:textId="662BE56F" w:rsidR="00CF5B80" w:rsidRPr="00985393" w:rsidRDefault="00985393" w:rsidP="00E86A4A">
            <w:pPr>
              <w:ind w:left="12" w:hanging="12"/>
              <w:rPr>
                <w:rFonts w:ascii="Calibri" w:eastAsia="Arial Unicode MS" w:hAnsi="Calibri" w:cs="Calibri"/>
                <w:color w:val="auto"/>
                <w:lang w:val="fr-FR"/>
              </w:rPr>
            </w:pPr>
            <w:r w:rsidRPr="00985393">
              <w:rPr>
                <w:rFonts w:ascii="Calibri" w:eastAsia="Arial Unicode MS" w:hAnsi="Calibri" w:cs="Calibri"/>
                <w:color w:val="auto"/>
                <w:lang w:val="fr-FR"/>
              </w:rPr>
              <w:t>8 jours de mission par m</w:t>
            </w:r>
            <w:r>
              <w:rPr>
                <w:rFonts w:ascii="Calibri" w:eastAsia="Arial Unicode MS" w:hAnsi="Calibri" w:cs="Calibri"/>
                <w:color w:val="auto"/>
                <w:lang w:val="fr-FR"/>
              </w:rPr>
              <w:t xml:space="preserve">ois incluant </w:t>
            </w:r>
            <w:r w:rsidR="00933B51">
              <w:rPr>
                <w:rFonts w:ascii="Calibri" w:eastAsia="Arial Unicode MS" w:hAnsi="Calibri" w:cs="Calibri"/>
                <w:color w:val="auto"/>
                <w:lang w:val="fr-FR"/>
              </w:rPr>
              <w:t>déplacement</w:t>
            </w:r>
            <w:r>
              <w:rPr>
                <w:rFonts w:ascii="Calibri" w:eastAsia="Arial Unicode MS" w:hAnsi="Calibri" w:cs="Calibri"/>
                <w:color w:val="auto"/>
                <w:lang w:val="fr-FR"/>
              </w:rPr>
              <w:t xml:space="preserve"> en avion</w:t>
            </w:r>
            <w:r w:rsidR="00933B51">
              <w:rPr>
                <w:rFonts w:ascii="Calibri" w:eastAsia="Arial Unicode MS" w:hAnsi="Calibri" w:cs="Calibri"/>
                <w:color w:val="auto"/>
                <w:lang w:val="fr-FR"/>
              </w:rPr>
              <w:t xml:space="preserve"> (A/R)</w:t>
            </w:r>
            <w:r>
              <w:rPr>
                <w:rFonts w:ascii="Calibri" w:eastAsia="Arial Unicode MS" w:hAnsi="Calibri" w:cs="Calibri"/>
                <w:color w:val="auto"/>
                <w:lang w:val="fr-FR"/>
              </w:rPr>
              <w:t xml:space="preserve"> et </w:t>
            </w:r>
            <w:r w:rsidR="00933B51">
              <w:rPr>
                <w:rFonts w:ascii="Calibri" w:eastAsia="Arial Unicode MS" w:hAnsi="Calibri" w:cs="Calibri"/>
                <w:color w:val="auto"/>
                <w:lang w:val="fr-FR"/>
              </w:rPr>
              <w:t xml:space="preserve">déplacement sur site en voiture </w:t>
            </w:r>
          </w:p>
        </w:tc>
        <w:tc>
          <w:tcPr>
            <w:tcW w:w="1545" w:type="dxa"/>
            <w:tcBorders>
              <w:top w:val="single" w:sz="8" w:space="0" w:color="6D6D6D"/>
              <w:left w:val="single" w:sz="8" w:space="0" w:color="6D6D6D"/>
              <w:bottom w:val="single" w:sz="8" w:space="0" w:color="6D6D6D"/>
              <w:right w:val="single" w:sz="8" w:space="0" w:color="6D6D6D"/>
            </w:tcBorders>
            <w:shd w:val="clear" w:color="auto" w:fill="auto"/>
          </w:tcPr>
          <w:p w14:paraId="622F94AE" w14:textId="13FE8942" w:rsidR="00CF5B80" w:rsidRPr="00985393" w:rsidRDefault="00CF5B80" w:rsidP="00E86A4A">
            <w:pPr>
              <w:spacing w:before="60" w:after="60" w:line="240" w:lineRule="auto"/>
              <w:rPr>
                <w:rFonts w:ascii="Calibri" w:eastAsia="Arial Unicode MS" w:hAnsi="Calibri" w:cs="Calibri"/>
                <w:color w:val="auto"/>
                <w:lang w:val="fr-FR"/>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5667D10B" w14:textId="77777777" w:rsidR="00CF5B80" w:rsidRPr="00985393" w:rsidRDefault="00CF5B80" w:rsidP="00E86A4A">
            <w:pPr>
              <w:spacing w:before="60" w:after="60"/>
              <w:jc w:val="center"/>
              <w:rPr>
                <w:rFonts w:ascii="Calibri" w:eastAsia="Arial Unicode MS" w:hAnsi="Calibri" w:cs="Calibri"/>
                <w:color w:val="auto"/>
                <w:lang w:val="fr-FR"/>
              </w:rPr>
            </w:pPr>
          </w:p>
        </w:tc>
      </w:tr>
      <w:tr w:rsidR="00CF5B80" w:rsidRPr="007613B3" w14:paraId="7F2B6477" w14:textId="77777777" w:rsidTr="008263AC">
        <w:trPr>
          <w:gridAfter w:val="1"/>
          <w:wAfter w:w="351" w:type="dxa"/>
          <w:trHeight w:val="406"/>
        </w:trPr>
        <w:tc>
          <w:tcPr>
            <w:tcW w:w="4310" w:type="dxa"/>
            <w:tcBorders>
              <w:top w:val="single" w:sz="8" w:space="0" w:color="6D6D6D"/>
              <w:left w:val="single" w:sz="8" w:space="0" w:color="6D6D6D"/>
              <w:bottom w:val="single" w:sz="8" w:space="0" w:color="6D6D6D"/>
              <w:right w:val="single" w:sz="8" w:space="0" w:color="6D6D6D"/>
            </w:tcBorders>
            <w:shd w:val="clear" w:color="auto" w:fill="auto"/>
            <w:noWrap/>
          </w:tcPr>
          <w:p w14:paraId="041AC866" w14:textId="77777777" w:rsidR="00CF5B80" w:rsidRPr="007613B3" w:rsidRDefault="00CF5B80" w:rsidP="00E86A4A">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3060" w:type="dxa"/>
            <w:tcBorders>
              <w:top w:val="single" w:sz="8" w:space="0" w:color="6D6D6D"/>
              <w:left w:val="single" w:sz="8" w:space="0" w:color="6D6D6D"/>
              <w:bottom w:val="single" w:sz="8" w:space="0" w:color="6D6D6D"/>
              <w:right w:val="single" w:sz="8" w:space="0" w:color="6D6D6D"/>
            </w:tcBorders>
            <w:shd w:val="clear" w:color="auto" w:fill="auto"/>
          </w:tcPr>
          <w:p w14:paraId="12869F70" w14:textId="5CCC9E72" w:rsidR="00CF5B80" w:rsidRPr="007613B3" w:rsidRDefault="00933B51" w:rsidP="00E86A4A">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545" w:type="dxa"/>
            <w:tcBorders>
              <w:top w:val="single" w:sz="8" w:space="0" w:color="6D6D6D"/>
              <w:left w:val="single" w:sz="8" w:space="0" w:color="6D6D6D"/>
              <w:bottom w:val="single" w:sz="8" w:space="0" w:color="6D6D6D"/>
              <w:right w:val="single" w:sz="8" w:space="0" w:color="6D6D6D"/>
            </w:tcBorders>
            <w:shd w:val="clear" w:color="auto" w:fill="auto"/>
          </w:tcPr>
          <w:p w14:paraId="519F4FDF" w14:textId="77777777" w:rsidR="00CF5B80" w:rsidRPr="007613B3" w:rsidRDefault="00CF5B80" w:rsidP="00E86A4A">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67C80316" w14:textId="77777777" w:rsidR="00CF5B80" w:rsidRPr="007613B3" w:rsidRDefault="00CF5B80" w:rsidP="00E86A4A">
            <w:pPr>
              <w:spacing w:before="60" w:after="60"/>
              <w:jc w:val="center"/>
              <w:rPr>
                <w:rFonts w:ascii="Calibri" w:eastAsia="Arial Unicode MS" w:hAnsi="Calibri" w:cs="Calibri"/>
                <w:color w:val="auto"/>
                <w:lang w:val="en-AU"/>
              </w:rPr>
            </w:pPr>
          </w:p>
        </w:tc>
      </w:tr>
      <w:tr w:rsidR="00CF5B80" w:rsidRPr="007613B3" w14:paraId="657243E7" w14:textId="77777777" w:rsidTr="008263AC">
        <w:trPr>
          <w:gridAfter w:val="1"/>
          <w:wAfter w:w="351" w:type="dxa"/>
          <w:trHeight w:val="406"/>
        </w:trPr>
        <w:tc>
          <w:tcPr>
            <w:tcW w:w="43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EBA24A3" w14:textId="77777777" w:rsidR="00CF5B80" w:rsidRPr="0054592E" w:rsidRDefault="00CF5B80" w:rsidP="00E86A4A">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1"/>
            </w:r>
          </w:p>
        </w:tc>
        <w:tc>
          <w:tcPr>
            <w:tcW w:w="30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1C615A" w14:textId="77777777" w:rsidR="00CF5B80" w:rsidRPr="007613B3" w:rsidRDefault="00CF5B80" w:rsidP="00E86A4A">
            <w:pPr>
              <w:ind w:left="12" w:hanging="12"/>
              <w:rPr>
                <w:rFonts w:ascii="Calibri" w:eastAsia="Arial Unicode MS" w:hAnsi="Calibri" w:cs="Calibri"/>
                <w:color w:val="auto"/>
                <w:lang w:val="en-AU"/>
              </w:rPr>
            </w:pPr>
          </w:p>
        </w:tc>
        <w:tc>
          <w:tcPr>
            <w:tcW w:w="154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9CF6EE6" w14:textId="6E8BFB16" w:rsidR="00CF5B80" w:rsidRPr="007613B3" w:rsidRDefault="00CF5B80" w:rsidP="008263AC">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5DE1FAE" w14:textId="77777777" w:rsidR="00CF5B80" w:rsidRPr="007613B3" w:rsidRDefault="00CF5B80" w:rsidP="00E86A4A">
            <w:pPr>
              <w:spacing w:before="60" w:after="60"/>
              <w:jc w:val="center"/>
              <w:rPr>
                <w:rFonts w:ascii="Calibri" w:eastAsia="Arial Unicode MS" w:hAnsi="Calibri" w:cs="Calibri"/>
                <w:color w:val="auto"/>
                <w:lang w:val="en-AU"/>
              </w:rPr>
            </w:pPr>
          </w:p>
        </w:tc>
      </w:tr>
      <w:bookmarkEnd w:id="3"/>
      <w:tr w:rsidR="00CF5B80" w:rsidRPr="007613B3" w14:paraId="27A859BD" w14:textId="77777777" w:rsidTr="008263AC">
        <w:trPr>
          <w:gridAfter w:val="1"/>
          <w:wAfter w:w="351" w:type="dxa"/>
          <w:trHeight w:val="401"/>
        </w:trPr>
        <w:tc>
          <w:tcPr>
            <w:tcW w:w="4310" w:type="dxa"/>
            <w:tcBorders>
              <w:top w:val="single" w:sz="4" w:space="0" w:color="auto"/>
              <w:left w:val="single" w:sz="4" w:space="0" w:color="auto"/>
              <w:bottom w:val="nil"/>
              <w:right w:val="single" w:sz="4" w:space="0" w:color="auto"/>
            </w:tcBorders>
            <w:shd w:val="clear" w:color="auto" w:fill="auto"/>
            <w:noWrap/>
            <w:hideMark/>
          </w:tcPr>
          <w:p w14:paraId="6BA3F21F" w14:textId="77777777" w:rsidR="00CF5B80" w:rsidRPr="007613B3" w:rsidRDefault="00CF5B80" w:rsidP="00E86A4A">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553" w:type="dxa"/>
            <w:gridSpan w:val="3"/>
            <w:tcBorders>
              <w:top w:val="single" w:sz="4" w:space="0" w:color="auto"/>
              <w:left w:val="single" w:sz="4" w:space="0" w:color="auto"/>
              <w:bottom w:val="nil"/>
              <w:right w:val="single" w:sz="4" w:space="0" w:color="auto"/>
            </w:tcBorders>
            <w:shd w:val="clear" w:color="auto" w:fill="auto"/>
            <w:noWrap/>
            <w:hideMark/>
          </w:tcPr>
          <w:p w14:paraId="0B8C7D1C" w14:textId="77777777" w:rsidR="00CF5B80" w:rsidRPr="007613B3" w:rsidRDefault="00CF5B80" w:rsidP="00E86A4A">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CF5B80" w:rsidRPr="0050455A" w14:paraId="2599270D" w14:textId="77777777" w:rsidTr="008263AC">
        <w:trPr>
          <w:gridAfter w:val="1"/>
          <w:wAfter w:w="351" w:type="dxa"/>
          <w:trHeight w:val="401"/>
        </w:trPr>
        <w:tc>
          <w:tcPr>
            <w:tcW w:w="4310" w:type="dxa"/>
            <w:tcBorders>
              <w:top w:val="nil"/>
              <w:left w:val="single" w:sz="4" w:space="0" w:color="auto"/>
              <w:bottom w:val="nil"/>
              <w:right w:val="single" w:sz="4" w:space="0" w:color="auto"/>
            </w:tcBorders>
            <w:shd w:val="clear" w:color="auto" w:fill="auto"/>
            <w:noWrap/>
          </w:tcPr>
          <w:p w14:paraId="008774D7" w14:textId="6E844805" w:rsidR="00CF5B80" w:rsidRPr="007613B3" w:rsidRDefault="00CF5B80" w:rsidP="00E86A4A">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3C2823">
              <w:rPr>
                <w:rFonts w:ascii="Calibri" w:eastAsia="Arial Unicode MS" w:hAnsi="Calibri" w:cs="Calibri"/>
                <w:color w:val="auto"/>
                <w:lang w:val="en-AU"/>
              </w:rPr>
              <w:fldChar w:fldCharType="begin">
                <w:ffData>
                  <w:name w:val="Check7"/>
                  <w:enabled/>
                  <w:calcOnExit w:val="0"/>
                  <w:checkBox>
                    <w:sizeAuto/>
                    <w:default w:val="1"/>
                  </w:checkBox>
                </w:ffData>
              </w:fldChar>
            </w:r>
            <w:bookmarkStart w:id="4" w:name="Check7"/>
            <w:r w:rsidR="003C2823">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sidR="003C2823">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679A1307" w14:textId="77777777" w:rsidR="00CF5B80" w:rsidRPr="007613B3" w:rsidRDefault="00CF5B80" w:rsidP="00E86A4A">
            <w:pPr>
              <w:spacing w:before="60" w:line="240" w:lineRule="auto"/>
              <w:rPr>
                <w:rFonts w:ascii="Calibri" w:eastAsia="Arial Unicode MS" w:hAnsi="Calibri" w:cs="Calibri"/>
                <w:color w:val="auto"/>
                <w:lang w:val="en-AU"/>
              </w:rPr>
            </w:pPr>
          </w:p>
          <w:p w14:paraId="22E6FF3D" w14:textId="77777777" w:rsidR="00474B45" w:rsidRPr="00E64A2C" w:rsidRDefault="00474B45" w:rsidP="00474B45">
            <w:pPr>
              <w:pStyle w:val="ListParagraph"/>
              <w:numPr>
                <w:ilvl w:val="0"/>
                <w:numId w:val="28"/>
              </w:numPr>
              <w:ind w:left="271" w:hanging="180"/>
              <w:rPr>
                <w:rFonts w:ascii="Calibri" w:eastAsia="Arial Unicode MS" w:hAnsi="Calibri" w:cs="Calibri"/>
                <w:color w:val="auto"/>
                <w:lang w:val="fr-FR"/>
              </w:rPr>
            </w:pPr>
            <w:r w:rsidRPr="00E64A2C">
              <w:rPr>
                <w:rFonts w:ascii="Calibri" w:eastAsia="Arial Unicode MS" w:hAnsi="Calibri" w:cs="Calibri"/>
                <w:color w:val="auto"/>
                <w:lang w:val="fr-FR"/>
              </w:rPr>
              <w:t>Avoir au minimum un diplôme de Master (Bac+5) dans un des domaines suivants : Hydraulique, Hydrologie, Génie Civil ou équivalent ;</w:t>
            </w:r>
          </w:p>
          <w:p w14:paraId="12DA9A69" w14:textId="77777777" w:rsidR="00474B45" w:rsidRPr="00E64A2C" w:rsidRDefault="00474B45" w:rsidP="00474B45">
            <w:pPr>
              <w:pStyle w:val="ListParagraph"/>
              <w:numPr>
                <w:ilvl w:val="0"/>
                <w:numId w:val="28"/>
              </w:numPr>
              <w:ind w:left="271" w:hanging="180"/>
              <w:rPr>
                <w:rFonts w:ascii="Calibri" w:eastAsia="Arial Unicode MS" w:hAnsi="Calibri" w:cs="Calibri"/>
                <w:color w:val="auto"/>
                <w:lang w:val="fr-FR"/>
              </w:rPr>
            </w:pPr>
            <w:r w:rsidRPr="00E64A2C">
              <w:rPr>
                <w:rFonts w:ascii="Calibri" w:eastAsia="Arial Unicode MS" w:hAnsi="Calibri" w:cs="Calibri"/>
                <w:color w:val="auto"/>
                <w:lang w:val="fr-FR"/>
              </w:rPr>
              <w:t>Avoir des formations supplémentaires pertinentes en matière de WASH et PPP</w:t>
            </w:r>
          </w:p>
          <w:p w14:paraId="67625A0D" w14:textId="77777777" w:rsidR="00474B45" w:rsidRPr="00E64A2C" w:rsidRDefault="00474B45" w:rsidP="00474B45">
            <w:pPr>
              <w:pStyle w:val="ListParagraph"/>
              <w:numPr>
                <w:ilvl w:val="0"/>
                <w:numId w:val="28"/>
              </w:numPr>
              <w:ind w:left="271" w:hanging="180"/>
              <w:rPr>
                <w:rFonts w:ascii="Calibri" w:eastAsia="Arial Unicode MS" w:hAnsi="Calibri" w:cs="Calibri"/>
                <w:color w:val="auto"/>
                <w:lang w:val="fr-FR"/>
              </w:rPr>
            </w:pPr>
            <w:r w:rsidRPr="00E64A2C">
              <w:rPr>
                <w:rFonts w:ascii="Calibri" w:eastAsia="Arial Unicode MS" w:hAnsi="Calibri" w:cs="Calibri"/>
                <w:color w:val="auto"/>
                <w:lang w:val="fr-FR"/>
              </w:rPr>
              <w:t>Ayant deux (02) ans d’expérience professionnelle dans des programmes liés au secteur WASH dans les pays en développement ;</w:t>
            </w:r>
          </w:p>
          <w:p w14:paraId="1CD8D2DB" w14:textId="29259C39" w:rsidR="00CF5B80" w:rsidRPr="00474B45" w:rsidRDefault="00CF5B80" w:rsidP="00E86A4A">
            <w:pPr>
              <w:spacing w:before="60" w:line="240" w:lineRule="auto"/>
              <w:rPr>
                <w:rFonts w:ascii="Calibri" w:eastAsia="Arial Unicode MS" w:hAnsi="Calibri" w:cs="Calibri"/>
                <w:color w:val="auto"/>
                <w:lang w:val="fr-FR"/>
              </w:rPr>
            </w:pPr>
          </w:p>
        </w:tc>
        <w:tc>
          <w:tcPr>
            <w:tcW w:w="5553" w:type="dxa"/>
            <w:gridSpan w:val="3"/>
            <w:tcBorders>
              <w:top w:val="nil"/>
              <w:left w:val="single" w:sz="4" w:space="0" w:color="auto"/>
              <w:bottom w:val="nil"/>
              <w:right w:val="single" w:sz="4" w:space="0" w:color="auto"/>
            </w:tcBorders>
            <w:shd w:val="clear" w:color="auto" w:fill="auto"/>
            <w:noWrap/>
          </w:tcPr>
          <w:p w14:paraId="65E420F6" w14:textId="7A05B846" w:rsidR="00E64A2C" w:rsidRDefault="00E64A2C" w:rsidP="00E64A2C">
            <w:pPr>
              <w:pStyle w:val="ListParagraph"/>
              <w:numPr>
                <w:ilvl w:val="0"/>
                <w:numId w:val="28"/>
              </w:numPr>
              <w:ind w:left="271" w:hanging="180"/>
              <w:rPr>
                <w:rFonts w:ascii="Calibri" w:eastAsia="Arial Unicode MS" w:hAnsi="Calibri" w:cs="Calibri"/>
                <w:color w:val="auto"/>
                <w:lang w:val="fr-FR"/>
              </w:rPr>
            </w:pPr>
            <w:r w:rsidRPr="00E64A2C">
              <w:rPr>
                <w:rFonts w:ascii="Calibri" w:eastAsia="Arial Unicode MS" w:hAnsi="Calibri" w:cs="Calibri"/>
                <w:color w:val="auto"/>
                <w:lang w:val="fr-FR"/>
              </w:rPr>
              <w:t>Avoir une expérience de deux (02) ans ou plus dans la gouvernance locale, pérennisation et système de gestion tarifaire des points d’eau à Madagascar ;</w:t>
            </w:r>
          </w:p>
          <w:p w14:paraId="487B61D8" w14:textId="1DC7339C" w:rsidR="004C5D45" w:rsidRPr="00E64A2C" w:rsidRDefault="004C5D45" w:rsidP="00E64A2C">
            <w:pPr>
              <w:pStyle w:val="ListParagraph"/>
              <w:numPr>
                <w:ilvl w:val="0"/>
                <w:numId w:val="28"/>
              </w:numPr>
              <w:ind w:left="271" w:hanging="180"/>
              <w:rPr>
                <w:rFonts w:ascii="Calibri" w:eastAsia="Arial Unicode MS" w:hAnsi="Calibri" w:cs="Calibri"/>
                <w:color w:val="auto"/>
                <w:lang w:val="fr-FR"/>
              </w:rPr>
            </w:pPr>
            <w:r>
              <w:rPr>
                <w:rFonts w:ascii="Calibri" w:eastAsia="Arial Unicode MS" w:hAnsi="Calibri" w:cs="Calibri"/>
                <w:color w:val="auto"/>
                <w:lang w:val="fr-FR"/>
              </w:rPr>
              <w:t xml:space="preserve">Bonne </w:t>
            </w:r>
            <w:proofErr w:type="gramStart"/>
            <w:r>
              <w:rPr>
                <w:rFonts w:ascii="Calibri" w:eastAsia="Arial Unicode MS" w:hAnsi="Calibri" w:cs="Calibri"/>
                <w:color w:val="auto"/>
                <w:lang w:val="fr-FR"/>
              </w:rPr>
              <w:t xml:space="preserve">connaissance </w:t>
            </w:r>
            <w:r w:rsidRPr="004C5D45">
              <w:rPr>
                <w:lang w:val="fr-FR"/>
              </w:rPr>
              <w:t xml:space="preserve"> </w:t>
            </w:r>
            <w:r w:rsidRPr="004C5D45">
              <w:rPr>
                <w:rFonts w:ascii="Calibri" w:eastAsia="Arial Unicode MS" w:hAnsi="Calibri" w:cs="Calibri"/>
                <w:color w:val="auto"/>
                <w:lang w:val="fr-FR"/>
              </w:rPr>
              <w:t>des</w:t>
            </w:r>
            <w:proofErr w:type="gramEnd"/>
            <w:r w:rsidRPr="004C5D45">
              <w:rPr>
                <w:rFonts w:ascii="Calibri" w:eastAsia="Arial Unicode MS" w:hAnsi="Calibri" w:cs="Calibri"/>
                <w:color w:val="auto"/>
                <w:lang w:val="fr-FR"/>
              </w:rPr>
              <w:t xml:space="preserve"> mécanismes de gestion privée des infrastructures publiques notamment de l’approvisionnement en eau et ouvrages d’assainissement</w:t>
            </w:r>
          </w:p>
          <w:p w14:paraId="6D38B67F" w14:textId="5DCE49A0" w:rsidR="000B4C20" w:rsidRDefault="004C5D45" w:rsidP="00E64A2C">
            <w:pPr>
              <w:pStyle w:val="ListParagraph"/>
              <w:numPr>
                <w:ilvl w:val="0"/>
                <w:numId w:val="28"/>
              </w:numPr>
              <w:ind w:left="271" w:hanging="180"/>
              <w:rPr>
                <w:rFonts w:ascii="Calibri" w:eastAsia="Arial Unicode MS" w:hAnsi="Calibri" w:cs="Calibri"/>
                <w:color w:val="auto"/>
                <w:lang w:val="fr-FR"/>
              </w:rPr>
            </w:pPr>
            <w:r>
              <w:rPr>
                <w:rFonts w:ascii="Calibri" w:eastAsia="Arial Unicode MS" w:hAnsi="Calibri" w:cs="Calibri"/>
                <w:color w:val="auto"/>
                <w:lang w:val="fr-FR"/>
              </w:rPr>
              <w:t xml:space="preserve">Une expérience </w:t>
            </w:r>
            <w:r w:rsidR="000B4C20">
              <w:rPr>
                <w:rFonts w:ascii="Calibri" w:eastAsia="Arial Unicode MS" w:hAnsi="Calibri" w:cs="Calibri"/>
                <w:color w:val="auto"/>
                <w:lang w:val="fr-FR"/>
              </w:rPr>
              <w:t xml:space="preserve">de travail certaine </w:t>
            </w:r>
            <w:r>
              <w:rPr>
                <w:rFonts w:ascii="Calibri" w:eastAsia="Arial Unicode MS" w:hAnsi="Calibri" w:cs="Calibri"/>
                <w:color w:val="auto"/>
                <w:lang w:val="fr-FR"/>
              </w:rPr>
              <w:t>avec l’</w:t>
            </w:r>
            <w:r w:rsidR="000B4C20">
              <w:rPr>
                <w:rFonts w:ascii="Calibri" w:eastAsia="Arial Unicode MS" w:hAnsi="Calibri" w:cs="Calibri"/>
                <w:color w:val="auto"/>
                <w:lang w:val="fr-FR"/>
              </w:rPr>
              <w:t>administration</w:t>
            </w:r>
            <w:r>
              <w:rPr>
                <w:rFonts w:ascii="Calibri" w:eastAsia="Arial Unicode MS" w:hAnsi="Calibri" w:cs="Calibri"/>
                <w:color w:val="auto"/>
                <w:lang w:val="fr-FR"/>
              </w:rPr>
              <w:t xml:space="preserve"> </w:t>
            </w:r>
            <w:r w:rsidR="000B4C20">
              <w:rPr>
                <w:rFonts w:ascii="Calibri" w:eastAsia="Arial Unicode MS" w:hAnsi="Calibri" w:cs="Calibri"/>
                <w:color w:val="auto"/>
                <w:lang w:val="fr-FR"/>
              </w:rPr>
              <w:t>publique liée au secteur WASH à Madagascar est exigée</w:t>
            </w:r>
          </w:p>
          <w:p w14:paraId="518447F7" w14:textId="68DAF574" w:rsidR="000B4C20" w:rsidRDefault="000B4C20" w:rsidP="00E64A2C">
            <w:pPr>
              <w:pStyle w:val="ListParagraph"/>
              <w:numPr>
                <w:ilvl w:val="0"/>
                <w:numId w:val="28"/>
              </w:numPr>
              <w:ind w:left="271" w:hanging="180"/>
              <w:rPr>
                <w:rFonts w:ascii="Calibri" w:eastAsia="Arial Unicode MS" w:hAnsi="Calibri" w:cs="Calibri"/>
                <w:color w:val="auto"/>
                <w:lang w:val="fr-FR"/>
              </w:rPr>
            </w:pPr>
            <w:r>
              <w:rPr>
                <w:rFonts w:ascii="Calibri" w:eastAsia="Arial Unicode MS" w:hAnsi="Calibri" w:cs="Calibri"/>
                <w:color w:val="auto"/>
                <w:lang w:val="fr-FR"/>
              </w:rPr>
              <w:t>Une bonne connaissance et compréhension des textes règlementaires en vigueur dans e secteur EAH est exigée ;</w:t>
            </w:r>
          </w:p>
          <w:p w14:paraId="0275F504" w14:textId="3031E0AD" w:rsidR="000B4C20" w:rsidRDefault="000B4C20" w:rsidP="00E64A2C">
            <w:pPr>
              <w:pStyle w:val="ListParagraph"/>
              <w:numPr>
                <w:ilvl w:val="0"/>
                <w:numId w:val="28"/>
              </w:numPr>
              <w:ind w:left="271" w:hanging="180"/>
              <w:rPr>
                <w:rFonts w:ascii="Calibri" w:eastAsia="Arial Unicode MS" w:hAnsi="Calibri" w:cs="Calibri"/>
                <w:color w:val="auto"/>
                <w:lang w:val="fr-FR"/>
              </w:rPr>
            </w:pPr>
            <w:r>
              <w:rPr>
                <w:rFonts w:ascii="Calibri" w:eastAsia="Arial Unicode MS" w:hAnsi="Calibri" w:cs="Calibri"/>
                <w:color w:val="auto"/>
                <w:lang w:val="fr-FR"/>
              </w:rPr>
              <w:t>Une connaissance de gestion de base de données est souhaitée ;</w:t>
            </w:r>
          </w:p>
          <w:p w14:paraId="04852125" w14:textId="3CDAB776" w:rsidR="000B4C20" w:rsidRDefault="000B4C20" w:rsidP="00E64A2C">
            <w:pPr>
              <w:pStyle w:val="ListParagraph"/>
              <w:numPr>
                <w:ilvl w:val="0"/>
                <w:numId w:val="28"/>
              </w:numPr>
              <w:ind w:left="271" w:hanging="180"/>
              <w:rPr>
                <w:rFonts w:ascii="Calibri" w:eastAsia="Arial Unicode MS" w:hAnsi="Calibri" w:cs="Calibri"/>
                <w:color w:val="auto"/>
                <w:lang w:val="fr-FR"/>
              </w:rPr>
            </w:pPr>
            <w:r>
              <w:rPr>
                <w:rFonts w:ascii="Calibri" w:eastAsia="Arial Unicode MS" w:hAnsi="Calibri" w:cs="Calibri"/>
                <w:color w:val="auto"/>
                <w:lang w:val="fr-FR"/>
              </w:rPr>
              <w:t xml:space="preserve">Une expérience en termes </w:t>
            </w:r>
            <w:proofErr w:type="gramStart"/>
            <w:r>
              <w:rPr>
                <w:rFonts w:ascii="Calibri" w:eastAsia="Arial Unicode MS" w:hAnsi="Calibri" w:cs="Calibri"/>
                <w:color w:val="auto"/>
                <w:lang w:val="fr-FR"/>
              </w:rPr>
              <w:t>des connaissance</w:t>
            </w:r>
            <w:proofErr w:type="gramEnd"/>
            <w:r>
              <w:rPr>
                <w:rFonts w:ascii="Calibri" w:eastAsia="Arial Unicode MS" w:hAnsi="Calibri" w:cs="Calibri"/>
                <w:color w:val="auto"/>
                <w:lang w:val="fr-FR"/>
              </w:rPr>
              <w:t xml:space="preserve"> de fonctionnement des Collectivités Territoriales Décentralisées (CTD) est exigée </w:t>
            </w:r>
          </w:p>
          <w:p w14:paraId="7BD16E35" w14:textId="25A69384" w:rsidR="00E64A2C" w:rsidRPr="00E64A2C" w:rsidRDefault="00E64A2C" w:rsidP="00E64A2C">
            <w:pPr>
              <w:pStyle w:val="ListParagraph"/>
              <w:numPr>
                <w:ilvl w:val="0"/>
                <w:numId w:val="28"/>
              </w:numPr>
              <w:ind w:left="271" w:hanging="180"/>
              <w:rPr>
                <w:rFonts w:ascii="Calibri" w:eastAsia="Arial Unicode MS" w:hAnsi="Calibri" w:cs="Calibri"/>
                <w:color w:val="auto"/>
                <w:lang w:val="fr-FR"/>
              </w:rPr>
            </w:pPr>
            <w:r w:rsidRPr="00E64A2C">
              <w:rPr>
                <w:rFonts w:ascii="Calibri" w:eastAsia="Arial Unicode MS" w:hAnsi="Calibri" w:cs="Calibri"/>
                <w:color w:val="auto"/>
                <w:lang w:val="fr-FR"/>
              </w:rPr>
              <w:t xml:space="preserve">Une expérience de travail avec UNICEF et/ou autres agences UN ou agences bilatérales est souhaitée ; </w:t>
            </w:r>
          </w:p>
          <w:p w14:paraId="2C7DD639" w14:textId="082BF9FF" w:rsidR="00E64A2C" w:rsidRPr="00E64A2C" w:rsidRDefault="00E64A2C" w:rsidP="00E64A2C">
            <w:pPr>
              <w:pStyle w:val="ListParagraph"/>
              <w:numPr>
                <w:ilvl w:val="0"/>
                <w:numId w:val="28"/>
              </w:numPr>
              <w:ind w:left="271" w:hanging="180"/>
              <w:rPr>
                <w:rFonts w:ascii="Calibri" w:eastAsia="Arial Unicode MS" w:hAnsi="Calibri" w:cs="Calibri"/>
                <w:color w:val="auto"/>
                <w:lang w:val="fr-FR"/>
              </w:rPr>
            </w:pPr>
            <w:r w:rsidRPr="00E64A2C">
              <w:rPr>
                <w:rFonts w:ascii="Calibri" w:eastAsia="Arial Unicode MS" w:hAnsi="Calibri" w:cs="Calibri"/>
                <w:color w:val="auto"/>
                <w:lang w:val="fr-FR"/>
              </w:rPr>
              <w:t xml:space="preserve">Excellente compétence orale et écrite en français ; </w:t>
            </w:r>
          </w:p>
          <w:p w14:paraId="451DDC4C" w14:textId="6A68004B" w:rsidR="00CF5B80" w:rsidRPr="00E64A2C" w:rsidRDefault="00E64A2C" w:rsidP="00E64A2C">
            <w:pPr>
              <w:pStyle w:val="ListParagraph"/>
              <w:numPr>
                <w:ilvl w:val="0"/>
                <w:numId w:val="28"/>
              </w:numPr>
              <w:ind w:left="271" w:hanging="180"/>
              <w:rPr>
                <w:rFonts w:ascii="Calibri" w:eastAsia="Arial Unicode MS" w:hAnsi="Calibri" w:cs="Calibri"/>
                <w:color w:val="auto"/>
                <w:lang w:val="fr-FR"/>
              </w:rPr>
            </w:pPr>
            <w:r w:rsidRPr="00E64A2C">
              <w:rPr>
                <w:rFonts w:ascii="Calibri" w:eastAsia="Arial Unicode MS" w:hAnsi="Calibri" w:cs="Calibri"/>
                <w:color w:val="auto"/>
                <w:lang w:val="fr-FR"/>
              </w:rPr>
              <w:t>Bonne connaissance de l’anglais souhaitée ;</w:t>
            </w:r>
          </w:p>
        </w:tc>
      </w:tr>
      <w:tr w:rsidR="00CF5B80" w:rsidRPr="007613B3" w14:paraId="673FD55A" w14:textId="77777777" w:rsidTr="008263AC">
        <w:trPr>
          <w:gridAfter w:val="1"/>
          <w:wAfter w:w="351" w:type="dxa"/>
          <w:trHeight w:val="153"/>
        </w:trPr>
        <w:tc>
          <w:tcPr>
            <w:tcW w:w="4310" w:type="dxa"/>
            <w:tcBorders>
              <w:top w:val="nil"/>
              <w:right w:val="single" w:sz="4" w:space="0" w:color="auto"/>
            </w:tcBorders>
            <w:shd w:val="clear" w:color="auto" w:fill="auto"/>
            <w:noWrap/>
          </w:tcPr>
          <w:p w14:paraId="7F7BF696" w14:textId="77777777" w:rsidR="00CF5B80" w:rsidRPr="00E64A2C" w:rsidRDefault="00CF5B80" w:rsidP="00E86A4A">
            <w:pPr>
              <w:spacing w:before="60" w:line="240" w:lineRule="auto"/>
              <w:rPr>
                <w:rFonts w:ascii="Calibri" w:eastAsia="Arial Unicode MS" w:hAnsi="Calibri" w:cs="Calibri"/>
                <w:color w:val="auto"/>
                <w:lang w:val="fr-FR"/>
              </w:rPr>
            </w:pPr>
          </w:p>
          <w:p w14:paraId="51AFC2AA" w14:textId="77777777" w:rsidR="00CF5B80" w:rsidRPr="007613B3" w:rsidRDefault="00CF5B80" w:rsidP="00E86A4A">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t xml:space="preserve">*Minimum requirements to consider candidates for competitive process </w:t>
            </w:r>
          </w:p>
        </w:tc>
        <w:tc>
          <w:tcPr>
            <w:tcW w:w="5553" w:type="dxa"/>
            <w:gridSpan w:val="3"/>
            <w:tcBorders>
              <w:top w:val="nil"/>
              <w:left w:val="single" w:sz="4" w:space="0" w:color="auto"/>
            </w:tcBorders>
            <w:shd w:val="clear" w:color="auto" w:fill="auto"/>
            <w:noWrap/>
          </w:tcPr>
          <w:p w14:paraId="5ECBDC6E" w14:textId="77777777" w:rsidR="00CF5B80" w:rsidRPr="007613B3" w:rsidRDefault="00CF5B80" w:rsidP="00E86A4A">
            <w:pPr>
              <w:rPr>
                <w:rFonts w:ascii="Calibri" w:hAnsi="Calibri" w:cs="Calibri"/>
                <w:color w:val="FF0000"/>
              </w:rPr>
            </w:pPr>
          </w:p>
          <w:p w14:paraId="4DD45EA6" w14:textId="77777777" w:rsidR="00CF5B80" w:rsidRPr="007613B3" w:rsidRDefault="00CF5B80" w:rsidP="00E86A4A">
            <w:pPr>
              <w:rPr>
                <w:rFonts w:ascii="Calibri" w:hAnsi="Calibri" w:cs="Calibri"/>
                <w:color w:val="FF0000"/>
              </w:rPr>
            </w:pPr>
            <w:r w:rsidRPr="42903527">
              <w:rPr>
                <w:rFonts w:ascii="Calibri" w:hAnsi="Calibri" w:cs="Calibri"/>
                <w:color w:val="FF0000"/>
              </w:rPr>
              <w:t>*Listed requirements will be used for technical evaluation in the competitive process</w:t>
            </w:r>
          </w:p>
        </w:tc>
      </w:tr>
      <w:tr w:rsidR="00CF5B80" w:rsidRPr="007613B3" w14:paraId="4F0D7641" w14:textId="77777777" w:rsidTr="000C62E9">
        <w:trPr>
          <w:gridAfter w:val="1"/>
          <w:wAfter w:w="351" w:type="dxa"/>
          <w:trHeight w:val="2330"/>
        </w:trPr>
        <w:tc>
          <w:tcPr>
            <w:tcW w:w="9863" w:type="dxa"/>
            <w:gridSpan w:val="4"/>
            <w:tcBorders>
              <w:top w:val="nil"/>
            </w:tcBorders>
            <w:shd w:val="clear" w:color="auto" w:fill="auto"/>
            <w:noWrap/>
          </w:tcPr>
          <w:p w14:paraId="16E8CFBD" w14:textId="77777777" w:rsidR="00CF5B80" w:rsidRDefault="00CF5B80" w:rsidP="00E86A4A">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Pr="5DA949D3">
              <w:rPr>
                <w:rFonts w:ascii="Calibri" w:eastAsia="Arial Unicode MS" w:hAnsi="Calibri" w:cs="Calibri"/>
                <w:b/>
                <w:bCs/>
                <w:color w:val="auto"/>
                <w:lang w:val="en-AU"/>
              </w:rPr>
              <w:t xml:space="preserve">(This will be used for the </w:t>
            </w:r>
            <w:hyperlink r:id="rId17">
              <w:r w:rsidRPr="5DA949D3">
                <w:rPr>
                  <w:rStyle w:val="Hyperlink"/>
                  <w:rFonts w:ascii="Calibri" w:eastAsia="Arial Unicode MS" w:hAnsi="Calibri" w:cs="Calibri"/>
                  <w:b/>
                  <w:bCs/>
                  <w:lang w:val="en-AU"/>
                </w:rPr>
                <w:t>Selection Report</w:t>
              </w:r>
            </w:hyperlink>
            <w:r w:rsidRPr="5DA949D3">
              <w:rPr>
                <w:rFonts w:ascii="Calibri" w:eastAsia="Arial Unicode MS" w:hAnsi="Calibri" w:cs="Calibri"/>
                <w:b/>
                <w:bCs/>
                <w:color w:val="auto"/>
                <w:lang w:val="en-AU"/>
              </w:rPr>
              <w:t xml:space="preserve"> (for clarification see </w:t>
            </w:r>
            <w:hyperlink r:id="rId18">
              <w:r w:rsidRPr="5DA949D3">
                <w:rPr>
                  <w:rStyle w:val="Hyperlink"/>
                  <w:rFonts w:ascii="Calibri" w:eastAsia="Arial Unicode MS" w:hAnsi="Calibri" w:cs="Calibri"/>
                  <w:b/>
                  <w:bCs/>
                  <w:lang w:val="en-AU"/>
                </w:rPr>
                <w:t>Guidance)</w:t>
              </w:r>
            </w:hyperlink>
          </w:p>
          <w:tbl>
            <w:tblPr>
              <w:tblStyle w:val="TableGrid"/>
              <w:tblW w:w="9535" w:type="dxa"/>
              <w:tblLayout w:type="fixed"/>
              <w:tblLook w:val="04A0" w:firstRow="1" w:lastRow="0" w:firstColumn="1" w:lastColumn="0" w:noHBand="0" w:noVBand="1"/>
            </w:tblPr>
            <w:tblGrid>
              <w:gridCol w:w="1017"/>
              <w:gridCol w:w="7813"/>
              <w:gridCol w:w="705"/>
            </w:tblGrid>
            <w:tr w:rsidR="00844B26" w:rsidRPr="00784BC3" w14:paraId="2B8821AF" w14:textId="77777777" w:rsidTr="000C62E9">
              <w:tc>
                <w:tcPr>
                  <w:tcW w:w="1017" w:type="dxa"/>
                  <w:shd w:val="clear" w:color="auto" w:fill="D9D9D9" w:themeFill="background1" w:themeFillShade="D9"/>
                  <w:vAlign w:val="center"/>
                </w:tcPr>
                <w:p w14:paraId="24F99001" w14:textId="77777777" w:rsidR="00844B26" w:rsidRPr="00784BC3" w:rsidRDefault="00844B26" w:rsidP="0050455A">
                  <w:pPr>
                    <w:framePr w:hSpace="180" w:wrap="around" w:vAnchor="page" w:hAnchor="margin" w:y="1531"/>
                    <w:jc w:val="both"/>
                    <w:rPr>
                      <w:rFonts w:cs="Arial"/>
                      <w:b/>
                      <w:bCs/>
                      <w:sz w:val="16"/>
                      <w:szCs w:val="16"/>
                    </w:rPr>
                  </w:pPr>
                  <w:r w:rsidRPr="00784BC3">
                    <w:rPr>
                      <w:rFonts w:cs="Arial"/>
                      <w:b/>
                      <w:bCs/>
                      <w:sz w:val="16"/>
                      <w:szCs w:val="16"/>
                    </w:rPr>
                    <w:t>ETAPE</w:t>
                  </w:r>
                </w:p>
              </w:tc>
              <w:tc>
                <w:tcPr>
                  <w:tcW w:w="7813" w:type="dxa"/>
                  <w:shd w:val="clear" w:color="auto" w:fill="D9D9D9" w:themeFill="background1" w:themeFillShade="D9"/>
                  <w:vAlign w:val="center"/>
                </w:tcPr>
                <w:p w14:paraId="151629D8" w14:textId="77777777" w:rsidR="00844B26" w:rsidRPr="00784BC3" w:rsidRDefault="00844B26" w:rsidP="0050455A">
                  <w:pPr>
                    <w:framePr w:hSpace="180" w:wrap="around" w:vAnchor="page" w:hAnchor="margin" w:y="1531"/>
                    <w:jc w:val="both"/>
                    <w:rPr>
                      <w:rFonts w:cs="Arial"/>
                      <w:b/>
                      <w:bCs/>
                      <w:sz w:val="16"/>
                      <w:szCs w:val="16"/>
                    </w:rPr>
                  </w:pPr>
                  <w:r w:rsidRPr="00784BC3">
                    <w:rPr>
                      <w:rFonts w:cs="Arial"/>
                      <w:b/>
                      <w:bCs/>
                      <w:sz w:val="16"/>
                      <w:szCs w:val="16"/>
                    </w:rPr>
                    <w:t>CRITERES</w:t>
                  </w:r>
                </w:p>
              </w:tc>
              <w:tc>
                <w:tcPr>
                  <w:tcW w:w="705" w:type="dxa"/>
                  <w:shd w:val="clear" w:color="auto" w:fill="D9D9D9" w:themeFill="background1" w:themeFillShade="D9"/>
                  <w:vAlign w:val="center"/>
                </w:tcPr>
                <w:p w14:paraId="0E4FEEC8" w14:textId="77777777" w:rsidR="00844B26" w:rsidRPr="00784BC3" w:rsidRDefault="00844B26" w:rsidP="0050455A">
                  <w:pPr>
                    <w:framePr w:hSpace="180" w:wrap="around" w:vAnchor="page" w:hAnchor="margin" w:y="1531"/>
                    <w:jc w:val="both"/>
                    <w:rPr>
                      <w:rFonts w:cs="Arial"/>
                      <w:b/>
                      <w:bCs/>
                      <w:sz w:val="16"/>
                      <w:szCs w:val="16"/>
                    </w:rPr>
                  </w:pPr>
                  <w:r w:rsidRPr="00784BC3">
                    <w:rPr>
                      <w:rFonts w:cs="Arial"/>
                      <w:b/>
                      <w:bCs/>
                      <w:sz w:val="16"/>
                      <w:szCs w:val="16"/>
                    </w:rPr>
                    <w:t>NOTE</w:t>
                  </w:r>
                </w:p>
              </w:tc>
            </w:tr>
            <w:tr w:rsidR="00844B26" w:rsidRPr="00784BC3" w14:paraId="30BC950D" w14:textId="77777777" w:rsidTr="000C62E9">
              <w:tc>
                <w:tcPr>
                  <w:tcW w:w="1017" w:type="dxa"/>
                  <w:shd w:val="clear" w:color="auto" w:fill="D9D9D9" w:themeFill="background1" w:themeFillShade="D9"/>
                  <w:vAlign w:val="center"/>
                </w:tcPr>
                <w:p w14:paraId="208104CD" w14:textId="77777777" w:rsidR="00844B26" w:rsidRPr="00784BC3" w:rsidRDefault="00844B26" w:rsidP="0050455A">
                  <w:pPr>
                    <w:pStyle w:val="ListParagraph"/>
                    <w:framePr w:hSpace="180" w:wrap="around" w:vAnchor="page" w:hAnchor="margin" w:y="1531"/>
                    <w:numPr>
                      <w:ilvl w:val="0"/>
                      <w:numId w:val="29"/>
                    </w:numPr>
                    <w:spacing w:line="240" w:lineRule="auto"/>
                    <w:contextualSpacing w:val="0"/>
                    <w:jc w:val="both"/>
                    <w:rPr>
                      <w:rFonts w:cs="Arial"/>
                      <w:sz w:val="16"/>
                      <w:szCs w:val="16"/>
                    </w:rPr>
                  </w:pPr>
                </w:p>
              </w:tc>
              <w:tc>
                <w:tcPr>
                  <w:tcW w:w="8518" w:type="dxa"/>
                  <w:gridSpan w:val="2"/>
                  <w:shd w:val="clear" w:color="auto" w:fill="D9D9D9" w:themeFill="background1" w:themeFillShade="D9"/>
                  <w:vAlign w:val="center"/>
                </w:tcPr>
                <w:p w14:paraId="10A1F83A" w14:textId="77777777" w:rsidR="00844B26" w:rsidRPr="00784BC3" w:rsidRDefault="00844B26" w:rsidP="0050455A">
                  <w:pPr>
                    <w:framePr w:hSpace="180" w:wrap="around" w:vAnchor="page" w:hAnchor="margin" w:y="1531"/>
                    <w:jc w:val="both"/>
                    <w:rPr>
                      <w:rFonts w:cs="Arial"/>
                      <w:sz w:val="16"/>
                      <w:szCs w:val="16"/>
                    </w:rPr>
                  </w:pPr>
                  <w:r w:rsidRPr="00784BC3">
                    <w:rPr>
                      <w:rFonts w:cs="Arial"/>
                      <w:b/>
                      <w:bCs/>
                      <w:sz w:val="16"/>
                      <w:szCs w:val="16"/>
                    </w:rPr>
                    <w:t>Evaluation administrative (</w:t>
                  </w:r>
                  <w:proofErr w:type="spellStart"/>
                  <w:r w:rsidRPr="00784BC3">
                    <w:rPr>
                      <w:rFonts w:cs="Arial"/>
                      <w:b/>
                      <w:bCs/>
                      <w:sz w:val="16"/>
                      <w:szCs w:val="16"/>
                    </w:rPr>
                    <w:t>Eliminatoire</w:t>
                  </w:r>
                  <w:proofErr w:type="spellEnd"/>
                  <w:r w:rsidRPr="00784BC3">
                    <w:rPr>
                      <w:rFonts w:cs="Arial"/>
                      <w:b/>
                      <w:bCs/>
                      <w:sz w:val="16"/>
                      <w:szCs w:val="16"/>
                    </w:rPr>
                    <w:t>)</w:t>
                  </w:r>
                </w:p>
              </w:tc>
            </w:tr>
            <w:tr w:rsidR="00844B26" w:rsidRPr="00784BC3" w14:paraId="2F456AA8" w14:textId="77777777" w:rsidTr="000C62E9">
              <w:tc>
                <w:tcPr>
                  <w:tcW w:w="1017" w:type="dxa"/>
                  <w:vAlign w:val="center"/>
                </w:tcPr>
                <w:p w14:paraId="4DAECE3E" w14:textId="77777777" w:rsidR="00844B26" w:rsidRPr="00784BC3" w:rsidRDefault="00844B26" w:rsidP="0050455A">
                  <w:pPr>
                    <w:framePr w:hSpace="180" w:wrap="around" w:vAnchor="page" w:hAnchor="margin" w:y="1531"/>
                    <w:jc w:val="both"/>
                    <w:rPr>
                      <w:rFonts w:cs="Arial"/>
                      <w:sz w:val="16"/>
                      <w:szCs w:val="16"/>
                    </w:rPr>
                  </w:pPr>
                  <w:r w:rsidRPr="00784BC3">
                    <w:rPr>
                      <w:rFonts w:cs="Arial"/>
                      <w:sz w:val="16"/>
                      <w:szCs w:val="16"/>
                    </w:rPr>
                    <w:t>1-</w:t>
                  </w:r>
                  <w:proofErr w:type="gramStart"/>
                  <w:r w:rsidRPr="00784BC3">
                    <w:rPr>
                      <w:rFonts w:cs="Arial"/>
                      <w:sz w:val="16"/>
                      <w:szCs w:val="16"/>
                    </w:rPr>
                    <w:t>1 :</w:t>
                  </w:r>
                  <w:proofErr w:type="gramEnd"/>
                </w:p>
              </w:tc>
              <w:tc>
                <w:tcPr>
                  <w:tcW w:w="7813" w:type="dxa"/>
                  <w:vAlign w:val="center"/>
                </w:tcPr>
                <w:p w14:paraId="462AF50B" w14:textId="77777777" w:rsidR="00844B26" w:rsidRPr="00784BC3" w:rsidRDefault="00844B26" w:rsidP="0050455A">
                  <w:pPr>
                    <w:pStyle w:val="Default"/>
                    <w:framePr w:hSpace="180" w:wrap="around" w:vAnchor="page" w:hAnchor="margin" w:y="1531"/>
                    <w:spacing w:after="120"/>
                    <w:jc w:val="both"/>
                    <w:rPr>
                      <w:sz w:val="16"/>
                      <w:szCs w:val="16"/>
                      <w:lang w:val="fr-FR"/>
                    </w:rPr>
                  </w:pPr>
                  <w:r w:rsidRPr="00784BC3">
                    <w:rPr>
                      <w:sz w:val="16"/>
                      <w:szCs w:val="16"/>
                      <w:lang w:val="fr-FR"/>
                    </w:rPr>
                    <w:t>Conformité</w:t>
                  </w:r>
                  <w:r w:rsidRPr="00784BC3">
                    <w:rPr>
                      <w:sz w:val="16"/>
                      <w:szCs w:val="16"/>
                    </w:rPr>
                    <w:t xml:space="preserve"> administrative du dossier </w:t>
                  </w:r>
                </w:p>
              </w:tc>
              <w:tc>
                <w:tcPr>
                  <w:tcW w:w="705" w:type="dxa"/>
                  <w:vAlign w:val="center"/>
                </w:tcPr>
                <w:p w14:paraId="79077CA3" w14:textId="40754607" w:rsidR="00844B26" w:rsidRPr="00784BC3" w:rsidRDefault="00844B26" w:rsidP="0050455A">
                  <w:pPr>
                    <w:framePr w:hSpace="180" w:wrap="around" w:vAnchor="page" w:hAnchor="margin" w:y="1531"/>
                    <w:jc w:val="both"/>
                    <w:rPr>
                      <w:rFonts w:cs="Arial"/>
                      <w:sz w:val="16"/>
                      <w:szCs w:val="16"/>
                    </w:rPr>
                  </w:pPr>
                  <w:r w:rsidRPr="00784BC3">
                    <w:rPr>
                      <w:rFonts w:cs="Arial"/>
                      <w:sz w:val="16"/>
                      <w:szCs w:val="16"/>
                    </w:rPr>
                    <w:t>NON</w:t>
                  </w:r>
                </w:p>
              </w:tc>
            </w:tr>
            <w:tr w:rsidR="00844B26" w:rsidRPr="0050455A" w14:paraId="73684E86" w14:textId="77777777" w:rsidTr="000C62E9">
              <w:tc>
                <w:tcPr>
                  <w:tcW w:w="1017" w:type="dxa"/>
                  <w:shd w:val="clear" w:color="auto" w:fill="D9D9D9" w:themeFill="background1" w:themeFillShade="D9"/>
                  <w:vAlign w:val="center"/>
                </w:tcPr>
                <w:p w14:paraId="1519892C" w14:textId="77777777" w:rsidR="00844B26" w:rsidRPr="00784BC3" w:rsidRDefault="00844B26" w:rsidP="0050455A">
                  <w:pPr>
                    <w:pStyle w:val="ListParagraph"/>
                    <w:framePr w:hSpace="180" w:wrap="around" w:vAnchor="page" w:hAnchor="margin" w:y="1531"/>
                    <w:numPr>
                      <w:ilvl w:val="0"/>
                      <w:numId w:val="29"/>
                    </w:numPr>
                    <w:spacing w:line="240" w:lineRule="auto"/>
                    <w:contextualSpacing w:val="0"/>
                    <w:jc w:val="both"/>
                    <w:rPr>
                      <w:rFonts w:cs="Arial"/>
                      <w:sz w:val="16"/>
                      <w:szCs w:val="16"/>
                    </w:rPr>
                  </w:pPr>
                </w:p>
              </w:tc>
              <w:tc>
                <w:tcPr>
                  <w:tcW w:w="8518" w:type="dxa"/>
                  <w:gridSpan w:val="2"/>
                  <w:shd w:val="clear" w:color="auto" w:fill="D9D9D9" w:themeFill="background1" w:themeFillShade="D9"/>
                  <w:vAlign w:val="center"/>
                </w:tcPr>
                <w:p w14:paraId="0FB0242B" w14:textId="77777777" w:rsidR="00844B26" w:rsidRPr="00784BC3" w:rsidRDefault="00844B26" w:rsidP="0050455A">
                  <w:pPr>
                    <w:framePr w:hSpace="180" w:wrap="around" w:vAnchor="page" w:hAnchor="margin" w:y="1531"/>
                    <w:jc w:val="both"/>
                    <w:rPr>
                      <w:rFonts w:cs="Arial"/>
                      <w:sz w:val="16"/>
                      <w:szCs w:val="16"/>
                      <w:lang w:val="fr-FR"/>
                    </w:rPr>
                  </w:pPr>
                  <w:r w:rsidRPr="00784BC3">
                    <w:rPr>
                      <w:rFonts w:cs="Arial"/>
                      <w:b/>
                      <w:bCs/>
                      <w:sz w:val="16"/>
                      <w:szCs w:val="16"/>
                      <w:lang w:val="fr-FR"/>
                    </w:rPr>
                    <w:t xml:space="preserve">Evaluation technique (70 points, seuil éliminatoire 45 points) </w:t>
                  </w:r>
                </w:p>
              </w:tc>
            </w:tr>
            <w:tr w:rsidR="00844B26" w:rsidRPr="00784BC3" w14:paraId="36B496A4" w14:textId="77777777" w:rsidTr="000C62E9">
              <w:tc>
                <w:tcPr>
                  <w:tcW w:w="1017" w:type="dxa"/>
                  <w:vAlign w:val="center"/>
                </w:tcPr>
                <w:p w14:paraId="039960C5" w14:textId="77777777" w:rsidR="00844B26" w:rsidRPr="00784BC3" w:rsidRDefault="00844B26" w:rsidP="0050455A">
                  <w:pPr>
                    <w:framePr w:hSpace="180" w:wrap="around" w:vAnchor="page" w:hAnchor="margin" w:y="1531"/>
                    <w:jc w:val="both"/>
                    <w:rPr>
                      <w:rFonts w:cs="Arial"/>
                      <w:sz w:val="16"/>
                      <w:szCs w:val="16"/>
                    </w:rPr>
                  </w:pPr>
                  <w:r w:rsidRPr="00784BC3">
                    <w:rPr>
                      <w:rFonts w:cs="Arial"/>
                      <w:sz w:val="16"/>
                      <w:szCs w:val="16"/>
                    </w:rPr>
                    <w:t>2-</w:t>
                  </w:r>
                  <w:proofErr w:type="gramStart"/>
                  <w:r w:rsidRPr="00784BC3">
                    <w:rPr>
                      <w:rFonts w:cs="Arial"/>
                      <w:sz w:val="16"/>
                      <w:szCs w:val="16"/>
                    </w:rPr>
                    <w:t>1 :</w:t>
                  </w:r>
                  <w:proofErr w:type="gramEnd"/>
                  <w:r w:rsidRPr="00784BC3">
                    <w:rPr>
                      <w:rFonts w:cs="Arial"/>
                      <w:sz w:val="16"/>
                      <w:szCs w:val="16"/>
                    </w:rPr>
                    <w:t xml:space="preserve"> </w:t>
                  </w:r>
                </w:p>
              </w:tc>
              <w:tc>
                <w:tcPr>
                  <w:tcW w:w="7813" w:type="dxa"/>
                  <w:vAlign w:val="center"/>
                </w:tcPr>
                <w:p w14:paraId="2E22233C" w14:textId="77777777" w:rsidR="00844B26" w:rsidRPr="00784BC3" w:rsidRDefault="00844B26" w:rsidP="0050455A">
                  <w:pPr>
                    <w:framePr w:hSpace="180" w:wrap="around" w:vAnchor="page" w:hAnchor="margin" w:y="1531"/>
                    <w:spacing w:after="120"/>
                    <w:jc w:val="both"/>
                    <w:rPr>
                      <w:rFonts w:cs="Arial"/>
                      <w:b/>
                      <w:bCs/>
                      <w:sz w:val="16"/>
                      <w:szCs w:val="16"/>
                      <w:lang w:val="fr-FR"/>
                    </w:rPr>
                  </w:pPr>
                  <w:r w:rsidRPr="00784BC3">
                    <w:rPr>
                      <w:rFonts w:cs="Arial"/>
                      <w:color w:val="333333"/>
                      <w:sz w:val="16"/>
                      <w:szCs w:val="16"/>
                      <w:lang w:val="fr-FR"/>
                    </w:rPr>
                    <w:t>Master (Bac+5) dans un des domaines suivants : Hydrologie, géologie, ingénierie mécanique, Sciences politiques, sciences sociales, sciences économiques, santé publique, hydraulique, assainissement ou équivalent</w:t>
                  </w:r>
                </w:p>
              </w:tc>
              <w:tc>
                <w:tcPr>
                  <w:tcW w:w="705" w:type="dxa"/>
                  <w:vAlign w:val="center"/>
                </w:tcPr>
                <w:p w14:paraId="6EAE7B14" w14:textId="77777777" w:rsidR="00844B26" w:rsidRPr="00784BC3" w:rsidRDefault="00844B26" w:rsidP="0050455A">
                  <w:pPr>
                    <w:framePr w:hSpace="180" w:wrap="around" w:vAnchor="page" w:hAnchor="margin" w:y="1531"/>
                    <w:jc w:val="both"/>
                    <w:rPr>
                      <w:rFonts w:cs="Arial"/>
                      <w:sz w:val="16"/>
                      <w:szCs w:val="16"/>
                    </w:rPr>
                  </w:pPr>
                  <w:r w:rsidRPr="00784BC3">
                    <w:rPr>
                      <w:rFonts w:cs="Arial"/>
                      <w:sz w:val="16"/>
                      <w:szCs w:val="16"/>
                    </w:rPr>
                    <w:t>10</w:t>
                  </w:r>
                </w:p>
              </w:tc>
            </w:tr>
            <w:tr w:rsidR="00844B26" w:rsidRPr="00784BC3" w14:paraId="7458A765" w14:textId="77777777" w:rsidTr="000C62E9">
              <w:tc>
                <w:tcPr>
                  <w:tcW w:w="1017" w:type="dxa"/>
                  <w:vAlign w:val="center"/>
                </w:tcPr>
                <w:p w14:paraId="4903EC77" w14:textId="77777777" w:rsidR="00844B26" w:rsidRPr="00784BC3" w:rsidRDefault="00844B26" w:rsidP="0050455A">
                  <w:pPr>
                    <w:framePr w:hSpace="180" w:wrap="around" w:vAnchor="page" w:hAnchor="margin" w:y="1531"/>
                    <w:jc w:val="both"/>
                    <w:rPr>
                      <w:rFonts w:cs="Arial"/>
                      <w:sz w:val="16"/>
                      <w:szCs w:val="16"/>
                    </w:rPr>
                  </w:pPr>
                  <w:r w:rsidRPr="00784BC3">
                    <w:rPr>
                      <w:rFonts w:cs="Arial"/>
                      <w:sz w:val="16"/>
                      <w:szCs w:val="16"/>
                    </w:rPr>
                    <w:t>2-</w:t>
                  </w:r>
                  <w:proofErr w:type="gramStart"/>
                  <w:r w:rsidRPr="00784BC3">
                    <w:rPr>
                      <w:rFonts w:cs="Arial"/>
                      <w:sz w:val="16"/>
                      <w:szCs w:val="16"/>
                    </w:rPr>
                    <w:t>2 :</w:t>
                  </w:r>
                  <w:proofErr w:type="gramEnd"/>
                </w:p>
              </w:tc>
              <w:tc>
                <w:tcPr>
                  <w:tcW w:w="7813" w:type="dxa"/>
                  <w:vAlign w:val="center"/>
                </w:tcPr>
                <w:p w14:paraId="369377BC" w14:textId="0C68CBB3" w:rsidR="00844B26" w:rsidRPr="00784BC3" w:rsidRDefault="000C62E9" w:rsidP="0050455A">
                  <w:pPr>
                    <w:framePr w:hSpace="180" w:wrap="around" w:vAnchor="page" w:hAnchor="margin" w:y="1531"/>
                    <w:spacing w:line="236" w:lineRule="auto"/>
                    <w:ind w:right="20"/>
                    <w:jc w:val="both"/>
                    <w:rPr>
                      <w:rFonts w:eastAsia="Arial" w:cs="Arial"/>
                      <w:b/>
                      <w:bCs/>
                      <w:sz w:val="16"/>
                      <w:szCs w:val="16"/>
                    </w:rPr>
                  </w:pPr>
                  <w:r w:rsidRPr="00784BC3">
                    <w:rPr>
                      <w:rFonts w:eastAsia="Arial" w:cs="Arial"/>
                      <w:b/>
                      <w:bCs/>
                      <w:sz w:val="16"/>
                      <w:szCs w:val="16"/>
                    </w:rPr>
                    <w:t>Experience</w:t>
                  </w:r>
                </w:p>
                <w:p w14:paraId="52652D5B" w14:textId="69338F1A" w:rsidR="00844B26" w:rsidRPr="00784BC3" w:rsidRDefault="00844B26" w:rsidP="0050455A">
                  <w:pPr>
                    <w:pStyle w:val="ListParagraph"/>
                    <w:framePr w:hSpace="180" w:wrap="around" w:vAnchor="page" w:hAnchor="margin" w:y="1531"/>
                    <w:numPr>
                      <w:ilvl w:val="0"/>
                      <w:numId w:val="30"/>
                    </w:numPr>
                    <w:spacing w:line="236" w:lineRule="auto"/>
                    <w:ind w:right="20"/>
                    <w:contextualSpacing w:val="0"/>
                    <w:jc w:val="both"/>
                    <w:rPr>
                      <w:rFonts w:eastAsia="Arial" w:cs="Arial"/>
                      <w:b/>
                      <w:bCs/>
                      <w:sz w:val="16"/>
                      <w:szCs w:val="16"/>
                      <w:lang w:val="fr-FR"/>
                    </w:rPr>
                  </w:pPr>
                  <w:r w:rsidRPr="00784BC3">
                    <w:rPr>
                      <w:rFonts w:eastAsia="Arial" w:cs="Arial"/>
                      <w:sz w:val="16"/>
                      <w:szCs w:val="16"/>
                      <w:lang w:val="fr-FR"/>
                    </w:rPr>
                    <w:t xml:space="preserve">Avoir une expérience de </w:t>
                  </w:r>
                  <w:r w:rsidR="004C5D45">
                    <w:rPr>
                      <w:rFonts w:eastAsia="Arial" w:cs="Arial"/>
                      <w:sz w:val="16"/>
                      <w:szCs w:val="16"/>
                      <w:lang w:val="fr-FR"/>
                    </w:rPr>
                    <w:t>2</w:t>
                  </w:r>
                  <w:r w:rsidRPr="00784BC3">
                    <w:rPr>
                      <w:rFonts w:eastAsia="Arial" w:cs="Arial"/>
                      <w:sz w:val="16"/>
                      <w:szCs w:val="16"/>
                      <w:lang w:val="fr-FR"/>
                    </w:rPr>
                    <w:t xml:space="preserve"> ans ou plus </w:t>
                  </w:r>
                  <w:r w:rsidRPr="00784BC3">
                    <w:rPr>
                      <w:rFonts w:cs="Arial"/>
                      <w:sz w:val="16"/>
                      <w:szCs w:val="16"/>
                      <w:lang w:val="fr-FR"/>
                    </w:rPr>
                    <w:t xml:space="preserve">en matière de gouvernance et pérennisation du secteur </w:t>
                  </w:r>
                  <w:proofErr w:type="gramStart"/>
                  <w:r w:rsidRPr="00784BC3">
                    <w:rPr>
                      <w:rFonts w:cs="Arial"/>
                      <w:sz w:val="16"/>
                      <w:szCs w:val="16"/>
                      <w:lang w:val="fr-FR"/>
                    </w:rPr>
                    <w:t>EAH</w:t>
                  </w:r>
                  <w:r w:rsidRPr="00784BC3">
                    <w:rPr>
                      <w:rFonts w:eastAsia="Arial" w:cs="Arial"/>
                      <w:sz w:val="16"/>
                      <w:szCs w:val="16"/>
                      <w:lang w:val="fr-FR"/>
                    </w:rPr>
                    <w:t>:</w:t>
                  </w:r>
                  <w:proofErr w:type="gramEnd"/>
                  <w:r w:rsidRPr="00784BC3">
                    <w:rPr>
                      <w:rFonts w:eastAsia="Arial" w:cs="Arial"/>
                      <w:sz w:val="16"/>
                      <w:szCs w:val="16"/>
                      <w:lang w:val="fr-FR"/>
                    </w:rPr>
                    <w:t xml:space="preserve"> </w:t>
                  </w:r>
                  <w:r w:rsidRPr="00784BC3">
                    <w:rPr>
                      <w:rFonts w:eastAsia="Arial" w:cs="Arial"/>
                      <w:b/>
                      <w:bCs/>
                      <w:sz w:val="16"/>
                      <w:szCs w:val="16"/>
                      <w:lang w:val="fr-FR"/>
                    </w:rPr>
                    <w:t>(10 points)</w:t>
                  </w:r>
                </w:p>
                <w:p w14:paraId="0E89CF88" w14:textId="77777777" w:rsidR="00844B26" w:rsidRPr="00784BC3" w:rsidRDefault="00844B26" w:rsidP="0050455A">
                  <w:pPr>
                    <w:pStyle w:val="ListParagraph"/>
                    <w:framePr w:hSpace="180" w:wrap="around" w:vAnchor="page" w:hAnchor="margin" w:y="1531"/>
                    <w:numPr>
                      <w:ilvl w:val="0"/>
                      <w:numId w:val="30"/>
                    </w:numPr>
                    <w:spacing w:line="234" w:lineRule="auto"/>
                    <w:contextualSpacing w:val="0"/>
                    <w:jc w:val="both"/>
                    <w:rPr>
                      <w:rFonts w:eastAsia="Arial" w:cs="Arial"/>
                      <w:sz w:val="16"/>
                      <w:szCs w:val="16"/>
                      <w:lang w:val="fr-FR"/>
                    </w:rPr>
                  </w:pPr>
                  <w:r w:rsidRPr="00784BC3">
                    <w:rPr>
                      <w:rFonts w:eastAsia="Arial" w:cs="Arial"/>
                      <w:sz w:val="16"/>
                      <w:szCs w:val="16"/>
                      <w:lang w:val="fr-FR"/>
                    </w:rPr>
                    <w:t xml:space="preserve">Compréhension des mécanismes de gestion privée des infrastructures publiques notamment de l’approvisionnement en eau et ouvrages d’assainissement </w:t>
                  </w:r>
                  <w:r w:rsidRPr="00784BC3">
                    <w:rPr>
                      <w:rFonts w:eastAsia="Arial" w:cs="Arial"/>
                      <w:b/>
                      <w:bCs/>
                      <w:sz w:val="16"/>
                      <w:szCs w:val="16"/>
                      <w:lang w:val="fr-FR"/>
                    </w:rPr>
                    <w:t>(10 points)</w:t>
                  </w:r>
                  <w:r w:rsidRPr="00784BC3">
                    <w:rPr>
                      <w:rFonts w:eastAsia="Arial" w:cs="Arial"/>
                      <w:sz w:val="16"/>
                      <w:szCs w:val="16"/>
                      <w:lang w:val="fr-FR"/>
                    </w:rPr>
                    <w:t xml:space="preserve"> </w:t>
                  </w:r>
                </w:p>
                <w:p w14:paraId="57EB5538" w14:textId="77777777" w:rsidR="00844B26" w:rsidRPr="00784BC3" w:rsidRDefault="00844B26" w:rsidP="0050455A">
                  <w:pPr>
                    <w:pStyle w:val="ListParagraph"/>
                    <w:framePr w:hSpace="180" w:wrap="around" w:vAnchor="page" w:hAnchor="margin" w:y="1531"/>
                    <w:numPr>
                      <w:ilvl w:val="0"/>
                      <w:numId w:val="30"/>
                    </w:numPr>
                    <w:spacing w:line="236" w:lineRule="auto"/>
                    <w:ind w:right="20"/>
                    <w:contextualSpacing w:val="0"/>
                    <w:jc w:val="both"/>
                    <w:rPr>
                      <w:rFonts w:eastAsia="Arial" w:cs="Arial"/>
                      <w:b/>
                      <w:bCs/>
                      <w:sz w:val="16"/>
                      <w:szCs w:val="16"/>
                      <w:lang w:val="fr-FR"/>
                    </w:rPr>
                  </w:pPr>
                  <w:r w:rsidRPr="00784BC3">
                    <w:rPr>
                      <w:rFonts w:eastAsia="Arial" w:cs="Arial"/>
                      <w:sz w:val="16"/>
                      <w:szCs w:val="16"/>
                      <w:lang w:val="fr-FR"/>
                    </w:rPr>
                    <w:t xml:space="preserve">Avoir une expérience de 5 ans ou plus dans la coordination des activités WASH avec les partenaires étatiques à </w:t>
                  </w:r>
                  <w:proofErr w:type="gramStart"/>
                  <w:r w:rsidRPr="00784BC3">
                    <w:rPr>
                      <w:rFonts w:eastAsia="Arial" w:cs="Arial"/>
                      <w:sz w:val="16"/>
                      <w:szCs w:val="16"/>
                      <w:lang w:val="fr-FR"/>
                    </w:rPr>
                    <w:t>Madagascar:</w:t>
                  </w:r>
                  <w:proofErr w:type="gramEnd"/>
                  <w:r w:rsidRPr="00784BC3">
                    <w:rPr>
                      <w:rFonts w:eastAsia="Arial" w:cs="Arial"/>
                      <w:sz w:val="16"/>
                      <w:szCs w:val="16"/>
                      <w:lang w:val="fr-FR"/>
                    </w:rPr>
                    <w:t xml:space="preserve"> </w:t>
                  </w:r>
                  <w:r w:rsidRPr="00784BC3">
                    <w:rPr>
                      <w:rFonts w:eastAsia="Arial" w:cs="Arial"/>
                      <w:b/>
                      <w:bCs/>
                      <w:sz w:val="16"/>
                      <w:szCs w:val="16"/>
                      <w:lang w:val="fr-FR"/>
                    </w:rPr>
                    <w:t>(5 points)</w:t>
                  </w:r>
                </w:p>
                <w:p w14:paraId="7A3123C0" w14:textId="77D47D23" w:rsidR="00844B26" w:rsidRPr="00784BC3" w:rsidRDefault="00844B26" w:rsidP="0050455A">
                  <w:pPr>
                    <w:pStyle w:val="ListParagraph"/>
                    <w:framePr w:hSpace="180" w:wrap="around" w:vAnchor="page" w:hAnchor="margin" w:y="1531"/>
                    <w:numPr>
                      <w:ilvl w:val="0"/>
                      <w:numId w:val="30"/>
                    </w:numPr>
                    <w:spacing w:line="234" w:lineRule="auto"/>
                    <w:ind w:right="180"/>
                    <w:contextualSpacing w:val="0"/>
                    <w:jc w:val="both"/>
                    <w:rPr>
                      <w:rFonts w:eastAsia="Arial" w:cs="Arial"/>
                      <w:sz w:val="16"/>
                      <w:szCs w:val="16"/>
                      <w:lang w:val="fr-FR"/>
                    </w:rPr>
                  </w:pPr>
                  <w:r w:rsidRPr="00784BC3">
                    <w:rPr>
                      <w:rFonts w:eastAsia="Arial" w:cs="Arial"/>
                      <w:sz w:val="16"/>
                      <w:szCs w:val="16"/>
                      <w:lang w:val="fr-FR"/>
                    </w:rPr>
                    <w:t xml:space="preserve">Compréhension des textes réglementaires en vigueur dans le secteur WASH à Madagascar </w:t>
                  </w:r>
                  <w:r w:rsidRPr="00784BC3">
                    <w:rPr>
                      <w:rFonts w:eastAsia="Arial" w:cs="Arial"/>
                      <w:b/>
                      <w:bCs/>
                      <w:sz w:val="16"/>
                      <w:szCs w:val="16"/>
                      <w:lang w:val="fr-FR"/>
                    </w:rPr>
                    <w:t>(5 points)</w:t>
                  </w:r>
                  <w:r w:rsidRPr="00784BC3">
                    <w:rPr>
                      <w:rFonts w:eastAsia="Arial" w:cs="Arial"/>
                      <w:sz w:val="16"/>
                      <w:szCs w:val="16"/>
                      <w:lang w:val="fr-FR"/>
                    </w:rPr>
                    <w:t xml:space="preserve"> </w:t>
                  </w:r>
                </w:p>
                <w:p w14:paraId="4A3577DB" w14:textId="77777777" w:rsidR="00844B26" w:rsidRPr="00784BC3" w:rsidRDefault="00844B26" w:rsidP="0050455A">
                  <w:pPr>
                    <w:pStyle w:val="ListParagraph"/>
                    <w:framePr w:hSpace="180" w:wrap="around" w:vAnchor="page" w:hAnchor="margin" w:y="1531"/>
                    <w:numPr>
                      <w:ilvl w:val="0"/>
                      <w:numId w:val="30"/>
                    </w:numPr>
                    <w:spacing w:line="234" w:lineRule="auto"/>
                    <w:ind w:right="20"/>
                    <w:contextualSpacing w:val="0"/>
                    <w:jc w:val="both"/>
                    <w:rPr>
                      <w:rFonts w:eastAsia="Arial" w:cs="Arial"/>
                      <w:b/>
                      <w:bCs/>
                      <w:sz w:val="16"/>
                      <w:szCs w:val="16"/>
                      <w:lang w:val="fr-FR"/>
                    </w:rPr>
                  </w:pPr>
                  <w:r w:rsidRPr="00784BC3">
                    <w:rPr>
                      <w:rFonts w:eastAsia="Arial" w:cs="Arial"/>
                      <w:sz w:val="16"/>
                      <w:szCs w:val="16"/>
                      <w:lang w:val="fr-FR"/>
                    </w:rPr>
                    <w:lastRenderedPageBreak/>
                    <w:t xml:space="preserve">Expériences en termes de gestion de données et suivi </w:t>
                  </w:r>
                  <w:proofErr w:type="gramStart"/>
                  <w:r w:rsidRPr="00784BC3">
                    <w:rPr>
                      <w:rFonts w:eastAsia="Arial" w:cs="Arial"/>
                      <w:sz w:val="16"/>
                      <w:szCs w:val="16"/>
                      <w:lang w:val="fr-FR"/>
                    </w:rPr>
                    <w:t xml:space="preserve">évaluation  </w:t>
                  </w:r>
                  <w:r w:rsidRPr="00784BC3">
                    <w:rPr>
                      <w:rFonts w:eastAsia="Arial" w:cs="Arial"/>
                      <w:b/>
                      <w:bCs/>
                      <w:sz w:val="16"/>
                      <w:szCs w:val="16"/>
                      <w:lang w:val="fr-FR"/>
                    </w:rPr>
                    <w:t>(</w:t>
                  </w:r>
                  <w:proofErr w:type="gramEnd"/>
                  <w:r w:rsidRPr="00784BC3">
                    <w:rPr>
                      <w:rFonts w:eastAsia="Arial" w:cs="Arial"/>
                      <w:b/>
                      <w:bCs/>
                      <w:sz w:val="16"/>
                      <w:szCs w:val="16"/>
                      <w:lang w:val="fr-FR"/>
                    </w:rPr>
                    <w:t xml:space="preserve">5 points) ; </w:t>
                  </w:r>
                </w:p>
                <w:p w14:paraId="0043F730" w14:textId="77777777" w:rsidR="00844B26" w:rsidRPr="00784BC3" w:rsidRDefault="00844B26" w:rsidP="0050455A">
                  <w:pPr>
                    <w:pStyle w:val="ListParagraph"/>
                    <w:framePr w:hSpace="180" w:wrap="around" w:vAnchor="page" w:hAnchor="margin" w:y="1531"/>
                    <w:numPr>
                      <w:ilvl w:val="0"/>
                      <w:numId w:val="30"/>
                    </w:numPr>
                    <w:spacing w:line="234" w:lineRule="auto"/>
                    <w:ind w:right="20"/>
                    <w:contextualSpacing w:val="0"/>
                    <w:jc w:val="both"/>
                    <w:rPr>
                      <w:rFonts w:eastAsia="Arial" w:cs="Arial"/>
                      <w:b/>
                      <w:bCs/>
                      <w:sz w:val="16"/>
                      <w:szCs w:val="16"/>
                      <w:lang w:val="fr-FR"/>
                    </w:rPr>
                  </w:pPr>
                  <w:r w:rsidRPr="00784BC3">
                    <w:rPr>
                      <w:rFonts w:eastAsia="Arial" w:cs="Arial"/>
                      <w:sz w:val="16"/>
                      <w:szCs w:val="16"/>
                      <w:lang w:val="fr-FR"/>
                    </w:rPr>
                    <w:t>Expérience en matière d’appui aux communes (maitrise d’ouvrage et service technique)</w:t>
                  </w:r>
                  <w:r w:rsidRPr="00784BC3">
                    <w:rPr>
                      <w:rFonts w:eastAsia="Arial" w:cs="Arial"/>
                      <w:b/>
                      <w:bCs/>
                      <w:sz w:val="16"/>
                      <w:szCs w:val="16"/>
                      <w:lang w:val="fr-FR"/>
                    </w:rPr>
                    <w:t> (5 points)</w:t>
                  </w:r>
                </w:p>
                <w:p w14:paraId="4A6E8BC2" w14:textId="77777777" w:rsidR="00844B26" w:rsidRPr="00784BC3" w:rsidRDefault="00844B26" w:rsidP="0050455A">
                  <w:pPr>
                    <w:pStyle w:val="ListParagraph"/>
                    <w:framePr w:hSpace="180" w:wrap="around" w:vAnchor="page" w:hAnchor="margin" w:y="1531"/>
                    <w:spacing w:line="234" w:lineRule="auto"/>
                    <w:ind w:right="20"/>
                    <w:jc w:val="both"/>
                    <w:rPr>
                      <w:rFonts w:eastAsia="Arial" w:cs="Arial"/>
                      <w:sz w:val="16"/>
                      <w:szCs w:val="16"/>
                      <w:lang w:val="fr-FR"/>
                    </w:rPr>
                  </w:pPr>
                </w:p>
              </w:tc>
              <w:tc>
                <w:tcPr>
                  <w:tcW w:w="705" w:type="dxa"/>
                  <w:vAlign w:val="center"/>
                </w:tcPr>
                <w:p w14:paraId="0DF46879" w14:textId="77777777" w:rsidR="00844B26" w:rsidRPr="00784BC3" w:rsidRDefault="00844B26" w:rsidP="0050455A">
                  <w:pPr>
                    <w:framePr w:hSpace="180" w:wrap="around" w:vAnchor="page" w:hAnchor="margin" w:y="1531"/>
                    <w:jc w:val="both"/>
                    <w:rPr>
                      <w:rFonts w:cs="Arial"/>
                      <w:sz w:val="16"/>
                      <w:szCs w:val="16"/>
                    </w:rPr>
                  </w:pPr>
                  <w:r w:rsidRPr="00784BC3">
                    <w:rPr>
                      <w:rFonts w:cs="Arial"/>
                      <w:sz w:val="16"/>
                      <w:szCs w:val="16"/>
                    </w:rPr>
                    <w:lastRenderedPageBreak/>
                    <w:t>40</w:t>
                  </w:r>
                </w:p>
              </w:tc>
            </w:tr>
            <w:tr w:rsidR="00844B26" w:rsidRPr="00784BC3" w14:paraId="03D57245" w14:textId="77777777" w:rsidTr="000C62E9">
              <w:tc>
                <w:tcPr>
                  <w:tcW w:w="1017" w:type="dxa"/>
                  <w:vAlign w:val="center"/>
                </w:tcPr>
                <w:p w14:paraId="081ACBCD" w14:textId="77777777" w:rsidR="00844B26" w:rsidRPr="00784BC3" w:rsidRDefault="00844B26" w:rsidP="0050455A">
                  <w:pPr>
                    <w:framePr w:hSpace="180" w:wrap="around" w:vAnchor="page" w:hAnchor="margin" w:y="1531"/>
                    <w:jc w:val="both"/>
                    <w:rPr>
                      <w:rFonts w:cs="Arial"/>
                      <w:sz w:val="16"/>
                      <w:szCs w:val="16"/>
                    </w:rPr>
                  </w:pPr>
                  <w:r w:rsidRPr="00784BC3">
                    <w:rPr>
                      <w:rFonts w:cs="Arial"/>
                      <w:sz w:val="16"/>
                      <w:szCs w:val="16"/>
                    </w:rPr>
                    <w:t>2-</w:t>
                  </w:r>
                  <w:proofErr w:type="gramStart"/>
                  <w:r w:rsidRPr="00784BC3">
                    <w:rPr>
                      <w:rFonts w:cs="Arial"/>
                      <w:sz w:val="16"/>
                      <w:szCs w:val="16"/>
                    </w:rPr>
                    <w:t>3 :</w:t>
                  </w:r>
                  <w:proofErr w:type="gramEnd"/>
                </w:p>
              </w:tc>
              <w:tc>
                <w:tcPr>
                  <w:tcW w:w="7813" w:type="dxa"/>
                  <w:vAlign w:val="center"/>
                </w:tcPr>
                <w:p w14:paraId="07091F90" w14:textId="77777777" w:rsidR="00844B26" w:rsidRPr="00784BC3" w:rsidRDefault="00844B26" w:rsidP="0050455A">
                  <w:pPr>
                    <w:pStyle w:val="ListParagraph"/>
                    <w:framePr w:hSpace="180" w:wrap="around" w:vAnchor="page" w:hAnchor="margin" w:y="1531"/>
                    <w:numPr>
                      <w:ilvl w:val="0"/>
                      <w:numId w:val="30"/>
                    </w:numPr>
                    <w:spacing w:line="236" w:lineRule="auto"/>
                    <w:ind w:right="20"/>
                    <w:contextualSpacing w:val="0"/>
                    <w:jc w:val="both"/>
                    <w:rPr>
                      <w:rFonts w:eastAsia="Arial" w:cs="Arial"/>
                      <w:sz w:val="16"/>
                      <w:szCs w:val="16"/>
                      <w:lang w:val="fr-FR"/>
                    </w:rPr>
                  </w:pPr>
                  <w:r w:rsidRPr="00784BC3">
                    <w:rPr>
                      <w:rFonts w:eastAsia="Arial" w:cs="Arial"/>
                      <w:sz w:val="16"/>
                      <w:szCs w:val="16"/>
                      <w:lang w:val="fr-FR"/>
                    </w:rPr>
                    <w:t xml:space="preserve">Expérience dans le suivi et supervision de projets </w:t>
                  </w:r>
                  <w:r w:rsidRPr="00784BC3">
                    <w:rPr>
                      <w:rFonts w:eastAsia="Arial" w:cs="Arial"/>
                      <w:b/>
                      <w:bCs/>
                      <w:sz w:val="16"/>
                      <w:szCs w:val="16"/>
                      <w:lang w:val="fr-FR"/>
                    </w:rPr>
                    <w:t>(3 points)</w:t>
                  </w:r>
                  <w:r w:rsidRPr="00784BC3">
                    <w:rPr>
                      <w:rFonts w:eastAsia="Arial" w:cs="Arial"/>
                      <w:sz w:val="16"/>
                      <w:szCs w:val="16"/>
                      <w:lang w:val="fr-FR"/>
                    </w:rPr>
                    <w:t xml:space="preserve">  </w:t>
                  </w:r>
                </w:p>
                <w:p w14:paraId="040C919C" w14:textId="77777777" w:rsidR="00844B26" w:rsidRPr="00784BC3" w:rsidRDefault="00844B26" w:rsidP="0050455A">
                  <w:pPr>
                    <w:pStyle w:val="ListParagraph"/>
                    <w:framePr w:hSpace="180" w:wrap="around" w:vAnchor="page" w:hAnchor="margin" w:y="1531"/>
                    <w:numPr>
                      <w:ilvl w:val="0"/>
                      <w:numId w:val="30"/>
                    </w:numPr>
                    <w:spacing w:line="236" w:lineRule="auto"/>
                    <w:ind w:right="20"/>
                    <w:contextualSpacing w:val="0"/>
                    <w:jc w:val="both"/>
                    <w:rPr>
                      <w:rFonts w:eastAsia="Arial" w:cs="Arial"/>
                      <w:sz w:val="16"/>
                      <w:szCs w:val="16"/>
                      <w:lang w:val="fr-FR"/>
                    </w:rPr>
                  </w:pPr>
                  <w:r w:rsidRPr="00784BC3">
                    <w:rPr>
                      <w:rFonts w:eastAsia="Arial" w:cs="Arial"/>
                      <w:sz w:val="16"/>
                      <w:szCs w:val="16"/>
                      <w:lang w:val="fr-FR"/>
                    </w:rPr>
                    <w:t xml:space="preserve">Capacité de réflexion stratégique et de planification ; </w:t>
                  </w:r>
                  <w:r w:rsidRPr="00784BC3">
                    <w:rPr>
                      <w:rFonts w:eastAsia="Arial" w:cs="Arial"/>
                      <w:b/>
                      <w:bCs/>
                      <w:sz w:val="16"/>
                      <w:szCs w:val="16"/>
                      <w:lang w:val="fr-FR"/>
                    </w:rPr>
                    <w:t>(3 points)</w:t>
                  </w:r>
                  <w:r w:rsidRPr="00784BC3">
                    <w:rPr>
                      <w:rFonts w:eastAsia="Arial" w:cs="Arial"/>
                      <w:sz w:val="16"/>
                      <w:szCs w:val="16"/>
                      <w:lang w:val="fr-FR"/>
                    </w:rPr>
                    <w:t xml:space="preserve"> ;</w:t>
                  </w:r>
                </w:p>
                <w:p w14:paraId="713ACD49" w14:textId="77777777" w:rsidR="00844B26" w:rsidRPr="00784BC3" w:rsidRDefault="00844B26" w:rsidP="0050455A">
                  <w:pPr>
                    <w:pStyle w:val="ListParagraph"/>
                    <w:framePr w:hSpace="180" w:wrap="around" w:vAnchor="page" w:hAnchor="margin" w:y="1531"/>
                    <w:numPr>
                      <w:ilvl w:val="0"/>
                      <w:numId w:val="30"/>
                    </w:numPr>
                    <w:spacing w:line="236" w:lineRule="auto"/>
                    <w:ind w:right="20"/>
                    <w:contextualSpacing w:val="0"/>
                    <w:jc w:val="both"/>
                    <w:rPr>
                      <w:rFonts w:eastAsia="Arial" w:cs="Arial"/>
                      <w:sz w:val="16"/>
                      <w:szCs w:val="16"/>
                      <w:lang w:val="fr-FR"/>
                    </w:rPr>
                  </w:pPr>
                  <w:r w:rsidRPr="00784BC3">
                    <w:rPr>
                      <w:rFonts w:eastAsia="Arial" w:cs="Arial"/>
                      <w:sz w:val="16"/>
                      <w:szCs w:val="16"/>
                      <w:lang w:val="fr-FR"/>
                    </w:rPr>
                    <w:t xml:space="preserve">Capacités de rédaction écrite en Français </w:t>
                  </w:r>
                  <w:r w:rsidRPr="00784BC3">
                    <w:rPr>
                      <w:rFonts w:eastAsia="Arial" w:cs="Arial"/>
                      <w:b/>
                      <w:bCs/>
                      <w:sz w:val="16"/>
                      <w:szCs w:val="16"/>
                      <w:lang w:val="fr-FR"/>
                    </w:rPr>
                    <w:t>(2 points)</w:t>
                  </w:r>
                  <w:r w:rsidRPr="00784BC3">
                    <w:rPr>
                      <w:rFonts w:eastAsia="Arial" w:cs="Arial"/>
                      <w:sz w:val="16"/>
                      <w:szCs w:val="16"/>
                      <w:lang w:val="fr-FR"/>
                    </w:rPr>
                    <w:t xml:space="preserve"> ;</w:t>
                  </w:r>
                </w:p>
                <w:p w14:paraId="77E24B86" w14:textId="40DDD641" w:rsidR="00844B26" w:rsidRPr="00784BC3" w:rsidRDefault="00844B26" w:rsidP="0050455A">
                  <w:pPr>
                    <w:pStyle w:val="ListParagraph"/>
                    <w:framePr w:hSpace="180" w:wrap="around" w:vAnchor="page" w:hAnchor="margin" w:y="1531"/>
                    <w:numPr>
                      <w:ilvl w:val="0"/>
                      <w:numId w:val="30"/>
                    </w:numPr>
                    <w:spacing w:line="236" w:lineRule="auto"/>
                    <w:ind w:right="20"/>
                    <w:contextualSpacing w:val="0"/>
                    <w:jc w:val="both"/>
                    <w:rPr>
                      <w:rFonts w:eastAsia="Arial" w:cs="Arial"/>
                      <w:sz w:val="16"/>
                      <w:szCs w:val="16"/>
                      <w:lang w:val="fr-FR"/>
                    </w:rPr>
                  </w:pPr>
                  <w:r w:rsidRPr="00784BC3">
                    <w:rPr>
                      <w:rFonts w:eastAsia="Arial" w:cs="Arial"/>
                      <w:sz w:val="16"/>
                      <w:szCs w:val="16"/>
                      <w:lang w:val="fr-FR"/>
                    </w:rPr>
                    <w:t xml:space="preserve">Maitrise des programmes </w:t>
                  </w:r>
                  <w:r w:rsidR="00D529C8">
                    <w:rPr>
                      <w:rFonts w:eastAsia="Arial" w:cs="Arial"/>
                      <w:sz w:val="16"/>
                      <w:szCs w:val="16"/>
                      <w:lang w:val="fr-FR"/>
                    </w:rPr>
                    <w:t xml:space="preserve">informatique de base </w:t>
                  </w:r>
                  <w:r w:rsidRPr="00784BC3">
                    <w:rPr>
                      <w:rFonts w:eastAsia="Arial" w:cs="Arial"/>
                      <w:b/>
                      <w:bCs/>
                      <w:sz w:val="16"/>
                      <w:szCs w:val="16"/>
                      <w:lang w:val="fr-FR"/>
                    </w:rPr>
                    <w:t>(2 points).</w:t>
                  </w:r>
                </w:p>
              </w:tc>
              <w:tc>
                <w:tcPr>
                  <w:tcW w:w="705" w:type="dxa"/>
                  <w:vAlign w:val="center"/>
                </w:tcPr>
                <w:p w14:paraId="3F7843FF" w14:textId="77777777" w:rsidR="00844B26" w:rsidRPr="00784BC3" w:rsidRDefault="00844B26" w:rsidP="0050455A">
                  <w:pPr>
                    <w:framePr w:hSpace="180" w:wrap="around" w:vAnchor="page" w:hAnchor="margin" w:y="1531"/>
                    <w:jc w:val="both"/>
                    <w:rPr>
                      <w:rFonts w:cs="Arial"/>
                      <w:sz w:val="16"/>
                      <w:szCs w:val="16"/>
                    </w:rPr>
                  </w:pPr>
                  <w:r w:rsidRPr="00784BC3">
                    <w:rPr>
                      <w:rFonts w:cs="Arial"/>
                      <w:sz w:val="16"/>
                      <w:szCs w:val="16"/>
                    </w:rPr>
                    <w:t>10</w:t>
                  </w:r>
                </w:p>
              </w:tc>
            </w:tr>
            <w:tr w:rsidR="00844B26" w:rsidRPr="00784BC3" w14:paraId="74E9046F" w14:textId="77777777" w:rsidTr="000C62E9">
              <w:tc>
                <w:tcPr>
                  <w:tcW w:w="1017" w:type="dxa"/>
                  <w:vAlign w:val="center"/>
                </w:tcPr>
                <w:p w14:paraId="2E8D725F" w14:textId="77777777" w:rsidR="00844B26" w:rsidRPr="00784BC3" w:rsidRDefault="00844B26" w:rsidP="0050455A">
                  <w:pPr>
                    <w:framePr w:hSpace="180" w:wrap="around" w:vAnchor="page" w:hAnchor="margin" w:y="1531"/>
                    <w:jc w:val="both"/>
                    <w:rPr>
                      <w:rFonts w:cs="Arial"/>
                      <w:sz w:val="16"/>
                      <w:szCs w:val="16"/>
                    </w:rPr>
                  </w:pPr>
                  <w:r w:rsidRPr="00784BC3">
                    <w:rPr>
                      <w:rFonts w:cs="Arial"/>
                      <w:sz w:val="16"/>
                      <w:szCs w:val="16"/>
                    </w:rPr>
                    <w:t>2-</w:t>
                  </w:r>
                  <w:proofErr w:type="gramStart"/>
                  <w:r w:rsidRPr="00784BC3">
                    <w:rPr>
                      <w:rFonts w:cs="Arial"/>
                      <w:sz w:val="16"/>
                      <w:szCs w:val="16"/>
                    </w:rPr>
                    <w:t>4 :</w:t>
                  </w:r>
                  <w:proofErr w:type="gramEnd"/>
                </w:p>
              </w:tc>
              <w:tc>
                <w:tcPr>
                  <w:tcW w:w="7813" w:type="dxa"/>
                  <w:vAlign w:val="center"/>
                </w:tcPr>
                <w:p w14:paraId="03696DEC" w14:textId="77777777" w:rsidR="00844B26" w:rsidRPr="00784BC3" w:rsidRDefault="00844B26" w:rsidP="0050455A">
                  <w:pPr>
                    <w:pStyle w:val="ListParagraph"/>
                    <w:framePr w:hSpace="180" w:wrap="around" w:vAnchor="page" w:hAnchor="margin" w:y="1531"/>
                    <w:numPr>
                      <w:ilvl w:val="0"/>
                      <w:numId w:val="30"/>
                    </w:numPr>
                    <w:spacing w:line="236" w:lineRule="auto"/>
                    <w:ind w:right="20"/>
                    <w:contextualSpacing w:val="0"/>
                    <w:jc w:val="both"/>
                    <w:rPr>
                      <w:rFonts w:cs="Arial"/>
                      <w:sz w:val="16"/>
                      <w:szCs w:val="16"/>
                      <w:lang w:val="fr-FR"/>
                    </w:rPr>
                  </w:pPr>
                  <w:r w:rsidRPr="00784BC3">
                    <w:rPr>
                      <w:rFonts w:cs="Arial"/>
                      <w:sz w:val="16"/>
                      <w:szCs w:val="16"/>
                      <w:lang w:val="fr-FR"/>
                    </w:rPr>
                    <w:t>Note technique (</w:t>
                  </w:r>
                  <w:r w:rsidRPr="00784BC3">
                    <w:rPr>
                      <w:rFonts w:eastAsia="Arial" w:cs="Arial"/>
                      <w:sz w:val="16"/>
                      <w:szCs w:val="16"/>
                      <w:lang w:val="fr-FR"/>
                    </w:rPr>
                    <w:t>compréhension</w:t>
                  </w:r>
                  <w:r w:rsidRPr="00784BC3">
                    <w:rPr>
                      <w:rFonts w:cs="Arial"/>
                      <w:sz w:val="16"/>
                      <w:szCs w:val="16"/>
                      <w:lang w:val="fr-FR"/>
                    </w:rPr>
                    <w:t xml:space="preserve"> des TdR, approche méthodologique, chronogramme, etc.) </w:t>
                  </w:r>
                </w:p>
              </w:tc>
              <w:tc>
                <w:tcPr>
                  <w:tcW w:w="705" w:type="dxa"/>
                  <w:vAlign w:val="center"/>
                </w:tcPr>
                <w:p w14:paraId="7EAAAE2E" w14:textId="77777777" w:rsidR="00844B26" w:rsidRPr="00784BC3" w:rsidRDefault="00844B26" w:rsidP="0050455A">
                  <w:pPr>
                    <w:framePr w:hSpace="180" w:wrap="around" w:vAnchor="page" w:hAnchor="margin" w:y="1531"/>
                    <w:jc w:val="both"/>
                    <w:rPr>
                      <w:rFonts w:cs="Arial"/>
                      <w:sz w:val="16"/>
                      <w:szCs w:val="16"/>
                    </w:rPr>
                  </w:pPr>
                  <w:r w:rsidRPr="00784BC3">
                    <w:rPr>
                      <w:rFonts w:cs="Arial"/>
                      <w:sz w:val="16"/>
                      <w:szCs w:val="16"/>
                    </w:rPr>
                    <w:t>10</w:t>
                  </w:r>
                </w:p>
              </w:tc>
            </w:tr>
            <w:tr w:rsidR="00844B26" w:rsidRPr="00784BC3" w14:paraId="737ADF19" w14:textId="77777777" w:rsidTr="000C62E9">
              <w:trPr>
                <w:trHeight w:val="359"/>
              </w:trPr>
              <w:tc>
                <w:tcPr>
                  <w:tcW w:w="1017" w:type="dxa"/>
                  <w:shd w:val="clear" w:color="auto" w:fill="D9D9D9" w:themeFill="background1" w:themeFillShade="D9"/>
                  <w:vAlign w:val="center"/>
                </w:tcPr>
                <w:p w14:paraId="2A5BFB8E" w14:textId="77777777" w:rsidR="00844B26" w:rsidRPr="00784BC3" w:rsidRDefault="00844B26" w:rsidP="0050455A">
                  <w:pPr>
                    <w:framePr w:hSpace="180" w:wrap="around" w:vAnchor="page" w:hAnchor="margin" w:y="1531"/>
                    <w:jc w:val="center"/>
                    <w:rPr>
                      <w:rFonts w:cs="Arial"/>
                      <w:b/>
                      <w:bCs/>
                      <w:sz w:val="16"/>
                      <w:szCs w:val="16"/>
                    </w:rPr>
                  </w:pPr>
                  <w:r w:rsidRPr="00784BC3">
                    <w:rPr>
                      <w:rFonts w:cs="Arial"/>
                      <w:b/>
                      <w:bCs/>
                      <w:sz w:val="16"/>
                      <w:szCs w:val="16"/>
                    </w:rPr>
                    <w:t>3-</w:t>
                  </w:r>
                </w:p>
              </w:tc>
              <w:tc>
                <w:tcPr>
                  <w:tcW w:w="8518" w:type="dxa"/>
                  <w:gridSpan w:val="2"/>
                  <w:shd w:val="clear" w:color="auto" w:fill="D9D9D9" w:themeFill="background1" w:themeFillShade="D9"/>
                  <w:vAlign w:val="center"/>
                </w:tcPr>
                <w:p w14:paraId="25CE3959" w14:textId="77777777" w:rsidR="00844B26" w:rsidRPr="00784BC3" w:rsidRDefault="00844B26" w:rsidP="0050455A">
                  <w:pPr>
                    <w:pStyle w:val="Default"/>
                    <w:framePr w:hSpace="180" w:wrap="around" w:vAnchor="page" w:hAnchor="margin" w:y="1531"/>
                    <w:jc w:val="both"/>
                    <w:rPr>
                      <w:sz w:val="16"/>
                      <w:szCs w:val="16"/>
                      <w:lang w:val="fr-FR"/>
                    </w:rPr>
                  </w:pPr>
                  <w:r w:rsidRPr="00784BC3">
                    <w:rPr>
                      <w:b/>
                      <w:bCs/>
                      <w:sz w:val="16"/>
                      <w:szCs w:val="16"/>
                      <w:lang w:val="fr-FR"/>
                    </w:rPr>
                    <w:t xml:space="preserve">Evaluation financière (30 points). </w:t>
                  </w:r>
                </w:p>
              </w:tc>
            </w:tr>
            <w:tr w:rsidR="00844B26" w:rsidRPr="00784BC3" w14:paraId="0AC060A0" w14:textId="77777777" w:rsidTr="000C62E9">
              <w:tc>
                <w:tcPr>
                  <w:tcW w:w="1017" w:type="dxa"/>
                  <w:vAlign w:val="center"/>
                </w:tcPr>
                <w:p w14:paraId="4BCDC522" w14:textId="77777777" w:rsidR="00844B26" w:rsidRPr="00784BC3" w:rsidRDefault="00844B26" w:rsidP="0050455A">
                  <w:pPr>
                    <w:framePr w:hSpace="180" w:wrap="around" w:vAnchor="page" w:hAnchor="margin" w:y="1531"/>
                    <w:rPr>
                      <w:rFonts w:cs="Arial"/>
                      <w:sz w:val="16"/>
                      <w:szCs w:val="16"/>
                    </w:rPr>
                  </w:pPr>
                  <w:r w:rsidRPr="00784BC3">
                    <w:rPr>
                      <w:rFonts w:cs="Arial"/>
                      <w:sz w:val="16"/>
                      <w:szCs w:val="16"/>
                    </w:rPr>
                    <w:t>3-</w:t>
                  </w:r>
                  <w:proofErr w:type="gramStart"/>
                  <w:r w:rsidRPr="00784BC3">
                    <w:rPr>
                      <w:rFonts w:cs="Arial"/>
                      <w:sz w:val="16"/>
                      <w:szCs w:val="16"/>
                    </w:rPr>
                    <w:t>1 :</w:t>
                  </w:r>
                  <w:proofErr w:type="gramEnd"/>
                </w:p>
              </w:tc>
              <w:tc>
                <w:tcPr>
                  <w:tcW w:w="7813" w:type="dxa"/>
                  <w:vAlign w:val="center"/>
                </w:tcPr>
                <w:p w14:paraId="3010775A" w14:textId="77777777" w:rsidR="00844B26" w:rsidRPr="00784BC3" w:rsidRDefault="00844B26" w:rsidP="0050455A">
                  <w:pPr>
                    <w:pStyle w:val="Default"/>
                    <w:framePr w:hSpace="180" w:wrap="around" w:vAnchor="page" w:hAnchor="margin" w:y="1531"/>
                    <w:spacing w:after="120"/>
                    <w:jc w:val="both"/>
                    <w:rPr>
                      <w:b/>
                      <w:bCs/>
                      <w:sz w:val="16"/>
                      <w:szCs w:val="16"/>
                      <w:lang w:val="fr-FR"/>
                    </w:rPr>
                  </w:pPr>
                  <w:r w:rsidRPr="00784BC3">
                    <w:rPr>
                      <w:sz w:val="16"/>
                      <w:szCs w:val="16"/>
                      <w:lang w:val="fr-FR"/>
                    </w:rPr>
                    <w:t xml:space="preserve">Note* calculée sur la base du budget proposé dans l'offre financière </w:t>
                  </w:r>
                </w:p>
              </w:tc>
              <w:tc>
                <w:tcPr>
                  <w:tcW w:w="705" w:type="dxa"/>
                  <w:vAlign w:val="center"/>
                </w:tcPr>
                <w:p w14:paraId="02BF94E9" w14:textId="77777777" w:rsidR="00844B26" w:rsidRPr="00784BC3" w:rsidRDefault="00844B26" w:rsidP="0050455A">
                  <w:pPr>
                    <w:framePr w:hSpace="180" w:wrap="around" w:vAnchor="page" w:hAnchor="margin" w:y="1531"/>
                    <w:jc w:val="both"/>
                    <w:rPr>
                      <w:rFonts w:cs="Arial"/>
                      <w:sz w:val="16"/>
                      <w:szCs w:val="16"/>
                    </w:rPr>
                  </w:pPr>
                  <w:r w:rsidRPr="00784BC3">
                    <w:rPr>
                      <w:rFonts w:cs="Arial"/>
                      <w:sz w:val="16"/>
                      <w:szCs w:val="16"/>
                    </w:rPr>
                    <w:t>30</w:t>
                  </w:r>
                </w:p>
              </w:tc>
            </w:tr>
            <w:tr w:rsidR="00844B26" w:rsidRPr="00784BC3" w14:paraId="6DA03678" w14:textId="77777777" w:rsidTr="000C62E9">
              <w:trPr>
                <w:trHeight w:val="332"/>
              </w:trPr>
              <w:tc>
                <w:tcPr>
                  <w:tcW w:w="1017" w:type="dxa"/>
                  <w:shd w:val="clear" w:color="auto" w:fill="D9D9D9" w:themeFill="background1" w:themeFillShade="D9"/>
                  <w:vAlign w:val="center"/>
                </w:tcPr>
                <w:p w14:paraId="11479387" w14:textId="77777777" w:rsidR="00844B26" w:rsidRPr="00784BC3" w:rsidRDefault="00844B26" w:rsidP="0050455A">
                  <w:pPr>
                    <w:framePr w:hSpace="180" w:wrap="around" w:vAnchor="page" w:hAnchor="margin" w:y="1531"/>
                    <w:rPr>
                      <w:rFonts w:cs="Arial"/>
                      <w:sz w:val="16"/>
                      <w:szCs w:val="16"/>
                    </w:rPr>
                  </w:pPr>
                  <w:r w:rsidRPr="00784BC3">
                    <w:rPr>
                      <w:rFonts w:cs="Arial"/>
                      <w:b/>
                      <w:bCs/>
                      <w:sz w:val="16"/>
                      <w:szCs w:val="16"/>
                    </w:rPr>
                    <w:t>4-</w:t>
                  </w:r>
                </w:p>
              </w:tc>
              <w:tc>
                <w:tcPr>
                  <w:tcW w:w="8518" w:type="dxa"/>
                  <w:gridSpan w:val="2"/>
                  <w:shd w:val="clear" w:color="auto" w:fill="D9D9D9" w:themeFill="background1" w:themeFillShade="D9"/>
                  <w:vAlign w:val="center"/>
                </w:tcPr>
                <w:p w14:paraId="01F34B66" w14:textId="77777777" w:rsidR="00844B26" w:rsidRPr="00784BC3" w:rsidRDefault="00844B26" w:rsidP="0050455A">
                  <w:pPr>
                    <w:pStyle w:val="Default"/>
                    <w:framePr w:hSpace="180" w:wrap="around" w:vAnchor="page" w:hAnchor="margin" w:y="1531"/>
                    <w:jc w:val="both"/>
                    <w:rPr>
                      <w:b/>
                      <w:bCs/>
                      <w:sz w:val="16"/>
                      <w:szCs w:val="16"/>
                      <w:lang w:val="fr-FR"/>
                    </w:rPr>
                  </w:pPr>
                  <w:r w:rsidRPr="00784BC3">
                    <w:rPr>
                      <w:b/>
                      <w:bCs/>
                      <w:sz w:val="16"/>
                      <w:szCs w:val="16"/>
                    </w:rPr>
                    <w:t xml:space="preserve">Recommendation pour attribution </w:t>
                  </w:r>
                </w:p>
              </w:tc>
            </w:tr>
            <w:tr w:rsidR="00844B26" w:rsidRPr="00784BC3" w14:paraId="60BC3FF0" w14:textId="77777777" w:rsidTr="000C62E9">
              <w:tc>
                <w:tcPr>
                  <w:tcW w:w="1017" w:type="dxa"/>
                  <w:vAlign w:val="center"/>
                </w:tcPr>
                <w:p w14:paraId="36569AD0" w14:textId="77777777" w:rsidR="00844B26" w:rsidRPr="00784BC3" w:rsidRDefault="00844B26" w:rsidP="0050455A">
                  <w:pPr>
                    <w:framePr w:hSpace="180" w:wrap="around" w:vAnchor="page" w:hAnchor="margin" w:y="1531"/>
                    <w:rPr>
                      <w:rFonts w:cs="Arial"/>
                      <w:b/>
                      <w:bCs/>
                      <w:sz w:val="16"/>
                      <w:szCs w:val="16"/>
                    </w:rPr>
                  </w:pPr>
                  <w:r w:rsidRPr="00784BC3">
                    <w:rPr>
                      <w:rFonts w:cs="Arial"/>
                      <w:sz w:val="16"/>
                      <w:szCs w:val="16"/>
                    </w:rPr>
                    <w:t>4-</w:t>
                  </w:r>
                  <w:proofErr w:type="gramStart"/>
                  <w:r w:rsidRPr="00784BC3">
                    <w:rPr>
                      <w:rFonts w:cs="Arial"/>
                      <w:sz w:val="16"/>
                      <w:szCs w:val="16"/>
                    </w:rPr>
                    <w:t>1 :</w:t>
                  </w:r>
                  <w:proofErr w:type="gramEnd"/>
                </w:p>
              </w:tc>
              <w:tc>
                <w:tcPr>
                  <w:tcW w:w="7813" w:type="dxa"/>
                  <w:vAlign w:val="center"/>
                </w:tcPr>
                <w:p w14:paraId="337DDE14" w14:textId="77777777" w:rsidR="00844B26" w:rsidRPr="00784BC3" w:rsidRDefault="00844B26" w:rsidP="0050455A">
                  <w:pPr>
                    <w:pStyle w:val="Default"/>
                    <w:framePr w:hSpace="180" w:wrap="around" w:vAnchor="page" w:hAnchor="margin" w:y="1531"/>
                    <w:jc w:val="both"/>
                    <w:rPr>
                      <w:sz w:val="16"/>
                      <w:szCs w:val="16"/>
                      <w:lang w:val="fr-FR"/>
                    </w:rPr>
                  </w:pPr>
                  <w:r w:rsidRPr="00784BC3">
                    <w:rPr>
                      <w:sz w:val="16"/>
                      <w:szCs w:val="16"/>
                      <w:lang w:val="fr-FR"/>
                    </w:rPr>
                    <w:t xml:space="preserve">Recommandation pour attribution en faveur de l'offre la plus économiquement avantageuse </w:t>
                  </w:r>
                </w:p>
                <w:p w14:paraId="7EBD67CC" w14:textId="77777777" w:rsidR="00844B26" w:rsidRPr="00784BC3" w:rsidRDefault="00844B26" w:rsidP="0050455A">
                  <w:pPr>
                    <w:pStyle w:val="Default"/>
                    <w:framePr w:hSpace="180" w:wrap="around" w:vAnchor="page" w:hAnchor="margin" w:y="1531"/>
                    <w:jc w:val="both"/>
                    <w:rPr>
                      <w:sz w:val="16"/>
                      <w:szCs w:val="16"/>
                      <w:lang w:val="fr-FR"/>
                    </w:rPr>
                  </w:pPr>
                </w:p>
              </w:tc>
              <w:tc>
                <w:tcPr>
                  <w:tcW w:w="705" w:type="dxa"/>
                  <w:vAlign w:val="center"/>
                </w:tcPr>
                <w:p w14:paraId="434408B3" w14:textId="7E6B0BEA" w:rsidR="00844B26" w:rsidRPr="00784BC3" w:rsidRDefault="00844B26" w:rsidP="0050455A">
                  <w:pPr>
                    <w:pStyle w:val="Default"/>
                    <w:framePr w:hSpace="180" w:wrap="around" w:vAnchor="page" w:hAnchor="margin" w:y="1531"/>
                    <w:jc w:val="both"/>
                    <w:rPr>
                      <w:sz w:val="16"/>
                      <w:szCs w:val="16"/>
                    </w:rPr>
                  </w:pPr>
                  <w:r w:rsidRPr="00784BC3">
                    <w:rPr>
                      <w:sz w:val="16"/>
                      <w:szCs w:val="16"/>
                    </w:rPr>
                    <w:t>Note fin</w:t>
                  </w:r>
                  <w:r w:rsidR="00784EA6">
                    <w:rPr>
                      <w:sz w:val="16"/>
                      <w:szCs w:val="16"/>
                    </w:rPr>
                    <w:t>.</w:t>
                  </w:r>
                  <w:r w:rsidRPr="00784BC3">
                    <w:rPr>
                      <w:sz w:val="16"/>
                      <w:szCs w:val="16"/>
                    </w:rPr>
                    <w:t xml:space="preserve"> </w:t>
                  </w:r>
                  <w:r w:rsidR="00784EA6" w:rsidRPr="00784BC3">
                    <w:rPr>
                      <w:sz w:val="16"/>
                      <w:szCs w:val="16"/>
                    </w:rPr>
                    <w:t>M</w:t>
                  </w:r>
                  <w:r w:rsidRPr="00784BC3">
                    <w:rPr>
                      <w:sz w:val="16"/>
                      <w:szCs w:val="16"/>
                    </w:rPr>
                    <w:t>ax</w:t>
                  </w:r>
                  <w:r w:rsidR="00784EA6">
                    <w:rPr>
                      <w:sz w:val="16"/>
                      <w:szCs w:val="16"/>
                    </w:rPr>
                    <w:t>.</w:t>
                  </w:r>
                </w:p>
                <w:p w14:paraId="240EA427" w14:textId="77777777" w:rsidR="00844B26" w:rsidRPr="00784BC3" w:rsidRDefault="00844B26" w:rsidP="0050455A">
                  <w:pPr>
                    <w:pStyle w:val="Default"/>
                    <w:framePr w:hSpace="180" w:wrap="around" w:vAnchor="page" w:hAnchor="margin" w:y="1531"/>
                    <w:jc w:val="both"/>
                    <w:rPr>
                      <w:sz w:val="16"/>
                      <w:szCs w:val="16"/>
                    </w:rPr>
                  </w:pPr>
                </w:p>
              </w:tc>
            </w:tr>
          </w:tbl>
          <w:p w14:paraId="5ABAE5C4" w14:textId="2B655A8E" w:rsidR="00CF5B80" w:rsidRPr="007613B3" w:rsidRDefault="00CF5B80" w:rsidP="000C62E9">
            <w:pPr>
              <w:spacing w:before="60" w:line="240" w:lineRule="auto"/>
              <w:rPr>
                <w:rFonts w:ascii="Calibri" w:hAnsi="Calibri" w:cs="Calibri"/>
              </w:rPr>
            </w:pPr>
          </w:p>
        </w:tc>
      </w:tr>
      <w:tr w:rsidR="00CF5B80" w:rsidRPr="007613B3" w14:paraId="109ED335" w14:textId="77777777" w:rsidTr="008263AC">
        <w:trPr>
          <w:gridAfter w:val="1"/>
          <w:wAfter w:w="351" w:type="dxa"/>
          <w:trHeight w:val="153"/>
        </w:trPr>
        <w:tc>
          <w:tcPr>
            <w:tcW w:w="4310" w:type="dxa"/>
            <w:tcBorders>
              <w:top w:val="nil"/>
              <w:right w:val="single" w:sz="4" w:space="0" w:color="auto"/>
            </w:tcBorders>
            <w:shd w:val="clear" w:color="auto" w:fill="auto"/>
            <w:noWrap/>
          </w:tcPr>
          <w:p w14:paraId="527E8496" w14:textId="77777777" w:rsidR="00CF5B80" w:rsidRDefault="00CF5B80" w:rsidP="00E86A4A">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Pr>
                <w:rFonts w:ascii="Calibri" w:eastAsia="Arial Unicode MS" w:hAnsi="Calibri" w:cs="Calibri"/>
                <w:b/>
                <w:color w:val="auto"/>
                <w:lang w:val="en-AU"/>
              </w:rPr>
              <w:t>:</w:t>
            </w:r>
          </w:p>
          <w:p w14:paraId="5AB15AB0" w14:textId="77777777" w:rsidR="00CF5B80" w:rsidRDefault="00CF5B80" w:rsidP="00E86A4A">
            <w:pPr>
              <w:spacing w:before="60" w:line="240" w:lineRule="auto"/>
              <w:rPr>
                <w:rFonts w:ascii="Calibri" w:eastAsia="Arial Unicode MS" w:hAnsi="Calibri" w:cs="Calibri"/>
                <w:b/>
                <w:color w:val="auto"/>
                <w:lang w:val="en-AU"/>
              </w:rPr>
            </w:pPr>
          </w:p>
          <w:p w14:paraId="60F0F6DD" w14:textId="77777777" w:rsidR="00CF5B80" w:rsidRDefault="00CF5B80" w:rsidP="00E86A4A">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73B6FD4" w14:textId="77777777" w:rsidR="00CF5B80" w:rsidRDefault="00CF5B80" w:rsidP="00E86A4A">
            <w:pPr>
              <w:rPr>
                <w:rFonts w:ascii="Calibri" w:eastAsia="Arial Unicode MS" w:hAnsi="Calibri" w:cs="Calibri"/>
                <w:color w:val="auto"/>
                <w:lang w:val="en-AU"/>
              </w:rPr>
            </w:pPr>
          </w:p>
          <w:p w14:paraId="5E3DCEF0" w14:textId="775E5B5A" w:rsidR="00CF5B80" w:rsidRPr="007613B3" w:rsidRDefault="00A152BE" w:rsidP="00E86A4A">
            <w:pPr>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F5B80"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F5B80" w:rsidRPr="007613B3">
              <w:rPr>
                <w:rFonts w:ascii="Calibri" w:eastAsia="Arial Unicode MS" w:hAnsi="Calibri" w:cs="Calibri"/>
                <w:color w:val="auto"/>
                <w:lang w:val="en-AU"/>
              </w:rPr>
              <w:t xml:space="preserve"> Office Based:</w:t>
            </w:r>
          </w:p>
          <w:p w14:paraId="0438AC80" w14:textId="77777777" w:rsidR="00CF5B80" w:rsidRPr="007613B3" w:rsidRDefault="00CF5B80" w:rsidP="00E86A4A">
            <w:pPr>
              <w:spacing w:before="60" w:line="240" w:lineRule="auto"/>
              <w:rPr>
                <w:rFonts w:ascii="Calibri" w:eastAsia="Arial Unicode MS" w:hAnsi="Calibri" w:cs="Calibri"/>
                <w:b/>
                <w:color w:val="auto"/>
                <w:lang w:val="en-AU"/>
              </w:rPr>
            </w:pPr>
          </w:p>
        </w:tc>
        <w:tc>
          <w:tcPr>
            <w:tcW w:w="5553" w:type="dxa"/>
            <w:gridSpan w:val="3"/>
            <w:tcBorders>
              <w:top w:val="nil"/>
              <w:left w:val="single" w:sz="4" w:space="0" w:color="auto"/>
            </w:tcBorders>
            <w:shd w:val="clear" w:color="auto" w:fill="auto"/>
            <w:noWrap/>
          </w:tcPr>
          <w:p w14:paraId="0D3E5FC7" w14:textId="77777777" w:rsidR="00CF5B80" w:rsidRPr="007613B3" w:rsidRDefault="00CF5B80" w:rsidP="00E86A4A">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2CED0E64" w14:textId="77777777" w:rsidR="00CF5B80" w:rsidRDefault="00CF5B80" w:rsidP="00E86A4A">
            <w:pPr>
              <w:rPr>
                <w:rFonts w:ascii="Calibri" w:eastAsia="Arial Unicode MS" w:hAnsi="Calibri" w:cs="Calibri"/>
                <w:color w:val="auto"/>
                <w:lang w:val="en-AU"/>
              </w:rPr>
            </w:pPr>
          </w:p>
          <w:p w14:paraId="1D4DD58B" w14:textId="261F39B9" w:rsidR="00CF5B80" w:rsidRPr="007613B3" w:rsidRDefault="00CF5B80" w:rsidP="00E86A4A">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00673B45">
              <w:rPr>
                <w:rFonts w:ascii="Calibri" w:eastAsia="Arial Unicode MS" w:hAnsi="Calibri" w:cs="Calibri"/>
                <w:color w:val="auto"/>
                <w:lang w:val="en-AU"/>
              </w:rPr>
              <w:fldChar w:fldCharType="begin">
                <w:ffData>
                  <w:name w:val=""/>
                  <w:enabled/>
                  <w:calcOnExit w:val="0"/>
                  <w:checkBox>
                    <w:sizeAuto/>
                    <w:default w:val="1"/>
                  </w:checkBox>
                </w:ffData>
              </w:fldChar>
            </w:r>
            <w:r w:rsidR="00673B45">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sidR="00673B45">
              <w:rPr>
                <w:rFonts w:ascii="Calibri" w:eastAsia="Arial Unicode MS" w:hAnsi="Calibri" w:cs="Calibri"/>
                <w:color w:val="auto"/>
                <w:lang w:val="en-AU"/>
              </w:rPr>
              <w:fldChar w:fldCharType="end"/>
            </w:r>
          </w:p>
          <w:p w14:paraId="4E05E659" w14:textId="77777777" w:rsidR="00CF5B80" w:rsidRDefault="00CF5B80" w:rsidP="00E86A4A">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5362CEA8" w14:textId="64C71F5A" w:rsidR="00CF5B80" w:rsidRPr="007613B3" w:rsidRDefault="00CF5B80" w:rsidP="00E86A4A">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673B45">
              <w:rPr>
                <w:rFonts w:ascii="Calibri" w:eastAsia="Arial Unicode MS" w:hAnsi="Calibri" w:cs="Calibri"/>
                <w:color w:val="auto"/>
                <w:lang w:val="en-AU"/>
              </w:rPr>
              <w:fldChar w:fldCharType="begin">
                <w:ffData>
                  <w:name w:val=""/>
                  <w:enabled/>
                  <w:calcOnExit w:val="0"/>
                  <w:checkBox>
                    <w:sizeAuto/>
                    <w:default w:val="1"/>
                  </w:checkBox>
                </w:ffData>
              </w:fldChar>
            </w:r>
            <w:r w:rsidR="00673B45">
              <w:rPr>
                <w:rFonts w:ascii="Calibri" w:eastAsia="Arial Unicode MS" w:hAnsi="Calibri" w:cs="Calibri"/>
                <w:color w:val="auto"/>
                <w:lang w:val="en-AU"/>
              </w:rPr>
              <w:instrText xml:space="preserve"> FORMCHECKBOX </w:instrText>
            </w:r>
            <w:r w:rsidR="0050455A">
              <w:rPr>
                <w:rFonts w:ascii="Calibri" w:eastAsia="Arial Unicode MS" w:hAnsi="Calibri" w:cs="Calibri"/>
                <w:color w:val="auto"/>
                <w:lang w:val="en-AU"/>
              </w:rPr>
            </w:r>
            <w:r w:rsidR="0050455A">
              <w:rPr>
                <w:rFonts w:ascii="Calibri" w:eastAsia="Arial Unicode MS" w:hAnsi="Calibri" w:cs="Calibri"/>
                <w:color w:val="auto"/>
                <w:lang w:val="en-AU"/>
              </w:rPr>
              <w:fldChar w:fldCharType="separate"/>
            </w:r>
            <w:r w:rsidR="00673B45">
              <w:rPr>
                <w:rFonts w:ascii="Calibri" w:eastAsia="Arial Unicode MS" w:hAnsi="Calibri" w:cs="Calibri"/>
                <w:color w:val="auto"/>
                <w:lang w:val="en-AU"/>
              </w:rPr>
              <w:fldChar w:fldCharType="end"/>
            </w:r>
          </w:p>
        </w:tc>
      </w:tr>
      <w:tr w:rsidR="00CF5B80" w:rsidRPr="007613B3" w14:paraId="1C2E59CD" w14:textId="77777777" w:rsidTr="008263AC">
        <w:trPr>
          <w:gridAfter w:val="1"/>
          <w:wAfter w:w="351" w:type="dxa"/>
          <w:trHeight w:val="240"/>
        </w:trPr>
        <w:tc>
          <w:tcPr>
            <w:tcW w:w="4310" w:type="dxa"/>
            <w:tcBorders>
              <w:bottom w:val="nil"/>
            </w:tcBorders>
            <w:shd w:val="clear" w:color="auto" w:fill="auto"/>
            <w:noWrap/>
            <w:hideMark/>
          </w:tcPr>
          <w:p w14:paraId="2EBF82A9" w14:textId="77777777" w:rsidR="00CF5B80" w:rsidRDefault="00CF5B80" w:rsidP="00E86A4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p w14:paraId="3819595E" w14:textId="599470FD" w:rsidR="00A52F61" w:rsidRPr="007613B3" w:rsidRDefault="00A52F61" w:rsidP="00E86A4A">
            <w:pPr>
              <w:spacing w:before="100" w:beforeAutospacing="1" w:after="100" w:afterAutospacing="1" w:line="240" w:lineRule="auto"/>
              <w:rPr>
                <w:rFonts w:ascii="Calibri" w:eastAsia="Arial Unicode MS" w:hAnsi="Calibri" w:cs="Calibri"/>
                <w:b/>
                <w:color w:val="auto"/>
                <w:lang w:val="en-AU"/>
              </w:rPr>
            </w:pPr>
          </w:p>
        </w:tc>
        <w:tc>
          <w:tcPr>
            <w:tcW w:w="5553" w:type="dxa"/>
            <w:gridSpan w:val="3"/>
            <w:tcBorders>
              <w:bottom w:val="nil"/>
            </w:tcBorders>
            <w:shd w:val="clear" w:color="auto" w:fill="auto"/>
          </w:tcPr>
          <w:p w14:paraId="3F863F12" w14:textId="77777777" w:rsidR="00CF5B80" w:rsidRPr="007613B3" w:rsidRDefault="00CF5B80" w:rsidP="00E86A4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CF5B80" w:rsidRPr="007613B3" w14:paraId="4D31F619" w14:textId="77777777" w:rsidTr="008263AC">
        <w:trPr>
          <w:gridAfter w:val="1"/>
          <w:wAfter w:w="351" w:type="dxa"/>
          <w:trHeight w:val="361"/>
        </w:trPr>
        <w:tc>
          <w:tcPr>
            <w:tcW w:w="4310" w:type="dxa"/>
            <w:tcBorders>
              <w:top w:val="nil"/>
            </w:tcBorders>
            <w:shd w:val="clear" w:color="auto" w:fill="auto"/>
            <w:noWrap/>
          </w:tcPr>
          <w:p w14:paraId="3937D328" w14:textId="77777777" w:rsidR="00CF5B80" w:rsidRPr="007613B3" w:rsidRDefault="00CF5B80" w:rsidP="00E86A4A">
            <w:pPr>
              <w:spacing w:before="60" w:after="60" w:line="240" w:lineRule="auto"/>
              <w:rPr>
                <w:rFonts w:ascii="Calibri" w:eastAsia="Arial Unicode MS" w:hAnsi="Calibri" w:cs="Calibri"/>
                <w:i/>
                <w:color w:val="auto"/>
                <w:lang w:val="en-AU"/>
              </w:rPr>
            </w:pPr>
          </w:p>
        </w:tc>
        <w:tc>
          <w:tcPr>
            <w:tcW w:w="5553" w:type="dxa"/>
            <w:gridSpan w:val="3"/>
            <w:tcBorders>
              <w:top w:val="nil"/>
            </w:tcBorders>
            <w:shd w:val="clear" w:color="auto" w:fill="auto"/>
          </w:tcPr>
          <w:p w14:paraId="2DAC7C86" w14:textId="77777777" w:rsidR="00CF5B80" w:rsidRPr="007613B3" w:rsidRDefault="00CF5B80" w:rsidP="00E86A4A">
            <w:pPr>
              <w:spacing w:before="60" w:after="60" w:line="240" w:lineRule="auto"/>
              <w:rPr>
                <w:rFonts w:ascii="Calibri" w:eastAsia="Arial Unicode MS" w:hAnsi="Calibri" w:cs="Calibri"/>
                <w:i/>
                <w:color w:val="auto"/>
                <w:lang w:val="es-US"/>
              </w:rPr>
            </w:pPr>
          </w:p>
        </w:tc>
      </w:tr>
      <w:tr w:rsidR="00CF5B80" w:rsidRPr="007613B3" w14:paraId="424E6B5E" w14:textId="77777777" w:rsidTr="00E86A4A">
        <w:trPr>
          <w:gridAfter w:val="1"/>
          <w:wAfter w:w="351" w:type="dxa"/>
          <w:trHeight w:val="1580"/>
        </w:trPr>
        <w:tc>
          <w:tcPr>
            <w:tcW w:w="9863" w:type="dxa"/>
            <w:gridSpan w:val="4"/>
            <w:tcBorders>
              <w:top w:val="nil"/>
            </w:tcBorders>
            <w:shd w:val="clear" w:color="auto" w:fill="auto"/>
            <w:noWrap/>
          </w:tcPr>
          <w:p w14:paraId="10BAF99F" w14:textId="77777777" w:rsidR="00CF5B80" w:rsidRPr="007613B3" w:rsidRDefault="00CF5B80" w:rsidP="00E86A4A">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700708BF" w14:textId="77777777" w:rsidR="00CF5B80" w:rsidRPr="007613B3" w:rsidRDefault="00CF5B80" w:rsidP="00E86A4A">
            <w:pPr>
              <w:spacing w:line="240" w:lineRule="auto"/>
              <w:rPr>
                <w:rFonts w:ascii="Calibri" w:eastAsia="Arial Unicode MS" w:hAnsi="Calibri" w:cs="Calibri"/>
                <w:i/>
                <w:color w:val="auto"/>
                <w:lang w:val="en-AU"/>
              </w:rPr>
            </w:pPr>
          </w:p>
          <w:p w14:paraId="58E78C3C" w14:textId="77777777" w:rsidR="00CF5B80" w:rsidRPr="007613B3" w:rsidRDefault="00CF5B80" w:rsidP="00E86A4A">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45FBB596" w14:textId="77777777" w:rsidR="00CF5B80" w:rsidRPr="007613B3" w:rsidRDefault="00CF5B80" w:rsidP="00E86A4A">
            <w:pPr>
              <w:spacing w:line="240" w:lineRule="auto"/>
              <w:rPr>
                <w:rFonts w:ascii="Calibri" w:eastAsia="Arial Unicode MS" w:hAnsi="Calibri" w:cs="Calibri"/>
                <w:i/>
                <w:color w:val="auto"/>
                <w:lang w:val="en-AU"/>
              </w:rPr>
            </w:pPr>
          </w:p>
          <w:p w14:paraId="64720286" w14:textId="77777777" w:rsidR="00CF5B80" w:rsidRPr="007613B3" w:rsidRDefault="00CF5B80" w:rsidP="00E86A4A">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04D7B004" w14:textId="77777777" w:rsidR="00CF5B80" w:rsidRDefault="00CF5B80" w:rsidP="00E86A4A">
            <w:pPr>
              <w:spacing w:before="60" w:after="60" w:line="240" w:lineRule="auto"/>
              <w:rPr>
                <w:rFonts w:ascii="Calibri" w:eastAsia="Arial Unicode MS" w:hAnsi="Calibri" w:cs="Calibri"/>
                <w:i/>
                <w:color w:val="auto"/>
                <w:lang w:val="en-AU"/>
              </w:rPr>
            </w:pPr>
          </w:p>
          <w:p w14:paraId="61883B0E" w14:textId="77777777" w:rsidR="00CF5B80" w:rsidRPr="00555615" w:rsidRDefault="00CF5B80" w:rsidP="00E86A4A">
            <w:pPr>
              <w:spacing w:before="60" w:after="60" w:line="240" w:lineRule="auto"/>
              <w:rPr>
                <w:rFonts w:ascii="Calibri" w:eastAsia="Arial Unicode MS" w:hAnsi="Calibri" w:cs="Calibri"/>
                <w:i/>
                <w:color w:val="auto"/>
                <w:lang w:val="en-AU"/>
              </w:rPr>
            </w:pPr>
          </w:p>
        </w:tc>
      </w:tr>
      <w:tr w:rsidR="00CF5B80" w:rsidRPr="007613B3" w14:paraId="3B26872E" w14:textId="77777777" w:rsidTr="00E86A4A">
        <w:trPr>
          <w:trHeight w:val="144"/>
        </w:trPr>
        <w:tc>
          <w:tcPr>
            <w:tcW w:w="10214" w:type="dxa"/>
            <w:gridSpan w:val="5"/>
            <w:tcBorders>
              <w:top w:val="nil"/>
              <w:left w:val="nil"/>
              <w:bottom w:val="nil"/>
              <w:right w:val="nil"/>
            </w:tcBorders>
            <w:shd w:val="clear" w:color="auto" w:fill="auto"/>
            <w:noWrap/>
            <w:hideMark/>
          </w:tcPr>
          <w:p w14:paraId="5579C279" w14:textId="77777777" w:rsidR="00CF5B80" w:rsidRPr="007613B3" w:rsidRDefault="00CF5B80" w:rsidP="00E86A4A">
            <w:pPr>
              <w:spacing w:line="240" w:lineRule="auto"/>
              <w:ind w:left="342" w:hanging="342"/>
              <w:rPr>
                <w:rFonts w:ascii="Calibri" w:eastAsia="Arial Unicode MS" w:hAnsi="Calibri" w:cs="Calibri"/>
                <w:color w:val="auto"/>
                <w:sz w:val="16"/>
                <w:szCs w:val="16"/>
                <w:lang w:val="en-AU"/>
              </w:rPr>
            </w:pPr>
          </w:p>
        </w:tc>
      </w:tr>
      <w:tr w:rsidR="00CF5B80" w:rsidRPr="007613B3" w14:paraId="2E4197A1" w14:textId="77777777" w:rsidTr="00E86A4A">
        <w:trPr>
          <w:trHeight w:val="391"/>
        </w:trPr>
        <w:tc>
          <w:tcPr>
            <w:tcW w:w="10214" w:type="dxa"/>
            <w:gridSpan w:val="5"/>
            <w:tcBorders>
              <w:top w:val="nil"/>
              <w:left w:val="nil"/>
              <w:bottom w:val="nil"/>
              <w:right w:val="nil"/>
            </w:tcBorders>
            <w:shd w:val="clear" w:color="auto" w:fill="auto"/>
            <w:noWrap/>
          </w:tcPr>
          <w:p w14:paraId="7B029CAD" w14:textId="77777777" w:rsidR="00CF5B80" w:rsidRPr="007613B3" w:rsidRDefault="00CF5B80" w:rsidP="000C62E9">
            <w:pPr>
              <w:spacing w:line="240" w:lineRule="auto"/>
              <w:rPr>
                <w:rFonts w:ascii="Calibri" w:eastAsia="Arial Unicode MS" w:hAnsi="Calibri" w:cs="Calibri"/>
                <w:color w:val="auto"/>
                <w:sz w:val="16"/>
                <w:szCs w:val="16"/>
                <w:lang w:val="en-AU"/>
              </w:rPr>
            </w:pPr>
          </w:p>
        </w:tc>
      </w:tr>
    </w:tbl>
    <w:p w14:paraId="20218C54" w14:textId="77777777" w:rsidR="00CF5B80" w:rsidRPr="00CF5B80" w:rsidRDefault="00CF5B80" w:rsidP="00CF5B80">
      <w:pPr>
        <w:rPr>
          <w:rFonts w:ascii="Calibri" w:hAnsi="Calibri" w:cs="Calibri"/>
          <w:b/>
          <w:bCs/>
          <w:sz w:val="24"/>
          <w:szCs w:val="24"/>
          <w:u w:val="single"/>
        </w:rPr>
      </w:pPr>
    </w:p>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t>Text to be added to all TORs:</w:t>
      </w:r>
    </w:p>
    <w:p w14:paraId="355180BE" w14:textId="19255CD2"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Default="5DD2836A" w:rsidP="5DD2836A">
      <w:pPr>
        <w:spacing w:after="160" w:line="259" w:lineRule="auto"/>
        <w:rPr>
          <w:color w:val="000000" w:themeColor="text1"/>
        </w:rPr>
      </w:pPr>
      <w:r w:rsidRPr="5DD2836A">
        <w:rPr>
          <w:rFonts w:eastAsia="Arial" w:cs="Arial"/>
          <w:color w:val="000000" w:themeColor="text1"/>
        </w:rPr>
        <w:lastRenderedPageBreak/>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5DD2836A">
        <w:rPr>
          <w:rFonts w:eastAsia="Arial" w:cs="Arial"/>
          <w:color w:val="000000" w:themeColor="text1"/>
        </w:rPr>
        <w:t>locations</w:t>
      </w:r>
      <w:proofErr w:type="gramEnd"/>
      <w:r w:rsidRPr="5DD2836A">
        <w:rPr>
          <w:rFonts w:eastAsia="Arial" w:cs="Arial"/>
          <w:color w:val="000000" w:themeColor="text1"/>
        </w:rPr>
        <w:t xml:space="preserve">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9">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Default="5DD2836A" w:rsidP="5DD2836A">
      <w:pPr>
        <w:spacing w:before="120" w:after="200"/>
        <w:rPr>
          <w:color w:val="000000" w:themeColor="text1"/>
        </w:rPr>
      </w:pPr>
    </w:p>
    <w:sectPr w:rsidR="5DD2836A"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AD1B" w14:textId="77777777" w:rsidR="004613C8" w:rsidRDefault="004613C8" w:rsidP="000C3710">
      <w:r>
        <w:separator/>
      </w:r>
    </w:p>
  </w:endnote>
  <w:endnote w:type="continuationSeparator" w:id="0">
    <w:p w14:paraId="5228AB9E" w14:textId="77777777" w:rsidR="004613C8" w:rsidRDefault="004613C8" w:rsidP="000C3710">
      <w:r>
        <w:continuationSeparator/>
      </w:r>
    </w:p>
  </w:endnote>
  <w:endnote w:id="1">
    <w:p w14:paraId="2562BBDB" w14:textId="77777777" w:rsidR="00CF5B80" w:rsidRDefault="00CF5B80" w:rsidP="00CF5B80">
      <w:pPr>
        <w:pStyle w:val="EndnoteText"/>
      </w:pPr>
    </w:p>
    <w:p w14:paraId="57CD7528" w14:textId="77777777" w:rsidR="00CF5B80" w:rsidRDefault="00CF5B80" w:rsidP="00CF5B80">
      <w:pPr>
        <w:pStyle w:val="EndnoteText"/>
      </w:pPr>
    </w:p>
    <w:p w14:paraId="00146D01" w14:textId="77777777" w:rsidR="00CF5B80" w:rsidRDefault="00CF5B80" w:rsidP="00CF5B80">
      <w:pPr>
        <w:pStyle w:val="EndnoteText"/>
      </w:pPr>
    </w:p>
    <w:p w14:paraId="2AA6814D" w14:textId="77777777" w:rsidR="00CF5B80" w:rsidRPr="00A934E9" w:rsidRDefault="00CF5B80" w:rsidP="00CF5B8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65A3" w14:textId="77777777" w:rsidR="004613C8" w:rsidRDefault="004613C8" w:rsidP="000C3710">
      <w:r>
        <w:separator/>
      </w:r>
    </w:p>
  </w:footnote>
  <w:footnote w:type="continuationSeparator" w:id="0">
    <w:p w14:paraId="164FCFE5" w14:textId="77777777" w:rsidR="004613C8" w:rsidRDefault="004613C8"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86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9E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654711C"/>
    <w:multiLevelType w:val="hybridMultilevel"/>
    <w:tmpl w:val="796810C2"/>
    <w:lvl w:ilvl="0" w:tplc="8F78583C">
      <w:numFmt w:val="bullet"/>
      <w:lvlText w:val="-"/>
      <w:lvlJc w:val="left"/>
      <w:pPr>
        <w:ind w:left="720" w:hanging="360"/>
      </w:pPr>
      <w:rPr>
        <w:rFonts w:ascii="Calibri" w:hAnsi="Calibri" w:hint="default"/>
        <w:caps w:val="0"/>
        <w:strike w:val="0"/>
        <w:dstrike w:val="0"/>
        <w:vanish w:val="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B7DFF"/>
    <w:multiLevelType w:val="hybridMultilevel"/>
    <w:tmpl w:val="F028ECA8"/>
    <w:lvl w:ilvl="0" w:tplc="50DC9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4F7BC7"/>
    <w:multiLevelType w:val="hybridMultilevel"/>
    <w:tmpl w:val="B628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F24B9"/>
    <w:multiLevelType w:val="hybridMultilevel"/>
    <w:tmpl w:val="2594FC4E"/>
    <w:lvl w:ilvl="0" w:tplc="2656F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92239"/>
    <w:multiLevelType w:val="hybridMultilevel"/>
    <w:tmpl w:val="52807770"/>
    <w:lvl w:ilvl="0" w:tplc="50DC9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7A222D"/>
    <w:multiLevelType w:val="hybridMultilevel"/>
    <w:tmpl w:val="D4A0A620"/>
    <w:lvl w:ilvl="0" w:tplc="459E51AE">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682388">
    <w:abstractNumId w:val="20"/>
  </w:num>
  <w:num w:numId="2" w16cid:durableId="926811699">
    <w:abstractNumId w:val="23"/>
  </w:num>
  <w:num w:numId="3" w16cid:durableId="1660184246">
    <w:abstractNumId w:val="18"/>
  </w:num>
  <w:num w:numId="4" w16cid:durableId="1210413226">
    <w:abstractNumId w:val="14"/>
  </w:num>
  <w:num w:numId="5" w16cid:durableId="1450666549">
    <w:abstractNumId w:val="13"/>
  </w:num>
  <w:num w:numId="6" w16cid:durableId="2058432688">
    <w:abstractNumId w:val="19"/>
  </w:num>
  <w:num w:numId="7" w16cid:durableId="190648627">
    <w:abstractNumId w:val="25"/>
  </w:num>
  <w:num w:numId="8" w16cid:durableId="1183785532">
    <w:abstractNumId w:val="26"/>
  </w:num>
  <w:num w:numId="9" w16cid:durableId="78526651">
    <w:abstractNumId w:val="11"/>
    <w:lvlOverride w:ilvl="0">
      <w:lvl w:ilvl="0">
        <w:numFmt w:val="bullet"/>
        <w:lvlText w:val=""/>
        <w:legacy w:legacy="1" w:legacySpace="0" w:legacyIndent="0"/>
        <w:lvlJc w:val="left"/>
        <w:rPr>
          <w:rFonts w:ascii="Symbol" w:hAnsi="Symbol" w:hint="default"/>
          <w:sz w:val="22"/>
        </w:rPr>
      </w:lvl>
    </w:lvlOverride>
  </w:num>
  <w:num w:numId="10" w16cid:durableId="662045097">
    <w:abstractNumId w:val="22"/>
  </w:num>
  <w:num w:numId="11" w16cid:durableId="303629649">
    <w:abstractNumId w:val="21"/>
  </w:num>
  <w:num w:numId="12" w16cid:durableId="984547458">
    <w:abstractNumId w:val="28"/>
  </w:num>
  <w:num w:numId="13" w16cid:durableId="1108045099">
    <w:abstractNumId w:val="0"/>
  </w:num>
  <w:num w:numId="14" w16cid:durableId="878467264">
    <w:abstractNumId w:val="10"/>
  </w:num>
  <w:num w:numId="15" w16cid:durableId="19816164">
    <w:abstractNumId w:val="8"/>
  </w:num>
  <w:num w:numId="16" w16cid:durableId="116414374">
    <w:abstractNumId w:val="7"/>
  </w:num>
  <w:num w:numId="17" w16cid:durableId="27920247">
    <w:abstractNumId w:val="6"/>
  </w:num>
  <w:num w:numId="18" w16cid:durableId="1792744021">
    <w:abstractNumId w:val="5"/>
  </w:num>
  <w:num w:numId="19" w16cid:durableId="397018221">
    <w:abstractNumId w:val="9"/>
  </w:num>
  <w:num w:numId="20" w16cid:durableId="2119056220">
    <w:abstractNumId w:val="4"/>
  </w:num>
  <w:num w:numId="21" w16cid:durableId="47263147">
    <w:abstractNumId w:val="3"/>
  </w:num>
  <w:num w:numId="22" w16cid:durableId="247428006">
    <w:abstractNumId w:val="2"/>
  </w:num>
  <w:num w:numId="23" w16cid:durableId="1654869861">
    <w:abstractNumId w:val="1"/>
  </w:num>
  <w:num w:numId="24" w16cid:durableId="1897860189">
    <w:abstractNumId w:val="16"/>
  </w:num>
  <w:num w:numId="25" w16cid:durableId="1744371905">
    <w:abstractNumId w:val="17"/>
  </w:num>
  <w:num w:numId="26" w16cid:durableId="2066448313">
    <w:abstractNumId w:val="29"/>
  </w:num>
  <w:num w:numId="27" w16cid:durableId="1417940108">
    <w:abstractNumId w:val="15"/>
  </w:num>
  <w:num w:numId="28" w16cid:durableId="412093022">
    <w:abstractNumId w:val="27"/>
  </w:num>
  <w:num w:numId="29" w16cid:durableId="1515923311">
    <w:abstractNumId w:val="24"/>
  </w:num>
  <w:num w:numId="30" w16cid:durableId="19699659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B35"/>
    <w:rsid w:val="00007E4A"/>
    <w:rsid w:val="000118E3"/>
    <w:rsid w:val="000241D1"/>
    <w:rsid w:val="00025F29"/>
    <w:rsid w:val="00030834"/>
    <w:rsid w:val="000310DE"/>
    <w:rsid w:val="000415E9"/>
    <w:rsid w:val="0004433C"/>
    <w:rsid w:val="00051966"/>
    <w:rsid w:val="00056A18"/>
    <w:rsid w:val="000576DC"/>
    <w:rsid w:val="00064448"/>
    <w:rsid w:val="00066CAF"/>
    <w:rsid w:val="00076437"/>
    <w:rsid w:val="00096574"/>
    <w:rsid w:val="000A7045"/>
    <w:rsid w:val="000B4C20"/>
    <w:rsid w:val="000B5829"/>
    <w:rsid w:val="000B728F"/>
    <w:rsid w:val="000C3710"/>
    <w:rsid w:val="000C5742"/>
    <w:rsid w:val="000C61F2"/>
    <w:rsid w:val="000C62E9"/>
    <w:rsid w:val="000D6CA1"/>
    <w:rsid w:val="000E1755"/>
    <w:rsid w:val="000E3253"/>
    <w:rsid w:val="000E375B"/>
    <w:rsid w:val="000E414F"/>
    <w:rsid w:val="000E4D76"/>
    <w:rsid w:val="000F6440"/>
    <w:rsid w:val="00102100"/>
    <w:rsid w:val="00107B7A"/>
    <w:rsid w:val="0011188B"/>
    <w:rsid w:val="00112DEE"/>
    <w:rsid w:val="001222FF"/>
    <w:rsid w:val="001555CD"/>
    <w:rsid w:val="0015757A"/>
    <w:rsid w:val="001637C2"/>
    <w:rsid w:val="00164C95"/>
    <w:rsid w:val="00165C9B"/>
    <w:rsid w:val="00175E9C"/>
    <w:rsid w:val="00176711"/>
    <w:rsid w:val="0018288F"/>
    <w:rsid w:val="00182C1C"/>
    <w:rsid w:val="00183FA9"/>
    <w:rsid w:val="00186E13"/>
    <w:rsid w:val="00193BD3"/>
    <w:rsid w:val="001A4B63"/>
    <w:rsid w:val="001A63BC"/>
    <w:rsid w:val="001B190C"/>
    <w:rsid w:val="001B5D66"/>
    <w:rsid w:val="001C31F6"/>
    <w:rsid w:val="001D79B9"/>
    <w:rsid w:val="001E074F"/>
    <w:rsid w:val="001E112E"/>
    <w:rsid w:val="001E7405"/>
    <w:rsid w:val="001F3DB6"/>
    <w:rsid w:val="001F651F"/>
    <w:rsid w:val="002072D5"/>
    <w:rsid w:val="00212DF4"/>
    <w:rsid w:val="00213A86"/>
    <w:rsid w:val="00214E11"/>
    <w:rsid w:val="00215E5E"/>
    <w:rsid w:val="0022123C"/>
    <w:rsid w:val="00222F56"/>
    <w:rsid w:val="00234AD4"/>
    <w:rsid w:val="00244E25"/>
    <w:rsid w:val="002460BE"/>
    <w:rsid w:val="00247353"/>
    <w:rsid w:val="00257BD7"/>
    <w:rsid w:val="002659AE"/>
    <w:rsid w:val="0026644B"/>
    <w:rsid w:val="0027015A"/>
    <w:rsid w:val="00285811"/>
    <w:rsid w:val="00290740"/>
    <w:rsid w:val="002925FE"/>
    <w:rsid w:val="00293255"/>
    <w:rsid w:val="002952E4"/>
    <w:rsid w:val="002B2A26"/>
    <w:rsid w:val="002B6832"/>
    <w:rsid w:val="002B7647"/>
    <w:rsid w:val="002B7E57"/>
    <w:rsid w:val="002C1FBB"/>
    <w:rsid w:val="002C21F5"/>
    <w:rsid w:val="002C5AA6"/>
    <w:rsid w:val="002D0C54"/>
    <w:rsid w:val="002D16CD"/>
    <w:rsid w:val="002D38E9"/>
    <w:rsid w:val="002D4DEF"/>
    <w:rsid w:val="002D62E4"/>
    <w:rsid w:val="002D7D3A"/>
    <w:rsid w:val="002E443D"/>
    <w:rsid w:val="002F2367"/>
    <w:rsid w:val="002F363E"/>
    <w:rsid w:val="00306E1E"/>
    <w:rsid w:val="003117C2"/>
    <w:rsid w:val="00320886"/>
    <w:rsid w:val="0032151B"/>
    <w:rsid w:val="00332D2A"/>
    <w:rsid w:val="00336475"/>
    <w:rsid w:val="0034354C"/>
    <w:rsid w:val="00353547"/>
    <w:rsid w:val="00361834"/>
    <w:rsid w:val="00361E57"/>
    <w:rsid w:val="003655B8"/>
    <w:rsid w:val="0037152D"/>
    <w:rsid w:val="00372E4B"/>
    <w:rsid w:val="00373453"/>
    <w:rsid w:val="0037425C"/>
    <w:rsid w:val="00377BF5"/>
    <w:rsid w:val="00377E69"/>
    <w:rsid w:val="0038200F"/>
    <w:rsid w:val="00396BF0"/>
    <w:rsid w:val="003A00B6"/>
    <w:rsid w:val="003B3F83"/>
    <w:rsid w:val="003B52AA"/>
    <w:rsid w:val="003B7251"/>
    <w:rsid w:val="003C0559"/>
    <w:rsid w:val="003C1BC1"/>
    <w:rsid w:val="003C2823"/>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46F4F"/>
    <w:rsid w:val="004613C8"/>
    <w:rsid w:val="00472BBD"/>
    <w:rsid w:val="00474B45"/>
    <w:rsid w:val="004809D8"/>
    <w:rsid w:val="00481D11"/>
    <w:rsid w:val="004A64C8"/>
    <w:rsid w:val="004A6CA6"/>
    <w:rsid w:val="004B276A"/>
    <w:rsid w:val="004C2C7B"/>
    <w:rsid w:val="004C5D45"/>
    <w:rsid w:val="004D08C1"/>
    <w:rsid w:val="004D2245"/>
    <w:rsid w:val="004D5D35"/>
    <w:rsid w:val="004E2D0B"/>
    <w:rsid w:val="004E67BE"/>
    <w:rsid w:val="004F1A27"/>
    <w:rsid w:val="005032F9"/>
    <w:rsid w:val="0050455A"/>
    <w:rsid w:val="005075C6"/>
    <w:rsid w:val="00511A6E"/>
    <w:rsid w:val="00516578"/>
    <w:rsid w:val="00523923"/>
    <w:rsid w:val="005246DC"/>
    <w:rsid w:val="005356FF"/>
    <w:rsid w:val="00544027"/>
    <w:rsid w:val="00544A89"/>
    <w:rsid w:val="0054592E"/>
    <w:rsid w:val="00555615"/>
    <w:rsid w:val="00591246"/>
    <w:rsid w:val="0059671E"/>
    <w:rsid w:val="005A643C"/>
    <w:rsid w:val="005B0B20"/>
    <w:rsid w:val="005B3739"/>
    <w:rsid w:val="005C103A"/>
    <w:rsid w:val="005D0BBF"/>
    <w:rsid w:val="005E629A"/>
    <w:rsid w:val="005E6FE1"/>
    <w:rsid w:val="005F3AFC"/>
    <w:rsid w:val="006007DA"/>
    <w:rsid w:val="00622ED3"/>
    <w:rsid w:val="00626681"/>
    <w:rsid w:val="00632D59"/>
    <w:rsid w:val="00641AEF"/>
    <w:rsid w:val="00653E0C"/>
    <w:rsid w:val="006579B7"/>
    <w:rsid w:val="00657B6B"/>
    <w:rsid w:val="00661BE1"/>
    <w:rsid w:val="006642C4"/>
    <w:rsid w:val="0066692F"/>
    <w:rsid w:val="00673B45"/>
    <w:rsid w:val="00674FCB"/>
    <w:rsid w:val="00676596"/>
    <w:rsid w:val="0068655C"/>
    <w:rsid w:val="006907A6"/>
    <w:rsid w:val="006921D1"/>
    <w:rsid w:val="006968C1"/>
    <w:rsid w:val="006A5CFB"/>
    <w:rsid w:val="006B4298"/>
    <w:rsid w:val="006B7F68"/>
    <w:rsid w:val="006C47DD"/>
    <w:rsid w:val="006C5703"/>
    <w:rsid w:val="006C688F"/>
    <w:rsid w:val="006C7D5A"/>
    <w:rsid w:val="006D1BD7"/>
    <w:rsid w:val="006D4DCB"/>
    <w:rsid w:val="006D6C69"/>
    <w:rsid w:val="006E3839"/>
    <w:rsid w:val="006F3357"/>
    <w:rsid w:val="007001DA"/>
    <w:rsid w:val="0070263C"/>
    <w:rsid w:val="00711C06"/>
    <w:rsid w:val="0071297F"/>
    <w:rsid w:val="007142C7"/>
    <w:rsid w:val="00730993"/>
    <w:rsid w:val="00745587"/>
    <w:rsid w:val="00746F70"/>
    <w:rsid w:val="00746FD9"/>
    <w:rsid w:val="00751237"/>
    <w:rsid w:val="0075490C"/>
    <w:rsid w:val="00756755"/>
    <w:rsid w:val="007613B3"/>
    <w:rsid w:val="00774438"/>
    <w:rsid w:val="0077559E"/>
    <w:rsid w:val="007826F8"/>
    <w:rsid w:val="00784BC3"/>
    <w:rsid w:val="00784EA6"/>
    <w:rsid w:val="007851CF"/>
    <w:rsid w:val="007B6BF8"/>
    <w:rsid w:val="007C7F78"/>
    <w:rsid w:val="007D5968"/>
    <w:rsid w:val="007D7750"/>
    <w:rsid w:val="007E73F5"/>
    <w:rsid w:val="00801C3E"/>
    <w:rsid w:val="00802DB2"/>
    <w:rsid w:val="0080603F"/>
    <w:rsid w:val="00806AF3"/>
    <w:rsid w:val="008116F0"/>
    <w:rsid w:val="00812FFA"/>
    <w:rsid w:val="00813D3A"/>
    <w:rsid w:val="008263AC"/>
    <w:rsid w:val="00844B26"/>
    <w:rsid w:val="00845125"/>
    <w:rsid w:val="0085347F"/>
    <w:rsid w:val="00861563"/>
    <w:rsid w:val="00866B7D"/>
    <w:rsid w:val="00873C12"/>
    <w:rsid w:val="00883D70"/>
    <w:rsid w:val="00884F21"/>
    <w:rsid w:val="00884F6C"/>
    <w:rsid w:val="00896383"/>
    <w:rsid w:val="008A2A60"/>
    <w:rsid w:val="008B0A0B"/>
    <w:rsid w:val="008B3BDE"/>
    <w:rsid w:val="008C5761"/>
    <w:rsid w:val="008D79DD"/>
    <w:rsid w:val="008E375E"/>
    <w:rsid w:val="0090065A"/>
    <w:rsid w:val="00900912"/>
    <w:rsid w:val="00900FA6"/>
    <w:rsid w:val="00903E9D"/>
    <w:rsid w:val="00905953"/>
    <w:rsid w:val="00906E2A"/>
    <w:rsid w:val="009109A5"/>
    <w:rsid w:val="0091382D"/>
    <w:rsid w:val="009203FF"/>
    <w:rsid w:val="00922852"/>
    <w:rsid w:val="009247BD"/>
    <w:rsid w:val="00933B51"/>
    <w:rsid w:val="009512AC"/>
    <w:rsid w:val="0095309F"/>
    <w:rsid w:val="00960715"/>
    <w:rsid w:val="0096249B"/>
    <w:rsid w:val="00962F0B"/>
    <w:rsid w:val="009637FF"/>
    <w:rsid w:val="00963C52"/>
    <w:rsid w:val="009657AF"/>
    <w:rsid w:val="00970EBD"/>
    <w:rsid w:val="00975550"/>
    <w:rsid w:val="00985393"/>
    <w:rsid w:val="009A11FE"/>
    <w:rsid w:val="009A1C63"/>
    <w:rsid w:val="009B3C84"/>
    <w:rsid w:val="009B6BAC"/>
    <w:rsid w:val="009D5ED5"/>
    <w:rsid w:val="009E758D"/>
    <w:rsid w:val="00A0375D"/>
    <w:rsid w:val="00A11FA1"/>
    <w:rsid w:val="00A152BE"/>
    <w:rsid w:val="00A15D12"/>
    <w:rsid w:val="00A24FA9"/>
    <w:rsid w:val="00A3477D"/>
    <w:rsid w:val="00A52F61"/>
    <w:rsid w:val="00A56EC7"/>
    <w:rsid w:val="00A71AB3"/>
    <w:rsid w:val="00A73543"/>
    <w:rsid w:val="00A73EFC"/>
    <w:rsid w:val="00A7722C"/>
    <w:rsid w:val="00A80C16"/>
    <w:rsid w:val="00A8354D"/>
    <w:rsid w:val="00A934E9"/>
    <w:rsid w:val="00A94248"/>
    <w:rsid w:val="00AC083A"/>
    <w:rsid w:val="00AC78AC"/>
    <w:rsid w:val="00AE48C4"/>
    <w:rsid w:val="00AE74FB"/>
    <w:rsid w:val="00AF077A"/>
    <w:rsid w:val="00AF3B0E"/>
    <w:rsid w:val="00B01BE4"/>
    <w:rsid w:val="00B02636"/>
    <w:rsid w:val="00B05ABF"/>
    <w:rsid w:val="00B14BE6"/>
    <w:rsid w:val="00B22FF0"/>
    <w:rsid w:val="00B25923"/>
    <w:rsid w:val="00B35723"/>
    <w:rsid w:val="00B37562"/>
    <w:rsid w:val="00B4127F"/>
    <w:rsid w:val="00B415E7"/>
    <w:rsid w:val="00B57F3D"/>
    <w:rsid w:val="00B63E76"/>
    <w:rsid w:val="00B66698"/>
    <w:rsid w:val="00B677D8"/>
    <w:rsid w:val="00B814B7"/>
    <w:rsid w:val="00B84938"/>
    <w:rsid w:val="00B96CAE"/>
    <w:rsid w:val="00BB1006"/>
    <w:rsid w:val="00BB25E0"/>
    <w:rsid w:val="00BB358B"/>
    <w:rsid w:val="00BB4A6F"/>
    <w:rsid w:val="00BC0092"/>
    <w:rsid w:val="00BC06E9"/>
    <w:rsid w:val="00BC3E8A"/>
    <w:rsid w:val="00BF59BC"/>
    <w:rsid w:val="00BF605F"/>
    <w:rsid w:val="00C046B2"/>
    <w:rsid w:val="00C1551F"/>
    <w:rsid w:val="00C25DC0"/>
    <w:rsid w:val="00C27FE8"/>
    <w:rsid w:val="00C34C2B"/>
    <w:rsid w:val="00C401E7"/>
    <w:rsid w:val="00C427CA"/>
    <w:rsid w:val="00C448ED"/>
    <w:rsid w:val="00C62EFB"/>
    <w:rsid w:val="00C67879"/>
    <w:rsid w:val="00C711EC"/>
    <w:rsid w:val="00C756A2"/>
    <w:rsid w:val="00C77B32"/>
    <w:rsid w:val="00C92726"/>
    <w:rsid w:val="00C972F8"/>
    <w:rsid w:val="00CA02D8"/>
    <w:rsid w:val="00CB3A47"/>
    <w:rsid w:val="00CD3149"/>
    <w:rsid w:val="00CD3E5C"/>
    <w:rsid w:val="00CE46A7"/>
    <w:rsid w:val="00CE769B"/>
    <w:rsid w:val="00CF5B80"/>
    <w:rsid w:val="00D03797"/>
    <w:rsid w:val="00D042EF"/>
    <w:rsid w:val="00D05933"/>
    <w:rsid w:val="00D24E21"/>
    <w:rsid w:val="00D26336"/>
    <w:rsid w:val="00D3303B"/>
    <w:rsid w:val="00D34BC9"/>
    <w:rsid w:val="00D35998"/>
    <w:rsid w:val="00D460BE"/>
    <w:rsid w:val="00D505DE"/>
    <w:rsid w:val="00D5258E"/>
    <w:rsid w:val="00D529C8"/>
    <w:rsid w:val="00D541BC"/>
    <w:rsid w:val="00D61A9A"/>
    <w:rsid w:val="00D64897"/>
    <w:rsid w:val="00D67207"/>
    <w:rsid w:val="00D675C4"/>
    <w:rsid w:val="00D72E5E"/>
    <w:rsid w:val="00D84097"/>
    <w:rsid w:val="00D86D91"/>
    <w:rsid w:val="00D92AE1"/>
    <w:rsid w:val="00DE40E3"/>
    <w:rsid w:val="00E00B53"/>
    <w:rsid w:val="00E05E8C"/>
    <w:rsid w:val="00E13740"/>
    <w:rsid w:val="00E2153C"/>
    <w:rsid w:val="00E24709"/>
    <w:rsid w:val="00E5163F"/>
    <w:rsid w:val="00E54A5D"/>
    <w:rsid w:val="00E55B2F"/>
    <w:rsid w:val="00E612AA"/>
    <w:rsid w:val="00E61D56"/>
    <w:rsid w:val="00E630F3"/>
    <w:rsid w:val="00E64A2C"/>
    <w:rsid w:val="00E654DC"/>
    <w:rsid w:val="00E82A93"/>
    <w:rsid w:val="00E9158F"/>
    <w:rsid w:val="00EA6D4D"/>
    <w:rsid w:val="00EA714F"/>
    <w:rsid w:val="00EB244E"/>
    <w:rsid w:val="00EB76A6"/>
    <w:rsid w:val="00EC5E3A"/>
    <w:rsid w:val="00EE3A60"/>
    <w:rsid w:val="00EE7747"/>
    <w:rsid w:val="00EF5A83"/>
    <w:rsid w:val="00F027D0"/>
    <w:rsid w:val="00F13F95"/>
    <w:rsid w:val="00F219DD"/>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5C73"/>
    <w:rsid w:val="00FB6F21"/>
    <w:rsid w:val="00FC1ABD"/>
    <w:rsid w:val="00FE1530"/>
    <w:rsid w:val="00FE3848"/>
    <w:rsid w:val="00FE46C7"/>
    <w:rsid w:val="00FF713E"/>
    <w:rsid w:val="034DD3C2"/>
    <w:rsid w:val="0690BFCA"/>
    <w:rsid w:val="09CD7EEA"/>
    <w:rsid w:val="0B4782DD"/>
    <w:rsid w:val="0F8C0EEF"/>
    <w:rsid w:val="1127DF50"/>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9861F26"/>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MCHIP_list paragraph,List Paragraph1,Recommendation,List Paragraph (numbered (a)),Dot pt,F5 List Paragraph,No Spacing1,List Paragraph Char Char Char,Indicator Text,Numbered Para 1,MAIN CONTENT,Bullet 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5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844B26"/>
    <w:rPr>
      <w:rFonts w:ascii="Arial" w:eastAsia="MS PGothic" w:hAnsi="Arial"/>
      <w:color w:val="000000"/>
    </w:rPr>
  </w:style>
  <w:style w:type="character" w:styleId="CommentReference">
    <w:name w:val="annotation reference"/>
    <w:basedOn w:val="DefaultParagraphFont"/>
    <w:semiHidden/>
    <w:unhideWhenUsed/>
    <w:rsid w:val="00474B45"/>
    <w:rPr>
      <w:sz w:val="16"/>
      <w:szCs w:val="16"/>
    </w:rPr>
  </w:style>
  <w:style w:type="paragraph" w:styleId="CommentSubject">
    <w:name w:val="annotation subject"/>
    <w:basedOn w:val="CommentText"/>
    <w:next w:val="CommentText"/>
    <w:link w:val="CommentSubjectChar"/>
    <w:semiHidden/>
    <w:unhideWhenUsed/>
    <w:rsid w:val="00474B45"/>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474B45"/>
    <w:rPr>
      <w:rFonts w:ascii="Arial" w:eastAsia="MS PGothic" w:hAnsi="Arial"/>
      <w:b/>
      <w:bCs/>
      <w:color w:val="000000"/>
      <w:lang w:val="en-GB"/>
    </w:rPr>
  </w:style>
  <w:style w:type="paragraph" w:styleId="FootnoteText">
    <w:name w:val="footnote text"/>
    <w:basedOn w:val="Normal"/>
    <w:link w:val="FootnoteTextChar"/>
    <w:semiHidden/>
    <w:unhideWhenUsed/>
    <w:rsid w:val="001F3DB6"/>
    <w:pPr>
      <w:spacing w:line="240" w:lineRule="auto"/>
    </w:pPr>
  </w:style>
  <w:style w:type="character" w:customStyle="1" w:styleId="FootnoteTextChar">
    <w:name w:val="Footnote Text Char"/>
    <w:basedOn w:val="DefaultParagraphFont"/>
    <w:link w:val="FootnoteText"/>
    <w:semiHidden/>
    <w:rsid w:val="001F3DB6"/>
    <w:rPr>
      <w:rFonts w:ascii="Arial" w:eastAsia="MS PGothic" w:hAnsi="Arial"/>
      <w:color w:val="000000"/>
    </w:rPr>
  </w:style>
  <w:style w:type="character" w:styleId="FootnoteReference">
    <w:name w:val="footnote reference"/>
    <w:basedOn w:val="DefaultParagraphFont"/>
    <w:semiHidden/>
    <w:unhideWhenUsed/>
    <w:rsid w:val="001F3D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285">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82932256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8</Pages>
  <Words>2682</Words>
  <Characters>16759</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Dominique Tuyirate</cp:lastModifiedBy>
  <cp:revision>2</cp:revision>
  <cp:lastPrinted>2017-01-06T22:20:00Z</cp:lastPrinted>
  <dcterms:created xsi:type="dcterms:W3CDTF">2023-12-28T11:15:00Z</dcterms:created>
  <dcterms:modified xsi:type="dcterms:W3CDTF">2023-12-28T11:15:00Z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