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CCDEB" w14:textId="6513A09C" w:rsidR="00944013" w:rsidRPr="00DF762E" w:rsidRDefault="00944013" w:rsidP="00944013">
      <w:pPr>
        <w:rPr>
          <w:rFonts w:ascii="Arial" w:eastAsia="MS Gothic" w:hAnsi="Arial" w:cs="Arial"/>
          <w:b/>
          <w:u w:val="single"/>
        </w:rPr>
      </w:pPr>
    </w:p>
    <w:tbl>
      <w:tblPr>
        <w:tblpPr w:leftFromText="180" w:rightFromText="180" w:horzAnchor="margin" w:tblpXSpec="center" w:tblpY="530"/>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0"/>
        <w:gridCol w:w="1524"/>
        <w:gridCol w:w="1985"/>
        <w:gridCol w:w="1175"/>
        <w:gridCol w:w="900"/>
        <w:gridCol w:w="2328"/>
      </w:tblGrid>
      <w:tr w:rsidR="0007007D" w:rsidRPr="00502CDB" w14:paraId="0498C0CB" w14:textId="77777777" w:rsidTr="0005346D">
        <w:trPr>
          <w:trHeight w:val="710"/>
        </w:trPr>
        <w:tc>
          <w:tcPr>
            <w:tcW w:w="9892" w:type="dxa"/>
            <w:gridSpan w:val="6"/>
            <w:tcBorders>
              <w:top w:val="nil"/>
              <w:left w:val="nil"/>
              <w:bottom w:val="single" w:sz="4" w:space="0" w:color="auto"/>
              <w:right w:val="nil"/>
            </w:tcBorders>
            <w:shd w:val="clear" w:color="auto" w:fill="auto"/>
            <w:noWrap/>
          </w:tcPr>
          <w:p w14:paraId="569B9764" w14:textId="10DF1346" w:rsidR="0007007D" w:rsidRPr="00E16914" w:rsidRDefault="0007007D" w:rsidP="09BBADAC">
            <w:pPr>
              <w:spacing w:line="276" w:lineRule="auto"/>
              <w:jc w:val="center"/>
              <w:rPr>
                <w:rFonts w:ascii="Arial" w:eastAsia="MS PGothic" w:hAnsi="Arial"/>
                <w:color w:val="000000" w:themeColor="text1"/>
              </w:rPr>
            </w:pPr>
            <w:r w:rsidRPr="09BBADAC">
              <w:rPr>
                <w:rFonts w:ascii="Calibri" w:hAnsi="Calibri" w:cs="Calibri"/>
                <w:b/>
                <w:bCs/>
                <w:color w:val="00B0F0"/>
                <w:sz w:val="24"/>
                <w:szCs w:val="24"/>
                <w:u w:val="single"/>
              </w:rPr>
              <w:t xml:space="preserve">TERMS OF REFERENCE FOR INDIVIDUAL </w:t>
            </w:r>
            <w:r w:rsidR="00AF4954">
              <w:rPr>
                <w:rFonts w:ascii="Calibri" w:hAnsi="Calibri" w:cs="Calibri"/>
                <w:b/>
                <w:bCs/>
                <w:color w:val="00B0F0"/>
                <w:sz w:val="24"/>
                <w:szCs w:val="24"/>
                <w:u w:val="single"/>
              </w:rPr>
              <w:t xml:space="preserve">INTERNATIONAL </w:t>
            </w:r>
            <w:r w:rsidRPr="09BBADAC">
              <w:rPr>
                <w:rFonts w:ascii="Calibri" w:hAnsi="Calibri" w:cs="Calibri"/>
                <w:b/>
                <w:bCs/>
                <w:color w:val="00B0F0"/>
                <w:sz w:val="24"/>
                <w:szCs w:val="24"/>
                <w:u w:val="single"/>
              </w:rPr>
              <w:t xml:space="preserve">CONSULTANT </w:t>
            </w:r>
          </w:p>
          <w:p w14:paraId="2CF5072A" w14:textId="77777777" w:rsidR="0007007D" w:rsidRDefault="0007007D" w:rsidP="00236DC9">
            <w:pPr>
              <w:spacing w:line="276" w:lineRule="auto"/>
              <w:jc w:val="center"/>
              <w:rPr>
                <w:rFonts w:ascii="Calibri" w:hAnsi="Calibri" w:cs="Calibri"/>
                <w:b/>
                <w:bCs/>
                <w:color w:val="00B0F0"/>
                <w:sz w:val="24"/>
                <w:szCs w:val="24"/>
                <w:u w:val="single"/>
              </w:rPr>
            </w:pPr>
            <w:r w:rsidRPr="09BBADAC">
              <w:rPr>
                <w:rFonts w:ascii="Calibri" w:hAnsi="Calibri" w:cs="Calibri"/>
                <w:b/>
                <w:bCs/>
                <w:color w:val="00B0F0"/>
                <w:sz w:val="24"/>
                <w:szCs w:val="24"/>
                <w:u w:val="single"/>
              </w:rPr>
              <w:t>FOR RESEARCH STUDIES AND EVALUATIONS</w:t>
            </w:r>
          </w:p>
          <w:p w14:paraId="3812ABFB" w14:textId="77777777" w:rsidR="00502CDB" w:rsidRDefault="00502CDB" w:rsidP="00236DC9">
            <w:pPr>
              <w:spacing w:line="276" w:lineRule="auto"/>
              <w:jc w:val="center"/>
              <w:rPr>
                <w:rFonts w:ascii="Calibri" w:hAnsi="Calibri" w:cs="Calibri"/>
                <w:b/>
                <w:bCs/>
                <w:color w:val="00B0F0"/>
                <w:sz w:val="24"/>
                <w:szCs w:val="24"/>
                <w:u w:val="single"/>
              </w:rPr>
            </w:pPr>
          </w:p>
          <w:p w14:paraId="7C19AF80" w14:textId="77777777" w:rsidR="00502CDB" w:rsidRDefault="00502CDB" w:rsidP="00236DC9">
            <w:pPr>
              <w:spacing w:line="276" w:lineRule="auto"/>
              <w:jc w:val="center"/>
              <w:rPr>
                <w:rFonts w:ascii="Garamond" w:hAnsi="Garamond"/>
                <w:sz w:val="22"/>
                <w:szCs w:val="22"/>
                <w:lang w:val="fr-FR"/>
              </w:rPr>
            </w:pPr>
            <w:r>
              <w:rPr>
                <w:rFonts w:ascii="Garamond" w:hAnsi="Garamond"/>
                <w:sz w:val="22"/>
                <w:szCs w:val="22"/>
                <w:lang w:val="fr-FR"/>
              </w:rPr>
              <w:t>E</w:t>
            </w:r>
            <w:r w:rsidRPr="001C6B64">
              <w:rPr>
                <w:rFonts w:ascii="Garamond" w:hAnsi="Garamond"/>
                <w:sz w:val="22"/>
                <w:szCs w:val="22"/>
                <w:lang w:val="fr-FR"/>
              </w:rPr>
              <w:t>valuation indépendante du programme Survie et développement de l’Enfant Programme de Coopération 2018-2020 UNICEF Djibouti</w:t>
            </w:r>
          </w:p>
          <w:p w14:paraId="7E1B9E67" w14:textId="6D9B5BB2" w:rsidR="00502CDB" w:rsidRPr="00502CDB" w:rsidRDefault="00502CDB" w:rsidP="00236DC9">
            <w:pPr>
              <w:spacing w:line="276" w:lineRule="auto"/>
              <w:jc w:val="center"/>
              <w:rPr>
                <w:rFonts w:ascii="Arial" w:eastAsia="MS PGothic" w:hAnsi="Arial"/>
                <w:color w:val="000000"/>
                <w:lang w:val="fr-FR"/>
              </w:rPr>
            </w:pPr>
          </w:p>
        </w:tc>
      </w:tr>
      <w:tr w:rsidR="0007007D" w:rsidRPr="00502CDB" w14:paraId="37C04BD4" w14:textId="77777777" w:rsidTr="0005346D">
        <w:trPr>
          <w:trHeight w:val="1964"/>
        </w:trPr>
        <w:tc>
          <w:tcPr>
            <w:tcW w:w="9892" w:type="dxa"/>
            <w:gridSpan w:val="6"/>
            <w:shd w:val="clear" w:color="auto" w:fill="auto"/>
            <w:noWrap/>
            <w:hideMark/>
          </w:tcPr>
          <w:p w14:paraId="2AF1003B" w14:textId="77777777" w:rsidR="0007007D" w:rsidRPr="008A7E6F" w:rsidRDefault="0007007D" w:rsidP="00236DC9">
            <w:pPr>
              <w:spacing w:before="60" w:after="60"/>
              <w:rPr>
                <w:rFonts w:ascii="Calibri" w:eastAsia="Arial Unicode MS" w:hAnsi="Calibri" w:cs="Calibri"/>
                <w:b/>
                <w:bCs/>
                <w:lang w:val="fr-FR"/>
              </w:rPr>
            </w:pPr>
            <w:r w:rsidRPr="008A7E6F">
              <w:rPr>
                <w:rFonts w:ascii="Calibri" w:eastAsia="Arial Unicode MS" w:hAnsi="Calibri" w:cs="Calibri"/>
                <w:b/>
                <w:bCs/>
                <w:lang w:val="fr-FR"/>
              </w:rPr>
              <w:t xml:space="preserve">Background and </w:t>
            </w:r>
            <w:proofErr w:type="gramStart"/>
            <w:r w:rsidRPr="008A7E6F">
              <w:rPr>
                <w:rFonts w:ascii="Calibri" w:eastAsia="Arial Unicode MS" w:hAnsi="Calibri" w:cs="Calibri"/>
                <w:b/>
                <w:bCs/>
                <w:lang w:val="fr-FR"/>
              </w:rPr>
              <w:t>Justifications:</w:t>
            </w:r>
            <w:proofErr w:type="gramEnd"/>
            <w:r w:rsidRPr="008A7E6F">
              <w:rPr>
                <w:rFonts w:ascii="Calibri" w:eastAsia="Arial Unicode MS" w:hAnsi="Calibri" w:cs="Calibri"/>
                <w:b/>
                <w:bCs/>
                <w:lang w:val="fr-FR"/>
              </w:rPr>
              <w:t xml:space="preserve"> </w:t>
            </w:r>
          </w:p>
          <w:p w14:paraId="4F240D93" w14:textId="77777777" w:rsidR="008A7E6F" w:rsidRPr="00374B98" w:rsidRDefault="008A7E6F" w:rsidP="008A7E6F">
            <w:pPr>
              <w:pStyle w:val="Default"/>
              <w:jc w:val="both"/>
              <w:rPr>
                <w:rFonts w:ascii="Garamond" w:hAnsi="Garamond"/>
                <w:sz w:val="22"/>
                <w:szCs w:val="22"/>
                <w:u w:val="single"/>
                <w:lang w:val="fr-FR"/>
              </w:rPr>
            </w:pPr>
            <w:r w:rsidRPr="00374B98">
              <w:rPr>
                <w:rFonts w:ascii="Garamond" w:hAnsi="Garamond"/>
                <w:sz w:val="22"/>
                <w:szCs w:val="22"/>
                <w:u w:val="single"/>
                <w:lang w:val="fr-FR"/>
              </w:rPr>
              <w:t xml:space="preserve">Contexte secteur « survie et développement de l’enfant » </w:t>
            </w:r>
          </w:p>
          <w:p w14:paraId="3529900D" w14:textId="77777777" w:rsidR="008A7E6F" w:rsidRPr="00374B98" w:rsidRDefault="008A7E6F" w:rsidP="008A7E6F">
            <w:pPr>
              <w:pStyle w:val="Default"/>
              <w:jc w:val="both"/>
              <w:rPr>
                <w:rFonts w:ascii="Garamond" w:hAnsi="Garamond"/>
                <w:sz w:val="22"/>
                <w:szCs w:val="22"/>
                <w:lang w:val="fr-FR"/>
              </w:rPr>
            </w:pPr>
            <w:r w:rsidRPr="00374B98">
              <w:rPr>
                <w:rFonts w:ascii="Garamond" w:hAnsi="Garamond"/>
                <w:sz w:val="22"/>
                <w:szCs w:val="22"/>
                <w:lang w:val="fr-FR"/>
              </w:rPr>
              <w:t xml:space="preserve">Les </w:t>
            </w:r>
            <w:r w:rsidRPr="00374B98">
              <w:rPr>
                <w:rFonts w:ascii="Garamond" w:hAnsi="Garamond"/>
                <w:i/>
                <w:iCs/>
                <w:sz w:val="22"/>
                <w:szCs w:val="22"/>
                <w:lang w:val="fr-FR"/>
              </w:rPr>
              <w:t>mortalités</w:t>
            </w:r>
            <w:r w:rsidRPr="00374B98">
              <w:rPr>
                <w:rFonts w:ascii="Garamond" w:hAnsi="Garamond"/>
                <w:sz w:val="22"/>
                <w:szCs w:val="22"/>
                <w:lang w:val="fr-FR"/>
              </w:rPr>
              <w:t xml:space="preserve"> maternelles, infantiles et infanto-juvénile se situent respectivement à 383 décès pour 100 000 naissances vivantes, 58 décès pour 1000 naissances vivantes (62.4 pour les garçons et 53.3 pour les filles) et 67.8 (74.5 pour les garçons et 60.5 pour les filles) décès pour 1000 naissances vivantes avec un léger désavantage pour le milieu urbain.</w:t>
            </w:r>
          </w:p>
          <w:p w14:paraId="16881FC9" w14:textId="77777777" w:rsidR="008A7E6F" w:rsidRPr="00374B98" w:rsidRDefault="008A7E6F" w:rsidP="008A7E6F">
            <w:pPr>
              <w:pStyle w:val="Default"/>
              <w:jc w:val="both"/>
              <w:rPr>
                <w:rFonts w:ascii="Garamond" w:hAnsi="Garamond"/>
                <w:sz w:val="22"/>
                <w:szCs w:val="22"/>
                <w:lang w:val="fr-FR"/>
              </w:rPr>
            </w:pPr>
          </w:p>
          <w:p w14:paraId="7F382C6B" w14:textId="77777777" w:rsidR="008A7E6F" w:rsidRPr="00374B98" w:rsidRDefault="008A7E6F" w:rsidP="008A7E6F">
            <w:pPr>
              <w:pStyle w:val="Default"/>
              <w:jc w:val="both"/>
              <w:rPr>
                <w:rFonts w:ascii="Garamond" w:hAnsi="Garamond"/>
                <w:sz w:val="22"/>
                <w:szCs w:val="22"/>
                <w:lang w:val="fr-FR"/>
              </w:rPr>
            </w:pPr>
            <w:r w:rsidRPr="00374B98">
              <w:rPr>
                <w:rFonts w:ascii="Garamond" w:hAnsi="Garamond"/>
                <w:sz w:val="22"/>
                <w:szCs w:val="22"/>
                <w:lang w:val="fr-FR"/>
              </w:rPr>
              <w:t>Selon l’annuaire statistique 2017, l’espérance de vie à la naissance est de 51,8 ans pour les hommes et 54,1 ans pour les femmes.  Le pays est confronté aux maladies infectieuses, souvent à caractère épidémique et ou endémique, tels que le paludisme, la grippe, le choléra, les diarrhées parasitaires et bactériennes, le VIH/SIDA-IST, la tuberculose et aux maladies non transmissibles en augmentation rapide tels que les affections cardiovasculaires, le diabète, les maladies pulmonaires obstructives chroniques et la malnutrition. Les maladies non transmissibles, de plus en plus fréquentes, sont responsables de 40% des admissions et un tiers des décès intra hospitaliers à l’hôpital général Peltier. Les causes maternelles et néonatales représentaient 12% du poids total de la maladie et 9% de la mortalité totale en 2010.</w:t>
            </w:r>
          </w:p>
          <w:p w14:paraId="290D133D" w14:textId="77777777" w:rsidR="008A7E6F" w:rsidRPr="00374B98" w:rsidRDefault="008A7E6F" w:rsidP="008A7E6F">
            <w:pPr>
              <w:pStyle w:val="Default"/>
              <w:jc w:val="both"/>
              <w:rPr>
                <w:rFonts w:ascii="Garamond" w:hAnsi="Garamond"/>
                <w:sz w:val="22"/>
                <w:szCs w:val="22"/>
                <w:lang w:val="fr-FR"/>
              </w:rPr>
            </w:pPr>
          </w:p>
          <w:p w14:paraId="75A7C321" w14:textId="77777777" w:rsidR="008A7E6F" w:rsidRPr="00374B98" w:rsidRDefault="008A7E6F" w:rsidP="008A7E6F">
            <w:pPr>
              <w:pStyle w:val="Default"/>
              <w:jc w:val="both"/>
              <w:rPr>
                <w:rFonts w:ascii="Garamond" w:hAnsi="Garamond"/>
                <w:sz w:val="22"/>
                <w:szCs w:val="22"/>
                <w:lang w:val="fr-FR"/>
              </w:rPr>
            </w:pPr>
            <w:r w:rsidRPr="00374B98">
              <w:rPr>
                <w:rFonts w:ascii="Garamond" w:hAnsi="Garamond"/>
                <w:sz w:val="22"/>
                <w:szCs w:val="22"/>
                <w:lang w:val="fr-FR"/>
              </w:rPr>
              <w:t>Selon la dernière enquête SMART de 2019, les prévalences globales de la malnutrition aigüe, de la malnutrition chronique et de l’insuffisance pondérale au niveau national sont respectivement de 10,3% ; 20,9% et 17,0% selon la référence de l’OMS de 2006. Ces prévalences sont à la baisse par rapport à celles de 2013. En effet de 2013 à 2019, la prévalence de la malnutrition aigüe est passée de 17,8% à 10,3% ; celle de la malnutrition chronique de 29,7% à 20,9% et celle de l’insuffisance pondérale de 29,6% à 17,0%.  Le taux de couverture de supplémentation de vitamine A est relativement faible au niveau national (53,3%) et dans l’ensemble du milieu urbain (50,8%). Au niveau des strates, elle est faible dans la commune de Balbala (42,4%) et très faible dans la région d’Arta (36,2%). Le taux est élevé dans les camps de réfugiés (81,3%).</w:t>
            </w:r>
          </w:p>
          <w:p w14:paraId="3FF5BD21" w14:textId="77777777" w:rsidR="008A7E6F" w:rsidRPr="00374B98" w:rsidRDefault="008A7E6F" w:rsidP="008A7E6F">
            <w:pPr>
              <w:pStyle w:val="Default"/>
              <w:jc w:val="both"/>
              <w:rPr>
                <w:rFonts w:ascii="Garamond" w:hAnsi="Garamond"/>
                <w:sz w:val="22"/>
                <w:szCs w:val="22"/>
                <w:lang w:val="fr-FR"/>
              </w:rPr>
            </w:pPr>
          </w:p>
          <w:p w14:paraId="51656371" w14:textId="77777777" w:rsidR="008A7E6F" w:rsidRPr="00374B98" w:rsidRDefault="008A7E6F" w:rsidP="008A7E6F">
            <w:pPr>
              <w:pStyle w:val="Default"/>
              <w:jc w:val="both"/>
              <w:rPr>
                <w:rFonts w:ascii="Garamond" w:hAnsi="Garamond"/>
                <w:sz w:val="22"/>
                <w:szCs w:val="22"/>
                <w:lang w:val="fr-FR"/>
              </w:rPr>
            </w:pPr>
            <w:r w:rsidRPr="00374B98">
              <w:rPr>
                <w:rFonts w:ascii="Garamond" w:hAnsi="Garamond"/>
                <w:sz w:val="22"/>
                <w:szCs w:val="22"/>
                <w:lang w:val="fr-FR"/>
              </w:rPr>
              <w:t xml:space="preserve">Le secteur Eau, Hygiène et Assainissement constitue une composante majeure de la coopération UNICEF/Djibouti en général, et du programme Survie et Développement de l’Enfant en particulier. Toutefois la maladie diarrhéique, dont l’une des causes les plus fréquentes est la consommation d'eau contaminée, est responsable des 20.2% de ces décès. Ainsi le changement dans la condition de vie des enfants à Djibouti ne peut être réalisé sans apporter aussi un changement significatif dans le domaine de l’eau, l’assainissement et l’hygiène. A Djibouti, le secteur Eau, Assainissement et Hygiène est marqué par une disparité significative entre le milieu rural et le milieu urbain, et entre Djibouti-ville et les autres régions. </w:t>
            </w:r>
          </w:p>
          <w:p w14:paraId="39A4D8B1" w14:textId="77777777" w:rsidR="008A7E6F" w:rsidRPr="00374B98" w:rsidRDefault="008A7E6F" w:rsidP="008A7E6F">
            <w:pPr>
              <w:pStyle w:val="Default"/>
              <w:jc w:val="both"/>
              <w:rPr>
                <w:rFonts w:ascii="Garamond" w:hAnsi="Garamond"/>
                <w:sz w:val="22"/>
                <w:szCs w:val="22"/>
                <w:lang w:val="fr-FR"/>
              </w:rPr>
            </w:pPr>
          </w:p>
          <w:p w14:paraId="0419D4B2" w14:textId="77777777" w:rsidR="008A7E6F" w:rsidRPr="00374B98" w:rsidRDefault="008A7E6F" w:rsidP="008A7E6F">
            <w:pPr>
              <w:pStyle w:val="Default"/>
              <w:jc w:val="both"/>
              <w:rPr>
                <w:rFonts w:ascii="Garamond" w:hAnsi="Garamond"/>
                <w:sz w:val="22"/>
                <w:szCs w:val="22"/>
                <w:lang w:val="fr-FR"/>
              </w:rPr>
            </w:pPr>
            <w:r w:rsidRPr="00374B98">
              <w:rPr>
                <w:rFonts w:ascii="Garamond" w:hAnsi="Garamond"/>
                <w:sz w:val="22"/>
                <w:szCs w:val="22"/>
                <w:lang w:val="fr-FR"/>
              </w:rPr>
              <w:t xml:space="preserve">Les taux d’accès- aux services basiques d’eau potable sont respectivement au niveau rural et urbain de 58% et 90%. Les outils et instruments programmatiques du secteur sont incomplets, non à jour et/ou non-diffusés. Le pays n’a pas atteint l’Objectif du Millénaire pour le Développement (OMD) en matière d’assainissement. La pratique de défécation à l’air libre demeure en milieu rural avec des proportions variantes d’une région à une autre. </w:t>
            </w:r>
          </w:p>
          <w:p w14:paraId="6E0174B2" w14:textId="77777777" w:rsidR="008A7E6F" w:rsidRPr="00374B98" w:rsidRDefault="008A7E6F" w:rsidP="008A7E6F">
            <w:pPr>
              <w:pStyle w:val="Default"/>
              <w:jc w:val="both"/>
              <w:rPr>
                <w:rFonts w:ascii="Garamond" w:hAnsi="Garamond"/>
                <w:sz w:val="22"/>
                <w:szCs w:val="22"/>
                <w:lang w:val="fr-FR"/>
              </w:rPr>
            </w:pPr>
          </w:p>
          <w:p w14:paraId="48E6CE2B" w14:textId="77777777" w:rsidR="008A7E6F" w:rsidRPr="00374B98" w:rsidRDefault="008A7E6F" w:rsidP="008A7E6F">
            <w:pPr>
              <w:pStyle w:val="Default"/>
              <w:jc w:val="both"/>
              <w:rPr>
                <w:rFonts w:ascii="Garamond" w:hAnsi="Garamond"/>
                <w:sz w:val="22"/>
                <w:szCs w:val="22"/>
                <w:lang w:val="fr-FR"/>
              </w:rPr>
            </w:pPr>
            <w:r w:rsidRPr="00374B98">
              <w:rPr>
                <w:rFonts w:ascii="Garamond" w:hAnsi="Garamond"/>
                <w:sz w:val="22"/>
                <w:szCs w:val="22"/>
                <w:lang w:val="fr-FR"/>
              </w:rPr>
              <w:t>Avec le changement climatique, le pays est exposé à des risques élevés de sécheresse depuis 2007 et la précipitation se raréfie de plus en plus avec moins de 150 mm par an. L’arrivée en continue des réfugiés venant des pays frontaliers et le passage des migrants vers les pays du Golf mettent plus de pression sur les ressources déjà limitées. Ces dernières années, le changement climatique se traduit par des pluies violentes à caractère orageux entrainant des inondations importantes et persistances des larges flaques boueuses servant de gîte à plusieurs vecteurs des maladies comme les larves des moustiques ou autres microbes.</w:t>
            </w:r>
          </w:p>
          <w:p w14:paraId="59802B0D" w14:textId="77777777" w:rsidR="008A7E6F" w:rsidRPr="00374B98" w:rsidRDefault="008A7E6F" w:rsidP="008A7E6F">
            <w:pPr>
              <w:pStyle w:val="Default"/>
              <w:jc w:val="both"/>
              <w:rPr>
                <w:rFonts w:ascii="Garamond" w:hAnsi="Garamond"/>
                <w:color w:val="auto"/>
                <w:sz w:val="22"/>
                <w:szCs w:val="22"/>
                <w:lang w:val="fr-FR"/>
              </w:rPr>
            </w:pPr>
          </w:p>
          <w:p w14:paraId="25006CFD" w14:textId="77777777" w:rsidR="008A7E6F" w:rsidRPr="00374B98" w:rsidRDefault="008A7E6F" w:rsidP="008A7E6F">
            <w:pPr>
              <w:pStyle w:val="Default"/>
              <w:jc w:val="both"/>
              <w:rPr>
                <w:rFonts w:ascii="Garamond" w:hAnsi="Garamond"/>
                <w:color w:val="auto"/>
                <w:sz w:val="22"/>
                <w:szCs w:val="22"/>
                <w:lang w:val="fr-FR"/>
              </w:rPr>
            </w:pPr>
            <w:r w:rsidRPr="00374B98">
              <w:rPr>
                <w:rFonts w:ascii="Garamond" w:hAnsi="Garamond"/>
                <w:color w:val="auto"/>
                <w:sz w:val="22"/>
                <w:szCs w:val="22"/>
                <w:lang w:val="fr-FR"/>
              </w:rPr>
              <w:lastRenderedPageBreak/>
              <w:t>Le taux de pauvreté extrême est estimé à 13,6% dans Djibouti-ville,</w:t>
            </w:r>
            <w:r w:rsidRPr="00374B98">
              <w:rPr>
                <w:rStyle w:val="FootnoteReference"/>
                <w:rFonts w:ascii="Garamond" w:hAnsi="Garamond"/>
                <w:color w:val="auto"/>
                <w:sz w:val="22"/>
                <w:szCs w:val="22"/>
                <w:lang w:val="fr-FR"/>
              </w:rPr>
              <w:footnoteReference w:id="2"/>
            </w:r>
            <w:r w:rsidRPr="00374B98">
              <w:rPr>
                <w:rFonts w:ascii="Garamond" w:hAnsi="Garamond"/>
                <w:color w:val="auto"/>
                <w:sz w:val="22"/>
                <w:szCs w:val="22"/>
                <w:lang w:val="fr-FR"/>
              </w:rPr>
              <w:t xml:space="preserve"> alors que dans les autres régions, il est presque trois fois plus élevé que le taux national : 45,0%. En utilisant un seuil global de pauvreté, la proportion de la population considérée comme pauvre augmente considérablement. Dans l'ensemble du pays 35,8% ne sont pas en mesure de couvrir leurs besoins alimentaires et non alimentaires. Parmi les ménages des autres régions, ce taux est encore plus élevé avec 59,8%. En ce qui concerne l’inégalité, le coefficient de Gini est estimé à 0.42. Ce niveau d'inégalité est le deuxième plus élevé dans la région du Moyen Orient et l’Afrique du Nord.</w:t>
            </w:r>
          </w:p>
          <w:p w14:paraId="1C61E288" w14:textId="77777777" w:rsidR="008A7E6F" w:rsidRPr="00374B98" w:rsidRDefault="008A7E6F" w:rsidP="008A7E6F">
            <w:pPr>
              <w:pStyle w:val="Default"/>
              <w:jc w:val="both"/>
              <w:rPr>
                <w:rFonts w:ascii="Garamond" w:hAnsi="Garamond"/>
                <w:color w:val="auto"/>
                <w:sz w:val="22"/>
                <w:szCs w:val="22"/>
                <w:lang w:val="fr-FR"/>
              </w:rPr>
            </w:pPr>
          </w:p>
          <w:p w14:paraId="723C2CDB" w14:textId="77777777" w:rsidR="008A7E6F" w:rsidRPr="00374B98" w:rsidRDefault="008A7E6F" w:rsidP="008A7E6F">
            <w:pPr>
              <w:pStyle w:val="Default"/>
              <w:jc w:val="both"/>
              <w:rPr>
                <w:rFonts w:ascii="Garamond" w:hAnsi="Garamond"/>
                <w:color w:val="auto"/>
                <w:sz w:val="22"/>
                <w:szCs w:val="22"/>
                <w:lang w:val="fr-FR"/>
              </w:rPr>
            </w:pPr>
            <w:r w:rsidRPr="00374B98">
              <w:rPr>
                <w:rFonts w:ascii="Garamond" w:hAnsi="Garamond"/>
                <w:color w:val="auto"/>
                <w:sz w:val="22"/>
                <w:szCs w:val="22"/>
                <w:lang w:val="fr-FR"/>
              </w:rPr>
              <w:t xml:space="preserve">Ces tendances dans l’incidence de la pauvreté montrent aussi que les résultats de la mise en œuvre de la Stratégie de Réduction de la Pauvreté jusqu’en 2007, puis de l’Initiative Nationale de Développement Social lancée en 2007, sont mitigés. L’une des explications est que les ressources mobilisées n’ont pas couvert les besoins (54% des besoins de financement ont été couverts). </w:t>
            </w:r>
          </w:p>
          <w:p w14:paraId="0991C945" w14:textId="77777777" w:rsidR="008A7E6F" w:rsidRPr="00374B98" w:rsidRDefault="008A7E6F" w:rsidP="008A7E6F">
            <w:pPr>
              <w:pStyle w:val="Default"/>
              <w:jc w:val="both"/>
              <w:rPr>
                <w:rFonts w:ascii="Garamond" w:hAnsi="Garamond"/>
                <w:color w:val="auto"/>
                <w:sz w:val="22"/>
                <w:szCs w:val="22"/>
                <w:lang w:val="fr-FR"/>
              </w:rPr>
            </w:pPr>
          </w:p>
          <w:p w14:paraId="79372068" w14:textId="77777777" w:rsidR="008A7E6F" w:rsidRPr="00374B98" w:rsidRDefault="008A7E6F" w:rsidP="008A7E6F">
            <w:pPr>
              <w:pStyle w:val="ListParagraph"/>
              <w:tabs>
                <w:tab w:val="left" w:pos="284"/>
              </w:tabs>
              <w:ind w:left="0"/>
              <w:jc w:val="both"/>
              <w:rPr>
                <w:rFonts w:ascii="Garamond" w:eastAsia="Calibri" w:hAnsi="Garamond"/>
                <w:sz w:val="22"/>
                <w:szCs w:val="22"/>
                <w:lang w:val="fr-FR"/>
              </w:rPr>
            </w:pPr>
            <w:r w:rsidRPr="00374B98">
              <w:rPr>
                <w:rFonts w:ascii="Garamond" w:eastAsia="Calibri" w:hAnsi="Garamond"/>
                <w:sz w:val="22"/>
                <w:szCs w:val="22"/>
                <w:lang w:val="fr-FR"/>
              </w:rPr>
              <w:t>C’est dans ce contexte que l’actuel programme de coopération 2018-2022 de l’UNICEF avec le Gouvernement de Djibouti est élaboré et mise en œuvre dans ses trois grands axes d’intervention à savoir la survie et développement du jeune enfant, l’Education et le développement des adolescents, la protection de l’enfant et les politiques sociales notamment la protection sociale. Ces axes sont complétés de manière transversale par la Communication pour le Développement (C4D) et le Suivi et Evaluation.</w:t>
            </w:r>
          </w:p>
          <w:p w14:paraId="52E33622" w14:textId="77777777" w:rsidR="008A7E6F" w:rsidRPr="00374B98" w:rsidRDefault="008A7E6F" w:rsidP="008A7E6F">
            <w:pPr>
              <w:pStyle w:val="ListParagraph"/>
              <w:tabs>
                <w:tab w:val="left" w:pos="284"/>
              </w:tabs>
              <w:ind w:left="0"/>
              <w:jc w:val="both"/>
              <w:rPr>
                <w:rFonts w:ascii="Garamond" w:eastAsia="Calibri" w:hAnsi="Garamond"/>
                <w:sz w:val="22"/>
                <w:szCs w:val="22"/>
                <w:lang w:val="fr-FR"/>
              </w:rPr>
            </w:pPr>
          </w:p>
          <w:p w14:paraId="71A09608" w14:textId="77777777" w:rsidR="008A7E6F" w:rsidRPr="00374B98" w:rsidRDefault="008A7E6F" w:rsidP="008A7E6F">
            <w:pPr>
              <w:pStyle w:val="ListParagraph"/>
              <w:tabs>
                <w:tab w:val="left" w:pos="284"/>
              </w:tabs>
              <w:ind w:left="0"/>
              <w:jc w:val="both"/>
              <w:rPr>
                <w:rFonts w:ascii="Garamond" w:eastAsia="Calibri" w:hAnsi="Garamond"/>
                <w:sz w:val="22"/>
                <w:szCs w:val="22"/>
                <w:lang w:val="fr-FR"/>
              </w:rPr>
            </w:pPr>
            <w:r w:rsidRPr="00374B98">
              <w:rPr>
                <w:rFonts w:ascii="Garamond" w:eastAsia="Calibri" w:hAnsi="Garamond"/>
                <w:sz w:val="22"/>
                <w:szCs w:val="22"/>
                <w:lang w:val="fr-FR"/>
              </w:rPr>
              <w:t xml:space="preserve">L’objectif global du programme de pays consiste à veiller à ce que les droits des enfants à la survie, au développement et à la protection soient réalisés grâce à l’accès à des services sociaux de qualité et à l’adoption de comportements sains et protecteurs en apportant une attention particulière aux enfants vulnérables des régions les plus défavorisées et lie les interventions d’urgence humanitaire aux activités de développement. </w:t>
            </w:r>
          </w:p>
          <w:p w14:paraId="38A8AF63" w14:textId="77777777" w:rsidR="008A7E6F" w:rsidRPr="00374B98" w:rsidRDefault="008A7E6F" w:rsidP="008A7E6F">
            <w:pPr>
              <w:pStyle w:val="ListParagraph"/>
              <w:ind w:left="0"/>
              <w:jc w:val="both"/>
              <w:rPr>
                <w:rFonts w:ascii="Garamond" w:hAnsi="Garamond"/>
                <w:sz w:val="22"/>
                <w:szCs w:val="22"/>
                <w:lang w:val="fr-FR"/>
              </w:rPr>
            </w:pPr>
          </w:p>
          <w:p w14:paraId="202EA017" w14:textId="0927BBA6" w:rsidR="0007007D" w:rsidRPr="008A7E6F" w:rsidRDefault="008A7E6F" w:rsidP="008A7E6F">
            <w:pPr>
              <w:pStyle w:val="ListParagraph"/>
              <w:ind w:left="0"/>
              <w:jc w:val="both"/>
              <w:rPr>
                <w:sz w:val="22"/>
                <w:szCs w:val="22"/>
                <w:lang w:val="fr-FR"/>
              </w:rPr>
            </w:pPr>
            <w:r w:rsidRPr="00374B98">
              <w:rPr>
                <w:rFonts w:ascii="Garamond" w:hAnsi="Garamond"/>
                <w:sz w:val="22"/>
                <w:szCs w:val="22"/>
                <w:lang w:val="fr-FR"/>
              </w:rPr>
              <w:t>Le bureau, dans le cadre de sa politique de priorisation des évaluations a décidé d’évaluer en cette période où le programme de coopération est étendu de deux années, le volet Survie et Développement du jeune enfant qui constitue le plus gros programme de l’UNICEF afin de voir l’état de la mise en œuvre du programme et éventuellement apporter des ajustements qui s’avèrent nécessaires pour atteindre les résultats.  De plus le fait que le programme CSD intègre plusieurs dimensions des privations des droits des enfants réconforte ce choix. L’évaluation du programme survie et développement du jeune enfant est guidée par les instruments de droits humains notamment la convention internationale des droits de l’enfant (CDE) ainsi que les protocoles additionnels notamment celui du handicap, la charte africaine des droits de l’enfants, le plan d’action genre de l’UNICEF</w:t>
            </w:r>
            <w:r w:rsidRPr="00374B98">
              <w:rPr>
                <w:sz w:val="22"/>
                <w:szCs w:val="22"/>
                <w:lang w:val="fr-FR"/>
              </w:rPr>
              <w:t xml:space="preserve">. Elle </w:t>
            </w:r>
            <w:r w:rsidRPr="00374B98">
              <w:rPr>
                <w:rFonts w:ascii="Garamond" w:hAnsi="Garamond"/>
                <w:sz w:val="22"/>
                <w:szCs w:val="22"/>
                <w:lang w:val="fr-FR"/>
              </w:rPr>
              <w:t>cherchera aussi à mettre en évidence si les questions liées à l’urgence sont prises en considération dans la planification stratégique et si elles permettent la construction des capacités pour la résilience.</w:t>
            </w:r>
          </w:p>
        </w:tc>
      </w:tr>
      <w:tr w:rsidR="0007007D" w:rsidRPr="00502CDB" w14:paraId="3EA8ACBA" w14:textId="77777777" w:rsidTr="0005346D">
        <w:trPr>
          <w:trHeight w:val="1865"/>
        </w:trPr>
        <w:tc>
          <w:tcPr>
            <w:tcW w:w="9892" w:type="dxa"/>
            <w:gridSpan w:val="6"/>
            <w:shd w:val="clear" w:color="auto" w:fill="auto"/>
            <w:noWrap/>
          </w:tcPr>
          <w:p w14:paraId="6729C3B4" w14:textId="77777777" w:rsidR="0007007D" w:rsidRPr="00387620" w:rsidRDefault="0007007D" w:rsidP="00236DC9">
            <w:pPr>
              <w:spacing w:before="60" w:after="60"/>
              <w:rPr>
                <w:rFonts w:ascii="Calibri" w:eastAsia="Arial Unicode MS" w:hAnsi="Calibri" w:cs="Calibri"/>
                <w:b/>
                <w:bCs/>
                <w:lang w:val="fr-FR"/>
              </w:rPr>
            </w:pPr>
            <w:proofErr w:type="spellStart"/>
            <w:r w:rsidRPr="00387620">
              <w:rPr>
                <w:rFonts w:ascii="Calibri" w:eastAsia="Arial Unicode MS" w:hAnsi="Calibri" w:cs="Calibri"/>
                <w:b/>
                <w:bCs/>
                <w:lang w:val="fr-FR"/>
              </w:rPr>
              <w:lastRenderedPageBreak/>
              <w:t>Purpose</w:t>
            </w:r>
            <w:proofErr w:type="spellEnd"/>
            <w:r w:rsidRPr="00387620">
              <w:rPr>
                <w:rFonts w:ascii="Calibri" w:eastAsia="Arial Unicode MS" w:hAnsi="Calibri" w:cs="Calibri"/>
                <w:b/>
                <w:bCs/>
                <w:lang w:val="fr-FR"/>
              </w:rPr>
              <w:t xml:space="preserve"> of </w:t>
            </w:r>
            <w:proofErr w:type="gramStart"/>
            <w:r w:rsidRPr="00387620">
              <w:rPr>
                <w:rFonts w:ascii="Calibri" w:eastAsia="Arial Unicode MS" w:hAnsi="Calibri" w:cs="Calibri"/>
                <w:b/>
                <w:bCs/>
                <w:lang w:val="fr-FR"/>
              </w:rPr>
              <w:t>Assignment:</w:t>
            </w:r>
            <w:proofErr w:type="gramEnd"/>
            <w:r w:rsidRPr="00387620">
              <w:rPr>
                <w:rFonts w:ascii="Calibri" w:eastAsia="Arial Unicode MS" w:hAnsi="Calibri" w:cs="Calibri"/>
                <w:b/>
                <w:bCs/>
                <w:lang w:val="fr-FR"/>
              </w:rPr>
              <w:t xml:space="preserve">  </w:t>
            </w:r>
          </w:p>
          <w:p w14:paraId="1B0A5E19" w14:textId="77777777" w:rsidR="00387620" w:rsidRPr="00374B98" w:rsidRDefault="00387620" w:rsidP="00387620">
            <w:pPr>
              <w:jc w:val="both"/>
              <w:rPr>
                <w:rFonts w:ascii="Garamond" w:hAnsi="Garamond"/>
                <w:b/>
                <w:bCs/>
                <w:sz w:val="22"/>
                <w:szCs w:val="22"/>
                <w:lang w:val="fr-FR"/>
              </w:rPr>
            </w:pPr>
            <w:r w:rsidRPr="00374B98">
              <w:rPr>
                <w:rFonts w:ascii="Garamond" w:hAnsi="Garamond"/>
                <w:sz w:val="22"/>
                <w:szCs w:val="22"/>
                <w:lang w:val="fr-FR"/>
              </w:rPr>
              <w:t>Ce projet d’évaluation est mené pour donner suite à la réflexion engagée par l’UNICEF en concertation avec les autorités nationales afin de faire le bilan des réalisations du programme et formuler des orientations stratégiques dans le cadre de l’élaboration du nouveau programme de coopération 2018-2022. Elle doit faire connaitre et documenter les bonnes pratiques et les leçons apprises du programme survie et développement du jeune enfant afin d’établir d’une part la redevabilité de l’UNICEF et d’autre part de contribuer à l’apprentissage organisationnel. Les résultats et recommandations issus de cette évaluation pourront orienter de façon optimale les objectifs de ce nouveau programme en matière de Survie et Développement du Jeune Enfant.</w:t>
            </w:r>
          </w:p>
          <w:p w14:paraId="77C8B567" w14:textId="77777777" w:rsidR="00387620" w:rsidRPr="00374B98" w:rsidRDefault="00387620" w:rsidP="00387620">
            <w:pPr>
              <w:pStyle w:val="ListParagraph"/>
              <w:ind w:left="0"/>
              <w:jc w:val="both"/>
              <w:rPr>
                <w:rFonts w:ascii="Garamond" w:hAnsi="Garamond"/>
                <w:sz w:val="22"/>
                <w:szCs w:val="22"/>
                <w:lang w:val="fr-FR"/>
              </w:rPr>
            </w:pPr>
          </w:p>
          <w:p w14:paraId="69E425D4" w14:textId="77777777" w:rsidR="00387620" w:rsidRPr="00374B98" w:rsidRDefault="00387620" w:rsidP="00387620">
            <w:pPr>
              <w:pStyle w:val="ListParagraph"/>
              <w:ind w:left="0"/>
              <w:jc w:val="both"/>
              <w:rPr>
                <w:rFonts w:ascii="Garamond" w:hAnsi="Garamond"/>
                <w:sz w:val="22"/>
                <w:szCs w:val="22"/>
                <w:lang w:val="fr-FR"/>
              </w:rPr>
            </w:pPr>
            <w:r w:rsidRPr="00374B98">
              <w:rPr>
                <w:rFonts w:ascii="Garamond" w:hAnsi="Garamond"/>
                <w:sz w:val="22"/>
                <w:szCs w:val="22"/>
                <w:lang w:val="fr-FR"/>
              </w:rPr>
              <w:t>Les résultats et les recommandations de l’évaluation seront utilisés aussi bien par l’UNICEF que par les parties nationales, notamment le Ministère de la Santé, le Ministère de l’Agriculture, de l’Eau, de l’Élevage, de la Pêche et des Ressources Halieutiques, mais aussi par les partenaires du Système des Nations Unies, les coopérations bi et multilatérales, et par d’autres partenaires au développement.</w:t>
            </w:r>
          </w:p>
          <w:p w14:paraId="708C2821" w14:textId="77777777" w:rsidR="00387620" w:rsidRPr="00374B98" w:rsidRDefault="00387620" w:rsidP="00387620">
            <w:pPr>
              <w:rPr>
                <w:sz w:val="22"/>
                <w:szCs w:val="22"/>
                <w:lang w:val="fr-FR"/>
              </w:rPr>
            </w:pPr>
          </w:p>
          <w:p w14:paraId="4BEC6C54" w14:textId="77777777" w:rsidR="00387620" w:rsidRPr="00374B98" w:rsidRDefault="00387620" w:rsidP="00387620">
            <w:pPr>
              <w:pStyle w:val="numberedpara"/>
              <w:numPr>
                <w:ilvl w:val="0"/>
                <w:numId w:val="0"/>
              </w:numPr>
              <w:spacing w:after="0" w:line="240" w:lineRule="auto"/>
              <w:ind w:left="360" w:hanging="360"/>
              <w:rPr>
                <w:rFonts w:ascii="Garamond" w:eastAsia="Times New Roman" w:hAnsi="Garamond" w:cs="Times New Roman"/>
                <w:color w:val="auto"/>
                <w:kern w:val="32"/>
                <w:u w:val="single"/>
                <w:shd w:val="clear" w:color="auto" w:fill="auto"/>
                <w:lang w:val="fr-FR"/>
              </w:rPr>
            </w:pPr>
            <w:r w:rsidRPr="00374B98">
              <w:rPr>
                <w:rFonts w:ascii="Garamond" w:eastAsia="Times New Roman" w:hAnsi="Garamond" w:cs="Times New Roman"/>
                <w:color w:val="auto"/>
                <w:kern w:val="32"/>
                <w:u w:val="single"/>
                <w:shd w:val="clear" w:color="auto" w:fill="auto"/>
                <w:lang w:val="fr-FR"/>
              </w:rPr>
              <w:t>Objet de l’évaluation</w:t>
            </w:r>
          </w:p>
          <w:p w14:paraId="4804B38C" w14:textId="77777777" w:rsidR="00387620" w:rsidRPr="00374B98" w:rsidRDefault="00387620" w:rsidP="00387620">
            <w:pPr>
              <w:jc w:val="both"/>
              <w:rPr>
                <w:sz w:val="22"/>
                <w:szCs w:val="22"/>
                <w:lang w:val="fr-FR"/>
              </w:rPr>
            </w:pPr>
            <w:r w:rsidRPr="00374B98">
              <w:rPr>
                <w:rFonts w:ascii="Garamond" w:hAnsi="Garamond"/>
                <w:sz w:val="22"/>
                <w:szCs w:val="22"/>
                <w:lang w:val="fr-FR"/>
              </w:rPr>
              <w:t>Le programme Survie et Développement de l’enfant vise à faire en sorte qu’un plus grand nombre de mères et d’enfants, en particulier ceux qui vivent dans des zones défavorisées, survivent et s’épanouissent, en mettant l’accent sur les 1 000 premiers jours entre la conception et la fin de la deuxième année de vie.</w:t>
            </w:r>
            <w:r w:rsidRPr="00374B98">
              <w:rPr>
                <w:rStyle w:val="FootnoteReference"/>
                <w:rFonts w:ascii="Garamond" w:hAnsi="Garamond"/>
                <w:sz w:val="22"/>
                <w:szCs w:val="22"/>
                <w:lang w:val="fr-FR"/>
              </w:rPr>
              <w:footnoteReference w:id="3"/>
            </w:r>
            <w:r w:rsidRPr="00374B98">
              <w:rPr>
                <w:rFonts w:ascii="Garamond" w:hAnsi="Garamond"/>
                <w:sz w:val="22"/>
                <w:szCs w:val="22"/>
                <w:lang w:val="fr-FR"/>
              </w:rPr>
              <w:t xml:space="preserve"> </w:t>
            </w:r>
          </w:p>
          <w:p w14:paraId="7768E450" w14:textId="77777777" w:rsidR="00387620" w:rsidRPr="00374B98" w:rsidRDefault="00387620" w:rsidP="00387620">
            <w:pPr>
              <w:jc w:val="both"/>
              <w:rPr>
                <w:sz w:val="22"/>
                <w:szCs w:val="22"/>
                <w:lang w:val="fr-FR"/>
              </w:rPr>
            </w:pPr>
          </w:p>
          <w:p w14:paraId="507BF667" w14:textId="73280A43" w:rsidR="0007007D" w:rsidRPr="00387620" w:rsidRDefault="00387620" w:rsidP="00387620">
            <w:pPr>
              <w:jc w:val="both"/>
              <w:rPr>
                <w:rFonts w:ascii="Garamond" w:hAnsi="Garamond"/>
                <w:sz w:val="22"/>
                <w:szCs w:val="22"/>
                <w:lang w:val="fr-FR"/>
              </w:rPr>
            </w:pPr>
            <w:r w:rsidRPr="00374B98">
              <w:rPr>
                <w:rFonts w:ascii="Garamond" w:hAnsi="Garamond"/>
                <w:sz w:val="22"/>
                <w:szCs w:val="22"/>
                <w:lang w:val="fr-FR"/>
              </w:rPr>
              <w:lastRenderedPageBreak/>
              <w:t xml:space="preserve">Chaque sous composante du programme survie et développement de l’enfant dispose d’une théorie de changement spécifique qui explicite les voies de changement souhaités pour atteindre les résultats visés. Ces théories de changement ne sont pas reprises dans ces </w:t>
            </w:r>
            <w:proofErr w:type="spellStart"/>
            <w:r w:rsidRPr="00374B98">
              <w:rPr>
                <w:rFonts w:ascii="Garamond" w:hAnsi="Garamond"/>
                <w:sz w:val="22"/>
                <w:szCs w:val="22"/>
                <w:lang w:val="fr-FR"/>
              </w:rPr>
              <w:t>TdR</w:t>
            </w:r>
            <w:proofErr w:type="spellEnd"/>
            <w:r w:rsidRPr="00374B98">
              <w:rPr>
                <w:rFonts w:ascii="Garamond" w:hAnsi="Garamond"/>
                <w:sz w:val="22"/>
                <w:szCs w:val="22"/>
                <w:lang w:val="fr-FR"/>
              </w:rPr>
              <w:t xml:space="preserve"> uniquement par souci de commodité de lecture du document mais elles existent dans les notes stratégiques de chaque sous-composante. Il n’existe cependant pas de théorie de changement global pour le programme survie et développement de l’enfant.  Le programme est mis en œuvre par plusieurs partenaires gouvernementaux et non gouvernementaux sur l’ensemble du territoire nationale pour une durée de 5 ans. Les principaux partenaires de mise en œuvre du programme sont le Ministère de la santé, </w:t>
            </w:r>
            <w:bookmarkStart w:id="0" w:name="_Hlk76630909"/>
            <w:r w:rsidRPr="00374B98">
              <w:rPr>
                <w:rFonts w:ascii="Garamond" w:hAnsi="Garamond"/>
                <w:sz w:val="22"/>
                <w:szCs w:val="22"/>
                <w:lang w:val="fr-FR"/>
              </w:rPr>
              <w:t>Le Ministère de l’Agriculture, de l’Eau, de la Pêche, de l’Élevage et des Ressources Halieutiques,</w:t>
            </w:r>
            <w:bookmarkEnd w:id="0"/>
            <w:r w:rsidRPr="00374B98">
              <w:rPr>
                <w:rFonts w:ascii="Garamond" w:hAnsi="Garamond"/>
                <w:sz w:val="22"/>
                <w:szCs w:val="22"/>
                <w:lang w:val="fr-FR"/>
              </w:rPr>
              <w:t xml:space="preserve"> les Organisations Non Gouvernementales Nationales et Internationales. Les directions déconcentrées des Ministères de la santé et de l’agriculture, les conseils régionaux et communaux ainsi que les préfectures et sous-préfectures, les communautés sont des partenaires du programme. Le programme survie et développement de l’enfant dispose d’un budget prévisionnel initial </w:t>
            </w:r>
            <w:r w:rsidRPr="00F35F17">
              <w:rPr>
                <w:rFonts w:ascii="Garamond" w:hAnsi="Garamond"/>
                <w:sz w:val="22"/>
                <w:szCs w:val="22"/>
                <w:lang w:val="fr-FR"/>
              </w:rPr>
              <w:t>de 11,076,000 USD qui a été porté à 14,646,750 USD</w:t>
            </w:r>
            <w:r w:rsidRPr="00374B98">
              <w:rPr>
                <w:rFonts w:ascii="Garamond" w:hAnsi="Garamond"/>
                <w:sz w:val="22"/>
                <w:szCs w:val="22"/>
                <w:lang w:val="fr-FR"/>
              </w:rPr>
              <w:t xml:space="preserve"> après la revue à la haute du plafond budgétaire du programme de coopération en 2020.</w:t>
            </w:r>
            <w:r w:rsidRPr="00374B98">
              <w:rPr>
                <w:rStyle w:val="FootnoteReference"/>
                <w:rFonts w:ascii="Garamond" w:hAnsi="Garamond"/>
                <w:sz w:val="22"/>
                <w:szCs w:val="22"/>
                <w:lang w:val="fr-FR"/>
              </w:rPr>
              <w:footnoteReference w:id="4"/>
            </w:r>
            <w:r w:rsidRPr="00374B98">
              <w:rPr>
                <w:rFonts w:ascii="Garamond" w:hAnsi="Garamond"/>
                <w:sz w:val="22"/>
                <w:szCs w:val="22"/>
                <w:lang w:val="fr-FR"/>
              </w:rPr>
              <w:t xml:space="preserve">   </w:t>
            </w:r>
          </w:p>
        </w:tc>
      </w:tr>
      <w:tr w:rsidR="0007007D" w:rsidRPr="007613B3" w14:paraId="23DB9335" w14:textId="77777777" w:rsidTr="0005346D">
        <w:trPr>
          <w:trHeight w:val="1865"/>
        </w:trPr>
        <w:tc>
          <w:tcPr>
            <w:tcW w:w="9892" w:type="dxa"/>
            <w:gridSpan w:val="6"/>
            <w:shd w:val="clear" w:color="auto" w:fill="auto"/>
            <w:noWrap/>
          </w:tcPr>
          <w:p w14:paraId="67F73735" w14:textId="77777777" w:rsidR="0007007D" w:rsidRPr="005D17C4" w:rsidRDefault="0007007D" w:rsidP="00236DC9">
            <w:pPr>
              <w:spacing w:before="60" w:after="60"/>
              <w:rPr>
                <w:rFonts w:ascii="Calibri" w:eastAsia="Arial Unicode MS" w:hAnsi="Calibri" w:cs="Calibri"/>
                <w:b/>
                <w:bCs/>
                <w:lang w:val="fr-FR"/>
              </w:rPr>
            </w:pPr>
            <w:r w:rsidRPr="005D17C4">
              <w:rPr>
                <w:rFonts w:ascii="Calibri" w:eastAsia="Arial Unicode MS" w:hAnsi="Calibri" w:cs="Calibri"/>
                <w:b/>
                <w:bCs/>
                <w:lang w:val="fr-FR"/>
              </w:rPr>
              <w:lastRenderedPageBreak/>
              <w:t>Objectives</w:t>
            </w:r>
          </w:p>
          <w:p w14:paraId="7533ABF1" w14:textId="77777777" w:rsidR="008552DD" w:rsidRPr="00374B98" w:rsidRDefault="008552DD" w:rsidP="008552DD">
            <w:pPr>
              <w:rPr>
                <w:rFonts w:ascii="Garamond" w:hAnsi="Garamond"/>
                <w:sz w:val="22"/>
                <w:szCs w:val="22"/>
                <w:u w:val="single"/>
                <w:lang w:val="fr-FR"/>
              </w:rPr>
            </w:pPr>
            <w:r w:rsidRPr="00374B98">
              <w:rPr>
                <w:rFonts w:ascii="Garamond" w:hAnsi="Garamond"/>
                <w:sz w:val="22"/>
                <w:szCs w:val="22"/>
                <w:u w:val="single"/>
                <w:lang w:val="fr-FR"/>
              </w:rPr>
              <w:t xml:space="preserve">Les objectifs spécifiques de l’évaluation sont : </w:t>
            </w:r>
          </w:p>
          <w:p w14:paraId="5A58230D" w14:textId="77777777" w:rsidR="008552DD" w:rsidRPr="00374B98" w:rsidRDefault="008552DD" w:rsidP="008552DD">
            <w:pPr>
              <w:numPr>
                <w:ilvl w:val="0"/>
                <w:numId w:val="33"/>
              </w:numPr>
              <w:autoSpaceDE w:val="0"/>
              <w:autoSpaceDN w:val="0"/>
              <w:adjustRightInd w:val="0"/>
              <w:jc w:val="both"/>
              <w:rPr>
                <w:rFonts w:ascii="Garamond" w:hAnsi="Garamond"/>
                <w:color w:val="000000"/>
                <w:sz w:val="22"/>
                <w:szCs w:val="22"/>
                <w:lang w:val="fr-FR"/>
              </w:rPr>
            </w:pPr>
            <w:r w:rsidRPr="00374B98">
              <w:rPr>
                <w:rFonts w:ascii="Garamond" w:hAnsi="Garamond"/>
                <w:color w:val="000000"/>
                <w:sz w:val="22"/>
                <w:szCs w:val="22"/>
                <w:lang w:val="fr-FR"/>
              </w:rPr>
              <w:t xml:space="preserve">Dresser un </w:t>
            </w:r>
            <w:r w:rsidRPr="00374B98">
              <w:rPr>
                <w:rFonts w:ascii="Garamond" w:hAnsi="Garamond"/>
                <w:i/>
                <w:color w:val="000000"/>
                <w:sz w:val="22"/>
                <w:szCs w:val="22"/>
                <w:lang w:val="fr-FR"/>
              </w:rPr>
              <w:t>bilan de l’état d’avancement</w:t>
            </w:r>
            <w:r w:rsidRPr="00374B98">
              <w:rPr>
                <w:rFonts w:ascii="Garamond" w:hAnsi="Garamond"/>
                <w:color w:val="000000"/>
                <w:sz w:val="22"/>
                <w:szCs w:val="22"/>
                <w:lang w:val="fr-FR"/>
              </w:rPr>
              <w:t xml:space="preserve"> et des réalisations faites dans la mise en œuvre du programme à partir de 2018 et de mesurer les progrès accomplis par rapport aux résultats attendus y compris la réponse aux urgences et à la pandémie de la COVID 19. Les liens entre les résultats de chaque composante du programme survie et développement du jeune enfant d’une part et entre les différents programmes qui compose le programme de coopération dans son ensemble d’autre part doivent être observés dans ce bilan. Il s’agira de voir aussi la manière dont les résultats atteints ont permis de réduire l’écart en manière de genre et d’équité et de quelle manière le programme a bénéficié aux plus vulnérables.</w:t>
            </w:r>
          </w:p>
          <w:p w14:paraId="02459626" w14:textId="77777777" w:rsidR="008552DD" w:rsidRPr="00374B98" w:rsidRDefault="008552DD" w:rsidP="008552DD">
            <w:pPr>
              <w:numPr>
                <w:ilvl w:val="0"/>
                <w:numId w:val="33"/>
              </w:numPr>
              <w:autoSpaceDE w:val="0"/>
              <w:autoSpaceDN w:val="0"/>
              <w:adjustRightInd w:val="0"/>
              <w:jc w:val="both"/>
              <w:rPr>
                <w:rFonts w:ascii="Garamond" w:hAnsi="Garamond"/>
                <w:color w:val="000000"/>
                <w:sz w:val="22"/>
                <w:szCs w:val="22"/>
                <w:lang w:val="fr-FR"/>
              </w:rPr>
            </w:pPr>
            <w:r w:rsidRPr="00374B98">
              <w:rPr>
                <w:rFonts w:ascii="Garamond" w:hAnsi="Garamond"/>
                <w:color w:val="000000"/>
                <w:sz w:val="22"/>
                <w:szCs w:val="22"/>
                <w:lang w:val="fr-FR"/>
              </w:rPr>
              <w:t xml:space="preserve">Répondre aux questions d’évaluations telles que énumérées ci-dessous dans la section 12. </w:t>
            </w:r>
          </w:p>
          <w:p w14:paraId="429DDCE9" w14:textId="77777777" w:rsidR="008552DD" w:rsidRPr="00374B98" w:rsidRDefault="008552DD" w:rsidP="008552DD">
            <w:pPr>
              <w:numPr>
                <w:ilvl w:val="0"/>
                <w:numId w:val="33"/>
              </w:numPr>
              <w:autoSpaceDE w:val="0"/>
              <w:autoSpaceDN w:val="0"/>
              <w:adjustRightInd w:val="0"/>
              <w:jc w:val="both"/>
              <w:rPr>
                <w:rFonts w:ascii="Garamond" w:hAnsi="Garamond"/>
                <w:color w:val="000000"/>
                <w:sz w:val="22"/>
                <w:szCs w:val="22"/>
                <w:lang w:val="fr-FR"/>
              </w:rPr>
            </w:pPr>
            <w:r w:rsidRPr="00374B98">
              <w:rPr>
                <w:rFonts w:ascii="Garamond" w:hAnsi="Garamond"/>
                <w:color w:val="000000"/>
                <w:sz w:val="22"/>
                <w:szCs w:val="22"/>
                <w:lang w:val="fr-FR"/>
              </w:rPr>
              <w:t xml:space="preserve">Formuler des </w:t>
            </w:r>
            <w:r w:rsidRPr="00374B98">
              <w:rPr>
                <w:rFonts w:ascii="Garamond" w:hAnsi="Garamond"/>
                <w:i/>
                <w:color w:val="000000"/>
                <w:sz w:val="22"/>
                <w:szCs w:val="22"/>
                <w:lang w:val="fr-FR"/>
              </w:rPr>
              <w:t>recommandations</w:t>
            </w:r>
            <w:r w:rsidRPr="00374B98">
              <w:rPr>
                <w:rFonts w:ascii="Garamond" w:hAnsi="Garamond"/>
                <w:color w:val="000000"/>
                <w:sz w:val="22"/>
                <w:szCs w:val="22"/>
                <w:lang w:val="fr-FR"/>
              </w:rPr>
              <w:t xml:space="preserve"> spécifiques sur la réorientation du programme Survie et Développement du Jeune Enfant, couvrant les aspects de planification, mise en œuvre et de suivi.</w:t>
            </w:r>
          </w:p>
          <w:p w14:paraId="3D30BDD3" w14:textId="77777777" w:rsidR="008552DD" w:rsidRPr="00374B98" w:rsidRDefault="008552DD" w:rsidP="008552DD">
            <w:pPr>
              <w:numPr>
                <w:ilvl w:val="0"/>
                <w:numId w:val="33"/>
              </w:numPr>
              <w:autoSpaceDE w:val="0"/>
              <w:autoSpaceDN w:val="0"/>
              <w:adjustRightInd w:val="0"/>
              <w:jc w:val="both"/>
              <w:rPr>
                <w:rFonts w:ascii="Garamond" w:hAnsi="Garamond"/>
                <w:color w:val="000000"/>
                <w:sz w:val="22"/>
                <w:szCs w:val="22"/>
                <w:lang w:val="fr-FR"/>
              </w:rPr>
            </w:pPr>
            <w:r w:rsidRPr="00374B98">
              <w:rPr>
                <w:rFonts w:ascii="Garamond" w:hAnsi="Garamond"/>
                <w:color w:val="000000"/>
                <w:sz w:val="22"/>
                <w:szCs w:val="22"/>
                <w:lang w:val="fr-FR"/>
              </w:rPr>
              <w:t xml:space="preserve">Identifier les leçons apprises de la mise en œuvre du programme, ce qui a constitué un succès et qu’est-ce qui n’a pas marché ? Quelles leçons peut-on tirer des échecs ? </w:t>
            </w:r>
          </w:p>
          <w:p w14:paraId="6865C8F7" w14:textId="65A139CF" w:rsidR="0007007D" w:rsidRPr="0008086D" w:rsidRDefault="0007007D" w:rsidP="008552DD">
            <w:pPr>
              <w:pStyle w:val="ListParagraph"/>
              <w:spacing w:before="60" w:after="60"/>
              <w:rPr>
                <w:rFonts w:ascii="Calibri" w:eastAsia="Arial Unicode MS" w:hAnsi="Calibri" w:cs="Calibri"/>
                <w:bCs/>
                <w:i/>
                <w:iCs/>
                <w:color w:val="595959" w:themeColor="text1" w:themeTint="A6"/>
                <w:sz w:val="18"/>
                <w:szCs w:val="18"/>
                <w:lang w:val="en-AU"/>
              </w:rPr>
            </w:pPr>
          </w:p>
        </w:tc>
      </w:tr>
      <w:tr w:rsidR="0007007D" w:rsidRPr="00502CDB" w14:paraId="17E7C0CC" w14:textId="77777777" w:rsidTr="0005346D">
        <w:trPr>
          <w:trHeight w:val="504"/>
        </w:trPr>
        <w:tc>
          <w:tcPr>
            <w:tcW w:w="9892" w:type="dxa"/>
            <w:gridSpan w:val="6"/>
            <w:shd w:val="clear" w:color="auto" w:fill="auto"/>
            <w:noWrap/>
          </w:tcPr>
          <w:p w14:paraId="39AB2C2D" w14:textId="77777777" w:rsidR="0007007D" w:rsidRPr="00D025AF" w:rsidRDefault="0007007D" w:rsidP="00236DC9">
            <w:pPr>
              <w:spacing w:before="60" w:after="60"/>
              <w:rPr>
                <w:rFonts w:ascii="Calibri" w:eastAsia="Arial Unicode MS" w:hAnsi="Calibri" w:cs="Calibri"/>
                <w:b/>
                <w:bCs/>
                <w:lang w:val="en-AU"/>
              </w:rPr>
            </w:pPr>
            <w:r w:rsidRPr="00D025AF">
              <w:rPr>
                <w:rFonts w:ascii="Calibri" w:eastAsia="Arial Unicode MS" w:hAnsi="Calibri" w:cs="Calibri"/>
                <w:b/>
                <w:bCs/>
                <w:lang w:val="en-AU"/>
              </w:rPr>
              <w:t xml:space="preserve">Scope of Work:  </w:t>
            </w:r>
          </w:p>
          <w:p w14:paraId="19C95C10" w14:textId="77777777" w:rsidR="00DD660C" w:rsidRPr="00374B98" w:rsidRDefault="00DD660C" w:rsidP="00DD660C">
            <w:pPr>
              <w:jc w:val="both"/>
              <w:rPr>
                <w:rFonts w:ascii="Garamond" w:hAnsi="Garamond" w:cs="Calibri"/>
                <w:b/>
                <w:bCs/>
                <w:sz w:val="22"/>
                <w:szCs w:val="22"/>
                <w:lang w:val="fr-FR"/>
              </w:rPr>
            </w:pPr>
            <w:r w:rsidRPr="00374B98">
              <w:rPr>
                <w:rFonts w:ascii="Garamond" w:hAnsi="Garamond" w:cs="Calibri"/>
                <w:sz w:val="22"/>
                <w:szCs w:val="22"/>
                <w:u w:val="single"/>
                <w:lang w:val="fr-FR"/>
              </w:rPr>
              <w:t xml:space="preserve">Etendue de l’évaluation : </w:t>
            </w:r>
          </w:p>
          <w:p w14:paraId="5CDD8271" w14:textId="77777777" w:rsidR="00DD660C" w:rsidRPr="00374B98" w:rsidRDefault="00DD660C" w:rsidP="00DD660C">
            <w:pPr>
              <w:jc w:val="both"/>
              <w:rPr>
                <w:rFonts w:ascii="Garamond" w:hAnsi="Garamond"/>
                <w:sz w:val="22"/>
                <w:szCs w:val="22"/>
                <w:lang w:val="fr-FR"/>
              </w:rPr>
            </w:pPr>
            <w:r w:rsidRPr="00374B98">
              <w:rPr>
                <w:rFonts w:ascii="Garamond" w:hAnsi="Garamond"/>
                <w:sz w:val="22"/>
                <w:szCs w:val="22"/>
                <w:lang w:val="fr-FR"/>
              </w:rPr>
              <w:t>L’évaluation couvrira l’ensemble du territoire national. Elle concerne la période allant de 2018</w:t>
            </w:r>
            <w:r w:rsidRPr="00374B98">
              <w:rPr>
                <w:rStyle w:val="FootnoteReference"/>
                <w:rFonts w:ascii="Garamond" w:hAnsi="Garamond"/>
                <w:sz w:val="22"/>
                <w:szCs w:val="22"/>
                <w:lang w:val="fr-FR"/>
              </w:rPr>
              <w:footnoteReference w:id="5"/>
            </w:r>
            <w:r w:rsidRPr="00374B98">
              <w:rPr>
                <w:rFonts w:ascii="Garamond" w:hAnsi="Garamond"/>
                <w:sz w:val="22"/>
                <w:szCs w:val="22"/>
                <w:lang w:val="fr-FR"/>
              </w:rPr>
              <w:t xml:space="preserve"> jusqu’à 2021. Une attention particulière sera donnée aux enfants et aux femmes vulnérables ainsi qu’aux populations à besoins spécifiques et aux zones géographiques rurales et péri-urbaines défavorisées.  L’évaluation cherchera à savoir si les résultats atteints ou pas atteints en matière de survie et développement du jeune enfant sont attribuables à l’UNICEF. Les trois grandes sous-composantes du programme seront évaluées :</w:t>
            </w:r>
          </w:p>
          <w:p w14:paraId="38E1FE78" w14:textId="77777777" w:rsidR="00DD660C" w:rsidRPr="00374B98" w:rsidRDefault="00DD660C" w:rsidP="00DD660C">
            <w:pPr>
              <w:jc w:val="both"/>
              <w:rPr>
                <w:rFonts w:ascii="Garamond" w:hAnsi="Garamond"/>
                <w:sz w:val="22"/>
                <w:szCs w:val="22"/>
                <w:lang w:val="fr-FR"/>
              </w:rPr>
            </w:pPr>
          </w:p>
          <w:p w14:paraId="50EC1E21" w14:textId="77777777" w:rsidR="00DD660C" w:rsidRPr="00374B98" w:rsidRDefault="00DD660C" w:rsidP="00DD660C">
            <w:pPr>
              <w:numPr>
                <w:ilvl w:val="0"/>
                <w:numId w:val="36"/>
              </w:numPr>
              <w:jc w:val="both"/>
              <w:rPr>
                <w:rFonts w:ascii="Garamond" w:hAnsi="Garamond"/>
                <w:sz w:val="22"/>
                <w:szCs w:val="22"/>
                <w:lang w:val="fr-FR"/>
              </w:rPr>
            </w:pPr>
            <w:r w:rsidRPr="00374B98">
              <w:rPr>
                <w:rFonts w:ascii="Garamond" w:hAnsi="Garamond"/>
                <w:sz w:val="22"/>
                <w:szCs w:val="22"/>
                <w:lang w:val="fr-FR"/>
              </w:rPr>
              <w:t xml:space="preserve">La sous-composante santé sera évaluée à travers la santé néonatale, maternelle et infantile y compris la PTPE, la prise en charge intégrée des maladies de l’enfant dans son volet communautaire et la vaccination ; </w:t>
            </w:r>
          </w:p>
          <w:p w14:paraId="0D4CBE58" w14:textId="77777777" w:rsidR="00DD660C" w:rsidRPr="00374B98" w:rsidRDefault="00DD660C" w:rsidP="00DD660C">
            <w:pPr>
              <w:numPr>
                <w:ilvl w:val="0"/>
                <w:numId w:val="36"/>
              </w:numPr>
              <w:jc w:val="both"/>
              <w:rPr>
                <w:rFonts w:ascii="Garamond" w:hAnsi="Garamond"/>
                <w:sz w:val="22"/>
                <w:szCs w:val="22"/>
                <w:lang w:val="fr-FR"/>
              </w:rPr>
            </w:pPr>
            <w:r w:rsidRPr="00374B98">
              <w:rPr>
                <w:rFonts w:ascii="Garamond" w:hAnsi="Garamond"/>
                <w:sz w:val="22"/>
                <w:szCs w:val="22"/>
                <w:lang w:val="fr-FR"/>
              </w:rPr>
              <w:t>La sous-composante nutrition sera évaluée à travers les stratégies de prise en charge de la malnutrition aigüe sévère et l’Alimentation du nourrisson et du Jeune Enfant (ANJE) ;</w:t>
            </w:r>
          </w:p>
          <w:p w14:paraId="542EEE17" w14:textId="77777777" w:rsidR="00DD660C" w:rsidRPr="00374B98" w:rsidRDefault="00DD660C" w:rsidP="00DD660C">
            <w:pPr>
              <w:numPr>
                <w:ilvl w:val="0"/>
                <w:numId w:val="36"/>
              </w:numPr>
              <w:jc w:val="both"/>
              <w:rPr>
                <w:rFonts w:ascii="Garamond" w:hAnsi="Garamond"/>
                <w:sz w:val="22"/>
                <w:szCs w:val="22"/>
                <w:lang w:val="fr-FR"/>
              </w:rPr>
            </w:pPr>
            <w:r w:rsidRPr="00374B98">
              <w:rPr>
                <w:rFonts w:ascii="Garamond" w:hAnsi="Garamond"/>
                <w:sz w:val="22"/>
                <w:szCs w:val="22"/>
                <w:lang w:val="fr-FR"/>
              </w:rPr>
              <w:t xml:space="preserve">La sous-composante Eau, Assainissement et Hygiène sera évaluée dans ses trois volets. </w:t>
            </w:r>
          </w:p>
          <w:p w14:paraId="4CFBDCF9" w14:textId="77777777" w:rsidR="0007007D" w:rsidRDefault="00DD660C" w:rsidP="00830EF3">
            <w:pPr>
              <w:jc w:val="both"/>
              <w:rPr>
                <w:rFonts w:ascii="Garamond" w:hAnsi="Garamond"/>
                <w:sz w:val="22"/>
                <w:szCs w:val="22"/>
                <w:lang w:val="fr-FR"/>
              </w:rPr>
            </w:pPr>
            <w:r w:rsidRPr="00374B98">
              <w:rPr>
                <w:rFonts w:ascii="Garamond" w:hAnsi="Garamond"/>
                <w:sz w:val="22"/>
                <w:szCs w:val="22"/>
                <w:lang w:val="fr-FR"/>
              </w:rPr>
              <w:t xml:space="preserve">La Communication pour le Développement sera évaluée de manière transversale à toutes les trois sous-composantes du programme survie et développement du jeune enfant. L’évaluation s’intéressera à quatre niveaux du cadre des évaluations des programmes de développement à savoir le degré de participation des bénéficiaires au programme, l’acquisition des connaissances et des capacités des bénéficiaires aussi bien au niveau individuel qu’au niveau institutionnel, le changement des comportements des bénéficiaires au niveau individuel et institutionnel. </w:t>
            </w:r>
          </w:p>
          <w:p w14:paraId="778ADE54" w14:textId="77777777" w:rsidR="00277AB3" w:rsidRDefault="00277AB3" w:rsidP="00830EF3">
            <w:pPr>
              <w:jc w:val="both"/>
              <w:rPr>
                <w:rFonts w:ascii="Garamond" w:hAnsi="Garamond"/>
                <w:sz w:val="22"/>
                <w:szCs w:val="22"/>
                <w:lang w:val="fr-FR"/>
              </w:rPr>
            </w:pPr>
          </w:p>
          <w:p w14:paraId="25802CD6" w14:textId="77777777" w:rsidR="00277AB3" w:rsidRPr="00374B98" w:rsidRDefault="00277AB3" w:rsidP="00277AB3">
            <w:pPr>
              <w:pStyle w:val="numberedpara"/>
              <w:numPr>
                <w:ilvl w:val="0"/>
                <w:numId w:val="0"/>
              </w:numPr>
              <w:spacing w:after="0" w:line="240" w:lineRule="auto"/>
              <w:rPr>
                <w:rFonts w:ascii="Garamond" w:hAnsi="Garamond"/>
                <w:b/>
                <w:bCs/>
                <w:color w:val="auto"/>
                <w:lang w:val="fr-FR"/>
              </w:rPr>
            </w:pPr>
            <w:r w:rsidRPr="00374B98">
              <w:rPr>
                <w:rFonts w:ascii="Garamond" w:hAnsi="Garamond"/>
                <w:color w:val="auto"/>
                <w:u w:val="single"/>
                <w:lang w:val="fr-FR"/>
              </w:rPr>
              <w:t>Utilisation de l’évaluation :</w:t>
            </w:r>
            <w:r w:rsidRPr="00374B98">
              <w:rPr>
                <w:rFonts w:ascii="Garamond" w:hAnsi="Garamond"/>
                <w:b/>
                <w:bCs/>
                <w:color w:val="auto"/>
                <w:lang w:val="fr-FR"/>
              </w:rPr>
              <w:t xml:space="preserve"> </w:t>
            </w:r>
          </w:p>
          <w:p w14:paraId="4144CC02" w14:textId="77777777" w:rsidR="00277AB3" w:rsidRPr="00374B98" w:rsidRDefault="00277AB3" w:rsidP="00277AB3">
            <w:pPr>
              <w:pStyle w:val="numberedpara"/>
              <w:numPr>
                <w:ilvl w:val="0"/>
                <w:numId w:val="0"/>
              </w:numPr>
              <w:spacing w:after="0" w:line="240" w:lineRule="auto"/>
              <w:rPr>
                <w:rFonts w:ascii="Garamond" w:eastAsia="Times New Roman" w:hAnsi="Garamond" w:cs="Times New Roman"/>
                <w:b/>
                <w:bCs/>
                <w:color w:val="0070C0"/>
                <w:kern w:val="32"/>
                <w:shd w:val="clear" w:color="auto" w:fill="auto"/>
                <w:lang w:val="fr-FR"/>
              </w:rPr>
            </w:pPr>
            <w:r w:rsidRPr="00374B98">
              <w:rPr>
                <w:rFonts w:ascii="Garamond" w:eastAsia="Times New Roman" w:hAnsi="Garamond" w:cs="Times New Roman"/>
                <w:color w:val="auto"/>
                <w:shd w:val="clear" w:color="auto" w:fill="auto"/>
                <w:lang w:val="fr-FR"/>
              </w:rPr>
              <w:t xml:space="preserve">Le rapport de l’évaluation permettra à l’UNICEF et ses partenaires notamment les parties institutionnelles d’ajuster le programme avec les objectifs du nouveau plan de développement de la santé (PNDS) et du plan national du </w:t>
            </w:r>
            <w:r w:rsidRPr="00374B98">
              <w:rPr>
                <w:rFonts w:ascii="Garamond" w:eastAsia="Times New Roman" w:hAnsi="Garamond" w:cs="Times New Roman"/>
                <w:color w:val="auto"/>
                <w:shd w:val="clear" w:color="auto" w:fill="auto"/>
                <w:lang w:val="fr-FR"/>
              </w:rPr>
              <w:lastRenderedPageBreak/>
              <w:t xml:space="preserve">développement et prendre en considération les éventuelles réalités émergentes relatives au secteur de la survie et développement de l’enfant </w:t>
            </w:r>
          </w:p>
          <w:p w14:paraId="22F12366" w14:textId="7559226E" w:rsidR="00277AB3" w:rsidRPr="00830EF3" w:rsidRDefault="00277AB3" w:rsidP="00830EF3">
            <w:pPr>
              <w:jc w:val="both"/>
              <w:rPr>
                <w:rFonts w:ascii="Garamond" w:hAnsi="Garamond"/>
                <w:sz w:val="22"/>
                <w:szCs w:val="22"/>
                <w:lang w:val="fr-FR"/>
              </w:rPr>
            </w:pPr>
          </w:p>
        </w:tc>
      </w:tr>
      <w:tr w:rsidR="0007007D" w:rsidRPr="00502CDB" w14:paraId="22766821" w14:textId="77777777" w:rsidTr="0005346D">
        <w:trPr>
          <w:trHeight w:val="504"/>
        </w:trPr>
        <w:tc>
          <w:tcPr>
            <w:tcW w:w="9892" w:type="dxa"/>
            <w:gridSpan w:val="6"/>
            <w:shd w:val="clear" w:color="auto" w:fill="auto"/>
            <w:noWrap/>
          </w:tcPr>
          <w:p w14:paraId="30DC0330" w14:textId="77777777" w:rsidR="0007007D" w:rsidRPr="00AE1B71" w:rsidRDefault="0007007D" w:rsidP="00236DC9">
            <w:pPr>
              <w:spacing w:before="60" w:after="60"/>
              <w:rPr>
                <w:rFonts w:ascii="Calibri" w:eastAsia="Arial Unicode MS" w:hAnsi="Calibri" w:cs="Calibri"/>
                <w:b/>
                <w:bCs/>
                <w:lang w:val="fr-FR"/>
              </w:rPr>
            </w:pPr>
            <w:proofErr w:type="spellStart"/>
            <w:r w:rsidRPr="00AE1B71">
              <w:rPr>
                <w:rFonts w:ascii="Calibri" w:eastAsia="Arial Unicode MS" w:hAnsi="Calibri" w:cs="Calibri"/>
                <w:b/>
                <w:bCs/>
                <w:lang w:val="fr-FR"/>
              </w:rPr>
              <w:lastRenderedPageBreak/>
              <w:t>Methodology</w:t>
            </w:r>
            <w:proofErr w:type="spellEnd"/>
          </w:p>
          <w:p w14:paraId="6B60B925" w14:textId="77777777" w:rsidR="00C9331D" w:rsidRPr="00AE1B71" w:rsidRDefault="00C9331D" w:rsidP="001C6B64">
            <w:pPr>
              <w:pStyle w:val="Heading2"/>
              <w:keepLines w:val="0"/>
              <w:spacing w:before="0"/>
              <w:ind w:left="720"/>
              <w:jc w:val="both"/>
              <w:rPr>
                <w:rFonts w:ascii="Garamond" w:hAnsi="Garamond"/>
                <w:bCs/>
                <w:color w:val="0070C0"/>
                <w:kern w:val="32"/>
                <w:sz w:val="22"/>
                <w:szCs w:val="22"/>
                <w:lang w:val="fr-FR"/>
              </w:rPr>
            </w:pPr>
            <w:proofErr w:type="spellStart"/>
            <w:r w:rsidRPr="00AE1B71">
              <w:rPr>
                <w:rFonts w:ascii="Garamond" w:hAnsi="Garamond"/>
                <w:bCs/>
                <w:color w:val="0070C0"/>
                <w:kern w:val="32"/>
                <w:sz w:val="22"/>
                <w:szCs w:val="22"/>
                <w:lang w:val="fr-FR"/>
              </w:rPr>
              <w:t>Evaluabilité</w:t>
            </w:r>
            <w:proofErr w:type="spellEnd"/>
            <w:r w:rsidRPr="00AE1B71">
              <w:rPr>
                <w:rFonts w:ascii="Garamond" w:hAnsi="Garamond"/>
                <w:bCs/>
                <w:color w:val="0070C0"/>
                <w:kern w:val="32"/>
                <w:sz w:val="22"/>
                <w:szCs w:val="22"/>
                <w:lang w:val="fr-FR"/>
              </w:rPr>
              <w:t> </w:t>
            </w:r>
          </w:p>
          <w:p w14:paraId="78ABB5C7" w14:textId="77777777" w:rsidR="00C9331D" w:rsidRPr="00374B98" w:rsidRDefault="00C9331D" w:rsidP="00C9331D">
            <w:pPr>
              <w:autoSpaceDE w:val="0"/>
              <w:autoSpaceDN w:val="0"/>
              <w:adjustRightInd w:val="0"/>
              <w:jc w:val="both"/>
              <w:rPr>
                <w:rFonts w:ascii="Garamond" w:hAnsi="Garamond"/>
                <w:bCs/>
                <w:sz w:val="22"/>
                <w:szCs w:val="22"/>
                <w:lang w:val="fr-FR"/>
              </w:rPr>
            </w:pPr>
            <w:r w:rsidRPr="00374B98">
              <w:rPr>
                <w:rFonts w:ascii="Garamond" w:hAnsi="Garamond"/>
                <w:bCs/>
                <w:sz w:val="22"/>
                <w:szCs w:val="22"/>
                <w:lang w:val="fr-FR"/>
              </w:rPr>
              <w:t xml:space="preserve">L’évaluation sera basée sur la littérature annexée aux </w:t>
            </w:r>
            <w:proofErr w:type="spellStart"/>
            <w:r w:rsidRPr="00374B98">
              <w:rPr>
                <w:rFonts w:ascii="Garamond" w:hAnsi="Garamond"/>
                <w:bCs/>
                <w:sz w:val="22"/>
                <w:szCs w:val="22"/>
                <w:lang w:val="fr-FR"/>
              </w:rPr>
              <w:t>TdR</w:t>
            </w:r>
            <w:proofErr w:type="spellEnd"/>
            <w:r w:rsidRPr="00374B98">
              <w:rPr>
                <w:rFonts w:ascii="Garamond" w:hAnsi="Garamond"/>
                <w:bCs/>
                <w:sz w:val="22"/>
                <w:szCs w:val="22"/>
                <w:lang w:val="fr-FR"/>
              </w:rPr>
              <w:t xml:space="preserve"> et basée sur la théorie de changement telle qu’elle a été élaborée dans la note stratégique du programme. Les consultants se chargeront de conduire l’</w:t>
            </w:r>
            <w:proofErr w:type="spellStart"/>
            <w:r w:rsidRPr="00374B98">
              <w:rPr>
                <w:rFonts w:ascii="Garamond" w:hAnsi="Garamond"/>
                <w:bCs/>
                <w:sz w:val="22"/>
                <w:szCs w:val="22"/>
                <w:lang w:val="fr-FR"/>
              </w:rPr>
              <w:t>Evaluabilité</w:t>
            </w:r>
            <w:proofErr w:type="spellEnd"/>
            <w:r w:rsidRPr="00374B98">
              <w:rPr>
                <w:rFonts w:ascii="Garamond" w:hAnsi="Garamond"/>
                <w:bCs/>
                <w:sz w:val="22"/>
                <w:szCs w:val="22"/>
                <w:lang w:val="fr-FR"/>
              </w:rPr>
              <w:t xml:space="preserve"> du programme notamment en ce qui a trait à la disponibilité du cadre logique avec des indicateurs comportant les données de référence et les cibles désagrégées, la disponibilité des données désagrégées à travers un système de suivi et évaluation ainsi que leurs qualités. </w:t>
            </w:r>
          </w:p>
          <w:p w14:paraId="6E697E83" w14:textId="77777777" w:rsidR="00C9331D" w:rsidRPr="001C6B64" w:rsidRDefault="00C9331D" w:rsidP="00C9331D">
            <w:pPr>
              <w:autoSpaceDE w:val="0"/>
              <w:autoSpaceDN w:val="0"/>
              <w:adjustRightInd w:val="0"/>
              <w:jc w:val="both"/>
              <w:rPr>
                <w:rFonts w:ascii="Garamond" w:hAnsi="Garamond"/>
                <w:bCs/>
                <w:sz w:val="22"/>
                <w:szCs w:val="22"/>
                <w:lang w:val="fr-FR"/>
              </w:rPr>
            </w:pPr>
          </w:p>
          <w:p w14:paraId="54F09822" w14:textId="77777777" w:rsidR="00254494" w:rsidRPr="001C6B64" w:rsidRDefault="00254494" w:rsidP="00254494">
            <w:pPr>
              <w:pStyle w:val="Heading2"/>
              <w:jc w:val="both"/>
              <w:rPr>
                <w:rFonts w:ascii="Garamond" w:eastAsia="Times New Roman" w:hAnsi="Garamond" w:cs="Times New Roman"/>
                <w:bCs/>
                <w:color w:val="auto"/>
                <w:sz w:val="22"/>
                <w:szCs w:val="22"/>
                <w:lang w:val="fr-FR"/>
              </w:rPr>
            </w:pPr>
            <w:r w:rsidRPr="001C6B64">
              <w:rPr>
                <w:rFonts w:ascii="Garamond" w:eastAsia="Times New Roman" w:hAnsi="Garamond" w:cs="Times New Roman"/>
                <w:bCs/>
                <w:color w:val="auto"/>
                <w:sz w:val="22"/>
                <w:szCs w:val="22"/>
                <w:lang w:val="fr-FR"/>
              </w:rPr>
              <w:t>L’évaluation du programme est formative. L'évaluation utilisera des méthodologies variées, elle s’attèlera temps à la collecte des données secondaires à travers la documentation incluant des documents de planification tel que l’analyse de la situation, le CPD, les notes stratégiques, les plans d’actions mais aussi des rapports de suivi, de supervision, des rapports annuels, des rapports des revues (annuelles et à mi-parcours). Les données secondaires incluent les études et les évaluations menées par l’UNICEF et les partenaires de mise en œuvre ou de développement.</w:t>
            </w:r>
          </w:p>
          <w:p w14:paraId="2D0937E7" w14:textId="77777777" w:rsidR="00254494" w:rsidRPr="00374B98" w:rsidRDefault="00254494" w:rsidP="00254494">
            <w:pPr>
              <w:pStyle w:val="ListParagraph"/>
              <w:ind w:left="0"/>
              <w:jc w:val="both"/>
              <w:rPr>
                <w:rFonts w:ascii="Garamond" w:hAnsi="Garamond"/>
                <w:sz w:val="22"/>
                <w:szCs w:val="22"/>
                <w:lang w:val="fr-FR"/>
              </w:rPr>
            </w:pPr>
          </w:p>
          <w:p w14:paraId="0A8E425E" w14:textId="77777777" w:rsidR="00811435" w:rsidRDefault="00254494" w:rsidP="00254494">
            <w:pPr>
              <w:pStyle w:val="ListParagraph"/>
              <w:ind w:left="0"/>
              <w:jc w:val="both"/>
              <w:rPr>
                <w:rFonts w:ascii="Garamond" w:hAnsi="Garamond"/>
                <w:sz w:val="22"/>
                <w:szCs w:val="22"/>
                <w:lang w:val="fr-FR"/>
              </w:rPr>
            </w:pPr>
            <w:r w:rsidRPr="00374B98">
              <w:rPr>
                <w:rFonts w:ascii="Garamond" w:hAnsi="Garamond"/>
                <w:sz w:val="22"/>
                <w:szCs w:val="22"/>
                <w:lang w:val="fr-FR"/>
              </w:rPr>
              <w:t>L’évaluation collectera les données de base directement sur le terrain par l’équipe de l’évaluation et auprès des parties prenantes. Le consultant élaborera la matrice d’évaluation dans laquelle il proposera les méthodes de collecte et d’analyse pour chaque question d’évaluation. Les méthodes utilisées pour la collecte des données doivent mener à la recherche des réponses aux questions d’évaluation listées ci-dessus. La méthodologie de l’évaluation doit être en ligne avec l’approche basée sur les droits humains et le genre avec un accent particulier sur l’équité. La méthodologie décrite ci-dessus est indicative ; dans les propositions techniques, les candidats pourront introduire les ajustements/compléments qui leur paraissent pertinents par rapport à la méthodologie de l’évaluation afin d’atteindre les objectifs attendus. Il est par conséquent demandé au consultant de soumettre une proposition technique décrivant la méthodologie de l’évaluation qui inclura les indicateurs pour mesurer les critères énumérés ci-dessus. L’évaluation suivra les normes standards pour les évaluations de l’UNEG ainsi que la guidance concernant l’éthique des évaluations.</w:t>
            </w:r>
          </w:p>
          <w:p w14:paraId="55B273CE" w14:textId="0E94D370" w:rsidR="00254494" w:rsidRPr="00374B98" w:rsidRDefault="00254494" w:rsidP="00254494">
            <w:pPr>
              <w:pStyle w:val="ListParagraph"/>
              <w:ind w:left="0"/>
              <w:jc w:val="both"/>
              <w:rPr>
                <w:rFonts w:ascii="Garamond" w:hAnsi="Garamond"/>
                <w:sz w:val="22"/>
                <w:szCs w:val="22"/>
                <w:lang w:val="fr-FR"/>
              </w:rPr>
            </w:pPr>
          </w:p>
          <w:p w14:paraId="4253469B" w14:textId="77777777" w:rsidR="002A740E" w:rsidRPr="00AE1B71" w:rsidRDefault="002A740E" w:rsidP="001C6B64">
            <w:pPr>
              <w:pStyle w:val="Heading2"/>
              <w:keepLines w:val="0"/>
              <w:spacing w:before="0"/>
              <w:ind w:left="720"/>
              <w:rPr>
                <w:rFonts w:ascii="Garamond" w:hAnsi="Garamond"/>
                <w:bCs/>
                <w:color w:val="0070C0"/>
                <w:kern w:val="32"/>
                <w:sz w:val="22"/>
                <w:szCs w:val="22"/>
                <w:lang w:val="fr-FR"/>
              </w:rPr>
            </w:pPr>
            <w:r w:rsidRPr="00AE1B71">
              <w:rPr>
                <w:rFonts w:ascii="Garamond" w:hAnsi="Garamond"/>
                <w:bCs/>
                <w:color w:val="0070C0"/>
                <w:kern w:val="32"/>
                <w:sz w:val="22"/>
                <w:szCs w:val="22"/>
                <w:lang w:val="fr-FR"/>
              </w:rPr>
              <w:t xml:space="preserve">Conduite éthique de l’évaluation  </w:t>
            </w:r>
          </w:p>
          <w:p w14:paraId="0FC88C0B" w14:textId="77777777" w:rsidR="002A740E" w:rsidRPr="00374B98" w:rsidRDefault="002A740E" w:rsidP="002A740E">
            <w:pPr>
              <w:jc w:val="both"/>
              <w:rPr>
                <w:rFonts w:ascii="Garamond" w:hAnsi="Garamond" w:cs="Calibri"/>
                <w:sz w:val="22"/>
                <w:szCs w:val="22"/>
                <w:lang w:val="fr-FR"/>
              </w:rPr>
            </w:pPr>
            <w:r w:rsidRPr="00374B98">
              <w:rPr>
                <w:rFonts w:ascii="Garamond" w:hAnsi="Garamond" w:cs="Calibri"/>
                <w:sz w:val="22"/>
                <w:szCs w:val="22"/>
                <w:lang w:val="fr-FR"/>
              </w:rPr>
              <w:t>L’évaluation des interventions de développement appuyées par les Nations Unies en général et l’UNICEF en particulier, doivent être indépendantes, impartiales et rigoureuses. Chaque évaluation doit clairement contribuer à l'apprentissage et la redevabilité. Ainsi donc, l’équipe des évaluateurs doit être intègre personnellement et professionnellement et être guidée par les principes de rigueur dans le cadre de la conduite de cet exercice.</w:t>
            </w:r>
            <w:r w:rsidRPr="00374B98">
              <w:rPr>
                <w:rStyle w:val="FootnoteReference"/>
                <w:rFonts w:ascii="Garamond" w:hAnsi="Garamond" w:cs="Calibri"/>
                <w:sz w:val="22"/>
                <w:szCs w:val="22"/>
                <w:lang w:val="fr-FR"/>
              </w:rPr>
              <w:footnoteReference w:id="6"/>
            </w:r>
            <w:r w:rsidRPr="00374B98">
              <w:rPr>
                <w:rFonts w:ascii="Garamond" w:hAnsi="Garamond" w:cs="Calibri"/>
                <w:sz w:val="22"/>
                <w:szCs w:val="22"/>
                <w:lang w:val="fr-FR"/>
              </w:rPr>
              <w:t xml:space="preserve"> </w:t>
            </w:r>
          </w:p>
          <w:p w14:paraId="1BB12C68" w14:textId="77777777" w:rsidR="002A740E" w:rsidRPr="00374B98" w:rsidRDefault="002A740E" w:rsidP="002A740E">
            <w:pPr>
              <w:jc w:val="both"/>
              <w:rPr>
                <w:rFonts w:ascii="Garamond" w:hAnsi="Garamond" w:cs="Calibri"/>
                <w:sz w:val="22"/>
                <w:szCs w:val="22"/>
                <w:lang w:val="fr-FR"/>
              </w:rPr>
            </w:pPr>
          </w:p>
          <w:p w14:paraId="77016446" w14:textId="735098E8" w:rsidR="002A740E" w:rsidRDefault="002A740E" w:rsidP="001C6B64">
            <w:pPr>
              <w:pStyle w:val="Heading2"/>
              <w:keepLines w:val="0"/>
              <w:spacing w:before="0"/>
              <w:ind w:left="720"/>
              <w:jc w:val="both"/>
              <w:rPr>
                <w:rFonts w:ascii="Garamond" w:hAnsi="Garamond"/>
                <w:color w:val="0070C0"/>
                <w:kern w:val="32"/>
                <w:sz w:val="22"/>
                <w:szCs w:val="22"/>
                <w:lang w:val="fr-FR"/>
              </w:rPr>
            </w:pPr>
            <w:bookmarkStart w:id="1" w:name="_Toc23239407"/>
            <w:bookmarkStart w:id="2" w:name="_Toc29330347"/>
            <w:bookmarkStart w:id="3" w:name="_Toc54888686"/>
            <w:bookmarkStart w:id="4" w:name="_Hlk28086872"/>
            <w:r w:rsidRPr="002A740E">
              <w:rPr>
                <w:rFonts w:ascii="Garamond" w:hAnsi="Garamond"/>
                <w:color w:val="0070C0"/>
                <w:kern w:val="32"/>
                <w:sz w:val="22"/>
                <w:szCs w:val="22"/>
                <w:lang w:val="fr-FR"/>
              </w:rPr>
              <w:t>Conformité à la procédure de l'UNICEF pour les normes éthiques en matière de recherche, d'évaluation, de collecte et d'analyse de données</w:t>
            </w:r>
            <w:bookmarkStart w:id="5" w:name="_Toc54888658"/>
            <w:bookmarkEnd w:id="1"/>
            <w:bookmarkEnd w:id="2"/>
            <w:bookmarkEnd w:id="3"/>
            <w:bookmarkEnd w:id="4"/>
            <w:r w:rsidRPr="002A740E">
              <w:rPr>
                <w:rFonts w:ascii="Garamond" w:hAnsi="Garamond"/>
                <w:color w:val="0070C0"/>
                <w:kern w:val="32"/>
                <w:sz w:val="22"/>
                <w:szCs w:val="22"/>
                <w:lang w:val="fr-FR"/>
              </w:rPr>
              <w:t xml:space="preserve"> </w:t>
            </w:r>
          </w:p>
          <w:p w14:paraId="0B70D11C" w14:textId="77777777" w:rsidR="002A740E" w:rsidRPr="001C6B64" w:rsidRDefault="002A740E" w:rsidP="002A740E">
            <w:pPr>
              <w:pStyle w:val="Heading2"/>
              <w:jc w:val="both"/>
              <w:rPr>
                <w:rFonts w:ascii="Garamond" w:hAnsi="Garamond"/>
                <w:color w:val="auto"/>
                <w:kern w:val="32"/>
                <w:sz w:val="22"/>
                <w:szCs w:val="22"/>
                <w:lang w:val="fr-FR"/>
              </w:rPr>
            </w:pPr>
            <w:r w:rsidRPr="001C6B64">
              <w:rPr>
                <w:rFonts w:ascii="Garamond" w:hAnsi="Garamond" w:cs="Calibri"/>
                <w:color w:val="auto"/>
                <w:sz w:val="22"/>
                <w:szCs w:val="22"/>
                <w:shd w:val="clear" w:color="auto" w:fill="FFFFFF"/>
                <w:lang w:val="fr-FR"/>
              </w:rPr>
              <w:t>Les évaluateurs adopteront un ensemble de mesures pour se conformer à la procédure de l’UNICEF en matière de normes éthiques en matière de recherche, d’évaluation, de collecte de données et d’analyse.</w:t>
            </w:r>
            <w:r w:rsidRPr="001C6B64">
              <w:rPr>
                <w:rStyle w:val="FootnoteReference"/>
                <w:rFonts w:ascii="Garamond" w:hAnsi="Garamond" w:cs="Calibri"/>
                <w:color w:val="auto"/>
                <w:sz w:val="22"/>
                <w:szCs w:val="22"/>
                <w:shd w:val="clear" w:color="auto" w:fill="FFFFFF"/>
              </w:rPr>
              <w:footnoteReference w:id="7"/>
            </w:r>
            <w:r w:rsidRPr="001C6B64">
              <w:rPr>
                <w:rFonts w:ascii="Garamond" w:hAnsi="Garamond" w:cs="Calibri"/>
                <w:color w:val="auto"/>
                <w:sz w:val="22"/>
                <w:szCs w:val="22"/>
                <w:shd w:val="clear" w:color="auto" w:fill="FFFFFF"/>
                <w:lang w:val="fr-FR"/>
              </w:rPr>
              <w:t xml:space="preserve"> </w:t>
            </w:r>
          </w:p>
          <w:p w14:paraId="0212E66F" w14:textId="14B80FEC" w:rsidR="002A740E" w:rsidRDefault="002A740E" w:rsidP="002A740E">
            <w:pPr>
              <w:pStyle w:val="Heading2"/>
              <w:rPr>
                <w:rFonts w:ascii="Garamond" w:hAnsi="Garamond"/>
                <w:color w:val="0070C0"/>
                <w:kern w:val="32"/>
                <w:sz w:val="22"/>
                <w:szCs w:val="22"/>
                <w:lang w:val="fr-FR"/>
              </w:rPr>
            </w:pPr>
          </w:p>
          <w:p w14:paraId="74479EA8" w14:textId="7A9E8FA2" w:rsidR="00F35F17" w:rsidRDefault="00F35F17" w:rsidP="00F35F17">
            <w:pPr>
              <w:rPr>
                <w:lang w:val="fr-FR"/>
              </w:rPr>
            </w:pPr>
          </w:p>
          <w:p w14:paraId="2FF93CC1" w14:textId="77777777" w:rsidR="00F35F17" w:rsidRPr="00F35F17" w:rsidRDefault="00F35F17" w:rsidP="00F35F17">
            <w:pPr>
              <w:rPr>
                <w:lang w:val="fr-FR"/>
              </w:rPr>
            </w:pPr>
          </w:p>
          <w:p w14:paraId="2A1ED9D6" w14:textId="6222D048" w:rsidR="002A740E" w:rsidRPr="00AE1B71" w:rsidRDefault="002A740E" w:rsidP="001C6B64">
            <w:pPr>
              <w:pStyle w:val="Heading2"/>
              <w:keepLines w:val="0"/>
              <w:spacing w:before="0"/>
              <w:ind w:left="720"/>
              <w:rPr>
                <w:rFonts w:ascii="Garamond" w:eastAsia="Calibri" w:hAnsi="Garamond" w:cs="Calibri"/>
                <w:b/>
                <w:bCs/>
                <w:sz w:val="22"/>
                <w:szCs w:val="22"/>
                <w:lang w:val="fr-FR"/>
              </w:rPr>
            </w:pPr>
            <w:r w:rsidRPr="00AE1B71">
              <w:rPr>
                <w:rFonts w:ascii="Garamond" w:hAnsi="Garamond"/>
                <w:color w:val="0070C0"/>
                <w:kern w:val="32"/>
                <w:sz w:val="22"/>
                <w:szCs w:val="22"/>
                <w:lang w:val="fr-FR"/>
              </w:rPr>
              <w:t>Egalité de genre</w:t>
            </w:r>
            <w:bookmarkEnd w:id="5"/>
            <w:r w:rsidRPr="00AE1B71">
              <w:rPr>
                <w:rFonts w:ascii="Garamond" w:hAnsi="Garamond"/>
                <w:color w:val="0070C0"/>
                <w:kern w:val="32"/>
                <w:sz w:val="22"/>
                <w:szCs w:val="22"/>
                <w:lang w:val="fr-FR"/>
              </w:rPr>
              <w:t> </w:t>
            </w:r>
          </w:p>
          <w:p w14:paraId="7C97B258" w14:textId="77777777" w:rsidR="002A740E" w:rsidRPr="001C6B64" w:rsidRDefault="002A740E" w:rsidP="002A740E">
            <w:pPr>
              <w:pStyle w:val="Heading2"/>
              <w:rPr>
                <w:rFonts w:ascii="Garamond" w:eastAsia="Calibri" w:hAnsi="Garamond" w:cs="Calibri"/>
                <w:color w:val="auto"/>
                <w:sz w:val="22"/>
                <w:szCs w:val="22"/>
                <w:lang w:val="fr-FR"/>
              </w:rPr>
            </w:pPr>
            <w:r w:rsidRPr="001C6B64">
              <w:rPr>
                <w:rFonts w:ascii="Garamond" w:eastAsia="Calibri" w:hAnsi="Garamond" w:cs="Calibri"/>
                <w:color w:val="auto"/>
                <w:sz w:val="22"/>
                <w:szCs w:val="22"/>
                <w:lang w:val="fr-FR"/>
              </w:rPr>
              <w:t xml:space="preserve">L’équipe des évaluateurs devrait proposer une approche pour voire l’aspect du genre dans le programme « la survie et le développement du jeune enfant », ainsi que faire une analyse pour voir s’il des disparités en termes de genre entre les garçons et les filles. </w:t>
            </w:r>
            <w:bookmarkStart w:id="6" w:name="_Toc54888659"/>
          </w:p>
          <w:p w14:paraId="62A1D560" w14:textId="77777777" w:rsidR="002A740E" w:rsidRPr="002A740E" w:rsidRDefault="002A740E" w:rsidP="002A740E">
            <w:pPr>
              <w:pStyle w:val="Heading2"/>
              <w:rPr>
                <w:sz w:val="22"/>
                <w:szCs w:val="22"/>
                <w:lang w:val="fr-FR"/>
              </w:rPr>
            </w:pPr>
          </w:p>
          <w:p w14:paraId="7583A401" w14:textId="77777777" w:rsidR="002A740E" w:rsidRPr="00AE1B71" w:rsidRDefault="002A740E" w:rsidP="001C6B64">
            <w:pPr>
              <w:pStyle w:val="Heading2"/>
              <w:keepLines w:val="0"/>
              <w:spacing w:before="0"/>
              <w:ind w:left="720"/>
              <w:rPr>
                <w:rFonts w:ascii="Garamond" w:eastAsia="Calibri" w:hAnsi="Garamond" w:cs="Calibri"/>
                <w:b/>
                <w:bCs/>
                <w:sz w:val="22"/>
                <w:szCs w:val="22"/>
                <w:lang w:val="fr-FR"/>
              </w:rPr>
            </w:pPr>
            <w:r w:rsidRPr="00AE1B71">
              <w:rPr>
                <w:rFonts w:ascii="Garamond" w:hAnsi="Garamond"/>
                <w:color w:val="0070C0"/>
                <w:kern w:val="32"/>
                <w:sz w:val="22"/>
                <w:szCs w:val="22"/>
                <w:lang w:val="fr-FR"/>
              </w:rPr>
              <w:t>Promotion de l’équité</w:t>
            </w:r>
            <w:bookmarkEnd w:id="6"/>
            <w:r w:rsidRPr="00AE1B71">
              <w:rPr>
                <w:rFonts w:ascii="Garamond" w:hAnsi="Garamond"/>
                <w:color w:val="0070C0"/>
                <w:kern w:val="32"/>
                <w:sz w:val="22"/>
                <w:szCs w:val="22"/>
                <w:lang w:val="fr-FR"/>
              </w:rPr>
              <w:t xml:space="preserve"> </w:t>
            </w:r>
          </w:p>
          <w:p w14:paraId="5637BC4A" w14:textId="77777777" w:rsidR="002A740E" w:rsidRPr="001C6B64" w:rsidRDefault="002A740E" w:rsidP="002A740E">
            <w:pPr>
              <w:pStyle w:val="Heading2"/>
              <w:rPr>
                <w:rFonts w:ascii="Garamond" w:eastAsia="Calibri" w:hAnsi="Garamond" w:cs="Calibri"/>
                <w:color w:val="auto"/>
                <w:sz w:val="22"/>
                <w:szCs w:val="22"/>
                <w:lang w:val="fr-FR"/>
              </w:rPr>
            </w:pPr>
            <w:r w:rsidRPr="001C6B64">
              <w:rPr>
                <w:rFonts w:ascii="Garamond" w:eastAsia="Calibri" w:hAnsi="Garamond" w:cs="Calibri"/>
                <w:color w:val="auto"/>
                <w:sz w:val="22"/>
                <w:szCs w:val="22"/>
                <w:lang w:val="fr-FR"/>
              </w:rPr>
              <w:t xml:space="preserve">Les évaluateurs devront proposer une approche de l’évaluation permettant de voir si le programme de la petite enfance a été équitable.  </w:t>
            </w:r>
          </w:p>
          <w:p w14:paraId="333F3B86" w14:textId="77777777" w:rsidR="002A740E" w:rsidRPr="002A740E" w:rsidRDefault="002A740E" w:rsidP="002A740E">
            <w:pPr>
              <w:pStyle w:val="Heading2"/>
              <w:rPr>
                <w:sz w:val="22"/>
                <w:szCs w:val="22"/>
                <w:lang w:val="fr-FR"/>
              </w:rPr>
            </w:pPr>
          </w:p>
          <w:p w14:paraId="1BDB58F3" w14:textId="77777777" w:rsidR="002A740E" w:rsidRPr="002A740E" w:rsidRDefault="002A740E" w:rsidP="001C6B64">
            <w:pPr>
              <w:pStyle w:val="Heading2"/>
              <w:keepLines w:val="0"/>
              <w:spacing w:before="0"/>
              <w:ind w:left="720"/>
              <w:rPr>
                <w:sz w:val="22"/>
                <w:szCs w:val="22"/>
                <w:lang w:val="fr-FR"/>
              </w:rPr>
            </w:pPr>
            <w:r w:rsidRPr="002A740E">
              <w:rPr>
                <w:rFonts w:ascii="Garamond" w:hAnsi="Garamond"/>
                <w:color w:val="0070C0"/>
                <w:kern w:val="32"/>
                <w:sz w:val="22"/>
                <w:szCs w:val="22"/>
                <w:lang w:val="fr-FR"/>
              </w:rPr>
              <w:t xml:space="preserve">Programmation basée sur les droits de l’homme </w:t>
            </w:r>
          </w:p>
          <w:p w14:paraId="48F030E0" w14:textId="77777777" w:rsidR="002A740E" w:rsidRPr="001C6B64" w:rsidRDefault="002A740E" w:rsidP="002A740E">
            <w:pPr>
              <w:pStyle w:val="Heading2"/>
              <w:rPr>
                <w:rFonts w:ascii="Garamond" w:hAnsi="Garamond"/>
                <w:color w:val="auto"/>
                <w:sz w:val="22"/>
                <w:szCs w:val="22"/>
                <w:lang w:val="fr-FR"/>
              </w:rPr>
            </w:pPr>
            <w:r w:rsidRPr="001C6B64">
              <w:rPr>
                <w:rFonts w:ascii="Garamond" w:hAnsi="Garamond"/>
                <w:color w:val="auto"/>
                <w:sz w:val="22"/>
                <w:szCs w:val="22"/>
                <w:lang w:val="fr-FR"/>
              </w:rPr>
              <w:t xml:space="preserve">L’évaluation va examiner le degré auquel la programmation basée sur les droits de l’homme a été appliqué.     </w:t>
            </w:r>
          </w:p>
          <w:p w14:paraId="418FEFF8" w14:textId="77777777" w:rsidR="002A740E" w:rsidRPr="00374B98" w:rsidRDefault="002A740E" w:rsidP="002A740E">
            <w:pPr>
              <w:rPr>
                <w:sz w:val="22"/>
                <w:szCs w:val="22"/>
                <w:lang w:val="fr-FR"/>
              </w:rPr>
            </w:pPr>
          </w:p>
          <w:p w14:paraId="49F5DAD4" w14:textId="77777777" w:rsidR="002A740E" w:rsidRPr="00AE1B71" w:rsidRDefault="002A740E" w:rsidP="001C6B64">
            <w:pPr>
              <w:pStyle w:val="Heading2"/>
              <w:keepLines w:val="0"/>
              <w:spacing w:before="0"/>
              <w:ind w:left="720"/>
              <w:jc w:val="both"/>
              <w:rPr>
                <w:rFonts w:ascii="Garamond" w:hAnsi="Garamond" w:cs="Calibri"/>
                <w:b/>
                <w:bCs/>
                <w:sz w:val="22"/>
                <w:szCs w:val="22"/>
                <w:lang w:val="fr-FR"/>
              </w:rPr>
            </w:pPr>
            <w:r w:rsidRPr="00AE1B71">
              <w:rPr>
                <w:rFonts w:ascii="Garamond" w:hAnsi="Garamond"/>
                <w:color w:val="0070C0"/>
                <w:kern w:val="32"/>
                <w:sz w:val="22"/>
                <w:szCs w:val="22"/>
                <w:lang w:val="fr-FR"/>
              </w:rPr>
              <w:t>Limites </w:t>
            </w:r>
          </w:p>
          <w:p w14:paraId="77D8D9C5" w14:textId="77777777" w:rsidR="002A740E" w:rsidRPr="001C6B64" w:rsidRDefault="002A740E" w:rsidP="002A740E">
            <w:pPr>
              <w:pStyle w:val="Heading2"/>
              <w:jc w:val="both"/>
              <w:rPr>
                <w:rFonts w:ascii="Garamond" w:hAnsi="Garamond" w:cs="Calibri"/>
                <w:color w:val="auto"/>
                <w:sz w:val="22"/>
                <w:szCs w:val="22"/>
                <w:lang w:val="fr-FR"/>
              </w:rPr>
            </w:pPr>
            <w:r w:rsidRPr="001C6B64">
              <w:rPr>
                <w:rFonts w:ascii="Garamond" w:hAnsi="Garamond" w:cs="Calibri"/>
                <w:color w:val="auto"/>
                <w:sz w:val="22"/>
                <w:szCs w:val="22"/>
                <w:lang w:val="fr-FR"/>
              </w:rPr>
              <w:t xml:space="preserve"> </w:t>
            </w:r>
            <w:r w:rsidRPr="001C6B64">
              <w:rPr>
                <w:color w:val="auto"/>
                <w:sz w:val="22"/>
                <w:szCs w:val="22"/>
                <w:lang w:val="fr-FR"/>
              </w:rPr>
              <w:t>​​</w:t>
            </w:r>
            <w:r w:rsidRPr="001C6B64">
              <w:rPr>
                <w:rFonts w:ascii="Garamond" w:hAnsi="Garamond" w:cs="Calibri"/>
                <w:color w:val="auto"/>
                <w:sz w:val="22"/>
                <w:szCs w:val="22"/>
                <w:lang w:val="fr-FR"/>
              </w:rPr>
              <w:t>Il existe plusieurs limites potentielles à l'évaluation. Premièrement, la théorie de changement du programme avec un cadre des résultats spécifiques n’a pas été développée pour le programme survie et développement du jeune enfant. Cependant il existe des théories de changement spécifiques à chaque sous-composante du programme. L'équipe d'évaluation atténuera les limites mentionnées en élaborant une théorie de changement ainsi qu’un cadre des résultats rétroactif pour le programme survie et développement du jeune enfant.</w:t>
            </w:r>
          </w:p>
          <w:p w14:paraId="552743D7" w14:textId="77777777" w:rsidR="002A740E" w:rsidRPr="002A740E" w:rsidRDefault="002A740E" w:rsidP="002A740E">
            <w:pPr>
              <w:pStyle w:val="Heading2"/>
              <w:jc w:val="both"/>
              <w:rPr>
                <w:rFonts w:ascii="Garamond" w:hAnsi="Garamond" w:cs="Calibri"/>
                <w:b/>
                <w:bCs/>
                <w:sz w:val="22"/>
                <w:szCs w:val="22"/>
                <w:lang w:val="fr-FR"/>
              </w:rPr>
            </w:pPr>
          </w:p>
          <w:p w14:paraId="2344D399" w14:textId="06E16574" w:rsidR="0007007D" w:rsidRPr="004B04A1" w:rsidRDefault="002A740E" w:rsidP="00662EA7">
            <w:pPr>
              <w:pStyle w:val="Heading2"/>
              <w:jc w:val="both"/>
              <w:rPr>
                <w:rFonts w:ascii="Garamond" w:hAnsi="Garamond" w:cs="Calibri"/>
                <w:b/>
                <w:bCs/>
                <w:sz w:val="22"/>
                <w:szCs w:val="22"/>
                <w:lang w:val="fr-FR"/>
              </w:rPr>
            </w:pPr>
            <w:r w:rsidRPr="001C6B64">
              <w:rPr>
                <w:rFonts w:ascii="Garamond" w:hAnsi="Garamond" w:cs="Calibri"/>
                <w:color w:val="auto"/>
                <w:sz w:val="22"/>
                <w:szCs w:val="22"/>
                <w:lang w:val="fr-FR"/>
              </w:rPr>
              <w:t>Les biais de sélection pour la collecte des données. Ce biais est relatif tant aux zones d’intervention à couvrir que pour les personnes choisies pour les entretiens semi-structurés. L’évaluation fera en sorte que les zones urbaines, périurbaines et rurales ainsi que les différentes catégories des parties prenantes y compris les bénéficiaires soient représentées. Les risques d’intégrité des données recueillies. En effet, cette limite traduit le risque de grossissement ou de dissimulation des faits par les informateurs clés à consulter sur le terrain, ces derniers étant souvent choisis par les partenaires d’exécution. Cette limite est atténuée par la triangulation et une la consolidation des données collectées auprès de plusieurs sources.</w:t>
            </w:r>
            <w:r w:rsidR="00662EA7">
              <w:rPr>
                <w:rFonts w:ascii="Garamond" w:hAnsi="Garamond" w:cs="Calibri"/>
                <w:color w:val="auto"/>
                <w:sz w:val="22"/>
                <w:szCs w:val="22"/>
                <w:lang w:val="fr-FR"/>
              </w:rPr>
              <w:t xml:space="preserve"> </w:t>
            </w:r>
            <w:r w:rsidRPr="001C6B64">
              <w:rPr>
                <w:rFonts w:ascii="Garamond" w:hAnsi="Garamond" w:cs="Calibri"/>
                <w:color w:val="auto"/>
                <w:sz w:val="22"/>
                <w:szCs w:val="22"/>
                <w:lang w:val="fr-FR"/>
              </w:rPr>
              <w:t>Enfin, il est probable que l’expert international ne pourras arriver jusqu’au pays à cause de COVID 19.</w:t>
            </w:r>
            <w:r w:rsidRPr="001C6B64">
              <w:rPr>
                <w:rFonts w:ascii="Garamond" w:hAnsi="Garamond" w:cs="Calibri"/>
                <w:b/>
                <w:bCs/>
                <w:color w:val="auto"/>
                <w:sz w:val="22"/>
                <w:szCs w:val="22"/>
                <w:lang w:val="fr-FR"/>
              </w:rPr>
              <w:t xml:space="preserve">  </w:t>
            </w:r>
          </w:p>
        </w:tc>
      </w:tr>
      <w:tr w:rsidR="0007007D" w:rsidRPr="007613B3" w14:paraId="249F1DD0" w14:textId="77777777" w:rsidTr="0005346D">
        <w:tc>
          <w:tcPr>
            <w:tcW w:w="3504" w:type="dxa"/>
            <w:gridSpan w:val="2"/>
            <w:shd w:val="clear" w:color="auto" w:fill="auto"/>
            <w:noWrap/>
            <w:hideMark/>
          </w:tcPr>
          <w:p w14:paraId="6260F9B4" w14:textId="77777777" w:rsidR="0007007D" w:rsidRPr="007613B3" w:rsidRDefault="0007007D" w:rsidP="00236DC9">
            <w:pPr>
              <w:spacing w:before="100" w:beforeAutospacing="1" w:after="100" w:afterAutospacing="1"/>
              <w:rPr>
                <w:rFonts w:ascii="Calibri" w:eastAsia="Arial Unicode MS" w:hAnsi="Calibri" w:cs="Calibri"/>
                <w:b/>
                <w:lang w:val="en-AU"/>
              </w:rPr>
            </w:pPr>
            <w:r w:rsidRPr="007613B3">
              <w:rPr>
                <w:rFonts w:ascii="Calibri" w:eastAsia="Arial Unicode MS" w:hAnsi="Calibri" w:cs="Calibri"/>
                <w:b/>
                <w:lang w:val="en-AU"/>
              </w:rPr>
              <w:lastRenderedPageBreak/>
              <w:t>Start Date:</w:t>
            </w:r>
          </w:p>
        </w:tc>
        <w:tc>
          <w:tcPr>
            <w:tcW w:w="3160" w:type="dxa"/>
            <w:gridSpan w:val="2"/>
            <w:shd w:val="clear" w:color="auto" w:fill="auto"/>
          </w:tcPr>
          <w:p w14:paraId="3D584F59" w14:textId="77777777" w:rsidR="0007007D" w:rsidRPr="007613B3" w:rsidRDefault="0007007D" w:rsidP="00236DC9">
            <w:pPr>
              <w:spacing w:before="100" w:beforeAutospacing="1" w:after="100" w:afterAutospacing="1"/>
              <w:rPr>
                <w:rFonts w:ascii="Calibri" w:eastAsia="Arial Unicode MS" w:hAnsi="Calibri" w:cs="Calibri"/>
                <w:b/>
                <w:lang w:val="en-AU"/>
              </w:rPr>
            </w:pPr>
            <w:r w:rsidRPr="007613B3">
              <w:rPr>
                <w:rFonts w:ascii="Calibri" w:eastAsia="Arial Unicode MS" w:hAnsi="Calibri" w:cs="Calibri"/>
                <w:b/>
                <w:lang w:val="en-AU"/>
              </w:rPr>
              <w:t>End Date:</w:t>
            </w:r>
          </w:p>
        </w:tc>
        <w:tc>
          <w:tcPr>
            <w:tcW w:w="3228" w:type="dxa"/>
            <w:gridSpan w:val="2"/>
            <w:shd w:val="clear" w:color="auto" w:fill="auto"/>
          </w:tcPr>
          <w:p w14:paraId="7FE8E4D1" w14:textId="77777777" w:rsidR="0007007D" w:rsidRPr="007613B3" w:rsidRDefault="0007007D" w:rsidP="00236DC9">
            <w:pPr>
              <w:spacing w:before="100" w:beforeAutospacing="1" w:after="100" w:afterAutospacing="1"/>
              <w:rPr>
                <w:rFonts w:ascii="Calibri" w:eastAsia="Arial Unicode MS" w:hAnsi="Calibri" w:cs="Calibri"/>
                <w:b/>
                <w:lang w:val="en-AU"/>
              </w:rPr>
            </w:pPr>
            <w:r w:rsidRPr="007613B3">
              <w:rPr>
                <w:rFonts w:ascii="Calibri" w:eastAsia="Arial Unicode MS" w:hAnsi="Calibri" w:cs="Calibri"/>
                <w:b/>
                <w:lang w:val="en-AU"/>
              </w:rPr>
              <w:t>Number of Days (working)</w:t>
            </w:r>
          </w:p>
        </w:tc>
      </w:tr>
      <w:tr w:rsidR="0007007D" w:rsidRPr="007613B3" w14:paraId="4B7E4053" w14:textId="77777777" w:rsidTr="0005346D">
        <w:trPr>
          <w:trHeight w:val="1027"/>
        </w:trPr>
        <w:tc>
          <w:tcPr>
            <w:tcW w:w="3504" w:type="dxa"/>
            <w:gridSpan w:val="2"/>
            <w:shd w:val="clear" w:color="auto" w:fill="auto"/>
            <w:noWrap/>
          </w:tcPr>
          <w:p w14:paraId="07478005" w14:textId="50A64EEC" w:rsidR="0007007D" w:rsidRDefault="00F71F42" w:rsidP="00236DC9">
            <w:pPr>
              <w:spacing w:before="60" w:after="60"/>
              <w:rPr>
                <w:rFonts w:ascii="Calibri" w:eastAsia="Arial Unicode MS" w:hAnsi="Calibri" w:cs="Calibri"/>
                <w:i/>
                <w:iCs/>
                <w:lang w:val="en-AU"/>
              </w:rPr>
            </w:pPr>
            <w:r>
              <w:rPr>
                <w:rFonts w:ascii="Calibri" w:eastAsia="Arial Unicode MS" w:hAnsi="Calibri" w:cs="Calibri"/>
                <w:i/>
                <w:iCs/>
                <w:lang w:val="en-AU"/>
              </w:rPr>
              <w:t>2</w:t>
            </w:r>
            <w:r w:rsidR="004E2198">
              <w:rPr>
                <w:rFonts w:ascii="Calibri" w:eastAsia="Arial Unicode MS" w:hAnsi="Calibri" w:cs="Calibri"/>
                <w:i/>
                <w:iCs/>
                <w:lang w:val="en-AU"/>
              </w:rPr>
              <w:t>8</w:t>
            </w:r>
            <w:r>
              <w:rPr>
                <w:rFonts w:ascii="Calibri" w:eastAsia="Arial Unicode MS" w:hAnsi="Calibri" w:cs="Calibri"/>
                <w:i/>
                <w:iCs/>
                <w:lang w:val="en-AU"/>
              </w:rPr>
              <w:t xml:space="preserve"> Juillet 2021 </w:t>
            </w:r>
          </w:p>
          <w:p w14:paraId="5D06EFEB" w14:textId="77777777" w:rsidR="0007007D" w:rsidRDefault="0007007D" w:rsidP="00236DC9">
            <w:pPr>
              <w:spacing w:before="60" w:after="60"/>
              <w:rPr>
                <w:rFonts w:ascii="Calibri" w:eastAsia="Arial Unicode MS" w:hAnsi="Calibri" w:cs="Calibri"/>
                <w:i/>
                <w:iCs/>
                <w:lang w:val="en-AU"/>
              </w:rPr>
            </w:pPr>
          </w:p>
          <w:p w14:paraId="6E2EFBBC" w14:textId="77777777" w:rsidR="0007007D" w:rsidRPr="007613B3" w:rsidRDefault="0007007D" w:rsidP="00236DC9">
            <w:pPr>
              <w:spacing w:before="60" w:after="60"/>
              <w:rPr>
                <w:rFonts w:ascii="Calibri" w:eastAsia="Arial Unicode MS" w:hAnsi="Calibri" w:cs="Calibri"/>
                <w:i/>
                <w:iCs/>
                <w:lang w:val="en-AU"/>
              </w:rPr>
            </w:pPr>
          </w:p>
        </w:tc>
        <w:tc>
          <w:tcPr>
            <w:tcW w:w="3160" w:type="dxa"/>
            <w:gridSpan w:val="2"/>
            <w:shd w:val="clear" w:color="auto" w:fill="auto"/>
          </w:tcPr>
          <w:p w14:paraId="1B7C54AF" w14:textId="7EBE74D3" w:rsidR="0007007D" w:rsidRPr="007613B3" w:rsidRDefault="00EA00A9" w:rsidP="00236DC9">
            <w:pPr>
              <w:spacing w:before="60" w:after="60"/>
              <w:rPr>
                <w:rFonts w:ascii="Calibri" w:eastAsia="Arial Unicode MS" w:hAnsi="Calibri" w:cs="Calibri"/>
                <w:i/>
                <w:iCs/>
                <w:lang w:val="en-AU"/>
              </w:rPr>
            </w:pPr>
            <w:r>
              <w:rPr>
                <w:rFonts w:ascii="Calibri" w:eastAsia="Arial Unicode MS" w:hAnsi="Calibri" w:cs="Calibri"/>
                <w:i/>
                <w:iCs/>
                <w:lang w:val="en-AU"/>
              </w:rPr>
              <w:t xml:space="preserve">30 </w:t>
            </w:r>
            <w:proofErr w:type="spellStart"/>
            <w:r>
              <w:rPr>
                <w:rFonts w:ascii="Calibri" w:eastAsia="Arial Unicode MS" w:hAnsi="Calibri" w:cs="Calibri"/>
                <w:i/>
                <w:iCs/>
                <w:lang w:val="en-AU"/>
              </w:rPr>
              <w:t>octobre</w:t>
            </w:r>
            <w:proofErr w:type="spellEnd"/>
            <w:r>
              <w:rPr>
                <w:rFonts w:ascii="Calibri" w:eastAsia="Arial Unicode MS" w:hAnsi="Calibri" w:cs="Calibri"/>
                <w:i/>
                <w:iCs/>
                <w:lang w:val="en-AU"/>
              </w:rPr>
              <w:t xml:space="preserve"> 2021 </w:t>
            </w:r>
          </w:p>
        </w:tc>
        <w:tc>
          <w:tcPr>
            <w:tcW w:w="3228" w:type="dxa"/>
            <w:gridSpan w:val="2"/>
            <w:shd w:val="clear" w:color="auto" w:fill="auto"/>
          </w:tcPr>
          <w:p w14:paraId="26DAF816" w14:textId="7BBC105E" w:rsidR="008B3FC7" w:rsidRDefault="005D0C1D" w:rsidP="004E2198">
            <w:pPr>
              <w:spacing w:before="60" w:after="60"/>
              <w:rPr>
                <w:rFonts w:ascii="Calibri" w:eastAsia="Arial Unicode MS" w:hAnsi="Calibri" w:cs="Calibri"/>
                <w:i/>
                <w:iCs/>
                <w:lang w:val="en-AU"/>
              </w:rPr>
            </w:pPr>
            <w:r w:rsidRPr="008B3FC7">
              <w:rPr>
                <w:rFonts w:ascii="Calibri" w:eastAsia="Arial Unicode MS" w:hAnsi="Calibri" w:cs="Calibri"/>
                <w:i/>
                <w:iCs/>
                <w:lang w:val="en-AU"/>
              </w:rPr>
              <w:t>40</w:t>
            </w:r>
            <w:r w:rsidR="00361B52" w:rsidRPr="008B3FC7">
              <w:rPr>
                <w:rFonts w:ascii="Calibri" w:eastAsia="Arial Unicode MS" w:hAnsi="Calibri" w:cs="Calibri"/>
                <w:i/>
                <w:iCs/>
                <w:lang w:val="en-AU"/>
              </w:rPr>
              <w:t xml:space="preserve"> </w:t>
            </w:r>
            <w:r w:rsidR="004E2198">
              <w:rPr>
                <w:rFonts w:ascii="Calibri" w:eastAsia="Arial Unicode MS" w:hAnsi="Calibri" w:cs="Calibri"/>
                <w:i/>
                <w:iCs/>
              </w:rPr>
              <w:t xml:space="preserve"> </w:t>
            </w:r>
          </w:p>
          <w:p w14:paraId="0BC97AF2" w14:textId="4551CF71" w:rsidR="00361B52" w:rsidRPr="007613B3" w:rsidRDefault="00361B52" w:rsidP="00236DC9">
            <w:pPr>
              <w:spacing w:before="60" w:after="60"/>
              <w:rPr>
                <w:rFonts w:ascii="Calibri" w:eastAsia="Arial Unicode MS" w:hAnsi="Calibri" w:cs="Calibri"/>
                <w:i/>
                <w:iCs/>
                <w:lang w:val="en-AU"/>
              </w:rPr>
            </w:pPr>
          </w:p>
        </w:tc>
      </w:tr>
      <w:tr w:rsidR="0007007D" w:rsidRPr="007613B3" w14:paraId="1754E205" w14:textId="77777777" w:rsidTr="0005346D">
        <w:trPr>
          <w:trHeight w:val="314"/>
        </w:trPr>
        <w:tc>
          <w:tcPr>
            <w:tcW w:w="9892" w:type="dxa"/>
            <w:gridSpan w:val="6"/>
            <w:shd w:val="clear" w:color="auto" w:fill="auto"/>
            <w:noWrap/>
          </w:tcPr>
          <w:p w14:paraId="08B1E564" w14:textId="2924C3E0" w:rsidR="0007007D" w:rsidRDefault="0007007D" w:rsidP="004D3A8B">
            <w:pPr>
              <w:rPr>
                <w:rFonts w:ascii="Calibri" w:eastAsia="Arial Unicode MS" w:hAnsi="Calibri" w:cs="Calibri"/>
                <w:bCs/>
                <w:i/>
                <w:iCs/>
                <w:color w:val="595959" w:themeColor="text1" w:themeTint="A6"/>
                <w:sz w:val="18"/>
                <w:szCs w:val="18"/>
                <w:lang w:val="en-AU"/>
              </w:rPr>
            </w:pPr>
            <w:r w:rsidRPr="00473C71">
              <w:rPr>
                <w:rFonts w:ascii="Calibri" w:eastAsia="Arial Unicode MS" w:hAnsi="Calibri" w:cs="Calibri"/>
                <w:b/>
                <w:lang w:val="en-AU"/>
              </w:rPr>
              <w:t>Work Schedule</w:t>
            </w:r>
            <w:r>
              <w:rPr>
                <w:rFonts w:ascii="Calibri" w:eastAsia="Arial Unicode MS" w:hAnsi="Calibri" w:cs="Calibri"/>
                <w:b/>
                <w:lang w:val="en-AU"/>
              </w:rPr>
              <w:t>/work plan:</w:t>
            </w:r>
            <w:r w:rsidR="004D3A8B">
              <w:rPr>
                <w:rFonts w:ascii="Calibri" w:eastAsia="Arial Unicode MS" w:hAnsi="Calibri" w:cs="Calibri"/>
                <w:b/>
                <w:lang w:val="en-AU"/>
              </w:rPr>
              <w:t xml:space="preserve"> </w:t>
            </w:r>
            <w:r w:rsidR="006460ED">
              <w:rPr>
                <w:rFonts w:ascii="Calibri" w:eastAsia="Arial Unicode MS" w:hAnsi="Calibri" w:cs="Calibri"/>
                <w:bCs/>
                <w:i/>
                <w:iCs/>
                <w:color w:val="595959" w:themeColor="text1" w:themeTint="A6"/>
                <w:sz w:val="18"/>
                <w:szCs w:val="18"/>
                <w:lang w:val="en-AU"/>
              </w:rPr>
              <w:t xml:space="preserve"> </w:t>
            </w:r>
          </w:p>
          <w:p w14:paraId="027B2991" w14:textId="49F65433" w:rsidR="00EE3F96" w:rsidRDefault="00EE3F96" w:rsidP="004D3A8B">
            <w:pPr>
              <w:rPr>
                <w:rFonts w:ascii="Calibri" w:eastAsia="Arial Unicode MS" w:hAnsi="Calibri" w:cs="Calibri"/>
                <w:bCs/>
                <w:i/>
                <w:iCs/>
                <w:color w:val="595959" w:themeColor="text1" w:themeTint="A6"/>
                <w:sz w:val="18"/>
                <w:szCs w:val="18"/>
                <w:lang w:val="en-AU"/>
              </w:rPr>
            </w:pPr>
          </w:p>
          <w:p w14:paraId="0A090F09" w14:textId="77777777" w:rsidR="00EE3F96" w:rsidRDefault="00EE3F96" w:rsidP="004D3A8B">
            <w:pPr>
              <w:rPr>
                <w:rFonts w:ascii="Calibri" w:eastAsia="Arial Unicode MS" w:hAnsi="Calibri" w:cs="Calibri"/>
                <w:bCs/>
                <w:i/>
                <w:iCs/>
                <w:color w:val="595959" w:themeColor="text1" w:themeTint="A6"/>
                <w:sz w:val="18"/>
                <w:szCs w:val="18"/>
                <w:lang w:val="en-AU"/>
              </w:rPr>
            </w:pP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790"/>
              <w:gridCol w:w="2411"/>
            </w:tblGrid>
            <w:tr w:rsidR="0059144C" w:rsidRPr="0016583B" w14:paraId="393FF9FC"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36B4092F" w14:textId="77777777" w:rsidR="0059144C" w:rsidRPr="0016583B" w:rsidRDefault="0059144C" w:rsidP="00502CDB">
                  <w:pPr>
                    <w:pStyle w:val="Heading1"/>
                    <w:keepLines/>
                    <w:framePr w:hSpace="180" w:wrap="around" w:hAnchor="margin" w:xAlign="center" w:y="530"/>
                    <w:rPr>
                      <w:rFonts w:ascii="Garamond" w:hAnsi="Garamond"/>
                      <w:b w:val="0"/>
                      <w:sz w:val="20"/>
                      <w:szCs w:val="20"/>
                      <w:lang w:val="fr-FR"/>
                    </w:rPr>
                  </w:pPr>
                  <w:r w:rsidRPr="0016583B">
                    <w:rPr>
                      <w:rFonts w:ascii="Garamond" w:hAnsi="Garamond"/>
                      <w:b w:val="0"/>
                      <w:sz w:val="20"/>
                      <w:szCs w:val="20"/>
                      <w:lang w:val="fr-FR"/>
                    </w:rPr>
                    <w:t>Quand</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33D11935"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16583B">
                    <w:rPr>
                      <w:rFonts w:ascii="Garamond" w:hAnsi="Garamond"/>
                      <w:b w:val="0"/>
                      <w:bCs w:val="0"/>
                      <w:sz w:val="20"/>
                      <w:szCs w:val="20"/>
                      <w:lang w:val="fr-FR"/>
                    </w:rPr>
                    <w:t>Activité</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77C0C484"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16583B">
                    <w:rPr>
                      <w:rFonts w:ascii="Garamond" w:hAnsi="Garamond"/>
                      <w:b w:val="0"/>
                      <w:bCs w:val="0"/>
                      <w:sz w:val="20"/>
                      <w:szCs w:val="20"/>
                      <w:lang w:val="fr-FR"/>
                    </w:rPr>
                    <w:t>Livrables</w:t>
                  </w:r>
                </w:p>
              </w:tc>
            </w:tr>
            <w:tr w:rsidR="0059144C" w:rsidRPr="0016583B" w14:paraId="47A2CB34"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35F6F32C"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16 Août -10 septembre</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5DDBA5DD"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 xml:space="preserve">Analyser la documentation existante sur le programme survie et développement du jeune enfant ainsi que l’environnement global de sa mise en œuvre </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E77090B"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Rapport de démarrage</w:t>
                  </w:r>
                </w:p>
              </w:tc>
            </w:tr>
            <w:tr w:rsidR="0059144C" w:rsidRPr="0016583B" w14:paraId="62909DC6"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4B5A6C6C"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 xml:space="preserve">11-25 septembre </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66FE3F9A"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Travail sur le terrain</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2DAE504"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Données collectées</w:t>
                  </w:r>
                </w:p>
              </w:tc>
            </w:tr>
            <w:tr w:rsidR="0059144C" w:rsidRPr="0016583B" w14:paraId="71246593"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61018E2B"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 xml:space="preserve">26 septembre -10 octobre </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13B7EE47"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Analyser les données</w:t>
                  </w:r>
                </w:p>
                <w:p w14:paraId="123CC76D"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Rédaction d’un premier draft du rapport d’évaluation</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0BB6BD3"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 xml:space="preserve">  Draft 1 rapport d’évaluation</w:t>
                  </w:r>
                </w:p>
              </w:tc>
            </w:tr>
            <w:tr w:rsidR="0059144C" w:rsidRPr="00502CDB" w14:paraId="579E6BB7"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1C59B622"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11-16 octobre</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38AD0866"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 xml:space="preserve">Revue du rapport par le comité du pilotage </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12806EC"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 xml:space="preserve">Matrix des commentaires à l’équipe </w:t>
                  </w:r>
                </w:p>
              </w:tc>
            </w:tr>
            <w:tr w:rsidR="0059144C" w:rsidRPr="0016583B" w14:paraId="46EB3CD6"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73973F77"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 xml:space="preserve">17-21 octobre </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0C6ABF54"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 xml:space="preserve">Travail avec les commentaires </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763AC02C"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Draft ajusté</w:t>
                  </w:r>
                </w:p>
              </w:tc>
            </w:tr>
            <w:tr w:rsidR="0059144C" w:rsidRPr="00502CDB" w14:paraId="68382C9B"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4989CA76"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21-28 octobre</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46290036"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 xml:space="preserve">Revue finale du rapport par le comité du pilotage </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DF9EE50"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Matrix des commentaires finaux à l’équipe</w:t>
                  </w:r>
                </w:p>
              </w:tc>
            </w:tr>
            <w:tr w:rsidR="0059144C" w:rsidRPr="0016583B" w14:paraId="6CD17053"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4E142354"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lastRenderedPageBreak/>
                    <w:t xml:space="preserve">28-30 octobre  </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759C325E"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 xml:space="preserve">Travail avec les commentaires finaux  </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4452CB9"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 xml:space="preserve"> Rapport final de l’évaluation</w:t>
                  </w:r>
                  <w:r w:rsidRPr="005C436F">
                    <w:rPr>
                      <w:rStyle w:val="FootnoteReference"/>
                      <w:rFonts w:ascii="Garamond" w:hAnsi="Garamond"/>
                      <w:b w:val="0"/>
                      <w:bCs w:val="0"/>
                      <w:sz w:val="20"/>
                      <w:szCs w:val="20"/>
                      <w:lang w:val="fr-FR"/>
                    </w:rPr>
                    <w:footnoteReference w:id="8"/>
                  </w:r>
                </w:p>
              </w:tc>
            </w:tr>
            <w:tr w:rsidR="0059144C" w:rsidRPr="0016583B" w14:paraId="31DEFE35" w14:textId="77777777" w:rsidTr="001152F6">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39CF060E" w14:textId="77777777" w:rsidR="0059144C" w:rsidRPr="002E5E01" w:rsidRDefault="0059144C" w:rsidP="00502CDB">
                  <w:pPr>
                    <w:pStyle w:val="Heading1"/>
                    <w:keepLines/>
                    <w:framePr w:hSpace="180" w:wrap="around" w:hAnchor="margin" w:xAlign="center" w:y="530"/>
                    <w:rPr>
                      <w:rFonts w:ascii="Garamond" w:hAnsi="Garamond"/>
                      <w:b w:val="0"/>
                      <w:sz w:val="20"/>
                      <w:szCs w:val="20"/>
                      <w:lang w:val="fr-FR"/>
                    </w:rPr>
                  </w:pPr>
                  <w:r w:rsidRPr="002E5E01">
                    <w:rPr>
                      <w:rFonts w:ascii="Garamond" w:hAnsi="Garamond"/>
                      <w:b w:val="0"/>
                      <w:sz w:val="20"/>
                      <w:szCs w:val="20"/>
                      <w:lang w:val="fr-FR"/>
                    </w:rPr>
                    <w:t>1 novembre</w:t>
                  </w:r>
                </w:p>
              </w:tc>
              <w:tc>
                <w:tcPr>
                  <w:tcW w:w="3141" w:type="pct"/>
                  <w:tcBorders>
                    <w:top w:val="single" w:sz="4" w:space="0" w:color="auto"/>
                    <w:left w:val="single" w:sz="4" w:space="0" w:color="auto"/>
                    <w:bottom w:val="single" w:sz="4" w:space="0" w:color="auto"/>
                    <w:right w:val="single" w:sz="4" w:space="0" w:color="auto"/>
                  </w:tcBorders>
                  <w:shd w:val="clear" w:color="auto" w:fill="auto"/>
                </w:tcPr>
                <w:p w14:paraId="5628221F" w14:textId="77777777" w:rsidR="0059144C" w:rsidRPr="002E5E01" w:rsidRDefault="0059144C" w:rsidP="00502CDB">
                  <w:pPr>
                    <w:framePr w:hSpace="180" w:wrap="around" w:hAnchor="margin" w:xAlign="center" w:y="530"/>
                    <w:numPr>
                      <w:ilvl w:val="0"/>
                      <w:numId w:val="39"/>
                    </w:numPr>
                    <w:jc w:val="both"/>
                    <w:rPr>
                      <w:rFonts w:ascii="Garamond" w:hAnsi="Garamond"/>
                      <w:kern w:val="32"/>
                      <w:lang w:val="fr-FR"/>
                    </w:rPr>
                  </w:pPr>
                  <w:r w:rsidRPr="002E5E01">
                    <w:rPr>
                      <w:rFonts w:ascii="Garamond" w:hAnsi="Garamond"/>
                      <w:kern w:val="32"/>
                      <w:lang w:val="fr-FR"/>
                    </w:rPr>
                    <w:t xml:space="preserve">Atelier de restitution du rapport </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CB1F3B3" w14:textId="77777777" w:rsidR="0059144C" w:rsidRPr="002E5E01" w:rsidRDefault="0059144C" w:rsidP="00502CDB">
                  <w:pPr>
                    <w:pStyle w:val="Heading1"/>
                    <w:keepLines/>
                    <w:framePr w:hSpace="180" w:wrap="around" w:hAnchor="margin" w:xAlign="center" w:y="530"/>
                    <w:rPr>
                      <w:rFonts w:ascii="Garamond" w:hAnsi="Garamond"/>
                      <w:b w:val="0"/>
                      <w:bCs w:val="0"/>
                      <w:sz w:val="20"/>
                      <w:szCs w:val="20"/>
                      <w:lang w:val="fr-FR"/>
                    </w:rPr>
                  </w:pPr>
                  <w:r w:rsidRPr="002E5E01">
                    <w:rPr>
                      <w:rFonts w:ascii="Garamond" w:hAnsi="Garamond"/>
                      <w:b w:val="0"/>
                      <w:bCs w:val="0"/>
                      <w:sz w:val="20"/>
                      <w:szCs w:val="20"/>
                      <w:lang w:val="fr-FR"/>
                    </w:rPr>
                    <w:t>Rapport d’atelier de validation</w:t>
                  </w:r>
                </w:p>
              </w:tc>
            </w:tr>
          </w:tbl>
          <w:p w14:paraId="02BAEA03" w14:textId="77777777" w:rsidR="006460ED" w:rsidRDefault="006460ED" w:rsidP="004D3A8B">
            <w:pPr>
              <w:rPr>
                <w:rFonts w:ascii="Calibri" w:eastAsia="Arial Unicode MS" w:hAnsi="Calibri" w:cs="Calibri"/>
                <w:bCs/>
                <w:i/>
                <w:iCs/>
                <w:color w:val="595959" w:themeColor="text1" w:themeTint="A6"/>
                <w:sz w:val="18"/>
                <w:szCs w:val="18"/>
                <w:lang w:val="en-AU"/>
              </w:rPr>
            </w:pPr>
          </w:p>
          <w:p w14:paraId="6E7EF39E" w14:textId="3E7424BB" w:rsidR="006460ED" w:rsidRPr="004D3A8B" w:rsidRDefault="006460ED" w:rsidP="004D3A8B">
            <w:pPr>
              <w:rPr>
                <w:rFonts w:ascii="Calibri" w:eastAsia="Arial Unicode MS" w:hAnsi="Calibri" w:cs="Calibri"/>
                <w:b/>
                <w:lang w:val="en-AU"/>
              </w:rPr>
            </w:pPr>
          </w:p>
        </w:tc>
      </w:tr>
      <w:tr w:rsidR="00814557" w:rsidRPr="007613B3" w14:paraId="1263739D" w14:textId="77777777" w:rsidTr="0005346D">
        <w:trPr>
          <w:trHeight w:val="260"/>
        </w:trPr>
        <w:tc>
          <w:tcPr>
            <w:tcW w:w="9892" w:type="dxa"/>
            <w:gridSpan w:val="6"/>
            <w:shd w:val="clear" w:color="auto" w:fill="auto"/>
            <w:noWrap/>
          </w:tcPr>
          <w:p w14:paraId="262C73CE" w14:textId="7E5BB8DC" w:rsidR="008A4A48" w:rsidRPr="00945B69" w:rsidRDefault="00814557" w:rsidP="00814557">
            <w:pPr>
              <w:spacing w:before="60" w:after="60"/>
              <w:rPr>
                <w:rFonts w:ascii="Calibri" w:eastAsia="Arial Unicode MS" w:hAnsi="Calibri" w:cs="Calibri"/>
                <w:b/>
                <w:lang w:val="en-AU"/>
              </w:rPr>
            </w:pPr>
            <w:r>
              <w:rPr>
                <w:rFonts w:ascii="Calibri" w:eastAsia="Arial Unicode MS" w:hAnsi="Calibri" w:cs="Calibri"/>
                <w:b/>
                <w:lang w:val="en-AU"/>
              </w:rPr>
              <w:lastRenderedPageBreak/>
              <w:t>Deliverable and payment schedule:</w:t>
            </w:r>
            <w:r w:rsidR="00272402">
              <w:rPr>
                <w:rFonts w:ascii="Calibri" w:eastAsia="Arial Unicode MS" w:hAnsi="Calibri" w:cs="Calibri"/>
                <w:b/>
                <w:lang w:val="en-AU"/>
              </w:rPr>
              <w:t xml:space="preserve"> </w:t>
            </w:r>
          </w:p>
        </w:tc>
      </w:tr>
      <w:tr w:rsidR="00814557" w:rsidRPr="007613B3" w14:paraId="04E6B388" w14:textId="77777777" w:rsidTr="0005346D">
        <w:trPr>
          <w:trHeight w:val="350"/>
        </w:trPr>
        <w:tc>
          <w:tcPr>
            <w:tcW w:w="5489" w:type="dxa"/>
            <w:gridSpan w:val="3"/>
            <w:shd w:val="clear" w:color="auto" w:fill="F2F2F2" w:themeFill="background1" w:themeFillShade="F2"/>
            <w:noWrap/>
          </w:tcPr>
          <w:p w14:paraId="0C571658" w14:textId="77777777" w:rsidR="00814557" w:rsidRPr="007613B3" w:rsidRDefault="00814557" w:rsidP="00814557">
            <w:pPr>
              <w:spacing w:before="60" w:after="60"/>
              <w:jc w:val="center"/>
              <w:rPr>
                <w:rFonts w:ascii="Calibri" w:eastAsia="Arial Unicode MS" w:hAnsi="Calibri" w:cs="Calibri"/>
                <w:i/>
                <w:iCs/>
                <w:lang w:val="en-AU"/>
              </w:rPr>
            </w:pPr>
            <w:r w:rsidRPr="007613B3">
              <w:rPr>
                <w:rFonts w:ascii="Calibri" w:eastAsia="Arial Unicode MS" w:hAnsi="Calibri" w:cs="Calibri"/>
                <w:lang w:val="en-AU"/>
              </w:rPr>
              <w:t>Deliverables/Outputs:</w:t>
            </w:r>
          </w:p>
        </w:tc>
        <w:tc>
          <w:tcPr>
            <w:tcW w:w="2075" w:type="dxa"/>
            <w:gridSpan w:val="2"/>
            <w:shd w:val="clear" w:color="auto" w:fill="F2F2F2" w:themeFill="background1" w:themeFillShade="F2"/>
          </w:tcPr>
          <w:p w14:paraId="0400EC50" w14:textId="77777777" w:rsidR="00814557" w:rsidRPr="007613B3" w:rsidRDefault="00814557" w:rsidP="00814557">
            <w:pPr>
              <w:spacing w:before="60" w:after="60"/>
              <w:jc w:val="center"/>
              <w:rPr>
                <w:rFonts w:ascii="Calibri" w:eastAsia="Arial Unicode MS" w:hAnsi="Calibri" w:cs="Calibri"/>
                <w:i/>
                <w:iCs/>
                <w:lang w:val="en-AU"/>
              </w:rPr>
            </w:pPr>
            <w:r>
              <w:rPr>
                <w:rFonts w:ascii="Calibri" w:eastAsia="Arial Unicode MS" w:hAnsi="Calibri" w:cs="Calibri"/>
                <w:lang w:val="en-AU"/>
              </w:rPr>
              <w:t>Timeline</w:t>
            </w:r>
          </w:p>
        </w:tc>
        <w:tc>
          <w:tcPr>
            <w:tcW w:w="2328" w:type="dxa"/>
            <w:shd w:val="clear" w:color="auto" w:fill="F2F2F2" w:themeFill="background1" w:themeFillShade="F2"/>
          </w:tcPr>
          <w:p w14:paraId="32767156" w14:textId="77777777" w:rsidR="00814557" w:rsidRPr="007613B3" w:rsidRDefault="00814557" w:rsidP="00814557">
            <w:pPr>
              <w:spacing w:before="60" w:after="60"/>
              <w:jc w:val="center"/>
              <w:rPr>
                <w:rFonts w:ascii="Calibri" w:eastAsia="Arial Unicode MS" w:hAnsi="Calibri" w:cs="Calibri"/>
                <w:i/>
                <w:iCs/>
                <w:lang w:val="en-AU"/>
              </w:rPr>
            </w:pPr>
            <w:r>
              <w:rPr>
                <w:rFonts w:ascii="Calibri" w:eastAsia="Arial Unicode MS" w:hAnsi="Calibri" w:cs="Calibri"/>
                <w:lang w:val="en-AU"/>
              </w:rPr>
              <w:t>Payment</w:t>
            </w:r>
          </w:p>
        </w:tc>
      </w:tr>
      <w:tr w:rsidR="00814557" w:rsidRPr="007613B3" w14:paraId="761082C6" w14:textId="77777777" w:rsidTr="0005346D">
        <w:trPr>
          <w:trHeight w:val="215"/>
        </w:trPr>
        <w:tc>
          <w:tcPr>
            <w:tcW w:w="5489" w:type="dxa"/>
            <w:gridSpan w:val="3"/>
            <w:shd w:val="clear" w:color="auto" w:fill="auto"/>
            <w:noWrap/>
          </w:tcPr>
          <w:p w14:paraId="2182203B" w14:textId="4A280735" w:rsidR="00814557" w:rsidRPr="00AC7204" w:rsidRDefault="00AC7204" w:rsidP="00814557">
            <w:pPr>
              <w:spacing w:before="60" w:after="60"/>
              <w:rPr>
                <w:rFonts w:ascii="Calibri" w:eastAsia="Arial Unicode MS" w:hAnsi="Calibri" w:cs="Calibri"/>
                <w:lang w:val="fr-FR"/>
              </w:rPr>
            </w:pPr>
            <w:r>
              <w:rPr>
                <w:rFonts w:ascii="Garamond" w:hAnsi="Garamond"/>
                <w:kern w:val="32"/>
                <w:lang w:val="fr-FR"/>
              </w:rPr>
              <w:t>Soumission du r</w:t>
            </w:r>
            <w:r w:rsidR="007210CA">
              <w:rPr>
                <w:rFonts w:ascii="Garamond" w:hAnsi="Garamond"/>
                <w:kern w:val="32"/>
                <w:lang w:val="fr-FR"/>
              </w:rPr>
              <w:t>apport de démarrage</w:t>
            </w:r>
          </w:p>
        </w:tc>
        <w:tc>
          <w:tcPr>
            <w:tcW w:w="2075" w:type="dxa"/>
            <w:gridSpan w:val="2"/>
            <w:shd w:val="clear" w:color="auto" w:fill="auto"/>
          </w:tcPr>
          <w:p w14:paraId="181B3746" w14:textId="61FDB026" w:rsidR="00814557" w:rsidRPr="004C2B3D" w:rsidRDefault="00606528" w:rsidP="00814557">
            <w:pPr>
              <w:spacing w:before="60" w:after="60"/>
              <w:rPr>
                <w:rFonts w:ascii="Calibri" w:eastAsia="Arial Unicode MS" w:hAnsi="Calibri" w:cs="Calibri"/>
                <w:lang w:val="en-AU"/>
              </w:rPr>
            </w:pPr>
            <w:r>
              <w:rPr>
                <w:rFonts w:ascii="Calibri" w:eastAsia="Arial Unicode MS" w:hAnsi="Calibri" w:cs="Calibri"/>
                <w:lang w:val="en-AU"/>
              </w:rPr>
              <w:t xml:space="preserve">10 </w:t>
            </w:r>
            <w:r w:rsidR="004E5F57">
              <w:rPr>
                <w:rFonts w:ascii="Calibri" w:eastAsia="Arial Unicode MS" w:hAnsi="Calibri" w:cs="Calibri"/>
                <w:lang w:val="en-AU"/>
              </w:rPr>
              <w:t>September</w:t>
            </w:r>
            <w:r>
              <w:rPr>
                <w:rFonts w:ascii="Calibri" w:eastAsia="Arial Unicode MS" w:hAnsi="Calibri" w:cs="Calibri"/>
                <w:lang w:val="en-AU"/>
              </w:rPr>
              <w:t xml:space="preserve"> </w:t>
            </w:r>
          </w:p>
        </w:tc>
        <w:tc>
          <w:tcPr>
            <w:tcW w:w="2328" w:type="dxa"/>
            <w:shd w:val="clear" w:color="auto" w:fill="auto"/>
          </w:tcPr>
          <w:p w14:paraId="672448FA" w14:textId="2E029D18" w:rsidR="00814557" w:rsidRPr="004C2B3D" w:rsidRDefault="002C61A7" w:rsidP="00814557">
            <w:pPr>
              <w:spacing w:before="60" w:after="60"/>
              <w:rPr>
                <w:rFonts w:ascii="Calibri" w:eastAsia="Arial Unicode MS" w:hAnsi="Calibri" w:cs="Calibri"/>
                <w:lang w:val="en-AU"/>
              </w:rPr>
            </w:pPr>
            <w:r>
              <w:rPr>
                <w:rFonts w:ascii="Calibri" w:eastAsia="Arial Unicode MS" w:hAnsi="Calibri" w:cs="Calibri"/>
                <w:lang w:val="en-AU"/>
              </w:rPr>
              <w:t>3</w:t>
            </w:r>
            <w:r w:rsidR="00606528">
              <w:rPr>
                <w:rFonts w:ascii="Calibri" w:eastAsia="Arial Unicode MS" w:hAnsi="Calibri" w:cs="Calibri"/>
                <w:lang w:val="en-AU"/>
              </w:rPr>
              <w:t xml:space="preserve">0 pour </w:t>
            </w:r>
            <w:proofErr w:type="gramStart"/>
            <w:r w:rsidR="00606528">
              <w:rPr>
                <w:rFonts w:ascii="Calibri" w:eastAsia="Arial Unicode MS" w:hAnsi="Calibri" w:cs="Calibri"/>
                <w:lang w:val="en-AU"/>
              </w:rPr>
              <w:t>cent</w:t>
            </w:r>
            <w:proofErr w:type="gramEnd"/>
            <w:r w:rsidR="00606528">
              <w:rPr>
                <w:rFonts w:ascii="Calibri" w:eastAsia="Arial Unicode MS" w:hAnsi="Calibri" w:cs="Calibri"/>
                <w:lang w:val="en-AU"/>
              </w:rPr>
              <w:t xml:space="preserve"> </w:t>
            </w:r>
          </w:p>
        </w:tc>
      </w:tr>
      <w:tr w:rsidR="00814557" w:rsidRPr="007210CA" w14:paraId="530DAC3F" w14:textId="77777777" w:rsidTr="0005346D">
        <w:trPr>
          <w:trHeight w:val="206"/>
        </w:trPr>
        <w:tc>
          <w:tcPr>
            <w:tcW w:w="5489" w:type="dxa"/>
            <w:gridSpan w:val="3"/>
            <w:shd w:val="clear" w:color="auto" w:fill="auto"/>
            <w:noWrap/>
          </w:tcPr>
          <w:p w14:paraId="7275CB9B" w14:textId="30CCF137" w:rsidR="00814557" w:rsidRPr="007210CA" w:rsidRDefault="007210CA" w:rsidP="00814557">
            <w:pPr>
              <w:spacing w:before="60" w:after="60"/>
              <w:rPr>
                <w:rFonts w:ascii="Calibri" w:eastAsia="Arial Unicode MS" w:hAnsi="Calibri" w:cs="Calibri"/>
                <w:lang w:val="fr-FR"/>
              </w:rPr>
            </w:pPr>
            <w:r>
              <w:rPr>
                <w:rFonts w:ascii="Garamond" w:hAnsi="Garamond"/>
                <w:kern w:val="32"/>
                <w:lang w:val="fr-FR"/>
              </w:rPr>
              <w:t>P</w:t>
            </w:r>
            <w:r w:rsidRPr="002E5E01">
              <w:rPr>
                <w:rFonts w:ascii="Garamond" w:hAnsi="Garamond"/>
                <w:kern w:val="32"/>
                <w:lang w:val="fr-FR"/>
              </w:rPr>
              <w:t>remier draft du rapport d’évaluation</w:t>
            </w:r>
          </w:p>
        </w:tc>
        <w:tc>
          <w:tcPr>
            <w:tcW w:w="2075" w:type="dxa"/>
            <w:gridSpan w:val="2"/>
            <w:shd w:val="clear" w:color="auto" w:fill="auto"/>
          </w:tcPr>
          <w:p w14:paraId="2C10E5E2" w14:textId="54A66281" w:rsidR="00814557" w:rsidRPr="007210CA" w:rsidRDefault="002C61A7" w:rsidP="00814557">
            <w:pPr>
              <w:spacing w:before="60" w:after="60"/>
              <w:rPr>
                <w:rFonts w:ascii="Calibri" w:eastAsia="Arial Unicode MS" w:hAnsi="Calibri" w:cs="Calibri"/>
                <w:lang w:val="fr-FR"/>
              </w:rPr>
            </w:pPr>
            <w:r>
              <w:rPr>
                <w:rFonts w:ascii="Calibri" w:eastAsia="Arial Unicode MS" w:hAnsi="Calibri" w:cs="Calibri"/>
                <w:lang w:val="fr-FR"/>
              </w:rPr>
              <w:t xml:space="preserve">10 octobre </w:t>
            </w:r>
          </w:p>
        </w:tc>
        <w:tc>
          <w:tcPr>
            <w:tcW w:w="2328" w:type="dxa"/>
            <w:shd w:val="clear" w:color="auto" w:fill="auto"/>
          </w:tcPr>
          <w:p w14:paraId="1F4FCA39" w14:textId="3A9C63B4" w:rsidR="00814557" w:rsidRPr="007210CA" w:rsidRDefault="00BF6468" w:rsidP="00814557">
            <w:pPr>
              <w:spacing w:before="60" w:after="60"/>
              <w:rPr>
                <w:rFonts w:ascii="Calibri" w:eastAsia="Arial Unicode MS" w:hAnsi="Calibri" w:cs="Calibri"/>
                <w:lang w:val="fr-FR"/>
              </w:rPr>
            </w:pPr>
            <w:proofErr w:type="gramStart"/>
            <w:r>
              <w:rPr>
                <w:rFonts w:ascii="Calibri" w:eastAsia="Arial Unicode MS" w:hAnsi="Calibri" w:cs="Calibri"/>
                <w:lang w:val="fr-FR"/>
              </w:rPr>
              <w:t>40  pour</w:t>
            </w:r>
            <w:proofErr w:type="gramEnd"/>
            <w:r>
              <w:rPr>
                <w:rFonts w:ascii="Calibri" w:eastAsia="Arial Unicode MS" w:hAnsi="Calibri" w:cs="Calibri"/>
                <w:lang w:val="fr-FR"/>
              </w:rPr>
              <w:t xml:space="preserve"> cent</w:t>
            </w:r>
          </w:p>
        </w:tc>
      </w:tr>
      <w:tr w:rsidR="00814557" w:rsidRPr="007210CA" w14:paraId="1A6E707B" w14:textId="77777777" w:rsidTr="0005346D">
        <w:trPr>
          <w:trHeight w:val="278"/>
        </w:trPr>
        <w:tc>
          <w:tcPr>
            <w:tcW w:w="5489" w:type="dxa"/>
            <w:gridSpan w:val="3"/>
            <w:shd w:val="clear" w:color="auto" w:fill="auto"/>
            <w:noWrap/>
          </w:tcPr>
          <w:p w14:paraId="4E95C7ED" w14:textId="7FD6CC50" w:rsidR="00814557" w:rsidRPr="007210CA" w:rsidRDefault="007210CA" w:rsidP="00814557">
            <w:pPr>
              <w:spacing w:before="60" w:after="60"/>
              <w:rPr>
                <w:rFonts w:ascii="Calibri" w:eastAsia="Arial Unicode MS" w:hAnsi="Calibri" w:cs="Calibri"/>
                <w:lang w:val="fr-FR"/>
              </w:rPr>
            </w:pPr>
            <w:r>
              <w:rPr>
                <w:rFonts w:ascii="Garamond" w:hAnsi="Garamond"/>
                <w:kern w:val="32"/>
                <w:lang w:val="fr-FR"/>
              </w:rPr>
              <w:t xml:space="preserve">Version finale </w:t>
            </w:r>
            <w:r w:rsidRPr="002E5E01">
              <w:rPr>
                <w:rFonts w:ascii="Garamond" w:hAnsi="Garamond"/>
                <w:kern w:val="32"/>
                <w:lang w:val="fr-FR"/>
              </w:rPr>
              <w:t>du rapport d’évaluation</w:t>
            </w:r>
          </w:p>
        </w:tc>
        <w:tc>
          <w:tcPr>
            <w:tcW w:w="2075" w:type="dxa"/>
            <w:gridSpan w:val="2"/>
            <w:shd w:val="clear" w:color="auto" w:fill="auto"/>
          </w:tcPr>
          <w:p w14:paraId="63239D2C" w14:textId="1BE0DB37" w:rsidR="00814557" w:rsidRPr="007210CA" w:rsidRDefault="00DE680F" w:rsidP="00814557">
            <w:pPr>
              <w:spacing w:before="60" w:after="60"/>
              <w:rPr>
                <w:rFonts w:ascii="Calibri" w:eastAsia="Arial Unicode MS" w:hAnsi="Calibri" w:cs="Calibri"/>
                <w:lang w:val="fr-FR"/>
              </w:rPr>
            </w:pPr>
            <w:r>
              <w:rPr>
                <w:rFonts w:ascii="Calibri" w:eastAsia="Arial Unicode MS" w:hAnsi="Calibri" w:cs="Calibri"/>
                <w:lang w:val="fr-FR"/>
              </w:rPr>
              <w:t>30 octobre</w:t>
            </w:r>
          </w:p>
        </w:tc>
        <w:tc>
          <w:tcPr>
            <w:tcW w:w="2328" w:type="dxa"/>
            <w:shd w:val="clear" w:color="auto" w:fill="auto"/>
          </w:tcPr>
          <w:p w14:paraId="68518529" w14:textId="23904C02" w:rsidR="00814557" w:rsidRPr="007210CA" w:rsidRDefault="00BF6468" w:rsidP="00814557">
            <w:pPr>
              <w:spacing w:before="60" w:after="60"/>
              <w:rPr>
                <w:rFonts w:ascii="Calibri" w:eastAsia="Arial Unicode MS" w:hAnsi="Calibri" w:cs="Calibri"/>
                <w:lang w:val="fr-FR"/>
              </w:rPr>
            </w:pPr>
            <w:proofErr w:type="gramStart"/>
            <w:r>
              <w:rPr>
                <w:rFonts w:ascii="Calibri" w:eastAsia="Arial Unicode MS" w:hAnsi="Calibri" w:cs="Calibri"/>
                <w:lang w:val="fr-FR"/>
              </w:rPr>
              <w:t>3</w:t>
            </w:r>
            <w:r w:rsidR="004C2311">
              <w:rPr>
                <w:rFonts w:ascii="Calibri" w:eastAsia="Arial Unicode MS" w:hAnsi="Calibri" w:cs="Calibri"/>
                <w:lang w:val="fr-FR"/>
              </w:rPr>
              <w:t>0  pour</w:t>
            </w:r>
            <w:proofErr w:type="gramEnd"/>
            <w:r w:rsidR="004C2311">
              <w:rPr>
                <w:rFonts w:ascii="Calibri" w:eastAsia="Arial Unicode MS" w:hAnsi="Calibri" w:cs="Calibri"/>
                <w:lang w:val="fr-FR"/>
              </w:rPr>
              <w:t xml:space="preserve"> cent </w:t>
            </w:r>
          </w:p>
        </w:tc>
      </w:tr>
      <w:tr w:rsidR="00DE3995" w:rsidRPr="007613B3" w14:paraId="3C8F6B12" w14:textId="77777777" w:rsidTr="0005346D">
        <w:trPr>
          <w:trHeight w:val="350"/>
        </w:trPr>
        <w:tc>
          <w:tcPr>
            <w:tcW w:w="1980" w:type="dxa"/>
            <w:tcBorders>
              <w:top w:val="single" w:sz="4" w:space="0" w:color="auto"/>
              <w:left w:val="single" w:sz="4" w:space="0" w:color="auto"/>
              <w:bottom w:val="nil"/>
              <w:right w:val="single" w:sz="4" w:space="0" w:color="auto"/>
            </w:tcBorders>
            <w:shd w:val="clear" w:color="auto" w:fill="auto"/>
            <w:noWrap/>
          </w:tcPr>
          <w:p w14:paraId="29845AC6" w14:textId="77777777" w:rsidR="00DE3995" w:rsidRPr="00E56644" w:rsidRDefault="00DE3995" w:rsidP="00DE3995">
            <w:pPr>
              <w:spacing w:before="60" w:after="60"/>
              <w:rPr>
                <w:rFonts w:ascii="Calibri" w:eastAsia="Arial Unicode MS" w:hAnsi="Calibri" w:cs="Calibri"/>
                <w:b/>
                <w:lang w:val="en-AU"/>
              </w:rPr>
            </w:pPr>
            <w:r w:rsidRPr="007613B3">
              <w:rPr>
                <w:rFonts w:ascii="Calibri" w:eastAsia="Arial Unicode MS" w:hAnsi="Calibri" w:cs="Calibri"/>
                <w:b/>
                <w:lang w:val="en-AU"/>
              </w:rPr>
              <w:t>Minimum Qualifications required:</w:t>
            </w:r>
          </w:p>
        </w:tc>
        <w:tc>
          <w:tcPr>
            <w:tcW w:w="7912" w:type="dxa"/>
            <w:gridSpan w:val="5"/>
            <w:tcBorders>
              <w:top w:val="single" w:sz="4" w:space="0" w:color="auto"/>
              <w:left w:val="single" w:sz="4" w:space="0" w:color="auto"/>
              <w:bottom w:val="nil"/>
              <w:right w:val="single" w:sz="4" w:space="0" w:color="auto"/>
            </w:tcBorders>
            <w:shd w:val="clear" w:color="auto" w:fill="auto"/>
          </w:tcPr>
          <w:p w14:paraId="559B2962" w14:textId="5FB7B1C9" w:rsidR="00DE3995" w:rsidRPr="00E56644" w:rsidRDefault="00A857B1" w:rsidP="00DE3995">
            <w:pPr>
              <w:spacing w:before="60" w:after="60"/>
              <w:rPr>
                <w:rFonts w:ascii="Calibri" w:eastAsia="Arial Unicode MS" w:hAnsi="Calibri" w:cs="Calibri"/>
                <w:b/>
                <w:lang w:val="en-AU"/>
              </w:rPr>
            </w:pPr>
            <w:r>
              <w:rPr>
                <w:rFonts w:ascii="Calibri" w:eastAsia="Arial Unicode MS" w:hAnsi="Calibri" w:cs="Calibri"/>
                <w:b/>
                <w:lang w:val="en-AU"/>
              </w:rPr>
              <w:t>K</w:t>
            </w:r>
            <w:r w:rsidR="00DE3995" w:rsidRPr="007613B3">
              <w:rPr>
                <w:rFonts w:ascii="Calibri" w:eastAsia="Arial Unicode MS" w:hAnsi="Calibri" w:cs="Calibri"/>
                <w:b/>
                <w:lang w:val="en-AU"/>
              </w:rPr>
              <w:t>nowledge/Expertise/Skills required:</w:t>
            </w:r>
          </w:p>
        </w:tc>
      </w:tr>
      <w:tr w:rsidR="00DE3995" w:rsidRPr="00502CDB" w14:paraId="57E64438" w14:textId="77777777" w:rsidTr="0005346D">
        <w:trPr>
          <w:trHeight w:val="350"/>
        </w:trPr>
        <w:tc>
          <w:tcPr>
            <w:tcW w:w="1980" w:type="dxa"/>
            <w:tcBorders>
              <w:top w:val="nil"/>
              <w:left w:val="single" w:sz="4" w:space="0" w:color="auto"/>
              <w:bottom w:val="single" w:sz="4" w:space="0" w:color="auto"/>
              <w:right w:val="single" w:sz="4" w:space="0" w:color="auto"/>
            </w:tcBorders>
            <w:shd w:val="clear" w:color="auto" w:fill="auto"/>
            <w:noWrap/>
          </w:tcPr>
          <w:p w14:paraId="650B5C8A" w14:textId="77777777" w:rsidR="00DE3995" w:rsidRDefault="00DE3995" w:rsidP="00DE3995">
            <w:pPr>
              <w:spacing w:before="60" w:after="60"/>
              <w:rPr>
                <w:rFonts w:ascii="Calibri" w:eastAsia="Arial Unicode MS" w:hAnsi="Calibri" w:cs="Calibri"/>
                <w:b/>
                <w:lang w:val="en-AU"/>
              </w:rPr>
            </w:pPr>
          </w:p>
          <w:p w14:paraId="7FEA1383" w14:textId="14D12B65" w:rsidR="00DE3995" w:rsidRPr="007613B3" w:rsidRDefault="00DE3995" w:rsidP="00DE3995">
            <w:pPr>
              <w:spacing w:before="60"/>
              <w:rPr>
                <w:rFonts w:ascii="Calibri" w:eastAsia="Arial Unicode MS" w:hAnsi="Calibri" w:cs="Calibri"/>
                <w:lang w:val="en-AU"/>
              </w:rPr>
            </w:pPr>
            <w:r w:rsidRPr="007613B3">
              <w:rPr>
                <w:rFonts w:ascii="Calibri" w:eastAsia="Arial Unicode MS" w:hAnsi="Calibri" w:cs="Calibri"/>
                <w:lang w:val="en-AU"/>
              </w:rPr>
              <w:fldChar w:fldCharType="begin">
                <w:ffData>
                  <w:name w:val="Check6"/>
                  <w:enabled/>
                  <w:calcOnExit w:val="0"/>
                  <w:checkBox>
                    <w:sizeAuto/>
                    <w:default w:val="0"/>
                  </w:checkBox>
                </w:ffData>
              </w:fldChar>
            </w:r>
            <w:r w:rsidRPr="007613B3">
              <w:rPr>
                <w:rFonts w:ascii="Calibri" w:eastAsia="Arial Unicode MS" w:hAnsi="Calibri" w:cs="Calibri"/>
                <w:lang w:val="en-AU"/>
              </w:rPr>
              <w:instrText xml:space="preserve"> FORMCHECKBOX </w:instrText>
            </w:r>
            <w:r w:rsidR="006D2143">
              <w:rPr>
                <w:rFonts w:ascii="Calibri" w:eastAsia="Arial Unicode MS" w:hAnsi="Calibri" w:cs="Calibri"/>
                <w:lang w:val="en-AU"/>
              </w:rPr>
            </w:r>
            <w:r w:rsidR="006D2143">
              <w:rPr>
                <w:rFonts w:ascii="Calibri" w:eastAsia="Arial Unicode MS" w:hAnsi="Calibri" w:cs="Calibri"/>
                <w:lang w:val="en-AU"/>
              </w:rPr>
              <w:fldChar w:fldCharType="separate"/>
            </w:r>
            <w:r w:rsidRPr="007613B3">
              <w:rPr>
                <w:rFonts w:ascii="Calibri" w:eastAsia="Arial Unicode MS" w:hAnsi="Calibri" w:cs="Calibri"/>
                <w:lang w:val="en-AU"/>
              </w:rPr>
              <w:fldChar w:fldCharType="end"/>
            </w:r>
            <w:r w:rsidRPr="007613B3">
              <w:rPr>
                <w:rFonts w:ascii="Calibri" w:eastAsia="Arial Unicode MS" w:hAnsi="Calibri" w:cs="Calibri"/>
                <w:lang w:val="en-AU"/>
              </w:rPr>
              <w:t xml:space="preserve"> Bachelors   </w:t>
            </w:r>
            <w:r w:rsidR="002D5255">
              <w:rPr>
                <w:rFonts w:ascii="Calibri" w:eastAsia="Arial Unicode MS" w:hAnsi="Calibri" w:cs="Calibri"/>
                <w:lang w:val="en-AU"/>
              </w:rPr>
              <w:fldChar w:fldCharType="begin">
                <w:ffData>
                  <w:name w:val="Check7"/>
                  <w:enabled/>
                  <w:calcOnExit w:val="0"/>
                  <w:checkBox>
                    <w:sizeAuto/>
                    <w:default w:val="1"/>
                  </w:checkBox>
                </w:ffData>
              </w:fldChar>
            </w:r>
            <w:bookmarkStart w:id="7" w:name="Check7"/>
            <w:r w:rsidR="002D5255">
              <w:rPr>
                <w:rFonts w:ascii="Calibri" w:eastAsia="Arial Unicode MS" w:hAnsi="Calibri" w:cs="Calibri"/>
                <w:lang w:val="en-AU"/>
              </w:rPr>
              <w:instrText xml:space="preserve"> FORMCHECKBOX </w:instrText>
            </w:r>
            <w:r w:rsidR="006D2143">
              <w:rPr>
                <w:rFonts w:ascii="Calibri" w:eastAsia="Arial Unicode MS" w:hAnsi="Calibri" w:cs="Calibri"/>
                <w:lang w:val="en-AU"/>
              </w:rPr>
            </w:r>
            <w:r w:rsidR="006D2143">
              <w:rPr>
                <w:rFonts w:ascii="Calibri" w:eastAsia="Arial Unicode MS" w:hAnsi="Calibri" w:cs="Calibri"/>
                <w:lang w:val="en-AU"/>
              </w:rPr>
              <w:fldChar w:fldCharType="separate"/>
            </w:r>
            <w:r w:rsidR="002D5255">
              <w:rPr>
                <w:rFonts w:ascii="Calibri" w:eastAsia="Arial Unicode MS" w:hAnsi="Calibri" w:cs="Calibri"/>
                <w:lang w:val="en-AU"/>
              </w:rPr>
              <w:fldChar w:fldCharType="end"/>
            </w:r>
            <w:bookmarkEnd w:id="7"/>
            <w:r w:rsidRPr="007613B3">
              <w:rPr>
                <w:rFonts w:ascii="Calibri" w:eastAsia="Arial Unicode MS" w:hAnsi="Calibri" w:cs="Calibri"/>
                <w:lang w:val="en-AU"/>
              </w:rPr>
              <w:t xml:space="preserve"> Masters   </w:t>
            </w:r>
            <w:r w:rsidRPr="007613B3">
              <w:rPr>
                <w:rFonts w:ascii="Calibri" w:eastAsia="Arial Unicode MS" w:hAnsi="Calibri" w:cs="Calibri"/>
                <w:lang w:val="en-AU"/>
              </w:rPr>
              <w:fldChar w:fldCharType="begin">
                <w:ffData>
                  <w:name w:val="Check8"/>
                  <w:enabled/>
                  <w:calcOnExit w:val="0"/>
                  <w:checkBox>
                    <w:sizeAuto/>
                    <w:default w:val="0"/>
                  </w:checkBox>
                </w:ffData>
              </w:fldChar>
            </w:r>
            <w:r w:rsidRPr="007613B3">
              <w:rPr>
                <w:rFonts w:ascii="Calibri" w:eastAsia="Arial Unicode MS" w:hAnsi="Calibri" w:cs="Calibri"/>
                <w:lang w:val="en-AU"/>
              </w:rPr>
              <w:instrText xml:space="preserve"> FORMCHECKBOX </w:instrText>
            </w:r>
            <w:r w:rsidR="006D2143">
              <w:rPr>
                <w:rFonts w:ascii="Calibri" w:eastAsia="Arial Unicode MS" w:hAnsi="Calibri" w:cs="Calibri"/>
                <w:lang w:val="en-AU"/>
              </w:rPr>
            </w:r>
            <w:r w:rsidR="006D2143">
              <w:rPr>
                <w:rFonts w:ascii="Calibri" w:eastAsia="Arial Unicode MS" w:hAnsi="Calibri" w:cs="Calibri"/>
                <w:lang w:val="en-AU"/>
              </w:rPr>
              <w:fldChar w:fldCharType="separate"/>
            </w:r>
            <w:r w:rsidRPr="007613B3">
              <w:rPr>
                <w:rFonts w:ascii="Calibri" w:eastAsia="Arial Unicode MS" w:hAnsi="Calibri" w:cs="Calibri"/>
                <w:lang w:val="en-AU"/>
              </w:rPr>
              <w:fldChar w:fldCharType="end"/>
            </w:r>
            <w:r w:rsidRPr="007613B3">
              <w:rPr>
                <w:rFonts w:ascii="Calibri" w:eastAsia="Arial Unicode MS" w:hAnsi="Calibri" w:cs="Calibri"/>
                <w:lang w:val="en-AU"/>
              </w:rPr>
              <w:t xml:space="preserve"> PhD   </w:t>
            </w:r>
            <w:r w:rsidRPr="007613B3">
              <w:rPr>
                <w:rFonts w:ascii="Calibri" w:eastAsia="Arial Unicode MS" w:hAnsi="Calibri" w:cs="Calibri"/>
                <w:lang w:val="en-AU"/>
              </w:rPr>
              <w:fldChar w:fldCharType="begin">
                <w:ffData>
                  <w:name w:val="Check9"/>
                  <w:enabled/>
                  <w:calcOnExit w:val="0"/>
                  <w:checkBox>
                    <w:sizeAuto/>
                    <w:default w:val="0"/>
                  </w:checkBox>
                </w:ffData>
              </w:fldChar>
            </w:r>
            <w:r w:rsidRPr="007613B3">
              <w:rPr>
                <w:rFonts w:ascii="Calibri" w:eastAsia="Arial Unicode MS" w:hAnsi="Calibri" w:cs="Calibri"/>
                <w:lang w:val="en-AU"/>
              </w:rPr>
              <w:instrText xml:space="preserve"> FORMCHECKBOX </w:instrText>
            </w:r>
            <w:r w:rsidR="006D2143">
              <w:rPr>
                <w:rFonts w:ascii="Calibri" w:eastAsia="Arial Unicode MS" w:hAnsi="Calibri" w:cs="Calibri"/>
                <w:lang w:val="en-AU"/>
              </w:rPr>
            </w:r>
            <w:r w:rsidR="006D2143">
              <w:rPr>
                <w:rFonts w:ascii="Calibri" w:eastAsia="Arial Unicode MS" w:hAnsi="Calibri" w:cs="Calibri"/>
                <w:lang w:val="en-AU"/>
              </w:rPr>
              <w:fldChar w:fldCharType="separate"/>
            </w:r>
            <w:r w:rsidRPr="007613B3">
              <w:rPr>
                <w:rFonts w:ascii="Calibri" w:eastAsia="Arial Unicode MS" w:hAnsi="Calibri" w:cs="Calibri"/>
                <w:lang w:val="en-AU"/>
              </w:rPr>
              <w:fldChar w:fldCharType="end"/>
            </w:r>
            <w:r w:rsidRPr="007613B3">
              <w:rPr>
                <w:rFonts w:ascii="Calibri" w:eastAsia="Arial Unicode MS" w:hAnsi="Calibri" w:cs="Calibri"/>
                <w:lang w:val="en-AU"/>
              </w:rPr>
              <w:t xml:space="preserve"> Other  </w:t>
            </w:r>
          </w:p>
          <w:p w14:paraId="51FB92AF" w14:textId="77777777" w:rsidR="00DE3995" w:rsidRPr="007613B3" w:rsidRDefault="00DE3995" w:rsidP="00DE3995">
            <w:pPr>
              <w:spacing w:before="60"/>
              <w:rPr>
                <w:rFonts w:ascii="Calibri" w:eastAsia="Arial Unicode MS" w:hAnsi="Calibri" w:cs="Calibri"/>
                <w:lang w:val="en-AU"/>
              </w:rPr>
            </w:pPr>
          </w:p>
          <w:p w14:paraId="3B37146C" w14:textId="77777777" w:rsidR="00DE3995" w:rsidRPr="00E56644" w:rsidRDefault="00DE3995" w:rsidP="00DE3995">
            <w:pPr>
              <w:spacing w:before="60" w:after="60"/>
              <w:rPr>
                <w:rFonts w:ascii="Calibri" w:eastAsia="Arial Unicode MS" w:hAnsi="Calibri" w:cs="Calibri"/>
                <w:b/>
                <w:lang w:val="en-AU"/>
              </w:rPr>
            </w:pPr>
            <w:r w:rsidRPr="007613B3">
              <w:rPr>
                <w:rFonts w:ascii="Calibri" w:eastAsia="Arial Unicode MS" w:hAnsi="Calibri" w:cs="Calibri"/>
                <w:lang w:val="en-AU"/>
              </w:rPr>
              <w:t>Enter Disciplines</w:t>
            </w:r>
          </w:p>
        </w:tc>
        <w:tc>
          <w:tcPr>
            <w:tcW w:w="7912" w:type="dxa"/>
            <w:gridSpan w:val="5"/>
            <w:tcBorders>
              <w:top w:val="nil"/>
              <w:left w:val="single" w:sz="4" w:space="0" w:color="auto"/>
              <w:bottom w:val="single" w:sz="4" w:space="0" w:color="auto"/>
              <w:right w:val="single" w:sz="4" w:space="0" w:color="auto"/>
            </w:tcBorders>
            <w:shd w:val="clear" w:color="auto" w:fill="auto"/>
          </w:tcPr>
          <w:p w14:paraId="1E136F57" w14:textId="77777777" w:rsidR="0059144C" w:rsidRPr="00374B98" w:rsidRDefault="0059144C" w:rsidP="0059144C">
            <w:pPr>
              <w:autoSpaceDE w:val="0"/>
              <w:autoSpaceDN w:val="0"/>
              <w:adjustRightInd w:val="0"/>
              <w:jc w:val="both"/>
              <w:rPr>
                <w:rFonts w:ascii="Garamond" w:hAnsi="Garamond"/>
                <w:sz w:val="22"/>
                <w:szCs w:val="22"/>
                <w:lang w:val="fr-FR"/>
              </w:rPr>
            </w:pPr>
            <w:r w:rsidRPr="00374B98">
              <w:rPr>
                <w:rFonts w:ascii="Garamond" w:hAnsi="Garamond"/>
                <w:sz w:val="22"/>
                <w:szCs w:val="22"/>
                <w:lang w:val="fr-FR"/>
              </w:rPr>
              <w:t xml:space="preserve">Qualifications pour le consultant international : </w:t>
            </w:r>
          </w:p>
          <w:p w14:paraId="6AA32715" w14:textId="77777777" w:rsidR="0059144C" w:rsidRPr="00374B98" w:rsidRDefault="0059144C" w:rsidP="0059144C">
            <w:pPr>
              <w:numPr>
                <w:ilvl w:val="0"/>
                <w:numId w:val="44"/>
              </w:numPr>
              <w:autoSpaceDE w:val="0"/>
              <w:autoSpaceDN w:val="0"/>
              <w:adjustRightInd w:val="0"/>
              <w:jc w:val="both"/>
              <w:rPr>
                <w:rFonts w:ascii="Garamond" w:hAnsi="Garamond"/>
                <w:sz w:val="22"/>
                <w:szCs w:val="22"/>
                <w:lang w:val="fr-FR"/>
              </w:rPr>
            </w:pPr>
            <w:r w:rsidRPr="00374B98">
              <w:rPr>
                <w:rFonts w:ascii="Garamond" w:hAnsi="Garamond"/>
                <w:sz w:val="22"/>
                <w:szCs w:val="22"/>
                <w:lang w:val="fr-FR"/>
              </w:rPr>
              <w:t>Spécialiste en santé publique, l’eau, l’assainissement, la nutrition, la sociologie avec un diplôme universitaire de 3</w:t>
            </w:r>
            <w:r w:rsidRPr="00374B98">
              <w:rPr>
                <w:rFonts w:ascii="Garamond" w:hAnsi="Garamond"/>
                <w:sz w:val="22"/>
                <w:szCs w:val="22"/>
                <w:vertAlign w:val="superscript"/>
                <w:lang w:val="fr-FR"/>
              </w:rPr>
              <w:t>e</w:t>
            </w:r>
            <w:r w:rsidRPr="00374B98">
              <w:rPr>
                <w:rFonts w:ascii="Garamond" w:hAnsi="Garamond"/>
                <w:sz w:val="22"/>
                <w:szCs w:val="22"/>
                <w:lang w:val="fr-FR"/>
              </w:rPr>
              <w:t xml:space="preserve"> cycle au minimum dans l’une de ces branches ;</w:t>
            </w:r>
          </w:p>
          <w:p w14:paraId="101F3F9A" w14:textId="77777777" w:rsidR="0059144C" w:rsidRPr="00374B98" w:rsidRDefault="0059144C" w:rsidP="0059144C">
            <w:pPr>
              <w:numPr>
                <w:ilvl w:val="0"/>
                <w:numId w:val="44"/>
              </w:numPr>
              <w:autoSpaceDE w:val="0"/>
              <w:autoSpaceDN w:val="0"/>
              <w:adjustRightInd w:val="0"/>
              <w:jc w:val="both"/>
              <w:rPr>
                <w:rFonts w:ascii="Garamond" w:hAnsi="Garamond"/>
                <w:sz w:val="22"/>
                <w:szCs w:val="22"/>
                <w:lang w:val="fr-FR"/>
              </w:rPr>
            </w:pPr>
            <w:r w:rsidRPr="00374B98">
              <w:rPr>
                <w:rFonts w:ascii="Garamond" w:hAnsi="Garamond"/>
                <w:sz w:val="22"/>
                <w:szCs w:val="22"/>
                <w:lang w:val="fr-FR"/>
              </w:rPr>
              <w:t>Avoir au moins 5 années d’expériences confirmées dans les évaluations des programmes/projets ;</w:t>
            </w:r>
          </w:p>
          <w:p w14:paraId="19D7AACC" w14:textId="77777777" w:rsidR="0059144C" w:rsidRPr="00374B98" w:rsidRDefault="0059144C" w:rsidP="0059144C">
            <w:pPr>
              <w:numPr>
                <w:ilvl w:val="0"/>
                <w:numId w:val="44"/>
              </w:numPr>
              <w:autoSpaceDE w:val="0"/>
              <w:autoSpaceDN w:val="0"/>
              <w:adjustRightInd w:val="0"/>
              <w:jc w:val="both"/>
              <w:rPr>
                <w:rFonts w:ascii="Garamond" w:hAnsi="Garamond"/>
                <w:sz w:val="22"/>
                <w:szCs w:val="22"/>
                <w:lang w:val="fr-FR"/>
              </w:rPr>
            </w:pPr>
            <w:r w:rsidRPr="00374B98">
              <w:rPr>
                <w:rFonts w:ascii="Garamond" w:hAnsi="Garamond"/>
                <w:sz w:val="22"/>
                <w:szCs w:val="22"/>
                <w:lang w:val="fr-FR"/>
              </w:rPr>
              <w:t>Avoir une bonne maitrise dans le traitement et l’analyse des données qualitatives et quantitatives (à soumettre 3 exemples des évaluations conduites)</w:t>
            </w:r>
          </w:p>
          <w:p w14:paraId="01C02244" w14:textId="77777777" w:rsidR="0059144C" w:rsidRPr="00374B98" w:rsidRDefault="0059144C" w:rsidP="0059144C">
            <w:pPr>
              <w:numPr>
                <w:ilvl w:val="0"/>
                <w:numId w:val="44"/>
              </w:numPr>
              <w:autoSpaceDE w:val="0"/>
              <w:autoSpaceDN w:val="0"/>
              <w:adjustRightInd w:val="0"/>
              <w:jc w:val="both"/>
              <w:rPr>
                <w:rFonts w:ascii="Garamond" w:hAnsi="Garamond"/>
                <w:sz w:val="22"/>
                <w:szCs w:val="22"/>
                <w:lang w:val="fr-FR"/>
              </w:rPr>
            </w:pPr>
            <w:r w:rsidRPr="00374B98">
              <w:rPr>
                <w:rFonts w:ascii="Garamond" w:hAnsi="Garamond"/>
                <w:sz w:val="22"/>
                <w:szCs w:val="22"/>
                <w:lang w:val="fr-FR"/>
              </w:rPr>
              <w:t>Avoir une bonne maîtrise du français (écrit et orale)</w:t>
            </w:r>
          </w:p>
          <w:p w14:paraId="4B174CB3" w14:textId="667B374F" w:rsidR="00DE3995" w:rsidRPr="005C436F" w:rsidRDefault="0059144C" w:rsidP="005C436F">
            <w:pPr>
              <w:numPr>
                <w:ilvl w:val="0"/>
                <w:numId w:val="44"/>
              </w:numPr>
              <w:autoSpaceDE w:val="0"/>
              <w:autoSpaceDN w:val="0"/>
              <w:adjustRightInd w:val="0"/>
              <w:jc w:val="both"/>
              <w:rPr>
                <w:rFonts w:ascii="Garamond" w:hAnsi="Garamond"/>
                <w:sz w:val="22"/>
                <w:szCs w:val="22"/>
                <w:lang w:val="fr-FR"/>
              </w:rPr>
            </w:pPr>
            <w:r w:rsidRPr="00374B98">
              <w:rPr>
                <w:rFonts w:ascii="Garamond" w:hAnsi="Garamond"/>
                <w:sz w:val="22"/>
                <w:szCs w:val="22"/>
                <w:lang w:val="fr-FR"/>
              </w:rPr>
              <w:t>Avoir une connaissance du pays ainsi que de travail pour l’UNICEF serait un avantage.</w:t>
            </w:r>
          </w:p>
        </w:tc>
      </w:tr>
      <w:tr w:rsidR="00DE3995" w:rsidRPr="00502CDB" w14:paraId="5C0403F5" w14:textId="77777777" w:rsidTr="0005346D">
        <w:trPr>
          <w:trHeight w:val="350"/>
        </w:trPr>
        <w:tc>
          <w:tcPr>
            <w:tcW w:w="9892" w:type="dxa"/>
            <w:gridSpan w:val="6"/>
            <w:shd w:val="clear" w:color="auto" w:fill="auto"/>
            <w:noWrap/>
          </w:tcPr>
          <w:p w14:paraId="37D40657" w14:textId="77777777" w:rsidR="00DE3995" w:rsidRPr="0059144C" w:rsidRDefault="00DE3995" w:rsidP="00DE3995">
            <w:pPr>
              <w:spacing w:before="60" w:after="60"/>
              <w:rPr>
                <w:rFonts w:ascii="Calibri" w:eastAsia="Arial Unicode MS" w:hAnsi="Calibri" w:cs="Calibri"/>
                <w:b/>
                <w:lang w:val="fr-FR"/>
              </w:rPr>
            </w:pPr>
          </w:p>
        </w:tc>
      </w:tr>
    </w:tbl>
    <w:p w14:paraId="2284887D" w14:textId="77777777" w:rsidR="00944013" w:rsidRPr="00DF762E" w:rsidRDefault="00944013" w:rsidP="00944013">
      <w:pPr>
        <w:autoSpaceDE w:val="0"/>
        <w:autoSpaceDN w:val="0"/>
        <w:adjustRightInd w:val="0"/>
        <w:rPr>
          <w:rFonts w:ascii="Arial" w:hAnsi="Arial" w:cs="Arial"/>
          <w:b/>
        </w:rPr>
      </w:pPr>
    </w:p>
    <w:p w14:paraId="5174EE43" w14:textId="77777777" w:rsidR="00944013" w:rsidRPr="00DF762E" w:rsidRDefault="00944013" w:rsidP="00944013">
      <w:pPr>
        <w:autoSpaceDE w:val="0"/>
        <w:autoSpaceDN w:val="0"/>
        <w:adjustRightInd w:val="0"/>
        <w:rPr>
          <w:rFonts w:ascii="Arial" w:hAnsi="Arial" w:cs="Arial"/>
          <w:b/>
        </w:rPr>
      </w:pPr>
    </w:p>
    <w:p w14:paraId="77DAC9B8" w14:textId="77777777" w:rsidR="009E1167" w:rsidRDefault="009E1167" w:rsidP="00944013">
      <w:pPr>
        <w:autoSpaceDE w:val="0"/>
        <w:autoSpaceDN w:val="0"/>
        <w:adjustRightInd w:val="0"/>
        <w:rPr>
          <w:rFonts w:ascii="Arial" w:hAnsi="Arial" w:cs="Arial"/>
          <w:b/>
        </w:rPr>
      </w:pPr>
    </w:p>
    <w:p w14:paraId="14C3B269" w14:textId="77777777" w:rsidR="007C327F" w:rsidRDefault="007C327F" w:rsidP="00944013">
      <w:pPr>
        <w:autoSpaceDE w:val="0"/>
        <w:autoSpaceDN w:val="0"/>
        <w:adjustRightInd w:val="0"/>
        <w:rPr>
          <w:rFonts w:ascii="Arial" w:hAnsi="Arial" w:cs="Arial"/>
          <w:b/>
        </w:rPr>
      </w:pPr>
    </w:p>
    <w:p w14:paraId="430F39EB" w14:textId="77777777" w:rsidR="007C327F" w:rsidRDefault="007C327F" w:rsidP="00944013">
      <w:pPr>
        <w:autoSpaceDE w:val="0"/>
        <w:autoSpaceDN w:val="0"/>
        <w:adjustRightInd w:val="0"/>
        <w:rPr>
          <w:rFonts w:ascii="Arial" w:hAnsi="Arial" w:cs="Arial"/>
          <w:b/>
        </w:rPr>
      </w:pPr>
    </w:p>
    <w:p w14:paraId="06903485" w14:textId="77777777" w:rsidR="007C327F" w:rsidRDefault="007C327F" w:rsidP="00944013">
      <w:pPr>
        <w:autoSpaceDE w:val="0"/>
        <w:autoSpaceDN w:val="0"/>
        <w:adjustRightInd w:val="0"/>
        <w:rPr>
          <w:rFonts w:ascii="Arial" w:hAnsi="Arial" w:cs="Arial"/>
          <w:b/>
        </w:rPr>
      </w:pPr>
    </w:p>
    <w:sectPr w:rsidR="007C327F" w:rsidSect="00643D3F">
      <w:headerReference w:type="even" r:id="rId14"/>
      <w:headerReference w:type="default" r:id="rId15"/>
      <w:footerReference w:type="even" r:id="rId16"/>
      <w:footerReference w:type="default" r:id="rId17"/>
      <w:headerReference w:type="first" r:id="rId18"/>
      <w:footerReference w:type="first" r:id="rId19"/>
      <w:type w:val="oddPage"/>
      <w:pgSz w:w="11909" w:h="16834" w:code="9"/>
      <w:pgMar w:top="1440" w:right="1080" w:bottom="1440" w:left="1080" w:header="504" w:footer="403" w:gutter="0"/>
      <w:paperSrc w:first="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C8EA9" w14:textId="77777777" w:rsidR="006D2143" w:rsidRDefault="006D2143" w:rsidP="00ED306C">
      <w:r>
        <w:separator/>
      </w:r>
    </w:p>
  </w:endnote>
  <w:endnote w:type="continuationSeparator" w:id="0">
    <w:p w14:paraId="438D08ED" w14:textId="77777777" w:rsidR="006D2143" w:rsidRDefault="006D2143" w:rsidP="00ED306C">
      <w:r>
        <w:continuationSeparator/>
      </w:r>
    </w:p>
  </w:endnote>
  <w:endnote w:type="continuationNotice" w:id="1">
    <w:p w14:paraId="4A61D7CA" w14:textId="77777777" w:rsidR="006D2143" w:rsidRDefault="006D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6F6C" w14:textId="77777777" w:rsidR="00036EF9" w:rsidRDefault="00036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356376"/>
      <w:docPartObj>
        <w:docPartGallery w:val="Page Numbers (Bottom of Page)"/>
        <w:docPartUnique/>
      </w:docPartObj>
    </w:sdtPr>
    <w:sdtEndPr>
      <w:rPr>
        <w:noProof/>
      </w:rPr>
    </w:sdtEndPr>
    <w:sdtContent>
      <w:p w14:paraId="699E48D3" w14:textId="6CB1FECB" w:rsidR="00ED306C" w:rsidRDefault="00ED306C">
        <w:pPr>
          <w:pStyle w:val="Footer"/>
          <w:jc w:val="right"/>
        </w:pPr>
        <w:r>
          <w:fldChar w:fldCharType="begin"/>
        </w:r>
        <w:r>
          <w:instrText xml:space="preserve"> PAGE   \* MERGEFORMAT </w:instrText>
        </w:r>
        <w:r>
          <w:fldChar w:fldCharType="separate"/>
        </w:r>
        <w:r w:rsidR="00714D5B">
          <w:rPr>
            <w:noProof/>
          </w:rPr>
          <w:t>3</w:t>
        </w:r>
        <w:r>
          <w:rPr>
            <w:noProof/>
          </w:rPr>
          <w:fldChar w:fldCharType="end"/>
        </w:r>
      </w:p>
    </w:sdtContent>
  </w:sdt>
  <w:p w14:paraId="2274046C" w14:textId="77777777" w:rsidR="00ED306C" w:rsidRDefault="00ED3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810E" w14:textId="77777777" w:rsidR="00036EF9" w:rsidRDefault="0003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B536" w14:textId="77777777" w:rsidR="006D2143" w:rsidRDefault="006D2143" w:rsidP="00ED306C">
      <w:r>
        <w:separator/>
      </w:r>
    </w:p>
  </w:footnote>
  <w:footnote w:type="continuationSeparator" w:id="0">
    <w:p w14:paraId="61A72768" w14:textId="77777777" w:rsidR="006D2143" w:rsidRDefault="006D2143" w:rsidP="00ED306C">
      <w:r>
        <w:continuationSeparator/>
      </w:r>
    </w:p>
  </w:footnote>
  <w:footnote w:type="continuationNotice" w:id="1">
    <w:p w14:paraId="5DDB4AD1" w14:textId="77777777" w:rsidR="006D2143" w:rsidRDefault="006D2143"/>
  </w:footnote>
  <w:footnote w:id="2">
    <w:p w14:paraId="3A0F5C7C" w14:textId="77777777" w:rsidR="008A7E6F" w:rsidRPr="00374B98" w:rsidRDefault="008A7E6F" w:rsidP="008A7E6F">
      <w:pPr>
        <w:pStyle w:val="FootnoteText"/>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L’enquête auprès des ménages (EDAM 4), 2017</w:t>
      </w:r>
    </w:p>
  </w:footnote>
  <w:footnote w:id="3">
    <w:p w14:paraId="748AC4EA" w14:textId="77777777" w:rsidR="00387620" w:rsidRPr="00374B98" w:rsidRDefault="00387620" w:rsidP="00387620">
      <w:pPr>
        <w:pStyle w:val="FootnoteText"/>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Voire les effets et les produits du programme en Annex 2. </w:t>
      </w:r>
    </w:p>
  </w:footnote>
  <w:footnote w:id="4">
    <w:p w14:paraId="0AB1454A" w14:textId="77777777" w:rsidR="00387620" w:rsidRPr="00374B98" w:rsidRDefault="00387620" w:rsidP="00387620">
      <w:pPr>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Voire les hypothèses formulées dans les différentes notes stratégiques en Annex et les risques et mesures d’atténuation formulées par les notes stratégiques en Annex </w:t>
      </w:r>
      <w:r>
        <w:rPr>
          <w:rFonts w:ascii="Garamond" w:hAnsi="Garamond"/>
          <w:lang w:val="fr-FR"/>
        </w:rPr>
        <w:t>3 et 4</w:t>
      </w:r>
      <w:r w:rsidRPr="00374B98">
        <w:rPr>
          <w:rFonts w:ascii="Garamond" w:hAnsi="Garamond"/>
          <w:lang w:val="fr-FR"/>
        </w:rPr>
        <w:t>.</w:t>
      </w:r>
    </w:p>
  </w:footnote>
  <w:footnote w:id="5">
    <w:p w14:paraId="6CC1EBA5" w14:textId="77777777" w:rsidR="00DD660C" w:rsidRPr="00374B98" w:rsidRDefault="00DD660C" w:rsidP="00DD660C">
      <w:pPr>
        <w:pStyle w:val="FootnoteText"/>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Date de début du programme</w:t>
      </w:r>
      <w:r>
        <w:rPr>
          <w:rFonts w:ascii="Garamond" w:hAnsi="Garamond"/>
          <w:lang w:val="fr-FR"/>
        </w:rPr>
        <w:t>.</w:t>
      </w:r>
    </w:p>
  </w:footnote>
  <w:footnote w:id="6">
    <w:p w14:paraId="45258DD2" w14:textId="77777777" w:rsidR="002A740E" w:rsidRPr="00374B98" w:rsidRDefault="002A740E" w:rsidP="002A740E">
      <w:pPr>
        <w:pStyle w:val="FootnoteText"/>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Voire les principes éthiques de l’UNEG en Annex </w:t>
      </w:r>
      <w:r>
        <w:rPr>
          <w:rFonts w:ascii="Garamond" w:hAnsi="Garamond"/>
          <w:lang w:val="fr-FR"/>
        </w:rPr>
        <w:t>5.</w:t>
      </w:r>
    </w:p>
  </w:footnote>
  <w:footnote w:id="7">
    <w:p w14:paraId="4CBE92D8" w14:textId="77777777" w:rsidR="002A740E" w:rsidRPr="000E52F8" w:rsidRDefault="002A740E" w:rsidP="002A740E">
      <w:pPr>
        <w:pStyle w:val="FootnoteText"/>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Voire Annex 6</w:t>
      </w:r>
      <w:r>
        <w:rPr>
          <w:rFonts w:ascii="Garamond" w:hAnsi="Garamond"/>
          <w:lang w:val="fr-FR"/>
        </w:rPr>
        <w:t>.</w:t>
      </w:r>
    </w:p>
  </w:footnote>
  <w:footnote w:id="8">
    <w:p w14:paraId="52CB0B79" w14:textId="77777777" w:rsidR="0059144C" w:rsidRPr="00374B98" w:rsidRDefault="0059144C" w:rsidP="0059144C">
      <w:pPr>
        <w:pStyle w:val="FootnoteText"/>
        <w:rPr>
          <w:rFonts w:ascii="Garamond" w:hAnsi="Garamond"/>
          <w:lang w:val="fr-FR"/>
        </w:rPr>
      </w:pPr>
      <w:r w:rsidRPr="00374B98">
        <w:rPr>
          <w:rStyle w:val="FootnoteReference"/>
          <w:rFonts w:ascii="Garamond" w:hAnsi="Garamond"/>
          <w:lang w:val="fr-FR"/>
        </w:rPr>
        <w:footnoteRef/>
      </w:r>
      <w:r w:rsidRPr="00374B98">
        <w:rPr>
          <w:rFonts w:ascii="Garamond" w:hAnsi="Garamond"/>
          <w:lang w:val="fr-FR"/>
        </w:rPr>
        <w:t xml:space="preserve"> Les évaluateurs doivent connaitre les standards pour les rapports d’évaluation https://www.unicef.org/evaluation/documents/unicef-adapted-uneg-evaluation-reports-standards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28720" w14:textId="77777777" w:rsidR="00036EF9" w:rsidRDefault="00036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8CE5D" w14:textId="17785D8F" w:rsidR="00970383" w:rsidRDefault="005F6BDE" w:rsidP="00036EF9">
    <w:pPr>
      <w:pStyle w:val="Heading3"/>
    </w:pPr>
    <w:r w:rsidRPr="00426DB7">
      <w:rPr>
        <w:noProof/>
      </w:rPr>
      <w:drawing>
        <wp:anchor distT="0" distB="0" distL="114300" distR="114300" simplePos="0" relativeHeight="251658241" behindDoc="0" locked="0" layoutInCell="1" allowOverlap="1" wp14:anchorId="2BF2FE13" wp14:editId="2409ED0E">
          <wp:simplePos x="0" y="0"/>
          <wp:positionH relativeFrom="column">
            <wp:posOffset>-93980</wp:posOffset>
          </wp:positionH>
          <wp:positionV relativeFrom="paragraph">
            <wp:posOffset>-169545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426DB7">
      <w:rPr>
        <w:noProof/>
      </w:rPr>
      <mc:AlternateContent>
        <mc:Choice Requires="wps">
          <w:drawing>
            <wp:anchor distT="4294967295" distB="4294967295" distL="114300" distR="114300" simplePos="0" relativeHeight="251658240" behindDoc="0" locked="0" layoutInCell="1" allowOverlap="1" wp14:anchorId="2BD7F6DF" wp14:editId="1726991D">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56E97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BD51" w14:textId="77777777" w:rsidR="00036EF9" w:rsidRDefault="00036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1F9F"/>
    <w:multiLevelType w:val="hybridMultilevel"/>
    <w:tmpl w:val="AC1AC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230"/>
    <w:multiLevelType w:val="hybridMultilevel"/>
    <w:tmpl w:val="7160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E44"/>
    <w:multiLevelType w:val="hybridMultilevel"/>
    <w:tmpl w:val="3FAE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7D82"/>
    <w:multiLevelType w:val="hybridMultilevel"/>
    <w:tmpl w:val="609EEA58"/>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0210D"/>
    <w:multiLevelType w:val="hybridMultilevel"/>
    <w:tmpl w:val="6AC2F6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7AAD"/>
    <w:multiLevelType w:val="hybridMultilevel"/>
    <w:tmpl w:val="3EA2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603D9"/>
    <w:multiLevelType w:val="hybridMultilevel"/>
    <w:tmpl w:val="F8F22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900F26"/>
    <w:multiLevelType w:val="hybridMultilevel"/>
    <w:tmpl w:val="B5BC8DA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6034A"/>
    <w:multiLevelType w:val="hybridMultilevel"/>
    <w:tmpl w:val="F496E9BC"/>
    <w:lvl w:ilvl="0" w:tplc="D87453C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2269B"/>
    <w:multiLevelType w:val="hybridMultilevel"/>
    <w:tmpl w:val="78FA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16B56"/>
    <w:multiLevelType w:val="hybridMultilevel"/>
    <w:tmpl w:val="923A3346"/>
    <w:lvl w:ilvl="0" w:tplc="84A8A79A">
      <w:start w:val="4"/>
      <w:numFmt w:val="decimal"/>
      <w:lvlText w:val="%1."/>
      <w:lvlJc w:val="left"/>
      <w:pPr>
        <w:ind w:left="720" w:hanging="360"/>
      </w:pPr>
      <w:rPr>
        <w:rFonts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31B7D"/>
    <w:multiLevelType w:val="hybridMultilevel"/>
    <w:tmpl w:val="8564F316"/>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B0915"/>
    <w:multiLevelType w:val="multilevel"/>
    <w:tmpl w:val="FEE2B0F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191939"/>
    <w:multiLevelType w:val="hybridMultilevel"/>
    <w:tmpl w:val="C4627E94"/>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2310A"/>
    <w:multiLevelType w:val="hybridMultilevel"/>
    <w:tmpl w:val="EE34CED6"/>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23A6D"/>
    <w:multiLevelType w:val="hybridMultilevel"/>
    <w:tmpl w:val="6C38F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C2A1E"/>
    <w:multiLevelType w:val="hybridMultilevel"/>
    <w:tmpl w:val="F81E26CE"/>
    <w:lvl w:ilvl="0" w:tplc="00809EB0">
      <w:start w:val="1"/>
      <w:numFmt w:val="decimal"/>
      <w:pStyle w:val="numberedpara"/>
      <w:lvlText w:val="%1."/>
      <w:lvlJc w:val="left"/>
      <w:pPr>
        <w:ind w:left="48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7667"/>
    <w:multiLevelType w:val="hybridMultilevel"/>
    <w:tmpl w:val="927E5E1A"/>
    <w:lvl w:ilvl="0" w:tplc="9F6C7920">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5953750"/>
    <w:multiLevelType w:val="hybridMultilevel"/>
    <w:tmpl w:val="5D4A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46A5A"/>
    <w:multiLevelType w:val="hybridMultilevel"/>
    <w:tmpl w:val="CD364F5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857702"/>
    <w:multiLevelType w:val="hybridMultilevel"/>
    <w:tmpl w:val="CBDA1C46"/>
    <w:lvl w:ilvl="0" w:tplc="73E8F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2596C"/>
    <w:multiLevelType w:val="hybridMultilevel"/>
    <w:tmpl w:val="6A64D9D4"/>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835EF2"/>
    <w:multiLevelType w:val="hybridMultilevel"/>
    <w:tmpl w:val="59B60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500B6"/>
    <w:multiLevelType w:val="hybridMultilevel"/>
    <w:tmpl w:val="19FAD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C3820"/>
    <w:multiLevelType w:val="hybridMultilevel"/>
    <w:tmpl w:val="CDFA71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4D6A30"/>
    <w:multiLevelType w:val="hybridMultilevel"/>
    <w:tmpl w:val="0F707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7D3978"/>
    <w:multiLevelType w:val="hybridMultilevel"/>
    <w:tmpl w:val="2D22F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094CBD"/>
    <w:multiLevelType w:val="hybridMultilevel"/>
    <w:tmpl w:val="4C84BA70"/>
    <w:lvl w:ilvl="0" w:tplc="54B29784">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5077AF"/>
    <w:multiLevelType w:val="hybridMultilevel"/>
    <w:tmpl w:val="72743EA6"/>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14C9A"/>
    <w:multiLevelType w:val="hybridMultilevel"/>
    <w:tmpl w:val="526086D6"/>
    <w:lvl w:ilvl="0" w:tplc="5A40B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5463F0"/>
    <w:multiLevelType w:val="hybridMultilevel"/>
    <w:tmpl w:val="3F46BF14"/>
    <w:lvl w:ilvl="0" w:tplc="8E1435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472B7"/>
    <w:multiLevelType w:val="hybridMultilevel"/>
    <w:tmpl w:val="6C881A10"/>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F1814"/>
    <w:multiLevelType w:val="hybridMultilevel"/>
    <w:tmpl w:val="AA284404"/>
    <w:lvl w:ilvl="0" w:tplc="9050C7B2">
      <w:start w:val="1"/>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8F1ECC"/>
    <w:multiLevelType w:val="hybridMultilevel"/>
    <w:tmpl w:val="77A80342"/>
    <w:lvl w:ilvl="0" w:tplc="EA0EE24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5E175297"/>
    <w:multiLevelType w:val="hybridMultilevel"/>
    <w:tmpl w:val="3E222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373AC"/>
    <w:multiLevelType w:val="hybridMultilevel"/>
    <w:tmpl w:val="ACA01776"/>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31B9"/>
    <w:multiLevelType w:val="hybridMultilevel"/>
    <w:tmpl w:val="AA38A7D2"/>
    <w:lvl w:ilvl="0" w:tplc="ECC280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106BC"/>
    <w:multiLevelType w:val="hybridMultilevel"/>
    <w:tmpl w:val="C7ACD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603DF"/>
    <w:multiLevelType w:val="hybridMultilevel"/>
    <w:tmpl w:val="748E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0678F"/>
    <w:multiLevelType w:val="hybridMultilevel"/>
    <w:tmpl w:val="65D64136"/>
    <w:lvl w:ilvl="0" w:tplc="EEE42E44">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B3332"/>
    <w:multiLevelType w:val="multilevel"/>
    <w:tmpl w:val="0158F8B4"/>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6184109"/>
    <w:multiLevelType w:val="hybridMultilevel"/>
    <w:tmpl w:val="61F42B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515535"/>
    <w:multiLevelType w:val="hybridMultilevel"/>
    <w:tmpl w:val="110EA80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10DC4"/>
    <w:multiLevelType w:val="hybridMultilevel"/>
    <w:tmpl w:val="3B10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32"/>
  </w:num>
  <w:num w:numId="4">
    <w:abstractNumId w:val="42"/>
  </w:num>
  <w:num w:numId="5">
    <w:abstractNumId w:val="9"/>
  </w:num>
  <w:num w:numId="6">
    <w:abstractNumId w:val="26"/>
  </w:num>
  <w:num w:numId="7">
    <w:abstractNumId w:val="43"/>
  </w:num>
  <w:num w:numId="8">
    <w:abstractNumId w:val="1"/>
  </w:num>
  <w:num w:numId="9">
    <w:abstractNumId w:val="37"/>
  </w:num>
  <w:num w:numId="10">
    <w:abstractNumId w:val="2"/>
  </w:num>
  <w:num w:numId="11">
    <w:abstractNumId w:val="39"/>
  </w:num>
  <w:num w:numId="12">
    <w:abstractNumId w:val="22"/>
  </w:num>
  <w:num w:numId="13">
    <w:abstractNumId w:val="20"/>
  </w:num>
  <w:num w:numId="14">
    <w:abstractNumId w:val="23"/>
  </w:num>
  <w:num w:numId="15">
    <w:abstractNumId w:val="17"/>
  </w:num>
  <w:num w:numId="16">
    <w:abstractNumId w:val="25"/>
  </w:num>
  <w:num w:numId="17">
    <w:abstractNumId w:val="24"/>
  </w:num>
  <w:num w:numId="18">
    <w:abstractNumId w:val="34"/>
  </w:num>
  <w:num w:numId="19">
    <w:abstractNumId w:val="6"/>
  </w:num>
  <w:num w:numId="20">
    <w:abstractNumId w:val="33"/>
  </w:num>
  <w:num w:numId="21">
    <w:abstractNumId w:val="29"/>
  </w:num>
  <w:num w:numId="22">
    <w:abstractNumId w:val="15"/>
  </w:num>
  <w:num w:numId="23">
    <w:abstractNumId w:val="21"/>
  </w:num>
  <w:num w:numId="24">
    <w:abstractNumId w:val="3"/>
  </w:num>
  <w:num w:numId="25">
    <w:abstractNumId w:val="36"/>
  </w:num>
  <w:num w:numId="26">
    <w:abstractNumId w:val="14"/>
  </w:num>
  <w:num w:numId="27">
    <w:abstractNumId w:val="11"/>
  </w:num>
  <w:num w:numId="28">
    <w:abstractNumId w:val="38"/>
  </w:num>
  <w:num w:numId="29">
    <w:abstractNumId w:val="28"/>
  </w:num>
  <w:num w:numId="30">
    <w:abstractNumId w:val="31"/>
  </w:num>
  <w:num w:numId="31">
    <w:abstractNumId w:val="35"/>
  </w:num>
  <w:num w:numId="32">
    <w:abstractNumId w:val="13"/>
  </w:num>
  <w:num w:numId="33">
    <w:abstractNumId w:val="0"/>
  </w:num>
  <w:num w:numId="34">
    <w:abstractNumId w:val="16"/>
  </w:num>
  <w:num w:numId="35">
    <w:abstractNumId w:val="41"/>
  </w:num>
  <w:num w:numId="36">
    <w:abstractNumId w:val="4"/>
  </w:num>
  <w:num w:numId="37">
    <w:abstractNumId w:val="40"/>
  </w:num>
  <w:num w:numId="38">
    <w:abstractNumId w:val="10"/>
  </w:num>
  <w:num w:numId="39">
    <w:abstractNumId w:val="12"/>
  </w:num>
  <w:num w:numId="40">
    <w:abstractNumId w:val="30"/>
  </w:num>
  <w:num w:numId="41">
    <w:abstractNumId w:val="8"/>
  </w:num>
  <w:num w:numId="42">
    <w:abstractNumId w:val="18"/>
  </w:num>
  <w:num w:numId="43">
    <w:abstractNumId w:val="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13"/>
    <w:rsid w:val="000018D4"/>
    <w:rsid w:val="000027FA"/>
    <w:rsid w:val="000126B1"/>
    <w:rsid w:val="0001312E"/>
    <w:rsid w:val="0001663A"/>
    <w:rsid w:val="00016DC6"/>
    <w:rsid w:val="0002077F"/>
    <w:rsid w:val="000247AD"/>
    <w:rsid w:val="00026E6A"/>
    <w:rsid w:val="00032101"/>
    <w:rsid w:val="0003578E"/>
    <w:rsid w:val="00036EF9"/>
    <w:rsid w:val="00044BCE"/>
    <w:rsid w:val="00045044"/>
    <w:rsid w:val="00046C6A"/>
    <w:rsid w:val="0005346D"/>
    <w:rsid w:val="000547BF"/>
    <w:rsid w:val="000570A6"/>
    <w:rsid w:val="00057886"/>
    <w:rsid w:val="00062A20"/>
    <w:rsid w:val="0007007D"/>
    <w:rsid w:val="0007737D"/>
    <w:rsid w:val="00082784"/>
    <w:rsid w:val="000907CA"/>
    <w:rsid w:val="00093D74"/>
    <w:rsid w:val="000964C2"/>
    <w:rsid w:val="000B6745"/>
    <w:rsid w:val="000C230C"/>
    <w:rsid w:val="000C3DEE"/>
    <w:rsid w:val="000C563B"/>
    <w:rsid w:val="000C7B54"/>
    <w:rsid w:val="000E5237"/>
    <w:rsid w:val="000F45BF"/>
    <w:rsid w:val="000F551D"/>
    <w:rsid w:val="000F5E16"/>
    <w:rsid w:val="000F6A27"/>
    <w:rsid w:val="0010007A"/>
    <w:rsid w:val="00101887"/>
    <w:rsid w:val="0011572E"/>
    <w:rsid w:val="00130754"/>
    <w:rsid w:val="00131539"/>
    <w:rsid w:val="00131EA1"/>
    <w:rsid w:val="00133517"/>
    <w:rsid w:val="00133939"/>
    <w:rsid w:val="0014412E"/>
    <w:rsid w:val="001559E6"/>
    <w:rsid w:val="00156A80"/>
    <w:rsid w:val="00160BF0"/>
    <w:rsid w:val="0016242D"/>
    <w:rsid w:val="00163440"/>
    <w:rsid w:val="00163806"/>
    <w:rsid w:val="00166DBC"/>
    <w:rsid w:val="00172E6A"/>
    <w:rsid w:val="00177F06"/>
    <w:rsid w:val="00180C21"/>
    <w:rsid w:val="00181ABA"/>
    <w:rsid w:val="001A45FB"/>
    <w:rsid w:val="001B3D39"/>
    <w:rsid w:val="001C6B64"/>
    <w:rsid w:val="001C7A4E"/>
    <w:rsid w:val="001D1478"/>
    <w:rsid w:val="001D572A"/>
    <w:rsid w:val="001F5424"/>
    <w:rsid w:val="001F58DA"/>
    <w:rsid w:val="001F625A"/>
    <w:rsid w:val="001F70A8"/>
    <w:rsid w:val="00200FFA"/>
    <w:rsid w:val="0020349A"/>
    <w:rsid w:val="00213EE6"/>
    <w:rsid w:val="00216B6E"/>
    <w:rsid w:val="00221CCD"/>
    <w:rsid w:val="00224B23"/>
    <w:rsid w:val="002264D5"/>
    <w:rsid w:val="002265CA"/>
    <w:rsid w:val="00254494"/>
    <w:rsid w:val="00266D33"/>
    <w:rsid w:val="00270EF0"/>
    <w:rsid w:val="00272402"/>
    <w:rsid w:val="00272B07"/>
    <w:rsid w:val="00274787"/>
    <w:rsid w:val="00277AB3"/>
    <w:rsid w:val="002833B4"/>
    <w:rsid w:val="00292273"/>
    <w:rsid w:val="00295349"/>
    <w:rsid w:val="002A5F6F"/>
    <w:rsid w:val="002A740E"/>
    <w:rsid w:val="002B14F9"/>
    <w:rsid w:val="002B1DFC"/>
    <w:rsid w:val="002C463C"/>
    <w:rsid w:val="002C5D9E"/>
    <w:rsid w:val="002C61A7"/>
    <w:rsid w:val="002D5068"/>
    <w:rsid w:val="002D5255"/>
    <w:rsid w:val="002E0689"/>
    <w:rsid w:val="002E0929"/>
    <w:rsid w:val="002E10C8"/>
    <w:rsid w:val="002E2CF3"/>
    <w:rsid w:val="002E5D0A"/>
    <w:rsid w:val="002E7B2A"/>
    <w:rsid w:val="002F0417"/>
    <w:rsid w:val="00312B18"/>
    <w:rsid w:val="00315309"/>
    <w:rsid w:val="003351F0"/>
    <w:rsid w:val="0035084E"/>
    <w:rsid w:val="003530B1"/>
    <w:rsid w:val="00356D7A"/>
    <w:rsid w:val="00361B52"/>
    <w:rsid w:val="00367036"/>
    <w:rsid w:val="00371200"/>
    <w:rsid w:val="0037210B"/>
    <w:rsid w:val="00382BE9"/>
    <w:rsid w:val="00386EAD"/>
    <w:rsid w:val="00387620"/>
    <w:rsid w:val="00391D60"/>
    <w:rsid w:val="003A7261"/>
    <w:rsid w:val="003C1AC8"/>
    <w:rsid w:val="003E2D65"/>
    <w:rsid w:val="003E3479"/>
    <w:rsid w:val="003F157F"/>
    <w:rsid w:val="003F2042"/>
    <w:rsid w:val="003F4766"/>
    <w:rsid w:val="0040021F"/>
    <w:rsid w:val="0040101E"/>
    <w:rsid w:val="00401643"/>
    <w:rsid w:val="004045BD"/>
    <w:rsid w:val="004070C6"/>
    <w:rsid w:val="004101A9"/>
    <w:rsid w:val="00410DB7"/>
    <w:rsid w:val="00413CC1"/>
    <w:rsid w:val="0041640B"/>
    <w:rsid w:val="004251DC"/>
    <w:rsid w:val="00437E9B"/>
    <w:rsid w:val="00446C48"/>
    <w:rsid w:val="0045103A"/>
    <w:rsid w:val="004531DA"/>
    <w:rsid w:val="00460F54"/>
    <w:rsid w:val="00494657"/>
    <w:rsid w:val="004A1E57"/>
    <w:rsid w:val="004A6FCD"/>
    <w:rsid w:val="004B04A1"/>
    <w:rsid w:val="004B41C5"/>
    <w:rsid w:val="004B534E"/>
    <w:rsid w:val="004B6038"/>
    <w:rsid w:val="004C2311"/>
    <w:rsid w:val="004D0A00"/>
    <w:rsid w:val="004D33F8"/>
    <w:rsid w:val="004D3A8B"/>
    <w:rsid w:val="004D4EFE"/>
    <w:rsid w:val="004D74F0"/>
    <w:rsid w:val="004E2198"/>
    <w:rsid w:val="004E2736"/>
    <w:rsid w:val="004E5F57"/>
    <w:rsid w:val="004F3F2A"/>
    <w:rsid w:val="004F5399"/>
    <w:rsid w:val="00502CDB"/>
    <w:rsid w:val="00511C66"/>
    <w:rsid w:val="00513983"/>
    <w:rsid w:val="00514097"/>
    <w:rsid w:val="005167A2"/>
    <w:rsid w:val="00522FCC"/>
    <w:rsid w:val="00531130"/>
    <w:rsid w:val="00537C51"/>
    <w:rsid w:val="0054475D"/>
    <w:rsid w:val="00544A7A"/>
    <w:rsid w:val="00555106"/>
    <w:rsid w:val="00560569"/>
    <w:rsid w:val="005627DC"/>
    <w:rsid w:val="0058438F"/>
    <w:rsid w:val="0059144C"/>
    <w:rsid w:val="00595D4C"/>
    <w:rsid w:val="005A66A8"/>
    <w:rsid w:val="005B21EA"/>
    <w:rsid w:val="005B7B69"/>
    <w:rsid w:val="005C436F"/>
    <w:rsid w:val="005C697F"/>
    <w:rsid w:val="005D0219"/>
    <w:rsid w:val="005D0C1D"/>
    <w:rsid w:val="005D17C4"/>
    <w:rsid w:val="005D3DBE"/>
    <w:rsid w:val="005D40BF"/>
    <w:rsid w:val="005D5049"/>
    <w:rsid w:val="005D6174"/>
    <w:rsid w:val="005E087D"/>
    <w:rsid w:val="005E597B"/>
    <w:rsid w:val="005F1412"/>
    <w:rsid w:val="005F6BDE"/>
    <w:rsid w:val="005F7246"/>
    <w:rsid w:val="00606528"/>
    <w:rsid w:val="00612464"/>
    <w:rsid w:val="00614053"/>
    <w:rsid w:val="006264BE"/>
    <w:rsid w:val="00643D3F"/>
    <w:rsid w:val="00645CDD"/>
    <w:rsid w:val="006460ED"/>
    <w:rsid w:val="00662EA7"/>
    <w:rsid w:val="00663DAF"/>
    <w:rsid w:val="0067648C"/>
    <w:rsid w:val="00691330"/>
    <w:rsid w:val="006A128E"/>
    <w:rsid w:val="006A755E"/>
    <w:rsid w:val="006B1F24"/>
    <w:rsid w:val="006B5B02"/>
    <w:rsid w:val="006C099E"/>
    <w:rsid w:val="006D2143"/>
    <w:rsid w:val="006D45FC"/>
    <w:rsid w:val="006E1760"/>
    <w:rsid w:val="006E5049"/>
    <w:rsid w:val="006E6488"/>
    <w:rsid w:val="006F067C"/>
    <w:rsid w:val="00700D61"/>
    <w:rsid w:val="007023B9"/>
    <w:rsid w:val="0070460C"/>
    <w:rsid w:val="007106C3"/>
    <w:rsid w:val="00714D5B"/>
    <w:rsid w:val="007210CA"/>
    <w:rsid w:val="00722FE6"/>
    <w:rsid w:val="007233CA"/>
    <w:rsid w:val="0073152A"/>
    <w:rsid w:val="007317E7"/>
    <w:rsid w:val="00742424"/>
    <w:rsid w:val="00747447"/>
    <w:rsid w:val="00753023"/>
    <w:rsid w:val="00760E7B"/>
    <w:rsid w:val="00762982"/>
    <w:rsid w:val="00774F84"/>
    <w:rsid w:val="0078503B"/>
    <w:rsid w:val="00791100"/>
    <w:rsid w:val="007912BA"/>
    <w:rsid w:val="00791A71"/>
    <w:rsid w:val="007927F5"/>
    <w:rsid w:val="007972CE"/>
    <w:rsid w:val="007A2C46"/>
    <w:rsid w:val="007B6D43"/>
    <w:rsid w:val="007C1A0B"/>
    <w:rsid w:val="007C1E56"/>
    <w:rsid w:val="007C327F"/>
    <w:rsid w:val="007C4CC3"/>
    <w:rsid w:val="007C6F45"/>
    <w:rsid w:val="007E0082"/>
    <w:rsid w:val="007E1C2C"/>
    <w:rsid w:val="007E6A0E"/>
    <w:rsid w:val="007E7372"/>
    <w:rsid w:val="007F01E0"/>
    <w:rsid w:val="00800A30"/>
    <w:rsid w:val="00806209"/>
    <w:rsid w:val="00811435"/>
    <w:rsid w:val="00814557"/>
    <w:rsid w:val="00830EF3"/>
    <w:rsid w:val="008311FF"/>
    <w:rsid w:val="008325AE"/>
    <w:rsid w:val="008348BC"/>
    <w:rsid w:val="00835B8E"/>
    <w:rsid w:val="008373DD"/>
    <w:rsid w:val="008438B4"/>
    <w:rsid w:val="008552DD"/>
    <w:rsid w:val="00856B3A"/>
    <w:rsid w:val="00864E89"/>
    <w:rsid w:val="008672CE"/>
    <w:rsid w:val="008757A9"/>
    <w:rsid w:val="008809A1"/>
    <w:rsid w:val="00887A31"/>
    <w:rsid w:val="00887F35"/>
    <w:rsid w:val="008A4A48"/>
    <w:rsid w:val="008A4E35"/>
    <w:rsid w:val="008A5BA9"/>
    <w:rsid w:val="008A7E6F"/>
    <w:rsid w:val="008B3FC7"/>
    <w:rsid w:val="008B4261"/>
    <w:rsid w:val="008C5423"/>
    <w:rsid w:val="008C78C7"/>
    <w:rsid w:val="008E0E2D"/>
    <w:rsid w:val="008E1F12"/>
    <w:rsid w:val="008E2D9C"/>
    <w:rsid w:val="008E5D3B"/>
    <w:rsid w:val="008E72E1"/>
    <w:rsid w:val="008F6C1B"/>
    <w:rsid w:val="0090109E"/>
    <w:rsid w:val="00903F65"/>
    <w:rsid w:val="0091163C"/>
    <w:rsid w:val="0091254C"/>
    <w:rsid w:val="00914D6A"/>
    <w:rsid w:val="00915925"/>
    <w:rsid w:val="00923F4D"/>
    <w:rsid w:val="009246F4"/>
    <w:rsid w:val="00933903"/>
    <w:rsid w:val="00935703"/>
    <w:rsid w:val="00944013"/>
    <w:rsid w:val="00950777"/>
    <w:rsid w:val="009520FD"/>
    <w:rsid w:val="00957B09"/>
    <w:rsid w:val="00961675"/>
    <w:rsid w:val="009638F8"/>
    <w:rsid w:val="0096722B"/>
    <w:rsid w:val="00970383"/>
    <w:rsid w:val="00984D36"/>
    <w:rsid w:val="009A32A4"/>
    <w:rsid w:val="009B5529"/>
    <w:rsid w:val="009C2E6D"/>
    <w:rsid w:val="009D186E"/>
    <w:rsid w:val="009E1167"/>
    <w:rsid w:val="009E1ABD"/>
    <w:rsid w:val="009F2CE8"/>
    <w:rsid w:val="009F2DEC"/>
    <w:rsid w:val="009F40E7"/>
    <w:rsid w:val="009F500E"/>
    <w:rsid w:val="009F6621"/>
    <w:rsid w:val="00A025BE"/>
    <w:rsid w:val="00A0538A"/>
    <w:rsid w:val="00A30D86"/>
    <w:rsid w:val="00A41BC0"/>
    <w:rsid w:val="00A43BCD"/>
    <w:rsid w:val="00A47AF3"/>
    <w:rsid w:val="00A47AF8"/>
    <w:rsid w:val="00A53B7E"/>
    <w:rsid w:val="00A67C1D"/>
    <w:rsid w:val="00A70C13"/>
    <w:rsid w:val="00A72A68"/>
    <w:rsid w:val="00A82293"/>
    <w:rsid w:val="00A857B1"/>
    <w:rsid w:val="00A96381"/>
    <w:rsid w:val="00AA2F3A"/>
    <w:rsid w:val="00AB45D6"/>
    <w:rsid w:val="00AC7204"/>
    <w:rsid w:val="00AD734D"/>
    <w:rsid w:val="00AE1B71"/>
    <w:rsid w:val="00AE3BC4"/>
    <w:rsid w:val="00AF1571"/>
    <w:rsid w:val="00AF45BA"/>
    <w:rsid w:val="00AF4954"/>
    <w:rsid w:val="00B02C16"/>
    <w:rsid w:val="00B27472"/>
    <w:rsid w:val="00B32EA0"/>
    <w:rsid w:val="00B34967"/>
    <w:rsid w:val="00B414C7"/>
    <w:rsid w:val="00B41C68"/>
    <w:rsid w:val="00B55EF2"/>
    <w:rsid w:val="00B8379C"/>
    <w:rsid w:val="00B86AC9"/>
    <w:rsid w:val="00B86E2D"/>
    <w:rsid w:val="00B91DF3"/>
    <w:rsid w:val="00B9252C"/>
    <w:rsid w:val="00BA4503"/>
    <w:rsid w:val="00BB51CC"/>
    <w:rsid w:val="00BC3A10"/>
    <w:rsid w:val="00BD6119"/>
    <w:rsid w:val="00BE5953"/>
    <w:rsid w:val="00BE7EB2"/>
    <w:rsid w:val="00BF0881"/>
    <w:rsid w:val="00BF111B"/>
    <w:rsid w:val="00BF3C90"/>
    <w:rsid w:val="00BF5021"/>
    <w:rsid w:val="00BF6468"/>
    <w:rsid w:val="00BF656C"/>
    <w:rsid w:val="00C01515"/>
    <w:rsid w:val="00C2518D"/>
    <w:rsid w:val="00C42594"/>
    <w:rsid w:val="00C466B0"/>
    <w:rsid w:val="00C5082B"/>
    <w:rsid w:val="00C53057"/>
    <w:rsid w:val="00C56CD6"/>
    <w:rsid w:val="00C83CC1"/>
    <w:rsid w:val="00C9253D"/>
    <w:rsid w:val="00C9331D"/>
    <w:rsid w:val="00CA1959"/>
    <w:rsid w:val="00CA6B11"/>
    <w:rsid w:val="00CB7CB1"/>
    <w:rsid w:val="00CB7F72"/>
    <w:rsid w:val="00CC1439"/>
    <w:rsid w:val="00CC4398"/>
    <w:rsid w:val="00CC4DFA"/>
    <w:rsid w:val="00CD1722"/>
    <w:rsid w:val="00CE5498"/>
    <w:rsid w:val="00CF29BE"/>
    <w:rsid w:val="00CF3E8D"/>
    <w:rsid w:val="00CF5DBF"/>
    <w:rsid w:val="00D0593A"/>
    <w:rsid w:val="00D06FDC"/>
    <w:rsid w:val="00D2118B"/>
    <w:rsid w:val="00D21216"/>
    <w:rsid w:val="00D21CB2"/>
    <w:rsid w:val="00D26D25"/>
    <w:rsid w:val="00D330F9"/>
    <w:rsid w:val="00D34C76"/>
    <w:rsid w:val="00D36CD1"/>
    <w:rsid w:val="00D46C07"/>
    <w:rsid w:val="00D60D94"/>
    <w:rsid w:val="00D7548A"/>
    <w:rsid w:val="00DA0D23"/>
    <w:rsid w:val="00DB06E6"/>
    <w:rsid w:val="00DB1FE3"/>
    <w:rsid w:val="00DC442E"/>
    <w:rsid w:val="00DD63F4"/>
    <w:rsid w:val="00DD660C"/>
    <w:rsid w:val="00DE3995"/>
    <w:rsid w:val="00DE4842"/>
    <w:rsid w:val="00DE580B"/>
    <w:rsid w:val="00DE680F"/>
    <w:rsid w:val="00DF3F11"/>
    <w:rsid w:val="00DF762E"/>
    <w:rsid w:val="00E027DC"/>
    <w:rsid w:val="00E0348B"/>
    <w:rsid w:val="00E0721C"/>
    <w:rsid w:val="00E07816"/>
    <w:rsid w:val="00E126B3"/>
    <w:rsid w:val="00E14790"/>
    <w:rsid w:val="00E23282"/>
    <w:rsid w:val="00E25184"/>
    <w:rsid w:val="00E30E0E"/>
    <w:rsid w:val="00E31184"/>
    <w:rsid w:val="00E370FD"/>
    <w:rsid w:val="00E4173D"/>
    <w:rsid w:val="00E419D6"/>
    <w:rsid w:val="00E43720"/>
    <w:rsid w:val="00E56B8B"/>
    <w:rsid w:val="00E61D5A"/>
    <w:rsid w:val="00E6213F"/>
    <w:rsid w:val="00E70553"/>
    <w:rsid w:val="00E7410D"/>
    <w:rsid w:val="00E772DC"/>
    <w:rsid w:val="00E877F1"/>
    <w:rsid w:val="00E90E69"/>
    <w:rsid w:val="00EA00A9"/>
    <w:rsid w:val="00EA615E"/>
    <w:rsid w:val="00EC7F3B"/>
    <w:rsid w:val="00ED306C"/>
    <w:rsid w:val="00EE0FDC"/>
    <w:rsid w:val="00EE3F96"/>
    <w:rsid w:val="00F125BD"/>
    <w:rsid w:val="00F14340"/>
    <w:rsid w:val="00F174C7"/>
    <w:rsid w:val="00F22020"/>
    <w:rsid w:val="00F27661"/>
    <w:rsid w:val="00F35F17"/>
    <w:rsid w:val="00F375A2"/>
    <w:rsid w:val="00F50AE4"/>
    <w:rsid w:val="00F6366C"/>
    <w:rsid w:val="00F6588D"/>
    <w:rsid w:val="00F66A34"/>
    <w:rsid w:val="00F71F42"/>
    <w:rsid w:val="00F749B4"/>
    <w:rsid w:val="00F81B17"/>
    <w:rsid w:val="00F874C3"/>
    <w:rsid w:val="00FA207D"/>
    <w:rsid w:val="00FA4A0C"/>
    <w:rsid w:val="00FA5E3E"/>
    <w:rsid w:val="00FB6DF8"/>
    <w:rsid w:val="00FC65E6"/>
    <w:rsid w:val="00FE7312"/>
    <w:rsid w:val="00FF3141"/>
    <w:rsid w:val="00FF7476"/>
    <w:rsid w:val="09BBADAC"/>
    <w:rsid w:val="17F1E582"/>
    <w:rsid w:val="1DF3E5FD"/>
    <w:rsid w:val="1F04D1B9"/>
    <w:rsid w:val="2144D75B"/>
    <w:rsid w:val="28E1864A"/>
    <w:rsid w:val="48C45804"/>
    <w:rsid w:val="643BD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DCAE2"/>
  <w15:docId w15:val="{05CF7611-AFCC-443D-BB1A-0EE15BF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3B4"/>
  </w:style>
  <w:style w:type="paragraph" w:styleId="Heading1">
    <w:name w:val="heading 1"/>
    <w:basedOn w:val="Normal"/>
    <w:next w:val="Normal"/>
    <w:link w:val="Heading1Char"/>
    <w:uiPriority w:val="9"/>
    <w:qFormat/>
    <w:rsid w:val="00EE3F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933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Page Heading"/>
    <w:next w:val="Normal"/>
    <w:link w:val="Heading3Char"/>
    <w:autoRedefine/>
    <w:qFormat/>
    <w:rsid w:val="005F6BDE"/>
    <w:pPr>
      <w:spacing w:before="240"/>
      <w:ind w:right="9"/>
      <w:jc w:val="center"/>
      <w:outlineLvl w:val="2"/>
    </w:pPr>
    <w:rPr>
      <w:rFonts w:asciiTheme="minorHAnsi" w:eastAsia="Times" w:hAnsiTheme="minorHAnsi" w:cstheme="minorHAnsi"/>
      <w:bCs/>
      <w:i/>
      <w:iCs/>
      <w:caps/>
      <w:spacing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013"/>
    <w:pPr>
      <w:tabs>
        <w:tab w:val="center" w:pos="4320"/>
        <w:tab w:val="right" w:pos="8640"/>
      </w:tabs>
    </w:pPr>
  </w:style>
  <w:style w:type="character" w:customStyle="1" w:styleId="HeaderChar">
    <w:name w:val="Header Char"/>
    <w:basedOn w:val="DefaultParagraphFont"/>
    <w:link w:val="Header"/>
    <w:rsid w:val="00944013"/>
  </w:style>
  <w:style w:type="table" w:styleId="TableGrid">
    <w:name w:val="Table Grid"/>
    <w:basedOn w:val="TableNormal"/>
    <w:rsid w:val="0094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4013"/>
    <w:rPr>
      <w:rFonts w:ascii="Tahoma" w:hAnsi="Tahoma" w:cs="Tahoma"/>
      <w:sz w:val="16"/>
      <w:szCs w:val="16"/>
    </w:rPr>
  </w:style>
  <w:style w:type="character" w:customStyle="1" w:styleId="BalloonTextChar">
    <w:name w:val="Balloon Text Char"/>
    <w:basedOn w:val="DefaultParagraphFont"/>
    <w:link w:val="BalloonText"/>
    <w:rsid w:val="00944013"/>
    <w:rPr>
      <w:rFonts w:ascii="Tahoma" w:hAnsi="Tahoma" w:cs="Tahoma"/>
      <w:sz w:val="16"/>
      <w:szCs w:val="16"/>
    </w:rPr>
  </w:style>
  <w:style w:type="character" w:styleId="Strong">
    <w:name w:val="Strong"/>
    <w:basedOn w:val="DefaultParagraphFont"/>
    <w:qFormat/>
    <w:rsid w:val="00944013"/>
    <w:rPr>
      <w:b/>
      <w:bCs/>
    </w:rPr>
  </w:style>
  <w:style w:type="paragraph" w:styleId="ListParagraph">
    <w:name w:val="List Paragraph"/>
    <w:aliases w:val="Premier,References,texte,Paragraphe 2,Bullets,r2,inspringtekst,Paragraphe de liste1,t  BASdePAGE,AFM puces,Avenir,Paragraphe de liste (sdt),PUCES,Paragraphe,Numbered paragraph,List Paragraph-ExecSummary,Figure Caption,soule1.1.1.,Dot pt"/>
    <w:basedOn w:val="Normal"/>
    <w:link w:val="ListParagraphChar"/>
    <w:uiPriority w:val="34"/>
    <w:qFormat/>
    <w:rsid w:val="001C7A4E"/>
    <w:pPr>
      <w:ind w:left="720"/>
      <w:contextualSpacing/>
    </w:pPr>
  </w:style>
  <w:style w:type="character" w:styleId="CommentReference">
    <w:name w:val="annotation reference"/>
    <w:basedOn w:val="DefaultParagraphFont"/>
    <w:rsid w:val="00B86AC9"/>
    <w:rPr>
      <w:sz w:val="16"/>
      <w:szCs w:val="16"/>
    </w:rPr>
  </w:style>
  <w:style w:type="paragraph" w:styleId="CommentText">
    <w:name w:val="annotation text"/>
    <w:basedOn w:val="Normal"/>
    <w:link w:val="CommentTextChar"/>
    <w:rsid w:val="00B86AC9"/>
  </w:style>
  <w:style w:type="character" w:customStyle="1" w:styleId="CommentTextChar">
    <w:name w:val="Comment Text Char"/>
    <w:basedOn w:val="DefaultParagraphFont"/>
    <w:link w:val="CommentText"/>
    <w:rsid w:val="00B86AC9"/>
  </w:style>
  <w:style w:type="paragraph" w:styleId="CommentSubject">
    <w:name w:val="annotation subject"/>
    <w:basedOn w:val="CommentText"/>
    <w:next w:val="CommentText"/>
    <w:link w:val="CommentSubjectChar"/>
    <w:rsid w:val="00B86AC9"/>
    <w:rPr>
      <w:b/>
      <w:bCs/>
    </w:rPr>
  </w:style>
  <w:style w:type="character" w:customStyle="1" w:styleId="CommentSubjectChar">
    <w:name w:val="Comment Subject Char"/>
    <w:basedOn w:val="CommentTextChar"/>
    <w:link w:val="CommentSubject"/>
    <w:rsid w:val="00B86AC9"/>
    <w:rPr>
      <w:b/>
      <w:bCs/>
    </w:rPr>
  </w:style>
  <w:style w:type="paragraph" w:styleId="Footer">
    <w:name w:val="footer"/>
    <w:basedOn w:val="Normal"/>
    <w:link w:val="FooterChar"/>
    <w:uiPriority w:val="99"/>
    <w:unhideWhenUsed/>
    <w:rsid w:val="00ED306C"/>
    <w:pPr>
      <w:tabs>
        <w:tab w:val="center" w:pos="4680"/>
        <w:tab w:val="right" w:pos="9360"/>
      </w:tabs>
    </w:pPr>
  </w:style>
  <w:style w:type="character" w:customStyle="1" w:styleId="FooterChar">
    <w:name w:val="Footer Char"/>
    <w:basedOn w:val="DefaultParagraphFont"/>
    <w:link w:val="Footer"/>
    <w:uiPriority w:val="99"/>
    <w:rsid w:val="00ED306C"/>
  </w:style>
  <w:style w:type="character" w:customStyle="1" w:styleId="Heading3Char">
    <w:name w:val="Heading 3 Char"/>
    <w:aliases w:val="Page Heading Char"/>
    <w:basedOn w:val="DefaultParagraphFont"/>
    <w:link w:val="Heading3"/>
    <w:rsid w:val="005F6BDE"/>
    <w:rPr>
      <w:rFonts w:asciiTheme="minorHAnsi" w:eastAsia="Times" w:hAnsiTheme="minorHAnsi" w:cstheme="minorHAnsi"/>
      <w:bCs/>
      <w:i/>
      <w:iCs/>
      <w:caps/>
      <w:spacing w:val="-2"/>
      <w:lang w:eastAsia="en-GB"/>
    </w:rPr>
  </w:style>
  <w:style w:type="paragraph" w:styleId="FootnoteText">
    <w:name w:val="footnote text"/>
    <w:aliases w:val="ft,single space,footnote text,FOOTNOTES,fn,single space1,FOOTNOTES1,fn1,ft1 Char,ft1,Car Car Car,Footnote Text Char Char Char Char,Footnote Text1 Char Char,Char Char Char Char1,Char Char Char Char Char Char,Footnote Text WBR,WBR,f,Geneva 9"/>
    <w:basedOn w:val="Normal"/>
    <w:link w:val="FootnoteTextChar"/>
    <w:uiPriority w:val="99"/>
    <w:unhideWhenUsed/>
    <w:qFormat/>
    <w:rsid w:val="008A7E6F"/>
    <w:rPr>
      <w:rFonts w:ascii="Calibri" w:eastAsia="Calibri" w:hAnsi="Calibri"/>
    </w:rPr>
  </w:style>
  <w:style w:type="character" w:customStyle="1" w:styleId="FootnoteTextChar">
    <w:name w:val="Footnote Text Char"/>
    <w:aliases w:val="ft Char,single space Char,footnote text Char,FOOTNOTES Char,fn Char,single space1 Char,FOOTNOTES1 Char,fn1 Char,ft1 Char Char,ft1 Char1,Car Car Car Char,Footnote Text Char Char Char Char Char,Footnote Text1 Char Char Char,WBR Char"/>
    <w:basedOn w:val="DefaultParagraphFont"/>
    <w:link w:val="FootnoteText"/>
    <w:uiPriority w:val="99"/>
    <w:rsid w:val="008A7E6F"/>
    <w:rPr>
      <w:rFonts w:ascii="Calibri" w:eastAsia="Calibri" w:hAnsi="Calibri"/>
    </w:rPr>
  </w:style>
  <w:style w:type="character" w:styleId="FootnoteReference">
    <w:name w:val="footnote reference"/>
    <w:aliases w:val="16 Point,Superscript 6 Point,ftref,ftref Char,Char Char Char Char Car Char Char,16 Point Char,Superscript 6 Point Char,Char Char Char Char Car Char Char1 Char Char Char Char1 Char Char,Char Char Char1 Char Char Char Char1 Char Char,fr"/>
    <w:link w:val="CharCharCharCharCarChar"/>
    <w:uiPriority w:val="99"/>
    <w:unhideWhenUsed/>
    <w:qFormat/>
    <w:rsid w:val="008A7E6F"/>
    <w:rPr>
      <w:vertAlign w:val="superscript"/>
    </w:rPr>
  </w:style>
  <w:style w:type="character" w:customStyle="1" w:styleId="ListParagraphChar">
    <w:name w:val="List Paragraph Char"/>
    <w:aliases w:val="Premier Char,References Char,texte Char,Paragraphe 2 Char,Bullets Char,r2 Char,inspringtekst Char,Paragraphe de liste1 Char,t  BASdePAGE Char,AFM puces Char,Avenir Char,Paragraphe de liste (sdt) Char,PUCES Char,Paragraphe Char"/>
    <w:link w:val="ListParagraph"/>
    <w:uiPriority w:val="34"/>
    <w:qFormat/>
    <w:locked/>
    <w:rsid w:val="008A7E6F"/>
  </w:style>
  <w:style w:type="paragraph" w:customStyle="1" w:styleId="Default">
    <w:name w:val="Default"/>
    <w:rsid w:val="008A7E6F"/>
    <w:pPr>
      <w:autoSpaceDE w:val="0"/>
      <w:autoSpaceDN w:val="0"/>
      <w:adjustRightInd w:val="0"/>
    </w:pPr>
    <w:rPr>
      <w:rFonts w:eastAsia="Calibri"/>
      <w:color w:val="000000"/>
      <w:sz w:val="24"/>
      <w:szCs w:val="24"/>
    </w:rPr>
  </w:style>
  <w:style w:type="paragraph" w:customStyle="1" w:styleId="CharCharCharCharCarChar">
    <w:name w:val="Char Char Char Char Car Char"/>
    <w:aliases w:val="Char Char Char Char Car Char Char1 Char Char Char Char1 Char,Char Char Char1 Char Char Char Char1 Char,Char Char Char Char Car Char Char1 Char Char,FNRefe Char Char,BVI fnr Char Char,Ref,Footnotes refss,de nota al pie"/>
    <w:basedOn w:val="Normal"/>
    <w:next w:val="Normal"/>
    <w:link w:val="FootnoteReference"/>
    <w:uiPriority w:val="99"/>
    <w:rsid w:val="008A7E6F"/>
    <w:pPr>
      <w:spacing w:line="240" w:lineRule="exact"/>
      <w:jc w:val="both"/>
    </w:pPr>
    <w:rPr>
      <w:vertAlign w:val="superscript"/>
    </w:rPr>
  </w:style>
  <w:style w:type="paragraph" w:customStyle="1" w:styleId="numberedpara">
    <w:name w:val="numbered para"/>
    <w:basedOn w:val="NormalWeb"/>
    <w:qFormat/>
    <w:rsid w:val="00387620"/>
    <w:pPr>
      <w:numPr>
        <w:numId w:val="34"/>
      </w:numPr>
      <w:shd w:val="clear" w:color="auto" w:fill="FFFFFF"/>
      <w:tabs>
        <w:tab w:val="num" w:pos="720"/>
      </w:tabs>
      <w:spacing w:after="120" w:line="259" w:lineRule="auto"/>
      <w:ind w:left="360"/>
      <w:jc w:val="both"/>
    </w:pPr>
    <w:rPr>
      <w:rFonts w:ascii="Univers LT Std 55" w:eastAsia="Calibri" w:hAnsi="Univers LT Std 55" w:cs="Calibri"/>
      <w:color w:val="4D4D4F"/>
      <w:sz w:val="22"/>
      <w:szCs w:val="22"/>
      <w:shd w:val="clear" w:color="auto" w:fill="FFFFFF"/>
    </w:rPr>
  </w:style>
  <w:style w:type="paragraph" w:styleId="NormalWeb">
    <w:name w:val="Normal (Web)"/>
    <w:basedOn w:val="Normal"/>
    <w:semiHidden/>
    <w:unhideWhenUsed/>
    <w:rsid w:val="00387620"/>
    <w:rPr>
      <w:sz w:val="24"/>
      <w:szCs w:val="24"/>
    </w:rPr>
  </w:style>
  <w:style w:type="character" w:customStyle="1" w:styleId="Heading2Char">
    <w:name w:val="Heading 2 Char"/>
    <w:basedOn w:val="DefaultParagraphFont"/>
    <w:link w:val="Heading2"/>
    <w:rsid w:val="00C9331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E3F96"/>
    <w:rPr>
      <w:rFonts w:ascii="Calibri Light" w:hAnsi="Calibri Light"/>
      <w:b/>
      <w:bCs/>
      <w:kern w:val="32"/>
      <w:sz w:val="32"/>
      <w:szCs w:val="32"/>
    </w:rPr>
  </w:style>
  <w:style w:type="paragraph" w:customStyle="1" w:styleId="table">
    <w:name w:val="table"/>
    <w:basedOn w:val="Normal"/>
    <w:qFormat/>
    <w:rsid w:val="00EE3F96"/>
    <w:rPr>
      <w:rFonts w:ascii="Univers LT Std 55" w:eastAsia="Calibri" w:hAnsi="Univers LT Std 55" w:cs="Calibri"/>
      <w:color w:val="4D4D4F"/>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3AC0D5BD65FA14D843B5E034FC0547B" ma:contentTypeVersion="47" ma:contentTypeDescription="" ma:contentTypeScope="" ma:versionID="34b386a96c33c81e13a29626118e62c5">
  <xsd:schema xmlns:xsd="http://www.w3.org/2001/XMLSchema" xmlns:xs="http://www.w3.org/2001/XMLSchema" xmlns:p="http://schemas.microsoft.com/office/2006/metadata/properties" xmlns:ns1="http://schemas.microsoft.com/sharepoint/v3" xmlns:ns2="ca283e0b-db31-4043-a2ef-b80661bf084a" xmlns:ns3="http://schemas.microsoft.com/sharepoint.v3" xmlns:ns4="fe739909-82f4-4a26-a9e4-e5ce440eb62e" xmlns:ns5="3b4165b8-29ca-4289-b1a1-5e049cc725ef" xmlns:ns6="http://schemas.microsoft.com/sharepoint/v4" targetNamespace="http://schemas.microsoft.com/office/2006/metadata/properties" ma:root="true" ma:fieldsID="891d1698a2789bd6620862c579af16de" ns1:_="" ns2:_="" ns3:_="" ns4:_="" ns5:_="" ns6:_="">
    <xsd:import namespace="http://schemas.microsoft.com/sharepoint/v3"/>
    <xsd:import namespace="ca283e0b-db31-4043-a2ef-b80661bf084a"/>
    <xsd:import namespace="http://schemas.microsoft.com/sharepoint.v3"/>
    <xsd:import namespace="fe739909-82f4-4a26-a9e4-e5ce440eb62e"/>
    <xsd:import namespace="3b4165b8-29ca-4289-b1a1-5e049cc725ef"/>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Unit"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93;#Fiji (Pacific Islands)-1430|21ff5ecf-94d7-4265-8556-d73710d3068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7c623beb-cee9-416d-be1c-09b37a23787a}" ma:internalName="TaxCatchAllLabel" ma:readOnly="true" ma:showField="CatchAllDataLabel" ma:web="fe739909-82f4-4a26-a9e4-e5ce440eb62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c623beb-cee9-416d-be1c-09b37a23787a}" ma:internalName="TaxCatchAll" ma:showField="CatchAllData" ma:web="fe739909-82f4-4a26-a9e4-e5ce440eb62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39909-82f4-4a26-a9e4-e5ce440eb62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165b8-29ca-4289-b1a1-5e049cc725ef" elementFormDefault="qualified">
    <xsd:import namespace="http://schemas.microsoft.com/office/2006/documentManagement/types"/>
    <xsd:import namespace="http://schemas.microsoft.com/office/infopath/2007/PartnerControls"/>
    <xsd:element name="Unit" ma:index="31" nillable="true" ma:displayName="Unit" ma:format="Dropdown" ma:internalName="Unit">
      <xsd:simpleType>
        <xsd:restriction base="dms:Choice">
          <xsd:enumeration value="HR"/>
          <xsd:enumeration value="ICT"/>
          <xsd:enumeration value="Supply"/>
          <xsd:enumeration value="Finance"/>
          <xsd:enumeration value="Admin"/>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TaxCatchAll>
    <Unit xmlns="3b4165b8-29ca-4289-b1a1-5e049cc725ef"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Fiji (Pacific Islands)-1430</TermName>
          <TermId xmlns="http://schemas.microsoft.com/office/infopath/2007/PartnerControls">21ff5ecf-94d7-4265-8556-d73710d30687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fe739909-82f4-4a26-a9e4-e5ce440eb62e">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fe739909-82f4-4a26-a9e4-e5ce440eb62e">FJIC-753978735-118</_dlc_DocId>
    <_dlc_DocIdUrl xmlns="fe739909-82f4-4a26-a9e4-e5ce440eb62e">
      <Url>https://unicef.sharepoint.com/sites/FJI/_layouts/15/DocIdRedir.aspx?ID=FJIC-753978735-118</Url>
      <Description>FJIC-753978735-118</Description>
    </_dlc_DocIdUrl>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fe739909-82f4-4a26-a9e4-e5ce440eb62e">{"ClassificationOrdered":false,"Columns":[],"HasBodyChanged":false,"HasPendingClassification":false,"IsUpdate":false,"IsUploading":false,"ShouldCancel":false,"SkipClassification":false,"ShouldDelay":false}</SemaphoreItemMetadat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F632-01B2-4EE3-8F2F-E2068D78AEE2}">
  <ds:schemaRefs>
    <ds:schemaRef ds:uri="Microsoft.SharePoint.Taxonomy.ContentTypeSync"/>
  </ds:schemaRefs>
</ds:datastoreItem>
</file>

<file path=customXml/itemProps2.xml><?xml version="1.0" encoding="utf-8"?>
<ds:datastoreItem xmlns:ds="http://schemas.openxmlformats.org/officeDocument/2006/customXml" ds:itemID="{CC592F00-23C0-40BB-B104-016F8F22C7AA}">
  <ds:schemaRefs>
    <ds:schemaRef ds:uri="http://schemas.microsoft.com/sharepoint/events"/>
  </ds:schemaRefs>
</ds:datastoreItem>
</file>

<file path=customXml/itemProps3.xml><?xml version="1.0" encoding="utf-8"?>
<ds:datastoreItem xmlns:ds="http://schemas.openxmlformats.org/officeDocument/2006/customXml" ds:itemID="{BFB8F6D6-01C0-4F01-B337-A5D99331A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e739909-82f4-4a26-a9e4-e5ce440eb62e"/>
    <ds:schemaRef ds:uri="3b4165b8-29ca-4289-b1a1-5e049cc725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6FD52-AFEA-40A0-8891-7FD143E221DE}">
  <ds:schemaRefs>
    <ds:schemaRef ds:uri="http://schemas.microsoft.com/office/2006/metadata/properties"/>
    <ds:schemaRef ds:uri="http://schemas.microsoft.com/office/infopath/2007/PartnerControls"/>
    <ds:schemaRef ds:uri="ca283e0b-db31-4043-a2ef-b80661bf084a"/>
    <ds:schemaRef ds:uri="3b4165b8-29ca-4289-b1a1-5e049cc725ef"/>
    <ds:schemaRef ds:uri="http://schemas.microsoft.com/sharepoint/v4"/>
    <ds:schemaRef ds:uri="fe739909-82f4-4a26-a9e4-e5ce440eb62e"/>
    <ds:schemaRef ds:uri="http://schemas.microsoft.com/sharepoint.v3"/>
  </ds:schemaRefs>
</ds:datastoreItem>
</file>

<file path=customXml/itemProps5.xml><?xml version="1.0" encoding="utf-8"?>
<ds:datastoreItem xmlns:ds="http://schemas.openxmlformats.org/officeDocument/2006/customXml" ds:itemID="{A89A7DE4-9BEE-4B4C-85E4-02354229F5AB}">
  <ds:schemaRefs>
    <ds:schemaRef ds:uri="http://schemas.microsoft.com/sharepoint/v3/contenttype/forms"/>
  </ds:schemaRefs>
</ds:datastoreItem>
</file>

<file path=customXml/itemProps6.xml><?xml version="1.0" encoding="utf-8"?>
<ds:datastoreItem xmlns:ds="http://schemas.openxmlformats.org/officeDocument/2006/customXml" ds:itemID="{A965C63A-9D98-4034-93B2-341906DB5CD1}">
  <ds:schemaRefs>
    <ds:schemaRef ds:uri="http://schemas.microsoft.com/office/2006/metadata/customXsn"/>
  </ds:schemaRefs>
</ds:datastoreItem>
</file>

<file path=customXml/itemProps7.xml><?xml version="1.0" encoding="utf-8"?>
<ds:datastoreItem xmlns:ds="http://schemas.openxmlformats.org/officeDocument/2006/customXml" ds:itemID="{291266AB-D254-4187-A870-E5145E0B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Fatouma Salem</cp:lastModifiedBy>
  <cp:revision>2</cp:revision>
  <cp:lastPrinted>2016-04-17T23:41:00Z</cp:lastPrinted>
  <dcterms:created xsi:type="dcterms:W3CDTF">2021-07-31T14:58:00Z</dcterms:created>
  <dcterms:modified xsi:type="dcterms:W3CDTF">2021-07-31T14:58:00Z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0x0101009BA85F8052A6DA4FA3E31FF9F74C697000A3AC0D5BD65FA14D843B5E034FC0547B</vt:lpwstr>
  </property>
  <property fmtid="{D5CDD505-2E9C-101B-9397-08002B2CF9AE}" pid="3" name="OfficeDivision">
    <vt:lpwstr>6;#Fiji (Pacific Islands)-1430|21ff5ecf-94d7-4265-8556-d73710d30687</vt:lpwstr>
  </property>
  <property fmtid="{D5CDD505-2E9C-101B-9397-08002B2CF9AE}" pid="4" name="_dlc_DocIdItemGuid">
    <vt:lpwstr>76446428-88e2-4cdb-934d-a54411594966</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