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8638" w14:textId="77777777" w:rsidR="00B14BE6" w:rsidRDefault="00B14BE6" w:rsidP="002108C6">
      <w:pPr>
        <w:spacing w:line="240" w:lineRule="auto"/>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68"/>
        <w:gridCol w:w="2468"/>
        <w:gridCol w:w="2468"/>
        <w:gridCol w:w="2468"/>
      </w:tblGrid>
      <w:tr w:rsidR="007613B3" w:rsidRPr="007613B3" w14:paraId="2D278C41" w14:textId="77777777" w:rsidTr="79C213BD">
        <w:tc>
          <w:tcPr>
            <w:tcW w:w="2468" w:type="dxa"/>
            <w:tcBorders>
              <w:bottom w:val="nil"/>
            </w:tcBorders>
            <w:shd w:val="clear" w:color="auto" w:fill="auto"/>
            <w:noWrap/>
            <w:hideMark/>
          </w:tcPr>
          <w:p w14:paraId="4719C90B" w14:textId="2032C698" w:rsidR="007613B3" w:rsidRPr="007A0550" w:rsidRDefault="007613B3" w:rsidP="00377BF5">
            <w:pPr>
              <w:spacing w:before="100" w:beforeAutospacing="1" w:after="100" w:afterAutospacing="1" w:line="240" w:lineRule="auto"/>
              <w:rPr>
                <w:rFonts w:ascii="Calibri" w:eastAsia="Arial Unicode MS" w:hAnsi="Calibri" w:cs="Calibri"/>
                <w:b/>
                <w:color w:val="auto"/>
                <w:lang w:val="fr-FR"/>
              </w:rPr>
            </w:pPr>
            <w:r w:rsidRPr="007A0550">
              <w:rPr>
                <w:rFonts w:ascii="Calibri" w:eastAsia="Arial Unicode MS" w:hAnsi="Calibri" w:cs="Calibri"/>
                <w:b/>
                <w:color w:val="auto"/>
                <w:lang w:val="fr-FR"/>
              </w:rPr>
              <w:t>Ti</w:t>
            </w:r>
            <w:r w:rsidR="00EE2C8A">
              <w:rPr>
                <w:rFonts w:ascii="Calibri" w:eastAsia="Arial Unicode MS" w:hAnsi="Calibri" w:cs="Calibri"/>
                <w:b/>
                <w:color w:val="auto"/>
                <w:lang w:val="fr-FR"/>
              </w:rPr>
              <w:t>tre</w:t>
            </w:r>
          </w:p>
          <w:p w14:paraId="679EB20E" w14:textId="1FD4D88A" w:rsidR="00CB3017" w:rsidRPr="007A0550" w:rsidRDefault="007A0550" w:rsidP="00EF186E">
            <w:pPr>
              <w:spacing w:before="100" w:beforeAutospacing="1" w:after="100" w:afterAutospacing="1" w:line="240" w:lineRule="auto"/>
              <w:rPr>
                <w:rFonts w:ascii="Calibri" w:eastAsia="Arial Unicode MS" w:hAnsi="Calibri" w:cs="Calibri"/>
                <w:lang w:val="fr-FR"/>
              </w:rPr>
            </w:pPr>
            <w:r w:rsidRPr="002A03A6">
              <w:rPr>
                <w:rFonts w:ascii="Calibri" w:eastAsia="Arial Unicode MS" w:hAnsi="Calibri" w:cs="Calibri"/>
                <w:color w:val="auto"/>
                <w:lang w:val="fr-FR"/>
              </w:rPr>
              <w:t>Recrutement d’un (e) expert (e)</w:t>
            </w:r>
            <w:r w:rsidR="00C717ED" w:rsidRPr="002A03A6">
              <w:rPr>
                <w:rFonts w:ascii="Calibri" w:eastAsia="Arial Unicode MS" w:hAnsi="Calibri" w:cs="Calibri"/>
                <w:color w:val="auto"/>
                <w:lang w:val="fr-FR"/>
              </w:rPr>
              <w:t xml:space="preserve"> </w:t>
            </w:r>
            <w:r w:rsidR="008D72AA" w:rsidRPr="002A03A6">
              <w:rPr>
                <w:rFonts w:ascii="Calibri" w:eastAsia="Arial Unicode MS" w:hAnsi="Calibri" w:cs="Calibri"/>
                <w:color w:val="auto"/>
                <w:lang w:val="fr-FR"/>
              </w:rPr>
              <w:t>en protection sociale</w:t>
            </w:r>
          </w:p>
        </w:tc>
        <w:tc>
          <w:tcPr>
            <w:tcW w:w="2468" w:type="dxa"/>
            <w:tcBorders>
              <w:bottom w:val="nil"/>
            </w:tcBorders>
            <w:shd w:val="clear" w:color="auto" w:fill="auto"/>
          </w:tcPr>
          <w:p w14:paraId="4E21A16C"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7B3A7A02" w14:textId="21F717D8" w:rsidR="00BB256A" w:rsidRPr="007A0550" w:rsidRDefault="00BB256A" w:rsidP="00377BF5">
            <w:pPr>
              <w:spacing w:before="100" w:beforeAutospacing="1" w:after="100" w:afterAutospacing="1" w:line="240" w:lineRule="auto"/>
              <w:rPr>
                <w:rFonts w:ascii="Calibri" w:eastAsia="Arial Unicode MS" w:hAnsi="Calibri" w:cs="Calibri"/>
                <w:bCs/>
                <w:color w:val="auto"/>
                <w:lang w:val="en-AU"/>
              </w:rPr>
            </w:pPr>
          </w:p>
        </w:tc>
        <w:tc>
          <w:tcPr>
            <w:tcW w:w="2468" w:type="dxa"/>
            <w:tcBorders>
              <w:bottom w:val="nil"/>
            </w:tcBorders>
            <w:shd w:val="clear" w:color="auto" w:fill="auto"/>
          </w:tcPr>
          <w:p w14:paraId="0D678D66"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58A84078" w14:textId="77777777" w:rsidR="007613B3" w:rsidRPr="002A03A6" w:rsidRDefault="00DB419B"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w:t>
            </w:r>
            <w:r w:rsidR="007613B3" w:rsidRPr="002A03A6">
              <w:rPr>
                <w:rFonts w:ascii="Calibri" w:eastAsia="Arial Unicode MS" w:hAnsi="Calibri" w:cs="Calibri"/>
                <w:color w:val="auto"/>
                <w:lang w:val="en-AU"/>
              </w:rPr>
              <w:t xml:space="preserve">Consultant  </w:t>
            </w:r>
          </w:p>
          <w:p w14:paraId="49BE2132" w14:textId="77777777"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1E0C60B2" w14:textId="77777777" w:rsidR="00F027D0" w:rsidRPr="007613B3" w:rsidRDefault="00F027D0"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2468" w:type="dxa"/>
            <w:tcBorders>
              <w:bottom w:val="nil"/>
            </w:tcBorders>
            <w:shd w:val="clear" w:color="auto" w:fill="auto"/>
          </w:tcPr>
          <w:p w14:paraId="5BE644D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2BEC8E9B" w14:textId="77777777" w:rsidR="007613B3" w:rsidRPr="007613B3" w:rsidRDefault="00CB3017" w:rsidP="00377BF5">
            <w:pPr>
              <w:spacing w:before="100" w:beforeAutospacing="1" w:after="100" w:afterAutospacing="1" w:line="240" w:lineRule="auto"/>
              <w:rPr>
                <w:rFonts w:ascii="Calibri" w:eastAsia="Arial Unicode MS" w:hAnsi="Calibri" w:cs="Calibri"/>
                <w:color w:val="auto"/>
                <w:lang w:val="en-AU"/>
              </w:rPr>
            </w:pPr>
            <w:r w:rsidRPr="002A03A6">
              <w:rPr>
                <w:rFonts w:ascii="Calibri" w:eastAsia="Arial Unicode MS" w:hAnsi="Calibri" w:cs="Calibri"/>
                <w:color w:val="auto"/>
                <w:lang w:val="en-AU"/>
              </w:rPr>
              <w:t>Tunisia Country Office</w:t>
            </w:r>
          </w:p>
        </w:tc>
      </w:tr>
      <w:tr w:rsidR="007613B3" w:rsidRPr="00951153" w14:paraId="16423D71" w14:textId="77777777" w:rsidTr="79C213BD">
        <w:trPr>
          <w:trHeight w:val="828"/>
        </w:trPr>
        <w:tc>
          <w:tcPr>
            <w:tcW w:w="9872" w:type="dxa"/>
            <w:gridSpan w:val="4"/>
            <w:tcBorders>
              <w:bottom w:val="nil"/>
            </w:tcBorders>
            <w:shd w:val="clear" w:color="auto" w:fill="auto"/>
            <w:noWrap/>
            <w:hideMark/>
          </w:tcPr>
          <w:p w14:paraId="5810CC1B" w14:textId="1772FD3B" w:rsidR="00EF186E" w:rsidRPr="009F4722" w:rsidRDefault="007613B3" w:rsidP="00EF186E">
            <w:pPr>
              <w:spacing w:before="60" w:after="60" w:line="240" w:lineRule="auto"/>
              <w:rPr>
                <w:rFonts w:ascii="Calibri" w:eastAsia="Arial Unicode MS" w:hAnsi="Calibri" w:cs="Calibri"/>
                <w:b/>
                <w:color w:val="auto"/>
                <w:sz w:val="22"/>
                <w:szCs w:val="22"/>
                <w:lang w:val="fr-FR"/>
              </w:rPr>
            </w:pPr>
            <w:proofErr w:type="spellStart"/>
            <w:r w:rsidRPr="009F4722">
              <w:rPr>
                <w:rFonts w:ascii="Calibri" w:eastAsia="Arial Unicode MS" w:hAnsi="Calibri" w:cs="Calibri"/>
                <w:b/>
                <w:color w:val="auto"/>
                <w:sz w:val="22"/>
                <w:szCs w:val="22"/>
                <w:lang w:val="fr-FR"/>
              </w:rPr>
              <w:t>Purpose</w:t>
            </w:r>
            <w:proofErr w:type="spellEnd"/>
            <w:r w:rsidRPr="009F4722">
              <w:rPr>
                <w:rFonts w:ascii="Calibri" w:eastAsia="Arial Unicode MS" w:hAnsi="Calibri" w:cs="Calibri"/>
                <w:b/>
                <w:color w:val="auto"/>
                <w:sz w:val="22"/>
                <w:szCs w:val="22"/>
                <w:lang w:val="fr-FR"/>
              </w:rPr>
              <w:t xml:space="preserve"> of Activity/</w:t>
            </w:r>
            <w:proofErr w:type="spellStart"/>
            <w:r w:rsidRPr="009F4722">
              <w:rPr>
                <w:rFonts w:ascii="Calibri" w:eastAsia="Arial Unicode MS" w:hAnsi="Calibri" w:cs="Calibri"/>
                <w:b/>
                <w:color w:val="auto"/>
                <w:sz w:val="22"/>
                <w:szCs w:val="22"/>
                <w:lang w:val="fr-FR"/>
              </w:rPr>
              <w:t>Assignment</w:t>
            </w:r>
            <w:proofErr w:type="spellEnd"/>
            <w:r w:rsidRPr="009F4722">
              <w:rPr>
                <w:rFonts w:ascii="Calibri" w:eastAsia="Arial Unicode MS" w:hAnsi="Calibri" w:cs="Calibri"/>
                <w:b/>
                <w:color w:val="auto"/>
                <w:sz w:val="22"/>
                <w:szCs w:val="22"/>
                <w:lang w:val="fr-FR"/>
              </w:rPr>
              <w:t xml:space="preserve">: </w:t>
            </w:r>
          </w:p>
          <w:p w14:paraId="63322855" w14:textId="29A2177E" w:rsidR="007A0550" w:rsidRPr="00EF186E" w:rsidRDefault="00F536B6" w:rsidP="002108C6">
            <w:pPr>
              <w:tabs>
                <w:tab w:val="left" w:pos="2505"/>
              </w:tabs>
              <w:spacing w:before="60" w:after="60" w:line="240" w:lineRule="auto"/>
              <w:jc w:val="both"/>
              <w:rPr>
                <w:rFonts w:ascii="Calibri" w:hAnsi="Calibri" w:cs="Calibri"/>
                <w:lang w:val="fr-FR"/>
              </w:rPr>
            </w:pPr>
            <w:r w:rsidRPr="002A03A6">
              <w:rPr>
                <w:rFonts w:ascii="Calibri" w:hAnsi="Calibri" w:cs="Calibri"/>
                <w:color w:val="auto"/>
                <w:sz w:val="22"/>
                <w:szCs w:val="22"/>
                <w:lang w:val="fr-FR"/>
              </w:rPr>
              <w:t xml:space="preserve">Analyse </w:t>
            </w:r>
            <w:r w:rsidR="00DC64CC" w:rsidRPr="002A03A6">
              <w:rPr>
                <w:rFonts w:ascii="Calibri" w:hAnsi="Calibri" w:cs="Calibri"/>
                <w:color w:val="auto"/>
                <w:sz w:val="22"/>
                <w:szCs w:val="22"/>
                <w:lang w:val="fr-FR"/>
              </w:rPr>
              <w:t xml:space="preserve">des besoins </w:t>
            </w:r>
            <w:r w:rsidR="00D2250C" w:rsidRPr="002A03A6">
              <w:rPr>
                <w:rFonts w:ascii="Calibri" w:hAnsi="Calibri" w:cs="Calibri"/>
                <w:color w:val="auto"/>
                <w:sz w:val="22"/>
                <w:szCs w:val="22"/>
                <w:lang w:val="fr-FR"/>
              </w:rPr>
              <w:t xml:space="preserve">pour </w:t>
            </w:r>
            <w:r w:rsidR="00DC64CC" w:rsidRPr="002A03A6">
              <w:rPr>
                <w:rFonts w:ascii="Calibri" w:hAnsi="Calibri" w:cs="Calibri"/>
                <w:color w:val="auto"/>
                <w:sz w:val="22"/>
                <w:szCs w:val="22"/>
                <w:lang w:val="fr-FR"/>
              </w:rPr>
              <w:t>un</w:t>
            </w:r>
            <w:r w:rsidR="003F4A42">
              <w:rPr>
                <w:rFonts w:ascii="Calibri" w:hAnsi="Calibri" w:cs="Calibri"/>
                <w:color w:val="auto"/>
                <w:sz w:val="22"/>
                <w:szCs w:val="22"/>
                <w:lang w:val="fr-FR"/>
              </w:rPr>
              <w:t>e</w:t>
            </w:r>
            <w:r w:rsidR="00DC64CC" w:rsidRPr="002A03A6">
              <w:rPr>
                <w:rFonts w:ascii="Calibri" w:hAnsi="Calibri" w:cs="Calibri"/>
                <w:color w:val="auto"/>
                <w:sz w:val="22"/>
                <w:szCs w:val="22"/>
                <w:lang w:val="fr-FR"/>
              </w:rPr>
              <w:t xml:space="preserve"> </w:t>
            </w:r>
            <w:r w:rsidR="003F4A42">
              <w:rPr>
                <w:rFonts w:ascii="Calibri" w:hAnsi="Calibri" w:cs="Calibri"/>
                <w:color w:val="auto"/>
                <w:sz w:val="22"/>
                <w:szCs w:val="22"/>
                <w:lang w:val="fr-FR"/>
              </w:rPr>
              <w:t>revalorisation</w:t>
            </w:r>
            <w:r w:rsidR="003F4A42" w:rsidRPr="002A03A6">
              <w:rPr>
                <w:rFonts w:ascii="Calibri" w:hAnsi="Calibri" w:cs="Calibri"/>
                <w:color w:val="auto"/>
                <w:sz w:val="22"/>
                <w:szCs w:val="22"/>
                <w:lang w:val="fr-FR"/>
              </w:rPr>
              <w:t xml:space="preserve"> </w:t>
            </w:r>
            <w:r w:rsidR="00DC64CC" w:rsidRPr="002A03A6">
              <w:rPr>
                <w:rFonts w:ascii="Calibri" w:hAnsi="Calibri" w:cs="Calibri"/>
                <w:color w:val="auto"/>
                <w:sz w:val="22"/>
                <w:szCs w:val="22"/>
                <w:lang w:val="fr-FR"/>
              </w:rPr>
              <w:t>des allocations familiales du secteur contributif en Tunisie.</w:t>
            </w:r>
          </w:p>
        </w:tc>
      </w:tr>
      <w:tr w:rsidR="007613B3" w:rsidRPr="00951153" w14:paraId="53E5E901" w14:textId="77777777" w:rsidTr="79C213BD">
        <w:trPr>
          <w:trHeight w:val="1520"/>
        </w:trPr>
        <w:tc>
          <w:tcPr>
            <w:tcW w:w="9872" w:type="dxa"/>
            <w:gridSpan w:val="4"/>
            <w:tcBorders>
              <w:bottom w:val="nil"/>
            </w:tcBorders>
            <w:shd w:val="clear" w:color="auto" w:fill="auto"/>
            <w:noWrap/>
          </w:tcPr>
          <w:p w14:paraId="1CEC2FC7" w14:textId="5517695A" w:rsidR="00A53FDD" w:rsidRPr="00A53FDD" w:rsidRDefault="0028551C" w:rsidP="00D87745">
            <w:pPr>
              <w:pStyle w:val="ListParagraph"/>
              <w:numPr>
                <w:ilvl w:val="0"/>
                <w:numId w:val="1"/>
              </w:numPr>
              <w:spacing w:before="60" w:after="60" w:line="240" w:lineRule="auto"/>
              <w:jc w:val="both"/>
              <w:rPr>
                <w:rStyle w:val="normaltextrun"/>
                <w:rFonts w:asciiTheme="minorHAnsi" w:eastAsia="Arial Unicode MS" w:hAnsiTheme="minorHAnsi" w:cstheme="minorHAnsi"/>
                <w:b/>
                <w:bCs/>
                <w:color w:val="4472C4" w:themeColor="accent5"/>
                <w:sz w:val="22"/>
                <w:szCs w:val="22"/>
                <w:lang w:val="fr-FR"/>
              </w:rPr>
            </w:pPr>
            <w:r w:rsidRPr="00A53FDD">
              <w:rPr>
                <w:rFonts w:asciiTheme="minorHAnsi" w:eastAsia="Arial Unicode MS" w:hAnsiTheme="minorHAnsi" w:cstheme="minorHAnsi"/>
                <w:b/>
                <w:bCs/>
                <w:color w:val="4472C4" w:themeColor="accent5"/>
                <w:sz w:val="22"/>
                <w:szCs w:val="22"/>
                <w:lang w:val="fr-FR"/>
              </w:rPr>
              <w:t xml:space="preserve">Contexte de la consultation : </w:t>
            </w:r>
          </w:p>
          <w:p w14:paraId="36BA0592" w14:textId="23A1A794" w:rsidR="00130A4F" w:rsidRDefault="00A53FDD" w:rsidP="00CE6111">
            <w:pPr>
              <w:spacing w:line="240" w:lineRule="auto"/>
              <w:jc w:val="both"/>
              <w:rPr>
                <w:rFonts w:asciiTheme="minorHAnsi" w:hAnsiTheme="minorHAnsi" w:cstheme="minorBidi"/>
                <w:sz w:val="22"/>
                <w:szCs w:val="22"/>
                <w:lang w:val="fr-FR" w:eastAsia="en-GB"/>
              </w:rPr>
            </w:pPr>
            <w:r w:rsidRPr="20A8E061">
              <w:rPr>
                <w:rFonts w:asciiTheme="minorHAnsi" w:hAnsiTheme="minorHAnsi" w:cstheme="minorBidi"/>
                <w:sz w:val="22"/>
                <w:szCs w:val="22"/>
                <w:lang w:val="fr-FR" w:eastAsia="en-GB"/>
              </w:rPr>
              <w:t>A l’instar de la plupart des états membres des Nations Unies, la Tunisie a souscrit à un ensemble de standards et normes relatives aux droits sociaux et économiques, parmi lesquels le droit à la protection sociale, au sein du Pacte international relatif aux droits économiques, sociaux et culturels, adopté en 1966. L’article 9 du Pacte garantit le droit à la sécurité sociale et à l’assurance, de sorte à protéger les personnes contre les risques qui peuvent porter atteinte à leur capacit</w:t>
            </w:r>
            <w:r w:rsidR="2453120A" w:rsidRPr="20A8E061">
              <w:rPr>
                <w:rFonts w:asciiTheme="minorHAnsi" w:hAnsiTheme="minorHAnsi" w:cstheme="minorBidi"/>
                <w:sz w:val="22"/>
                <w:szCs w:val="22"/>
                <w:lang w:val="fr-FR" w:eastAsia="en-GB"/>
              </w:rPr>
              <w:t>é</w:t>
            </w:r>
            <w:r w:rsidRPr="20A8E061">
              <w:rPr>
                <w:rFonts w:asciiTheme="minorHAnsi" w:hAnsiTheme="minorHAnsi" w:cstheme="minorBidi"/>
                <w:sz w:val="22"/>
                <w:szCs w:val="22"/>
                <w:lang w:val="fr-FR" w:eastAsia="en-GB"/>
              </w:rPr>
              <w:t xml:space="preserve"> productive, de manière permanente ou temporaire (maladie, handicap, maternité, accident de travail, chômage ou vieillesse, par exemple), et assure le soutien adéquat aux familles, protégeant les survivants et les orphelins. En </w:t>
            </w:r>
            <w:r w:rsidR="00A33010" w:rsidRPr="20A8E061">
              <w:rPr>
                <w:rFonts w:asciiTheme="minorHAnsi" w:hAnsiTheme="minorHAnsi" w:cstheme="minorBidi"/>
                <w:sz w:val="22"/>
                <w:szCs w:val="22"/>
                <w:lang w:val="fr-FR" w:eastAsia="en-GB"/>
              </w:rPr>
              <w:t>outre, l’article</w:t>
            </w:r>
            <w:r w:rsidRPr="20A8E061">
              <w:rPr>
                <w:rFonts w:asciiTheme="minorHAnsi" w:hAnsiTheme="minorHAnsi" w:cstheme="minorBidi"/>
                <w:sz w:val="22"/>
                <w:szCs w:val="22"/>
                <w:lang w:val="fr-FR" w:eastAsia="en-GB"/>
              </w:rPr>
              <w:t xml:space="preserve"> 10 </w:t>
            </w:r>
            <w:r w:rsidR="009F4722" w:rsidRPr="20A8E061">
              <w:rPr>
                <w:rFonts w:asciiTheme="minorHAnsi" w:hAnsiTheme="minorHAnsi" w:cstheme="minorBidi"/>
                <w:sz w:val="22"/>
                <w:szCs w:val="22"/>
                <w:lang w:val="fr-FR" w:eastAsia="en-GB"/>
              </w:rPr>
              <w:t xml:space="preserve">du Pacte </w:t>
            </w:r>
            <w:r w:rsidRPr="20A8E061">
              <w:rPr>
                <w:rFonts w:asciiTheme="minorHAnsi" w:hAnsiTheme="minorHAnsi" w:cstheme="minorBidi"/>
                <w:sz w:val="22"/>
                <w:szCs w:val="22"/>
                <w:lang w:val="fr-FR" w:eastAsia="en-GB"/>
              </w:rPr>
              <w:t>garantit le droit des familles à la protection et à l’assistance sociale, en particulier lorsqu’elles sont responsables du soin et de l’éducation de ses enfants</w:t>
            </w:r>
            <w:r w:rsidR="00551D0A" w:rsidRPr="20A8E061">
              <w:rPr>
                <w:rStyle w:val="FootnoteReference"/>
                <w:rFonts w:asciiTheme="minorHAnsi" w:hAnsiTheme="minorHAnsi" w:cstheme="minorBidi"/>
                <w:sz w:val="22"/>
                <w:szCs w:val="22"/>
                <w:lang w:val="fr-FR" w:eastAsia="en-GB"/>
              </w:rPr>
              <w:footnoteReference w:id="2"/>
            </w:r>
            <w:r w:rsidRPr="20A8E061">
              <w:rPr>
                <w:rFonts w:asciiTheme="minorHAnsi" w:hAnsiTheme="minorHAnsi" w:cstheme="minorBidi"/>
                <w:sz w:val="22"/>
                <w:szCs w:val="22"/>
                <w:lang w:val="fr-FR" w:eastAsia="en-GB"/>
              </w:rPr>
              <w:t>.</w:t>
            </w:r>
            <w:r w:rsidR="00277B0C" w:rsidRPr="20A8E061">
              <w:rPr>
                <w:rFonts w:asciiTheme="minorHAnsi" w:hAnsiTheme="minorHAnsi" w:cstheme="minorBidi"/>
                <w:sz w:val="22"/>
                <w:szCs w:val="22"/>
                <w:lang w:val="fr-FR" w:eastAsia="en-GB"/>
              </w:rPr>
              <w:t xml:space="preserve"> </w:t>
            </w:r>
            <w:r w:rsidR="00AE5646" w:rsidRPr="20A8E061">
              <w:rPr>
                <w:rFonts w:asciiTheme="minorHAnsi" w:hAnsiTheme="minorHAnsi" w:cstheme="minorBidi"/>
                <w:sz w:val="22"/>
                <w:szCs w:val="22"/>
                <w:lang w:val="fr-FR" w:eastAsia="en-GB"/>
              </w:rPr>
              <w:t xml:space="preserve">Ainsi, la </w:t>
            </w:r>
            <w:r w:rsidR="005B3AF6" w:rsidRPr="20A8E061">
              <w:rPr>
                <w:rFonts w:asciiTheme="minorHAnsi" w:hAnsiTheme="minorHAnsi" w:cstheme="minorBidi"/>
                <w:sz w:val="22"/>
                <w:szCs w:val="22"/>
                <w:lang w:val="fr-FR" w:eastAsia="en-GB"/>
              </w:rPr>
              <w:t>C</w:t>
            </w:r>
            <w:r w:rsidR="004903FD" w:rsidRPr="20A8E061">
              <w:rPr>
                <w:rFonts w:asciiTheme="minorHAnsi" w:hAnsiTheme="minorHAnsi" w:cstheme="minorBidi"/>
                <w:sz w:val="22"/>
                <w:szCs w:val="22"/>
                <w:lang w:val="fr-FR" w:eastAsia="en-GB"/>
              </w:rPr>
              <w:t xml:space="preserve">onstitution </w:t>
            </w:r>
            <w:r w:rsidR="00AE5646" w:rsidRPr="20A8E061">
              <w:rPr>
                <w:rFonts w:asciiTheme="minorHAnsi" w:hAnsiTheme="minorHAnsi" w:cstheme="minorBidi"/>
                <w:sz w:val="22"/>
                <w:szCs w:val="22"/>
                <w:lang w:val="fr-FR" w:eastAsia="en-GB"/>
              </w:rPr>
              <w:t xml:space="preserve">de </w:t>
            </w:r>
            <w:r w:rsidR="004903FD" w:rsidRPr="20A8E061">
              <w:rPr>
                <w:rFonts w:asciiTheme="minorHAnsi" w:hAnsiTheme="minorHAnsi" w:cstheme="minorBidi"/>
                <w:sz w:val="22"/>
                <w:szCs w:val="22"/>
                <w:lang w:val="fr-FR" w:eastAsia="en-GB"/>
              </w:rPr>
              <w:t>2022</w:t>
            </w:r>
            <w:r w:rsidR="00AE5646" w:rsidRPr="20A8E061">
              <w:rPr>
                <w:rFonts w:asciiTheme="minorHAnsi" w:hAnsiTheme="minorHAnsi" w:cstheme="minorBidi"/>
                <w:sz w:val="22"/>
                <w:szCs w:val="22"/>
                <w:lang w:val="fr-FR" w:eastAsia="en-GB"/>
              </w:rPr>
              <w:t xml:space="preserve"> </w:t>
            </w:r>
            <w:r w:rsidR="0063357B" w:rsidRPr="20A8E061">
              <w:rPr>
                <w:rFonts w:asciiTheme="minorHAnsi" w:hAnsiTheme="minorHAnsi" w:cstheme="minorBidi"/>
                <w:sz w:val="22"/>
                <w:szCs w:val="22"/>
                <w:lang w:val="fr-FR" w:eastAsia="en-GB"/>
              </w:rPr>
              <w:t xml:space="preserve">a proclamé </w:t>
            </w:r>
            <w:r w:rsidR="00696676" w:rsidRPr="20A8E061">
              <w:rPr>
                <w:rFonts w:asciiTheme="minorHAnsi" w:hAnsiTheme="minorHAnsi" w:cstheme="minorBidi"/>
                <w:sz w:val="22"/>
                <w:szCs w:val="22"/>
                <w:lang w:val="fr-FR" w:eastAsia="en-GB"/>
              </w:rPr>
              <w:t>l</w:t>
            </w:r>
            <w:r w:rsidR="0063357B" w:rsidRPr="20A8E061">
              <w:rPr>
                <w:rFonts w:asciiTheme="minorHAnsi" w:hAnsiTheme="minorHAnsi" w:cstheme="minorBidi"/>
                <w:sz w:val="22"/>
                <w:szCs w:val="22"/>
                <w:lang w:val="fr-FR" w:eastAsia="en-GB"/>
              </w:rPr>
              <w:t xml:space="preserve">es droits </w:t>
            </w:r>
            <w:r w:rsidR="00696676" w:rsidRPr="20A8E061">
              <w:rPr>
                <w:rFonts w:asciiTheme="minorHAnsi" w:hAnsiTheme="minorHAnsi" w:cstheme="minorBidi"/>
                <w:sz w:val="22"/>
                <w:szCs w:val="22"/>
                <w:lang w:val="fr-FR" w:eastAsia="en-GB"/>
              </w:rPr>
              <w:t>sociaux</w:t>
            </w:r>
            <w:r w:rsidR="0063357B" w:rsidRPr="20A8E061">
              <w:rPr>
                <w:rFonts w:asciiTheme="minorHAnsi" w:hAnsiTheme="minorHAnsi" w:cstheme="minorBidi"/>
                <w:sz w:val="22"/>
                <w:szCs w:val="22"/>
                <w:lang w:val="fr-FR" w:eastAsia="en-GB"/>
              </w:rPr>
              <w:t>, qu’il s’agisse des droits s’adressant à tous les citoyens ou des droits propres à certaines catégories de personnes en fonction de leur situation de vulnérabilité, ou encore des droits fondamentaux liés au travail.</w:t>
            </w:r>
            <w:r w:rsidR="00696676" w:rsidRPr="20A8E061">
              <w:rPr>
                <w:rFonts w:asciiTheme="minorHAnsi" w:hAnsiTheme="minorHAnsi" w:cstheme="minorBidi"/>
                <w:sz w:val="22"/>
                <w:szCs w:val="22"/>
                <w:lang w:val="fr-FR" w:eastAsia="en-GB"/>
              </w:rPr>
              <w:t xml:space="preserve"> </w:t>
            </w:r>
            <w:r w:rsidR="00F173F3" w:rsidRPr="20A8E061">
              <w:rPr>
                <w:rFonts w:asciiTheme="minorHAnsi" w:hAnsiTheme="minorHAnsi" w:cstheme="minorBidi"/>
                <w:sz w:val="22"/>
                <w:szCs w:val="22"/>
                <w:lang w:val="fr-FR" w:eastAsia="en-GB"/>
              </w:rPr>
              <w:t xml:space="preserve">L’article 43 affirme que l’Etat garantit le droit à la couverture sociale, dans les conditions fixées par la loi. Cette disposition confirme à ce sujet le rôle central de l’Etat, dont l’intervention en matière de protection sociale constitue l’épine dorsale de toute politique de développement humain. </w:t>
            </w:r>
            <w:r w:rsidR="00155413" w:rsidRPr="20A8E061">
              <w:rPr>
                <w:rFonts w:asciiTheme="minorHAnsi" w:hAnsiTheme="minorHAnsi" w:cstheme="minorBidi"/>
                <w:sz w:val="22"/>
                <w:szCs w:val="22"/>
                <w:lang w:val="fr-FR" w:eastAsia="en-GB"/>
              </w:rPr>
              <w:t xml:space="preserve">D’autres droits sociaux s’adressent à certaines catégories de personnes en état de vulnérabilité, ayant besoin d’une protection renforcée adaptée à leur situation de faiblesse. C’est le cas des enfants auxquels l’Etat doit fournir toutes les formes de protection, sans discrimination et conformément au principe de l’intérêt supérieur de l’enfant, selon les termes de l’article 52 de la Constitution. Le même article ajoute que « l’Etat prend en charge les enfants abandonnés ou de filiation inconnue ». De plus, la Constitution prévoit, dans son article 53, que l’Etat doit garantir l’aide aux personnes âgées dépourvues de soutien. L’article 54 prévoit également que l’Etat protège les personnes </w:t>
            </w:r>
            <w:r w:rsidR="005E2623" w:rsidRPr="20A8E061">
              <w:rPr>
                <w:rFonts w:asciiTheme="minorHAnsi" w:hAnsiTheme="minorHAnsi" w:cstheme="minorBidi"/>
                <w:sz w:val="22"/>
                <w:szCs w:val="22"/>
                <w:lang w:val="fr-FR" w:eastAsia="en-GB"/>
              </w:rPr>
              <w:t xml:space="preserve">avec </w:t>
            </w:r>
            <w:r w:rsidR="00155413" w:rsidRPr="20A8E061">
              <w:rPr>
                <w:rFonts w:asciiTheme="minorHAnsi" w:hAnsiTheme="minorHAnsi" w:cstheme="minorBidi"/>
                <w:sz w:val="22"/>
                <w:szCs w:val="22"/>
                <w:lang w:val="fr-FR" w:eastAsia="en-GB"/>
              </w:rPr>
              <w:t>handicap contre toute discrimination et prend toutes les mesures propres à leur garantir une entière intégration au sein de la société</w:t>
            </w:r>
            <w:r w:rsidR="002A03A6" w:rsidRPr="20A8E061">
              <w:rPr>
                <w:rStyle w:val="FootnoteReference"/>
                <w:rFonts w:asciiTheme="minorHAnsi" w:hAnsiTheme="minorHAnsi" w:cstheme="minorBidi"/>
                <w:sz w:val="22"/>
                <w:szCs w:val="22"/>
                <w:lang w:val="fr-FR" w:eastAsia="en-GB"/>
              </w:rPr>
              <w:footnoteReference w:id="3"/>
            </w:r>
            <w:r w:rsidR="00155413" w:rsidRPr="20A8E061">
              <w:rPr>
                <w:rFonts w:asciiTheme="minorHAnsi" w:hAnsiTheme="minorHAnsi" w:cstheme="minorBidi"/>
                <w:sz w:val="22"/>
                <w:szCs w:val="22"/>
                <w:lang w:val="fr-FR" w:eastAsia="en-GB"/>
              </w:rPr>
              <w:t>.</w:t>
            </w:r>
          </w:p>
          <w:p w14:paraId="552999E0" w14:textId="77777777" w:rsidR="00BC029E" w:rsidRDefault="00BC029E" w:rsidP="00CE6111">
            <w:pPr>
              <w:spacing w:line="240" w:lineRule="auto"/>
              <w:jc w:val="both"/>
              <w:rPr>
                <w:rFonts w:asciiTheme="minorHAnsi" w:hAnsiTheme="minorHAnsi" w:cstheme="minorHAnsi"/>
                <w:sz w:val="22"/>
                <w:szCs w:val="22"/>
                <w:lang w:val="fr-FR" w:eastAsia="en-GB"/>
              </w:rPr>
            </w:pPr>
          </w:p>
          <w:p w14:paraId="33FB885E" w14:textId="52928F94" w:rsidR="00A53FDD" w:rsidRDefault="003F71B5" w:rsidP="00CE6111">
            <w:pPr>
              <w:spacing w:line="240" w:lineRule="auto"/>
              <w:jc w:val="both"/>
              <w:rPr>
                <w:rFonts w:asciiTheme="minorHAnsi" w:hAnsiTheme="minorHAnsi" w:cstheme="minorHAnsi"/>
                <w:sz w:val="22"/>
                <w:szCs w:val="22"/>
                <w:lang w:val="fr-FR" w:eastAsia="en-GB"/>
              </w:rPr>
            </w:pPr>
            <w:r>
              <w:rPr>
                <w:rFonts w:asciiTheme="minorHAnsi" w:hAnsiTheme="minorHAnsi" w:cstheme="minorHAnsi"/>
                <w:sz w:val="22"/>
                <w:szCs w:val="22"/>
                <w:lang w:val="fr-FR" w:eastAsia="en-GB"/>
              </w:rPr>
              <w:t>Ces ambitions</w:t>
            </w:r>
            <w:r w:rsidR="007056EC">
              <w:rPr>
                <w:rFonts w:asciiTheme="minorHAnsi" w:hAnsiTheme="minorHAnsi" w:cstheme="minorHAnsi"/>
                <w:sz w:val="22"/>
                <w:szCs w:val="22"/>
                <w:lang w:val="fr-FR" w:eastAsia="en-GB"/>
              </w:rPr>
              <w:t xml:space="preserve"> sociales sont cependant fragilisées par </w:t>
            </w:r>
            <w:r w:rsidR="007A6F4B">
              <w:rPr>
                <w:rFonts w:asciiTheme="minorHAnsi" w:hAnsiTheme="minorHAnsi" w:cstheme="minorHAnsi"/>
                <w:sz w:val="22"/>
                <w:szCs w:val="22"/>
                <w:lang w:val="fr-FR" w:eastAsia="en-GB"/>
              </w:rPr>
              <w:t xml:space="preserve">la situation </w:t>
            </w:r>
            <w:r w:rsidR="004E08B6">
              <w:rPr>
                <w:rFonts w:asciiTheme="minorHAnsi" w:hAnsiTheme="minorHAnsi" w:cstheme="minorHAnsi"/>
                <w:sz w:val="22"/>
                <w:szCs w:val="22"/>
                <w:lang w:val="fr-FR" w:eastAsia="en-GB"/>
              </w:rPr>
              <w:t>économique</w:t>
            </w:r>
            <w:r w:rsidR="007A6F4B">
              <w:rPr>
                <w:rFonts w:asciiTheme="minorHAnsi" w:hAnsiTheme="minorHAnsi" w:cstheme="minorHAnsi"/>
                <w:sz w:val="22"/>
                <w:szCs w:val="22"/>
                <w:lang w:val="fr-FR" w:eastAsia="en-GB"/>
              </w:rPr>
              <w:t>. En effet, l</w:t>
            </w:r>
            <w:r w:rsidR="00130A4F" w:rsidRPr="00130A4F">
              <w:rPr>
                <w:rFonts w:asciiTheme="minorHAnsi" w:hAnsiTheme="minorHAnsi" w:cstheme="minorHAnsi"/>
                <w:sz w:val="22"/>
                <w:szCs w:val="22"/>
                <w:lang w:val="fr-FR" w:eastAsia="en-GB"/>
              </w:rPr>
              <w:t xml:space="preserve">a Tunisie est confrontée à un contexte socio-économique difficile avec une récession économique </w:t>
            </w:r>
            <w:r w:rsidR="00130A4F" w:rsidRPr="00823A49">
              <w:rPr>
                <w:rFonts w:asciiTheme="minorHAnsi" w:hAnsiTheme="minorHAnsi" w:cstheme="minorHAnsi"/>
                <w:sz w:val="22"/>
                <w:szCs w:val="22"/>
                <w:lang w:val="fr-FR" w:eastAsia="en-GB"/>
              </w:rPr>
              <w:t xml:space="preserve">de </w:t>
            </w:r>
            <w:r w:rsidR="00823A49" w:rsidRPr="00823A49">
              <w:rPr>
                <w:rFonts w:asciiTheme="minorHAnsi" w:hAnsiTheme="minorHAnsi" w:cstheme="minorHAnsi"/>
                <w:sz w:val="22"/>
                <w:szCs w:val="22"/>
                <w:lang w:val="fr-FR" w:eastAsia="en-GB"/>
              </w:rPr>
              <w:t>8</w:t>
            </w:r>
            <w:r w:rsidR="00130A4F" w:rsidRPr="00823A49">
              <w:rPr>
                <w:rFonts w:asciiTheme="minorHAnsi" w:hAnsiTheme="minorHAnsi" w:cstheme="minorHAnsi"/>
                <w:sz w:val="22"/>
                <w:szCs w:val="22"/>
                <w:lang w:val="fr-FR" w:eastAsia="en-GB"/>
              </w:rPr>
              <w:t>,</w:t>
            </w:r>
            <w:r w:rsidR="00823A49" w:rsidRPr="00823A49">
              <w:rPr>
                <w:rFonts w:asciiTheme="minorHAnsi" w:hAnsiTheme="minorHAnsi" w:cstheme="minorHAnsi"/>
                <w:sz w:val="22"/>
                <w:szCs w:val="22"/>
                <w:lang w:val="fr-FR" w:eastAsia="en-GB"/>
              </w:rPr>
              <w:t>6</w:t>
            </w:r>
            <w:r w:rsidR="00130A4F" w:rsidRPr="00823A49">
              <w:rPr>
                <w:rFonts w:asciiTheme="minorHAnsi" w:hAnsiTheme="minorHAnsi" w:cstheme="minorHAnsi"/>
                <w:sz w:val="22"/>
                <w:szCs w:val="22"/>
                <w:lang w:val="fr-FR" w:eastAsia="en-GB"/>
              </w:rPr>
              <w:t>% en 2020 et</w:t>
            </w:r>
            <w:r w:rsidR="00130A4F" w:rsidRPr="00130A4F">
              <w:rPr>
                <w:rFonts w:asciiTheme="minorHAnsi" w:hAnsiTheme="minorHAnsi" w:cstheme="minorHAnsi"/>
                <w:sz w:val="22"/>
                <w:szCs w:val="22"/>
                <w:lang w:val="fr-FR" w:eastAsia="en-GB"/>
              </w:rPr>
              <w:t xml:space="preserve"> une faible croissance en 2021</w:t>
            </w:r>
            <w:r w:rsidR="007616EE">
              <w:rPr>
                <w:rFonts w:asciiTheme="minorHAnsi" w:hAnsiTheme="minorHAnsi" w:cstheme="minorHAnsi"/>
                <w:sz w:val="22"/>
                <w:szCs w:val="22"/>
                <w:lang w:val="fr-FR" w:eastAsia="en-GB"/>
              </w:rPr>
              <w:t>,</w:t>
            </w:r>
            <w:r w:rsidR="00130A4F" w:rsidRPr="00130A4F">
              <w:rPr>
                <w:rFonts w:asciiTheme="minorHAnsi" w:hAnsiTheme="minorHAnsi" w:cstheme="minorHAnsi"/>
                <w:sz w:val="22"/>
                <w:szCs w:val="22"/>
                <w:lang w:val="fr-FR" w:eastAsia="en-GB"/>
              </w:rPr>
              <w:t xml:space="preserve"> 2022</w:t>
            </w:r>
            <w:r w:rsidR="007616EE">
              <w:rPr>
                <w:rFonts w:asciiTheme="minorHAnsi" w:hAnsiTheme="minorHAnsi" w:cstheme="minorHAnsi"/>
                <w:sz w:val="22"/>
                <w:szCs w:val="22"/>
                <w:lang w:val="fr-FR" w:eastAsia="en-GB"/>
              </w:rPr>
              <w:t xml:space="preserve"> et 2023</w:t>
            </w:r>
            <w:r w:rsidR="00384547">
              <w:rPr>
                <w:rFonts w:asciiTheme="minorHAnsi" w:hAnsiTheme="minorHAnsi" w:cstheme="minorHAnsi"/>
                <w:sz w:val="22"/>
                <w:szCs w:val="22"/>
                <w:lang w:val="fr-FR" w:eastAsia="en-GB"/>
              </w:rPr>
              <w:t xml:space="preserve"> accompagnée d’une forte inflation en 2022 et 2023</w:t>
            </w:r>
            <w:r w:rsidR="00130A4F" w:rsidRPr="00130A4F">
              <w:rPr>
                <w:rFonts w:asciiTheme="minorHAnsi" w:hAnsiTheme="minorHAnsi" w:cstheme="minorHAnsi"/>
                <w:sz w:val="22"/>
                <w:szCs w:val="22"/>
                <w:lang w:val="fr-FR" w:eastAsia="en-GB"/>
              </w:rPr>
              <w:t xml:space="preserve">. Le taux de pauvreté monétaire a augmenté de 15% en 2015 à </w:t>
            </w:r>
            <w:r w:rsidR="00277B0C">
              <w:rPr>
                <w:rFonts w:asciiTheme="minorHAnsi" w:hAnsiTheme="minorHAnsi" w:cstheme="minorHAnsi"/>
                <w:sz w:val="22"/>
                <w:szCs w:val="22"/>
                <w:lang w:val="fr-FR" w:eastAsia="en-GB"/>
              </w:rPr>
              <w:t>16,6</w:t>
            </w:r>
            <w:r w:rsidR="00130A4F" w:rsidRPr="00130A4F">
              <w:rPr>
                <w:rFonts w:asciiTheme="minorHAnsi" w:hAnsiTheme="minorHAnsi" w:cstheme="minorHAnsi"/>
                <w:sz w:val="22"/>
                <w:szCs w:val="22"/>
                <w:lang w:val="fr-FR" w:eastAsia="en-GB"/>
              </w:rPr>
              <w:t>% en 202</w:t>
            </w:r>
            <w:r w:rsidR="00277B0C">
              <w:rPr>
                <w:rFonts w:asciiTheme="minorHAnsi" w:hAnsiTheme="minorHAnsi" w:cstheme="minorHAnsi"/>
                <w:sz w:val="22"/>
                <w:szCs w:val="22"/>
                <w:lang w:val="fr-FR" w:eastAsia="en-GB"/>
              </w:rPr>
              <w:t>1</w:t>
            </w:r>
            <w:r w:rsidR="00130A4F" w:rsidRPr="00130A4F">
              <w:rPr>
                <w:rFonts w:asciiTheme="minorHAnsi" w:hAnsiTheme="minorHAnsi" w:cstheme="minorHAnsi"/>
                <w:sz w:val="22"/>
                <w:szCs w:val="22"/>
                <w:lang w:val="fr-FR" w:eastAsia="en-GB"/>
              </w:rPr>
              <w:t xml:space="preserve"> (</w:t>
            </w:r>
            <w:r w:rsidR="00277B0C">
              <w:rPr>
                <w:rFonts w:asciiTheme="minorHAnsi" w:hAnsiTheme="minorHAnsi" w:cstheme="minorHAnsi"/>
                <w:sz w:val="22"/>
                <w:szCs w:val="22"/>
                <w:lang w:val="fr-FR" w:eastAsia="en-GB"/>
              </w:rPr>
              <w:t>INS</w:t>
            </w:r>
            <w:r w:rsidR="00130A4F" w:rsidRPr="00130A4F">
              <w:rPr>
                <w:rFonts w:asciiTheme="minorHAnsi" w:hAnsiTheme="minorHAnsi" w:cstheme="minorHAnsi"/>
                <w:sz w:val="22"/>
                <w:szCs w:val="22"/>
                <w:lang w:val="fr-FR" w:eastAsia="en-GB"/>
              </w:rPr>
              <w:t xml:space="preserve">), </w:t>
            </w:r>
            <w:r w:rsidR="00384547">
              <w:rPr>
                <w:rFonts w:asciiTheme="minorHAnsi" w:hAnsiTheme="minorHAnsi" w:cstheme="minorHAnsi"/>
                <w:sz w:val="22"/>
                <w:szCs w:val="22"/>
                <w:lang w:val="fr-FR" w:eastAsia="en-GB"/>
              </w:rPr>
              <w:t xml:space="preserve">et </w:t>
            </w:r>
            <w:r w:rsidR="00130A4F" w:rsidRPr="00130A4F">
              <w:rPr>
                <w:rFonts w:asciiTheme="minorHAnsi" w:hAnsiTheme="minorHAnsi" w:cstheme="minorHAnsi"/>
                <w:sz w:val="22"/>
                <w:szCs w:val="22"/>
                <w:lang w:val="fr-FR" w:eastAsia="en-GB"/>
              </w:rPr>
              <w:t xml:space="preserve">la pauvreté des enfants </w:t>
            </w:r>
            <w:r w:rsidR="005E74E7" w:rsidRPr="00130A4F">
              <w:rPr>
                <w:rFonts w:asciiTheme="minorHAnsi" w:hAnsiTheme="minorHAnsi" w:cstheme="minorHAnsi"/>
                <w:sz w:val="22"/>
                <w:szCs w:val="22"/>
                <w:lang w:val="fr-FR" w:eastAsia="en-GB"/>
              </w:rPr>
              <w:t>s’</w:t>
            </w:r>
            <w:r w:rsidR="005E74E7">
              <w:rPr>
                <w:rFonts w:asciiTheme="minorHAnsi" w:hAnsiTheme="minorHAnsi" w:cstheme="minorHAnsi"/>
                <w:sz w:val="22"/>
                <w:szCs w:val="22"/>
                <w:lang w:val="fr-FR" w:eastAsia="en-GB"/>
              </w:rPr>
              <w:t xml:space="preserve">est </w:t>
            </w:r>
            <w:r w:rsidR="005E74E7" w:rsidRPr="00130A4F">
              <w:rPr>
                <w:rFonts w:asciiTheme="minorHAnsi" w:hAnsiTheme="minorHAnsi" w:cstheme="minorHAnsi"/>
                <w:sz w:val="22"/>
                <w:szCs w:val="22"/>
                <w:lang w:val="fr-FR" w:eastAsia="en-GB"/>
              </w:rPr>
              <w:t>plus</w:t>
            </w:r>
            <w:r w:rsidR="00130A4F" w:rsidRPr="00130A4F">
              <w:rPr>
                <w:rFonts w:asciiTheme="minorHAnsi" w:hAnsiTheme="minorHAnsi" w:cstheme="minorHAnsi"/>
                <w:sz w:val="22"/>
                <w:szCs w:val="22"/>
                <w:lang w:val="fr-FR" w:eastAsia="en-GB"/>
              </w:rPr>
              <w:t xml:space="preserve"> aggravée que </w:t>
            </w:r>
            <w:r w:rsidR="00E51E50">
              <w:rPr>
                <w:rFonts w:asciiTheme="minorHAnsi" w:hAnsiTheme="minorHAnsi" w:cstheme="minorHAnsi"/>
                <w:sz w:val="22"/>
                <w:szCs w:val="22"/>
                <w:lang w:val="fr-FR" w:eastAsia="en-GB"/>
              </w:rPr>
              <w:t>celle</w:t>
            </w:r>
            <w:r w:rsidR="00D8047E">
              <w:rPr>
                <w:rFonts w:asciiTheme="minorHAnsi" w:hAnsiTheme="minorHAnsi" w:cstheme="minorHAnsi"/>
                <w:sz w:val="22"/>
                <w:szCs w:val="22"/>
                <w:lang w:val="fr-FR" w:eastAsia="en-GB"/>
              </w:rPr>
              <w:t xml:space="preserve"> touchant l’ensemble </w:t>
            </w:r>
            <w:r w:rsidR="00130A4F" w:rsidRPr="00130A4F">
              <w:rPr>
                <w:rFonts w:asciiTheme="minorHAnsi" w:hAnsiTheme="minorHAnsi" w:cstheme="minorHAnsi"/>
                <w:sz w:val="22"/>
                <w:szCs w:val="22"/>
                <w:lang w:val="fr-FR" w:eastAsia="en-GB"/>
              </w:rPr>
              <w:t>de la population</w:t>
            </w:r>
            <w:r w:rsidR="002A03A6">
              <w:rPr>
                <w:rStyle w:val="FootnoteReference"/>
                <w:rFonts w:asciiTheme="minorHAnsi" w:hAnsiTheme="minorHAnsi" w:cstheme="minorHAnsi"/>
                <w:sz w:val="22"/>
                <w:szCs w:val="22"/>
                <w:lang w:val="fr-FR" w:eastAsia="en-GB"/>
              </w:rPr>
              <w:footnoteReference w:id="4"/>
            </w:r>
            <w:r w:rsidR="00130A4F" w:rsidRPr="00130A4F">
              <w:rPr>
                <w:rFonts w:asciiTheme="minorHAnsi" w:hAnsiTheme="minorHAnsi" w:cstheme="minorHAnsi"/>
                <w:sz w:val="22"/>
                <w:szCs w:val="22"/>
                <w:lang w:val="fr-FR" w:eastAsia="en-GB"/>
              </w:rPr>
              <w:t>.</w:t>
            </w:r>
          </w:p>
          <w:p w14:paraId="274E6995" w14:textId="77777777" w:rsidR="00C438B9" w:rsidRDefault="00C438B9" w:rsidP="00CE6111">
            <w:pPr>
              <w:spacing w:line="240" w:lineRule="auto"/>
              <w:jc w:val="both"/>
              <w:rPr>
                <w:rFonts w:asciiTheme="minorHAnsi" w:hAnsiTheme="minorHAnsi" w:cstheme="minorHAnsi"/>
                <w:sz w:val="22"/>
                <w:szCs w:val="22"/>
                <w:lang w:val="fr-FR" w:eastAsia="en-GB"/>
              </w:rPr>
            </w:pPr>
          </w:p>
          <w:p w14:paraId="719F14D2" w14:textId="726DCCF5" w:rsidR="00752A58" w:rsidRDefault="00AE7B61" w:rsidP="00443A69">
            <w:pPr>
              <w:spacing w:line="240" w:lineRule="auto"/>
              <w:jc w:val="both"/>
              <w:rPr>
                <w:rFonts w:asciiTheme="minorHAnsi" w:hAnsiTheme="minorHAnsi" w:cstheme="minorHAnsi"/>
                <w:sz w:val="22"/>
                <w:szCs w:val="22"/>
                <w:lang w:val="fr-FR" w:eastAsia="en-GB"/>
              </w:rPr>
            </w:pPr>
            <w:r w:rsidRPr="00D87745">
              <w:rPr>
                <w:rFonts w:asciiTheme="minorHAnsi" w:hAnsiTheme="minorHAnsi" w:cstheme="minorHAnsi"/>
                <w:sz w:val="22"/>
                <w:szCs w:val="22"/>
                <w:lang w:val="fr-FR" w:eastAsia="en-GB"/>
              </w:rPr>
              <w:t xml:space="preserve">Dans ce contexte, </w:t>
            </w:r>
            <w:r w:rsidR="00D40DCD">
              <w:rPr>
                <w:rFonts w:asciiTheme="minorHAnsi" w:hAnsiTheme="minorHAnsi" w:cstheme="minorHAnsi"/>
                <w:sz w:val="22"/>
                <w:szCs w:val="22"/>
                <w:lang w:val="fr-FR" w:eastAsia="en-GB"/>
              </w:rPr>
              <w:t xml:space="preserve">le système des Nations Unies en Tunisie </w:t>
            </w:r>
            <w:r w:rsidR="00384547">
              <w:rPr>
                <w:rFonts w:asciiTheme="minorHAnsi" w:hAnsiTheme="minorHAnsi" w:cstheme="minorHAnsi"/>
                <w:sz w:val="22"/>
                <w:szCs w:val="22"/>
                <w:lang w:val="fr-FR" w:eastAsia="en-GB"/>
              </w:rPr>
              <w:t>appuie, à</w:t>
            </w:r>
            <w:r w:rsidR="00CD4BC5">
              <w:rPr>
                <w:rFonts w:asciiTheme="minorHAnsi" w:hAnsiTheme="minorHAnsi" w:cstheme="minorHAnsi"/>
                <w:sz w:val="22"/>
                <w:szCs w:val="22"/>
                <w:lang w:val="fr-FR" w:eastAsia="en-GB"/>
              </w:rPr>
              <w:t xml:space="preserve"> travers l’effet</w:t>
            </w:r>
            <w:r w:rsidR="00CD4BC5" w:rsidRPr="00B55CE8">
              <w:rPr>
                <w:rFonts w:asciiTheme="minorHAnsi" w:hAnsiTheme="minorHAnsi" w:cstheme="minorHAnsi"/>
                <w:sz w:val="22"/>
                <w:szCs w:val="22"/>
                <w:lang w:val="fr-FR" w:eastAsia="en-GB"/>
              </w:rPr>
              <w:t xml:space="preserve"> 3 </w:t>
            </w:r>
            <w:r w:rsidR="00CD4BC5">
              <w:rPr>
                <w:rFonts w:asciiTheme="minorHAnsi" w:hAnsiTheme="minorHAnsi" w:cstheme="minorHAnsi"/>
                <w:sz w:val="22"/>
                <w:szCs w:val="22"/>
                <w:lang w:val="fr-FR" w:eastAsia="en-GB"/>
              </w:rPr>
              <w:t xml:space="preserve">de l’UNSDCF, </w:t>
            </w:r>
            <w:r w:rsidR="00D40DCD">
              <w:rPr>
                <w:rFonts w:asciiTheme="minorHAnsi" w:hAnsiTheme="minorHAnsi" w:cstheme="minorHAnsi"/>
                <w:sz w:val="22"/>
                <w:szCs w:val="22"/>
                <w:lang w:val="fr-FR" w:eastAsia="en-GB"/>
              </w:rPr>
              <w:t>le gouvernement</w:t>
            </w:r>
            <w:r w:rsidR="00B55CE8" w:rsidRPr="00D87745">
              <w:rPr>
                <w:lang w:val="fr-FR"/>
              </w:rPr>
              <w:t xml:space="preserve"> </w:t>
            </w:r>
            <w:r w:rsidR="00DF14E1">
              <w:rPr>
                <w:lang w:val="fr-FR"/>
              </w:rPr>
              <w:t xml:space="preserve">à </w:t>
            </w:r>
            <w:r w:rsidR="00DF14E1" w:rsidRPr="00D87745">
              <w:rPr>
                <w:rFonts w:asciiTheme="minorHAnsi" w:hAnsiTheme="minorHAnsi" w:cstheme="minorHAnsi"/>
                <w:sz w:val="22"/>
                <w:szCs w:val="22"/>
                <w:lang w:val="fr-FR" w:eastAsia="en-GB"/>
              </w:rPr>
              <w:t>renforcer</w:t>
            </w:r>
            <w:r w:rsidR="00DF14E1">
              <w:rPr>
                <w:rFonts w:asciiTheme="minorHAnsi" w:hAnsiTheme="minorHAnsi" w:cstheme="minorHAnsi"/>
                <w:sz w:val="22"/>
                <w:szCs w:val="22"/>
                <w:lang w:val="fr-FR" w:eastAsia="en-GB"/>
              </w:rPr>
              <w:t xml:space="preserve"> le système de protection</w:t>
            </w:r>
            <w:r w:rsidR="005E74E7">
              <w:rPr>
                <w:rFonts w:asciiTheme="minorHAnsi" w:hAnsiTheme="minorHAnsi" w:cstheme="minorHAnsi"/>
                <w:sz w:val="22"/>
                <w:szCs w:val="22"/>
                <w:lang w:val="fr-FR" w:eastAsia="en-GB"/>
              </w:rPr>
              <w:t xml:space="preserve"> sociale afin</w:t>
            </w:r>
            <w:r w:rsidR="00CD3A3D">
              <w:rPr>
                <w:rFonts w:asciiTheme="minorHAnsi" w:hAnsiTheme="minorHAnsi" w:cstheme="minorHAnsi"/>
                <w:sz w:val="22"/>
                <w:szCs w:val="22"/>
                <w:lang w:val="fr-FR" w:eastAsia="en-GB"/>
              </w:rPr>
              <w:t xml:space="preserve"> </w:t>
            </w:r>
            <w:r w:rsidR="006A6E80">
              <w:rPr>
                <w:rFonts w:asciiTheme="minorHAnsi" w:hAnsiTheme="minorHAnsi" w:cstheme="minorHAnsi"/>
                <w:sz w:val="22"/>
                <w:szCs w:val="22"/>
                <w:lang w:val="fr-FR" w:eastAsia="en-GB"/>
              </w:rPr>
              <w:t>qu’</w:t>
            </w:r>
            <w:r w:rsidR="00C61CEC">
              <w:rPr>
                <w:rFonts w:asciiTheme="minorHAnsi" w:hAnsiTheme="minorHAnsi" w:cstheme="minorHAnsi"/>
                <w:sz w:val="22"/>
                <w:szCs w:val="22"/>
                <w:lang w:val="fr-FR" w:eastAsia="en-GB"/>
              </w:rPr>
              <w:t>e</w:t>
            </w:r>
            <w:r w:rsidR="00B55CE8" w:rsidRPr="00B55CE8">
              <w:rPr>
                <w:rFonts w:asciiTheme="minorHAnsi" w:hAnsiTheme="minorHAnsi" w:cstheme="minorHAnsi"/>
                <w:sz w:val="22"/>
                <w:szCs w:val="22"/>
                <w:lang w:val="fr-FR" w:eastAsia="en-GB"/>
              </w:rPr>
              <w:t>n 2025, les systèmes de santé, d’éducation et de protection sociale so</w:t>
            </w:r>
            <w:r w:rsidR="00CD3A3D">
              <w:rPr>
                <w:rFonts w:asciiTheme="minorHAnsi" w:hAnsiTheme="minorHAnsi" w:cstheme="minorHAnsi"/>
                <w:sz w:val="22"/>
                <w:szCs w:val="22"/>
                <w:lang w:val="fr-FR" w:eastAsia="en-GB"/>
              </w:rPr>
              <w:t>ie</w:t>
            </w:r>
            <w:r w:rsidR="00B55CE8" w:rsidRPr="00B55CE8">
              <w:rPr>
                <w:rFonts w:asciiTheme="minorHAnsi" w:hAnsiTheme="minorHAnsi" w:cstheme="minorHAnsi"/>
                <w:sz w:val="22"/>
                <w:szCs w:val="22"/>
                <w:lang w:val="fr-FR" w:eastAsia="en-GB"/>
              </w:rPr>
              <w:t>nt résilients et assurent un accès équitable et des services de qualité, particulièrement pour les plus vulnérables, et un engagement effectif de la population.</w:t>
            </w:r>
            <w:r w:rsidR="00D40DCD">
              <w:rPr>
                <w:rFonts w:asciiTheme="minorHAnsi" w:hAnsiTheme="minorHAnsi" w:cstheme="minorHAnsi"/>
                <w:sz w:val="22"/>
                <w:szCs w:val="22"/>
                <w:lang w:val="fr-FR" w:eastAsia="en-GB"/>
              </w:rPr>
              <w:t xml:space="preserve"> </w:t>
            </w:r>
          </w:p>
          <w:p w14:paraId="228F25F6" w14:textId="77777777" w:rsidR="00BC029E" w:rsidRDefault="00BC029E" w:rsidP="00443A69">
            <w:pPr>
              <w:spacing w:line="240" w:lineRule="auto"/>
              <w:jc w:val="both"/>
              <w:rPr>
                <w:rFonts w:asciiTheme="minorHAnsi" w:hAnsiTheme="minorHAnsi" w:cstheme="minorHAnsi"/>
                <w:sz w:val="22"/>
                <w:szCs w:val="22"/>
                <w:lang w:val="fr-FR" w:eastAsia="en-GB"/>
              </w:rPr>
            </w:pPr>
          </w:p>
          <w:p w14:paraId="42CBF8CA" w14:textId="6779CCCB" w:rsidR="00C438B9" w:rsidRDefault="00C414D6" w:rsidP="00443A69">
            <w:pPr>
              <w:spacing w:line="240" w:lineRule="auto"/>
              <w:jc w:val="both"/>
              <w:rPr>
                <w:rFonts w:asciiTheme="minorHAnsi" w:hAnsiTheme="minorHAnsi" w:cstheme="minorHAnsi"/>
                <w:sz w:val="22"/>
                <w:szCs w:val="22"/>
                <w:lang w:val="fr-FR" w:eastAsia="en-GB"/>
              </w:rPr>
            </w:pPr>
            <w:r w:rsidRPr="00C414D6">
              <w:rPr>
                <w:rFonts w:asciiTheme="minorHAnsi" w:hAnsiTheme="minorHAnsi" w:cstheme="minorHAnsi"/>
                <w:sz w:val="22"/>
                <w:szCs w:val="22"/>
                <w:lang w:val="fr-FR" w:eastAsia="en-GB"/>
              </w:rPr>
              <w:t>L’UNICEF</w:t>
            </w:r>
            <w:r w:rsidR="00752A58">
              <w:rPr>
                <w:rFonts w:asciiTheme="minorHAnsi" w:hAnsiTheme="minorHAnsi" w:cstheme="minorHAnsi"/>
                <w:sz w:val="22"/>
                <w:szCs w:val="22"/>
                <w:lang w:val="fr-FR" w:eastAsia="en-GB"/>
              </w:rPr>
              <w:t xml:space="preserve">, agence lead </w:t>
            </w:r>
            <w:r w:rsidR="00C61CEC">
              <w:rPr>
                <w:rFonts w:asciiTheme="minorHAnsi" w:hAnsiTheme="minorHAnsi" w:cstheme="minorHAnsi"/>
                <w:sz w:val="22"/>
                <w:szCs w:val="22"/>
                <w:lang w:val="fr-FR" w:eastAsia="en-GB"/>
              </w:rPr>
              <w:t xml:space="preserve">de </w:t>
            </w:r>
            <w:r w:rsidR="00752A58">
              <w:rPr>
                <w:rFonts w:asciiTheme="minorHAnsi" w:hAnsiTheme="minorHAnsi" w:cstheme="minorHAnsi"/>
                <w:sz w:val="22"/>
                <w:szCs w:val="22"/>
                <w:lang w:val="fr-FR" w:eastAsia="en-GB"/>
              </w:rPr>
              <w:t>l’effet 3 de l’UNSDCF</w:t>
            </w:r>
            <w:r w:rsidR="00AE7B61" w:rsidRPr="00397355">
              <w:rPr>
                <w:rFonts w:asciiTheme="minorHAnsi" w:hAnsiTheme="minorHAnsi" w:cstheme="minorHAnsi"/>
                <w:sz w:val="22"/>
                <w:szCs w:val="22"/>
                <w:lang w:val="fr-FR" w:eastAsia="en-GB"/>
              </w:rPr>
              <w:t xml:space="preserve"> et le ministère des affaires</w:t>
            </w:r>
            <w:r w:rsidR="00CD3A3D">
              <w:rPr>
                <w:rFonts w:asciiTheme="minorHAnsi" w:hAnsiTheme="minorHAnsi" w:cstheme="minorHAnsi"/>
                <w:sz w:val="22"/>
                <w:szCs w:val="22"/>
                <w:lang w:val="fr-FR" w:eastAsia="en-GB"/>
              </w:rPr>
              <w:t xml:space="preserve"> sociales</w:t>
            </w:r>
            <w:r w:rsidR="00AE7B61" w:rsidRPr="00397355">
              <w:rPr>
                <w:rFonts w:asciiTheme="minorHAnsi" w:hAnsiTheme="minorHAnsi" w:cstheme="minorHAnsi"/>
                <w:sz w:val="22"/>
                <w:szCs w:val="22"/>
                <w:lang w:val="fr-FR" w:eastAsia="en-GB"/>
              </w:rPr>
              <w:t xml:space="preserve"> ont convenu dans le</w:t>
            </w:r>
            <w:r w:rsidR="00CD3A3D">
              <w:rPr>
                <w:rFonts w:asciiTheme="minorHAnsi" w:hAnsiTheme="minorHAnsi" w:cstheme="minorHAnsi"/>
                <w:sz w:val="22"/>
                <w:szCs w:val="22"/>
                <w:lang w:val="fr-FR" w:eastAsia="en-GB"/>
              </w:rPr>
              <w:t>ur</w:t>
            </w:r>
            <w:r w:rsidR="00AE7B61" w:rsidRPr="00397355">
              <w:rPr>
                <w:rFonts w:asciiTheme="minorHAnsi" w:hAnsiTheme="minorHAnsi" w:cstheme="minorHAnsi"/>
                <w:sz w:val="22"/>
                <w:szCs w:val="22"/>
                <w:lang w:val="fr-FR" w:eastAsia="en-GB"/>
              </w:rPr>
              <w:t xml:space="preserve"> </w:t>
            </w:r>
            <w:r w:rsidR="00CD3A3D">
              <w:rPr>
                <w:rFonts w:asciiTheme="minorHAnsi" w:hAnsiTheme="minorHAnsi" w:cstheme="minorHAnsi"/>
                <w:sz w:val="22"/>
                <w:szCs w:val="22"/>
                <w:lang w:val="fr-FR" w:eastAsia="en-GB"/>
              </w:rPr>
              <w:t>p</w:t>
            </w:r>
            <w:r w:rsidR="00AE7B61" w:rsidRPr="00397355">
              <w:rPr>
                <w:rFonts w:asciiTheme="minorHAnsi" w:hAnsiTheme="minorHAnsi" w:cstheme="minorHAnsi"/>
                <w:sz w:val="22"/>
                <w:szCs w:val="22"/>
                <w:lang w:val="fr-FR" w:eastAsia="en-GB"/>
              </w:rPr>
              <w:t xml:space="preserve">lan de </w:t>
            </w:r>
            <w:r w:rsidR="00CD3A3D">
              <w:rPr>
                <w:rFonts w:asciiTheme="minorHAnsi" w:hAnsiTheme="minorHAnsi" w:cstheme="minorHAnsi"/>
                <w:sz w:val="22"/>
                <w:szCs w:val="22"/>
                <w:lang w:val="fr-FR" w:eastAsia="en-GB"/>
              </w:rPr>
              <w:t>t</w:t>
            </w:r>
            <w:r w:rsidR="00AE7B61" w:rsidRPr="00397355">
              <w:rPr>
                <w:rFonts w:asciiTheme="minorHAnsi" w:hAnsiTheme="minorHAnsi" w:cstheme="minorHAnsi"/>
                <w:sz w:val="22"/>
                <w:szCs w:val="22"/>
                <w:lang w:val="fr-FR" w:eastAsia="en-GB"/>
              </w:rPr>
              <w:t xml:space="preserve">ravail </w:t>
            </w:r>
            <w:r w:rsidR="00CD3A3D">
              <w:rPr>
                <w:rFonts w:asciiTheme="minorHAnsi" w:hAnsiTheme="minorHAnsi" w:cstheme="minorHAnsi"/>
                <w:sz w:val="22"/>
                <w:szCs w:val="22"/>
                <w:lang w:val="fr-FR" w:eastAsia="en-GB"/>
              </w:rPr>
              <w:t>a</w:t>
            </w:r>
            <w:r w:rsidR="00AE7B61" w:rsidRPr="00397355">
              <w:rPr>
                <w:rFonts w:asciiTheme="minorHAnsi" w:hAnsiTheme="minorHAnsi" w:cstheme="minorHAnsi"/>
                <w:sz w:val="22"/>
                <w:szCs w:val="22"/>
                <w:lang w:val="fr-FR" w:eastAsia="en-GB"/>
              </w:rPr>
              <w:t xml:space="preserve">nnuel </w:t>
            </w:r>
            <w:r w:rsidR="00752A58">
              <w:rPr>
                <w:rFonts w:asciiTheme="minorHAnsi" w:hAnsiTheme="minorHAnsi" w:cstheme="minorHAnsi"/>
                <w:sz w:val="22"/>
                <w:szCs w:val="22"/>
                <w:lang w:val="fr-FR" w:eastAsia="en-GB"/>
              </w:rPr>
              <w:t xml:space="preserve">2024-2025 </w:t>
            </w:r>
            <w:r w:rsidR="00141DBF" w:rsidRPr="00397355">
              <w:rPr>
                <w:rFonts w:asciiTheme="minorHAnsi" w:hAnsiTheme="minorHAnsi" w:cstheme="minorHAnsi"/>
                <w:sz w:val="22"/>
                <w:szCs w:val="22"/>
                <w:lang w:val="fr-FR" w:eastAsia="en-GB"/>
              </w:rPr>
              <w:t xml:space="preserve">de conduire une étude visant à </w:t>
            </w:r>
            <w:r w:rsidR="005E74E7">
              <w:rPr>
                <w:rFonts w:asciiTheme="minorHAnsi" w:hAnsiTheme="minorHAnsi" w:cstheme="minorHAnsi"/>
                <w:sz w:val="22"/>
                <w:szCs w:val="22"/>
                <w:lang w:val="fr-FR" w:eastAsia="en-GB"/>
              </w:rPr>
              <w:t>élaborer une</w:t>
            </w:r>
            <w:r w:rsidR="00CD3A3D">
              <w:rPr>
                <w:rFonts w:asciiTheme="minorHAnsi" w:hAnsiTheme="minorHAnsi" w:cstheme="minorHAnsi"/>
                <w:sz w:val="22"/>
                <w:szCs w:val="22"/>
                <w:lang w:val="fr-FR" w:eastAsia="en-GB"/>
              </w:rPr>
              <w:t xml:space="preserve"> </w:t>
            </w:r>
            <w:r w:rsidR="00777173" w:rsidRPr="00397355">
              <w:rPr>
                <w:rFonts w:asciiTheme="minorHAnsi" w:hAnsiTheme="minorHAnsi" w:cstheme="minorHAnsi"/>
                <w:sz w:val="22"/>
                <w:szCs w:val="22"/>
                <w:lang w:val="fr-FR" w:eastAsia="en-GB"/>
              </w:rPr>
              <w:t>analyse de la branche contributive des allocations famili</w:t>
            </w:r>
            <w:r w:rsidR="0052155F" w:rsidRPr="00397355">
              <w:rPr>
                <w:rFonts w:asciiTheme="minorHAnsi" w:hAnsiTheme="minorHAnsi" w:cstheme="minorHAnsi"/>
                <w:sz w:val="22"/>
                <w:szCs w:val="22"/>
                <w:lang w:val="fr-FR" w:eastAsia="en-GB"/>
              </w:rPr>
              <w:t>ales</w:t>
            </w:r>
            <w:r w:rsidR="003529CD" w:rsidRPr="00397355">
              <w:rPr>
                <w:rFonts w:asciiTheme="minorHAnsi" w:hAnsiTheme="minorHAnsi" w:cstheme="minorHAnsi"/>
                <w:sz w:val="22"/>
                <w:szCs w:val="22"/>
                <w:lang w:val="fr-FR" w:eastAsia="en-GB"/>
              </w:rPr>
              <w:t xml:space="preserve"> </w:t>
            </w:r>
            <w:r w:rsidR="003168A6">
              <w:rPr>
                <w:rFonts w:asciiTheme="minorHAnsi" w:hAnsiTheme="minorHAnsi" w:cstheme="minorHAnsi"/>
                <w:sz w:val="22"/>
                <w:szCs w:val="22"/>
                <w:lang w:val="fr-FR" w:eastAsia="en-GB"/>
              </w:rPr>
              <w:t>(</w:t>
            </w:r>
            <w:r w:rsidR="003529CD" w:rsidRPr="00397355">
              <w:rPr>
                <w:rFonts w:asciiTheme="minorHAnsi" w:hAnsiTheme="minorHAnsi" w:cstheme="minorHAnsi"/>
                <w:sz w:val="22"/>
                <w:szCs w:val="22"/>
                <w:lang w:val="fr-FR" w:eastAsia="en-GB"/>
              </w:rPr>
              <w:t>CNSS et CNRPS)</w:t>
            </w:r>
            <w:r w:rsidR="00AE557D" w:rsidRPr="00397355">
              <w:rPr>
                <w:rFonts w:asciiTheme="minorHAnsi" w:hAnsiTheme="minorHAnsi" w:cstheme="minorHAnsi"/>
                <w:sz w:val="22"/>
                <w:szCs w:val="22"/>
                <w:lang w:val="fr-FR" w:eastAsia="en-GB"/>
              </w:rPr>
              <w:t xml:space="preserve"> et la </w:t>
            </w:r>
            <w:r w:rsidR="0069414D">
              <w:rPr>
                <w:rFonts w:asciiTheme="minorHAnsi" w:hAnsiTheme="minorHAnsi" w:cstheme="minorHAnsi"/>
                <w:sz w:val="22"/>
                <w:szCs w:val="22"/>
                <w:lang w:val="fr-FR" w:eastAsia="en-GB"/>
              </w:rPr>
              <w:t xml:space="preserve">pertinence </w:t>
            </w:r>
            <w:r w:rsidR="007F7B53">
              <w:rPr>
                <w:rFonts w:asciiTheme="minorHAnsi" w:hAnsiTheme="minorHAnsi" w:cstheme="minorHAnsi"/>
                <w:sz w:val="22"/>
                <w:szCs w:val="22"/>
                <w:lang w:val="fr-FR" w:eastAsia="en-GB"/>
              </w:rPr>
              <w:t xml:space="preserve">de </w:t>
            </w:r>
            <w:r w:rsidR="007F7B53" w:rsidRPr="00397355">
              <w:rPr>
                <w:rFonts w:asciiTheme="minorHAnsi" w:hAnsiTheme="minorHAnsi" w:cstheme="minorHAnsi"/>
                <w:sz w:val="22"/>
                <w:szCs w:val="22"/>
                <w:lang w:val="fr-FR" w:eastAsia="en-GB"/>
              </w:rPr>
              <w:t>leur</w:t>
            </w:r>
            <w:r w:rsidR="007F7B53">
              <w:rPr>
                <w:rFonts w:asciiTheme="minorHAnsi" w:hAnsiTheme="minorHAnsi" w:cstheme="minorHAnsi"/>
                <w:sz w:val="22"/>
                <w:szCs w:val="22"/>
                <w:lang w:val="fr-FR" w:eastAsia="en-GB"/>
              </w:rPr>
              <w:t xml:space="preserve"> revalorisation pour un</w:t>
            </w:r>
            <w:r w:rsidR="00AE557D" w:rsidRPr="00397355">
              <w:rPr>
                <w:rFonts w:asciiTheme="minorHAnsi" w:hAnsiTheme="minorHAnsi" w:cstheme="minorHAnsi"/>
                <w:sz w:val="22"/>
                <w:szCs w:val="22"/>
                <w:lang w:val="fr-FR" w:eastAsia="en-GB"/>
              </w:rPr>
              <w:t xml:space="preserve"> alignement avec les allocations enfants du programme AMEN Social </w:t>
            </w:r>
            <w:r w:rsidR="00174958">
              <w:rPr>
                <w:rFonts w:asciiTheme="minorHAnsi" w:hAnsiTheme="minorHAnsi" w:cstheme="minorHAnsi"/>
                <w:sz w:val="22"/>
                <w:szCs w:val="22"/>
                <w:lang w:val="fr-FR" w:eastAsia="en-GB"/>
              </w:rPr>
              <w:t>(</w:t>
            </w:r>
            <w:r w:rsidR="00174958" w:rsidRPr="00174958">
              <w:rPr>
                <w:rFonts w:asciiTheme="minorHAnsi" w:hAnsiTheme="minorHAnsi" w:cstheme="minorHAnsi"/>
                <w:sz w:val="22"/>
                <w:szCs w:val="22"/>
                <w:lang w:val="fr-FR" w:eastAsia="en-GB"/>
              </w:rPr>
              <w:t>activité</w:t>
            </w:r>
            <w:r w:rsidR="00AE557D" w:rsidRPr="00397355">
              <w:rPr>
                <w:rFonts w:asciiTheme="minorHAnsi" w:hAnsiTheme="minorHAnsi" w:cstheme="minorHAnsi"/>
                <w:sz w:val="22"/>
                <w:szCs w:val="22"/>
                <w:lang w:val="fr-FR" w:eastAsia="en-GB"/>
              </w:rPr>
              <w:t xml:space="preserve"> 1.</w:t>
            </w:r>
            <w:r w:rsidR="003168A6" w:rsidRPr="00397355">
              <w:rPr>
                <w:rFonts w:asciiTheme="minorHAnsi" w:hAnsiTheme="minorHAnsi" w:cstheme="minorHAnsi"/>
                <w:sz w:val="22"/>
                <w:szCs w:val="22"/>
                <w:lang w:val="fr-FR" w:eastAsia="en-GB"/>
              </w:rPr>
              <w:t>2.1.5 du</w:t>
            </w:r>
            <w:r w:rsidR="003168A6" w:rsidRPr="003168A6">
              <w:rPr>
                <w:rFonts w:asciiTheme="minorHAnsi" w:hAnsiTheme="minorHAnsi" w:cstheme="minorHAnsi"/>
                <w:sz w:val="22"/>
                <w:szCs w:val="22"/>
                <w:lang w:val="fr-FR" w:eastAsia="en-GB"/>
              </w:rPr>
              <w:t xml:space="preserve"> </w:t>
            </w:r>
            <w:r w:rsidR="00233D53" w:rsidRPr="003168A6">
              <w:rPr>
                <w:rFonts w:asciiTheme="minorHAnsi" w:hAnsiTheme="minorHAnsi" w:cstheme="minorHAnsi"/>
                <w:sz w:val="22"/>
                <w:szCs w:val="22"/>
                <w:lang w:val="fr-FR" w:eastAsia="en-GB"/>
              </w:rPr>
              <w:t>PTA</w:t>
            </w:r>
            <w:r w:rsidR="003168A6" w:rsidRPr="003168A6">
              <w:rPr>
                <w:rFonts w:asciiTheme="minorHAnsi" w:hAnsiTheme="minorHAnsi" w:cstheme="minorHAnsi"/>
                <w:sz w:val="22"/>
                <w:szCs w:val="22"/>
                <w:lang w:val="fr-FR" w:eastAsia="en-GB"/>
              </w:rPr>
              <w:t xml:space="preserve"> 2024-2025).</w:t>
            </w:r>
          </w:p>
          <w:p w14:paraId="5E31014A" w14:textId="77777777" w:rsidR="00BC029E" w:rsidRPr="00A53FDD" w:rsidRDefault="00BC029E" w:rsidP="00443A69">
            <w:pPr>
              <w:spacing w:line="240" w:lineRule="auto"/>
              <w:jc w:val="both"/>
              <w:rPr>
                <w:rFonts w:asciiTheme="minorHAnsi" w:hAnsiTheme="minorHAnsi" w:cstheme="minorHAnsi"/>
                <w:sz w:val="22"/>
                <w:szCs w:val="22"/>
                <w:lang w:val="fr-FR"/>
              </w:rPr>
            </w:pPr>
          </w:p>
          <w:p w14:paraId="53AB4C4C" w14:textId="09217AF6" w:rsidR="00A53FDD" w:rsidRPr="00DC4B97" w:rsidRDefault="00A53FDD" w:rsidP="00443A69">
            <w:pPr>
              <w:pStyle w:val="ListParagraph"/>
              <w:numPr>
                <w:ilvl w:val="0"/>
                <w:numId w:val="4"/>
              </w:numPr>
              <w:spacing w:after="240" w:line="240" w:lineRule="auto"/>
              <w:jc w:val="both"/>
              <w:rPr>
                <w:rFonts w:asciiTheme="minorHAnsi" w:hAnsiTheme="minorHAnsi" w:cstheme="minorHAnsi"/>
                <w:b/>
                <w:bCs/>
                <w:color w:val="4472C4" w:themeColor="accent5"/>
                <w:sz w:val="22"/>
                <w:szCs w:val="22"/>
                <w:lang w:val="fr-FR" w:eastAsia="en-GB"/>
              </w:rPr>
            </w:pPr>
            <w:r w:rsidRPr="00DC4B97">
              <w:rPr>
                <w:rFonts w:asciiTheme="minorHAnsi" w:hAnsiTheme="minorHAnsi" w:cstheme="minorHAnsi"/>
                <w:b/>
                <w:bCs/>
                <w:color w:val="4472C4" w:themeColor="accent5"/>
                <w:sz w:val="22"/>
                <w:szCs w:val="22"/>
                <w:lang w:val="fr-FR" w:eastAsia="en-GB"/>
              </w:rPr>
              <w:t>Le système de protection sociale en Tunisie</w:t>
            </w:r>
          </w:p>
          <w:p w14:paraId="0A19AE9D" w14:textId="77777777" w:rsidR="00A53FDD" w:rsidRPr="00A53FDD" w:rsidRDefault="00A53FDD" w:rsidP="00443A69">
            <w:pPr>
              <w:pStyle w:val="ListParagraph"/>
              <w:spacing w:line="240" w:lineRule="auto"/>
              <w:ind w:left="1080"/>
              <w:jc w:val="both"/>
              <w:rPr>
                <w:rFonts w:asciiTheme="minorHAnsi" w:hAnsiTheme="minorHAnsi" w:cstheme="minorHAnsi"/>
                <w:b/>
                <w:bCs/>
                <w:sz w:val="22"/>
                <w:szCs w:val="22"/>
                <w:lang w:val="fr-FR" w:eastAsia="en-GB"/>
              </w:rPr>
            </w:pPr>
          </w:p>
          <w:p w14:paraId="6D9AEAC1" w14:textId="5ECF95C1" w:rsidR="00A53FDD" w:rsidRDefault="00216452" w:rsidP="00443A69">
            <w:pPr>
              <w:spacing w:line="240" w:lineRule="auto"/>
              <w:jc w:val="both"/>
              <w:rPr>
                <w:rFonts w:asciiTheme="minorHAnsi" w:hAnsiTheme="minorHAnsi" w:cstheme="minorBidi"/>
                <w:sz w:val="22"/>
                <w:szCs w:val="22"/>
                <w:lang w:val="fr-FR" w:eastAsia="en-GB"/>
              </w:rPr>
            </w:pPr>
            <w:r w:rsidRPr="3FBE0CDE">
              <w:rPr>
                <w:rFonts w:asciiTheme="minorHAnsi" w:hAnsiTheme="minorHAnsi" w:cstheme="minorBidi"/>
                <w:sz w:val="22"/>
                <w:szCs w:val="22"/>
                <w:lang w:val="fr-FR" w:eastAsia="en-GB"/>
              </w:rPr>
              <w:t xml:space="preserve">Le système de protection sociale tunisien est l'un des plus complets de la région MENA. Il comprend des prestations contributives et non contributives, ainsi que des politiques </w:t>
            </w:r>
            <w:r w:rsidR="00891C78" w:rsidRPr="3FBE0CDE">
              <w:rPr>
                <w:rFonts w:asciiTheme="minorHAnsi" w:hAnsiTheme="minorHAnsi" w:cstheme="minorBidi"/>
                <w:sz w:val="22"/>
                <w:szCs w:val="22"/>
                <w:lang w:val="fr-FR" w:eastAsia="en-GB"/>
              </w:rPr>
              <w:t xml:space="preserve">sociales </w:t>
            </w:r>
            <w:r w:rsidRPr="3FBE0CDE">
              <w:rPr>
                <w:rFonts w:asciiTheme="minorHAnsi" w:hAnsiTheme="minorHAnsi" w:cstheme="minorBidi"/>
                <w:sz w:val="22"/>
                <w:szCs w:val="22"/>
                <w:lang w:val="fr-FR" w:eastAsia="en-GB"/>
              </w:rPr>
              <w:t xml:space="preserve">étroitement liées au marché du travail, ainsi que des subventions alimentaires et énergétiques universelles. Cependant, le système de protection sociale n'a pas encore eu la forte orientation en faveur des enfants qu'il devrait avoir, malgré des </w:t>
            </w:r>
            <w:r w:rsidR="00891C78" w:rsidRPr="3FBE0CDE">
              <w:rPr>
                <w:rFonts w:asciiTheme="minorHAnsi" w:hAnsiTheme="minorHAnsi" w:cstheme="minorBidi"/>
                <w:sz w:val="22"/>
                <w:szCs w:val="22"/>
                <w:lang w:val="fr-FR" w:eastAsia="en-GB"/>
              </w:rPr>
              <w:t>évidences</w:t>
            </w:r>
            <w:r w:rsidRPr="3FBE0CDE">
              <w:rPr>
                <w:rFonts w:asciiTheme="minorHAnsi" w:hAnsiTheme="minorHAnsi" w:cstheme="minorBidi"/>
                <w:sz w:val="22"/>
                <w:szCs w:val="22"/>
                <w:lang w:val="fr-FR" w:eastAsia="en-GB"/>
              </w:rPr>
              <w:t xml:space="preserve"> alarmantes des dommages causés au bien-être des enfants lorsqu</w:t>
            </w:r>
            <w:r w:rsidR="000F7077">
              <w:rPr>
                <w:rFonts w:asciiTheme="minorHAnsi" w:hAnsiTheme="minorHAnsi" w:cstheme="minorBidi"/>
                <w:sz w:val="22"/>
                <w:szCs w:val="22"/>
                <w:lang w:val="fr-FR" w:eastAsia="en-GB"/>
              </w:rPr>
              <w:t xml:space="preserve">e </w:t>
            </w:r>
            <w:r w:rsidR="007F7B53">
              <w:rPr>
                <w:rFonts w:asciiTheme="minorHAnsi" w:hAnsiTheme="minorHAnsi" w:cstheme="minorBidi"/>
                <w:sz w:val="22"/>
                <w:szCs w:val="22"/>
                <w:lang w:val="fr-FR" w:eastAsia="en-GB"/>
              </w:rPr>
              <w:t>le système</w:t>
            </w:r>
            <w:r w:rsidR="000F7077">
              <w:rPr>
                <w:rFonts w:asciiTheme="minorHAnsi" w:hAnsiTheme="minorHAnsi" w:cstheme="minorBidi"/>
                <w:sz w:val="22"/>
                <w:szCs w:val="22"/>
                <w:lang w:val="fr-FR" w:eastAsia="en-GB"/>
              </w:rPr>
              <w:t xml:space="preserve"> de protection sociale</w:t>
            </w:r>
            <w:r w:rsidR="00CF49EF">
              <w:rPr>
                <w:rFonts w:asciiTheme="minorHAnsi" w:hAnsiTheme="minorHAnsi" w:cstheme="minorBidi"/>
                <w:sz w:val="22"/>
                <w:szCs w:val="22"/>
                <w:lang w:val="fr-FR" w:eastAsia="en-GB"/>
              </w:rPr>
              <w:t xml:space="preserve"> </w:t>
            </w:r>
            <w:r w:rsidRPr="3FBE0CDE">
              <w:rPr>
                <w:rFonts w:asciiTheme="minorHAnsi" w:hAnsiTheme="minorHAnsi" w:cstheme="minorBidi"/>
                <w:sz w:val="22"/>
                <w:szCs w:val="22"/>
                <w:lang w:val="fr-FR" w:eastAsia="en-GB"/>
              </w:rPr>
              <w:t xml:space="preserve">est absent ou inadéquat. Trop d'enfants </w:t>
            </w:r>
            <w:r w:rsidR="00A079A3" w:rsidRPr="3FBE0CDE">
              <w:rPr>
                <w:rFonts w:asciiTheme="minorHAnsi" w:hAnsiTheme="minorHAnsi" w:cstheme="minorBidi"/>
                <w:sz w:val="22"/>
                <w:szCs w:val="22"/>
                <w:lang w:val="fr-FR" w:eastAsia="en-GB"/>
              </w:rPr>
              <w:t>s</w:t>
            </w:r>
            <w:r w:rsidRPr="3FBE0CDE">
              <w:rPr>
                <w:rFonts w:asciiTheme="minorHAnsi" w:hAnsiTheme="minorHAnsi" w:cstheme="minorBidi"/>
                <w:sz w:val="22"/>
                <w:szCs w:val="22"/>
                <w:lang w:val="fr-FR" w:eastAsia="en-GB"/>
              </w:rPr>
              <w:t xml:space="preserve">ont </w:t>
            </w:r>
            <w:r w:rsidR="00A079A3" w:rsidRPr="3FBE0CDE">
              <w:rPr>
                <w:rFonts w:asciiTheme="minorHAnsi" w:hAnsiTheme="minorHAnsi" w:cstheme="minorBidi"/>
                <w:sz w:val="22"/>
                <w:szCs w:val="22"/>
                <w:lang w:val="fr-FR" w:eastAsia="en-GB"/>
              </w:rPr>
              <w:t>encore</w:t>
            </w:r>
            <w:r w:rsidRPr="3FBE0CDE">
              <w:rPr>
                <w:rFonts w:asciiTheme="minorHAnsi" w:hAnsiTheme="minorHAnsi" w:cstheme="minorBidi"/>
                <w:sz w:val="22"/>
                <w:szCs w:val="22"/>
                <w:lang w:val="fr-FR" w:eastAsia="en-GB"/>
              </w:rPr>
              <w:t xml:space="preserve"> exclus des allocations familiales contributives et non contributives.</w:t>
            </w:r>
            <w:r w:rsidR="00A079A3" w:rsidRPr="3FBE0CDE">
              <w:rPr>
                <w:rFonts w:asciiTheme="minorHAnsi" w:hAnsiTheme="minorHAnsi" w:cstheme="minorBidi"/>
                <w:sz w:val="22"/>
                <w:szCs w:val="22"/>
                <w:lang w:val="fr-FR" w:eastAsia="en-GB"/>
              </w:rPr>
              <w:t xml:space="preserve"> </w:t>
            </w:r>
            <w:r w:rsidR="00577B7E" w:rsidRPr="00577B7E">
              <w:rPr>
                <w:rFonts w:asciiTheme="minorHAnsi" w:hAnsiTheme="minorHAnsi" w:cstheme="minorBidi"/>
                <w:sz w:val="22"/>
                <w:szCs w:val="22"/>
                <w:lang w:val="fr-FR" w:eastAsia="en-GB"/>
              </w:rPr>
              <w:t xml:space="preserve">Cet état des lieux </w:t>
            </w:r>
            <w:r w:rsidR="00647586">
              <w:rPr>
                <w:rFonts w:asciiTheme="minorHAnsi" w:hAnsiTheme="minorHAnsi" w:cstheme="minorBidi"/>
                <w:sz w:val="22"/>
                <w:szCs w:val="22"/>
                <w:lang w:val="fr-FR" w:eastAsia="en-GB"/>
              </w:rPr>
              <w:t xml:space="preserve">des allocations familiales </w:t>
            </w:r>
            <w:r w:rsidR="00577B7E" w:rsidRPr="00577B7E">
              <w:rPr>
                <w:rFonts w:asciiTheme="minorHAnsi" w:hAnsiTheme="minorHAnsi" w:cstheme="minorBidi"/>
                <w:sz w:val="22"/>
                <w:szCs w:val="22"/>
                <w:lang w:val="fr-FR" w:eastAsia="en-GB"/>
              </w:rPr>
              <w:t>est justifié étant donné que la plupart</w:t>
            </w:r>
            <w:r w:rsidR="00577B7E">
              <w:rPr>
                <w:rFonts w:asciiTheme="minorHAnsi" w:hAnsiTheme="minorHAnsi" w:cstheme="minorBidi"/>
                <w:sz w:val="22"/>
                <w:szCs w:val="22"/>
                <w:lang w:val="fr-FR" w:eastAsia="en-GB"/>
              </w:rPr>
              <w:t xml:space="preserve"> </w:t>
            </w:r>
            <w:r w:rsidR="00A53FDD" w:rsidRPr="3FBE0CDE">
              <w:rPr>
                <w:rFonts w:asciiTheme="minorHAnsi" w:hAnsiTheme="minorHAnsi" w:cstheme="minorBidi"/>
                <w:sz w:val="22"/>
                <w:szCs w:val="22"/>
                <w:lang w:val="fr-FR" w:eastAsia="en-GB"/>
              </w:rPr>
              <w:t xml:space="preserve">des </w:t>
            </w:r>
            <w:r w:rsidR="00702F96" w:rsidRPr="3FBE0CDE">
              <w:rPr>
                <w:rFonts w:asciiTheme="minorHAnsi" w:hAnsiTheme="minorHAnsi" w:cstheme="minorBidi"/>
                <w:sz w:val="22"/>
                <w:szCs w:val="22"/>
                <w:lang w:val="fr-FR" w:eastAsia="en-GB"/>
              </w:rPr>
              <w:t xml:space="preserve">branches </w:t>
            </w:r>
            <w:r w:rsidR="00A53FDD" w:rsidRPr="3FBE0CDE">
              <w:rPr>
                <w:rFonts w:asciiTheme="minorHAnsi" w:hAnsiTheme="minorHAnsi" w:cstheme="minorBidi"/>
                <w:sz w:val="22"/>
                <w:szCs w:val="22"/>
                <w:lang w:val="fr-FR" w:eastAsia="en-GB"/>
              </w:rPr>
              <w:t>décrites par les conventions internationales sur les standards minimum</w:t>
            </w:r>
            <w:r w:rsidR="4E072B04" w:rsidRPr="3FBE0CDE">
              <w:rPr>
                <w:rFonts w:asciiTheme="minorHAnsi" w:hAnsiTheme="minorHAnsi" w:cstheme="minorBidi"/>
                <w:sz w:val="22"/>
                <w:szCs w:val="22"/>
                <w:lang w:val="fr-FR" w:eastAsia="en-GB"/>
              </w:rPr>
              <w:t>s</w:t>
            </w:r>
            <w:r w:rsidR="00A53FDD" w:rsidRPr="3FBE0CDE">
              <w:rPr>
                <w:rFonts w:asciiTheme="minorHAnsi" w:hAnsiTheme="minorHAnsi" w:cstheme="minorBidi"/>
                <w:sz w:val="22"/>
                <w:szCs w:val="22"/>
                <w:lang w:val="fr-FR" w:eastAsia="en-GB"/>
              </w:rPr>
              <w:t xml:space="preserve"> de protection sociale sont couverts</w:t>
            </w:r>
            <w:r w:rsidR="00647586">
              <w:rPr>
                <w:rFonts w:asciiTheme="minorHAnsi" w:hAnsiTheme="minorHAnsi" w:cstheme="minorBidi"/>
                <w:sz w:val="22"/>
                <w:szCs w:val="22"/>
                <w:lang w:val="fr-FR" w:eastAsia="en-GB"/>
              </w:rPr>
              <w:t xml:space="preserve"> en Tunisie</w:t>
            </w:r>
            <w:r w:rsidR="00A53FDD" w:rsidRPr="3FBE0CDE">
              <w:rPr>
                <w:rFonts w:asciiTheme="minorHAnsi" w:hAnsiTheme="minorHAnsi" w:cstheme="minorBidi"/>
                <w:sz w:val="22"/>
                <w:szCs w:val="22"/>
                <w:lang w:val="fr-FR" w:eastAsia="en-GB"/>
              </w:rPr>
              <w:t xml:space="preserve">. La protection sociale en Tunisie est composée de deux </w:t>
            </w:r>
            <w:r w:rsidR="00130F1F" w:rsidRPr="3FBE0CDE">
              <w:rPr>
                <w:rFonts w:asciiTheme="minorHAnsi" w:hAnsiTheme="minorHAnsi" w:cstheme="minorBidi"/>
                <w:sz w:val="22"/>
                <w:szCs w:val="22"/>
                <w:lang w:val="fr-FR" w:eastAsia="en-GB"/>
              </w:rPr>
              <w:t xml:space="preserve">systèmes </w:t>
            </w:r>
            <w:r w:rsidR="00A53FDD" w:rsidRPr="3FBE0CDE">
              <w:rPr>
                <w:rFonts w:asciiTheme="minorHAnsi" w:hAnsiTheme="minorHAnsi" w:cstheme="minorBidi"/>
                <w:sz w:val="22"/>
                <w:szCs w:val="22"/>
                <w:lang w:val="fr-FR" w:eastAsia="en-GB"/>
              </w:rPr>
              <w:t xml:space="preserve">: </w:t>
            </w:r>
            <w:r w:rsidR="00130F1F" w:rsidRPr="3FBE0CDE">
              <w:rPr>
                <w:rFonts w:asciiTheme="minorHAnsi" w:hAnsiTheme="minorHAnsi" w:cstheme="minorBidi"/>
                <w:sz w:val="22"/>
                <w:szCs w:val="22"/>
                <w:lang w:val="fr-FR" w:eastAsia="en-GB"/>
              </w:rPr>
              <w:t>le</w:t>
            </w:r>
            <w:r w:rsidR="00397355">
              <w:rPr>
                <w:rFonts w:asciiTheme="minorHAnsi" w:hAnsiTheme="minorHAnsi" w:cstheme="minorBidi"/>
                <w:sz w:val="22"/>
                <w:szCs w:val="22"/>
                <w:lang w:val="fr-FR" w:eastAsia="en-GB"/>
              </w:rPr>
              <w:t xml:space="preserve"> </w:t>
            </w:r>
            <w:r w:rsidR="00A53FDD" w:rsidRPr="3FBE0CDE">
              <w:rPr>
                <w:rFonts w:asciiTheme="minorHAnsi" w:hAnsiTheme="minorHAnsi" w:cstheme="minorBidi"/>
                <w:sz w:val="22"/>
                <w:szCs w:val="22"/>
                <w:lang w:val="fr-FR" w:eastAsia="en-GB"/>
              </w:rPr>
              <w:t xml:space="preserve">contributif </w:t>
            </w:r>
            <w:r w:rsidR="00AA0F06">
              <w:rPr>
                <w:rFonts w:asciiTheme="minorHAnsi" w:hAnsiTheme="minorHAnsi" w:cstheme="minorBidi"/>
                <w:sz w:val="22"/>
                <w:szCs w:val="22"/>
                <w:lang w:val="fr-FR" w:eastAsia="en-GB"/>
              </w:rPr>
              <w:t xml:space="preserve">(assurantiel) </w:t>
            </w:r>
            <w:r w:rsidR="00E655F2" w:rsidRPr="3FBE0CDE">
              <w:rPr>
                <w:rFonts w:asciiTheme="minorHAnsi" w:hAnsiTheme="minorHAnsi" w:cstheme="minorBidi"/>
                <w:sz w:val="22"/>
                <w:szCs w:val="22"/>
                <w:lang w:val="fr-FR" w:eastAsia="en-GB"/>
              </w:rPr>
              <w:t>et le</w:t>
            </w:r>
            <w:r w:rsidR="002E3645">
              <w:rPr>
                <w:rFonts w:asciiTheme="minorHAnsi" w:hAnsiTheme="minorHAnsi" w:cstheme="minorBidi"/>
                <w:sz w:val="22"/>
                <w:szCs w:val="22"/>
                <w:lang w:val="fr-FR" w:eastAsia="en-GB"/>
              </w:rPr>
              <w:t xml:space="preserve"> </w:t>
            </w:r>
            <w:r w:rsidR="00D83AFF">
              <w:rPr>
                <w:rFonts w:asciiTheme="minorHAnsi" w:hAnsiTheme="minorHAnsi" w:cstheme="minorBidi"/>
                <w:sz w:val="22"/>
                <w:szCs w:val="22"/>
                <w:lang w:val="fr-FR" w:eastAsia="en-GB"/>
              </w:rPr>
              <w:t>non</w:t>
            </w:r>
            <w:r w:rsidR="00E655F2">
              <w:rPr>
                <w:rFonts w:asciiTheme="minorHAnsi" w:hAnsiTheme="minorHAnsi" w:cstheme="minorBidi"/>
                <w:sz w:val="22"/>
                <w:szCs w:val="22"/>
                <w:lang w:val="fr-FR" w:eastAsia="en-GB"/>
              </w:rPr>
              <w:t>-</w:t>
            </w:r>
            <w:r w:rsidR="00A53FDD" w:rsidRPr="3FBE0CDE">
              <w:rPr>
                <w:rFonts w:asciiTheme="minorHAnsi" w:hAnsiTheme="minorHAnsi" w:cstheme="minorBidi"/>
                <w:sz w:val="22"/>
                <w:szCs w:val="22"/>
                <w:lang w:val="fr-FR" w:eastAsia="en-GB"/>
              </w:rPr>
              <w:t>contributif</w:t>
            </w:r>
            <w:r w:rsidR="00C61CEC">
              <w:rPr>
                <w:rFonts w:asciiTheme="minorHAnsi" w:hAnsiTheme="minorHAnsi" w:cstheme="minorBidi"/>
                <w:sz w:val="22"/>
                <w:szCs w:val="22"/>
                <w:lang w:val="fr-FR" w:eastAsia="en-GB"/>
              </w:rPr>
              <w:t> </w:t>
            </w:r>
            <w:r w:rsidR="00AA0F06">
              <w:rPr>
                <w:rFonts w:asciiTheme="minorHAnsi" w:hAnsiTheme="minorHAnsi" w:cstheme="minorBidi"/>
                <w:sz w:val="22"/>
                <w:szCs w:val="22"/>
                <w:lang w:val="fr-FR" w:eastAsia="en-GB"/>
              </w:rPr>
              <w:t>(</w:t>
            </w:r>
            <w:r w:rsidR="00C56A84" w:rsidRPr="3FBE0CDE">
              <w:rPr>
                <w:rFonts w:asciiTheme="minorHAnsi" w:hAnsiTheme="minorHAnsi" w:cstheme="minorBidi"/>
                <w:sz w:val="22"/>
                <w:szCs w:val="22"/>
                <w:lang w:val="fr-FR" w:eastAsia="en-GB"/>
              </w:rPr>
              <w:t>assistanciel</w:t>
            </w:r>
            <w:r w:rsidR="00AA0F06">
              <w:rPr>
                <w:rFonts w:asciiTheme="minorHAnsi" w:hAnsiTheme="minorHAnsi" w:cstheme="minorBidi"/>
                <w:sz w:val="22"/>
                <w:szCs w:val="22"/>
                <w:lang w:val="fr-FR" w:eastAsia="en-GB"/>
              </w:rPr>
              <w:t>)</w:t>
            </w:r>
            <w:r w:rsidR="00E655F2">
              <w:rPr>
                <w:rFonts w:asciiTheme="minorHAnsi" w:hAnsiTheme="minorHAnsi" w:cstheme="minorBidi"/>
                <w:sz w:val="22"/>
                <w:szCs w:val="22"/>
                <w:lang w:val="fr-FR" w:eastAsia="en-GB"/>
              </w:rPr>
              <w:t> :</w:t>
            </w:r>
          </w:p>
          <w:p w14:paraId="65E7899A" w14:textId="77777777" w:rsidR="00C61CEC" w:rsidRPr="00C61CEC" w:rsidRDefault="00C61CEC" w:rsidP="00443A69">
            <w:pPr>
              <w:spacing w:line="240" w:lineRule="auto"/>
              <w:jc w:val="both"/>
              <w:rPr>
                <w:rFonts w:asciiTheme="minorHAnsi" w:hAnsiTheme="minorHAnsi" w:cstheme="minorBidi"/>
                <w:sz w:val="12"/>
                <w:szCs w:val="12"/>
                <w:lang w:val="fr-FR" w:eastAsia="en-GB"/>
              </w:rPr>
            </w:pPr>
          </w:p>
          <w:p w14:paraId="6B2CE493" w14:textId="2ECDAA30" w:rsidR="00A53FDD" w:rsidRPr="00A53FDD" w:rsidRDefault="00A53FDD" w:rsidP="00443A69">
            <w:pPr>
              <w:pStyle w:val="ListParagraph"/>
              <w:numPr>
                <w:ilvl w:val="0"/>
                <w:numId w:val="5"/>
              </w:numPr>
              <w:spacing w:line="240" w:lineRule="auto"/>
              <w:jc w:val="both"/>
              <w:rPr>
                <w:rFonts w:asciiTheme="minorHAnsi" w:hAnsiTheme="minorHAnsi" w:cstheme="minorHAnsi"/>
                <w:sz w:val="22"/>
                <w:szCs w:val="22"/>
                <w:lang w:val="fr-FR"/>
              </w:rPr>
            </w:pPr>
            <w:r w:rsidRPr="00C61CEC">
              <w:rPr>
                <w:rFonts w:asciiTheme="minorHAnsi" w:hAnsiTheme="minorHAnsi" w:cstheme="minorHAnsi"/>
                <w:b/>
                <w:bCs/>
                <w:sz w:val="22"/>
                <w:szCs w:val="22"/>
                <w:lang w:val="fr-FR"/>
              </w:rPr>
              <w:t xml:space="preserve">Le </w:t>
            </w:r>
            <w:r w:rsidRPr="00A53FDD">
              <w:rPr>
                <w:rFonts w:asciiTheme="minorHAnsi" w:hAnsiTheme="minorHAnsi" w:cstheme="minorHAnsi"/>
                <w:b/>
                <w:bCs/>
                <w:sz w:val="22"/>
                <w:szCs w:val="22"/>
                <w:lang w:val="fr-FR"/>
              </w:rPr>
              <w:t>système contributif</w:t>
            </w:r>
            <w:r w:rsidRPr="00A53FDD">
              <w:rPr>
                <w:rFonts w:asciiTheme="minorHAnsi" w:hAnsiTheme="minorHAnsi" w:cstheme="minorHAnsi"/>
                <w:sz w:val="22"/>
                <w:szCs w:val="22"/>
                <w:lang w:val="fr-FR"/>
              </w:rPr>
              <w:t xml:space="preserve"> comprend trois régimes </w:t>
            </w:r>
            <w:r w:rsidR="00BF7BD0">
              <w:rPr>
                <w:rFonts w:asciiTheme="minorHAnsi" w:hAnsiTheme="minorHAnsi" w:cstheme="minorHAnsi"/>
                <w:sz w:val="22"/>
                <w:szCs w:val="22"/>
                <w:lang w:val="fr-FR"/>
              </w:rPr>
              <w:t xml:space="preserve">sous </w:t>
            </w:r>
            <w:r w:rsidR="0073167A">
              <w:rPr>
                <w:rFonts w:asciiTheme="minorHAnsi" w:hAnsiTheme="minorHAnsi" w:cstheme="minorHAnsi"/>
                <w:sz w:val="22"/>
                <w:szCs w:val="22"/>
                <w:lang w:val="fr-FR"/>
              </w:rPr>
              <w:t>l</w:t>
            </w:r>
            <w:r w:rsidR="004E448F">
              <w:rPr>
                <w:rFonts w:asciiTheme="minorHAnsi" w:hAnsiTheme="minorHAnsi" w:cstheme="minorHAnsi"/>
                <w:sz w:val="22"/>
                <w:szCs w:val="22"/>
                <w:lang w:val="fr-FR"/>
              </w:rPr>
              <w:t>a supervision</w:t>
            </w:r>
            <w:r w:rsidR="0073167A">
              <w:rPr>
                <w:rFonts w:asciiTheme="minorHAnsi" w:hAnsiTheme="minorHAnsi" w:cstheme="minorHAnsi"/>
                <w:sz w:val="22"/>
                <w:szCs w:val="22"/>
                <w:lang w:val="fr-FR"/>
              </w:rPr>
              <w:t xml:space="preserve"> du </w:t>
            </w:r>
            <w:r w:rsidR="004E448F">
              <w:rPr>
                <w:rFonts w:asciiTheme="minorHAnsi" w:hAnsiTheme="minorHAnsi" w:cstheme="minorHAnsi"/>
                <w:sz w:val="22"/>
                <w:szCs w:val="22"/>
                <w:lang w:val="fr-FR"/>
              </w:rPr>
              <w:t>Ministère des Affaires Sociales</w:t>
            </w:r>
            <w:r w:rsidRPr="00A53FDD">
              <w:rPr>
                <w:rFonts w:asciiTheme="minorHAnsi" w:hAnsiTheme="minorHAnsi" w:cstheme="minorHAnsi"/>
                <w:sz w:val="22"/>
                <w:szCs w:val="22"/>
                <w:lang w:val="fr-FR"/>
              </w:rPr>
              <w:t xml:space="preserve">: i) </w:t>
            </w:r>
            <w:r w:rsidR="00C44AF9">
              <w:rPr>
                <w:rFonts w:asciiTheme="minorHAnsi" w:hAnsiTheme="minorHAnsi" w:cstheme="minorHAnsi"/>
                <w:sz w:val="22"/>
                <w:szCs w:val="22"/>
                <w:lang w:val="fr-FR"/>
              </w:rPr>
              <w:t xml:space="preserve">La </w:t>
            </w:r>
            <w:r w:rsidRPr="00A53FDD">
              <w:rPr>
                <w:rFonts w:asciiTheme="minorHAnsi" w:hAnsiTheme="minorHAnsi" w:cstheme="minorHAnsi"/>
                <w:sz w:val="22"/>
                <w:szCs w:val="22"/>
                <w:lang w:val="fr-FR"/>
              </w:rPr>
              <w:t xml:space="preserve">CNRPS (Caisse Nationale de Retraite et de Prévoyance Sociale), pour le secteur public, couvrant les prestations de vieillesse, d’invalidité, de décès et de famille ; ii) </w:t>
            </w:r>
            <w:r w:rsidR="00C44AF9">
              <w:rPr>
                <w:rFonts w:asciiTheme="minorHAnsi" w:hAnsiTheme="minorHAnsi" w:cstheme="minorHAnsi"/>
                <w:sz w:val="22"/>
                <w:szCs w:val="22"/>
                <w:lang w:val="fr-FR"/>
              </w:rPr>
              <w:t xml:space="preserve">La </w:t>
            </w:r>
            <w:r w:rsidRPr="00A53FDD">
              <w:rPr>
                <w:rFonts w:asciiTheme="minorHAnsi" w:hAnsiTheme="minorHAnsi" w:cstheme="minorHAnsi"/>
                <w:sz w:val="22"/>
                <w:szCs w:val="22"/>
                <w:lang w:val="fr-FR"/>
              </w:rPr>
              <w:t>CNSS (Caisse Nationale de Sécurité Sociale)</w:t>
            </w:r>
            <w:r w:rsidR="009C1327" w:rsidRPr="00823A49">
              <w:rPr>
                <w:lang w:val="fr-FR"/>
              </w:rPr>
              <w:t xml:space="preserve"> </w:t>
            </w:r>
            <w:r w:rsidR="009C1327">
              <w:rPr>
                <w:rFonts w:asciiTheme="minorHAnsi" w:hAnsiTheme="minorHAnsi" w:cstheme="minorHAnsi"/>
                <w:sz w:val="22"/>
                <w:szCs w:val="22"/>
                <w:lang w:val="fr-FR"/>
              </w:rPr>
              <w:t>pour</w:t>
            </w:r>
            <w:r w:rsidR="009C1327" w:rsidRPr="009C1327">
              <w:rPr>
                <w:rFonts w:asciiTheme="minorHAnsi" w:hAnsiTheme="minorHAnsi" w:cstheme="minorHAnsi"/>
                <w:sz w:val="22"/>
                <w:szCs w:val="22"/>
                <w:lang w:val="fr-FR"/>
              </w:rPr>
              <w:t xml:space="preserve"> le secteur privé, qui gère la retraite, l’invalidité, les allocations familiales, le capital décès, l’accident de travail et les maladies professionnelles et le risque de chômage pour cause de licenciement.</w:t>
            </w:r>
            <w:r w:rsidRPr="00A53FDD">
              <w:rPr>
                <w:rFonts w:asciiTheme="minorHAnsi" w:hAnsiTheme="minorHAnsi" w:cstheme="minorHAnsi"/>
                <w:sz w:val="22"/>
                <w:szCs w:val="22"/>
                <w:lang w:val="fr-FR"/>
              </w:rPr>
              <w:t xml:space="preserve"> ; iii) </w:t>
            </w:r>
            <w:r w:rsidR="00C44AF9">
              <w:rPr>
                <w:rFonts w:asciiTheme="minorHAnsi" w:hAnsiTheme="minorHAnsi" w:cstheme="minorHAnsi"/>
                <w:sz w:val="22"/>
                <w:szCs w:val="22"/>
                <w:lang w:val="fr-FR"/>
              </w:rPr>
              <w:t xml:space="preserve">La </w:t>
            </w:r>
            <w:r w:rsidRPr="00A53FDD">
              <w:rPr>
                <w:rFonts w:asciiTheme="minorHAnsi" w:hAnsiTheme="minorHAnsi" w:cstheme="minorHAnsi"/>
                <w:sz w:val="22"/>
                <w:szCs w:val="22"/>
                <w:lang w:val="fr-FR"/>
              </w:rPr>
              <w:t>CNAM (Caisse Nationale d’Assurance Maladie) couvre pour sa part la maladie, l’accident et la maladie professionnelle pour les cotisants du secteur public et du secteur privé.</w:t>
            </w:r>
          </w:p>
          <w:p w14:paraId="0526FCD0" w14:textId="3E726B77" w:rsidR="00A53FDD" w:rsidRDefault="009716F6" w:rsidP="00443A69">
            <w:pPr>
              <w:pStyle w:val="ListParagraph"/>
              <w:numPr>
                <w:ilvl w:val="0"/>
                <w:numId w:val="5"/>
              </w:numPr>
              <w:spacing w:after="360" w:line="240" w:lineRule="auto"/>
              <w:jc w:val="both"/>
              <w:rPr>
                <w:rFonts w:asciiTheme="minorHAnsi" w:hAnsiTheme="minorHAnsi" w:cstheme="minorBidi"/>
                <w:sz w:val="22"/>
                <w:szCs w:val="22"/>
                <w:lang w:val="fr-FR" w:eastAsia="en-GB"/>
              </w:rPr>
            </w:pPr>
            <w:r w:rsidRPr="7F5CEF1A">
              <w:rPr>
                <w:rFonts w:asciiTheme="minorHAnsi" w:hAnsiTheme="minorHAnsi" w:cstheme="minorBidi"/>
                <w:sz w:val="22"/>
                <w:szCs w:val="22"/>
                <w:lang w:val="fr-FR"/>
              </w:rPr>
              <w:t xml:space="preserve">Le </w:t>
            </w:r>
            <w:r w:rsidRPr="00397355">
              <w:rPr>
                <w:rFonts w:asciiTheme="minorHAnsi" w:hAnsiTheme="minorHAnsi" w:cstheme="minorBidi"/>
                <w:b/>
                <w:bCs/>
                <w:sz w:val="22"/>
                <w:szCs w:val="22"/>
                <w:lang w:val="fr-FR"/>
              </w:rPr>
              <w:t xml:space="preserve">système </w:t>
            </w:r>
            <w:r w:rsidR="00644085">
              <w:rPr>
                <w:rFonts w:asciiTheme="minorHAnsi" w:hAnsiTheme="minorHAnsi" w:cstheme="minorBidi"/>
                <w:b/>
                <w:bCs/>
                <w:sz w:val="22"/>
                <w:szCs w:val="22"/>
                <w:lang w:val="fr-FR"/>
              </w:rPr>
              <w:t>non</w:t>
            </w:r>
            <w:r w:rsidR="00E655F2">
              <w:rPr>
                <w:rFonts w:asciiTheme="minorHAnsi" w:hAnsiTheme="minorHAnsi" w:cstheme="minorBidi"/>
                <w:b/>
                <w:bCs/>
                <w:sz w:val="22"/>
                <w:szCs w:val="22"/>
                <w:lang w:val="fr-FR"/>
              </w:rPr>
              <w:t>-</w:t>
            </w:r>
            <w:r w:rsidR="00644085">
              <w:rPr>
                <w:rFonts w:asciiTheme="minorHAnsi" w:hAnsiTheme="minorHAnsi" w:cstheme="minorBidi"/>
                <w:b/>
                <w:bCs/>
                <w:sz w:val="22"/>
                <w:szCs w:val="22"/>
                <w:lang w:val="fr-FR"/>
              </w:rPr>
              <w:t xml:space="preserve">contributif </w:t>
            </w:r>
            <w:r w:rsidR="00E655F2">
              <w:rPr>
                <w:rFonts w:asciiTheme="minorHAnsi" w:hAnsiTheme="minorHAnsi" w:cstheme="minorBidi"/>
                <w:b/>
                <w:bCs/>
                <w:sz w:val="22"/>
                <w:szCs w:val="22"/>
                <w:lang w:val="fr-FR"/>
              </w:rPr>
              <w:t>(</w:t>
            </w:r>
            <w:r w:rsidRPr="00397355">
              <w:rPr>
                <w:rFonts w:asciiTheme="minorHAnsi" w:hAnsiTheme="minorHAnsi" w:cstheme="minorBidi"/>
                <w:b/>
                <w:bCs/>
                <w:sz w:val="22"/>
                <w:szCs w:val="22"/>
                <w:lang w:val="fr-FR"/>
              </w:rPr>
              <w:t>assistanciel</w:t>
            </w:r>
            <w:r w:rsidR="00E655F2">
              <w:rPr>
                <w:rFonts w:asciiTheme="minorHAnsi" w:hAnsiTheme="minorHAnsi" w:cstheme="minorBidi"/>
                <w:b/>
                <w:bCs/>
                <w:sz w:val="22"/>
                <w:szCs w:val="22"/>
                <w:lang w:val="fr-FR"/>
              </w:rPr>
              <w:t>)</w:t>
            </w:r>
            <w:r w:rsidRPr="7F5CEF1A">
              <w:rPr>
                <w:rFonts w:asciiTheme="minorHAnsi" w:hAnsiTheme="minorHAnsi" w:cstheme="minorBidi"/>
                <w:sz w:val="22"/>
                <w:szCs w:val="22"/>
                <w:lang w:val="fr-FR"/>
              </w:rPr>
              <w:t xml:space="preserve"> est </w:t>
            </w:r>
            <w:r w:rsidR="00C05B19" w:rsidRPr="7F5CEF1A">
              <w:rPr>
                <w:rFonts w:asciiTheme="minorHAnsi" w:hAnsiTheme="minorHAnsi" w:cstheme="minorBidi"/>
                <w:sz w:val="22"/>
                <w:szCs w:val="22"/>
                <w:lang w:val="fr-FR"/>
              </w:rPr>
              <w:t>composé</w:t>
            </w:r>
            <w:r w:rsidRPr="7F5CEF1A">
              <w:rPr>
                <w:rFonts w:asciiTheme="minorHAnsi" w:hAnsiTheme="minorHAnsi" w:cstheme="minorBidi"/>
                <w:sz w:val="22"/>
                <w:szCs w:val="22"/>
                <w:lang w:val="fr-FR"/>
              </w:rPr>
              <w:t xml:space="preserve"> </w:t>
            </w:r>
            <w:r w:rsidR="00C05B19" w:rsidRPr="7F5CEF1A">
              <w:rPr>
                <w:rFonts w:asciiTheme="minorHAnsi" w:hAnsiTheme="minorHAnsi" w:cstheme="minorBidi"/>
                <w:sz w:val="22"/>
                <w:szCs w:val="22"/>
                <w:lang w:val="fr-FR"/>
              </w:rPr>
              <w:t xml:space="preserve">principalement </w:t>
            </w:r>
            <w:r w:rsidRPr="7F5CEF1A">
              <w:rPr>
                <w:rFonts w:asciiTheme="minorHAnsi" w:hAnsiTheme="minorHAnsi" w:cstheme="minorBidi"/>
                <w:sz w:val="22"/>
                <w:szCs w:val="22"/>
                <w:lang w:val="fr-FR"/>
              </w:rPr>
              <w:t>d</w:t>
            </w:r>
            <w:r w:rsidR="00A53FDD" w:rsidRPr="7F5CEF1A">
              <w:rPr>
                <w:rFonts w:asciiTheme="minorHAnsi" w:hAnsiTheme="minorHAnsi" w:cstheme="minorBidi"/>
                <w:sz w:val="22"/>
                <w:szCs w:val="22"/>
                <w:lang w:val="fr-FR"/>
              </w:rPr>
              <w:t xml:space="preserve">es </w:t>
            </w:r>
            <w:r w:rsidR="00A53FDD" w:rsidRPr="7F5CEF1A">
              <w:rPr>
                <w:rFonts w:asciiTheme="minorHAnsi" w:hAnsiTheme="minorHAnsi" w:cstheme="minorBidi"/>
                <w:b/>
                <w:bCs/>
                <w:sz w:val="22"/>
                <w:szCs w:val="22"/>
                <w:lang w:val="fr-FR"/>
              </w:rPr>
              <w:t xml:space="preserve">programmes d’assistance sociale non-contributifs </w:t>
            </w:r>
            <w:r w:rsidR="00A53FDD" w:rsidRPr="7F5CEF1A">
              <w:rPr>
                <w:rFonts w:asciiTheme="minorHAnsi" w:hAnsiTheme="minorHAnsi" w:cstheme="minorBidi"/>
                <w:sz w:val="22"/>
                <w:szCs w:val="22"/>
                <w:lang w:val="fr-FR"/>
              </w:rPr>
              <w:t>qui sont du ressort du Ministère des Affaires Sociales, en coordination avec le Ministère de la Santé et le Ministère de l’Education, à travers le programme « AMEN Social ». Ce programme a été mis en place après l’adoption de la Loi AMEN Social 2019-10 réformant le système d’assistance sociale</w:t>
            </w:r>
            <w:r w:rsidR="0008250C">
              <w:rPr>
                <w:rFonts w:asciiTheme="minorHAnsi" w:hAnsiTheme="minorHAnsi" w:cstheme="minorBidi"/>
                <w:sz w:val="22"/>
                <w:szCs w:val="22"/>
                <w:lang w:val="fr-FR"/>
              </w:rPr>
              <w:t>,</w:t>
            </w:r>
            <w:r w:rsidR="00A53FDD" w:rsidRPr="7F5CEF1A">
              <w:rPr>
                <w:rFonts w:asciiTheme="minorHAnsi" w:hAnsiTheme="minorHAnsi" w:cstheme="minorBidi"/>
                <w:sz w:val="22"/>
                <w:szCs w:val="22"/>
                <w:lang w:val="fr-FR"/>
              </w:rPr>
              <w:t xml:space="preserve"> prenant en compte la pauvreté multidimensionnelle et fixant de nouvelles bases en vue d’élargir l’accès à la protection sociale</w:t>
            </w:r>
            <w:r w:rsidR="74E118DE" w:rsidRPr="7F5CEF1A">
              <w:rPr>
                <w:rFonts w:asciiTheme="minorHAnsi" w:hAnsiTheme="minorHAnsi" w:cstheme="minorBidi"/>
                <w:sz w:val="22"/>
                <w:szCs w:val="22"/>
                <w:lang w:val="fr-FR"/>
              </w:rPr>
              <w:t xml:space="preserve"> en Tunisie</w:t>
            </w:r>
            <w:r w:rsidR="00C61CEC">
              <w:rPr>
                <w:rStyle w:val="FootnoteReference"/>
                <w:rFonts w:asciiTheme="minorHAnsi" w:hAnsiTheme="minorHAnsi" w:cstheme="minorBidi"/>
                <w:sz w:val="22"/>
                <w:szCs w:val="22"/>
                <w:lang w:val="fr-FR"/>
              </w:rPr>
              <w:footnoteReference w:id="5"/>
            </w:r>
            <w:r w:rsidR="00A53FDD" w:rsidRPr="7F5CEF1A">
              <w:rPr>
                <w:rFonts w:asciiTheme="minorHAnsi" w:hAnsiTheme="minorHAnsi" w:cstheme="minorBidi"/>
                <w:sz w:val="22"/>
                <w:szCs w:val="22"/>
                <w:lang w:val="fr-FR"/>
              </w:rPr>
              <w:t xml:space="preserve">. </w:t>
            </w:r>
          </w:p>
          <w:p w14:paraId="5572CCB1" w14:textId="353E0936" w:rsidR="00A53FDD" w:rsidRPr="0030754E" w:rsidRDefault="1481BEB6" w:rsidP="79C213BD">
            <w:pPr>
              <w:pStyle w:val="ListParagraph"/>
              <w:spacing w:after="360" w:line="240" w:lineRule="auto"/>
              <w:jc w:val="both"/>
              <w:rPr>
                <w:rFonts w:asciiTheme="minorHAnsi" w:hAnsiTheme="minorHAnsi" w:cstheme="minorBidi"/>
                <w:sz w:val="22"/>
                <w:szCs w:val="22"/>
                <w:lang w:val="fr-FR"/>
              </w:rPr>
            </w:pPr>
            <w:r w:rsidRPr="0030754E">
              <w:rPr>
                <w:rFonts w:asciiTheme="minorHAnsi" w:hAnsiTheme="minorHAnsi" w:cstheme="minorBidi"/>
                <w:sz w:val="22"/>
                <w:szCs w:val="22"/>
                <w:lang w:val="fr-FR"/>
              </w:rPr>
              <w:t>Son objectif est d’assurer l’existence d’un système de protection sociale qui couvre la population entière, basé sur l’approche du cycle de vie et qui ne laisse personne derrière grâce à l’inclusion de parties importantes de la population</w:t>
            </w:r>
            <w:r w:rsidR="287C6614" w:rsidRPr="0030754E">
              <w:rPr>
                <w:rFonts w:asciiTheme="minorHAnsi" w:hAnsiTheme="minorHAnsi" w:cstheme="minorBidi"/>
                <w:sz w:val="22"/>
                <w:szCs w:val="22"/>
                <w:lang w:val="fr-FR"/>
              </w:rPr>
              <w:t xml:space="preserve">. </w:t>
            </w:r>
            <w:r w:rsidR="287C6614" w:rsidRPr="0030754E">
              <w:rPr>
                <w:lang w:val="fr-FR"/>
              </w:rPr>
              <w:t xml:space="preserve"> </w:t>
            </w:r>
            <w:r w:rsidR="287C6614" w:rsidRPr="0030754E">
              <w:rPr>
                <w:rFonts w:asciiTheme="minorHAnsi" w:hAnsiTheme="minorHAnsi" w:cstheme="minorBidi"/>
                <w:sz w:val="22"/>
                <w:szCs w:val="22"/>
                <w:lang w:val="fr-FR"/>
              </w:rPr>
              <w:t>Dans le cadre d</w:t>
            </w:r>
            <w:r w:rsidR="2F73E70E" w:rsidRPr="0030754E">
              <w:rPr>
                <w:rFonts w:asciiTheme="minorHAnsi" w:hAnsiTheme="minorHAnsi" w:cstheme="minorBidi"/>
                <w:sz w:val="22"/>
                <w:szCs w:val="22"/>
                <w:lang w:val="fr-FR"/>
              </w:rPr>
              <w:t>u programme</w:t>
            </w:r>
            <w:r w:rsidR="287C6614" w:rsidRPr="0030754E">
              <w:rPr>
                <w:rFonts w:asciiTheme="minorHAnsi" w:hAnsiTheme="minorHAnsi" w:cstheme="minorBidi"/>
                <w:sz w:val="22"/>
                <w:szCs w:val="22"/>
                <w:lang w:val="fr-FR"/>
              </w:rPr>
              <w:t xml:space="preserve"> AMEN Social, il existe </w:t>
            </w:r>
            <w:r w:rsidR="6A1F28A9" w:rsidRPr="0030754E">
              <w:rPr>
                <w:rFonts w:asciiTheme="minorHAnsi" w:hAnsiTheme="minorHAnsi" w:cstheme="minorBidi"/>
                <w:sz w:val="22"/>
                <w:szCs w:val="22"/>
                <w:lang w:val="fr-FR"/>
              </w:rPr>
              <w:t>différents sous-programmes</w:t>
            </w:r>
            <w:r w:rsidR="287C6614" w:rsidRPr="0030754E">
              <w:rPr>
                <w:rFonts w:asciiTheme="minorHAnsi" w:hAnsiTheme="minorHAnsi" w:cstheme="minorBidi"/>
                <w:sz w:val="22"/>
                <w:szCs w:val="22"/>
                <w:lang w:val="fr-FR"/>
              </w:rPr>
              <w:t xml:space="preserve"> qui se complètent</w:t>
            </w:r>
            <w:r w:rsidRPr="0030754E">
              <w:rPr>
                <w:rFonts w:asciiTheme="minorHAnsi" w:hAnsiTheme="minorHAnsi" w:cstheme="minorBidi"/>
                <w:sz w:val="22"/>
                <w:szCs w:val="22"/>
                <w:lang w:val="fr-FR"/>
              </w:rPr>
              <w:t> :</w:t>
            </w:r>
          </w:p>
          <w:p w14:paraId="71C0BB1D" w14:textId="63626524" w:rsidR="00A53FDD" w:rsidRDefault="2990F21D" w:rsidP="00443A69">
            <w:pPr>
              <w:pStyle w:val="ListParagraph"/>
              <w:numPr>
                <w:ilvl w:val="0"/>
                <w:numId w:val="6"/>
              </w:numPr>
              <w:spacing w:after="360" w:line="240" w:lineRule="auto"/>
              <w:jc w:val="both"/>
              <w:rPr>
                <w:rFonts w:asciiTheme="minorHAnsi" w:hAnsiTheme="minorHAnsi" w:cstheme="minorBidi"/>
                <w:sz w:val="22"/>
                <w:szCs w:val="22"/>
                <w:lang w:val="fr-FR" w:eastAsia="en-GB"/>
              </w:rPr>
            </w:pPr>
            <w:r w:rsidRPr="3D555ABB">
              <w:rPr>
                <w:rFonts w:asciiTheme="minorHAnsi" w:hAnsiTheme="minorHAnsi" w:cstheme="minorBidi"/>
                <w:b/>
                <w:bCs/>
                <w:sz w:val="22"/>
                <w:szCs w:val="22"/>
                <w:lang w:val="fr-FR"/>
              </w:rPr>
              <w:t>Le</w:t>
            </w:r>
            <w:r w:rsidR="00F52800">
              <w:rPr>
                <w:rFonts w:asciiTheme="minorHAnsi" w:hAnsiTheme="minorHAnsi" w:cstheme="minorBidi"/>
                <w:b/>
                <w:bCs/>
                <w:sz w:val="22"/>
                <w:szCs w:val="22"/>
                <w:lang w:val="fr-FR"/>
              </w:rPr>
              <w:t xml:space="preserve"> </w:t>
            </w:r>
            <w:r w:rsidR="00F52800" w:rsidRPr="3D555ABB">
              <w:rPr>
                <w:rFonts w:asciiTheme="minorHAnsi" w:hAnsiTheme="minorHAnsi" w:cstheme="minorBidi"/>
                <w:b/>
                <w:bCs/>
                <w:sz w:val="22"/>
                <w:szCs w:val="22"/>
                <w:lang w:val="fr-FR"/>
              </w:rPr>
              <w:t xml:space="preserve"> </w:t>
            </w:r>
            <w:r w:rsidR="00F52800">
              <w:rPr>
                <w:rFonts w:asciiTheme="minorHAnsi" w:hAnsiTheme="minorHAnsi" w:cstheme="minorBidi"/>
                <w:b/>
                <w:bCs/>
                <w:sz w:val="22"/>
                <w:szCs w:val="22"/>
                <w:lang w:val="fr-FR"/>
              </w:rPr>
              <w:t>Transfert Monétaire Permanent (TMP) </w:t>
            </w:r>
            <w:r w:rsidR="00F52800" w:rsidRPr="00123514">
              <w:rPr>
                <w:rFonts w:asciiTheme="minorHAnsi" w:hAnsiTheme="minorHAnsi" w:cstheme="minorBidi"/>
                <w:b/>
                <w:bCs/>
                <w:sz w:val="22"/>
                <w:szCs w:val="22"/>
                <w:lang w:val="fr-FR"/>
              </w:rPr>
              <w:t xml:space="preserve">; </w:t>
            </w:r>
            <w:r w:rsidRPr="00F52800">
              <w:rPr>
                <w:rFonts w:asciiTheme="minorHAnsi" w:hAnsiTheme="minorHAnsi" w:cstheme="minorBidi"/>
                <w:b/>
                <w:bCs/>
                <w:sz w:val="22"/>
                <w:szCs w:val="22"/>
                <w:lang w:val="fr-FR"/>
              </w:rPr>
              <w:t xml:space="preserve"> </w:t>
            </w:r>
            <w:r w:rsidR="00F52800" w:rsidRPr="00F52800">
              <w:rPr>
                <w:rFonts w:asciiTheme="minorHAnsi" w:hAnsiTheme="minorHAnsi" w:cstheme="minorBidi"/>
                <w:b/>
                <w:bCs/>
                <w:sz w:val="22"/>
                <w:szCs w:val="22"/>
                <w:lang w:val="fr-FR"/>
              </w:rPr>
              <w:t xml:space="preserve">le </w:t>
            </w:r>
            <w:r w:rsidRPr="00F52800">
              <w:rPr>
                <w:rFonts w:asciiTheme="minorHAnsi" w:hAnsiTheme="minorHAnsi" w:cstheme="minorBidi"/>
                <w:b/>
                <w:bCs/>
                <w:sz w:val="22"/>
                <w:szCs w:val="22"/>
                <w:lang w:val="fr-FR"/>
              </w:rPr>
              <w:t>programme National d’Aide aux Familles Nécessiteuses (PNAFN)</w:t>
            </w:r>
            <w:r w:rsidR="00F52800" w:rsidRPr="00F52800">
              <w:rPr>
                <w:rFonts w:asciiTheme="minorHAnsi" w:hAnsiTheme="minorHAnsi" w:cstheme="minorBidi"/>
                <w:b/>
                <w:bCs/>
                <w:sz w:val="22"/>
                <w:szCs w:val="22"/>
                <w:lang w:val="fr-FR"/>
              </w:rPr>
              <w:t xml:space="preserve"> auparavant</w:t>
            </w:r>
            <w:r w:rsidR="00A56EE7" w:rsidRPr="00F52800">
              <w:rPr>
                <w:rFonts w:asciiTheme="minorHAnsi" w:hAnsiTheme="minorHAnsi" w:cstheme="minorBidi"/>
                <w:b/>
                <w:bCs/>
                <w:sz w:val="22"/>
                <w:szCs w:val="22"/>
                <w:lang w:val="fr-FR"/>
              </w:rPr>
              <w:t> </w:t>
            </w:r>
            <w:r w:rsidR="00A56EE7">
              <w:rPr>
                <w:rFonts w:asciiTheme="minorHAnsi" w:hAnsiTheme="minorHAnsi" w:cstheme="minorBidi"/>
                <w:b/>
                <w:bCs/>
                <w:sz w:val="22"/>
                <w:szCs w:val="22"/>
                <w:lang w:val="fr-FR"/>
              </w:rPr>
              <w:t>:</w:t>
            </w:r>
            <w:r w:rsidRPr="3D555ABB">
              <w:rPr>
                <w:rFonts w:asciiTheme="minorHAnsi" w:hAnsiTheme="minorHAnsi" w:cstheme="minorBidi"/>
                <w:sz w:val="22"/>
                <w:szCs w:val="22"/>
                <w:lang w:val="fr-FR"/>
              </w:rPr>
              <w:t xml:space="preserve"> </w:t>
            </w:r>
            <w:r w:rsidR="00A56EE7">
              <w:rPr>
                <w:rFonts w:asciiTheme="minorHAnsi" w:hAnsiTheme="minorHAnsi" w:cstheme="minorBidi"/>
                <w:sz w:val="22"/>
                <w:szCs w:val="22"/>
                <w:lang w:val="fr-FR"/>
              </w:rPr>
              <w:t>l</w:t>
            </w:r>
            <w:r w:rsidRPr="3D555ABB">
              <w:rPr>
                <w:rFonts w:asciiTheme="minorHAnsi" w:hAnsiTheme="minorHAnsi" w:cstheme="minorBidi"/>
                <w:sz w:val="22"/>
                <w:szCs w:val="22"/>
                <w:lang w:val="fr-FR"/>
              </w:rPr>
              <w:t>es ménages inscrits dans le cadre de ce programme d</w:t>
            </w:r>
            <w:r w:rsidR="003C0C96">
              <w:rPr>
                <w:rFonts w:asciiTheme="minorHAnsi" w:hAnsiTheme="minorHAnsi" w:cstheme="minorBidi"/>
                <w:sz w:val="22"/>
                <w:szCs w:val="22"/>
                <w:lang w:val="fr-FR"/>
              </w:rPr>
              <w:t>’assistance</w:t>
            </w:r>
            <w:r w:rsidRPr="3D555ABB">
              <w:rPr>
                <w:rFonts w:asciiTheme="minorHAnsi" w:hAnsiTheme="minorHAnsi" w:cstheme="minorBidi"/>
                <w:sz w:val="22"/>
                <w:szCs w:val="22"/>
                <w:lang w:val="fr-FR"/>
              </w:rPr>
              <w:t xml:space="preserve"> sociale </w:t>
            </w:r>
            <w:r w:rsidR="00F52800">
              <w:rPr>
                <w:rFonts w:asciiTheme="minorHAnsi" w:hAnsiTheme="minorHAnsi" w:cstheme="minorBidi"/>
                <w:sz w:val="22"/>
                <w:szCs w:val="22"/>
                <w:lang w:val="fr-FR"/>
              </w:rPr>
              <w:t>et classés dans</w:t>
            </w:r>
            <w:r w:rsidR="00F52800" w:rsidRPr="3D555ABB">
              <w:rPr>
                <w:rFonts w:asciiTheme="minorHAnsi" w:hAnsiTheme="minorHAnsi" w:cstheme="minorBidi"/>
                <w:sz w:val="22"/>
                <w:szCs w:val="22"/>
                <w:lang w:val="fr-FR"/>
              </w:rPr>
              <w:t xml:space="preserve"> </w:t>
            </w:r>
            <w:r w:rsidRPr="3D555ABB">
              <w:rPr>
                <w:rFonts w:asciiTheme="minorHAnsi" w:hAnsiTheme="minorHAnsi" w:cstheme="minorBidi"/>
                <w:sz w:val="22"/>
                <w:szCs w:val="22"/>
                <w:lang w:val="fr-FR"/>
              </w:rPr>
              <w:t>le</w:t>
            </w:r>
            <w:r w:rsidR="00EB5196">
              <w:rPr>
                <w:rFonts w:asciiTheme="minorHAnsi" w:hAnsiTheme="minorHAnsi" w:cstheme="minorBidi"/>
                <w:sz w:val="22"/>
                <w:szCs w:val="22"/>
                <w:lang w:val="fr-FR"/>
              </w:rPr>
              <w:t>s</w:t>
            </w:r>
            <w:r w:rsidRPr="3D555ABB">
              <w:rPr>
                <w:rFonts w:asciiTheme="minorHAnsi" w:hAnsiTheme="minorHAnsi" w:cstheme="minorBidi"/>
                <w:sz w:val="22"/>
                <w:szCs w:val="22"/>
                <w:lang w:val="fr-FR"/>
              </w:rPr>
              <w:t xml:space="preserve"> </w:t>
            </w:r>
            <w:r w:rsidR="00EB5196">
              <w:rPr>
                <w:rFonts w:asciiTheme="minorHAnsi" w:hAnsiTheme="minorHAnsi" w:cstheme="minorBidi"/>
                <w:sz w:val="22"/>
                <w:szCs w:val="22"/>
                <w:lang w:val="fr-FR"/>
              </w:rPr>
              <w:t xml:space="preserve">deux </w:t>
            </w:r>
            <w:r w:rsidRPr="3D555ABB">
              <w:rPr>
                <w:rFonts w:asciiTheme="minorHAnsi" w:hAnsiTheme="minorHAnsi" w:cstheme="minorBidi"/>
                <w:sz w:val="22"/>
                <w:szCs w:val="22"/>
                <w:lang w:val="fr-FR"/>
              </w:rPr>
              <w:t>décile</w:t>
            </w:r>
            <w:r w:rsidR="00EB5196">
              <w:rPr>
                <w:rFonts w:asciiTheme="minorHAnsi" w:hAnsiTheme="minorHAnsi" w:cstheme="minorBidi"/>
                <w:sz w:val="22"/>
                <w:szCs w:val="22"/>
                <w:lang w:val="fr-FR"/>
              </w:rPr>
              <w:t>s</w:t>
            </w:r>
            <w:r w:rsidRPr="3D555ABB">
              <w:rPr>
                <w:rFonts w:asciiTheme="minorHAnsi" w:hAnsiTheme="minorHAnsi" w:cstheme="minorBidi"/>
                <w:sz w:val="22"/>
                <w:szCs w:val="22"/>
                <w:lang w:val="fr-FR"/>
              </w:rPr>
              <w:t xml:space="preserve"> le</w:t>
            </w:r>
            <w:r w:rsidR="00EB5196">
              <w:rPr>
                <w:rFonts w:asciiTheme="minorHAnsi" w:hAnsiTheme="minorHAnsi" w:cstheme="minorBidi"/>
                <w:sz w:val="22"/>
                <w:szCs w:val="22"/>
                <w:lang w:val="fr-FR"/>
              </w:rPr>
              <w:t>s</w:t>
            </w:r>
            <w:r w:rsidRPr="3D555ABB">
              <w:rPr>
                <w:rFonts w:asciiTheme="minorHAnsi" w:hAnsiTheme="minorHAnsi" w:cstheme="minorBidi"/>
                <w:sz w:val="22"/>
                <w:szCs w:val="22"/>
                <w:lang w:val="fr-FR"/>
              </w:rPr>
              <w:t xml:space="preserve"> plus pauvre</w:t>
            </w:r>
            <w:r w:rsidR="00EB5196">
              <w:rPr>
                <w:rFonts w:asciiTheme="minorHAnsi" w:hAnsiTheme="minorHAnsi" w:cstheme="minorBidi"/>
                <w:sz w:val="22"/>
                <w:szCs w:val="22"/>
                <w:lang w:val="fr-FR"/>
              </w:rPr>
              <w:t>s</w:t>
            </w:r>
            <w:r w:rsidRPr="3D555ABB">
              <w:rPr>
                <w:rFonts w:asciiTheme="minorHAnsi" w:hAnsiTheme="minorHAnsi" w:cstheme="minorBidi"/>
                <w:sz w:val="22"/>
                <w:szCs w:val="22"/>
                <w:lang w:val="fr-FR"/>
              </w:rPr>
              <w:t xml:space="preserve"> de la population </w:t>
            </w:r>
            <w:r w:rsidRPr="3D555ABB">
              <w:rPr>
                <w:rFonts w:asciiTheme="minorHAnsi" w:hAnsiTheme="minorHAnsi" w:cstheme="minorBidi"/>
                <w:i/>
                <w:iCs/>
                <w:sz w:val="22"/>
                <w:szCs w:val="22"/>
                <w:lang w:val="fr-FR"/>
              </w:rPr>
              <w:t>comme « les individus ou les familles qui souffrent d’une privation multidimensionnelle qui touche le revenu, la santé, l’éducation, l’accès aux services publics et les conditions de vie</w:t>
            </w:r>
            <w:r w:rsidRPr="3D555ABB">
              <w:rPr>
                <w:rFonts w:asciiTheme="minorHAnsi" w:hAnsiTheme="minorHAnsi" w:cstheme="minorBidi"/>
                <w:sz w:val="22"/>
                <w:szCs w:val="22"/>
                <w:lang w:val="fr-FR"/>
              </w:rPr>
              <w:t xml:space="preserve"> » et qui reçoivent des transferts mensuels d’un montant de 240 TND. </w:t>
            </w:r>
          </w:p>
          <w:p w14:paraId="0C907543" w14:textId="34DBC918" w:rsidR="00A53FDD" w:rsidRDefault="00A53FDD" w:rsidP="00443A69">
            <w:pPr>
              <w:pStyle w:val="ListParagraph"/>
              <w:numPr>
                <w:ilvl w:val="0"/>
                <w:numId w:val="6"/>
              </w:numPr>
              <w:spacing w:after="360" w:line="240" w:lineRule="auto"/>
              <w:jc w:val="both"/>
              <w:rPr>
                <w:rFonts w:asciiTheme="minorHAnsi" w:hAnsiTheme="minorHAnsi" w:cstheme="minorBidi"/>
                <w:sz w:val="22"/>
                <w:szCs w:val="22"/>
                <w:lang w:val="fr-FR" w:eastAsia="en-GB"/>
              </w:rPr>
            </w:pPr>
            <w:r w:rsidRPr="1C5E4AD5">
              <w:rPr>
                <w:rFonts w:asciiTheme="minorHAnsi" w:hAnsiTheme="minorHAnsi" w:cstheme="minorBidi"/>
                <w:b/>
                <w:bCs/>
                <w:sz w:val="22"/>
                <w:szCs w:val="22"/>
                <w:lang w:val="fr-FR"/>
              </w:rPr>
              <w:lastRenderedPageBreak/>
              <w:t>Le Programme d’Assistance Médicale Gratuite (AMG1)</w:t>
            </w:r>
            <w:r w:rsidR="00A56EE7" w:rsidRPr="1C5E4AD5">
              <w:rPr>
                <w:rFonts w:asciiTheme="minorHAnsi" w:hAnsiTheme="minorHAnsi" w:cstheme="minorBidi"/>
                <w:b/>
                <w:bCs/>
                <w:sz w:val="22"/>
                <w:szCs w:val="22"/>
                <w:lang w:val="fr-FR"/>
              </w:rPr>
              <w:t> :</w:t>
            </w:r>
            <w:r w:rsidRPr="1C5E4AD5">
              <w:rPr>
                <w:rFonts w:asciiTheme="minorHAnsi" w:hAnsiTheme="minorHAnsi" w:cstheme="minorBidi"/>
                <w:b/>
                <w:bCs/>
                <w:sz w:val="22"/>
                <w:szCs w:val="22"/>
                <w:lang w:val="fr-FR"/>
              </w:rPr>
              <w:t xml:space="preserve"> </w:t>
            </w:r>
            <w:r w:rsidR="00A56EE7" w:rsidRPr="1C5E4AD5">
              <w:rPr>
                <w:rFonts w:asciiTheme="minorHAnsi" w:hAnsiTheme="minorHAnsi" w:cstheme="minorBidi"/>
                <w:sz w:val="22"/>
                <w:szCs w:val="22"/>
                <w:lang w:val="fr-FR"/>
              </w:rPr>
              <w:t>a</w:t>
            </w:r>
            <w:r w:rsidRPr="1C5E4AD5">
              <w:rPr>
                <w:rFonts w:asciiTheme="minorHAnsi" w:hAnsiTheme="minorHAnsi" w:cstheme="minorBidi"/>
                <w:sz w:val="22"/>
                <w:szCs w:val="22"/>
                <w:lang w:val="fr-FR"/>
              </w:rPr>
              <w:t xml:space="preserve">vec le </w:t>
            </w:r>
            <w:r w:rsidR="00F52800">
              <w:rPr>
                <w:rFonts w:asciiTheme="minorHAnsi" w:hAnsiTheme="minorHAnsi" w:cstheme="minorBidi"/>
                <w:sz w:val="22"/>
                <w:szCs w:val="22"/>
                <w:lang w:val="fr-FR"/>
              </w:rPr>
              <w:t>TMP</w:t>
            </w:r>
            <w:r w:rsidRPr="1C5E4AD5">
              <w:rPr>
                <w:rFonts w:asciiTheme="minorHAnsi" w:hAnsiTheme="minorHAnsi" w:cstheme="minorBidi"/>
                <w:sz w:val="22"/>
                <w:szCs w:val="22"/>
                <w:lang w:val="fr-FR"/>
              </w:rPr>
              <w:t>, les ménages inscrits à ce programme d</w:t>
            </w:r>
            <w:r w:rsidR="002513DA" w:rsidRPr="1C5E4AD5">
              <w:rPr>
                <w:rFonts w:asciiTheme="minorHAnsi" w:hAnsiTheme="minorHAnsi" w:cstheme="minorBidi"/>
                <w:sz w:val="22"/>
                <w:szCs w:val="22"/>
                <w:lang w:val="fr-FR"/>
              </w:rPr>
              <w:t>’assurance santé</w:t>
            </w:r>
            <w:r w:rsidRPr="1C5E4AD5">
              <w:rPr>
                <w:rFonts w:asciiTheme="minorHAnsi" w:hAnsiTheme="minorHAnsi" w:cstheme="minorBidi"/>
                <w:sz w:val="22"/>
                <w:szCs w:val="22"/>
                <w:lang w:val="fr-FR"/>
              </w:rPr>
              <w:t xml:space="preserve"> constituent le</w:t>
            </w:r>
            <w:r w:rsidR="00EB5196">
              <w:rPr>
                <w:rFonts w:asciiTheme="minorHAnsi" w:hAnsiTheme="minorHAnsi" w:cstheme="minorBidi"/>
                <w:sz w:val="22"/>
                <w:szCs w:val="22"/>
                <w:lang w:val="fr-FR"/>
              </w:rPr>
              <w:t>s deux</w:t>
            </w:r>
            <w:r w:rsidRPr="1C5E4AD5">
              <w:rPr>
                <w:rFonts w:asciiTheme="minorHAnsi" w:hAnsiTheme="minorHAnsi" w:cstheme="minorBidi"/>
                <w:sz w:val="22"/>
                <w:szCs w:val="22"/>
                <w:lang w:val="fr-FR"/>
              </w:rPr>
              <w:t xml:space="preserve"> décile</w:t>
            </w:r>
            <w:r w:rsidR="00EB5196">
              <w:rPr>
                <w:rFonts w:asciiTheme="minorHAnsi" w:hAnsiTheme="minorHAnsi" w:cstheme="minorBidi"/>
                <w:sz w:val="22"/>
                <w:szCs w:val="22"/>
                <w:lang w:val="fr-FR"/>
              </w:rPr>
              <w:t>s</w:t>
            </w:r>
            <w:r w:rsidRPr="1C5E4AD5">
              <w:rPr>
                <w:rFonts w:asciiTheme="minorHAnsi" w:hAnsiTheme="minorHAnsi" w:cstheme="minorBidi"/>
                <w:sz w:val="22"/>
                <w:szCs w:val="22"/>
                <w:lang w:val="fr-FR"/>
              </w:rPr>
              <w:t xml:space="preserve"> le</w:t>
            </w:r>
            <w:r w:rsidR="00EB5196">
              <w:rPr>
                <w:rFonts w:asciiTheme="minorHAnsi" w:hAnsiTheme="minorHAnsi" w:cstheme="minorBidi"/>
                <w:sz w:val="22"/>
                <w:szCs w:val="22"/>
                <w:lang w:val="fr-FR"/>
              </w:rPr>
              <w:t>s</w:t>
            </w:r>
            <w:r w:rsidRPr="1C5E4AD5">
              <w:rPr>
                <w:rFonts w:asciiTheme="minorHAnsi" w:hAnsiTheme="minorHAnsi" w:cstheme="minorBidi"/>
                <w:sz w:val="22"/>
                <w:szCs w:val="22"/>
                <w:lang w:val="fr-FR"/>
              </w:rPr>
              <w:t xml:space="preserve"> plus pauvre</w:t>
            </w:r>
            <w:r w:rsidR="00EB5196">
              <w:rPr>
                <w:rFonts w:asciiTheme="minorHAnsi" w:hAnsiTheme="minorHAnsi" w:cstheme="minorBidi"/>
                <w:sz w:val="22"/>
                <w:szCs w:val="22"/>
                <w:lang w:val="fr-FR"/>
              </w:rPr>
              <w:t>s</w:t>
            </w:r>
            <w:r w:rsidRPr="1C5E4AD5">
              <w:rPr>
                <w:rFonts w:asciiTheme="minorHAnsi" w:hAnsiTheme="minorHAnsi" w:cstheme="minorBidi"/>
                <w:sz w:val="22"/>
                <w:szCs w:val="22"/>
                <w:lang w:val="fr-FR"/>
              </w:rPr>
              <w:t xml:space="preserve"> de la population et bénéficient des services médicaux gratuits. </w:t>
            </w:r>
          </w:p>
          <w:p w14:paraId="435E3B05" w14:textId="7A1E6D76" w:rsidR="00C61CEC" w:rsidRPr="00C61CEC" w:rsidRDefault="00A53FDD" w:rsidP="00397355">
            <w:pPr>
              <w:pStyle w:val="ListParagraph"/>
              <w:numPr>
                <w:ilvl w:val="0"/>
                <w:numId w:val="6"/>
              </w:numPr>
              <w:spacing w:after="360" w:line="240" w:lineRule="auto"/>
              <w:jc w:val="both"/>
              <w:rPr>
                <w:rFonts w:asciiTheme="minorHAnsi" w:hAnsiTheme="minorHAnsi" w:cstheme="minorHAnsi"/>
                <w:sz w:val="22"/>
                <w:szCs w:val="22"/>
                <w:lang w:val="fr-FR" w:eastAsia="en-GB"/>
              </w:rPr>
            </w:pPr>
            <w:r w:rsidRPr="00EB5196">
              <w:rPr>
                <w:rFonts w:asciiTheme="minorHAnsi" w:hAnsiTheme="minorHAnsi" w:cstheme="minorBidi"/>
                <w:b/>
                <w:bCs/>
                <w:sz w:val="22"/>
                <w:szCs w:val="22"/>
                <w:lang w:val="fr-FR"/>
              </w:rPr>
              <w:t>Le Programme d’Assistance Médicale à tarif réduit (AMG2)</w:t>
            </w:r>
            <w:r w:rsidR="00CF6961" w:rsidRPr="00EB5196">
              <w:rPr>
                <w:rFonts w:asciiTheme="minorHAnsi" w:hAnsiTheme="minorHAnsi" w:cstheme="minorBidi"/>
                <w:b/>
                <w:bCs/>
                <w:sz w:val="22"/>
                <w:szCs w:val="22"/>
                <w:lang w:val="fr-FR"/>
              </w:rPr>
              <w:t> :</w:t>
            </w:r>
            <w:r w:rsidRPr="00EB5196">
              <w:rPr>
                <w:rFonts w:asciiTheme="minorHAnsi" w:hAnsiTheme="minorHAnsi" w:cstheme="minorBidi"/>
                <w:b/>
                <w:bCs/>
                <w:sz w:val="22"/>
                <w:szCs w:val="22"/>
                <w:lang w:val="fr-FR"/>
              </w:rPr>
              <w:t xml:space="preserve"> </w:t>
            </w:r>
            <w:r w:rsidR="00CF6961" w:rsidRPr="00EB5196">
              <w:rPr>
                <w:rFonts w:asciiTheme="minorHAnsi" w:hAnsiTheme="minorHAnsi" w:cstheme="minorBidi"/>
                <w:sz w:val="22"/>
                <w:szCs w:val="22"/>
                <w:lang w:val="fr-FR"/>
              </w:rPr>
              <w:t>l</w:t>
            </w:r>
            <w:r w:rsidRPr="00EB5196">
              <w:rPr>
                <w:rFonts w:asciiTheme="minorHAnsi" w:hAnsiTheme="minorHAnsi" w:cstheme="minorBidi"/>
                <w:sz w:val="22"/>
                <w:szCs w:val="22"/>
                <w:lang w:val="fr-FR"/>
              </w:rPr>
              <w:t xml:space="preserve">es ménages inscrits dans le cadre de ce programme </w:t>
            </w:r>
            <w:r w:rsidR="002513DA" w:rsidRPr="00EB5196">
              <w:rPr>
                <w:rFonts w:asciiTheme="minorHAnsi" w:hAnsiTheme="minorHAnsi" w:cstheme="minorBidi"/>
                <w:sz w:val="22"/>
                <w:szCs w:val="22"/>
                <w:lang w:val="fr-FR"/>
              </w:rPr>
              <w:t xml:space="preserve">d’assurance santé </w:t>
            </w:r>
            <w:r w:rsidRPr="00EB5196">
              <w:rPr>
                <w:rFonts w:asciiTheme="minorHAnsi" w:hAnsiTheme="minorHAnsi" w:cstheme="minorBidi"/>
                <w:sz w:val="22"/>
                <w:szCs w:val="22"/>
                <w:lang w:val="fr-FR"/>
              </w:rPr>
              <w:t xml:space="preserve">ont accès aux soins de santé à un </w:t>
            </w:r>
            <w:r w:rsidR="00F52800" w:rsidRPr="00EB5196">
              <w:rPr>
                <w:rFonts w:asciiTheme="minorHAnsi" w:hAnsiTheme="minorHAnsi" w:cstheme="minorBidi"/>
                <w:sz w:val="22"/>
                <w:szCs w:val="22"/>
                <w:lang w:val="fr-FR"/>
              </w:rPr>
              <w:t>co</w:t>
            </w:r>
            <w:r w:rsidR="00F52800">
              <w:rPr>
                <w:rFonts w:asciiTheme="minorHAnsi" w:hAnsiTheme="minorHAnsi" w:cstheme="minorBidi"/>
                <w:sz w:val="22"/>
                <w:szCs w:val="22"/>
                <w:lang w:val="fr-FR"/>
              </w:rPr>
              <w:t>û</w:t>
            </w:r>
            <w:r w:rsidR="00F52800" w:rsidRPr="00EB5196">
              <w:rPr>
                <w:rFonts w:asciiTheme="minorHAnsi" w:hAnsiTheme="minorHAnsi" w:cstheme="minorBidi"/>
                <w:sz w:val="22"/>
                <w:szCs w:val="22"/>
                <w:lang w:val="fr-FR"/>
              </w:rPr>
              <w:t xml:space="preserve">t </w:t>
            </w:r>
            <w:r w:rsidRPr="00EB5196">
              <w:rPr>
                <w:rFonts w:asciiTheme="minorHAnsi" w:hAnsiTheme="minorHAnsi" w:cstheme="minorBidi"/>
                <w:sz w:val="22"/>
                <w:szCs w:val="22"/>
                <w:lang w:val="fr-FR"/>
              </w:rPr>
              <w:t>réduit.</w:t>
            </w:r>
          </w:p>
          <w:p w14:paraId="67A7F2D9" w14:textId="26DE2CC5" w:rsidR="00331A9C" w:rsidRPr="00E437E5" w:rsidRDefault="00331A9C" w:rsidP="00C61CEC">
            <w:pPr>
              <w:pStyle w:val="ListParagraph"/>
              <w:numPr>
                <w:ilvl w:val="0"/>
                <w:numId w:val="17"/>
              </w:numPr>
              <w:spacing w:after="360" w:line="240" w:lineRule="auto"/>
              <w:jc w:val="both"/>
              <w:rPr>
                <w:rFonts w:asciiTheme="minorHAnsi" w:hAnsiTheme="minorHAnsi" w:cstheme="minorHAnsi"/>
                <w:sz w:val="22"/>
                <w:szCs w:val="22"/>
                <w:lang w:val="fr-FR" w:eastAsia="en-GB"/>
              </w:rPr>
            </w:pPr>
            <w:r w:rsidRPr="00E437E5">
              <w:rPr>
                <w:rFonts w:asciiTheme="minorHAnsi" w:hAnsiTheme="minorHAnsi" w:cstheme="minorHAnsi"/>
                <w:sz w:val="22"/>
                <w:szCs w:val="22"/>
                <w:lang w:val="fr-FR" w:eastAsia="en-GB"/>
              </w:rPr>
              <w:t xml:space="preserve">Les trois </w:t>
            </w:r>
            <w:r w:rsidR="001622EA" w:rsidRPr="00E437E5">
              <w:rPr>
                <w:rFonts w:asciiTheme="minorHAnsi" w:hAnsiTheme="minorHAnsi" w:cstheme="minorHAnsi"/>
                <w:sz w:val="22"/>
                <w:szCs w:val="22"/>
                <w:lang w:val="fr-FR" w:eastAsia="en-GB"/>
              </w:rPr>
              <w:t>sous-</w:t>
            </w:r>
            <w:r w:rsidR="00B55CA6" w:rsidRPr="00E437E5">
              <w:rPr>
                <w:rFonts w:asciiTheme="minorHAnsi" w:hAnsiTheme="minorHAnsi" w:cstheme="minorHAnsi"/>
                <w:sz w:val="22"/>
                <w:szCs w:val="22"/>
                <w:lang w:val="fr-FR" w:eastAsia="en-GB"/>
              </w:rPr>
              <w:t>programmes d</w:t>
            </w:r>
            <w:r w:rsidR="001622EA" w:rsidRPr="00E437E5">
              <w:rPr>
                <w:rFonts w:asciiTheme="minorHAnsi" w:hAnsiTheme="minorHAnsi" w:cstheme="minorHAnsi"/>
                <w:sz w:val="22"/>
                <w:szCs w:val="22"/>
                <w:lang w:val="fr-FR" w:eastAsia="en-GB"/>
              </w:rPr>
              <w:t>u programme social</w:t>
            </w:r>
            <w:r w:rsidR="00B55CA6" w:rsidRPr="00E437E5">
              <w:rPr>
                <w:rFonts w:asciiTheme="minorHAnsi" w:hAnsiTheme="minorHAnsi" w:cstheme="minorHAnsi"/>
                <w:sz w:val="22"/>
                <w:szCs w:val="22"/>
                <w:lang w:val="fr-FR" w:eastAsia="en-GB"/>
              </w:rPr>
              <w:t xml:space="preserve"> AMEN Social couvrent environ 1 million de ménages </w:t>
            </w:r>
            <w:r w:rsidR="001622EA" w:rsidRPr="00E437E5">
              <w:rPr>
                <w:rFonts w:asciiTheme="minorHAnsi" w:hAnsiTheme="minorHAnsi" w:cstheme="minorHAnsi"/>
                <w:sz w:val="22"/>
                <w:szCs w:val="22"/>
                <w:lang w:val="fr-FR" w:eastAsia="en-GB"/>
              </w:rPr>
              <w:t>tunisiens à fin 2023.</w:t>
            </w:r>
          </w:p>
          <w:p w14:paraId="3652837B" w14:textId="77777777" w:rsidR="00C61CEC" w:rsidRPr="00EB5196" w:rsidRDefault="00C61CEC" w:rsidP="00C61CEC">
            <w:pPr>
              <w:pStyle w:val="ListParagraph"/>
              <w:spacing w:after="360" w:line="240" w:lineRule="auto"/>
              <w:ind w:left="766"/>
              <w:jc w:val="both"/>
              <w:rPr>
                <w:rFonts w:asciiTheme="minorHAnsi" w:hAnsiTheme="minorHAnsi" w:cstheme="minorHAnsi"/>
                <w:sz w:val="22"/>
                <w:szCs w:val="22"/>
                <w:lang w:val="fr-FR" w:eastAsia="en-GB"/>
              </w:rPr>
            </w:pPr>
          </w:p>
          <w:p w14:paraId="29FA692C" w14:textId="62DAFDD7" w:rsidR="00A53FDD" w:rsidRPr="00DC4B97" w:rsidRDefault="00A53FDD" w:rsidP="00C61CEC">
            <w:pPr>
              <w:pStyle w:val="ListParagraph"/>
              <w:numPr>
                <w:ilvl w:val="0"/>
                <w:numId w:val="4"/>
              </w:numPr>
              <w:spacing w:after="360" w:line="240" w:lineRule="auto"/>
              <w:jc w:val="both"/>
              <w:rPr>
                <w:rFonts w:asciiTheme="minorHAnsi" w:hAnsiTheme="minorHAnsi" w:cstheme="minorHAnsi"/>
                <w:b/>
                <w:bCs/>
                <w:color w:val="4472C4" w:themeColor="accent5"/>
                <w:sz w:val="22"/>
                <w:szCs w:val="22"/>
                <w:lang w:val="fr-FR"/>
              </w:rPr>
            </w:pPr>
            <w:r w:rsidRPr="00DC4B97">
              <w:rPr>
                <w:rFonts w:asciiTheme="minorHAnsi" w:hAnsiTheme="minorHAnsi" w:cstheme="minorHAnsi"/>
                <w:b/>
                <w:bCs/>
                <w:color w:val="4472C4" w:themeColor="accent5"/>
                <w:sz w:val="22"/>
                <w:szCs w:val="22"/>
                <w:lang w:val="fr-FR"/>
              </w:rPr>
              <w:t xml:space="preserve">Programmes de protection sociale </w:t>
            </w:r>
            <w:r w:rsidR="008609D1">
              <w:rPr>
                <w:rFonts w:asciiTheme="minorHAnsi" w:hAnsiTheme="minorHAnsi" w:cstheme="minorHAnsi"/>
                <w:b/>
                <w:bCs/>
                <w:color w:val="4472C4" w:themeColor="accent5"/>
                <w:sz w:val="22"/>
                <w:szCs w:val="22"/>
                <w:lang w:val="fr-FR"/>
              </w:rPr>
              <w:t>destinée aux</w:t>
            </w:r>
            <w:r w:rsidR="00532948">
              <w:rPr>
                <w:rFonts w:asciiTheme="minorHAnsi" w:hAnsiTheme="minorHAnsi" w:cstheme="minorHAnsi"/>
                <w:b/>
                <w:bCs/>
                <w:color w:val="4472C4" w:themeColor="accent5"/>
                <w:sz w:val="22"/>
                <w:szCs w:val="22"/>
                <w:lang w:val="fr-FR"/>
              </w:rPr>
              <w:t xml:space="preserve"> e</w:t>
            </w:r>
            <w:r w:rsidR="00532948" w:rsidRPr="00DC4B97">
              <w:rPr>
                <w:rFonts w:asciiTheme="minorHAnsi" w:hAnsiTheme="minorHAnsi" w:cstheme="minorHAnsi"/>
                <w:b/>
                <w:bCs/>
                <w:color w:val="4472C4" w:themeColor="accent5"/>
                <w:sz w:val="22"/>
                <w:szCs w:val="22"/>
                <w:lang w:val="fr-FR"/>
              </w:rPr>
              <w:t>nfant</w:t>
            </w:r>
            <w:r w:rsidR="00532948">
              <w:rPr>
                <w:rFonts w:asciiTheme="minorHAnsi" w:hAnsiTheme="minorHAnsi" w:cstheme="minorHAnsi"/>
                <w:b/>
                <w:bCs/>
                <w:color w:val="4472C4" w:themeColor="accent5"/>
                <w:sz w:val="22"/>
                <w:szCs w:val="22"/>
                <w:lang w:val="fr-FR"/>
              </w:rPr>
              <w:t xml:space="preserve">s </w:t>
            </w:r>
            <w:r w:rsidR="00532948" w:rsidRPr="00DC4B97">
              <w:rPr>
                <w:rFonts w:asciiTheme="minorHAnsi" w:hAnsiTheme="minorHAnsi" w:cstheme="minorHAnsi"/>
                <w:b/>
                <w:bCs/>
                <w:color w:val="4472C4" w:themeColor="accent5"/>
                <w:sz w:val="22"/>
                <w:szCs w:val="22"/>
                <w:lang w:val="fr-FR"/>
              </w:rPr>
              <w:t>en</w:t>
            </w:r>
            <w:r w:rsidRPr="00DC4B97">
              <w:rPr>
                <w:rFonts w:asciiTheme="minorHAnsi" w:hAnsiTheme="minorHAnsi" w:cstheme="minorHAnsi"/>
                <w:b/>
                <w:bCs/>
                <w:color w:val="4472C4" w:themeColor="accent5"/>
                <w:sz w:val="22"/>
                <w:szCs w:val="22"/>
                <w:lang w:val="fr-FR"/>
              </w:rPr>
              <w:t xml:space="preserve"> Tunisie</w:t>
            </w:r>
          </w:p>
          <w:p w14:paraId="18C4D14A" w14:textId="77777777" w:rsidR="00033A90" w:rsidRPr="00A53FDD" w:rsidRDefault="00033A90" w:rsidP="00033A90">
            <w:pPr>
              <w:spacing w:line="240" w:lineRule="auto"/>
              <w:jc w:val="both"/>
              <w:rPr>
                <w:rFonts w:asciiTheme="minorHAnsi" w:hAnsiTheme="minorHAnsi" w:cstheme="minorBidi"/>
                <w:sz w:val="22"/>
                <w:szCs w:val="22"/>
                <w:lang w:val="fr-FR"/>
              </w:rPr>
            </w:pPr>
            <w:r w:rsidRPr="00397355">
              <w:rPr>
                <w:rFonts w:asciiTheme="minorHAnsi" w:hAnsiTheme="minorHAnsi" w:cstheme="minorHAnsi"/>
                <w:b/>
                <w:bCs/>
                <w:color w:val="auto"/>
                <w:sz w:val="22"/>
                <w:szCs w:val="22"/>
                <w:lang w:val="fr-FR"/>
              </w:rPr>
              <w:t>Système contributif de la protection Sociale pour les enfants</w:t>
            </w:r>
            <w:r w:rsidRPr="00397355">
              <w:rPr>
                <w:rFonts w:asciiTheme="minorHAnsi" w:hAnsiTheme="minorHAnsi" w:cstheme="minorBidi"/>
                <w:color w:val="auto"/>
                <w:sz w:val="22"/>
                <w:szCs w:val="22"/>
                <w:lang w:val="fr-FR"/>
              </w:rPr>
              <w:t xml:space="preserve"> </w:t>
            </w:r>
            <w:r w:rsidRPr="2E1ECB76">
              <w:rPr>
                <w:rFonts w:asciiTheme="minorHAnsi" w:hAnsiTheme="minorHAnsi" w:cstheme="minorBidi"/>
                <w:sz w:val="22"/>
                <w:szCs w:val="22"/>
                <w:lang w:val="fr-FR"/>
              </w:rPr>
              <w:t>Quatre-vingt-dix pour cent de la population active dans le secteur formel sont couverts par les trois principaux fonds d’assurance sociale contributifs, qui comprennent des prestations familiales pour jusqu’à trois enfants par foyer. Cela couvre environ 38 % des enfants tunisiens</w:t>
            </w:r>
            <w:r>
              <w:rPr>
                <w:rStyle w:val="FootnoteReference"/>
                <w:rFonts w:asciiTheme="minorHAnsi" w:hAnsiTheme="minorHAnsi" w:cstheme="minorBidi"/>
                <w:sz w:val="22"/>
                <w:szCs w:val="22"/>
                <w:lang w:val="fr-FR"/>
              </w:rPr>
              <w:footnoteReference w:id="6"/>
            </w:r>
            <w:r w:rsidRPr="2E1ECB76">
              <w:rPr>
                <w:rFonts w:asciiTheme="minorHAnsi" w:hAnsiTheme="minorHAnsi" w:cstheme="minorBidi"/>
                <w:sz w:val="22"/>
                <w:szCs w:val="22"/>
                <w:lang w:val="fr-FR"/>
              </w:rPr>
              <w:t>. Cependant, le montant de l’allocation familiale contributive est d’une faible adéquation et n’a pas été révisé depuis plusieurs décennies. Ainsi, les assurés sociaux du volet contributif,</w:t>
            </w:r>
            <w:r>
              <w:rPr>
                <w:rFonts w:asciiTheme="minorHAnsi" w:hAnsiTheme="minorHAnsi" w:cstheme="minorBidi"/>
                <w:sz w:val="22"/>
                <w:szCs w:val="22"/>
                <w:lang w:val="fr-FR"/>
              </w:rPr>
              <w:t xml:space="preserve"> </w:t>
            </w:r>
            <w:r w:rsidRPr="2E1ECB76">
              <w:rPr>
                <w:rFonts w:asciiTheme="minorHAnsi" w:hAnsiTheme="minorHAnsi" w:cstheme="minorBidi"/>
                <w:sz w:val="22"/>
                <w:szCs w:val="22"/>
                <w:lang w:val="fr-FR"/>
              </w:rPr>
              <w:t>de certains régimes- ayant des enfants à charge bénéficient de :</w:t>
            </w:r>
          </w:p>
          <w:p w14:paraId="519DBEB4" w14:textId="77777777" w:rsidR="00033A90" w:rsidRPr="00DC4B97" w:rsidRDefault="00033A90" w:rsidP="00033A90">
            <w:pPr>
              <w:pStyle w:val="ListParagraph"/>
              <w:numPr>
                <w:ilvl w:val="0"/>
                <w:numId w:val="8"/>
              </w:numPr>
              <w:spacing w:after="360" w:line="240" w:lineRule="auto"/>
              <w:jc w:val="both"/>
              <w:rPr>
                <w:rFonts w:asciiTheme="minorHAnsi" w:hAnsiTheme="minorHAnsi" w:cstheme="minorHAnsi"/>
                <w:b/>
                <w:bCs/>
                <w:sz w:val="22"/>
                <w:szCs w:val="22"/>
                <w:lang w:val="fr-FR"/>
              </w:rPr>
            </w:pPr>
            <w:r w:rsidRPr="00DC4B97">
              <w:rPr>
                <w:rFonts w:asciiTheme="minorHAnsi" w:hAnsiTheme="minorHAnsi" w:cstheme="minorHAnsi"/>
                <w:b/>
                <w:bCs/>
                <w:sz w:val="22"/>
                <w:szCs w:val="22"/>
                <w:lang w:val="fr-FR"/>
              </w:rPr>
              <w:t>Majoration pour salaire unique</w:t>
            </w:r>
          </w:p>
          <w:p w14:paraId="2BA9E06D" w14:textId="77777777" w:rsidR="00033A90" w:rsidRPr="00DC4B97" w:rsidRDefault="00033A90" w:rsidP="00033A90">
            <w:pPr>
              <w:pStyle w:val="ListParagraph"/>
              <w:numPr>
                <w:ilvl w:val="0"/>
                <w:numId w:val="8"/>
              </w:numPr>
              <w:spacing w:after="360" w:line="240" w:lineRule="auto"/>
              <w:jc w:val="both"/>
              <w:rPr>
                <w:rFonts w:asciiTheme="minorHAnsi" w:hAnsiTheme="minorHAnsi" w:cstheme="minorHAnsi"/>
                <w:sz w:val="22"/>
                <w:szCs w:val="22"/>
                <w:lang w:val="fr-FR"/>
              </w:rPr>
            </w:pPr>
            <w:r w:rsidRPr="00DC4B97">
              <w:rPr>
                <w:rFonts w:asciiTheme="minorHAnsi" w:hAnsiTheme="minorHAnsi" w:cstheme="minorHAnsi"/>
                <w:b/>
                <w:bCs/>
                <w:sz w:val="22"/>
                <w:szCs w:val="22"/>
                <w:lang w:val="fr-FR"/>
              </w:rPr>
              <w:t>Allocations familiales :</w:t>
            </w:r>
            <w:r>
              <w:rPr>
                <w:rFonts w:asciiTheme="minorHAnsi" w:hAnsiTheme="minorHAnsi" w:cstheme="minorHAnsi"/>
                <w:sz w:val="22"/>
                <w:szCs w:val="22"/>
                <w:lang w:val="fr-FR"/>
              </w:rPr>
              <w:t xml:space="preserve"> </w:t>
            </w:r>
            <w:r w:rsidRPr="00DC4B97">
              <w:rPr>
                <w:rFonts w:asciiTheme="minorHAnsi" w:hAnsiTheme="minorHAnsi" w:cstheme="minorHAnsi"/>
                <w:sz w:val="22"/>
                <w:szCs w:val="22"/>
                <w:lang w:val="fr-FR"/>
              </w:rPr>
              <w:t xml:space="preserve">Les allocations familiales (AF) sont octroyées aux assurés sociaux de certains régimes de sécurité sociale du secteur public et privé. En sont éligibles les trois premiers enfants (adoptés ou à charge) des employés adhérents à la Caisse Nationale de Retraite et de Prévoyance Sociale (CNRPS) et à </w:t>
            </w:r>
            <w:r>
              <w:rPr>
                <w:rFonts w:asciiTheme="minorHAnsi" w:hAnsiTheme="minorHAnsi" w:cstheme="minorHAnsi"/>
                <w:sz w:val="22"/>
                <w:szCs w:val="22"/>
                <w:lang w:val="fr-FR"/>
              </w:rPr>
              <w:t>quatre</w:t>
            </w:r>
            <w:r w:rsidRPr="00DC4B97">
              <w:rPr>
                <w:rFonts w:asciiTheme="minorHAnsi" w:hAnsiTheme="minorHAnsi" w:cstheme="minorHAnsi"/>
                <w:sz w:val="22"/>
                <w:szCs w:val="22"/>
                <w:lang w:val="fr-FR"/>
              </w:rPr>
              <w:t xml:space="preserve"> des huit régimes de la Caisse Nationale de Sécurité Sociale (CNSS) qui sont les </w:t>
            </w:r>
            <w:r>
              <w:rPr>
                <w:rFonts w:asciiTheme="minorHAnsi" w:hAnsiTheme="minorHAnsi" w:cstheme="minorHAnsi"/>
                <w:sz w:val="22"/>
                <w:szCs w:val="22"/>
                <w:lang w:val="fr-FR"/>
              </w:rPr>
              <w:t>suivants</w:t>
            </w:r>
            <w:r w:rsidRPr="00DC4B97">
              <w:rPr>
                <w:rFonts w:asciiTheme="minorHAnsi" w:hAnsiTheme="minorHAnsi" w:cstheme="minorHAnsi"/>
                <w:sz w:val="22"/>
                <w:szCs w:val="22"/>
                <w:lang w:val="fr-FR"/>
              </w:rPr>
              <w:t> :</w:t>
            </w:r>
          </w:p>
          <w:p w14:paraId="2F1371B1" w14:textId="77777777" w:rsidR="00033A90" w:rsidRPr="00DC4B97" w:rsidRDefault="00033A90" w:rsidP="00033A90">
            <w:pPr>
              <w:pStyle w:val="ListParagraph"/>
              <w:numPr>
                <w:ilvl w:val="1"/>
                <w:numId w:val="9"/>
              </w:numPr>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(i) </w:t>
            </w:r>
            <w:r w:rsidRPr="00DC4B97">
              <w:rPr>
                <w:rFonts w:asciiTheme="minorHAnsi" w:hAnsiTheme="minorHAnsi" w:cstheme="minorHAnsi"/>
                <w:sz w:val="22"/>
                <w:szCs w:val="22"/>
                <w:lang w:val="fr-FR"/>
              </w:rPr>
              <w:t>Salariés Non Agricoles (RSNA), (ii) Salariés Agricoles Amélioré (RSAA) (iii) étudiants</w:t>
            </w:r>
            <w:r>
              <w:rPr>
                <w:rFonts w:asciiTheme="minorHAnsi" w:hAnsiTheme="minorHAnsi" w:cstheme="minorHAnsi"/>
                <w:sz w:val="22"/>
                <w:szCs w:val="22"/>
                <w:lang w:val="fr-FR"/>
              </w:rPr>
              <w:t xml:space="preserve"> et (iv) 2 régimes des pécheurs</w:t>
            </w:r>
            <w:r w:rsidRPr="00DC4B97">
              <w:rPr>
                <w:rFonts w:asciiTheme="minorHAnsi" w:hAnsiTheme="minorHAnsi" w:cstheme="minorHAnsi"/>
                <w:sz w:val="22"/>
                <w:szCs w:val="22"/>
                <w:lang w:val="fr-FR"/>
              </w:rPr>
              <w:t xml:space="preserve">. Sont exclus des AF les enfants des employés agricoles, </w:t>
            </w:r>
            <w:r>
              <w:rPr>
                <w:rFonts w:asciiTheme="minorHAnsi" w:hAnsiTheme="minorHAnsi" w:cstheme="minorHAnsi"/>
                <w:sz w:val="22"/>
                <w:szCs w:val="22"/>
                <w:lang w:val="fr-FR"/>
              </w:rPr>
              <w:t>d</w:t>
            </w:r>
            <w:r w:rsidRPr="00DC4B97">
              <w:rPr>
                <w:rFonts w:asciiTheme="minorHAnsi" w:hAnsiTheme="minorHAnsi" w:cstheme="minorHAnsi"/>
                <w:sz w:val="22"/>
                <w:szCs w:val="22"/>
                <w:lang w:val="fr-FR"/>
              </w:rPr>
              <w:t xml:space="preserve">es employés à propre compte </w:t>
            </w:r>
            <w:r>
              <w:rPr>
                <w:rFonts w:asciiTheme="minorHAnsi" w:hAnsiTheme="minorHAnsi" w:cstheme="minorHAnsi"/>
                <w:sz w:val="22"/>
                <w:szCs w:val="22"/>
                <w:lang w:val="fr-FR"/>
              </w:rPr>
              <w:t xml:space="preserve">ou TNS, des artistes, des petits pécheurs </w:t>
            </w:r>
            <w:r w:rsidRPr="00DC4B97">
              <w:rPr>
                <w:rFonts w:asciiTheme="minorHAnsi" w:hAnsiTheme="minorHAnsi" w:cstheme="minorHAnsi"/>
                <w:sz w:val="22"/>
                <w:szCs w:val="22"/>
                <w:lang w:val="fr-FR"/>
              </w:rPr>
              <w:t xml:space="preserve">et </w:t>
            </w:r>
            <w:r>
              <w:rPr>
                <w:rFonts w:asciiTheme="minorHAnsi" w:hAnsiTheme="minorHAnsi" w:cstheme="minorHAnsi"/>
                <w:sz w:val="22"/>
                <w:szCs w:val="22"/>
                <w:lang w:val="fr-FR"/>
              </w:rPr>
              <w:t>d</w:t>
            </w:r>
            <w:r w:rsidRPr="00DC4B97">
              <w:rPr>
                <w:rFonts w:asciiTheme="minorHAnsi" w:hAnsiTheme="minorHAnsi" w:cstheme="minorHAnsi"/>
                <w:sz w:val="22"/>
                <w:szCs w:val="22"/>
                <w:lang w:val="fr-FR"/>
              </w:rPr>
              <w:t>es employés à faible revenu.</w:t>
            </w:r>
          </w:p>
          <w:p w14:paraId="17FD60B4" w14:textId="77777777" w:rsidR="00033A90" w:rsidRDefault="00033A90" w:rsidP="00033A90">
            <w:pPr>
              <w:spacing w:line="240" w:lineRule="auto"/>
              <w:jc w:val="both"/>
              <w:rPr>
                <w:rFonts w:asciiTheme="minorHAnsi" w:hAnsiTheme="minorHAnsi" w:cstheme="minorHAnsi"/>
                <w:sz w:val="22"/>
                <w:szCs w:val="22"/>
                <w:lang w:val="fr-FR"/>
              </w:rPr>
            </w:pPr>
            <w:r>
              <w:rPr>
                <w:noProof/>
              </w:rPr>
              <w:drawing>
                <wp:inline distT="0" distB="0" distL="0" distR="0" wp14:anchorId="03D11517" wp14:editId="0722BF0B">
                  <wp:extent cx="6131560" cy="335026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31560" cy="3350260"/>
                          </a:xfrm>
                          <a:prstGeom prst="rect">
                            <a:avLst/>
                          </a:prstGeom>
                        </pic:spPr>
                      </pic:pic>
                    </a:graphicData>
                  </a:graphic>
                </wp:inline>
              </w:drawing>
            </w:r>
          </w:p>
          <w:p w14:paraId="6E73A537" w14:textId="77777777" w:rsidR="00033A90" w:rsidRDefault="00033A90" w:rsidP="00033A90">
            <w:pPr>
              <w:spacing w:line="240" w:lineRule="auto"/>
              <w:jc w:val="both"/>
              <w:rPr>
                <w:rFonts w:asciiTheme="minorHAnsi" w:hAnsiTheme="minorHAnsi" w:cstheme="minorHAnsi"/>
                <w:sz w:val="22"/>
                <w:szCs w:val="22"/>
                <w:lang w:val="fr-FR"/>
              </w:rPr>
            </w:pPr>
          </w:p>
          <w:p w14:paraId="6596284A" w14:textId="77777777" w:rsidR="00033A90" w:rsidRPr="00D06126" w:rsidRDefault="00033A90" w:rsidP="00033A90">
            <w:pPr>
              <w:spacing w:line="240" w:lineRule="auto"/>
              <w:jc w:val="both"/>
              <w:rPr>
                <w:rFonts w:asciiTheme="minorHAnsi" w:hAnsiTheme="minorHAnsi" w:cstheme="minorBidi"/>
                <w:sz w:val="22"/>
                <w:szCs w:val="22"/>
                <w:lang w:val="fr-FR"/>
              </w:rPr>
            </w:pPr>
            <w:r w:rsidRPr="1C3E4537">
              <w:rPr>
                <w:rFonts w:asciiTheme="minorHAnsi" w:hAnsiTheme="minorHAnsi" w:cstheme="minorBidi"/>
                <w:sz w:val="22"/>
                <w:szCs w:val="22"/>
                <w:lang w:val="fr-FR"/>
              </w:rPr>
              <w:t>Le montant des AF est dégressif selon le nombre d’enfants et n’est octroyé que dans la limite de trois enfants :</w:t>
            </w:r>
          </w:p>
          <w:p w14:paraId="4C947BB8" w14:textId="77777777" w:rsidR="00033A90" w:rsidRDefault="00033A90" w:rsidP="00033A90">
            <w:pPr>
              <w:pStyle w:val="ListParagraph"/>
              <w:numPr>
                <w:ilvl w:val="0"/>
                <w:numId w:val="10"/>
              </w:numPr>
              <w:spacing w:line="240" w:lineRule="auto"/>
              <w:jc w:val="both"/>
              <w:rPr>
                <w:rFonts w:asciiTheme="minorHAnsi" w:hAnsiTheme="minorHAnsi" w:cstheme="minorHAnsi"/>
                <w:sz w:val="22"/>
                <w:szCs w:val="22"/>
                <w:lang w:val="fr-FR"/>
              </w:rPr>
            </w:pPr>
            <w:r w:rsidRPr="00DC4B97">
              <w:rPr>
                <w:rFonts w:asciiTheme="minorHAnsi" w:hAnsiTheme="minorHAnsi" w:cstheme="minorHAnsi"/>
                <w:sz w:val="22"/>
                <w:szCs w:val="22"/>
                <w:lang w:val="fr-FR"/>
              </w:rPr>
              <w:t>7,3 DT par mois pour le premier enfant correspondant à 18% d'un salaire trimestriel plafonné à 122 DT,</w:t>
            </w:r>
          </w:p>
          <w:p w14:paraId="775B1DB4" w14:textId="77777777" w:rsidR="00033A90" w:rsidRDefault="00033A90" w:rsidP="00033A90">
            <w:pPr>
              <w:pStyle w:val="ListParagraph"/>
              <w:numPr>
                <w:ilvl w:val="0"/>
                <w:numId w:val="10"/>
              </w:numPr>
              <w:spacing w:after="360" w:line="240" w:lineRule="auto"/>
              <w:jc w:val="both"/>
              <w:rPr>
                <w:rFonts w:asciiTheme="minorHAnsi" w:hAnsiTheme="minorHAnsi" w:cstheme="minorHAnsi"/>
                <w:sz w:val="22"/>
                <w:szCs w:val="22"/>
                <w:lang w:val="fr-FR"/>
              </w:rPr>
            </w:pPr>
            <w:r w:rsidRPr="00DC4B97">
              <w:rPr>
                <w:rFonts w:asciiTheme="minorHAnsi" w:hAnsiTheme="minorHAnsi" w:cstheme="minorHAnsi"/>
                <w:sz w:val="22"/>
                <w:szCs w:val="22"/>
                <w:lang w:val="fr-FR"/>
              </w:rPr>
              <w:t>6,5 DT par mois pour le 2ème enfant soit 16% du salaire plafonné,</w:t>
            </w:r>
          </w:p>
          <w:p w14:paraId="7D8F76C0" w14:textId="77777777" w:rsidR="00033A90" w:rsidRPr="00DC4B97" w:rsidRDefault="00033A90" w:rsidP="00033A90">
            <w:pPr>
              <w:pStyle w:val="ListParagraph"/>
              <w:numPr>
                <w:ilvl w:val="0"/>
                <w:numId w:val="10"/>
              </w:numPr>
              <w:spacing w:line="240" w:lineRule="auto"/>
              <w:jc w:val="both"/>
              <w:rPr>
                <w:rFonts w:asciiTheme="minorHAnsi" w:hAnsiTheme="minorHAnsi" w:cstheme="minorHAnsi"/>
                <w:sz w:val="22"/>
                <w:szCs w:val="22"/>
                <w:lang w:val="fr-FR"/>
              </w:rPr>
            </w:pPr>
            <w:r w:rsidRPr="00DC4B97">
              <w:rPr>
                <w:rFonts w:asciiTheme="minorHAnsi" w:hAnsiTheme="minorHAnsi" w:cstheme="minorHAnsi"/>
                <w:sz w:val="22"/>
                <w:szCs w:val="22"/>
                <w:lang w:val="fr-FR"/>
              </w:rPr>
              <w:t>5,7 DT par mois pour le 3ème enfant ce qui correspond à 14% du salaire plafonné.</w:t>
            </w:r>
          </w:p>
          <w:p w14:paraId="03CBA767" w14:textId="77777777" w:rsidR="00033A90" w:rsidRPr="00A53FDD" w:rsidRDefault="00033A90" w:rsidP="00033A90">
            <w:pPr>
              <w:spacing w:line="240" w:lineRule="auto"/>
              <w:jc w:val="both"/>
              <w:rPr>
                <w:rFonts w:asciiTheme="minorHAnsi" w:hAnsiTheme="minorHAnsi" w:cstheme="minorHAnsi"/>
                <w:sz w:val="22"/>
                <w:szCs w:val="22"/>
                <w:lang w:val="fr-FR"/>
              </w:rPr>
            </w:pPr>
            <w:r w:rsidRPr="00A53FDD">
              <w:rPr>
                <w:rFonts w:asciiTheme="minorHAnsi" w:hAnsiTheme="minorHAnsi" w:cstheme="minorHAnsi"/>
                <w:sz w:val="22"/>
                <w:szCs w:val="22"/>
                <w:lang w:val="fr-FR"/>
              </w:rPr>
              <w:t>La valeur des allocations familiales n’a pas fait l’objet de révision depuis 1988</w:t>
            </w:r>
            <w:r>
              <w:rPr>
                <w:rStyle w:val="FootnoteReference"/>
                <w:rFonts w:asciiTheme="minorHAnsi" w:hAnsiTheme="minorHAnsi" w:cstheme="minorHAnsi"/>
                <w:sz w:val="22"/>
                <w:szCs w:val="22"/>
                <w:lang w:val="fr-FR"/>
              </w:rPr>
              <w:footnoteReference w:id="7"/>
            </w:r>
            <w:r w:rsidRPr="00A53FDD">
              <w:rPr>
                <w:rFonts w:asciiTheme="minorHAnsi" w:hAnsiTheme="minorHAnsi" w:cstheme="minorHAnsi"/>
                <w:sz w:val="22"/>
                <w:szCs w:val="22"/>
                <w:lang w:val="fr-FR"/>
              </w:rPr>
              <w:t>. En se référant à l’enquête nationale sur le budget, la consommation et le niveau de vie des ménages réalisée par l’INS en 2015, la valeur moyenne de l’AF représente 0,5% du budget moyen d’une famille tunisienne, et 2,1% des dépenses moyennes par tête</w:t>
            </w:r>
            <w:r w:rsidRPr="00397355">
              <w:rPr>
                <w:rFonts w:asciiTheme="minorHAnsi" w:hAnsiTheme="minorHAnsi" w:cstheme="minorHAnsi"/>
                <w:sz w:val="22"/>
                <w:szCs w:val="22"/>
                <w:vertAlign w:val="superscript"/>
              </w:rPr>
              <w:footnoteReference w:id="8"/>
            </w:r>
            <w:r w:rsidRPr="00A53FDD">
              <w:rPr>
                <w:rFonts w:asciiTheme="minorHAnsi" w:hAnsiTheme="minorHAnsi" w:cstheme="minorHAnsi"/>
                <w:sz w:val="22"/>
                <w:szCs w:val="22"/>
                <w:lang w:val="fr-FR"/>
              </w:rPr>
              <w:t xml:space="preserve">. </w:t>
            </w:r>
          </w:p>
          <w:p w14:paraId="36E1D370" w14:textId="77777777" w:rsidR="00033A90" w:rsidRPr="00A53FDD" w:rsidRDefault="00033A90" w:rsidP="00033A90">
            <w:pPr>
              <w:spacing w:line="240" w:lineRule="auto"/>
              <w:jc w:val="both"/>
              <w:rPr>
                <w:rFonts w:asciiTheme="minorHAnsi" w:hAnsiTheme="minorHAnsi" w:cstheme="minorHAnsi"/>
                <w:sz w:val="22"/>
                <w:szCs w:val="22"/>
                <w:lang w:val="fr-FR"/>
              </w:rPr>
            </w:pPr>
            <w:r w:rsidRPr="00A53FDD">
              <w:rPr>
                <w:rFonts w:asciiTheme="minorHAnsi" w:hAnsiTheme="minorHAnsi" w:cstheme="minorHAnsi"/>
                <w:sz w:val="22"/>
                <w:szCs w:val="22"/>
                <w:lang w:val="fr-FR"/>
              </w:rPr>
              <w:t>Les AF sont gérées par la CNSS pour les assurés sociaux du secteur privé. Pour les assurés sociaux du secteur public, elles sont octroyées directement par les employeurs pour les actifs et par la CNRPS pour les pensionnés</w:t>
            </w:r>
            <w:r>
              <w:rPr>
                <w:rFonts w:asciiTheme="minorHAnsi" w:hAnsiTheme="minorHAnsi" w:cstheme="minorHAnsi"/>
                <w:sz w:val="22"/>
                <w:szCs w:val="22"/>
                <w:lang w:val="fr-FR"/>
              </w:rPr>
              <w:t> :</w:t>
            </w:r>
          </w:p>
          <w:p w14:paraId="1079524C" w14:textId="77777777" w:rsidR="00033A90" w:rsidRDefault="00033A90" w:rsidP="00033A90">
            <w:pPr>
              <w:pStyle w:val="ListParagraph"/>
              <w:numPr>
                <w:ilvl w:val="0"/>
                <w:numId w:val="11"/>
              </w:numPr>
              <w:spacing w:line="240" w:lineRule="auto"/>
              <w:jc w:val="both"/>
              <w:rPr>
                <w:rFonts w:asciiTheme="minorHAnsi" w:hAnsiTheme="minorHAnsi" w:cstheme="minorHAnsi"/>
                <w:sz w:val="22"/>
                <w:szCs w:val="22"/>
                <w:lang w:val="fr-FR"/>
              </w:rPr>
            </w:pPr>
            <w:r w:rsidRPr="00B23D35">
              <w:rPr>
                <w:rFonts w:asciiTheme="minorHAnsi" w:hAnsiTheme="minorHAnsi" w:cstheme="minorHAnsi"/>
                <w:sz w:val="22"/>
                <w:szCs w:val="22"/>
                <w:lang w:val="fr-FR"/>
              </w:rPr>
              <w:t>Les cotisations au titre des AF diffèrent selon le régime dans le secteur privé. Elles sont de 3,1% pour le Régime des Salariés Non Agricoles (dont 2,2% à la charge de l'employeur et 0,9% à la charge de l'employé) et de 4,5% pour le Régime des Salariés Agricoles Amélioré (dont 3% à la charge de l'employeur et 1,5% à la charge de l'employé).</w:t>
            </w:r>
          </w:p>
          <w:p w14:paraId="1956E296" w14:textId="77777777" w:rsidR="00033A90" w:rsidRDefault="00033A90" w:rsidP="00033A90">
            <w:pPr>
              <w:pStyle w:val="ListParagraph"/>
              <w:numPr>
                <w:ilvl w:val="0"/>
                <w:numId w:val="11"/>
              </w:numPr>
              <w:spacing w:line="240" w:lineRule="auto"/>
              <w:jc w:val="both"/>
              <w:rPr>
                <w:rFonts w:asciiTheme="minorHAnsi" w:hAnsiTheme="minorHAnsi" w:cstheme="minorHAnsi"/>
                <w:sz w:val="22"/>
                <w:szCs w:val="22"/>
                <w:lang w:val="fr-FR"/>
              </w:rPr>
            </w:pPr>
            <w:r w:rsidRPr="00B23D35">
              <w:rPr>
                <w:rFonts w:asciiTheme="minorHAnsi" w:hAnsiTheme="minorHAnsi" w:cstheme="minorHAnsi"/>
                <w:sz w:val="22"/>
                <w:szCs w:val="22"/>
                <w:lang w:val="fr-FR"/>
              </w:rPr>
              <w:t xml:space="preserve"> Au niveau du secteur public, les assurés sociaux avec des enfants à charge </w:t>
            </w:r>
            <w:r>
              <w:rPr>
                <w:rFonts w:asciiTheme="minorHAnsi" w:hAnsiTheme="minorHAnsi" w:cstheme="minorHAnsi"/>
                <w:sz w:val="22"/>
                <w:szCs w:val="22"/>
                <w:lang w:val="fr-FR"/>
              </w:rPr>
              <w:t>ont</w:t>
            </w:r>
            <w:r w:rsidRPr="00B23D35">
              <w:rPr>
                <w:rFonts w:asciiTheme="minorHAnsi" w:hAnsiTheme="minorHAnsi" w:cstheme="minorHAnsi"/>
                <w:sz w:val="22"/>
                <w:szCs w:val="22"/>
                <w:lang w:val="fr-FR"/>
              </w:rPr>
              <w:t xml:space="preserve"> droit aux allocations familiales, sans être soumis à des cotisations.</w:t>
            </w:r>
          </w:p>
          <w:p w14:paraId="353F5814" w14:textId="77777777" w:rsidR="00033A90" w:rsidRPr="00B23D35" w:rsidRDefault="00033A90" w:rsidP="00033A90">
            <w:pPr>
              <w:pStyle w:val="ListParagraph"/>
              <w:spacing w:line="240" w:lineRule="auto"/>
              <w:jc w:val="both"/>
              <w:rPr>
                <w:rFonts w:asciiTheme="minorHAnsi" w:hAnsiTheme="minorHAnsi" w:cstheme="minorHAnsi"/>
                <w:sz w:val="22"/>
                <w:szCs w:val="22"/>
                <w:lang w:val="fr-FR"/>
              </w:rPr>
            </w:pPr>
          </w:p>
          <w:p w14:paraId="2477331D" w14:textId="15604945" w:rsidR="00DC4B97" w:rsidRPr="00397355" w:rsidRDefault="00DC4B97" w:rsidP="00033A90">
            <w:pPr>
              <w:spacing w:line="240" w:lineRule="auto"/>
              <w:jc w:val="both"/>
              <w:rPr>
                <w:rFonts w:asciiTheme="minorHAnsi" w:hAnsiTheme="minorHAnsi" w:cstheme="minorHAnsi"/>
                <w:b/>
                <w:bCs/>
                <w:color w:val="auto"/>
                <w:sz w:val="22"/>
                <w:szCs w:val="22"/>
                <w:lang w:val="fr-FR"/>
              </w:rPr>
            </w:pPr>
            <w:r w:rsidRPr="00397355">
              <w:rPr>
                <w:rFonts w:asciiTheme="minorHAnsi" w:hAnsiTheme="minorHAnsi" w:cstheme="minorHAnsi"/>
                <w:b/>
                <w:bCs/>
                <w:color w:val="auto"/>
                <w:sz w:val="22"/>
                <w:szCs w:val="22"/>
                <w:lang w:val="fr-FR"/>
              </w:rPr>
              <w:t>Programmes d’assistance sociale non-contributifs</w:t>
            </w:r>
          </w:p>
          <w:p w14:paraId="526AD1F3" w14:textId="627F316E" w:rsidR="00A53FDD" w:rsidRPr="00A53FDD" w:rsidRDefault="00A53FDD" w:rsidP="00C61CEC">
            <w:pPr>
              <w:spacing w:line="240" w:lineRule="auto"/>
              <w:jc w:val="both"/>
              <w:rPr>
                <w:rStyle w:val="normaltextrun"/>
                <w:rFonts w:asciiTheme="minorHAnsi" w:hAnsiTheme="minorHAnsi" w:cstheme="minorBidi"/>
                <w:b/>
                <w:bCs/>
                <w:sz w:val="22"/>
                <w:szCs w:val="22"/>
                <w:lang w:val="fr-FR"/>
              </w:rPr>
            </w:pPr>
            <w:r w:rsidRPr="2BD32699">
              <w:rPr>
                <w:rFonts w:asciiTheme="minorHAnsi" w:hAnsiTheme="minorHAnsi" w:cstheme="minorBidi"/>
                <w:sz w:val="22"/>
                <w:szCs w:val="22"/>
                <w:lang w:val="fr-FR" w:eastAsia="en-GB"/>
              </w:rPr>
              <w:t>Depuis la crise de la COVID-19, la pauvreté des enfants s’est aggravée en Tunisie. Le taux de pauvreté des enfants a atteint un taux de 26% en 2021</w:t>
            </w:r>
            <w:r w:rsidR="00AD674B">
              <w:rPr>
                <w:rFonts w:asciiTheme="minorHAnsi" w:hAnsiTheme="minorHAnsi" w:cstheme="minorBidi"/>
                <w:sz w:val="22"/>
                <w:szCs w:val="22"/>
                <w:lang w:val="fr-FR" w:eastAsia="en-GB"/>
              </w:rPr>
              <w:t>,</w:t>
            </w:r>
            <w:r w:rsidR="20753589" w:rsidRPr="2BD32699">
              <w:rPr>
                <w:rFonts w:asciiTheme="minorHAnsi" w:hAnsiTheme="minorHAnsi" w:cstheme="minorBidi"/>
                <w:sz w:val="22"/>
                <w:szCs w:val="22"/>
                <w:lang w:val="fr-FR" w:eastAsia="en-GB"/>
              </w:rPr>
              <w:t xml:space="preserve"> </w:t>
            </w:r>
            <w:r w:rsidRPr="2BD32699">
              <w:rPr>
                <w:rFonts w:asciiTheme="minorHAnsi" w:hAnsiTheme="minorHAnsi" w:cstheme="minorBidi"/>
                <w:sz w:val="22"/>
                <w:szCs w:val="22"/>
                <w:lang w:val="fr-FR" w:eastAsia="en-GB"/>
              </w:rPr>
              <w:t xml:space="preserve">largement plus important que le taux de pauvreté national </w:t>
            </w:r>
            <w:r w:rsidR="00FF29E9">
              <w:rPr>
                <w:rFonts w:asciiTheme="minorHAnsi" w:hAnsiTheme="minorHAnsi" w:cstheme="minorBidi"/>
                <w:sz w:val="22"/>
                <w:szCs w:val="22"/>
                <w:lang w:val="fr-FR" w:eastAsia="en-GB"/>
              </w:rPr>
              <w:t xml:space="preserve">de </w:t>
            </w:r>
            <w:r w:rsidRPr="2BD32699">
              <w:rPr>
                <w:rFonts w:asciiTheme="minorHAnsi" w:hAnsiTheme="minorHAnsi" w:cstheme="minorBidi"/>
                <w:sz w:val="22"/>
                <w:szCs w:val="22"/>
                <w:lang w:val="fr-FR" w:eastAsia="en-GB"/>
              </w:rPr>
              <w:t xml:space="preserve">16,6%. Ce taux correspond à 826 000 </w:t>
            </w:r>
            <w:r w:rsidR="00AB20BB">
              <w:rPr>
                <w:rFonts w:asciiTheme="minorHAnsi" w:hAnsiTheme="minorHAnsi" w:cstheme="minorBidi"/>
                <w:sz w:val="22"/>
                <w:szCs w:val="22"/>
                <w:lang w:val="fr-FR" w:eastAsia="en-GB"/>
              </w:rPr>
              <w:t>enfants</w:t>
            </w:r>
            <w:r w:rsidR="00AB20BB" w:rsidRPr="2BD32699">
              <w:rPr>
                <w:rFonts w:asciiTheme="minorHAnsi" w:hAnsiTheme="minorHAnsi" w:cstheme="minorBidi"/>
                <w:sz w:val="22"/>
                <w:szCs w:val="22"/>
                <w:lang w:val="fr-FR" w:eastAsia="en-GB"/>
              </w:rPr>
              <w:t xml:space="preserve"> </w:t>
            </w:r>
            <w:r w:rsidRPr="2BD32699">
              <w:rPr>
                <w:rFonts w:asciiTheme="minorHAnsi" w:hAnsiTheme="minorHAnsi" w:cstheme="minorBidi"/>
                <w:sz w:val="22"/>
                <w:szCs w:val="22"/>
                <w:lang w:val="fr-FR" w:eastAsia="en-GB"/>
              </w:rPr>
              <w:t>vivant en dessous du seuil de pauvreté,</w:t>
            </w:r>
            <w:r w:rsidRPr="2BD32699">
              <w:rPr>
                <w:rStyle w:val="normaltextrun"/>
                <w:rFonts w:asciiTheme="minorHAnsi" w:hAnsiTheme="minorHAnsi" w:cstheme="minorBidi"/>
                <w:sz w:val="22"/>
                <w:szCs w:val="22"/>
                <w:shd w:val="clear" w:color="auto" w:fill="FFFFFF"/>
                <w:lang w:val="fr-FR"/>
              </w:rPr>
              <w:t xml:space="preserve"> dont 406 000 vivants en milieu rural et 240 000 dans la région du Centre-Ouest, région dans laquelle un enfant sur deux vit sous le seuil de pauvreté national</w:t>
            </w:r>
            <w:r w:rsidRPr="2BD32699">
              <w:rPr>
                <w:rStyle w:val="FootnoteReference"/>
                <w:rFonts w:asciiTheme="minorHAnsi" w:hAnsiTheme="minorHAnsi" w:cstheme="minorBidi"/>
                <w:sz w:val="22"/>
                <w:szCs w:val="22"/>
                <w:shd w:val="clear" w:color="auto" w:fill="FFFFFF"/>
                <w:lang w:val="fr-FR"/>
              </w:rPr>
              <w:footnoteReference w:id="9"/>
            </w:r>
            <w:r w:rsidRPr="2BD32699">
              <w:rPr>
                <w:rStyle w:val="normaltextrun"/>
                <w:rFonts w:asciiTheme="minorHAnsi" w:hAnsiTheme="minorHAnsi" w:cstheme="minorBidi"/>
                <w:sz w:val="22"/>
                <w:szCs w:val="22"/>
                <w:shd w:val="clear" w:color="auto" w:fill="FFFFFF"/>
                <w:lang w:val="fr-FR"/>
              </w:rPr>
              <w:t xml:space="preserve">. </w:t>
            </w:r>
          </w:p>
          <w:p w14:paraId="4F6ABB5B" w14:textId="26DAAC6A" w:rsidR="00A53FDD" w:rsidRPr="00A53FDD" w:rsidRDefault="00A53FDD" w:rsidP="00443A69">
            <w:pPr>
              <w:spacing w:line="240" w:lineRule="auto"/>
              <w:jc w:val="both"/>
              <w:rPr>
                <w:rStyle w:val="normaltextrun"/>
                <w:rFonts w:asciiTheme="minorHAnsi" w:hAnsiTheme="minorHAnsi" w:cstheme="minorHAnsi"/>
                <w:sz w:val="22"/>
                <w:szCs w:val="22"/>
                <w:shd w:val="clear" w:color="auto" w:fill="FFFFFF"/>
                <w:lang w:val="fr-FR"/>
              </w:rPr>
            </w:pPr>
            <w:r w:rsidRPr="00A53FDD">
              <w:rPr>
                <w:rStyle w:val="normaltextrun"/>
                <w:rFonts w:asciiTheme="minorHAnsi" w:hAnsiTheme="minorHAnsi" w:cstheme="minorHAnsi"/>
                <w:sz w:val="22"/>
                <w:szCs w:val="22"/>
                <w:shd w:val="clear" w:color="auto" w:fill="FFFFFF"/>
                <w:lang w:val="fr-FR"/>
              </w:rPr>
              <w:t>Pour faire face à ces défis de la pauvreté des enfants et des disparités régionales persistantes, le ministère des Affaires Sociales travaille sur le renforcement du système de protection sociale et de ces 2 composantes :  la composante contributive et la composante non contributive. Cependant, il est à noter que durant les dernières années, le renforcement a été remarquable sur le segment non-contributif (assistanciel). En termes de protection sociale pour les enfants tunisiens, le Ministère a mis en place l’ébauche d’un revenu minimum pour les enfants âgés de 0-18 ans (Pilier Enfance du socle de protection sociale)</w:t>
            </w:r>
            <w:r w:rsidRPr="00A53FDD" w:rsidDel="009729F9">
              <w:rPr>
                <w:rStyle w:val="normaltextrun"/>
                <w:rFonts w:asciiTheme="minorHAnsi" w:hAnsiTheme="minorHAnsi" w:cstheme="minorHAnsi"/>
                <w:sz w:val="22"/>
                <w:szCs w:val="22"/>
                <w:shd w:val="clear" w:color="auto" w:fill="FFFFFF"/>
                <w:lang w:val="fr-FR"/>
              </w:rPr>
              <w:t>.</w:t>
            </w:r>
            <w:r w:rsidRPr="00A53FDD">
              <w:rPr>
                <w:rStyle w:val="normaltextrun"/>
                <w:rFonts w:asciiTheme="minorHAnsi" w:hAnsiTheme="minorHAnsi" w:cstheme="minorHAnsi"/>
                <w:sz w:val="22"/>
                <w:szCs w:val="22"/>
                <w:shd w:val="clear" w:color="auto" w:fill="FFFFFF"/>
                <w:lang w:val="fr-FR"/>
              </w:rPr>
              <w:t xml:space="preserve"> Ce nouveau programme est composé par :</w:t>
            </w:r>
          </w:p>
          <w:p w14:paraId="4CA26468" w14:textId="1C04D7CE" w:rsidR="00A53FDD" w:rsidRPr="00A53FDD" w:rsidRDefault="00A53FDD" w:rsidP="00443A69">
            <w:pPr>
              <w:pStyle w:val="ListParagraph"/>
              <w:numPr>
                <w:ilvl w:val="0"/>
                <w:numId w:val="3"/>
              </w:numPr>
              <w:spacing w:line="240" w:lineRule="auto"/>
              <w:ind w:left="1080"/>
              <w:jc w:val="both"/>
              <w:rPr>
                <w:rFonts w:asciiTheme="minorHAnsi" w:hAnsiTheme="minorHAnsi" w:cstheme="minorHAnsi"/>
                <w:sz w:val="22"/>
                <w:szCs w:val="22"/>
                <w:lang w:val="fr-FR"/>
              </w:rPr>
            </w:pPr>
            <w:r w:rsidRPr="00A53FDD">
              <w:rPr>
                <w:rFonts w:asciiTheme="minorHAnsi" w:hAnsiTheme="minorHAnsi" w:cstheme="minorHAnsi"/>
                <w:b/>
                <w:bCs/>
                <w:sz w:val="22"/>
                <w:szCs w:val="22"/>
                <w:lang w:val="fr-FR"/>
              </w:rPr>
              <w:t>Le Programme d’allocations monétaires pour les enfants (0-18 ans) issus des familles pauvres et vulnérables </w:t>
            </w:r>
            <w:r w:rsidR="004A0514">
              <w:rPr>
                <w:rFonts w:asciiTheme="minorHAnsi" w:hAnsiTheme="minorHAnsi" w:cstheme="minorHAnsi"/>
                <w:b/>
                <w:bCs/>
                <w:sz w:val="22"/>
                <w:szCs w:val="22"/>
                <w:lang w:val="fr-FR"/>
              </w:rPr>
              <w:t>enregistrées</w:t>
            </w:r>
            <w:r w:rsidR="006B21D9">
              <w:rPr>
                <w:rFonts w:asciiTheme="minorHAnsi" w:hAnsiTheme="minorHAnsi" w:cstheme="minorHAnsi"/>
                <w:b/>
                <w:bCs/>
                <w:sz w:val="22"/>
                <w:szCs w:val="22"/>
                <w:lang w:val="fr-FR"/>
              </w:rPr>
              <w:t xml:space="preserve"> dans le programme AMEN Social </w:t>
            </w:r>
            <w:r w:rsidRPr="00A53FDD">
              <w:rPr>
                <w:rFonts w:asciiTheme="minorHAnsi" w:hAnsiTheme="minorHAnsi" w:cstheme="minorHAnsi"/>
                <w:b/>
                <w:bCs/>
                <w:sz w:val="22"/>
                <w:szCs w:val="22"/>
                <w:lang w:val="fr-FR"/>
              </w:rPr>
              <w:t xml:space="preserve">: </w:t>
            </w:r>
            <w:r w:rsidRPr="00A53FDD">
              <w:rPr>
                <w:rFonts w:asciiTheme="minorHAnsi" w:hAnsiTheme="minorHAnsi" w:cstheme="minorHAnsi"/>
                <w:sz w:val="22"/>
                <w:szCs w:val="22"/>
                <w:lang w:val="fr-FR"/>
              </w:rPr>
              <w:t xml:space="preserve">le programme assure la mise en place de la garantie d’un revenu minimum pour les enfants (30TND/ mois, soit 1dt/jour), afin de renforcer les capacités des familles pauvres à subvenir aux besoins essentiels de leurs enfants de moins de 18 ans. </w:t>
            </w:r>
            <w:r w:rsidR="0072541A">
              <w:rPr>
                <w:rFonts w:asciiTheme="minorHAnsi" w:hAnsiTheme="minorHAnsi" w:cstheme="minorHAnsi"/>
                <w:sz w:val="22"/>
                <w:szCs w:val="22"/>
                <w:lang w:val="fr-FR"/>
              </w:rPr>
              <w:t xml:space="preserve">L’allocation </w:t>
            </w:r>
            <w:r w:rsidR="00B961E5">
              <w:rPr>
                <w:rFonts w:asciiTheme="minorHAnsi" w:hAnsiTheme="minorHAnsi" w:cstheme="minorHAnsi"/>
                <w:sz w:val="22"/>
                <w:szCs w:val="22"/>
                <w:lang w:val="fr-FR"/>
              </w:rPr>
              <w:t xml:space="preserve">enfant </w:t>
            </w:r>
            <w:r w:rsidR="0012188C">
              <w:rPr>
                <w:rFonts w:asciiTheme="minorHAnsi" w:hAnsiTheme="minorHAnsi" w:cstheme="minorHAnsi"/>
                <w:sz w:val="22"/>
                <w:szCs w:val="22"/>
                <w:lang w:val="fr-FR"/>
              </w:rPr>
              <w:t xml:space="preserve">pour la tranche </w:t>
            </w:r>
            <w:r w:rsidR="006B21D9">
              <w:rPr>
                <w:rFonts w:asciiTheme="minorHAnsi" w:hAnsiTheme="minorHAnsi" w:cstheme="minorHAnsi"/>
                <w:sz w:val="22"/>
                <w:szCs w:val="22"/>
                <w:lang w:val="fr-FR"/>
              </w:rPr>
              <w:t>d’âge</w:t>
            </w:r>
            <w:r w:rsidR="0012188C">
              <w:rPr>
                <w:rFonts w:asciiTheme="minorHAnsi" w:hAnsiTheme="minorHAnsi" w:cstheme="minorHAnsi"/>
                <w:sz w:val="22"/>
                <w:szCs w:val="22"/>
                <w:lang w:val="fr-FR"/>
              </w:rPr>
              <w:t xml:space="preserve"> 0-5 ans</w:t>
            </w:r>
            <w:r w:rsidR="006B21D9">
              <w:rPr>
                <w:rFonts w:asciiTheme="minorHAnsi" w:hAnsiTheme="minorHAnsi" w:cstheme="minorHAnsi"/>
                <w:sz w:val="22"/>
                <w:szCs w:val="22"/>
                <w:lang w:val="fr-FR"/>
              </w:rPr>
              <w:t xml:space="preserve"> a été </w:t>
            </w:r>
            <w:r w:rsidR="00800DA1">
              <w:rPr>
                <w:rFonts w:asciiTheme="minorHAnsi" w:hAnsiTheme="minorHAnsi" w:cstheme="minorHAnsi"/>
                <w:sz w:val="22"/>
                <w:szCs w:val="22"/>
                <w:lang w:val="fr-FR"/>
              </w:rPr>
              <w:t>institutionnalisée</w:t>
            </w:r>
            <w:r w:rsidR="006B21D9">
              <w:rPr>
                <w:rFonts w:asciiTheme="minorHAnsi" w:hAnsiTheme="minorHAnsi" w:cstheme="minorHAnsi"/>
                <w:sz w:val="22"/>
                <w:szCs w:val="22"/>
                <w:lang w:val="fr-FR"/>
              </w:rPr>
              <w:t xml:space="preserve"> par </w:t>
            </w:r>
            <w:r w:rsidR="00800DA1">
              <w:rPr>
                <w:rFonts w:asciiTheme="minorHAnsi" w:hAnsiTheme="minorHAnsi" w:cstheme="minorHAnsi"/>
                <w:sz w:val="22"/>
                <w:szCs w:val="22"/>
                <w:lang w:val="fr-FR"/>
              </w:rPr>
              <w:t>décret</w:t>
            </w:r>
            <w:r w:rsidR="006B21D9">
              <w:rPr>
                <w:rFonts w:asciiTheme="minorHAnsi" w:hAnsiTheme="minorHAnsi" w:cstheme="minorHAnsi"/>
                <w:sz w:val="22"/>
                <w:szCs w:val="22"/>
                <w:lang w:val="fr-FR"/>
              </w:rPr>
              <w:t xml:space="preserve"> en janvier 2022</w:t>
            </w:r>
            <w:r w:rsidR="00C61CEC">
              <w:rPr>
                <w:rStyle w:val="FootnoteReference"/>
                <w:rFonts w:asciiTheme="minorHAnsi" w:hAnsiTheme="minorHAnsi" w:cstheme="minorHAnsi"/>
                <w:sz w:val="22"/>
                <w:szCs w:val="22"/>
                <w:lang w:val="fr-FR"/>
              </w:rPr>
              <w:footnoteReference w:id="10"/>
            </w:r>
            <w:r w:rsidR="006B21D9">
              <w:rPr>
                <w:rFonts w:asciiTheme="minorHAnsi" w:hAnsiTheme="minorHAnsi" w:cstheme="minorHAnsi"/>
                <w:sz w:val="22"/>
                <w:szCs w:val="22"/>
                <w:lang w:val="fr-FR"/>
              </w:rPr>
              <w:t xml:space="preserve"> et</w:t>
            </w:r>
            <w:r w:rsidR="001A6FDC">
              <w:rPr>
                <w:rFonts w:asciiTheme="minorHAnsi" w:hAnsiTheme="minorHAnsi" w:cstheme="minorHAnsi"/>
                <w:sz w:val="22"/>
                <w:szCs w:val="22"/>
                <w:lang w:val="fr-FR"/>
              </w:rPr>
              <w:t xml:space="preserve"> l</w:t>
            </w:r>
            <w:r w:rsidR="00800DA1">
              <w:rPr>
                <w:rFonts w:asciiTheme="minorHAnsi" w:hAnsiTheme="minorHAnsi" w:cstheme="minorHAnsi"/>
                <w:sz w:val="22"/>
                <w:szCs w:val="22"/>
                <w:lang w:val="fr-FR"/>
              </w:rPr>
              <w:t xml:space="preserve">’allocation enfant pour la tranche </w:t>
            </w:r>
            <w:r w:rsidR="001D629B">
              <w:rPr>
                <w:rFonts w:asciiTheme="minorHAnsi" w:hAnsiTheme="minorHAnsi" w:cstheme="minorHAnsi"/>
                <w:sz w:val="22"/>
                <w:szCs w:val="22"/>
                <w:lang w:val="fr-FR"/>
              </w:rPr>
              <w:t>d’âge</w:t>
            </w:r>
            <w:r w:rsidR="00800DA1">
              <w:rPr>
                <w:rFonts w:asciiTheme="minorHAnsi" w:hAnsiTheme="minorHAnsi" w:cstheme="minorHAnsi"/>
                <w:sz w:val="22"/>
                <w:szCs w:val="22"/>
                <w:lang w:val="fr-FR"/>
              </w:rPr>
              <w:t xml:space="preserve"> 6-18 </w:t>
            </w:r>
            <w:r w:rsidR="000000BF">
              <w:rPr>
                <w:rFonts w:asciiTheme="minorHAnsi" w:hAnsiTheme="minorHAnsi" w:cstheme="minorHAnsi"/>
                <w:sz w:val="22"/>
                <w:szCs w:val="22"/>
                <w:lang w:val="fr-FR"/>
              </w:rPr>
              <w:t xml:space="preserve">ans </w:t>
            </w:r>
            <w:r w:rsidR="00185432">
              <w:rPr>
                <w:rFonts w:asciiTheme="minorHAnsi" w:hAnsiTheme="minorHAnsi" w:cstheme="minorHAnsi"/>
                <w:sz w:val="22"/>
                <w:szCs w:val="22"/>
                <w:lang w:val="fr-FR"/>
              </w:rPr>
              <w:t xml:space="preserve">est </w:t>
            </w:r>
            <w:r w:rsidR="00D332FE">
              <w:rPr>
                <w:rFonts w:asciiTheme="minorHAnsi" w:hAnsiTheme="minorHAnsi" w:cstheme="minorHAnsi"/>
                <w:sz w:val="22"/>
                <w:szCs w:val="22"/>
                <w:lang w:val="fr-FR"/>
              </w:rPr>
              <w:t>pilotée, avec l’appui de l’UNICEF, depuis septembre 2022.</w:t>
            </w:r>
            <w:r w:rsidR="003E4868">
              <w:rPr>
                <w:rFonts w:asciiTheme="minorHAnsi" w:hAnsiTheme="minorHAnsi" w:cstheme="minorHAnsi"/>
                <w:sz w:val="22"/>
                <w:szCs w:val="22"/>
                <w:lang w:val="fr-FR"/>
              </w:rPr>
              <w:t xml:space="preserve"> Cette allocation </w:t>
            </w:r>
            <w:r w:rsidR="00A95661">
              <w:rPr>
                <w:rFonts w:asciiTheme="minorHAnsi" w:hAnsiTheme="minorHAnsi" w:cstheme="minorHAnsi"/>
                <w:sz w:val="22"/>
                <w:szCs w:val="22"/>
                <w:lang w:val="fr-FR"/>
              </w:rPr>
              <w:t xml:space="preserve">monétaire pour les enfants couvre actuellement environ </w:t>
            </w:r>
            <w:r w:rsidR="006A032F">
              <w:rPr>
                <w:rFonts w:asciiTheme="minorHAnsi" w:hAnsiTheme="minorHAnsi" w:cstheme="minorHAnsi"/>
                <w:sz w:val="22"/>
                <w:szCs w:val="22"/>
                <w:lang w:val="fr-FR"/>
              </w:rPr>
              <w:t xml:space="preserve">17% pour les 0-5 ans et </w:t>
            </w:r>
            <w:r w:rsidR="00A95661">
              <w:rPr>
                <w:rFonts w:asciiTheme="minorHAnsi" w:hAnsiTheme="minorHAnsi" w:cstheme="minorHAnsi"/>
                <w:sz w:val="22"/>
                <w:szCs w:val="22"/>
                <w:lang w:val="fr-FR"/>
              </w:rPr>
              <w:t>19</w:t>
            </w:r>
            <w:r w:rsidR="00055368">
              <w:rPr>
                <w:rFonts w:asciiTheme="minorHAnsi" w:hAnsiTheme="minorHAnsi" w:cstheme="minorHAnsi"/>
                <w:sz w:val="22"/>
                <w:szCs w:val="22"/>
                <w:lang w:val="fr-FR"/>
              </w:rPr>
              <w:t xml:space="preserve">% </w:t>
            </w:r>
            <w:r w:rsidR="006A032F">
              <w:rPr>
                <w:rFonts w:asciiTheme="minorHAnsi" w:hAnsiTheme="minorHAnsi" w:cstheme="minorHAnsi"/>
                <w:sz w:val="22"/>
                <w:szCs w:val="22"/>
                <w:lang w:val="fr-FR"/>
              </w:rPr>
              <w:t xml:space="preserve">pour les </w:t>
            </w:r>
            <w:r w:rsidR="000000BF">
              <w:rPr>
                <w:rFonts w:asciiTheme="minorHAnsi" w:hAnsiTheme="minorHAnsi" w:cstheme="minorHAnsi"/>
                <w:sz w:val="22"/>
                <w:szCs w:val="22"/>
                <w:lang w:val="fr-FR"/>
              </w:rPr>
              <w:t xml:space="preserve">6-18 ans </w:t>
            </w:r>
            <w:r w:rsidR="00055368">
              <w:rPr>
                <w:rFonts w:asciiTheme="minorHAnsi" w:hAnsiTheme="minorHAnsi" w:cstheme="minorHAnsi"/>
                <w:sz w:val="22"/>
                <w:szCs w:val="22"/>
                <w:lang w:val="fr-FR"/>
              </w:rPr>
              <w:t>des enfants tunisiens.</w:t>
            </w:r>
          </w:p>
          <w:p w14:paraId="0CF2B52A" w14:textId="7C6BDCC9" w:rsidR="00A53FDD" w:rsidRDefault="00A53FDD" w:rsidP="00443A69">
            <w:pPr>
              <w:pStyle w:val="ListParagraph"/>
              <w:numPr>
                <w:ilvl w:val="0"/>
                <w:numId w:val="3"/>
              </w:numPr>
              <w:spacing w:after="360" w:line="240" w:lineRule="auto"/>
              <w:ind w:left="1080"/>
              <w:jc w:val="both"/>
              <w:rPr>
                <w:rFonts w:asciiTheme="minorHAnsi" w:hAnsiTheme="minorHAnsi" w:cstheme="minorBidi"/>
                <w:sz w:val="22"/>
                <w:szCs w:val="22"/>
                <w:lang w:val="fr-FR"/>
              </w:rPr>
            </w:pPr>
            <w:r w:rsidRPr="1033BC40">
              <w:rPr>
                <w:rFonts w:asciiTheme="minorHAnsi" w:hAnsiTheme="minorHAnsi" w:cstheme="minorBidi"/>
                <w:b/>
                <w:sz w:val="22"/>
                <w:szCs w:val="22"/>
                <w:lang w:val="fr-FR"/>
              </w:rPr>
              <w:lastRenderedPageBreak/>
              <w:t xml:space="preserve">Le programme d’allocation monétaires pour les enfants </w:t>
            </w:r>
            <w:r w:rsidR="001A43F0">
              <w:rPr>
                <w:rFonts w:asciiTheme="minorHAnsi" w:hAnsiTheme="minorHAnsi" w:cstheme="minorBidi"/>
                <w:b/>
                <w:sz w:val="22"/>
                <w:szCs w:val="22"/>
                <w:lang w:val="fr-FR"/>
              </w:rPr>
              <w:t xml:space="preserve">avec </w:t>
            </w:r>
            <w:r w:rsidRPr="1033BC40">
              <w:rPr>
                <w:rFonts w:asciiTheme="minorHAnsi" w:hAnsiTheme="minorHAnsi" w:cstheme="minorBidi"/>
                <w:b/>
                <w:sz w:val="22"/>
                <w:szCs w:val="22"/>
                <w:lang w:val="fr-FR"/>
              </w:rPr>
              <w:t xml:space="preserve">handicap (6-18 ans) issus des familles pauvres et vulnérables : </w:t>
            </w:r>
            <w:r w:rsidR="009246B0" w:rsidRPr="00397355">
              <w:rPr>
                <w:lang w:val="fr-FR"/>
              </w:rPr>
              <w:t xml:space="preserve"> </w:t>
            </w:r>
            <w:r w:rsidR="009246B0" w:rsidRPr="00397355">
              <w:rPr>
                <w:rFonts w:asciiTheme="minorHAnsi" w:hAnsiTheme="minorHAnsi" w:cstheme="minorBidi"/>
                <w:sz w:val="22"/>
                <w:szCs w:val="22"/>
                <w:lang w:val="fr-FR"/>
              </w:rPr>
              <w:t>en complément de l'allocation mensuelle pour enfant de 30</w:t>
            </w:r>
            <w:r w:rsidR="00695F27">
              <w:rPr>
                <w:rFonts w:asciiTheme="minorHAnsi" w:hAnsiTheme="minorHAnsi" w:cstheme="minorBidi"/>
                <w:sz w:val="22"/>
                <w:szCs w:val="22"/>
                <w:lang w:val="fr-FR"/>
              </w:rPr>
              <w:t xml:space="preserve"> TND</w:t>
            </w:r>
            <w:r w:rsidR="009246B0" w:rsidRPr="00397355">
              <w:rPr>
                <w:rFonts w:asciiTheme="minorHAnsi" w:hAnsiTheme="minorHAnsi" w:cstheme="minorBidi"/>
                <w:sz w:val="22"/>
                <w:szCs w:val="22"/>
                <w:lang w:val="fr-FR"/>
              </w:rPr>
              <w:t xml:space="preserve">, </w:t>
            </w:r>
            <w:r w:rsidR="00695F27">
              <w:rPr>
                <w:rFonts w:asciiTheme="minorHAnsi" w:hAnsiTheme="minorHAnsi" w:cstheme="minorBidi"/>
                <w:sz w:val="22"/>
                <w:szCs w:val="22"/>
                <w:lang w:val="fr-FR"/>
              </w:rPr>
              <w:t>u</w:t>
            </w:r>
            <w:r w:rsidRPr="1033BC40">
              <w:rPr>
                <w:rFonts w:asciiTheme="minorHAnsi" w:hAnsiTheme="minorHAnsi" w:cstheme="minorBidi"/>
                <w:sz w:val="22"/>
                <w:szCs w:val="22"/>
                <w:lang w:val="fr-FR"/>
              </w:rPr>
              <w:t xml:space="preserve">ne allocation mensuelle de </w:t>
            </w:r>
            <w:r w:rsidR="00233D53" w:rsidRPr="1033BC40">
              <w:rPr>
                <w:rFonts w:asciiTheme="minorHAnsi" w:hAnsiTheme="minorHAnsi" w:cstheme="minorBidi"/>
                <w:sz w:val="22"/>
                <w:szCs w:val="22"/>
                <w:lang w:val="fr-FR"/>
              </w:rPr>
              <w:t xml:space="preserve">20 </w:t>
            </w:r>
            <w:r w:rsidRPr="0E4C9BFC">
              <w:rPr>
                <w:rFonts w:asciiTheme="minorHAnsi" w:hAnsiTheme="minorHAnsi" w:cstheme="minorBidi"/>
                <w:sz w:val="22"/>
                <w:szCs w:val="22"/>
                <w:lang w:val="fr-FR"/>
              </w:rPr>
              <w:t>TND</w:t>
            </w:r>
            <w:r w:rsidRPr="1033BC40">
              <w:rPr>
                <w:rFonts w:asciiTheme="minorHAnsi" w:hAnsiTheme="minorHAnsi" w:cstheme="minorBidi"/>
                <w:sz w:val="22"/>
                <w:szCs w:val="22"/>
                <w:lang w:val="fr-FR"/>
              </w:rPr>
              <w:t xml:space="preserve"> est octroyée à chaque enfant porteurs d’handicap et issus de familles bénéficiaires du programme AMEN Social. </w:t>
            </w:r>
          </w:p>
          <w:p w14:paraId="3C00A53F" w14:textId="77777777" w:rsidR="00BF2489" w:rsidRPr="00BF2489" w:rsidRDefault="00BF2489" w:rsidP="00443A69">
            <w:pPr>
              <w:pStyle w:val="ListParagraph"/>
              <w:spacing w:line="240" w:lineRule="auto"/>
              <w:ind w:left="360"/>
              <w:jc w:val="both"/>
              <w:rPr>
                <w:rFonts w:asciiTheme="minorHAnsi" w:hAnsiTheme="minorHAnsi" w:cstheme="minorHAnsi"/>
                <w:color w:val="4472C4" w:themeColor="accent5"/>
                <w:sz w:val="22"/>
                <w:szCs w:val="22"/>
                <w:lang w:val="fr-FR"/>
              </w:rPr>
            </w:pPr>
          </w:p>
          <w:p w14:paraId="7028148E" w14:textId="5F5EA4D8" w:rsidR="00033A90" w:rsidRDefault="00033A90" w:rsidP="00033A90">
            <w:pPr>
              <w:spacing w:line="240" w:lineRule="auto"/>
              <w:jc w:val="both"/>
              <w:rPr>
                <w:rFonts w:asciiTheme="minorHAnsi" w:hAnsiTheme="minorHAnsi" w:cstheme="minorBidi"/>
                <w:sz w:val="22"/>
                <w:szCs w:val="22"/>
                <w:lang w:val="fr-FR"/>
              </w:rPr>
            </w:pPr>
            <w:r w:rsidRPr="11168155">
              <w:rPr>
                <w:rFonts w:asciiTheme="minorHAnsi" w:hAnsiTheme="minorHAnsi" w:cstheme="minorBidi"/>
                <w:sz w:val="22"/>
                <w:szCs w:val="22"/>
                <w:lang w:val="fr-FR"/>
              </w:rPr>
              <w:t>En 2015, le nombre d’enfants de moins de 18 ans a été estimé à 3,1 millions, dont 1,19 million bénéfici</w:t>
            </w:r>
            <w:r w:rsidR="009A5AD8">
              <w:rPr>
                <w:rFonts w:asciiTheme="minorHAnsi" w:hAnsiTheme="minorHAnsi" w:cstheme="minorBidi"/>
                <w:sz w:val="22"/>
                <w:szCs w:val="22"/>
                <w:lang w:val="fr-FR"/>
              </w:rPr>
              <w:t>ai</w:t>
            </w:r>
            <w:r w:rsidRPr="11168155">
              <w:rPr>
                <w:rFonts w:asciiTheme="minorHAnsi" w:hAnsiTheme="minorHAnsi" w:cstheme="minorBidi"/>
                <w:sz w:val="22"/>
                <w:szCs w:val="22"/>
                <w:lang w:val="fr-FR"/>
              </w:rPr>
              <w:t>ent d’un transfert monétaire sous le système contributif (CNSS, CNRPS) ou le système non contributif (P</w:t>
            </w:r>
            <w:r>
              <w:rPr>
                <w:rFonts w:asciiTheme="minorHAnsi" w:hAnsiTheme="minorHAnsi" w:cstheme="minorBidi"/>
                <w:sz w:val="22"/>
                <w:szCs w:val="22"/>
                <w:lang w:val="fr-FR"/>
              </w:rPr>
              <w:t>rogramme pour allocations scolaires (P</w:t>
            </w:r>
            <w:r w:rsidRPr="11168155">
              <w:rPr>
                <w:rFonts w:asciiTheme="minorHAnsi" w:hAnsiTheme="minorHAnsi" w:cstheme="minorBidi"/>
                <w:sz w:val="22"/>
                <w:szCs w:val="22"/>
                <w:lang w:val="fr-FR"/>
              </w:rPr>
              <w:t>PAS</w:t>
            </w:r>
            <w:r w:rsidRPr="00397355">
              <w:rPr>
                <w:rFonts w:asciiTheme="minorHAnsi" w:hAnsiTheme="minorHAnsi" w:cstheme="minorBidi"/>
                <w:sz w:val="22"/>
                <w:szCs w:val="22"/>
                <w:lang w:val="fr-FR"/>
              </w:rPr>
              <w:t>)</w:t>
            </w:r>
            <w:r w:rsidRPr="11168155">
              <w:rPr>
                <w:rFonts w:asciiTheme="minorHAnsi" w:hAnsiTheme="minorHAnsi" w:cstheme="minorBidi"/>
                <w:sz w:val="22"/>
                <w:szCs w:val="22"/>
                <w:lang w:val="fr-FR"/>
              </w:rPr>
              <w:t>). Ainsi, 1,83 million d’enfants ne bénéfici</w:t>
            </w:r>
            <w:r w:rsidR="007D13B0">
              <w:rPr>
                <w:rFonts w:asciiTheme="minorHAnsi" w:hAnsiTheme="minorHAnsi" w:cstheme="minorBidi"/>
                <w:sz w:val="22"/>
                <w:szCs w:val="22"/>
                <w:lang w:val="fr-FR"/>
              </w:rPr>
              <w:t>ai</w:t>
            </w:r>
            <w:r w:rsidRPr="11168155">
              <w:rPr>
                <w:rFonts w:asciiTheme="minorHAnsi" w:hAnsiTheme="minorHAnsi" w:cstheme="minorBidi"/>
                <w:sz w:val="22"/>
                <w:szCs w:val="22"/>
                <w:lang w:val="fr-FR"/>
              </w:rPr>
              <w:t>ent d’aucune forme d’allocation familiale ou allocation monétaire enfant.</w:t>
            </w:r>
          </w:p>
          <w:p w14:paraId="78CE5B70" w14:textId="6E46B25B" w:rsidR="00B23D35" w:rsidRDefault="00B23D35" w:rsidP="00397355">
            <w:pPr>
              <w:spacing w:line="240" w:lineRule="auto"/>
              <w:jc w:val="both"/>
              <w:rPr>
                <w:rFonts w:asciiTheme="minorHAnsi" w:hAnsiTheme="minorHAnsi" w:cstheme="minorBidi"/>
                <w:sz w:val="22"/>
                <w:szCs w:val="22"/>
                <w:lang w:val="fr-FR"/>
              </w:rPr>
            </w:pPr>
          </w:p>
          <w:p w14:paraId="34B4246B" w14:textId="44041CC2" w:rsidR="00B23D35" w:rsidRDefault="00A53FDD" w:rsidP="29CE899B">
            <w:pPr>
              <w:spacing w:line="240" w:lineRule="auto"/>
              <w:jc w:val="both"/>
              <w:rPr>
                <w:rFonts w:asciiTheme="minorHAnsi" w:hAnsiTheme="minorHAnsi" w:cstheme="minorBidi"/>
                <w:sz w:val="22"/>
                <w:szCs w:val="22"/>
                <w:lang w:val="fr-FR"/>
              </w:rPr>
            </w:pPr>
            <w:r w:rsidRPr="0C8E2D44">
              <w:rPr>
                <w:rFonts w:asciiTheme="minorHAnsi" w:hAnsiTheme="minorHAnsi" w:cstheme="minorBidi"/>
                <w:sz w:val="22"/>
                <w:szCs w:val="22"/>
                <w:lang w:val="fr-FR"/>
              </w:rPr>
              <w:t>La Figure 1 présente le taux de couverture des enfants par groupe d’âge</w:t>
            </w:r>
            <w:r w:rsidR="00551D0A" w:rsidRPr="0C8E2D44">
              <w:rPr>
                <w:rFonts w:asciiTheme="minorHAnsi" w:hAnsiTheme="minorHAnsi" w:cstheme="minorBidi"/>
                <w:sz w:val="22"/>
                <w:szCs w:val="22"/>
                <w:lang w:val="fr-FR"/>
              </w:rPr>
              <w:t xml:space="preserve"> et montre que</w:t>
            </w:r>
            <w:r w:rsidRPr="0C8E2D44">
              <w:rPr>
                <w:rFonts w:asciiTheme="minorHAnsi" w:hAnsiTheme="minorHAnsi" w:cstheme="minorBidi"/>
                <w:sz w:val="22"/>
                <w:szCs w:val="22"/>
                <w:lang w:val="fr-FR"/>
              </w:rPr>
              <w:t xml:space="preserve"> </w:t>
            </w:r>
            <w:r w:rsidR="00551D0A" w:rsidRPr="0C8E2D44">
              <w:rPr>
                <w:rFonts w:asciiTheme="minorHAnsi" w:hAnsiTheme="minorHAnsi" w:cstheme="minorBidi"/>
                <w:sz w:val="22"/>
                <w:szCs w:val="22"/>
                <w:lang w:val="fr-FR"/>
              </w:rPr>
              <w:t>p</w:t>
            </w:r>
            <w:r w:rsidRPr="0C8E2D44">
              <w:rPr>
                <w:rFonts w:asciiTheme="minorHAnsi" w:hAnsiTheme="minorHAnsi" w:cstheme="minorBidi"/>
                <w:sz w:val="22"/>
                <w:szCs w:val="22"/>
                <w:lang w:val="fr-FR"/>
              </w:rPr>
              <w:t xml:space="preserve">rès de 59% des enfants ne </w:t>
            </w:r>
            <w:r w:rsidR="00453ECB" w:rsidRPr="0C8E2D44">
              <w:rPr>
                <w:rFonts w:asciiTheme="minorHAnsi" w:hAnsiTheme="minorHAnsi" w:cstheme="minorBidi"/>
                <w:sz w:val="22"/>
                <w:szCs w:val="22"/>
                <w:lang w:val="fr-FR"/>
              </w:rPr>
              <w:t>bénéfic</w:t>
            </w:r>
            <w:r w:rsidR="00453ECB">
              <w:rPr>
                <w:rFonts w:asciiTheme="minorHAnsi" w:hAnsiTheme="minorHAnsi" w:cstheme="minorBidi"/>
                <w:sz w:val="22"/>
                <w:szCs w:val="22"/>
                <w:lang w:val="fr-FR"/>
              </w:rPr>
              <w:t>i</w:t>
            </w:r>
            <w:r w:rsidR="00453ECB" w:rsidRPr="0C8E2D44">
              <w:rPr>
                <w:rFonts w:asciiTheme="minorHAnsi" w:hAnsiTheme="minorHAnsi" w:cstheme="minorBidi"/>
                <w:sz w:val="22"/>
                <w:szCs w:val="22"/>
                <w:lang w:val="fr-FR"/>
              </w:rPr>
              <w:t>aient</w:t>
            </w:r>
            <w:r w:rsidRPr="0C8E2D44">
              <w:rPr>
                <w:rFonts w:asciiTheme="minorHAnsi" w:hAnsiTheme="minorHAnsi" w:cstheme="minorBidi"/>
                <w:sz w:val="22"/>
                <w:szCs w:val="22"/>
                <w:lang w:val="fr-FR"/>
              </w:rPr>
              <w:t xml:space="preserve"> </w:t>
            </w:r>
            <w:r w:rsidR="00453ECB">
              <w:rPr>
                <w:rFonts w:asciiTheme="minorHAnsi" w:hAnsiTheme="minorHAnsi" w:cstheme="minorBidi"/>
                <w:sz w:val="22"/>
                <w:szCs w:val="22"/>
                <w:lang w:val="fr-FR"/>
              </w:rPr>
              <w:t xml:space="preserve">en 2015 </w:t>
            </w:r>
            <w:r w:rsidRPr="0C8E2D44">
              <w:rPr>
                <w:rFonts w:asciiTheme="minorHAnsi" w:hAnsiTheme="minorHAnsi" w:cstheme="minorBidi"/>
                <w:sz w:val="22"/>
                <w:szCs w:val="22"/>
                <w:lang w:val="fr-FR"/>
              </w:rPr>
              <w:t>d’aucun transfert monétaire hormis les aides scolaires ponctuelles.</w:t>
            </w:r>
            <w:r w:rsidR="00551D0A" w:rsidRPr="0C8E2D44">
              <w:rPr>
                <w:rFonts w:asciiTheme="minorHAnsi" w:hAnsiTheme="minorHAnsi" w:cstheme="minorBidi"/>
                <w:sz w:val="22"/>
                <w:szCs w:val="22"/>
                <w:lang w:val="fr-FR"/>
              </w:rPr>
              <w:t xml:space="preserve"> Pour le groupe d’enfants 6-12 ans</w:t>
            </w:r>
            <w:r w:rsidR="001E4C6E" w:rsidRPr="0C8E2D44">
              <w:rPr>
                <w:rFonts w:asciiTheme="minorHAnsi" w:hAnsiTheme="minorHAnsi" w:cstheme="minorBidi"/>
                <w:sz w:val="22"/>
                <w:szCs w:val="22"/>
                <w:lang w:val="fr-FR"/>
              </w:rPr>
              <w:t xml:space="preserve"> et 13-17 ans</w:t>
            </w:r>
            <w:r w:rsidR="00551D0A" w:rsidRPr="0C8E2D44">
              <w:rPr>
                <w:rFonts w:asciiTheme="minorHAnsi" w:hAnsiTheme="minorHAnsi" w:cstheme="minorBidi"/>
                <w:sz w:val="22"/>
                <w:szCs w:val="22"/>
                <w:lang w:val="fr-FR"/>
              </w:rPr>
              <w:t>, l</w:t>
            </w:r>
            <w:r w:rsidRPr="0C8E2D44">
              <w:rPr>
                <w:rFonts w:asciiTheme="minorHAnsi" w:hAnsiTheme="minorHAnsi" w:cstheme="minorBidi"/>
                <w:sz w:val="22"/>
                <w:szCs w:val="22"/>
                <w:lang w:val="fr-FR"/>
              </w:rPr>
              <w:t>e taux de couverture</w:t>
            </w:r>
            <w:r w:rsidR="64AEAB66" w:rsidRPr="0C8E2D44">
              <w:rPr>
                <w:rFonts w:asciiTheme="minorHAnsi" w:hAnsiTheme="minorHAnsi" w:cstheme="minorBidi"/>
                <w:sz w:val="22"/>
                <w:szCs w:val="22"/>
                <w:lang w:val="fr-FR"/>
              </w:rPr>
              <w:t xml:space="preserve"> </w:t>
            </w:r>
            <w:r w:rsidR="00BE7451">
              <w:rPr>
                <w:rFonts w:asciiTheme="minorHAnsi" w:hAnsiTheme="minorHAnsi" w:cstheme="minorBidi"/>
                <w:sz w:val="22"/>
                <w:szCs w:val="22"/>
                <w:lang w:val="fr-FR"/>
              </w:rPr>
              <w:t>était</w:t>
            </w:r>
            <w:r w:rsidR="64AEAB66" w:rsidRPr="0C8E2D44">
              <w:rPr>
                <w:rFonts w:asciiTheme="minorHAnsi" w:hAnsiTheme="minorHAnsi" w:cstheme="minorBidi"/>
                <w:sz w:val="22"/>
                <w:szCs w:val="22"/>
                <w:lang w:val="fr-FR"/>
              </w:rPr>
              <w:t xml:space="preserve"> estimé </w:t>
            </w:r>
            <w:r w:rsidR="00BE7451">
              <w:rPr>
                <w:rFonts w:asciiTheme="minorHAnsi" w:hAnsiTheme="minorHAnsi" w:cstheme="minorBidi"/>
                <w:sz w:val="22"/>
                <w:szCs w:val="22"/>
                <w:lang w:val="fr-FR"/>
              </w:rPr>
              <w:t xml:space="preserve">en 2015 </w:t>
            </w:r>
            <w:r w:rsidR="64AEAB66" w:rsidRPr="0C8E2D44">
              <w:rPr>
                <w:rFonts w:asciiTheme="minorHAnsi" w:hAnsiTheme="minorHAnsi" w:cstheme="minorBidi"/>
                <w:sz w:val="22"/>
                <w:szCs w:val="22"/>
                <w:lang w:val="fr-FR"/>
              </w:rPr>
              <w:t>à</w:t>
            </w:r>
            <w:r w:rsidRPr="0C8E2D44">
              <w:rPr>
                <w:rFonts w:asciiTheme="minorHAnsi" w:hAnsiTheme="minorHAnsi" w:cstheme="minorBidi"/>
                <w:sz w:val="22"/>
                <w:szCs w:val="22"/>
                <w:lang w:val="fr-FR"/>
              </w:rPr>
              <w:t xml:space="preserve"> 45% à 35% </w:t>
            </w:r>
            <w:r w:rsidR="001E4C6E" w:rsidRPr="0C8E2D44">
              <w:rPr>
                <w:rFonts w:asciiTheme="minorHAnsi" w:hAnsiTheme="minorHAnsi" w:cstheme="minorBidi"/>
                <w:sz w:val="22"/>
                <w:szCs w:val="22"/>
                <w:lang w:val="fr-FR"/>
              </w:rPr>
              <w:t>respectivement</w:t>
            </w:r>
            <w:r w:rsidRPr="0C8E2D44">
              <w:rPr>
                <w:rFonts w:asciiTheme="minorHAnsi" w:hAnsiTheme="minorHAnsi" w:cstheme="minorBidi"/>
                <w:sz w:val="22"/>
                <w:szCs w:val="22"/>
                <w:lang w:val="fr-FR"/>
              </w:rPr>
              <w:t>.</w:t>
            </w:r>
            <w:r w:rsidR="00BE7451">
              <w:rPr>
                <w:rFonts w:asciiTheme="minorHAnsi" w:hAnsiTheme="minorHAnsi" w:cstheme="minorBidi"/>
                <w:sz w:val="22"/>
                <w:szCs w:val="22"/>
                <w:lang w:val="fr-FR"/>
              </w:rPr>
              <w:t xml:space="preserve"> </w:t>
            </w:r>
            <w:r w:rsidRPr="6FAAC148">
              <w:rPr>
                <w:rFonts w:asciiTheme="minorHAnsi" w:hAnsiTheme="minorHAnsi" w:cstheme="minorBidi"/>
                <w:sz w:val="22"/>
                <w:szCs w:val="22"/>
                <w:lang w:val="fr-FR"/>
              </w:rPr>
              <w:t xml:space="preserve">Des disparités importantes dans la couverture sont également observées entre les deux systèmes. Le taux de couverture sous le système non contributif est </w:t>
            </w:r>
            <w:r w:rsidR="008A50A0">
              <w:rPr>
                <w:rFonts w:asciiTheme="minorHAnsi" w:hAnsiTheme="minorHAnsi" w:cstheme="minorBidi"/>
                <w:sz w:val="22"/>
                <w:szCs w:val="22"/>
                <w:lang w:val="fr-FR"/>
              </w:rPr>
              <w:t xml:space="preserve">en 2015 </w:t>
            </w:r>
            <w:r w:rsidRPr="6FAAC148">
              <w:rPr>
                <w:rFonts w:asciiTheme="minorHAnsi" w:hAnsiTheme="minorHAnsi" w:cstheme="minorBidi"/>
                <w:sz w:val="22"/>
                <w:szCs w:val="22"/>
                <w:lang w:val="fr-FR"/>
              </w:rPr>
              <w:t>estimé à 8% alors qu’il atteint 58% pour le système contributif. Le nombre total des bénéficiaires d</w:t>
            </w:r>
            <w:r w:rsidR="009940CC">
              <w:rPr>
                <w:rFonts w:asciiTheme="minorHAnsi" w:hAnsiTheme="minorHAnsi" w:cstheme="minorBidi"/>
                <w:sz w:val="22"/>
                <w:szCs w:val="22"/>
                <w:lang w:val="fr-FR"/>
              </w:rPr>
              <w:t>u Programme pour Allocations Scolaires (P</w:t>
            </w:r>
            <w:r w:rsidRPr="6FAAC148">
              <w:rPr>
                <w:rFonts w:asciiTheme="minorHAnsi" w:hAnsiTheme="minorHAnsi" w:cstheme="minorBidi"/>
                <w:sz w:val="22"/>
                <w:szCs w:val="22"/>
                <w:lang w:val="fr-FR"/>
              </w:rPr>
              <w:t>PAS</w:t>
            </w:r>
            <w:r w:rsidR="009940CC">
              <w:rPr>
                <w:rFonts w:asciiTheme="minorHAnsi" w:hAnsiTheme="minorHAnsi" w:cstheme="minorBidi"/>
                <w:sz w:val="22"/>
                <w:szCs w:val="22"/>
                <w:lang w:val="fr-FR"/>
              </w:rPr>
              <w:t>)</w:t>
            </w:r>
            <w:r w:rsidRPr="6FAAC148">
              <w:rPr>
                <w:rFonts w:asciiTheme="minorHAnsi" w:hAnsiTheme="minorHAnsi" w:cstheme="minorBidi"/>
                <w:sz w:val="22"/>
                <w:szCs w:val="22"/>
                <w:lang w:val="fr-FR"/>
              </w:rPr>
              <w:t xml:space="preserve"> ne dépass</w:t>
            </w:r>
            <w:r w:rsidR="00BE7451">
              <w:rPr>
                <w:rFonts w:asciiTheme="minorHAnsi" w:hAnsiTheme="minorHAnsi" w:cstheme="minorBidi"/>
                <w:sz w:val="22"/>
                <w:szCs w:val="22"/>
                <w:lang w:val="fr-FR"/>
              </w:rPr>
              <w:t>aient</w:t>
            </w:r>
            <w:r w:rsidRPr="6FAAC148">
              <w:rPr>
                <w:rFonts w:asciiTheme="minorHAnsi" w:hAnsiTheme="minorHAnsi" w:cstheme="minorBidi"/>
                <w:sz w:val="22"/>
                <w:szCs w:val="22"/>
                <w:lang w:val="fr-FR"/>
              </w:rPr>
              <w:t xml:space="preserve"> pas 74</w:t>
            </w:r>
            <w:r w:rsidR="008A50A0">
              <w:rPr>
                <w:rFonts w:asciiTheme="minorHAnsi" w:hAnsiTheme="minorHAnsi" w:cstheme="minorBidi"/>
                <w:sz w:val="22"/>
                <w:szCs w:val="22"/>
                <w:lang w:val="fr-FR"/>
              </w:rPr>
              <w:t xml:space="preserve"> </w:t>
            </w:r>
            <w:r w:rsidRPr="6FAAC148">
              <w:rPr>
                <w:rFonts w:asciiTheme="minorHAnsi" w:hAnsiTheme="minorHAnsi" w:cstheme="minorBidi"/>
                <w:sz w:val="22"/>
                <w:szCs w:val="22"/>
                <w:lang w:val="fr-FR"/>
              </w:rPr>
              <w:t>569 enfants</w:t>
            </w:r>
            <w:r w:rsidR="6E41706F" w:rsidRPr="6FAAC148">
              <w:rPr>
                <w:rFonts w:asciiTheme="minorHAnsi" w:hAnsiTheme="minorHAnsi" w:cstheme="minorBidi"/>
                <w:sz w:val="22"/>
                <w:szCs w:val="22"/>
                <w:lang w:val="fr-FR"/>
              </w:rPr>
              <w:t xml:space="preserve"> en 2015</w:t>
            </w:r>
            <w:r w:rsidRPr="6FAAC148">
              <w:rPr>
                <w:rFonts w:asciiTheme="minorHAnsi" w:hAnsiTheme="minorHAnsi" w:cstheme="minorBidi"/>
                <w:sz w:val="22"/>
                <w:szCs w:val="22"/>
                <w:lang w:val="fr-FR"/>
              </w:rPr>
              <w:t xml:space="preserve">. </w:t>
            </w:r>
            <w:r w:rsidR="00326ACA">
              <w:rPr>
                <w:rFonts w:asciiTheme="minorHAnsi" w:hAnsiTheme="minorHAnsi" w:cstheme="minorBidi"/>
                <w:sz w:val="22"/>
                <w:szCs w:val="22"/>
                <w:lang w:val="fr-FR"/>
              </w:rPr>
              <w:t>En 2023, on estime que</w:t>
            </w:r>
            <w:r w:rsidR="00326ACA" w:rsidRPr="002E465C">
              <w:rPr>
                <w:lang w:val="fr-FR"/>
              </w:rPr>
              <w:t xml:space="preserve"> </w:t>
            </w:r>
            <w:r w:rsidR="00326ACA" w:rsidRPr="00326ACA">
              <w:rPr>
                <w:rFonts w:asciiTheme="minorHAnsi" w:hAnsiTheme="minorHAnsi" w:cstheme="minorBidi"/>
                <w:sz w:val="22"/>
                <w:szCs w:val="22"/>
                <w:lang w:val="fr-FR"/>
              </w:rPr>
              <w:t>156</w:t>
            </w:r>
            <w:r w:rsidR="00326ACA">
              <w:rPr>
                <w:rFonts w:asciiTheme="minorHAnsi" w:hAnsiTheme="minorHAnsi" w:cstheme="minorBidi"/>
                <w:sz w:val="22"/>
                <w:szCs w:val="22"/>
                <w:lang w:val="fr-FR"/>
              </w:rPr>
              <w:t>,</w:t>
            </w:r>
            <w:r w:rsidR="00326ACA" w:rsidRPr="00326ACA">
              <w:rPr>
                <w:rFonts w:asciiTheme="minorHAnsi" w:hAnsiTheme="minorHAnsi" w:cstheme="minorBidi"/>
                <w:sz w:val="22"/>
                <w:szCs w:val="22"/>
                <w:lang w:val="fr-FR"/>
              </w:rPr>
              <w:t>000 enfants</w:t>
            </w:r>
            <w:r w:rsidR="00326ACA">
              <w:rPr>
                <w:rFonts w:asciiTheme="minorHAnsi" w:hAnsiTheme="minorHAnsi" w:cstheme="minorBidi"/>
                <w:sz w:val="22"/>
                <w:szCs w:val="22"/>
                <w:lang w:val="fr-FR"/>
              </w:rPr>
              <w:t xml:space="preserve"> de 0-5 ans </w:t>
            </w:r>
            <w:r w:rsidR="002E465C">
              <w:rPr>
                <w:rFonts w:asciiTheme="minorHAnsi" w:hAnsiTheme="minorHAnsi" w:cstheme="minorBidi"/>
                <w:sz w:val="22"/>
                <w:szCs w:val="22"/>
                <w:lang w:val="fr-FR"/>
              </w:rPr>
              <w:t>de AMEN Social bénéficient de l’allocation enfant mensuelle de 30</w:t>
            </w:r>
            <w:r w:rsidR="001D410B">
              <w:rPr>
                <w:rFonts w:asciiTheme="minorHAnsi" w:hAnsiTheme="minorHAnsi" w:cstheme="minorBidi"/>
                <w:sz w:val="22"/>
                <w:szCs w:val="22"/>
                <w:lang w:val="fr-FR"/>
              </w:rPr>
              <w:t xml:space="preserve">DT, </w:t>
            </w:r>
            <w:r w:rsidR="001D410B" w:rsidRPr="00C97F8B">
              <w:rPr>
                <w:lang w:val="fr-FR"/>
              </w:rPr>
              <w:t>144,305</w:t>
            </w:r>
            <w:r w:rsidR="00C97F8B">
              <w:rPr>
                <w:rFonts w:asciiTheme="minorHAnsi" w:hAnsiTheme="minorHAnsi" w:cstheme="minorBidi"/>
                <w:sz w:val="22"/>
                <w:szCs w:val="22"/>
                <w:lang w:val="fr-FR"/>
              </w:rPr>
              <w:t xml:space="preserve"> enfants de 6-18 ans </w:t>
            </w:r>
            <w:r w:rsidR="00B62C34">
              <w:rPr>
                <w:rFonts w:asciiTheme="minorHAnsi" w:hAnsiTheme="minorHAnsi" w:cstheme="minorBidi"/>
                <w:sz w:val="22"/>
                <w:szCs w:val="22"/>
                <w:lang w:val="fr-FR"/>
              </w:rPr>
              <w:t xml:space="preserve">de AMEN Social bénéficient de l’allocation mensuelle PPAS de 10DT sur budget de l’Etat et complétée par 20DT par mois de l’UNICEF et que </w:t>
            </w:r>
            <w:r w:rsidR="00CE08BD">
              <w:rPr>
                <w:rFonts w:asciiTheme="minorHAnsi" w:hAnsiTheme="minorHAnsi" w:cstheme="minorBidi"/>
                <w:sz w:val="22"/>
                <w:szCs w:val="22"/>
                <w:lang w:val="fr-FR"/>
              </w:rPr>
              <w:t>278,</w:t>
            </w:r>
            <w:r w:rsidR="00454AB0">
              <w:rPr>
                <w:rFonts w:asciiTheme="minorHAnsi" w:hAnsiTheme="minorHAnsi" w:cstheme="minorBidi"/>
                <w:sz w:val="22"/>
                <w:szCs w:val="22"/>
                <w:lang w:val="fr-FR"/>
              </w:rPr>
              <w:t>378 enfants de 6-18 de AMEN Social bénéficient de l’allocation enfant mensuelle</w:t>
            </w:r>
            <w:r w:rsidR="00B647F9">
              <w:rPr>
                <w:rFonts w:asciiTheme="minorHAnsi" w:hAnsiTheme="minorHAnsi" w:cstheme="minorBidi"/>
                <w:sz w:val="22"/>
                <w:szCs w:val="22"/>
                <w:lang w:val="fr-FR"/>
              </w:rPr>
              <w:t xml:space="preserve"> de 30DT financée par UNICEF.</w:t>
            </w:r>
            <w:r w:rsidR="00454AB0">
              <w:rPr>
                <w:rFonts w:asciiTheme="minorHAnsi" w:hAnsiTheme="minorHAnsi" w:cstheme="minorBidi"/>
                <w:sz w:val="22"/>
                <w:szCs w:val="22"/>
                <w:lang w:val="fr-FR"/>
              </w:rPr>
              <w:t xml:space="preserve"> </w:t>
            </w:r>
            <w:r w:rsidR="003F5AB6">
              <w:rPr>
                <w:rFonts w:asciiTheme="minorHAnsi" w:hAnsiTheme="minorHAnsi" w:cstheme="minorBidi"/>
                <w:sz w:val="22"/>
                <w:szCs w:val="22"/>
                <w:lang w:val="fr-FR"/>
              </w:rPr>
              <w:t xml:space="preserve">Ainsi au total en 2023 environ </w:t>
            </w:r>
            <w:r w:rsidR="009F6833">
              <w:rPr>
                <w:rFonts w:asciiTheme="minorHAnsi" w:hAnsiTheme="minorHAnsi" w:cstheme="minorBidi"/>
                <w:sz w:val="22"/>
                <w:szCs w:val="22"/>
                <w:lang w:val="fr-FR"/>
              </w:rPr>
              <w:t>578,683 enfants AMEN Social bénéficient d’une allocation mensuelle de 30DT.</w:t>
            </w:r>
          </w:p>
          <w:p w14:paraId="7D726E54" w14:textId="356849AB" w:rsidR="00771367" w:rsidRDefault="00FC6DA6" w:rsidP="00397355">
            <w:pPr>
              <w:spacing w:line="240" w:lineRule="auto"/>
              <w:jc w:val="both"/>
              <w:rPr>
                <w:rFonts w:asciiTheme="minorHAnsi" w:hAnsiTheme="minorHAnsi" w:cstheme="minorHAnsi"/>
                <w:sz w:val="22"/>
                <w:szCs w:val="22"/>
                <w:lang w:val="fr-FR"/>
              </w:rPr>
            </w:pPr>
            <w:r w:rsidRPr="00960677">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53689453" wp14:editId="3A8FBCD7">
                      <wp:simplePos x="0" y="0"/>
                      <wp:positionH relativeFrom="margin">
                        <wp:posOffset>-93345</wp:posOffset>
                      </wp:positionH>
                      <wp:positionV relativeFrom="paragraph">
                        <wp:posOffset>99489</wp:posOffset>
                      </wp:positionV>
                      <wp:extent cx="6229350" cy="321945"/>
                      <wp:effectExtent l="0" t="0" r="19050" b="20955"/>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32194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40F836A" w14:textId="52D88109" w:rsidR="00B23D35" w:rsidRPr="00397355" w:rsidRDefault="00551D0A" w:rsidP="00B23D35">
                                  <w:pPr>
                                    <w:ind w:left="720"/>
                                    <w:jc w:val="center"/>
                                    <w:rPr>
                                      <w:rFonts w:asciiTheme="minorHAnsi" w:hAnsiTheme="minorHAnsi" w:cstheme="minorHAnsi"/>
                                      <w:lang w:val="fr-FR"/>
                                    </w:rPr>
                                  </w:pPr>
                                  <w:r w:rsidRPr="00397355">
                                    <w:rPr>
                                      <w:rFonts w:asciiTheme="minorHAnsi" w:hAnsiTheme="minorHAnsi" w:cstheme="minorHAnsi"/>
                                      <w:b/>
                                      <w:bCs/>
                                      <w:noProof/>
                                      <w:lang w:val="fr-FR"/>
                                    </w:rPr>
                                    <w:t xml:space="preserve">Figure 1 : </w:t>
                                  </w:r>
                                  <w:r w:rsidR="00B23D35" w:rsidRPr="00397355">
                                    <w:rPr>
                                      <w:rFonts w:asciiTheme="minorHAnsi" w:hAnsiTheme="minorHAnsi" w:cstheme="minorHAnsi"/>
                                      <w:b/>
                                      <w:bCs/>
                                      <w:noProof/>
                                      <w:lang w:val="fr-FR"/>
                                    </w:rPr>
                                    <w:t>Protection Sociale </w:t>
                                  </w:r>
                                  <w:r w:rsidRPr="00397355">
                                    <w:rPr>
                                      <w:rFonts w:asciiTheme="minorHAnsi" w:hAnsiTheme="minorHAnsi" w:cstheme="minorHAnsi"/>
                                      <w:b/>
                                      <w:bCs/>
                                      <w:noProof/>
                                      <w:lang w:val="fr-FR"/>
                                    </w:rPr>
                                    <w:t xml:space="preserve">- </w:t>
                                  </w:r>
                                  <w:r w:rsidRPr="00397355">
                                    <w:rPr>
                                      <w:rFonts w:asciiTheme="minorHAnsi" w:hAnsiTheme="minorHAnsi" w:cstheme="minorHAnsi"/>
                                      <w:noProof/>
                                      <w:lang w:val="fr-FR"/>
                                    </w:rPr>
                                    <w:t>L</w:t>
                                  </w:r>
                                  <w:r w:rsidR="00B23D35" w:rsidRPr="00397355">
                                    <w:rPr>
                                      <w:rFonts w:asciiTheme="minorHAnsi" w:hAnsiTheme="minorHAnsi" w:cstheme="minorHAnsi"/>
                                      <w:noProof/>
                                      <w:lang w:val="fr-FR"/>
                                    </w:rPr>
                                    <w:t>es taux  de couverture des enfants</w:t>
                                  </w:r>
                                  <w:r w:rsidR="00305451">
                                    <w:rPr>
                                      <w:rFonts w:asciiTheme="minorHAnsi" w:hAnsiTheme="minorHAnsi" w:cstheme="minorHAnsi"/>
                                      <w:noProof/>
                                      <w:lang w:val="fr-FR"/>
                                    </w:rPr>
                                    <w:t xml:space="preserve"> en 2015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89453" id="Rectangle 225" o:spid="_x0000_s1026" style="position:absolute;left:0;text-align:left;margin-left:-7.35pt;margin-top:7.85pt;width:490.5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" fillcolor="#c3c3c3 [2166]" strokecolor="#a5a5a5 [3206]" strokeweight=".5pt">
                      <v:fill color2="#b6b6b6 [2614]" rotate="t" colors="0 #d2d2d2;.5 #c8c8c8;1 silver" focus="100%" type="gradient">
                        <o:fill v:ext="view" type="gradientUnscaled"/>
                      </v:fill>
                      <v:path arrowok="t"/>
                      <v:textbox>
                        <w:txbxContent>
                          <w:p w14:paraId="240F836A" w14:textId="52D88109" w:rsidR="00B23D35" w:rsidRPr="00397355" w:rsidRDefault="00551D0A" w:rsidP="00B23D35">
                            <w:pPr>
                              <w:ind w:left="720"/>
                              <w:jc w:val="center"/>
                              <w:rPr>
                                <w:rFonts w:asciiTheme="minorHAnsi" w:hAnsiTheme="minorHAnsi" w:cstheme="minorHAnsi"/>
                                <w:lang w:val="fr-FR"/>
                              </w:rPr>
                            </w:pPr>
                            <w:r w:rsidRPr="00397355">
                              <w:rPr>
                                <w:rFonts w:asciiTheme="minorHAnsi" w:hAnsiTheme="minorHAnsi" w:cstheme="minorHAnsi"/>
                                <w:b/>
                                <w:bCs/>
                                <w:noProof/>
                                <w:lang w:val="fr-FR"/>
                              </w:rPr>
                              <w:t xml:space="preserve">Figure 1 : </w:t>
                            </w:r>
                            <w:r w:rsidR="00B23D35" w:rsidRPr="00397355">
                              <w:rPr>
                                <w:rFonts w:asciiTheme="minorHAnsi" w:hAnsiTheme="minorHAnsi" w:cstheme="minorHAnsi"/>
                                <w:b/>
                                <w:bCs/>
                                <w:noProof/>
                                <w:lang w:val="fr-FR"/>
                              </w:rPr>
                              <w:t>Protection Sociale </w:t>
                            </w:r>
                            <w:r w:rsidRPr="00397355">
                              <w:rPr>
                                <w:rFonts w:asciiTheme="minorHAnsi" w:hAnsiTheme="minorHAnsi" w:cstheme="minorHAnsi"/>
                                <w:b/>
                                <w:bCs/>
                                <w:noProof/>
                                <w:lang w:val="fr-FR"/>
                              </w:rPr>
                              <w:t xml:space="preserve">- </w:t>
                            </w:r>
                            <w:r w:rsidRPr="00397355">
                              <w:rPr>
                                <w:rFonts w:asciiTheme="minorHAnsi" w:hAnsiTheme="minorHAnsi" w:cstheme="minorHAnsi"/>
                                <w:noProof/>
                                <w:lang w:val="fr-FR"/>
                              </w:rPr>
                              <w:t>L</w:t>
                            </w:r>
                            <w:r w:rsidR="00B23D35" w:rsidRPr="00397355">
                              <w:rPr>
                                <w:rFonts w:asciiTheme="minorHAnsi" w:hAnsiTheme="minorHAnsi" w:cstheme="minorHAnsi"/>
                                <w:noProof/>
                                <w:lang w:val="fr-FR"/>
                              </w:rPr>
                              <w:t>es taux  de couverture des enfants</w:t>
                            </w:r>
                            <w:r w:rsidR="00305451">
                              <w:rPr>
                                <w:rFonts w:asciiTheme="minorHAnsi" w:hAnsiTheme="minorHAnsi" w:cstheme="minorHAnsi"/>
                                <w:noProof/>
                                <w:lang w:val="fr-FR"/>
                              </w:rPr>
                              <w:t xml:space="preserve"> en 2015</w:t>
                            </w:r>
                          </w:p>
                        </w:txbxContent>
                      </v:textbox>
                      <w10:wrap anchorx="margin"/>
                    </v:rect>
                  </w:pict>
                </mc:Fallback>
              </mc:AlternateContent>
            </w:r>
          </w:p>
          <w:p w14:paraId="4F36464A" w14:textId="1E55F568" w:rsidR="00B23D35" w:rsidRPr="00960677" w:rsidRDefault="00B23D35" w:rsidP="00397355">
            <w:pPr>
              <w:pStyle w:val="Caption"/>
              <w:rPr>
                <w:rFonts w:cstheme="minorHAnsi"/>
                <w:lang w:val="fr-FR"/>
              </w:rPr>
            </w:pPr>
          </w:p>
          <w:p w14:paraId="70335E0B" w14:textId="77777777" w:rsidR="00B23D35" w:rsidRPr="00960677" w:rsidRDefault="00B23D35" w:rsidP="00397355">
            <w:pPr>
              <w:spacing w:line="240" w:lineRule="auto"/>
              <w:rPr>
                <w:rFonts w:cstheme="minorHAnsi"/>
                <w:lang w:val="en-GB"/>
              </w:rPr>
            </w:pPr>
            <w:r w:rsidRPr="00960677">
              <w:rPr>
                <w:rFonts w:cstheme="minorHAnsi"/>
                <w:i/>
                <w:noProof/>
                <w:lang w:val="fr-FR" w:eastAsia="fr-FR"/>
              </w:rPr>
              <w:drawing>
                <wp:inline distT="0" distB="0" distL="0" distR="0" wp14:anchorId="51AFC56C" wp14:editId="2EE4922A">
                  <wp:extent cx="5848350" cy="1962150"/>
                  <wp:effectExtent l="38100" t="0" r="38100" b="0"/>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DABD20A" w14:textId="790AD548" w:rsidR="00B23D35" w:rsidRPr="00C760DC" w:rsidRDefault="00B23D35" w:rsidP="00CE6111">
            <w:pPr>
              <w:pStyle w:val="Caption"/>
              <w:rPr>
                <w:rFonts w:asciiTheme="minorHAnsi" w:hAnsiTheme="minorHAnsi" w:cstheme="minorHAnsi"/>
                <w:lang w:val="fr-FR"/>
              </w:rPr>
            </w:pPr>
            <w:r w:rsidRPr="00C760DC">
              <w:rPr>
                <w:rFonts w:asciiTheme="minorHAnsi" w:hAnsiTheme="minorHAnsi" w:cstheme="minorHAnsi"/>
                <w:lang w:val="fr-FR"/>
              </w:rPr>
              <w:t xml:space="preserve">Tableau </w:t>
            </w:r>
            <w:r w:rsidRPr="00C760DC">
              <w:rPr>
                <w:rFonts w:asciiTheme="minorHAnsi" w:hAnsiTheme="minorHAnsi" w:cstheme="minorHAnsi"/>
              </w:rPr>
              <w:fldChar w:fldCharType="begin"/>
            </w:r>
            <w:r w:rsidRPr="00C760DC">
              <w:rPr>
                <w:rFonts w:asciiTheme="minorHAnsi" w:hAnsiTheme="minorHAnsi" w:cstheme="minorHAnsi"/>
                <w:lang w:val="fr-FR"/>
              </w:rPr>
              <w:instrText xml:space="preserve"> SEQ Tableau \* ARABIC </w:instrText>
            </w:r>
            <w:r w:rsidRPr="00C760DC">
              <w:rPr>
                <w:rFonts w:asciiTheme="minorHAnsi" w:hAnsiTheme="minorHAnsi" w:cstheme="minorHAnsi"/>
              </w:rPr>
              <w:fldChar w:fldCharType="separate"/>
            </w:r>
            <w:r w:rsidR="00E82AF8">
              <w:rPr>
                <w:rFonts w:asciiTheme="minorHAnsi" w:hAnsiTheme="minorHAnsi" w:cstheme="minorHAnsi"/>
                <w:noProof/>
                <w:lang w:val="fr-FR"/>
              </w:rPr>
              <w:t>1</w:t>
            </w:r>
            <w:r w:rsidRPr="00C760DC">
              <w:rPr>
                <w:rFonts w:asciiTheme="minorHAnsi" w:hAnsiTheme="minorHAnsi" w:cstheme="minorHAnsi"/>
              </w:rPr>
              <w:fldChar w:fldCharType="end"/>
            </w:r>
            <w:r w:rsidRPr="00C760DC">
              <w:rPr>
                <w:rFonts w:asciiTheme="minorHAnsi" w:hAnsiTheme="minorHAnsi" w:cstheme="minorHAnsi"/>
                <w:lang w:val="fr-FR"/>
              </w:rPr>
              <w:t xml:space="preserve">: Répartition </w:t>
            </w:r>
            <w:r w:rsidR="008C7D31">
              <w:rPr>
                <w:rFonts w:asciiTheme="minorHAnsi" w:hAnsiTheme="minorHAnsi" w:cstheme="minorHAnsi"/>
                <w:lang w:val="fr-FR"/>
              </w:rPr>
              <w:t xml:space="preserve">en 2019 </w:t>
            </w:r>
            <w:r w:rsidRPr="00C760DC">
              <w:rPr>
                <w:rFonts w:asciiTheme="minorHAnsi" w:hAnsiTheme="minorHAnsi" w:cstheme="minorHAnsi"/>
                <w:lang w:val="fr-FR"/>
              </w:rPr>
              <w:t>de la population couverte et exclue des AF par régime et groupe d’âge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1"/>
              <w:gridCol w:w="1202"/>
              <w:gridCol w:w="1224"/>
              <w:gridCol w:w="1202"/>
              <w:gridCol w:w="1609"/>
              <w:gridCol w:w="1562"/>
              <w:gridCol w:w="1209"/>
            </w:tblGrid>
            <w:tr w:rsidR="00B23D35" w:rsidRPr="00951153" w14:paraId="488EA9CE" w14:textId="77777777">
              <w:trPr>
                <w:trHeight w:val="320"/>
              </w:trPr>
              <w:tc>
                <w:tcPr>
                  <w:tcW w:w="1201" w:type="dxa"/>
                  <w:tcBorders>
                    <w:top w:val="single" w:sz="4" w:space="0" w:color="auto"/>
                    <w:left w:val="single" w:sz="4" w:space="0" w:color="auto"/>
                    <w:bottom w:val="single" w:sz="4" w:space="0" w:color="auto"/>
                    <w:right w:val="single" w:sz="4" w:space="0" w:color="auto"/>
                  </w:tcBorders>
                  <w:noWrap/>
                  <w:vAlign w:val="center"/>
                  <w:hideMark/>
                </w:tcPr>
                <w:p w14:paraId="43A5C830"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Groupe</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49FDAB55"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Population en millions</w:t>
                  </w:r>
                </w:p>
              </w:tc>
              <w:tc>
                <w:tcPr>
                  <w:tcW w:w="1224" w:type="dxa"/>
                  <w:tcBorders>
                    <w:top w:val="single" w:sz="4" w:space="0" w:color="auto"/>
                    <w:left w:val="single" w:sz="4" w:space="0" w:color="auto"/>
                    <w:bottom w:val="single" w:sz="4" w:space="0" w:color="auto"/>
                    <w:right w:val="single" w:sz="4" w:space="0" w:color="auto"/>
                  </w:tcBorders>
                  <w:noWrap/>
                  <w:vAlign w:val="center"/>
                  <w:hideMark/>
                </w:tcPr>
                <w:p w14:paraId="23A2CA2D"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Enfants couverts par un transfert monétaire</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3732E236"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en-GB"/>
                    </w:rPr>
                  </w:pPr>
                  <w:r w:rsidRPr="00397355">
                    <w:rPr>
                      <w:rFonts w:asciiTheme="minorHAnsi" w:hAnsiTheme="minorHAnsi" w:cstheme="minorHAnsi"/>
                      <w:sz w:val="18"/>
                      <w:szCs w:val="18"/>
                      <w:lang w:val="fr-FR"/>
                    </w:rPr>
                    <w:t>Dont</w:t>
                  </w:r>
                  <w:r w:rsidRPr="00397355">
                    <w:rPr>
                      <w:rFonts w:asciiTheme="minorHAnsi" w:hAnsiTheme="minorHAnsi" w:cstheme="minorHAnsi"/>
                      <w:sz w:val="18"/>
                      <w:szCs w:val="18"/>
                    </w:rPr>
                    <w:t xml:space="preserve"> régime </w:t>
                  </w:r>
                  <w:r w:rsidRPr="00397355">
                    <w:rPr>
                      <w:rFonts w:asciiTheme="minorHAnsi" w:hAnsiTheme="minorHAnsi" w:cstheme="minorHAnsi"/>
                      <w:sz w:val="18"/>
                      <w:szCs w:val="18"/>
                      <w:lang w:val="fr-FR"/>
                    </w:rPr>
                    <w:t>contributif</w:t>
                  </w:r>
                </w:p>
              </w:tc>
              <w:tc>
                <w:tcPr>
                  <w:tcW w:w="1609" w:type="dxa"/>
                  <w:tcBorders>
                    <w:top w:val="single" w:sz="4" w:space="0" w:color="auto"/>
                    <w:left w:val="single" w:sz="4" w:space="0" w:color="auto"/>
                    <w:bottom w:val="single" w:sz="4" w:space="0" w:color="auto"/>
                    <w:right w:val="single" w:sz="4" w:space="0" w:color="auto"/>
                  </w:tcBorders>
                  <w:noWrap/>
                  <w:vAlign w:val="center"/>
                  <w:hideMark/>
                </w:tcPr>
                <w:p w14:paraId="361CFE7F"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 xml:space="preserve">Enfants Exclus de toute prestation financière mensuelle (5) tout transfert monétaire </w:t>
                  </w:r>
                </w:p>
              </w:tc>
              <w:tc>
                <w:tcPr>
                  <w:tcW w:w="1562" w:type="dxa"/>
                  <w:tcBorders>
                    <w:top w:val="single" w:sz="4" w:space="0" w:color="auto"/>
                    <w:left w:val="single" w:sz="4" w:space="0" w:color="auto"/>
                    <w:bottom w:val="single" w:sz="4" w:space="0" w:color="auto"/>
                    <w:right w:val="single" w:sz="4" w:space="0" w:color="auto"/>
                  </w:tcBorders>
                  <w:noWrap/>
                  <w:vAlign w:val="center"/>
                  <w:hideMark/>
                </w:tcPr>
                <w:p w14:paraId="115C0F8D"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Dont les parents dans le régime contributif</w:t>
                  </w:r>
                </w:p>
              </w:tc>
              <w:tc>
                <w:tcPr>
                  <w:tcW w:w="1209" w:type="dxa"/>
                  <w:tcBorders>
                    <w:top w:val="single" w:sz="4" w:space="0" w:color="auto"/>
                    <w:left w:val="single" w:sz="4" w:space="0" w:color="auto"/>
                    <w:bottom w:val="single" w:sz="4" w:space="0" w:color="auto"/>
                    <w:right w:val="single" w:sz="4" w:space="0" w:color="auto"/>
                  </w:tcBorders>
                  <w:hideMark/>
                </w:tcPr>
                <w:p w14:paraId="13CD5DA8"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Dont les parents dans le système non contributif</w:t>
                  </w:r>
                </w:p>
              </w:tc>
            </w:tr>
            <w:tr w:rsidR="00B23D35" w:rsidRPr="00951153" w14:paraId="58FB7A27" w14:textId="77777777">
              <w:trPr>
                <w:trHeight w:val="320"/>
              </w:trPr>
              <w:tc>
                <w:tcPr>
                  <w:tcW w:w="1201" w:type="dxa"/>
                  <w:tcBorders>
                    <w:top w:val="single" w:sz="4" w:space="0" w:color="auto"/>
                    <w:left w:val="single" w:sz="4" w:space="0" w:color="auto"/>
                    <w:bottom w:val="single" w:sz="4" w:space="0" w:color="auto"/>
                    <w:right w:val="single" w:sz="4" w:space="0" w:color="auto"/>
                  </w:tcBorders>
                  <w:noWrap/>
                  <w:vAlign w:val="bottom"/>
                  <w:hideMark/>
                </w:tcPr>
                <w:p w14:paraId="24153162" w14:textId="77777777" w:rsidR="00B23D35" w:rsidRPr="00397355" w:rsidRDefault="00B23D35" w:rsidP="00951153">
                  <w:pPr>
                    <w:framePr w:hSpace="180" w:wrap="around" w:hAnchor="margin" w:y="530"/>
                    <w:spacing w:line="240" w:lineRule="auto"/>
                    <w:rPr>
                      <w:rFonts w:asciiTheme="minorHAnsi" w:hAnsiTheme="minorHAnsi" w:cstheme="minorHAnsi"/>
                      <w:sz w:val="18"/>
                      <w:szCs w:val="18"/>
                      <w:lang w:val="fr-FR"/>
                    </w:rPr>
                  </w:pPr>
                  <w:r w:rsidRPr="00397355">
                    <w:rPr>
                      <w:rFonts w:asciiTheme="minorHAnsi" w:hAnsiTheme="minorHAnsi" w:cstheme="minorHAnsi"/>
                      <w:sz w:val="18"/>
                      <w:szCs w:val="18"/>
                      <w:lang w:val="fr-FR"/>
                    </w:rPr>
                    <w:t>0-5 ans</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5C144581"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1,1</w:t>
                  </w:r>
                </w:p>
              </w:tc>
              <w:tc>
                <w:tcPr>
                  <w:tcW w:w="1224" w:type="dxa"/>
                  <w:tcBorders>
                    <w:top w:val="single" w:sz="4" w:space="0" w:color="auto"/>
                    <w:left w:val="single" w:sz="4" w:space="0" w:color="auto"/>
                    <w:bottom w:val="single" w:sz="4" w:space="0" w:color="auto"/>
                    <w:right w:val="single" w:sz="4" w:space="0" w:color="auto"/>
                  </w:tcBorders>
                  <w:noWrap/>
                  <w:vAlign w:val="center"/>
                  <w:hideMark/>
                </w:tcPr>
                <w:p w14:paraId="10BB5BF4"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0,43</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7EC35D4E"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0,43</w:t>
                  </w:r>
                </w:p>
              </w:tc>
              <w:tc>
                <w:tcPr>
                  <w:tcW w:w="1609" w:type="dxa"/>
                  <w:tcBorders>
                    <w:top w:val="single" w:sz="4" w:space="0" w:color="auto"/>
                    <w:left w:val="single" w:sz="4" w:space="0" w:color="auto"/>
                    <w:bottom w:val="single" w:sz="4" w:space="0" w:color="auto"/>
                    <w:right w:val="single" w:sz="4" w:space="0" w:color="auto"/>
                  </w:tcBorders>
                  <w:noWrap/>
                  <w:vAlign w:val="center"/>
                  <w:hideMark/>
                </w:tcPr>
                <w:p w14:paraId="27DF65FC"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0,62</w:t>
                  </w:r>
                </w:p>
              </w:tc>
              <w:tc>
                <w:tcPr>
                  <w:tcW w:w="1562" w:type="dxa"/>
                  <w:tcBorders>
                    <w:top w:val="single" w:sz="4" w:space="0" w:color="auto"/>
                    <w:left w:val="single" w:sz="4" w:space="0" w:color="auto"/>
                    <w:bottom w:val="single" w:sz="4" w:space="0" w:color="auto"/>
                    <w:right w:val="single" w:sz="4" w:space="0" w:color="auto"/>
                  </w:tcBorders>
                  <w:noWrap/>
                  <w:vAlign w:val="center"/>
                  <w:hideMark/>
                </w:tcPr>
                <w:p w14:paraId="405836B5"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0,26</w:t>
                  </w:r>
                </w:p>
              </w:tc>
              <w:tc>
                <w:tcPr>
                  <w:tcW w:w="1209" w:type="dxa"/>
                  <w:tcBorders>
                    <w:top w:val="single" w:sz="4" w:space="0" w:color="auto"/>
                    <w:left w:val="single" w:sz="4" w:space="0" w:color="auto"/>
                    <w:bottom w:val="single" w:sz="4" w:space="0" w:color="auto"/>
                    <w:right w:val="single" w:sz="4" w:space="0" w:color="auto"/>
                  </w:tcBorders>
                  <w:hideMark/>
                </w:tcPr>
                <w:p w14:paraId="1337A682"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0,36</w:t>
                  </w:r>
                </w:p>
              </w:tc>
            </w:tr>
            <w:tr w:rsidR="00B23D35" w:rsidRPr="00951153" w14:paraId="7FA98C7F" w14:textId="77777777">
              <w:trPr>
                <w:trHeight w:val="320"/>
              </w:trPr>
              <w:tc>
                <w:tcPr>
                  <w:tcW w:w="1201" w:type="dxa"/>
                  <w:tcBorders>
                    <w:top w:val="single" w:sz="4" w:space="0" w:color="auto"/>
                    <w:left w:val="single" w:sz="4" w:space="0" w:color="auto"/>
                    <w:bottom w:val="single" w:sz="4" w:space="0" w:color="auto"/>
                    <w:right w:val="single" w:sz="4" w:space="0" w:color="auto"/>
                  </w:tcBorders>
                  <w:noWrap/>
                  <w:vAlign w:val="bottom"/>
                  <w:hideMark/>
                </w:tcPr>
                <w:p w14:paraId="428A1B76" w14:textId="77777777" w:rsidR="00B23D35" w:rsidRPr="00397355" w:rsidRDefault="00B23D35" w:rsidP="00951153">
                  <w:pPr>
                    <w:framePr w:hSpace="180" w:wrap="around" w:hAnchor="margin" w:y="530"/>
                    <w:spacing w:line="240" w:lineRule="auto"/>
                    <w:rPr>
                      <w:rFonts w:asciiTheme="minorHAnsi" w:hAnsiTheme="minorHAnsi" w:cstheme="minorHAnsi"/>
                      <w:sz w:val="18"/>
                      <w:szCs w:val="18"/>
                      <w:lang w:val="fr-FR"/>
                    </w:rPr>
                  </w:pPr>
                  <w:r w:rsidRPr="00397355">
                    <w:rPr>
                      <w:rFonts w:asciiTheme="minorHAnsi" w:hAnsiTheme="minorHAnsi" w:cstheme="minorHAnsi"/>
                      <w:sz w:val="18"/>
                      <w:szCs w:val="18"/>
                      <w:lang w:val="fr-FR"/>
                    </w:rPr>
                    <w:t>6-12 ans</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474C49EB"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1,2</w:t>
                  </w:r>
                </w:p>
              </w:tc>
              <w:tc>
                <w:tcPr>
                  <w:tcW w:w="1224" w:type="dxa"/>
                  <w:tcBorders>
                    <w:top w:val="single" w:sz="4" w:space="0" w:color="auto"/>
                    <w:left w:val="single" w:sz="4" w:space="0" w:color="auto"/>
                    <w:bottom w:val="single" w:sz="4" w:space="0" w:color="auto"/>
                    <w:right w:val="single" w:sz="4" w:space="0" w:color="auto"/>
                  </w:tcBorders>
                  <w:noWrap/>
                  <w:vAlign w:val="center"/>
                  <w:hideMark/>
                </w:tcPr>
                <w:p w14:paraId="54BCA439"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0,53</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63F4EF1A"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0,48</w:t>
                  </w:r>
                </w:p>
              </w:tc>
              <w:tc>
                <w:tcPr>
                  <w:tcW w:w="1609" w:type="dxa"/>
                  <w:tcBorders>
                    <w:top w:val="single" w:sz="4" w:space="0" w:color="auto"/>
                    <w:left w:val="single" w:sz="4" w:space="0" w:color="auto"/>
                    <w:bottom w:val="single" w:sz="4" w:space="0" w:color="auto"/>
                    <w:right w:val="single" w:sz="4" w:space="0" w:color="auto"/>
                  </w:tcBorders>
                  <w:noWrap/>
                  <w:vAlign w:val="center"/>
                  <w:hideMark/>
                </w:tcPr>
                <w:p w14:paraId="4685B4D4"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0,66</w:t>
                  </w:r>
                </w:p>
              </w:tc>
              <w:tc>
                <w:tcPr>
                  <w:tcW w:w="1562" w:type="dxa"/>
                  <w:tcBorders>
                    <w:top w:val="single" w:sz="4" w:space="0" w:color="auto"/>
                    <w:left w:val="single" w:sz="4" w:space="0" w:color="auto"/>
                    <w:bottom w:val="single" w:sz="4" w:space="0" w:color="auto"/>
                    <w:right w:val="single" w:sz="4" w:space="0" w:color="auto"/>
                  </w:tcBorders>
                  <w:noWrap/>
                  <w:vAlign w:val="center"/>
                  <w:hideMark/>
                </w:tcPr>
                <w:p w14:paraId="1276F093"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0,31</w:t>
                  </w:r>
                </w:p>
              </w:tc>
              <w:tc>
                <w:tcPr>
                  <w:tcW w:w="1209" w:type="dxa"/>
                  <w:tcBorders>
                    <w:top w:val="single" w:sz="4" w:space="0" w:color="auto"/>
                    <w:left w:val="single" w:sz="4" w:space="0" w:color="auto"/>
                    <w:bottom w:val="single" w:sz="4" w:space="0" w:color="auto"/>
                    <w:right w:val="single" w:sz="4" w:space="0" w:color="auto"/>
                  </w:tcBorders>
                  <w:hideMark/>
                </w:tcPr>
                <w:p w14:paraId="77F7FCC8"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0,35</w:t>
                  </w:r>
                </w:p>
              </w:tc>
            </w:tr>
            <w:tr w:rsidR="00B23D35" w:rsidRPr="00951153" w14:paraId="0F64EF3E" w14:textId="77777777">
              <w:trPr>
                <w:trHeight w:val="320"/>
              </w:trPr>
              <w:tc>
                <w:tcPr>
                  <w:tcW w:w="1201" w:type="dxa"/>
                  <w:tcBorders>
                    <w:top w:val="single" w:sz="4" w:space="0" w:color="auto"/>
                    <w:left w:val="single" w:sz="4" w:space="0" w:color="auto"/>
                    <w:bottom w:val="single" w:sz="4" w:space="0" w:color="auto"/>
                    <w:right w:val="single" w:sz="4" w:space="0" w:color="auto"/>
                  </w:tcBorders>
                  <w:noWrap/>
                  <w:vAlign w:val="bottom"/>
                  <w:hideMark/>
                </w:tcPr>
                <w:p w14:paraId="267FF07B" w14:textId="77777777" w:rsidR="00B23D35" w:rsidRPr="00397355" w:rsidRDefault="00B23D35" w:rsidP="00951153">
                  <w:pPr>
                    <w:framePr w:hSpace="180" w:wrap="around" w:hAnchor="margin" w:y="530"/>
                    <w:spacing w:line="240" w:lineRule="auto"/>
                    <w:rPr>
                      <w:rFonts w:asciiTheme="minorHAnsi" w:hAnsiTheme="minorHAnsi" w:cstheme="minorHAnsi"/>
                      <w:sz w:val="18"/>
                      <w:szCs w:val="18"/>
                      <w:lang w:val="fr-FR"/>
                    </w:rPr>
                  </w:pPr>
                  <w:r w:rsidRPr="00397355">
                    <w:rPr>
                      <w:rFonts w:asciiTheme="minorHAnsi" w:hAnsiTheme="minorHAnsi" w:cstheme="minorHAnsi"/>
                      <w:sz w:val="18"/>
                      <w:szCs w:val="18"/>
                      <w:lang w:val="fr-FR"/>
                    </w:rPr>
                    <w:t>13-17 ans</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15395A68"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0,9</w:t>
                  </w:r>
                </w:p>
              </w:tc>
              <w:tc>
                <w:tcPr>
                  <w:tcW w:w="1224" w:type="dxa"/>
                  <w:tcBorders>
                    <w:top w:val="single" w:sz="4" w:space="0" w:color="auto"/>
                    <w:left w:val="single" w:sz="4" w:space="0" w:color="auto"/>
                    <w:bottom w:val="single" w:sz="4" w:space="0" w:color="auto"/>
                    <w:right w:val="single" w:sz="4" w:space="0" w:color="auto"/>
                  </w:tcBorders>
                  <w:noWrap/>
                  <w:vAlign w:val="center"/>
                  <w:hideMark/>
                </w:tcPr>
                <w:p w14:paraId="544DF257"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0,30</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4D56D40A"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0,27</w:t>
                  </w:r>
                </w:p>
              </w:tc>
              <w:tc>
                <w:tcPr>
                  <w:tcW w:w="1609" w:type="dxa"/>
                  <w:tcBorders>
                    <w:top w:val="single" w:sz="4" w:space="0" w:color="auto"/>
                    <w:left w:val="single" w:sz="4" w:space="0" w:color="auto"/>
                    <w:bottom w:val="single" w:sz="4" w:space="0" w:color="auto"/>
                    <w:right w:val="single" w:sz="4" w:space="0" w:color="auto"/>
                  </w:tcBorders>
                  <w:noWrap/>
                  <w:vAlign w:val="center"/>
                  <w:hideMark/>
                </w:tcPr>
                <w:p w14:paraId="171154B5"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0,55</w:t>
                  </w:r>
                </w:p>
              </w:tc>
              <w:tc>
                <w:tcPr>
                  <w:tcW w:w="1562" w:type="dxa"/>
                  <w:tcBorders>
                    <w:top w:val="single" w:sz="4" w:space="0" w:color="auto"/>
                    <w:left w:val="single" w:sz="4" w:space="0" w:color="auto"/>
                    <w:bottom w:val="single" w:sz="4" w:space="0" w:color="auto"/>
                    <w:right w:val="single" w:sz="4" w:space="0" w:color="auto"/>
                  </w:tcBorders>
                  <w:noWrap/>
                  <w:vAlign w:val="center"/>
                  <w:hideMark/>
                </w:tcPr>
                <w:p w14:paraId="0EEB6BC3"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0,29</w:t>
                  </w:r>
                </w:p>
              </w:tc>
              <w:tc>
                <w:tcPr>
                  <w:tcW w:w="1209" w:type="dxa"/>
                  <w:tcBorders>
                    <w:top w:val="single" w:sz="4" w:space="0" w:color="auto"/>
                    <w:left w:val="single" w:sz="4" w:space="0" w:color="auto"/>
                    <w:bottom w:val="single" w:sz="4" w:space="0" w:color="auto"/>
                    <w:right w:val="single" w:sz="4" w:space="0" w:color="auto"/>
                  </w:tcBorders>
                  <w:hideMark/>
                </w:tcPr>
                <w:p w14:paraId="7891E0AB" w14:textId="77777777" w:rsidR="00B23D35" w:rsidRPr="00397355" w:rsidRDefault="00B23D35" w:rsidP="00951153">
                  <w:pPr>
                    <w:framePr w:hSpace="180" w:wrap="around" w:hAnchor="margin" w:y="530"/>
                    <w:spacing w:line="240" w:lineRule="auto"/>
                    <w:jc w:val="center"/>
                    <w:rPr>
                      <w:rFonts w:asciiTheme="minorHAnsi" w:hAnsiTheme="minorHAnsi" w:cstheme="minorHAnsi"/>
                      <w:sz w:val="18"/>
                      <w:szCs w:val="18"/>
                      <w:lang w:val="fr-FR"/>
                    </w:rPr>
                  </w:pPr>
                  <w:r w:rsidRPr="00397355">
                    <w:rPr>
                      <w:rFonts w:asciiTheme="minorHAnsi" w:hAnsiTheme="minorHAnsi" w:cstheme="minorHAnsi"/>
                      <w:sz w:val="18"/>
                      <w:szCs w:val="18"/>
                      <w:lang w:val="fr-FR"/>
                    </w:rPr>
                    <w:t>0,26</w:t>
                  </w:r>
                </w:p>
              </w:tc>
            </w:tr>
            <w:tr w:rsidR="00B23D35" w:rsidRPr="00951153" w14:paraId="054A6D89" w14:textId="77777777">
              <w:trPr>
                <w:trHeight w:val="320"/>
              </w:trPr>
              <w:tc>
                <w:tcPr>
                  <w:tcW w:w="1201" w:type="dxa"/>
                  <w:tcBorders>
                    <w:top w:val="single" w:sz="4" w:space="0" w:color="auto"/>
                    <w:left w:val="single" w:sz="4" w:space="0" w:color="auto"/>
                    <w:bottom w:val="single" w:sz="4" w:space="0" w:color="auto"/>
                    <w:right w:val="single" w:sz="4" w:space="0" w:color="auto"/>
                  </w:tcBorders>
                  <w:noWrap/>
                  <w:vAlign w:val="bottom"/>
                  <w:hideMark/>
                </w:tcPr>
                <w:p w14:paraId="2E3ADF63" w14:textId="77777777" w:rsidR="00B23D35" w:rsidRPr="00397355" w:rsidRDefault="00B23D35" w:rsidP="00951153">
                  <w:pPr>
                    <w:framePr w:hSpace="180" w:wrap="around" w:hAnchor="margin" w:y="530"/>
                    <w:spacing w:line="240" w:lineRule="auto"/>
                    <w:rPr>
                      <w:rFonts w:asciiTheme="minorHAnsi" w:hAnsiTheme="minorHAnsi" w:cstheme="minorHAnsi"/>
                      <w:b/>
                      <w:bCs/>
                      <w:sz w:val="18"/>
                      <w:szCs w:val="18"/>
                      <w:lang w:val="fr-FR"/>
                    </w:rPr>
                  </w:pPr>
                  <w:r w:rsidRPr="00397355">
                    <w:rPr>
                      <w:rFonts w:asciiTheme="minorHAnsi" w:hAnsiTheme="minorHAnsi" w:cstheme="minorHAnsi"/>
                      <w:b/>
                      <w:bCs/>
                      <w:sz w:val="18"/>
                      <w:szCs w:val="18"/>
                      <w:lang w:val="fr-FR"/>
                    </w:rPr>
                    <w:t>Total</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2398A5D8" w14:textId="77777777" w:rsidR="00B23D35" w:rsidRPr="00397355" w:rsidRDefault="00B23D35" w:rsidP="00951153">
                  <w:pPr>
                    <w:framePr w:hSpace="180" w:wrap="around" w:hAnchor="margin" w:y="530"/>
                    <w:spacing w:line="240" w:lineRule="auto"/>
                    <w:jc w:val="center"/>
                    <w:rPr>
                      <w:rFonts w:asciiTheme="minorHAnsi" w:hAnsiTheme="minorHAnsi" w:cstheme="minorHAnsi"/>
                      <w:b/>
                      <w:bCs/>
                      <w:sz w:val="18"/>
                      <w:szCs w:val="18"/>
                      <w:lang w:val="fr-FR"/>
                    </w:rPr>
                  </w:pPr>
                  <w:r w:rsidRPr="00397355">
                    <w:rPr>
                      <w:rFonts w:asciiTheme="minorHAnsi" w:hAnsiTheme="minorHAnsi" w:cstheme="minorHAnsi"/>
                      <w:b/>
                      <w:bCs/>
                      <w:sz w:val="18"/>
                      <w:szCs w:val="18"/>
                      <w:lang w:val="fr-FR"/>
                    </w:rPr>
                    <w:t>3,1</w:t>
                  </w:r>
                </w:p>
              </w:tc>
              <w:tc>
                <w:tcPr>
                  <w:tcW w:w="1224" w:type="dxa"/>
                  <w:tcBorders>
                    <w:top w:val="single" w:sz="4" w:space="0" w:color="auto"/>
                    <w:left w:val="single" w:sz="4" w:space="0" w:color="auto"/>
                    <w:bottom w:val="single" w:sz="4" w:space="0" w:color="auto"/>
                    <w:right w:val="single" w:sz="4" w:space="0" w:color="auto"/>
                  </w:tcBorders>
                  <w:noWrap/>
                  <w:vAlign w:val="center"/>
                  <w:hideMark/>
                </w:tcPr>
                <w:p w14:paraId="321F10E2" w14:textId="77777777" w:rsidR="00B23D35" w:rsidRPr="00397355" w:rsidRDefault="00B23D35" w:rsidP="00951153">
                  <w:pPr>
                    <w:framePr w:hSpace="180" w:wrap="around" w:hAnchor="margin" w:y="530"/>
                    <w:spacing w:line="240" w:lineRule="auto"/>
                    <w:jc w:val="center"/>
                    <w:rPr>
                      <w:rFonts w:asciiTheme="minorHAnsi" w:hAnsiTheme="minorHAnsi" w:cstheme="minorHAnsi"/>
                      <w:b/>
                      <w:bCs/>
                      <w:sz w:val="18"/>
                      <w:szCs w:val="18"/>
                      <w:lang w:val="fr-FR"/>
                    </w:rPr>
                  </w:pPr>
                  <w:r w:rsidRPr="00397355">
                    <w:rPr>
                      <w:rFonts w:asciiTheme="minorHAnsi" w:hAnsiTheme="minorHAnsi" w:cstheme="minorHAnsi"/>
                      <w:b/>
                      <w:bCs/>
                      <w:sz w:val="18"/>
                      <w:szCs w:val="18"/>
                      <w:lang w:val="fr-FR"/>
                    </w:rPr>
                    <w:t>1,26</w:t>
                  </w:r>
                </w:p>
              </w:tc>
              <w:tc>
                <w:tcPr>
                  <w:tcW w:w="1202" w:type="dxa"/>
                  <w:tcBorders>
                    <w:top w:val="single" w:sz="4" w:space="0" w:color="auto"/>
                    <w:left w:val="single" w:sz="4" w:space="0" w:color="auto"/>
                    <w:bottom w:val="single" w:sz="4" w:space="0" w:color="auto"/>
                    <w:right w:val="single" w:sz="4" w:space="0" w:color="auto"/>
                  </w:tcBorders>
                  <w:noWrap/>
                  <w:vAlign w:val="center"/>
                  <w:hideMark/>
                </w:tcPr>
                <w:p w14:paraId="6CD77787" w14:textId="77777777" w:rsidR="00B23D35" w:rsidRPr="00397355" w:rsidRDefault="00B23D35" w:rsidP="00951153">
                  <w:pPr>
                    <w:framePr w:hSpace="180" w:wrap="around" w:hAnchor="margin" w:y="530"/>
                    <w:spacing w:line="240" w:lineRule="auto"/>
                    <w:jc w:val="center"/>
                    <w:rPr>
                      <w:rFonts w:asciiTheme="minorHAnsi" w:hAnsiTheme="minorHAnsi" w:cstheme="minorHAnsi"/>
                      <w:b/>
                      <w:bCs/>
                      <w:sz w:val="18"/>
                      <w:szCs w:val="18"/>
                      <w:lang w:val="fr-FR"/>
                    </w:rPr>
                  </w:pPr>
                  <w:r w:rsidRPr="00397355">
                    <w:rPr>
                      <w:rFonts w:asciiTheme="minorHAnsi" w:hAnsiTheme="minorHAnsi" w:cstheme="minorHAnsi"/>
                      <w:b/>
                      <w:bCs/>
                      <w:sz w:val="18"/>
                      <w:szCs w:val="18"/>
                      <w:lang w:val="fr-FR"/>
                    </w:rPr>
                    <w:t>1,19</w:t>
                  </w:r>
                </w:p>
              </w:tc>
              <w:tc>
                <w:tcPr>
                  <w:tcW w:w="1609" w:type="dxa"/>
                  <w:tcBorders>
                    <w:top w:val="single" w:sz="4" w:space="0" w:color="auto"/>
                    <w:left w:val="single" w:sz="4" w:space="0" w:color="auto"/>
                    <w:bottom w:val="single" w:sz="4" w:space="0" w:color="auto"/>
                    <w:right w:val="single" w:sz="4" w:space="0" w:color="auto"/>
                  </w:tcBorders>
                  <w:noWrap/>
                  <w:vAlign w:val="center"/>
                  <w:hideMark/>
                </w:tcPr>
                <w:p w14:paraId="2111768C" w14:textId="77777777" w:rsidR="00B23D35" w:rsidRPr="00397355" w:rsidRDefault="00B23D35" w:rsidP="00951153">
                  <w:pPr>
                    <w:framePr w:hSpace="180" w:wrap="around" w:hAnchor="margin" w:y="530"/>
                    <w:spacing w:line="240" w:lineRule="auto"/>
                    <w:jc w:val="center"/>
                    <w:rPr>
                      <w:rFonts w:asciiTheme="minorHAnsi" w:hAnsiTheme="minorHAnsi" w:cstheme="minorHAnsi"/>
                      <w:b/>
                      <w:bCs/>
                      <w:sz w:val="18"/>
                      <w:szCs w:val="18"/>
                      <w:lang w:val="fr-FR"/>
                    </w:rPr>
                  </w:pPr>
                  <w:r w:rsidRPr="00397355">
                    <w:rPr>
                      <w:rFonts w:asciiTheme="minorHAnsi" w:hAnsiTheme="minorHAnsi" w:cstheme="minorHAnsi"/>
                      <w:b/>
                      <w:bCs/>
                      <w:sz w:val="18"/>
                      <w:szCs w:val="18"/>
                      <w:lang w:val="fr-FR"/>
                    </w:rPr>
                    <w:t>1,84</w:t>
                  </w:r>
                </w:p>
              </w:tc>
              <w:tc>
                <w:tcPr>
                  <w:tcW w:w="1562" w:type="dxa"/>
                  <w:tcBorders>
                    <w:top w:val="single" w:sz="4" w:space="0" w:color="auto"/>
                    <w:left w:val="single" w:sz="4" w:space="0" w:color="auto"/>
                    <w:bottom w:val="single" w:sz="4" w:space="0" w:color="auto"/>
                    <w:right w:val="single" w:sz="4" w:space="0" w:color="auto"/>
                  </w:tcBorders>
                  <w:noWrap/>
                  <w:vAlign w:val="center"/>
                  <w:hideMark/>
                </w:tcPr>
                <w:p w14:paraId="35FDA01E" w14:textId="77777777" w:rsidR="00B23D35" w:rsidRPr="00397355" w:rsidRDefault="00B23D35" w:rsidP="00951153">
                  <w:pPr>
                    <w:framePr w:hSpace="180" w:wrap="around" w:hAnchor="margin" w:y="530"/>
                    <w:spacing w:line="240" w:lineRule="auto"/>
                    <w:jc w:val="center"/>
                    <w:rPr>
                      <w:rFonts w:asciiTheme="minorHAnsi" w:hAnsiTheme="minorHAnsi" w:cstheme="minorHAnsi"/>
                      <w:b/>
                      <w:bCs/>
                      <w:sz w:val="18"/>
                      <w:szCs w:val="18"/>
                      <w:lang w:val="fr-FR"/>
                    </w:rPr>
                  </w:pPr>
                  <w:r w:rsidRPr="00397355">
                    <w:rPr>
                      <w:rFonts w:asciiTheme="minorHAnsi" w:hAnsiTheme="minorHAnsi" w:cstheme="minorHAnsi"/>
                      <w:b/>
                      <w:bCs/>
                      <w:sz w:val="18"/>
                      <w:szCs w:val="18"/>
                      <w:lang w:val="fr-FR"/>
                    </w:rPr>
                    <w:t>0,86</w:t>
                  </w:r>
                </w:p>
              </w:tc>
              <w:tc>
                <w:tcPr>
                  <w:tcW w:w="1209" w:type="dxa"/>
                  <w:tcBorders>
                    <w:top w:val="single" w:sz="4" w:space="0" w:color="auto"/>
                    <w:left w:val="single" w:sz="4" w:space="0" w:color="auto"/>
                    <w:bottom w:val="single" w:sz="4" w:space="0" w:color="auto"/>
                    <w:right w:val="single" w:sz="4" w:space="0" w:color="auto"/>
                  </w:tcBorders>
                  <w:hideMark/>
                </w:tcPr>
                <w:p w14:paraId="5DF46EC5" w14:textId="77777777" w:rsidR="00B23D35" w:rsidRPr="00397355" w:rsidRDefault="00B23D35" w:rsidP="00951153">
                  <w:pPr>
                    <w:framePr w:hSpace="180" w:wrap="around" w:hAnchor="margin" w:y="530"/>
                    <w:spacing w:line="240" w:lineRule="auto"/>
                    <w:jc w:val="center"/>
                    <w:rPr>
                      <w:rFonts w:asciiTheme="minorHAnsi" w:hAnsiTheme="minorHAnsi" w:cstheme="minorHAnsi"/>
                      <w:b/>
                      <w:bCs/>
                      <w:sz w:val="18"/>
                      <w:szCs w:val="18"/>
                      <w:lang w:val="fr-FR"/>
                    </w:rPr>
                  </w:pPr>
                  <w:r w:rsidRPr="00397355">
                    <w:rPr>
                      <w:rFonts w:asciiTheme="minorHAnsi" w:hAnsiTheme="minorHAnsi" w:cstheme="minorHAnsi"/>
                      <w:b/>
                      <w:bCs/>
                      <w:sz w:val="18"/>
                      <w:szCs w:val="18"/>
                      <w:lang w:val="fr-FR"/>
                    </w:rPr>
                    <w:t>0,98</w:t>
                  </w:r>
                </w:p>
              </w:tc>
            </w:tr>
          </w:tbl>
          <w:p w14:paraId="1358DED0" w14:textId="04995260" w:rsidR="00B23D35" w:rsidRPr="00C61CEC" w:rsidRDefault="00B23D35" w:rsidP="00397355">
            <w:pPr>
              <w:spacing w:line="240" w:lineRule="auto"/>
              <w:ind w:right="-1"/>
              <w:jc w:val="both"/>
              <w:rPr>
                <w:rFonts w:asciiTheme="minorHAnsi" w:hAnsiTheme="minorHAnsi" w:cstheme="minorHAnsi"/>
                <w:i/>
                <w:iCs/>
                <w:sz w:val="18"/>
                <w:szCs w:val="18"/>
                <w:lang w:val="fr-FR"/>
              </w:rPr>
            </w:pPr>
            <w:r w:rsidRPr="00C61CEC">
              <w:rPr>
                <w:rFonts w:asciiTheme="minorHAnsi" w:hAnsiTheme="minorHAnsi" w:cstheme="minorHAnsi"/>
                <w:i/>
                <w:iCs/>
                <w:sz w:val="18"/>
                <w:szCs w:val="18"/>
                <w:lang w:val="fr-FR"/>
              </w:rPr>
              <w:t>Source : CRES</w:t>
            </w:r>
            <w:r w:rsidR="002B1DAF" w:rsidRPr="00C61CEC">
              <w:rPr>
                <w:rFonts w:asciiTheme="minorHAnsi" w:hAnsiTheme="minorHAnsi" w:cstheme="minorHAnsi"/>
                <w:i/>
                <w:iCs/>
                <w:sz w:val="18"/>
                <w:szCs w:val="18"/>
                <w:lang w:val="fr-FR"/>
              </w:rPr>
              <w:t xml:space="preserve"> 2019</w:t>
            </w:r>
            <w:r w:rsidR="004D3442">
              <w:rPr>
                <w:rFonts w:asciiTheme="minorHAnsi" w:hAnsiTheme="minorHAnsi" w:cstheme="minorHAnsi"/>
                <w:i/>
                <w:iCs/>
                <w:sz w:val="18"/>
                <w:szCs w:val="18"/>
                <w:lang w:val="fr-FR"/>
              </w:rPr>
              <w:t>,</w:t>
            </w:r>
            <w:r w:rsidR="008C7D31">
              <w:rPr>
                <w:rFonts w:asciiTheme="minorHAnsi" w:hAnsiTheme="minorHAnsi" w:cstheme="minorHAnsi"/>
                <w:i/>
                <w:iCs/>
                <w:sz w:val="18"/>
                <w:szCs w:val="18"/>
                <w:lang w:val="fr-FR"/>
              </w:rPr>
              <w:t xml:space="preserve"> avant l’institutionnalisation des allocations enfants 0-5 ans et </w:t>
            </w:r>
            <w:r w:rsidR="009F2A57">
              <w:rPr>
                <w:rFonts w:asciiTheme="minorHAnsi" w:hAnsiTheme="minorHAnsi" w:cstheme="minorHAnsi"/>
                <w:i/>
                <w:iCs/>
                <w:sz w:val="18"/>
                <w:szCs w:val="18"/>
                <w:lang w:val="fr-FR"/>
              </w:rPr>
              <w:t>le pilote pour des allocations enfants 6-18 ans AMEN Social.</w:t>
            </w:r>
          </w:p>
          <w:p w14:paraId="1CF2652B" w14:textId="77777777" w:rsidR="00551D0A" w:rsidRPr="00551D0A" w:rsidRDefault="00551D0A" w:rsidP="00397355">
            <w:pPr>
              <w:spacing w:line="240" w:lineRule="auto"/>
              <w:ind w:right="-1"/>
              <w:jc w:val="both"/>
              <w:rPr>
                <w:rFonts w:ascii="Calibri" w:hAnsi="Calibri" w:cs="Calibri"/>
                <w:sz w:val="22"/>
                <w:szCs w:val="22"/>
                <w:lang w:val="fr-FR"/>
              </w:rPr>
            </w:pPr>
          </w:p>
          <w:p w14:paraId="229FD8B0" w14:textId="595F5768" w:rsidR="00A53FDD" w:rsidRPr="00D0289D" w:rsidRDefault="484A7654" w:rsidP="79C213BD">
            <w:pPr>
              <w:spacing w:line="240" w:lineRule="auto"/>
              <w:ind w:right="-1"/>
              <w:jc w:val="both"/>
              <w:rPr>
                <w:rStyle w:val="normaltextrun"/>
                <w:rFonts w:ascii="Calibri" w:eastAsia="Times New Roman" w:hAnsi="Calibri" w:cs="Calibri"/>
                <w:sz w:val="22"/>
                <w:szCs w:val="22"/>
                <w:lang w:val="fr-FR"/>
              </w:rPr>
            </w:pPr>
            <w:r w:rsidRPr="00D0289D">
              <w:rPr>
                <w:rFonts w:ascii="Calibri" w:eastAsia="Times New Roman" w:hAnsi="Calibri" w:cs="Calibri"/>
                <w:sz w:val="22"/>
                <w:szCs w:val="22"/>
                <w:lang w:val="fr-FR"/>
              </w:rPr>
              <w:lastRenderedPageBreak/>
              <w:t xml:space="preserve">En 2015, les transferts </w:t>
            </w:r>
            <w:r w:rsidR="3D94DA3C" w:rsidRPr="00D0289D">
              <w:rPr>
                <w:rFonts w:ascii="Calibri" w:eastAsia="Times New Roman" w:hAnsi="Calibri" w:cs="Calibri"/>
                <w:sz w:val="22"/>
                <w:szCs w:val="22"/>
                <w:lang w:val="fr-FR"/>
              </w:rPr>
              <w:t xml:space="preserve">assistanciels </w:t>
            </w:r>
            <w:r w:rsidRPr="00D0289D">
              <w:rPr>
                <w:rFonts w:ascii="Calibri" w:eastAsia="Times New Roman" w:hAnsi="Calibri" w:cs="Calibri"/>
                <w:sz w:val="22"/>
                <w:szCs w:val="22"/>
                <w:lang w:val="fr-FR"/>
              </w:rPr>
              <w:t>distribués aux enfants de moins de 18 ans s’</w:t>
            </w:r>
            <w:r w:rsidR="4DC2420B" w:rsidRPr="00D0289D">
              <w:rPr>
                <w:rFonts w:ascii="Calibri" w:eastAsia="Times New Roman" w:hAnsi="Calibri" w:cs="Calibri"/>
                <w:sz w:val="22"/>
                <w:szCs w:val="22"/>
                <w:lang w:val="fr-FR"/>
              </w:rPr>
              <w:t>élevaient</w:t>
            </w:r>
            <w:r w:rsidRPr="00D0289D">
              <w:rPr>
                <w:rFonts w:ascii="Calibri" w:eastAsia="Times New Roman" w:hAnsi="Calibri" w:cs="Calibri"/>
                <w:sz w:val="22"/>
                <w:szCs w:val="22"/>
                <w:lang w:val="fr-FR"/>
              </w:rPr>
              <w:t xml:space="preserve"> à 102 millions de dinars (0,12% du PIB), dont 9 millions </w:t>
            </w:r>
            <w:r w:rsidR="4DC2420B" w:rsidRPr="00D0289D">
              <w:rPr>
                <w:rFonts w:ascii="Calibri" w:eastAsia="Times New Roman" w:hAnsi="Calibri" w:cs="Calibri"/>
                <w:sz w:val="22"/>
                <w:szCs w:val="22"/>
                <w:lang w:val="fr-FR"/>
              </w:rPr>
              <w:t xml:space="preserve">étaient </w:t>
            </w:r>
            <w:r w:rsidRPr="00D0289D">
              <w:rPr>
                <w:rFonts w:ascii="Calibri" w:eastAsia="Times New Roman" w:hAnsi="Calibri" w:cs="Calibri"/>
                <w:sz w:val="22"/>
                <w:szCs w:val="22"/>
                <w:lang w:val="fr-FR"/>
              </w:rPr>
              <w:t>consacrés au</w:t>
            </w:r>
            <w:r w:rsidR="18E2D163" w:rsidRPr="00D0289D">
              <w:rPr>
                <w:rFonts w:ascii="Calibri" w:eastAsia="Times New Roman" w:hAnsi="Calibri" w:cs="Calibri"/>
                <w:sz w:val="22"/>
                <w:szCs w:val="22"/>
                <w:lang w:val="fr-FR"/>
              </w:rPr>
              <w:t xml:space="preserve"> Programme pour les Allocations Scolaires</w:t>
            </w:r>
            <w:r w:rsidRPr="00D0289D">
              <w:rPr>
                <w:rFonts w:ascii="Calibri" w:eastAsia="Times New Roman" w:hAnsi="Calibri" w:cs="Calibri"/>
                <w:sz w:val="22"/>
                <w:szCs w:val="22"/>
                <w:lang w:val="fr-FR"/>
              </w:rPr>
              <w:t xml:space="preserve"> </w:t>
            </w:r>
            <w:r w:rsidR="18E2D163" w:rsidRPr="00D0289D">
              <w:rPr>
                <w:rFonts w:ascii="Calibri" w:eastAsia="Times New Roman" w:hAnsi="Calibri" w:cs="Calibri"/>
                <w:sz w:val="22"/>
                <w:szCs w:val="22"/>
                <w:lang w:val="fr-FR"/>
              </w:rPr>
              <w:t>(</w:t>
            </w:r>
            <w:r w:rsidRPr="00D0289D">
              <w:rPr>
                <w:rFonts w:ascii="Calibri" w:eastAsia="Times New Roman" w:hAnsi="Calibri" w:cs="Calibri"/>
                <w:sz w:val="22"/>
                <w:szCs w:val="22"/>
                <w:lang w:val="fr-FR"/>
              </w:rPr>
              <w:t>PPAS</w:t>
            </w:r>
            <w:r w:rsidR="18E2D163" w:rsidRPr="00D0289D">
              <w:rPr>
                <w:rFonts w:ascii="Calibri" w:eastAsia="Times New Roman" w:hAnsi="Calibri" w:cs="Calibri"/>
                <w:sz w:val="22"/>
                <w:szCs w:val="22"/>
                <w:lang w:val="fr-FR"/>
              </w:rPr>
              <w:t>)</w:t>
            </w:r>
            <w:r w:rsidRPr="00D0289D">
              <w:rPr>
                <w:rFonts w:ascii="Calibri" w:eastAsia="Times New Roman" w:hAnsi="Calibri" w:cs="Calibri"/>
                <w:sz w:val="22"/>
                <w:szCs w:val="22"/>
                <w:lang w:val="fr-FR"/>
              </w:rPr>
              <w:t xml:space="preserve">. </w:t>
            </w:r>
            <w:r w:rsidR="009000DD">
              <w:rPr>
                <w:rFonts w:ascii="Calibri" w:eastAsia="Times New Roman" w:hAnsi="Calibri" w:cs="Calibri"/>
                <w:sz w:val="22"/>
                <w:szCs w:val="22"/>
                <w:lang w:val="fr-FR"/>
              </w:rPr>
              <w:t xml:space="preserve">Cette situation, en 2023, s’est grandement améliorée avec l’institutionnalisation de l’allocation pour les enfants en 0-5 ans et l’appui de l’UNICEF pour les enfants 6-18 ans. Ainsi, fin 2023 environ 19% des enfants Tunisiens étaient </w:t>
            </w:r>
            <w:r w:rsidR="00D0289D">
              <w:rPr>
                <w:rFonts w:ascii="Calibri" w:eastAsia="Times New Roman" w:hAnsi="Calibri" w:cs="Calibri"/>
                <w:sz w:val="22"/>
                <w:szCs w:val="22"/>
                <w:lang w:val="fr-FR"/>
              </w:rPr>
              <w:t>bénéficiaires de l’allocation enfant de AMEN Social.</w:t>
            </w:r>
            <w:r w:rsidRPr="00D0289D">
              <w:rPr>
                <w:rFonts w:ascii="Calibri" w:eastAsia="Times New Roman" w:hAnsi="Calibri" w:cs="Calibri"/>
                <w:sz w:val="22"/>
                <w:szCs w:val="22"/>
                <w:lang w:val="fr-FR"/>
              </w:rPr>
              <w:t xml:space="preserve"> </w:t>
            </w:r>
          </w:p>
          <w:p w14:paraId="36AAC88E" w14:textId="77777777" w:rsidR="006A0E3A" w:rsidRDefault="006A0E3A" w:rsidP="00397355">
            <w:pPr>
              <w:spacing w:before="60" w:after="60" w:line="240" w:lineRule="auto"/>
              <w:jc w:val="both"/>
              <w:rPr>
                <w:rStyle w:val="normaltextrun"/>
                <w:rFonts w:asciiTheme="minorHAnsi" w:eastAsia="Times New Roman" w:hAnsiTheme="minorHAnsi" w:cstheme="minorBidi"/>
                <w:color w:val="auto"/>
                <w:sz w:val="22"/>
                <w:szCs w:val="22"/>
                <w:lang w:val="fr-FR"/>
              </w:rPr>
            </w:pPr>
          </w:p>
          <w:p w14:paraId="59606757" w14:textId="46AB69AD" w:rsidR="008A2615" w:rsidRDefault="008A2615" w:rsidP="00397355">
            <w:pPr>
              <w:spacing w:before="60" w:after="60" w:line="240" w:lineRule="auto"/>
              <w:jc w:val="both"/>
              <w:rPr>
                <w:rStyle w:val="normaltextrun"/>
                <w:rFonts w:asciiTheme="minorHAnsi" w:eastAsia="Times New Roman" w:hAnsiTheme="minorHAnsi" w:cstheme="minorBidi"/>
                <w:color w:val="auto"/>
                <w:sz w:val="22"/>
                <w:szCs w:val="22"/>
                <w:lang w:val="fr-FR"/>
              </w:rPr>
            </w:pPr>
            <w:r w:rsidRPr="72E2620A">
              <w:rPr>
                <w:rStyle w:val="normaltextrun"/>
                <w:rFonts w:asciiTheme="minorHAnsi" w:eastAsia="Times New Roman" w:hAnsiTheme="minorHAnsi" w:cstheme="minorBidi"/>
                <w:color w:val="auto"/>
                <w:sz w:val="22"/>
                <w:szCs w:val="22"/>
                <w:lang w:val="fr-FR"/>
              </w:rPr>
              <w:t>Dans ce c</w:t>
            </w:r>
            <w:r w:rsidR="000D1E55" w:rsidRPr="72E2620A">
              <w:rPr>
                <w:rStyle w:val="normaltextrun"/>
                <w:rFonts w:asciiTheme="minorHAnsi" w:eastAsia="Times New Roman" w:hAnsiTheme="minorHAnsi" w:cstheme="minorBidi"/>
                <w:color w:val="auto"/>
                <w:sz w:val="22"/>
                <w:szCs w:val="22"/>
                <w:lang w:val="fr-FR"/>
              </w:rPr>
              <w:t>ontexte</w:t>
            </w:r>
            <w:r w:rsidR="00EC013D" w:rsidRPr="72E2620A">
              <w:rPr>
                <w:rStyle w:val="normaltextrun"/>
                <w:rFonts w:asciiTheme="minorHAnsi" w:eastAsia="Times New Roman" w:hAnsiTheme="minorHAnsi" w:cstheme="minorBidi"/>
                <w:color w:val="auto"/>
                <w:sz w:val="22"/>
                <w:szCs w:val="22"/>
                <w:lang w:val="fr-FR"/>
              </w:rPr>
              <w:t>, avec l’objectif d’assurer une couverture de protection sociale pour tous les enfants tunisiens</w:t>
            </w:r>
            <w:r w:rsidR="000D1E55" w:rsidRPr="72E2620A">
              <w:rPr>
                <w:rStyle w:val="normaltextrun"/>
                <w:rFonts w:asciiTheme="minorHAnsi" w:eastAsia="Times New Roman" w:hAnsiTheme="minorHAnsi" w:cstheme="minorBidi"/>
                <w:color w:val="auto"/>
                <w:sz w:val="22"/>
                <w:szCs w:val="22"/>
                <w:lang w:val="fr-FR"/>
              </w:rPr>
              <w:t xml:space="preserve"> </w:t>
            </w:r>
            <w:r w:rsidR="00EC013D" w:rsidRPr="72E2620A">
              <w:rPr>
                <w:rStyle w:val="normaltextrun"/>
                <w:rFonts w:asciiTheme="minorHAnsi" w:eastAsia="Times New Roman" w:hAnsiTheme="minorHAnsi" w:cstheme="minorBidi"/>
                <w:color w:val="auto"/>
                <w:sz w:val="22"/>
                <w:szCs w:val="22"/>
                <w:lang w:val="fr-FR"/>
              </w:rPr>
              <w:t xml:space="preserve">et </w:t>
            </w:r>
            <w:r w:rsidRPr="72E2620A">
              <w:rPr>
                <w:rStyle w:val="normaltextrun"/>
                <w:rFonts w:asciiTheme="minorHAnsi" w:eastAsia="Times New Roman" w:hAnsiTheme="minorHAnsi" w:cstheme="minorBidi"/>
                <w:color w:val="auto"/>
                <w:sz w:val="22"/>
                <w:szCs w:val="22"/>
                <w:lang w:val="fr-FR"/>
              </w:rPr>
              <w:t>afin de renforcer l’accès à un système national de protection sociale plus équitable et adapté aux besoins de tous les enfants en Tunisie, le Ministère des Affaires Sociales vise à :</w:t>
            </w:r>
          </w:p>
          <w:p w14:paraId="19B0FAB1" w14:textId="7EB060F2" w:rsidR="008A2615" w:rsidRDefault="008A2615" w:rsidP="00397355">
            <w:pPr>
              <w:pStyle w:val="ListParagraph"/>
              <w:numPr>
                <w:ilvl w:val="0"/>
                <w:numId w:val="12"/>
              </w:numPr>
              <w:spacing w:before="60" w:after="60" w:line="240" w:lineRule="auto"/>
              <w:jc w:val="both"/>
              <w:rPr>
                <w:rStyle w:val="normaltextrun"/>
                <w:rFonts w:asciiTheme="minorHAnsi" w:eastAsia="Times New Roman" w:hAnsiTheme="minorHAnsi" w:cstheme="minorBidi"/>
                <w:color w:val="auto"/>
                <w:sz w:val="22"/>
                <w:szCs w:val="22"/>
                <w:lang w:val="fr-FR"/>
              </w:rPr>
            </w:pPr>
            <w:r w:rsidRPr="72E2620A">
              <w:rPr>
                <w:rStyle w:val="normaltextrun"/>
                <w:rFonts w:asciiTheme="minorHAnsi" w:eastAsia="Times New Roman" w:hAnsiTheme="minorHAnsi" w:cstheme="minorBidi"/>
                <w:color w:val="auto"/>
                <w:sz w:val="22"/>
                <w:szCs w:val="22"/>
                <w:lang w:val="fr-FR"/>
              </w:rPr>
              <w:t xml:space="preserve">Mettre en place une allocation </w:t>
            </w:r>
            <w:r w:rsidR="001A2697">
              <w:rPr>
                <w:rStyle w:val="normaltextrun"/>
                <w:rFonts w:asciiTheme="minorHAnsi" w:eastAsia="Times New Roman" w:hAnsiTheme="minorHAnsi" w:cstheme="minorBidi"/>
                <w:color w:val="auto"/>
                <w:sz w:val="22"/>
                <w:szCs w:val="22"/>
                <w:lang w:val="fr-FR"/>
              </w:rPr>
              <w:t xml:space="preserve">enfant </w:t>
            </w:r>
            <w:r w:rsidRPr="72E2620A">
              <w:rPr>
                <w:rStyle w:val="normaltextrun"/>
                <w:rFonts w:asciiTheme="minorHAnsi" w:eastAsia="Times New Roman" w:hAnsiTheme="minorHAnsi" w:cstheme="minorBidi"/>
                <w:color w:val="auto"/>
                <w:sz w:val="22"/>
                <w:szCs w:val="22"/>
                <w:lang w:val="fr-FR"/>
              </w:rPr>
              <w:t>universelle</w:t>
            </w:r>
            <w:r w:rsidR="2CE655A1" w:rsidRPr="72E2620A">
              <w:rPr>
                <w:rStyle w:val="normaltextrun"/>
                <w:rFonts w:asciiTheme="minorHAnsi" w:eastAsia="Times New Roman" w:hAnsiTheme="minorHAnsi" w:cstheme="minorBidi"/>
                <w:color w:val="auto"/>
                <w:sz w:val="22"/>
                <w:szCs w:val="22"/>
                <w:lang w:val="fr-FR"/>
              </w:rPr>
              <w:t xml:space="preserve"> mensuelle</w:t>
            </w:r>
            <w:r w:rsidRPr="72E2620A">
              <w:rPr>
                <w:rStyle w:val="normaltextrun"/>
                <w:rFonts w:asciiTheme="minorHAnsi" w:eastAsia="Times New Roman" w:hAnsiTheme="minorHAnsi" w:cstheme="minorBidi"/>
                <w:color w:val="auto"/>
                <w:sz w:val="22"/>
                <w:szCs w:val="22"/>
                <w:lang w:val="fr-FR"/>
              </w:rPr>
              <w:t xml:space="preserve"> de 30TD pour chaque enfant inscrit dans le système de protection sociale</w:t>
            </w:r>
            <w:r w:rsidR="00623D4C" w:rsidRPr="72E2620A">
              <w:rPr>
                <w:rStyle w:val="normaltextrun"/>
                <w:rFonts w:asciiTheme="minorHAnsi" w:eastAsia="Times New Roman" w:hAnsiTheme="minorHAnsi" w:cstheme="minorBidi"/>
                <w:color w:val="auto"/>
                <w:sz w:val="22"/>
                <w:szCs w:val="22"/>
                <w:lang w:val="fr-FR"/>
              </w:rPr>
              <w:t xml:space="preserve"> des régimes </w:t>
            </w:r>
            <w:r w:rsidRPr="72E2620A">
              <w:rPr>
                <w:rStyle w:val="normaltextrun"/>
                <w:rFonts w:asciiTheme="minorHAnsi" w:eastAsia="Times New Roman" w:hAnsiTheme="minorHAnsi" w:cstheme="minorBidi"/>
                <w:color w:val="auto"/>
                <w:sz w:val="22"/>
                <w:szCs w:val="22"/>
                <w:lang w:val="fr-FR"/>
              </w:rPr>
              <w:t>contributif et non</w:t>
            </w:r>
            <w:r w:rsidR="001A2697">
              <w:rPr>
                <w:rStyle w:val="normaltextrun"/>
                <w:rFonts w:asciiTheme="minorHAnsi" w:eastAsia="Times New Roman" w:hAnsiTheme="minorHAnsi" w:cstheme="minorBidi"/>
                <w:color w:val="auto"/>
                <w:sz w:val="22"/>
                <w:szCs w:val="22"/>
                <w:lang w:val="fr-FR"/>
              </w:rPr>
              <w:t>-</w:t>
            </w:r>
            <w:r w:rsidRPr="72E2620A">
              <w:rPr>
                <w:rStyle w:val="normaltextrun"/>
                <w:rFonts w:asciiTheme="minorHAnsi" w:eastAsia="Times New Roman" w:hAnsiTheme="minorHAnsi" w:cstheme="minorBidi"/>
                <w:color w:val="auto"/>
                <w:sz w:val="22"/>
                <w:szCs w:val="22"/>
                <w:lang w:val="fr-FR"/>
              </w:rPr>
              <w:t>contributif.</w:t>
            </w:r>
          </w:p>
          <w:p w14:paraId="67196575" w14:textId="10C8FFCA" w:rsidR="008A2615" w:rsidRDefault="008A2615" w:rsidP="00397355">
            <w:pPr>
              <w:pStyle w:val="ListParagraph"/>
              <w:numPr>
                <w:ilvl w:val="0"/>
                <w:numId w:val="12"/>
              </w:numPr>
              <w:spacing w:before="60" w:after="60" w:line="240" w:lineRule="auto"/>
              <w:jc w:val="both"/>
              <w:rPr>
                <w:rStyle w:val="normaltextrun"/>
                <w:rFonts w:asciiTheme="minorHAnsi" w:eastAsia="Times New Roman" w:hAnsiTheme="minorHAnsi" w:cstheme="minorHAnsi"/>
                <w:color w:val="auto"/>
                <w:sz w:val="22"/>
                <w:szCs w:val="22"/>
                <w:lang w:val="fr-FR"/>
              </w:rPr>
            </w:pPr>
            <w:r>
              <w:rPr>
                <w:rStyle w:val="normaltextrun"/>
                <w:rFonts w:asciiTheme="minorHAnsi" w:eastAsia="Times New Roman" w:hAnsiTheme="minorHAnsi" w:cstheme="minorHAnsi"/>
                <w:color w:val="auto"/>
                <w:sz w:val="22"/>
                <w:szCs w:val="22"/>
                <w:lang w:val="fr-FR"/>
              </w:rPr>
              <w:t xml:space="preserve">Renforcer la mise en place du socle </w:t>
            </w:r>
            <w:r w:rsidR="00623D4C">
              <w:rPr>
                <w:rStyle w:val="normaltextrun"/>
                <w:rFonts w:asciiTheme="minorHAnsi" w:eastAsia="Times New Roman" w:hAnsiTheme="minorHAnsi" w:cstheme="minorHAnsi"/>
                <w:color w:val="auto"/>
                <w:sz w:val="22"/>
                <w:szCs w:val="22"/>
                <w:lang w:val="fr-FR"/>
              </w:rPr>
              <w:t xml:space="preserve">national </w:t>
            </w:r>
            <w:r>
              <w:rPr>
                <w:rStyle w:val="normaltextrun"/>
                <w:rFonts w:asciiTheme="minorHAnsi" w:eastAsia="Times New Roman" w:hAnsiTheme="minorHAnsi" w:cstheme="minorHAnsi"/>
                <w:color w:val="auto"/>
                <w:sz w:val="22"/>
                <w:szCs w:val="22"/>
                <w:lang w:val="fr-FR"/>
              </w:rPr>
              <w:t>de protection sociale</w:t>
            </w:r>
          </w:p>
          <w:p w14:paraId="263ECFAA" w14:textId="77777777" w:rsidR="00397355" w:rsidRPr="00397355" w:rsidRDefault="00397355" w:rsidP="00397355">
            <w:pPr>
              <w:spacing w:before="60" w:after="60" w:line="240" w:lineRule="auto"/>
              <w:jc w:val="both"/>
              <w:rPr>
                <w:rStyle w:val="normaltextrun"/>
                <w:rFonts w:asciiTheme="minorHAnsi" w:eastAsia="Times New Roman" w:hAnsiTheme="minorHAnsi" w:cstheme="minorHAnsi"/>
                <w:color w:val="auto"/>
                <w:sz w:val="22"/>
                <w:szCs w:val="22"/>
                <w:lang w:val="fr-FR"/>
              </w:rPr>
            </w:pPr>
          </w:p>
          <w:p w14:paraId="5868347F" w14:textId="144D120F" w:rsidR="008A2615" w:rsidRPr="008A2615" w:rsidRDefault="008A2615" w:rsidP="00397355">
            <w:pPr>
              <w:pStyle w:val="ListParagraph"/>
              <w:spacing w:before="60" w:after="60" w:line="240" w:lineRule="auto"/>
              <w:ind w:left="768"/>
              <w:jc w:val="center"/>
              <w:rPr>
                <w:rStyle w:val="normaltextrun"/>
                <w:rFonts w:asciiTheme="minorHAnsi" w:eastAsia="Times New Roman" w:hAnsiTheme="minorHAnsi" w:cstheme="minorHAnsi"/>
                <w:b/>
                <w:bCs/>
                <w:color w:val="auto"/>
                <w:sz w:val="22"/>
                <w:szCs w:val="22"/>
                <w:lang w:val="fr-FR"/>
              </w:rPr>
            </w:pPr>
            <w:r w:rsidRPr="008A2615">
              <w:rPr>
                <w:rStyle w:val="normaltextrun"/>
                <w:rFonts w:asciiTheme="minorHAnsi" w:eastAsia="Times New Roman" w:hAnsiTheme="minorHAnsi" w:cstheme="minorHAnsi"/>
                <w:b/>
                <w:bCs/>
                <w:color w:val="auto"/>
                <w:sz w:val="22"/>
                <w:szCs w:val="22"/>
                <w:lang w:val="fr-FR"/>
              </w:rPr>
              <w:t>Figure 3 : Vision du Ministère des Affaires Sociales</w:t>
            </w:r>
          </w:p>
          <w:p w14:paraId="29DE2BF3" w14:textId="41571E32" w:rsidR="008A2615" w:rsidRPr="00397355" w:rsidRDefault="008A2615" w:rsidP="00397355">
            <w:pPr>
              <w:spacing w:before="60" w:after="60" w:line="240" w:lineRule="auto"/>
              <w:jc w:val="both"/>
              <w:rPr>
                <w:rFonts w:asciiTheme="minorHAnsi" w:eastAsia="Times New Roman" w:hAnsiTheme="minorHAnsi" w:cstheme="minorHAnsi"/>
                <w:color w:val="auto"/>
                <w:sz w:val="22"/>
                <w:szCs w:val="22"/>
                <w:lang w:val="fr-FR"/>
              </w:rPr>
            </w:pPr>
            <w:r w:rsidRPr="00960677">
              <w:rPr>
                <w:rFonts w:cstheme="minorHAnsi"/>
                <w:noProof/>
              </w:rPr>
              <w:drawing>
                <wp:inline distT="0" distB="0" distL="0" distR="0" wp14:anchorId="24D08F5A" wp14:editId="38C25DCC">
                  <wp:extent cx="6068843" cy="3102610"/>
                  <wp:effectExtent l="0" t="0" r="8255" b="254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6073089" cy="3104781"/>
                          </a:xfrm>
                          <a:prstGeom prst="rect">
                            <a:avLst/>
                          </a:prstGeom>
                        </pic:spPr>
                      </pic:pic>
                    </a:graphicData>
                  </a:graphic>
                </wp:inline>
              </w:drawing>
            </w:r>
          </w:p>
          <w:p w14:paraId="6E82DFD0" w14:textId="77777777" w:rsidR="00736483" w:rsidRPr="00BA4CC3" w:rsidRDefault="00736483" w:rsidP="00397355">
            <w:pPr>
              <w:pStyle w:val="ListParagraph"/>
              <w:numPr>
                <w:ilvl w:val="0"/>
                <w:numId w:val="13"/>
              </w:numPr>
              <w:spacing w:line="240" w:lineRule="auto"/>
              <w:rPr>
                <w:rFonts w:asciiTheme="minorHAnsi" w:eastAsia="Times New Roman" w:hAnsiTheme="minorHAnsi" w:cstheme="minorHAnsi"/>
                <w:b/>
                <w:bCs/>
                <w:color w:val="4472C4" w:themeColor="accent5"/>
                <w:sz w:val="24"/>
                <w:szCs w:val="24"/>
                <w:lang w:val="fr-FR"/>
              </w:rPr>
            </w:pPr>
            <w:r w:rsidRPr="00BA4CC3">
              <w:rPr>
                <w:rFonts w:asciiTheme="minorHAnsi" w:eastAsia="Times New Roman" w:hAnsiTheme="minorHAnsi" w:cstheme="minorHAnsi"/>
                <w:b/>
                <w:bCs/>
                <w:color w:val="4472C4" w:themeColor="accent5"/>
                <w:sz w:val="24"/>
                <w:szCs w:val="24"/>
                <w:lang w:val="fr-FR"/>
              </w:rPr>
              <w:t xml:space="preserve"> </w:t>
            </w:r>
            <w:r w:rsidRPr="00BA4CC3">
              <w:rPr>
                <w:sz w:val="22"/>
                <w:szCs w:val="22"/>
              </w:rPr>
              <w:t xml:space="preserve"> </w:t>
            </w:r>
            <w:r w:rsidRPr="00BA4CC3">
              <w:rPr>
                <w:rFonts w:asciiTheme="minorHAnsi" w:eastAsia="Times New Roman" w:hAnsiTheme="minorHAnsi" w:cstheme="minorHAnsi"/>
                <w:b/>
                <w:bCs/>
                <w:color w:val="4472C4" w:themeColor="accent5"/>
                <w:sz w:val="24"/>
                <w:szCs w:val="24"/>
                <w:lang w:val="fr-FR"/>
              </w:rPr>
              <w:t>Justifications de l’étude</w:t>
            </w:r>
          </w:p>
          <w:p w14:paraId="24F9020B" w14:textId="3B39EB37" w:rsidR="00DC64CC" w:rsidRPr="00DC64CC" w:rsidRDefault="00DC64CC" w:rsidP="00397355">
            <w:pPr>
              <w:spacing w:before="60" w:after="60" w:line="240" w:lineRule="auto"/>
              <w:jc w:val="both"/>
              <w:rPr>
                <w:rStyle w:val="normaltextrun"/>
                <w:rFonts w:asciiTheme="minorHAnsi" w:eastAsia="Times New Roman" w:hAnsiTheme="minorHAnsi" w:cstheme="minorHAnsi"/>
                <w:color w:val="auto"/>
                <w:sz w:val="22"/>
                <w:szCs w:val="22"/>
                <w:lang w:val="fr-FR"/>
              </w:rPr>
            </w:pPr>
            <w:r w:rsidRPr="00DC64CC">
              <w:rPr>
                <w:rStyle w:val="normaltextrun"/>
                <w:rFonts w:asciiTheme="minorHAnsi" w:eastAsia="Times New Roman" w:hAnsiTheme="minorHAnsi" w:cstheme="minorHAnsi"/>
                <w:color w:val="auto"/>
                <w:sz w:val="22"/>
                <w:szCs w:val="22"/>
                <w:lang w:val="fr-FR"/>
              </w:rPr>
              <w:t>Le programme de coopération entre la Tunisie et l’UNICEF pour la période 202</w:t>
            </w:r>
            <w:r w:rsidR="008A1F94">
              <w:rPr>
                <w:rStyle w:val="normaltextrun"/>
                <w:rFonts w:asciiTheme="minorHAnsi" w:eastAsia="Times New Roman" w:hAnsiTheme="minorHAnsi" w:cstheme="minorHAnsi"/>
                <w:color w:val="auto"/>
                <w:sz w:val="22"/>
                <w:szCs w:val="22"/>
                <w:lang w:val="fr-FR"/>
              </w:rPr>
              <w:t>1</w:t>
            </w:r>
            <w:r w:rsidRPr="00DC64CC">
              <w:rPr>
                <w:rStyle w:val="normaltextrun"/>
                <w:rFonts w:asciiTheme="minorHAnsi" w:eastAsia="Times New Roman" w:hAnsiTheme="minorHAnsi" w:cstheme="minorHAnsi"/>
                <w:color w:val="auto"/>
                <w:sz w:val="22"/>
                <w:szCs w:val="22"/>
                <w:lang w:val="fr-FR"/>
              </w:rPr>
              <w:t>-2025 priorise des interventions importantes dans le domaine de</w:t>
            </w:r>
            <w:r w:rsidR="00D93893">
              <w:rPr>
                <w:rStyle w:val="normaltextrun"/>
                <w:rFonts w:asciiTheme="minorHAnsi" w:eastAsia="Times New Roman" w:hAnsiTheme="minorHAnsi" w:cstheme="minorHAnsi"/>
                <w:color w:val="auto"/>
                <w:sz w:val="22"/>
                <w:szCs w:val="22"/>
                <w:lang w:val="fr-FR"/>
              </w:rPr>
              <w:t xml:space="preserve"> la protection sociale sensibles aux enfants</w:t>
            </w:r>
            <w:r w:rsidRPr="00DC64CC">
              <w:rPr>
                <w:rStyle w:val="normaltextrun"/>
                <w:rFonts w:asciiTheme="minorHAnsi" w:eastAsia="Times New Roman" w:hAnsiTheme="minorHAnsi" w:cstheme="minorHAnsi"/>
                <w:color w:val="auto"/>
                <w:sz w:val="22"/>
                <w:szCs w:val="22"/>
                <w:lang w:val="fr-FR"/>
              </w:rPr>
              <w:t xml:space="preserve"> dans le cadre des réformes engagées par le Gouvernement dont celle relative à la </w:t>
            </w:r>
            <w:r w:rsidR="00D93893">
              <w:rPr>
                <w:rStyle w:val="normaltextrun"/>
                <w:rFonts w:asciiTheme="minorHAnsi" w:eastAsia="Times New Roman" w:hAnsiTheme="minorHAnsi" w:cstheme="minorHAnsi"/>
                <w:color w:val="auto"/>
                <w:sz w:val="22"/>
                <w:szCs w:val="22"/>
                <w:lang w:val="fr-FR"/>
              </w:rPr>
              <w:t xml:space="preserve">vision </w:t>
            </w:r>
            <w:r w:rsidR="00F2762F">
              <w:rPr>
                <w:rStyle w:val="normaltextrun"/>
                <w:rFonts w:asciiTheme="minorHAnsi" w:eastAsia="Times New Roman" w:hAnsiTheme="minorHAnsi" w:cstheme="minorHAnsi"/>
                <w:color w:val="auto"/>
                <w:sz w:val="22"/>
                <w:szCs w:val="22"/>
                <w:lang w:val="fr-FR"/>
              </w:rPr>
              <w:t>présentée</w:t>
            </w:r>
            <w:r w:rsidR="00D93893">
              <w:rPr>
                <w:rStyle w:val="normaltextrun"/>
                <w:rFonts w:asciiTheme="minorHAnsi" w:eastAsia="Times New Roman" w:hAnsiTheme="minorHAnsi" w:cstheme="minorHAnsi"/>
                <w:color w:val="auto"/>
                <w:sz w:val="22"/>
                <w:szCs w:val="22"/>
                <w:lang w:val="fr-FR"/>
              </w:rPr>
              <w:t xml:space="preserve"> dans la stratégie nationale de développement 2023-2025</w:t>
            </w:r>
            <w:r w:rsidRPr="00DC64CC">
              <w:rPr>
                <w:rStyle w:val="normaltextrun"/>
                <w:rFonts w:asciiTheme="minorHAnsi" w:eastAsia="Times New Roman" w:hAnsiTheme="minorHAnsi" w:cstheme="minorHAnsi"/>
                <w:color w:val="auto"/>
                <w:sz w:val="22"/>
                <w:szCs w:val="22"/>
                <w:lang w:val="fr-FR"/>
              </w:rPr>
              <w:t>. Les objectifs de ce programme</w:t>
            </w:r>
            <w:r w:rsidR="00F2762F">
              <w:rPr>
                <w:rStyle w:val="normaltextrun"/>
                <w:rFonts w:asciiTheme="minorHAnsi" w:eastAsia="Times New Roman" w:hAnsiTheme="minorHAnsi" w:cstheme="minorHAnsi"/>
                <w:color w:val="auto"/>
                <w:sz w:val="22"/>
                <w:szCs w:val="22"/>
                <w:lang w:val="fr-FR"/>
              </w:rPr>
              <w:t xml:space="preserve"> de coopération</w:t>
            </w:r>
            <w:r w:rsidRPr="00DC64CC">
              <w:rPr>
                <w:rStyle w:val="normaltextrun"/>
                <w:rFonts w:asciiTheme="minorHAnsi" w:eastAsia="Times New Roman" w:hAnsiTheme="minorHAnsi" w:cstheme="minorHAnsi"/>
                <w:color w:val="auto"/>
                <w:sz w:val="22"/>
                <w:szCs w:val="22"/>
                <w:lang w:val="fr-FR"/>
              </w:rPr>
              <w:t xml:space="preserve"> s’alignent aux priorités nationales qui donnent une très grande importance à l’investissement public dans les domaines du développement humain et de </w:t>
            </w:r>
            <w:r w:rsidR="008D2E72" w:rsidRPr="00DC64CC">
              <w:rPr>
                <w:rStyle w:val="normaltextrun"/>
                <w:rFonts w:asciiTheme="minorHAnsi" w:eastAsia="Times New Roman" w:hAnsiTheme="minorHAnsi" w:cstheme="minorHAnsi"/>
                <w:color w:val="auto"/>
                <w:sz w:val="22"/>
                <w:szCs w:val="22"/>
                <w:lang w:val="fr-FR"/>
              </w:rPr>
              <w:t>l</w:t>
            </w:r>
            <w:r w:rsidR="008D2E72">
              <w:rPr>
                <w:rStyle w:val="normaltextrun"/>
                <w:rFonts w:asciiTheme="minorHAnsi" w:eastAsia="Times New Roman" w:hAnsiTheme="minorHAnsi" w:cstheme="minorHAnsi"/>
                <w:color w:val="auto"/>
                <w:sz w:val="22"/>
                <w:szCs w:val="22"/>
                <w:lang w:val="fr-FR"/>
              </w:rPr>
              <w:t>a protection</w:t>
            </w:r>
            <w:r w:rsidR="008D2E72" w:rsidRPr="00DC64CC">
              <w:rPr>
                <w:rStyle w:val="normaltextrun"/>
                <w:rFonts w:asciiTheme="minorHAnsi" w:eastAsia="Times New Roman" w:hAnsiTheme="minorHAnsi" w:cstheme="minorHAnsi"/>
                <w:color w:val="auto"/>
                <w:sz w:val="22"/>
                <w:szCs w:val="22"/>
                <w:lang w:val="fr-FR"/>
              </w:rPr>
              <w:t xml:space="preserve"> </w:t>
            </w:r>
            <w:r w:rsidRPr="00DC64CC">
              <w:rPr>
                <w:rStyle w:val="normaltextrun"/>
                <w:rFonts w:asciiTheme="minorHAnsi" w:eastAsia="Times New Roman" w:hAnsiTheme="minorHAnsi" w:cstheme="minorHAnsi"/>
                <w:color w:val="auto"/>
                <w:sz w:val="22"/>
                <w:szCs w:val="22"/>
                <w:lang w:val="fr-FR"/>
              </w:rPr>
              <w:t>sociale tout en recherchant la performance et un impact plus élevé sur la population et les enfants en particulier.</w:t>
            </w:r>
          </w:p>
          <w:p w14:paraId="149B07C2" w14:textId="77777777" w:rsidR="00147FD4" w:rsidRDefault="512FE9C4" w:rsidP="00397355">
            <w:pPr>
              <w:spacing w:before="60" w:after="60" w:line="240" w:lineRule="auto"/>
              <w:jc w:val="both"/>
              <w:rPr>
                <w:rStyle w:val="normaltextrun"/>
                <w:rFonts w:asciiTheme="minorHAnsi" w:eastAsia="Times New Roman" w:hAnsiTheme="minorHAnsi" w:cstheme="minorBidi"/>
                <w:color w:val="auto"/>
                <w:sz w:val="22"/>
                <w:szCs w:val="22"/>
                <w:lang w:val="fr-FR"/>
              </w:rPr>
            </w:pPr>
            <w:r w:rsidRPr="2EFC5A69">
              <w:rPr>
                <w:rStyle w:val="normaltextrun"/>
                <w:rFonts w:asciiTheme="minorHAnsi" w:eastAsia="Times New Roman" w:hAnsiTheme="minorHAnsi" w:cstheme="minorBidi"/>
                <w:color w:val="auto"/>
                <w:sz w:val="22"/>
                <w:szCs w:val="22"/>
                <w:lang w:val="fr-FR"/>
              </w:rPr>
              <w:t>Le gouvernement, avec le soutien de l'UNICEF, souhaiterait élaborer un</w:t>
            </w:r>
            <w:r w:rsidR="7055EC77" w:rsidRPr="2EFC5A69">
              <w:rPr>
                <w:rStyle w:val="normaltextrun"/>
                <w:rFonts w:asciiTheme="minorHAnsi" w:eastAsia="Times New Roman" w:hAnsiTheme="minorHAnsi" w:cstheme="minorBidi"/>
                <w:color w:val="auto"/>
                <w:sz w:val="22"/>
                <w:szCs w:val="22"/>
                <w:lang w:val="fr-FR"/>
              </w:rPr>
              <w:t>e feuille de route</w:t>
            </w:r>
            <w:r w:rsidRPr="2EFC5A69">
              <w:rPr>
                <w:rStyle w:val="normaltextrun"/>
                <w:rFonts w:asciiTheme="minorHAnsi" w:eastAsia="Times New Roman" w:hAnsiTheme="minorHAnsi" w:cstheme="minorBidi"/>
                <w:color w:val="auto"/>
                <w:sz w:val="22"/>
                <w:szCs w:val="22"/>
                <w:lang w:val="fr-FR"/>
              </w:rPr>
              <w:t xml:space="preserve"> </w:t>
            </w:r>
            <w:r w:rsidR="13E5A225" w:rsidRPr="2EFC5A69">
              <w:rPr>
                <w:rStyle w:val="normaltextrun"/>
                <w:rFonts w:asciiTheme="minorHAnsi" w:eastAsia="Times New Roman" w:hAnsiTheme="minorHAnsi" w:cstheme="minorBidi"/>
                <w:color w:val="auto"/>
                <w:sz w:val="22"/>
                <w:szCs w:val="22"/>
                <w:lang w:val="fr-FR"/>
              </w:rPr>
              <w:t>permettant d’</w:t>
            </w:r>
            <w:r w:rsidR="7055EC77" w:rsidRPr="2EFC5A69">
              <w:rPr>
                <w:rStyle w:val="normaltextrun"/>
                <w:rFonts w:asciiTheme="minorHAnsi" w:eastAsia="Times New Roman" w:hAnsiTheme="minorHAnsi" w:cstheme="minorBidi"/>
                <w:color w:val="auto"/>
                <w:sz w:val="22"/>
                <w:szCs w:val="22"/>
                <w:lang w:val="fr-FR"/>
              </w:rPr>
              <w:t xml:space="preserve">assurer </w:t>
            </w:r>
            <w:r w:rsidR="13E5A225" w:rsidRPr="2EFC5A69">
              <w:rPr>
                <w:rStyle w:val="normaltextrun"/>
                <w:rFonts w:asciiTheme="minorHAnsi" w:eastAsia="Times New Roman" w:hAnsiTheme="minorHAnsi" w:cstheme="minorBidi"/>
                <w:color w:val="auto"/>
                <w:sz w:val="22"/>
                <w:szCs w:val="22"/>
                <w:lang w:val="fr-FR"/>
              </w:rPr>
              <w:t>dans le cour</w:t>
            </w:r>
            <w:r w:rsidR="4D444161" w:rsidRPr="2EFC5A69">
              <w:rPr>
                <w:rStyle w:val="normaltextrun"/>
                <w:rFonts w:asciiTheme="minorHAnsi" w:eastAsia="Times New Roman" w:hAnsiTheme="minorHAnsi" w:cstheme="minorBidi"/>
                <w:color w:val="auto"/>
                <w:sz w:val="22"/>
                <w:szCs w:val="22"/>
                <w:lang w:val="fr-FR"/>
              </w:rPr>
              <w:t>t</w:t>
            </w:r>
            <w:r w:rsidR="13E5A225" w:rsidRPr="2EFC5A69">
              <w:rPr>
                <w:rStyle w:val="normaltextrun"/>
                <w:rFonts w:asciiTheme="minorHAnsi" w:eastAsia="Times New Roman" w:hAnsiTheme="minorHAnsi" w:cstheme="minorBidi"/>
                <w:color w:val="auto"/>
                <w:sz w:val="22"/>
                <w:szCs w:val="22"/>
                <w:lang w:val="fr-FR"/>
              </w:rPr>
              <w:t xml:space="preserve"> terme </w:t>
            </w:r>
            <w:r w:rsidRPr="2EFC5A69">
              <w:rPr>
                <w:rStyle w:val="normaltextrun"/>
                <w:rFonts w:asciiTheme="minorHAnsi" w:eastAsia="Times New Roman" w:hAnsiTheme="minorHAnsi" w:cstheme="minorBidi"/>
                <w:color w:val="auto"/>
                <w:sz w:val="22"/>
                <w:szCs w:val="22"/>
                <w:lang w:val="fr-FR"/>
              </w:rPr>
              <w:t>l</w:t>
            </w:r>
            <w:r w:rsidR="002663A6">
              <w:rPr>
                <w:rStyle w:val="normaltextrun"/>
                <w:rFonts w:asciiTheme="minorHAnsi" w:eastAsia="Times New Roman" w:hAnsiTheme="minorHAnsi" w:cstheme="minorBidi"/>
                <w:color w:val="auto"/>
                <w:sz w:val="22"/>
                <w:szCs w:val="22"/>
                <w:lang w:val="fr-FR"/>
              </w:rPr>
              <w:t>a revalorisation pour l</w:t>
            </w:r>
            <w:r w:rsidRPr="2EFC5A69">
              <w:rPr>
                <w:rStyle w:val="normaltextrun"/>
                <w:rFonts w:asciiTheme="minorHAnsi" w:eastAsia="Times New Roman" w:hAnsiTheme="minorHAnsi" w:cstheme="minorBidi"/>
                <w:color w:val="auto"/>
                <w:sz w:val="22"/>
                <w:szCs w:val="22"/>
                <w:lang w:val="fr-FR"/>
              </w:rPr>
              <w:t>’alignement des différentes catégories d’allocations familiales</w:t>
            </w:r>
            <w:r w:rsidR="1A40AB18" w:rsidRPr="2EFC5A69">
              <w:rPr>
                <w:rStyle w:val="normaltextrun"/>
                <w:rFonts w:asciiTheme="minorHAnsi" w:eastAsia="Times New Roman" w:hAnsiTheme="minorHAnsi" w:cstheme="minorBidi"/>
                <w:color w:val="auto"/>
                <w:sz w:val="22"/>
                <w:szCs w:val="22"/>
                <w:lang w:val="fr-FR"/>
              </w:rPr>
              <w:t xml:space="preserve"> destinées aux enfants</w:t>
            </w:r>
            <w:r w:rsidRPr="2EFC5A69">
              <w:rPr>
                <w:rStyle w:val="normaltextrun"/>
                <w:rFonts w:asciiTheme="minorHAnsi" w:eastAsia="Times New Roman" w:hAnsiTheme="minorHAnsi" w:cstheme="minorBidi"/>
                <w:color w:val="auto"/>
                <w:sz w:val="22"/>
                <w:szCs w:val="22"/>
                <w:lang w:val="fr-FR"/>
              </w:rPr>
              <w:t xml:space="preserve">. </w:t>
            </w:r>
          </w:p>
          <w:p w14:paraId="66B7D0B6" w14:textId="08F80160" w:rsidR="00736483" w:rsidRDefault="004602F1" w:rsidP="00397355">
            <w:pPr>
              <w:spacing w:before="60" w:after="60" w:line="240" w:lineRule="auto"/>
              <w:jc w:val="both"/>
              <w:rPr>
                <w:rStyle w:val="normaltextrun"/>
                <w:rFonts w:asciiTheme="minorHAnsi" w:eastAsia="Times New Roman" w:hAnsiTheme="minorHAnsi" w:cstheme="minorBidi"/>
                <w:color w:val="auto"/>
                <w:sz w:val="22"/>
                <w:szCs w:val="22"/>
                <w:lang w:val="fr-FR"/>
              </w:rPr>
            </w:pPr>
            <w:r>
              <w:rPr>
                <w:rStyle w:val="normaltextrun"/>
                <w:rFonts w:asciiTheme="minorHAnsi" w:eastAsia="Times New Roman" w:hAnsiTheme="minorHAnsi" w:cstheme="minorBidi"/>
                <w:color w:val="auto"/>
                <w:sz w:val="22"/>
                <w:szCs w:val="22"/>
                <w:lang w:val="fr-FR"/>
              </w:rPr>
              <w:t xml:space="preserve">En effet, tel que </w:t>
            </w:r>
            <w:r w:rsidR="00360648">
              <w:rPr>
                <w:rStyle w:val="normaltextrun"/>
                <w:rFonts w:asciiTheme="minorHAnsi" w:eastAsia="Times New Roman" w:hAnsiTheme="minorHAnsi" w:cstheme="minorBidi"/>
                <w:color w:val="auto"/>
                <w:sz w:val="22"/>
                <w:szCs w:val="22"/>
                <w:lang w:val="fr-FR"/>
              </w:rPr>
              <w:t>présenté</w:t>
            </w:r>
            <w:r>
              <w:rPr>
                <w:rStyle w:val="normaltextrun"/>
                <w:rFonts w:asciiTheme="minorHAnsi" w:eastAsia="Times New Roman" w:hAnsiTheme="minorHAnsi" w:cstheme="minorBidi"/>
                <w:color w:val="auto"/>
                <w:sz w:val="22"/>
                <w:szCs w:val="22"/>
                <w:lang w:val="fr-FR"/>
              </w:rPr>
              <w:t xml:space="preserve"> dans le contexte </w:t>
            </w:r>
            <w:r w:rsidR="00360648">
              <w:rPr>
                <w:rStyle w:val="normaltextrun"/>
                <w:rFonts w:asciiTheme="minorHAnsi" w:eastAsia="Times New Roman" w:hAnsiTheme="minorHAnsi" w:cstheme="minorBidi"/>
                <w:color w:val="auto"/>
                <w:sz w:val="22"/>
                <w:szCs w:val="22"/>
                <w:lang w:val="fr-FR"/>
              </w:rPr>
              <w:t xml:space="preserve">les allocations familiales des deux régimes contributifs et non-contributifs sont désormais </w:t>
            </w:r>
            <w:r w:rsidR="00A02AB8">
              <w:rPr>
                <w:rStyle w:val="normaltextrun"/>
                <w:rFonts w:asciiTheme="minorHAnsi" w:eastAsia="Times New Roman" w:hAnsiTheme="minorHAnsi" w:cstheme="minorBidi"/>
                <w:color w:val="auto"/>
                <w:sz w:val="22"/>
                <w:szCs w:val="22"/>
                <w:lang w:val="fr-FR"/>
              </w:rPr>
              <w:t xml:space="preserve">d’une valeur différente, celle de AMEN Social étant plus généreuse. Cette situation présente le risque que le </w:t>
            </w:r>
            <w:r w:rsidR="002D43E5">
              <w:rPr>
                <w:rStyle w:val="normaltextrun"/>
                <w:rFonts w:asciiTheme="minorHAnsi" w:eastAsia="Times New Roman" w:hAnsiTheme="minorHAnsi" w:cstheme="minorBidi"/>
                <w:color w:val="auto"/>
                <w:sz w:val="22"/>
                <w:szCs w:val="22"/>
                <w:lang w:val="fr-FR"/>
              </w:rPr>
              <w:t>régime</w:t>
            </w:r>
            <w:r w:rsidR="00A02AB8">
              <w:rPr>
                <w:rStyle w:val="normaltextrun"/>
                <w:rFonts w:asciiTheme="minorHAnsi" w:eastAsia="Times New Roman" w:hAnsiTheme="minorHAnsi" w:cstheme="minorBidi"/>
                <w:color w:val="auto"/>
                <w:sz w:val="22"/>
                <w:szCs w:val="22"/>
                <w:lang w:val="fr-FR"/>
              </w:rPr>
              <w:t xml:space="preserve"> non-contributif</w:t>
            </w:r>
            <w:r w:rsidR="002D43E5">
              <w:rPr>
                <w:rStyle w:val="normaltextrun"/>
                <w:rFonts w:asciiTheme="minorHAnsi" w:eastAsia="Times New Roman" w:hAnsiTheme="minorHAnsi" w:cstheme="minorBidi"/>
                <w:color w:val="auto"/>
                <w:sz w:val="22"/>
                <w:szCs w:val="22"/>
                <w:lang w:val="fr-FR"/>
              </w:rPr>
              <w:t xml:space="preserve"> </w:t>
            </w:r>
            <w:r w:rsidR="0063510F">
              <w:rPr>
                <w:rStyle w:val="normaltextrun"/>
                <w:rFonts w:asciiTheme="minorHAnsi" w:eastAsia="Times New Roman" w:hAnsiTheme="minorHAnsi" w:cstheme="minorBidi"/>
                <w:color w:val="auto"/>
                <w:sz w:val="22"/>
                <w:szCs w:val="22"/>
                <w:lang w:val="fr-FR"/>
              </w:rPr>
              <w:t>puisse avoir</w:t>
            </w:r>
            <w:r w:rsidR="002D43E5">
              <w:rPr>
                <w:rStyle w:val="normaltextrun"/>
                <w:rFonts w:asciiTheme="minorHAnsi" w:eastAsia="Times New Roman" w:hAnsiTheme="minorHAnsi" w:cstheme="minorBidi"/>
                <w:color w:val="auto"/>
                <w:sz w:val="22"/>
                <w:szCs w:val="22"/>
                <w:lang w:val="fr-FR"/>
              </w:rPr>
              <w:t xml:space="preserve"> </w:t>
            </w:r>
            <w:r w:rsidR="002E28FB">
              <w:rPr>
                <w:rStyle w:val="normaltextrun"/>
                <w:rFonts w:asciiTheme="minorHAnsi" w:eastAsia="Times New Roman" w:hAnsiTheme="minorHAnsi" w:cstheme="minorBidi"/>
                <w:color w:val="auto"/>
                <w:sz w:val="22"/>
                <w:szCs w:val="22"/>
                <w:lang w:val="fr-FR"/>
              </w:rPr>
              <w:t>u</w:t>
            </w:r>
            <w:r w:rsidR="002D43E5">
              <w:rPr>
                <w:rStyle w:val="normaltextrun"/>
                <w:rFonts w:asciiTheme="minorHAnsi" w:eastAsia="Times New Roman" w:hAnsiTheme="minorHAnsi" w:cstheme="minorBidi"/>
                <w:color w:val="auto"/>
                <w:sz w:val="22"/>
                <w:szCs w:val="22"/>
                <w:lang w:val="fr-FR"/>
              </w:rPr>
              <w:t xml:space="preserve">n rôle d’opportunité </w:t>
            </w:r>
            <w:r w:rsidR="003F0AEA">
              <w:rPr>
                <w:rStyle w:val="normaltextrun"/>
                <w:rFonts w:asciiTheme="minorHAnsi" w:eastAsia="Times New Roman" w:hAnsiTheme="minorHAnsi" w:cstheme="minorBidi"/>
                <w:color w:val="auto"/>
                <w:sz w:val="22"/>
                <w:szCs w:val="22"/>
                <w:lang w:val="fr-FR"/>
              </w:rPr>
              <w:t xml:space="preserve">pour </w:t>
            </w:r>
            <w:r w:rsidR="003F0AEA" w:rsidRPr="003F0AEA">
              <w:rPr>
                <w:rStyle w:val="normaltextrun"/>
                <w:rFonts w:asciiTheme="minorHAnsi" w:eastAsia="Times New Roman" w:hAnsiTheme="minorHAnsi" w:cstheme="minorBidi"/>
                <w:color w:val="auto"/>
                <w:sz w:val="22"/>
                <w:szCs w:val="22"/>
                <w:lang w:val="fr-FR"/>
              </w:rPr>
              <w:t xml:space="preserve">les affiliés des régimes contributifs de la CNSS non-bénéficiaires des AF (surtout les ménages à faibles revenus) </w:t>
            </w:r>
            <w:r w:rsidR="00B6094D">
              <w:rPr>
                <w:rStyle w:val="normaltextrun"/>
                <w:rFonts w:asciiTheme="minorHAnsi" w:eastAsia="Times New Roman" w:hAnsiTheme="minorHAnsi" w:cstheme="minorBidi"/>
                <w:color w:val="auto"/>
                <w:sz w:val="22"/>
                <w:szCs w:val="22"/>
                <w:lang w:val="fr-FR"/>
              </w:rPr>
              <w:t xml:space="preserve">et qu’ils ne </w:t>
            </w:r>
            <w:r w:rsidR="002E28FB">
              <w:rPr>
                <w:rStyle w:val="normaltextrun"/>
                <w:rFonts w:asciiTheme="minorHAnsi" w:eastAsia="Times New Roman" w:hAnsiTheme="minorHAnsi" w:cstheme="minorBidi"/>
                <w:color w:val="auto"/>
                <w:sz w:val="22"/>
                <w:szCs w:val="22"/>
                <w:lang w:val="fr-FR"/>
              </w:rPr>
              <w:t xml:space="preserve">versent plus leurs cotisations de sécurité sociale à la CNSS </w:t>
            </w:r>
            <w:r w:rsidR="003F0AEA" w:rsidRPr="003F0AEA">
              <w:rPr>
                <w:rStyle w:val="normaltextrun"/>
                <w:rFonts w:asciiTheme="minorHAnsi" w:eastAsia="Times New Roman" w:hAnsiTheme="minorHAnsi" w:cstheme="minorBidi"/>
                <w:color w:val="auto"/>
                <w:sz w:val="22"/>
                <w:szCs w:val="22"/>
                <w:lang w:val="fr-FR"/>
              </w:rPr>
              <w:t xml:space="preserve">pour bénéficier </w:t>
            </w:r>
            <w:r w:rsidR="00FC0EA8">
              <w:rPr>
                <w:rStyle w:val="normaltextrun"/>
                <w:rFonts w:asciiTheme="minorHAnsi" w:eastAsia="Times New Roman" w:hAnsiTheme="minorHAnsi" w:cstheme="minorBidi"/>
                <w:color w:val="auto"/>
                <w:sz w:val="22"/>
                <w:szCs w:val="22"/>
                <w:lang w:val="fr-FR"/>
              </w:rPr>
              <w:t>des</w:t>
            </w:r>
            <w:r w:rsidR="003F0AEA" w:rsidRPr="003F0AEA">
              <w:rPr>
                <w:rStyle w:val="normaltextrun"/>
                <w:rFonts w:asciiTheme="minorHAnsi" w:eastAsia="Times New Roman" w:hAnsiTheme="minorHAnsi" w:cstheme="minorBidi"/>
                <w:color w:val="auto"/>
                <w:sz w:val="22"/>
                <w:szCs w:val="22"/>
                <w:lang w:val="fr-FR"/>
              </w:rPr>
              <w:t xml:space="preserve"> </w:t>
            </w:r>
            <w:r w:rsidR="00FC0EA8">
              <w:rPr>
                <w:rStyle w:val="normaltextrun"/>
                <w:rFonts w:asciiTheme="minorHAnsi" w:eastAsia="Times New Roman" w:hAnsiTheme="minorHAnsi" w:cstheme="minorBidi"/>
                <w:color w:val="auto"/>
                <w:sz w:val="22"/>
                <w:szCs w:val="22"/>
                <w:lang w:val="fr-FR"/>
              </w:rPr>
              <w:t>prestations</w:t>
            </w:r>
            <w:r w:rsidR="003F0AEA" w:rsidRPr="003F0AEA">
              <w:rPr>
                <w:rStyle w:val="normaltextrun"/>
                <w:rFonts w:asciiTheme="minorHAnsi" w:eastAsia="Times New Roman" w:hAnsiTheme="minorHAnsi" w:cstheme="minorBidi"/>
                <w:color w:val="auto"/>
                <w:sz w:val="22"/>
                <w:szCs w:val="22"/>
                <w:lang w:val="fr-FR"/>
              </w:rPr>
              <w:t xml:space="preserve"> </w:t>
            </w:r>
            <w:r w:rsidR="00B6094D">
              <w:rPr>
                <w:rStyle w:val="normaltextrun"/>
                <w:rFonts w:asciiTheme="minorHAnsi" w:eastAsia="Times New Roman" w:hAnsiTheme="minorHAnsi" w:cstheme="minorBidi"/>
                <w:color w:val="auto"/>
                <w:sz w:val="22"/>
                <w:szCs w:val="22"/>
                <w:lang w:val="fr-FR"/>
              </w:rPr>
              <w:t>AMEN Social</w:t>
            </w:r>
            <w:r w:rsidR="003F0AEA" w:rsidRPr="003F0AEA">
              <w:rPr>
                <w:rStyle w:val="normaltextrun"/>
                <w:rFonts w:asciiTheme="minorHAnsi" w:eastAsia="Times New Roman" w:hAnsiTheme="minorHAnsi" w:cstheme="minorBidi"/>
                <w:color w:val="auto"/>
                <w:sz w:val="22"/>
                <w:szCs w:val="22"/>
                <w:lang w:val="fr-FR"/>
              </w:rPr>
              <w:t xml:space="preserve">, </w:t>
            </w:r>
            <w:r w:rsidR="003F0AEA" w:rsidRPr="003F0AEA">
              <w:rPr>
                <w:rStyle w:val="normaltextrun"/>
                <w:rFonts w:asciiTheme="minorHAnsi" w:eastAsia="Times New Roman" w:hAnsiTheme="minorHAnsi" w:cstheme="minorBidi"/>
                <w:color w:val="auto"/>
                <w:sz w:val="22"/>
                <w:szCs w:val="22"/>
                <w:lang w:val="fr-FR"/>
              </w:rPr>
              <w:lastRenderedPageBreak/>
              <w:t>plus attracti</w:t>
            </w:r>
            <w:r w:rsidR="00FC0EA8">
              <w:rPr>
                <w:rStyle w:val="normaltextrun"/>
                <w:rFonts w:asciiTheme="minorHAnsi" w:eastAsia="Times New Roman" w:hAnsiTheme="minorHAnsi" w:cstheme="minorBidi"/>
                <w:color w:val="auto"/>
                <w:sz w:val="22"/>
                <w:szCs w:val="22"/>
                <w:lang w:val="fr-FR"/>
              </w:rPr>
              <w:t>ves</w:t>
            </w:r>
            <w:r w:rsidR="003F0AEA" w:rsidRPr="003F0AEA">
              <w:rPr>
                <w:rStyle w:val="normaltextrun"/>
                <w:rFonts w:asciiTheme="minorHAnsi" w:eastAsia="Times New Roman" w:hAnsiTheme="minorHAnsi" w:cstheme="minorBidi"/>
                <w:color w:val="auto"/>
                <w:sz w:val="22"/>
                <w:szCs w:val="22"/>
                <w:lang w:val="fr-FR"/>
              </w:rPr>
              <w:t xml:space="preserve">. Ce risque est déjà avéré selon les premières études faites par le CRES sur des populations particulières (petits pêcheurs, agriculteurs…) et </w:t>
            </w:r>
            <w:r w:rsidR="000A7848">
              <w:rPr>
                <w:rStyle w:val="normaltextrun"/>
                <w:rFonts w:asciiTheme="minorHAnsi" w:eastAsia="Times New Roman" w:hAnsiTheme="minorHAnsi" w:cstheme="minorBidi"/>
                <w:color w:val="auto"/>
                <w:sz w:val="22"/>
                <w:szCs w:val="22"/>
                <w:lang w:val="fr-FR"/>
              </w:rPr>
              <w:t>ce phénomène pourrait</w:t>
            </w:r>
            <w:r w:rsidR="003F0AEA" w:rsidRPr="003F0AEA">
              <w:rPr>
                <w:rStyle w:val="normaltextrun"/>
                <w:rFonts w:asciiTheme="minorHAnsi" w:eastAsia="Times New Roman" w:hAnsiTheme="minorHAnsi" w:cstheme="minorBidi"/>
                <w:color w:val="auto"/>
                <w:sz w:val="22"/>
                <w:szCs w:val="22"/>
                <w:lang w:val="fr-FR"/>
              </w:rPr>
              <w:t xml:space="preserve"> prendre de l'ampleur si aucune mesure d'</w:t>
            </w:r>
            <w:r w:rsidR="000A7848">
              <w:rPr>
                <w:rStyle w:val="normaltextrun"/>
                <w:rFonts w:asciiTheme="minorHAnsi" w:eastAsia="Times New Roman" w:hAnsiTheme="minorHAnsi" w:cstheme="minorBidi"/>
                <w:color w:val="auto"/>
                <w:sz w:val="22"/>
                <w:szCs w:val="22"/>
                <w:lang w:val="fr-FR"/>
              </w:rPr>
              <w:t>harmonisation</w:t>
            </w:r>
            <w:r w:rsidR="003F0AEA" w:rsidRPr="003F0AEA">
              <w:rPr>
                <w:rStyle w:val="normaltextrun"/>
                <w:rFonts w:asciiTheme="minorHAnsi" w:eastAsia="Times New Roman" w:hAnsiTheme="minorHAnsi" w:cstheme="minorBidi"/>
                <w:color w:val="auto"/>
                <w:sz w:val="22"/>
                <w:szCs w:val="22"/>
                <w:lang w:val="fr-FR"/>
              </w:rPr>
              <w:t xml:space="preserve"> n'est prise.</w:t>
            </w:r>
          </w:p>
          <w:p w14:paraId="62786567" w14:textId="6003D617" w:rsidR="00B579CE" w:rsidRDefault="00147FD4" w:rsidP="00147FD4">
            <w:pPr>
              <w:spacing w:before="60" w:after="60" w:line="240" w:lineRule="auto"/>
              <w:jc w:val="both"/>
              <w:rPr>
                <w:rStyle w:val="normaltextrun"/>
                <w:rFonts w:asciiTheme="minorHAnsi" w:eastAsia="Times New Roman" w:hAnsiTheme="minorHAnsi" w:cstheme="minorBidi"/>
                <w:color w:val="auto"/>
                <w:sz w:val="22"/>
                <w:szCs w:val="22"/>
                <w:lang w:val="fr-FR"/>
              </w:rPr>
            </w:pPr>
            <w:r>
              <w:rPr>
                <w:rStyle w:val="normaltextrun"/>
                <w:rFonts w:asciiTheme="minorHAnsi" w:eastAsia="Times New Roman" w:hAnsiTheme="minorHAnsi" w:cstheme="minorBidi"/>
                <w:color w:val="auto"/>
                <w:sz w:val="22"/>
                <w:szCs w:val="22"/>
                <w:lang w:val="fr-FR"/>
              </w:rPr>
              <w:t xml:space="preserve">Ensuite, </w:t>
            </w:r>
            <w:r w:rsidR="009A5CBC">
              <w:rPr>
                <w:rStyle w:val="normaltextrun"/>
                <w:rFonts w:asciiTheme="minorHAnsi" w:eastAsia="Times New Roman" w:hAnsiTheme="minorHAnsi" w:cstheme="minorBidi"/>
                <w:color w:val="auto"/>
                <w:sz w:val="22"/>
                <w:szCs w:val="22"/>
                <w:lang w:val="fr-FR"/>
              </w:rPr>
              <w:t xml:space="preserve">la situation et les tendances démographiques en Tunisie ont grandement évolué depuis la mise en place de la branche allocations familiales des </w:t>
            </w:r>
            <w:r w:rsidR="0015099F">
              <w:rPr>
                <w:rStyle w:val="normaltextrun"/>
                <w:rFonts w:asciiTheme="minorHAnsi" w:eastAsia="Times New Roman" w:hAnsiTheme="minorHAnsi" w:cstheme="minorBidi"/>
                <w:color w:val="auto"/>
                <w:sz w:val="22"/>
                <w:szCs w:val="22"/>
                <w:lang w:val="fr-FR"/>
              </w:rPr>
              <w:t>régimes</w:t>
            </w:r>
            <w:r w:rsidR="009A5CBC">
              <w:rPr>
                <w:rStyle w:val="normaltextrun"/>
                <w:rFonts w:asciiTheme="minorHAnsi" w:eastAsia="Times New Roman" w:hAnsiTheme="minorHAnsi" w:cstheme="minorBidi"/>
                <w:color w:val="auto"/>
                <w:sz w:val="22"/>
                <w:szCs w:val="22"/>
                <w:lang w:val="fr-FR"/>
              </w:rPr>
              <w:t xml:space="preserve"> contributifs. </w:t>
            </w:r>
            <w:r w:rsidR="0015099F">
              <w:rPr>
                <w:rStyle w:val="normaltextrun"/>
                <w:rFonts w:asciiTheme="minorHAnsi" w:eastAsia="Times New Roman" w:hAnsiTheme="minorHAnsi" w:cstheme="minorBidi"/>
                <w:color w:val="auto"/>
                <w:sz w:val="22"/>
                <w:szCs w:val="22"/>
                <w:lang w:val="fr-FR"/>
              </w:rPr>
              <w:t>L</w:t>
            </w:r>
            <w:r w:rsidRPr="00147FD4">
              <w:rPr>
                <w:rStyle w:val="normaltextrun"/>
                <w:rFonts w:asciiTheme="minorHAnsi" w:eastAsia="Times New Roman" w:hAnsiTheme="minorHAnsi" w:cstheme="minorBidi"/>
                <w:color w:val="auto"/>
                <w:sz w:val="22"/>
                <w:szCs w:val="22"/>
                <w:lang w:val="fr-FR"/>
              </w:rPr>
              <w:t>es allocations familiales des régimes contributifs ont été créées selon une formule dégressive</w:t>
            </w:r>
            <w:r w:rsidR="00B309D8">
              <w:rPr>
                <w:rStyle w:val="normaltextrun"/>
                <w:rFonts w:asciiTheme="minorHAnsi" w:eastAsia="Times New Roman" w:hAnsiTheme="minorHAnsi" w:cstheme="minorBidi"/>
                <w:color w:val="auto"/>
                <w:sz w:val="22"/>
                <w:szCs w:val="22"/>
                <w:lang w:val="fr-FR"/>
              </w:rPr>
              <w:t>, montant plus important pour le 1</w:t>
            </w:r>
            <w:r w:rsidR="00B309D8" w:rsidRPr="00B309D8">
              <w:rPr>
                <w:rStyle w:val="normaltextrun"/>
                <w:rFonts w:asciiTheme="minorHAnsi" w:eastAsia="Times New Roman" w:hAnsiTheme="minorHAnsi" w:cstheme="minorBidi"/>
                <w:color w:val="auto"/>
                <w:sz w:val="22"/>
                <w:szCs w:val="22"/>
                <w:vertAlign w:val="superscript"/>
                <w:lang w:val="fr-FR"/>
              </w:rPr>
              <w:t>er</w:t>
            </w:r>
            <w:r w:rsidR="00B309D8">
              <w:rPr>
                <w:rStyle w:val="normaltextrun"/>
                <w:rFonts w:asciiTheme="minorHAnsi" w:eastAsia="Times New Roman" w:hAnsiTheme="minorHAnsi" w:cstheme="minorBidi"/>
                <w:color w:val="auto"/>
                <w:sz w:val="22"/>
                <w:szCs w:val="22"/>
                <w:lang w:val="fr-FR"/>
              </w:rPr>
              <w:t xml:space="preserve"> enfant et limite </w:t>
            </w:r>
            <w:proofErr w:type="spellStart"/>
            <w:r w:rsidR="00B309D8">
              <w:rPr>
                <w:rStyle w:val="normaltextrun"/>
                <w:rFonts w:asciiTheme="minorHAnsi" w:eastAsia="Times New Roman" w:hAnsiTheme="minorHAnsi" w:cstheme="minorBidi"/>
                <w:color w:val="auto"/>
                <w:sz w:val="22"/>
                <w:szCs w:val="22"/>
                <w:lang w:val="fr-FR"/>
              </w:rPr>
              <w:t>a</w:t>
            </w:r>
            <w:proofErr w:type="spellEnd"/>
            <w:r w:rsidR="00B309D8">
              <w:rPr>
                <w:rStyle w:val="normaltextrun"/>
                <w:rFonts w:asciiTheme="minorHAnsi" w:eastAsia="Times New Roman" w:hAnsiTheme="minorHAnsi" w:cstheme="minorBidi"/>
                <w:color w:val="auto"/>
                <w:sz w:val="22"/>
                <w:szCs w:val="22"/>
                <w:lang w:val="fr-FR"/>
              </w:rPr>
              <w:t xml:space="preserve"> 3 enfants,</w:t>
            </w:r>
            <w:r w:rsidRPr="00147FD4">
              <w:rPr>
                <w:rStyle w:val="normaltextrun"/>
                <w:rFonts w:asciiTheme="minorHAnsi" w:eastAsia="Times New Roman" w:hAnsiTheme="minorHAnsi" w:cstheme="minorBidi"/>
                <w:color w:val="auto"/>
                <w:sz w:val="22"/>
                <w:szCs w:val="22"/>
                <w:lang w:val="fr-FR"/>
              </w:rPr>
              <w:t xml:space="preserve"> pour </w:t>
            </w:r>
            <w:r w:rsidR="00B309D8">
              <w:rPr>
                <w:rStyle w:val="normaltextrun"/>
                <w:rFonts w:asciiTheme="minorHAnsi" w:eastAsia="Times New Roman" w:hAnsiTheme="minorHAnsi" w:cstheme="minorBidi"/>
                <w:color w:val="auto"/>
                <w:sz w:val="22"/>
                <w:szCs w:val="22"/>
                <w:lang w:val="fr-FR"/>
              </w:rPr>
              <w:t xml:space="preserve">encourager la maitrise de fécondité et </w:t>
            </w:r>
            <w:r w:rsidR="00051BFE">
              <w:rPr>
                <w:rStyle w:val="normaltextrun"/>
                <w:rFonts w:asciiTheme="minorHAnsi" w:eastAsia="Times New Roman" w:hAnsiTheme="minorHAnsi" w:cstheme="minorBidi"/>
                <w:color w:val="auto"/>
                <w:sz w:val="22"/>
                <w:szCs w:val="22"/>
                <w:lang w:val="fr-FR"/>
              </w:rPr>
              <w:t xml:space="preserve">la </w:t>
            </w:r>
            <w:r w:rsidRPr="00147FD4">
              <w:rPr>
                <w:rStyle w:val="normaltextrun"/>
                <w:rFonts w:asciiTheme="minorHAnsi" w:eastAsia="Times New Roman" w:hAnsiTheme="minorHAnsi" w:cstheme="minorBidi"/>
                <w:color w:val="auto"/>
                <w:sz w:val="22"/>
                <w:szCs w:val="22"/>
                <w:lang w:val="fr-FR"/>
              </w:rPr>
              <w:t xml:space="preserve">maîtrise </w:t>
            </w:r>
            <w:r w:rsidR="00051BFE">
              <w:rPr>
                <w:rStyle w:val="normaltextrun"/>
                <w:rFonts w:asciiTheme="minorHAnsi" w:eastAsia="Times New Roman" w:hAnsiTheme="minorHAnsi" w:cstheme="minorBidi"/>
                <w:color w:val="auto"/>
                <w:sz w:val="22"/>
                <w:szCs w:val="22"/>
                <w:lang w:val="fr-FR"/>
              </w:rPr>
              <w:t xml:space="preserve">de </w:t>
            </w:r>
            <w:r w:rsidRPr="00147FD4">
              <w:rPr>
                <w:rStyle w:val="normaltextrun"/>
                <w:rFonts w:asciiTheme="minorHAnsi" w:eastAsia="Times New Roman" w:hAnsiTheme="minorHAnsi" w:cstheme="minorBidi"/>
                <w:color w:val="auto"/>
                <w:sz w:val="22"/>
                <w:szCs w:val="22"/>
                <w:lang w:val="fr-FR"/>
              </w:rPr>
              <w:t>l’évolution démographique</w:t>
            </w:r>
            <w:r w:rsidR="00051BFE">
              <w:rPr>
                <w:rStyle w:val="normaltextrun"/>
                <w:rFonts w:asciiTheme="minorHAnsi" w:eastAsia="Times New Roman" w:hAnsiTheme="minorHAnsi" w:cstheme="minorBidi"/>
                <w:color w:val="auto"/>
                <w:sz w:val="22"/>
                <w:szCs w:val="22"/>
                <w:lang w:val="fr-FR"/>
              </w:rPr>
              <w:t xml:space="preserve"> du pays</w:t>
            </w:r>
            <w:r w:rsidRPr="00147FD4">
              <w:rPr>
                <w:rStyle w:val="normaltextrun"/>
                <w:rFonts w:asciiTheme="minorHAnsi" w:eastAsia="Times New Roman" w:hAnsiTheme="minorHAnsi" w:cstheme="minorBidi"/>
                <w:color w:val="auto"/>
                <w:sz w:val="22"/>
                <w:szCs w:val="22"/>
                <w:lang w:val="fr-FR"/>
              </w:rPr>
              <w:t xml:space="preserve">. Actuellement, le taux de </w:t>
            </w:r>
            <w:r w:rsidR="005B6D02">
              <w:rPr>
                <w:rStyle w:val="normaltextrun"/>
                <w:rFonts w:asciiTheme="minorHAnsi" w:eastAsia="Times New Roman" w:hAnsiTheme="minorHAnsi" w:cstheme="minorBidi"/>
                <w:color w:val="auto"/>
                <w:sz w:val="22"/>
                <w:szCs w:val="22"/>
                <w:lang w:val="fr-FR"/>
              </w:rPr>
              <w:t>fécondité</w:t>
            </w:r>
            <w:r w:rsidRPr="00147FD4">
              <w:rPr>
                <w:rStyle w:val="normaltextrun"/>
                <w:rFonts w:asciiTheme="minorHAnsi" w:eastAsia="Times New Roman" w:hAnsiTheme="minorHAnsi" w:cstheme="minorBidi"/>
                <w:color w:val="auto"/>
                <w:sz w:val="22"/>
                <w:szCs w:val="22"/>
                <w:lang w:val="fr-FR"/>
              </w:rPr>
              <w:t xml:space="preserve"> a atteint un niveau très bas</w:t>
            </w:r>
            <w:r w:rsidR="005B6D02">
              <w:rPr>
                <w:rStyle w:val="normaltextrun"/>
                <w:rFonts w:asciiTheme="minorHAnsi" w:eastAsia="Times New Roman" w:hAnsiTheme="minorHAnsi" w:cstheme="minorBidi"/>
                <w:color w:val="auto"/>
                <w:sz w:val="22"/>
                <w:szCs w:val="22"/>
                <w:lang w:val="fr-FR"/>
              </w:rPr>
              <w:t xml:space="preserve"> infer</w:t>
            </w:r>
            <w:r w:rsidR="006A4A50">
              <w:rPr>
                <w:rStyle w:val="normaltextrun"/>
                <w:rFonts w:asciiTheme="minorHAnsi" w:eastAsia="Times New Roman" w:hAnsiTheme="minorHAnsi" w:cstheme="minorBidi"/>
                <w:color w:val="auto"/>
                <w:sz w:val="22"/>
                <w:szCs w:val="22"/>
                <w:lang w:val="fr-FR"/>
              </w:rPr>
              <w:t>ieur a 2 (</w:t>
            </w:r>
            <w:r w:rsidR="00AA468B">
              <w:rPr>
                <w:rStyle w:val="normaltextrun"/>
                <w:rFonts w:asciiTheme="minorHAnsi" w:eastAsia="Times New Roman" w:hAnsiTheme="minorHAnsi" w:cstheme="minorBidi"/>
                <w:color w:val="auto"/>
                <w:sz w:val="22"/>
                <w:szCs w:val="22"/>
                <w:lang w:val="fr-FR"/>
              </w:rPr>
              <w:t xml:space="preserve">Indice </w:t>
            </w:r>
            <w:r w:rsidR="007202B2">
              <w:rPr>
                <w:rStyle w:val="normaltextrun"/>
                <w:rFonts w:asciiTheme="minorHAnsi" w:eastAsia="Times New Roman" w:hAnsiTheme="minorHAnsi" w:cstheme="minorBidi"/>
                <w:color w:val="auto"/>
                <w:sz w:val="22"/>
                <w:szCs w:val="22"/>
                <w:lang w:val="fr-FR"/>
              </w:rPr>
              <w:t>synthétique</w:t>
            </w:r>
            <w:r w:rsidR="00AA468B">
              <w:rPr>
                <w:rStyle w:val="normaltextrun"/>
                <w:rFonts w:asciiTheme="minorHAnsi" w:eastAsia="Times New Roman" w:hAnsiTheme="minorHAnsi" w:cstheme="minorBidi"/>
                <w:color w:val="auto"/>
                <w:sz w:val="22"/>
                <w:szCs w:val="22"/>
                <w:lang w:val="fr-FR"/>
              </w:rPr>
              <w:t xml:space="preserve"> de </w:t>
            </w:r>
            <w:r w:rsidR="007202B2">
              <w:rPr>
                <w:rStyle w:val="normaltextrun"/>
                <w:rFonts w:asciiTheme="minorHAnsi" w:eastAsia="Times New Roman" w:hAnsiTheme="minorHAnsi" w:cstheme="minorBidi"/>
                <w:color w:val="auto"/>
                <w:sz w:val="22"/>
                <w:szCs w:val="22"/>
                <w:lang w:val="fr-FR"/>
              </w:rPr>
              <w:t>fécondité</w:t>
            </w:r>
            <w:r w:rsidR="00AA468B">
              <w:rPr>
                <w:rStyle w:val="normaltextrun"/>
                <w:rFonts w:asciiTheme="minorHAnsi" w:eastAsia="Times New Roman" w:hAnsiTheme="minorHAnsi" w:cstheme="minorBidi"/>
                <w:color w:val="auto"/>
                <w:sz w:val="22"/>
                <w:szCs w:val="22"/>
                <w:lang w:val="fr-FR"/>
              </w:rPr>
              <w:t xml:space="preserve"> de 1.6 au niveau national et de 1 pour le quintile le plus riche, MICS 2023)</w:t>
            </w:r>
            <w:r w:rsidRPr="00147FD4">
              <w:rPr>
                <w:rStyle w:val="normaltextrun"/>
                <w:rFonts w:asciiTheme="minorHAnsi" w:eastAsia="Times New Roman" w:hAnsiTheme="minorHAnsi" w:cstheme="minorBidi"/>
                <w:color w:val="auto"/>
                <w:sz w:val="22"/>
                <w:szCs w:val="22"/>
                <w:lang w:val="fr-FR"/>
              </w:rPr>
              <w:t xml:space="preserve">, </w:t>
            </w:r>
            <w:r w:rsidR="00B579CE">
              <w:rPr>
                <w:rStyle w:val="normaltextrun"/>
                <w:rFonts w:asciiTheme="minorHAnsi" w:eastAsia="Times New Roman" w:hAnsiTheme="minorHAnsi" w:cstheme="minorBidi"/>
                <w:color w:val="auto"/>
                <w:sz w:val="22"/>
                <w:szCs w:val="22"/>
                <w:lang w:val="fr-FR"/>
              </w:rPr>
              <w:t xml:space="preserve">entrainant un </w:t>
            </w:r>
            <w:r w:rsidRPr="00147FD4">
              <w:rPr>
                <w:rStyle w:val="normaltextrun"/>
                <w:rFonts w:asciiTheme="minorHAnsi" w:eastAsia="Times New Roman" w:hAnsiTheme="minorHAnsi" w:cstheme="minorBidi"/>
                <w:color w:val="auto"/>
                <w:sz w:val="22"/>
                <w:szCs w:val="22"/>
                <w:lang w:val="fr-FR"/>
              </w:rPr>
              <w:t>ralentiss</w:t>
            </w:r>
            <w:r w:rsidR="00B579CE">
              <w:rPr>
                <w:rStyle w:val="normaltextrun"/>
                <w:rFonts w:asciiTheme="minorHAnsi" w:eastAsia="Times New Roman" w:hAnsiTheme="minorHAnsi" w:cstheme="minorBidi"/>
                <w:color w:val="auto"/>
                <w:sz w:val="22"/>
                <w:szCs w:val="22"/>
                <w:lang w:val="fr-FR"/>
              </w:rPr>
              <w:t xml:space="preserve">ement de </w:t>
            </w:r>
            <w:r w:rsidR="00B579CE" w:rsidRPr="00147FD4">
              <w:rPr>
                <w:rStyle w:val="normaltextrun"/>
                <w:rFonts w:asciiTheme="minorHAnsi" w:eastAsia="Times New Roman" w:hAnsiTheme="minorHAnsi" w:cstheme="minorBidi"/>
                <w:color w:val="auto"/>
                <w:sz w:val="22"/>
                <w:szCs w:val="22"/>
                <w:lang w:val="fr-FR"/>
              </w:rPr>
              <w:t>la</w:t>
            </w:r>
            <w:r w:rsidRPr="00147FD4">
              <w:rPr>
                <w:rStyle w:val="normaltextrun"/>
                <w:rFonts w:asciiTheme="minorHAnsi" w:eastAsia="Times New Roman" w:hAnsiTheme="minorHAnsi" w:cstheme="minorBidi"/>
                <w:color w:val="auto"/>
                <w:sz w:val="22"/>
                <w:szCs w:val="22"/>
                <w:lang w:val="fr-FR"/>
              </w:rPr>
              <w:t xml:space="preserve"> croissance naturelle de la population, en plus d</w:t>
            </w:r>
            <w:r w:rsidR="00B579CE">
              <w:rPr>
                <w:rStyle w:val="normaltextrun"/>
                <w:rFonts w:asciiTheme="minorHAnsi" w:eastAsia="Times New Roman" w:hAnsiTheme="minorHAnsi" w:cstheme="minorBidi"/>
                <w:color w:val="auto"/>
                <w:sz w:val="22"/>
                <w:szCs w:val="22"/>
                <w:lang w:val="fr-FR"/>
              </w:rPr>
              <w:t>e son</w:t>
            </w:r>
            <w:r w:rsidRPr="00147FD4">
              <w:rPr>
                <w:rStyle w:val="normaltextrun"/>
                <w:rFonts w:asciiTheme="minorHAnsi" w:eastAsia="Times New Roman" w:hAnsiTheme="minorHAnsi" w:cstheme="minorBidi"/>
                <w:color w:val="auto"/>
                <w:sz w:val="22"/>
                <w:szCs w:val="22"/>
                <w:lang w:val="fr-FR"/>
              </w:rPr>
              <w:t xml:space="preserve"> vieillissement accéléré. </w:t>
            </w:r>
          </w:p>
          <w:p w14:paraId="5B2F7AED" w14:textId="3B02851E" w:rsidR="00147FD4" w:rsidRDefault="00B579CE" w:rsidP="00147FD4">
            <w:pPr>
              <w:spacing w:before="60" w:after="60" w:line="240" w:lineRule="auto"/>
              <w:jc w:val="both"/>
              <w:rPr>
                <w:rStyle w:val="normaltextrun"/>
                <w:rFonts w:asciiTheme="minorHAnsi" w:eastAsia="Times New Roman" w:hAnsiTheme="minorHAnsi" w:cstheme="minorBidi"/>
                <w:color w:val="auto"/>
                <w:sz w:val="22"/>
                <w:szCs w:val="22"/>
                <w:lang w:val="fr-FR"/>
              </w:rPr>
            </w:pPr>
            <w:r>
              <w:rPr>
                <w:rStyle w:val="normaltextrun"/>
                <w:rFonts w:asciiTheme="minorHAnsi" w:eastAsia="Times New Roman" w:hAnsiTheme="minorHAnsi" w:cstheme="minorBidi"/>
                <w:color w:val="auto"/>
                <w:sz w:val="22"/>
                <w:szCs w:val="22"/>
                <w:lang w:val="fr-FR"/>
              </w:rPr>
              <w:t>Enfin, l</w:t>
            </w:r>
            <w:r w:rsidR="00147FD4" w:rsidRPr="00147FD4">
              <w:rPr>
                <w:rStyle w:val="normaltextrun"/>
                <w:rFonts w:asciiTheme="minorHAnsi" w:eastAsia="Times New Roman" w:hAnsiTheme="minorHAnsi" w:cstheme="minorBidi"/>
                <w:color w:val="auto"/>
                <w:sz w:val="22"/>
                <w:szCs w:val="22"/>
                <w:lang w:val="fr-FR"/>
              </w:rPr>
              <w:t xml:space="preserve">a non-revalorisation nominale de l’allocation familiale (7DT depuis 1988) a </w:t>
            </w:r>
            <w:r w:rsidR="003B22D4">
              <w:rPr>
                <w:rStyle w:val="normaltextrun"/>
                <w:rFonts w:asciiTheme="minorHAnsi" w:eastAsia="Times New Roman" w:hAnsiTheme="minorHAnsi" w:cstheme="minorBidi"/>
                <w:color w:val="auto"/>
                <w:sz w:val="22"/>
                <w:szCs w:val="22"/>
                <w:lang w:val="fr-FR"/>
              </w:rPr>
              <w:t>engendr</w:t>
            </w:r>
            <w:r w:rsidR="00147FD4" w:rsidRPr="00147FD4">
              <w:rPr>
                <w:rStyle w:val="normaltextrun"/>
                <w:rFonts w:asciiTheme="minorHAnsi" w:eastAsia="Times New Roman" w:hAnsiTheme="minorHAnsi" w:cstheme="minorBidi"/>
                <w:color w:val="auto"/>
                <w:sz w:val="22"/>
                <w:szCs w:val="22"/>
                <w:lang w:val="fr-FR"/>
              </w:rPr>
              <w:t xml:space="preserve">é une forte baisse de son pouvoir d’achat, mesuré en termes réels. </w:t>
            </w:r>
            <w:r w:rsidR="00E149B5">
              <w:rPr>
                <w:rStyle w:val="normaltextrun"/>
                <w:rFonts w:asciiTheme="minorHAnsi" w:eastAsia="Times New Roman" w:hAnsiTheme="minorHAnsi" w:cstheme="minorBidi"/>
                <w:color w:val="auto"/>
                <w:sz w:val="22"/>
                <w:szCs w:val="22"/>
                <w:lang w:val="fr-FR"/>
              </w:rPr>
              <w:t>Ainsi</w:t>
            </w:r>
            <w:r w:rsidR="00147FD4" w:rsidRPr="00147FD4">
              <w:rPr>
                <w:rStyle w:val="normaltextrun"/>
                <w:rFonts w:asciiTheme="minorHAnsi" w:eastAsia="Times New Roman" w:hAnsiTheme="minorHAnsi" w:cstheme="minorBidi"/>
                <w:color w:val="auto"/>
                <w:sz w:val="22"/>
                <w:szCs w:val="22"/>
                <w:lang w:val="fr-FR"/>
              </w:rPr>
              <w:t xml:space="preserve">, les 30 DT </w:t>
            </w:r>
            <w:r w:rsidR="00647A5C" w:rsidRPr="00147FD4">
              <w:rPr>
                <w:rStyle w:val="normaltextrun"/>
                <w:rFonts w:asciiTheme="minorHAnsi" w:eastAsia="Times New Roman" w:hAnsiTheme="minorHAnsi" w:cstheme="minorBidi"/>
                <w:color w:val="auto"/>
                <w:sz w:val="22"/>
                <w:szCs w:val="22"/>
                <w:lang w:val="fr-FR"/>
              </w:rPr>
              <w:t>accordés actuellement</w:t>
            </w:r>
            <w:r w:rsidR="00654823" w:rsidRPr="00147FD4">
              <w:rPr>
                <w:rStyle w:val="normaltextrun"/>
                <w:rFonts w:asciiTheme="minorHAnsi" w:eastAsia="Times New Roman" w:hAnsiTheme="minorHAnsi" w:cstheme="minorBidi"/>
                <w:color w:val="auto"/>
                <w:sz w:val="22"/>
                <w:szCs w:val="22"/>
                <w:lang w:val="fr-FR"/>
              </w:rPr>
              <w:t xml:space="preserve"> </w:t>
            </w:r>
            <w:r w:rsidR="00147FD4" w:rsidRPr="00147FD4">
              <w:rPr>
                <w:rStyle w:val="normaltextrun"/>
                <w:rFonts w:asciiTheme="minorHAnsi" w:eastAsia="Times New Roman" w:hAnsiTheme="minorHAnsi" w:cstheme="minorBidi"/>
                <w:color w:val="auto"/>
                <w:sz w:val="22"/>
                <w:szCs w:val="22"/>
                <w:lang w:val="fr-FR"/>
              </w:rPr>
              <w:t xml:space="preserve">aux enfants </w:t>
            </w:r>
            <w:r w:rsidR="00654823">
              <w:rPr>
                <w:rStyle w:val="normaltextrun"/>
                <w:rFonts w:asciiTheme="minorHAnsi" w:eastAsia="Times New Roman" w:hAnsiTheme="minorHAnsi" w:cstheme="minorBidi"/>
                <w:color w:val="auto"/>
                <w:sz w:val="22"/>
                <w:szCs w:val="22"/>
                <w:lang w:val="fr-FR"/>
              </w:rPr>
              <w:t>de AMEN Social</w:t>
            </w:r>
            <w:r w:rsidR="00147FD4" w:rsidRPr="00147FD4">
              <w:rPr>
                <w:rStyle w:val="normaltextrun"/>
                <w:rFonts w:asciiTheme="minorHAnsi" w:eastAsia="Times New Roman" w:hAnsiTheme="minorHAnsi" w:cstheme="minorBidi"/>
                <w:color w:val="auto"/>
                <w:sz w:val="22"/>
                <w:szCs w:val="22"/>
                <w:lang w:val="fr-FR"/>
              </w:rPr>
              <w:t>, pourrai</w:t>
            </w:r>
            <w:r w:rsidR="00654823">
              <w:rPr>
                <w:rStyle w:val="normaltextrun"/>
                <w:rFonts w:asciiTheme="minorHAnsi" w:eastAsia="Times New Roman" w:hAnsiTheme="minorHAnsi" w:cstheme="minorBidi"/>
                <w:color w:val="auto"/>
                <w:sz w:val="22"/>
                <w:szCs w:val="22"/>
                <w:lang w:val="fr-FR"/>
              </w:rPr>
              <w:t xml:space="preserve">ent </w:t>
            </w:r>
            <w:r w:rsidR="00147FD4" w:rsidRPr="00147FD4">
              <w:rPr>
                <w:rStyle w:val="normaltextrun"/>
                <w:rFonts w:asciiTheme="minorHAnsi" w:eastAsia="Times New Roman" w:hAnsiTheme="minorHAnsi" w:cstheme="minorBidi"/>
                <w:color w:val="auto"/>
                <w:sz w:val="22"/>
                <w:szCs w:val="22"/>
                <w:lang w:val="fr-FR"/>
              </w:rPr>
              <w:t xml:space="preserve">correspondre à </w:t>
            </w:r>
            <w:r w:rsidR="00654823">
              <w:rPr>
                <w:rStyle w:val="normaltextrun"/>
                <w:rFonts w:asciiTheme="minorHAnsi" w:eastAsia="Times New Roman" w:hAnsiTheme="minorHAnsi" w:cstheme="minorBidi"/>
                <w:color w:val="auto"/>
                <w:sz w:val="22"/>
                <w:szCs w:val="22"/>
                <w:lang w:val="fr-FR"/>
              </w:rPr>
              <w:t>une</w:t>
            </w:r>
            <w:r w:rsidR="00147FD4" w:rsidRPr="00147FD4">
              <w:rPr>
                <w:rStyle w:val="normaltextrun"/>
                <w:rFonts w:asciiTheme="minorHAnsi" w:eastAsia="Times New Roman" w:hAnsiTheme="minorHAnsi" w:cstheme="minorBidi"/>
                <w:color w:val="auto"/>
                <w:sz w:val="22"/>
                <w:szCs w:val="22"/>
                <w:lang w:val="fr-FR"/>
              </w:rPr>
              <w:t xml:space="preserve"> revalorisation des 7 DT </w:t>
            </w:r>
            <w:r w:rsidR="00654823">
              <w:rPr>
                <w:rStyle w:val="normaltextrun"/>
                <w:rFonts w:asciiTheme="minorHAnsi" w:eastAsia="Times New Roman" w:hAnsiTheme="minorHAnsi" w:cstheme="minorBidi"/>
                <w:color w:val="auto"/>
                <w:sz w:val="22"/>
                <w:szCs w:val="22"/>
                <w:lang w:val="fr-FR"/>
              </w:rPr>
              <w:t xml:space="preserve">des allocations familiales des régimes contributifs </w:t>
            </w:r>
            <w:r w:rsidR="00147FD4" w:rsidRPr="00147FD4">
              <w:rPr>
                <w:rStyle w:val="normaltextrun"/>
                <w:rFonts w:asciiTheme="minorHAnsi" w:eastAsia="Times New Roman" w:hAnsiTheme="minorHAnsi" w:cstheme="minorBidi"/>
                <w:color w:val="auto"/>
                <w:sz w:val="22"/>
                <w:szCs w:val="22"/>
                <w:lang w:val="fr-FR"/>
              </w:rPr>
              <w:t>aux prix de 2023.</w:t>
            </w:r>
          </w:p>
          <w:p w14:paraId="2E9566F4" w14:textId="77777777" w:rsidR="00781A71" w:rsidRDefault="130C3FAA" w:rsidP="79C213BD">
            <w:pPr>
              <w:spacing w:before="60" w:after="60" w:line="240" w:lineRule="auto"/>
              <w:jc w:val="both"/>
              <w:rPr>
                <w:rStyle w:val="normaltextrun"/>
                <w:rFonts w:asciiTheme="minorHAnsi" w:eastAsia="Times New Roman" w:hAnsiTheme="minorHAnsi" w:cstheme="minorBidi"/>
                <w:color w:val="auto"/>
                <w:sz w:val="22"/>
                <w:szCs w:val="22"/>
                <w:lang w:val="fr-FR"/>
              </w:rPr>
            </w:pPr>
            <w:r w:rsidRPr="00771717">
              <w:rPr>
                <w:rStyle w:val="normaltextrun"/>
                <w:rFonts w:asciiTheme="minorHAnsi" w:eastAsia="Times New Roman" w:hAnsiTheme="minorHAnsi" w:cstheme="minorBidi"/>
                <w:color w:val="auto"/>
                <w:sz w:val="22"/>
                <w:szCs w:val="22"/>
                <w:lang w:val="fr-FR"/>
              </w:rPr>
              <w:t xml:space="preserve">Dans cette optique, l'UNICEF souhaiterait </w:t>
            </w:r>
            <w:r w:rsidR="36E65B72" w:rsidRPr="00771717">
              <w:rPr>
                <w:rStyle w:val="normaltextrun"/>
                <w:rFonts w:asciiTheme="minorHAnsi" w:eastAsia="Times New Roman" w:hAnsiTheme="minorHAnsi" w:cstheme="minorBidi"/>
                <w:color w:val="auto"/>
                <w:sz w:val="22"/>
                <w:szCs w:val="22"/>
                <w:lang w:val="fr-FR"/>
              </w:rPr>
              <w:t xml:space="preserve">recruter </w:t>
            </w:r>
            <w:r w:rsidRPr="00771717">
              <w:rPr>
                <w:rStyle w:val="normaltextrun"/>
                <w:rFonts w:asciiTheme="minorHAnsi" w:eastAsia="Times New Roman" w:hAnsiTheme="minorHAnsi" w:cstheme="minorBidi"/>
                <w:color w:val="auto"/>
                <w:sz w:val="22"/>
                <w:szCs w:val="22"/>
                <w:lang w:val="fr-FR"/>
              </w:rPr>
              <w:t xml:space="preserve">un consultant individuel pour entreprendre une </w:t>
            </w:r>
            <w:r w:rsidR="547636DE" w:rsidRPr="00771717">
              <w:rPr>
                <w:rStyle w:val="normaltextrun"/>
                <w:rFonts w:asciiTheme="minorHAnsi" w:eastAsia="Times New Roman" w:hAnsiTheme="minorHAnsi" w:cstheme="minorBidi"/>
                <w:color w:val="auto"/>
                <w:sz w:val="22"/>
                <w:szCs w:val="22"/>
                <w:lang w:val="fr-FR"/>
              </w:rPr>
              <w:t xml:space="preserve">analyse </w:t>
            </w:r>
            <w:r w:rsidRPr="00771717">
              <w:rPr>
                <w:rStyle w:val="normaltextrun"/>
                <w:rFonts w:asciiTheme="minorHAnsi" w:eastAsia="Times New Roman" w:hAnsiTheme="minorHAnsi" w:cstheme="minorBidi"/>
                <w:color w:val="auto"/>
                <w:sz w:val="22"/>
                <w:szCs w:val="22"/>
                <w:lang w:val="fr-FR"/>
              </w:rPr>
              <w:t>complète de</w:t>
            </w:r>
            <w:r w:rsidR="28885C05" w:rsidRPr="00771717">
              <w:rPr>
                <w:rStyle w:val="normaltextrun"/>
                <w:rFonts w:asciiTheme="minorHAnsi" w:eastAsia="Times New Roman" w:hAnsiTheme="minorHAnsi" w:cstheme="minorBidi"/>
                <w:color w:val="auto"/>
                <w:sz w:val="22"/>
                <w:szCs w:val="22"/>
                <w:lang w:val="fr-FR"/>
              </w:rPr>
              <w:t xml:space="preserve"> la situation de</w:t>
            </w:r>
            <w:r w:rsidR="24E536FC" w:rsidRPr="00771717">
              <w:rPr>
                <w:rStyle w:val="normaltextrun"/>
                <w:rFonts w:asciiTheme="minorHAnsi" w:eastAsia="Times New Roman" w:hAnsiTheme="minorHAnsi" w:cstheme="minorBidi"/>
                <w:color w:val="auto"/>
                <w:sz w:val="22"/>
                <w:szCs w:val="22"/>
                <w:lang w:val="fr-FR"/>
              </w:rPr>
              <w:t xml:space="preserve"> la branche de</w:t>
            </w:r>
            <w:r w:rsidR="28885C05" w:rsidRPr="00771717">
              <w:rPr>
                <w:rStyle w:val="normaltextrun"/>
                <w:rFonts w:asciiTheme="minorHAnsi" w:eastAsia="Times New Roman" w:hAnsiTheme="minorHAnsi" w:cstheme="minorBidi"/>
                <w:color w:val="auto"/>
                <w:sz w:val="22"/>
                <w:szCs w:val="22"/>
                <w:lang w:val="fr-FR"/>
              </w:rPr>
              <w:t xml:space="preserve">s allocations familiales des </w:t>
            </w:r>
            <w:r w:rsidR="5AE253D5" w:rsidRPr="00771717">
              <w:rPr>
                <w:rStyle w:val="normaltextrun"/>
                <w:rFonts w:asciiTheme="minorHAnsi" w:eastAsia="Times New Roman" w:hAnsiTheme="minorHAnsi" w:cstheme="minorBidi"/>
                <w:color w:val="auto"/>
                <w:sz w:val="22"/>
                <w:szCs w:val="22"/>
                <w:lang w:val="fr-FR"/>
              </w:rPr>
              <w:t>régimes</w:t>
            </w:r>
            <w:r w:rsidR="28885C05" w:rsidRPr="00771717">
              <w:rPr>
                <w:rStyle w:val="normaltextrun"/>
                <w:rFonts w:asciiTheme="minorHAnsi" w:eastAsia="Times New Roman" w:hAnsiTheme="minorHAnsi" w:cstheme="minorBidi"/>
                <w:color w:val="auto"/>
                <w:sz w:val="22"/>
                <w:szCs w:val="22"/>
                <w:lang w:val="fr-FR"/>
              </w:rPr>
              <w:t xml:space="preserve"> contributifs</w:t>
            </w:r>
            <w:r w:rsidR="5AE253D5" w:rsidRPr="00771717">
              <w:rPr>
                <w:rStyle w:val="normaltextrun"/>
                <w:rFonts w:asciiTheme="minorHAnsi" w:eastAsia="Times New Roman" w:hAnsiTheme="minorHAnsi" w:cstheme="minorBidi"/>
                <w:color w:val="auto"/>
                <w:sz w:val="22"/>
                <w:szCs w:val="22"/>
                <w:lang w:val="fr-FR"/>
              </w:rPr>
              <w:t>, cotisations perçues et prestations versées, puis des</w:t>
            </w:r>
            <w:r w:rsidRPr="00771717">
              <w:rPr>
                <w:rStyle w:val="normaltextrun"/>
                <w:rFonts w:asciiTheme="minorHAnsi" w:eastAsia="Times New Roman" w:hAnsiTheme="minorHAnsi" w:cstheme="minorBidi"/>
                <w:color w:val="auto"/>
                <w:sz w:val="22"/>
                <w:szCs w:val="22"/>
                <w:lang w:val="fr-FR"/>
              </w:rPr>
              <w:t xml:space="preserve"> stratégie</w:t>
            </w:r>
            <w:r w:rsidR="5AE253D5" w:rsidRPr="00771717">
              <w:rPr>
                <w:rStyle w:val="normaltextrun"/>
                <w:rFonts w:asciiTheme="minorHAnsi" w:eastAsia="Times New Roman" w:hAnsiTheme="minorHAnsi" w:cstheme="minorBidi"/>
                <w:color w:val="auto"/>
                <w:sz w:val="22"/>
                <w:szCs w:val="22"/>
                <w:lang w:val="fr-FR"/>
              </w:rPr>
              <w:t>s à mettre en œuvre pour assurer</w:t>
            </w:r>
            <w:r w:rsidRPr="00771717">
              <w:rPr>
                <w:rStyle w:val="normaltextrun"/>
                <w:rFonts w:asciiTheme="minorHAnsi" w:eastAsia="Times New Roman" w:hAnsiTheme="minorHAnsi" w:cstheme="minorBidi"/>
                <w:color w:val="auto"/>
                <w:sz w:val="22"/>
                <w:szCs w:val="22"/>
                <w:lang w:val="fr-FR"/>
              </w:rPr>
              <w:t xml:space="preserve"> </w:t>
            </w:r>
            <w:r w:rsidR="5AE253D5" w:rsidRPr="00771717">
              <w:rPr>
                <w:rStyle w:val="normaltextrun"/>
                <w:rFonts w:asciiTheme="minorHAnsi" w:eastAsia="Times New Roman" w:hAnsiTheme="minorHAnsi" w:cstheme="minorBidi"/>
                <w:color w:val="auto"/>
                <w:sz w:val="22"/>
                <w:szCs w:val="22"/>
                <w:lang w:val="fr-FR"/>
              </w:rPr>
              <w:t>l</w:t>
            </w:r>
            <w:r w:rsidR="00840F8B">
              <w:rPr>
                <w:rStyle w:val="normaltextrun"/>
                <w:rFonts w:asciiTheme="minorHAnsi" w:eastAsia="Times New Roman" w:hAnsiTheme="minorHAnsi" w:cstheme="minorBidi"/>
                <w:color w:val="auto"/>
                <w:sz w:val="22"/>
                <w:szCs w:val="22"/>
                <w:lang w:val="fr-FR"/>
              </w:rPr>
              <w:t xml:space="preserve">a revalorisation </w:t>
            </w:r>
            <w:r w:rsidRPr="00771717">
              <w:rPr>
                <w:rStyle w:val="normaltextrun"/>
                <w:rFonts w:asciiTheme="minorHAnsi" w:eastAsia="Times New Roman" w:hAnsiTheme="minorHAnsi" w:cstheme="minorBidi"/>
                <w:color w:val="auto"/>
                <w:sz w:val="22"/>
                <w:szCs w:val="22"/>
                <w:lang w:val="fr-FR"/>
              </w:rPr>
              <w:t xml:space="preserve">des </w:t>
            </w:r>
            <w:r w:rsidR="03920E19" w:rsidRPr="00771717">
              <w:rPr>
                <w:rStyle w:val="normaltextrun"/>
                <w:rFonts w:asciiTheme="minorHAnsi" w:eastAsia="Times New Roman" w:hAnsiTheme="minorHAnsi" w:cstheme="minorBidi"/>
                <w:color w:val="auto"/>
                <w:sz w:val="22"/>
                <w:szCs w:val="22"/>
                <w:lang w:val="fr-FR"/>
              </w:rPr>
              <w:t>allocations familiales</w:t>
            </w:r>
            <w:r w:rsidR="5AE253D5" w:rsidRPr="00771717">
              <w:rPr>
                <w:rStyle w:val="normaltextrun"/>
                <w:rFonts w:asciiTheme="minorHAnsi" w:eastAsia="Times New Roman" w:hAnsiTheme="minorHAnsi" w:cstheme="minorBidi"/>
                <w:color w:val="auto"/>
                <w:sz w:val="22"/>
                <w:szCs w:val="22"/>
                <w:lang w:val="fr-FR"/>
              </w:rPr>
              <w:t xml:space="preserve"> </w:t>
            </w:r>
            <w:r w:rsidR="00840F8B">
              <w:rPr>
                <w:rStyle w:val="normaltextrun"/>
                <w:rFonts w:asciiTheme="minorHAnsi" w:eastAsia="Times New Roman" w:hAnsiTheme="minorHAnsi" w:cstheme="minorBidi"/>
                <w:color w:val="auto"/>
                <w:sz w:val="22"/>
                <w:szCs w:val="22"/>
                <w:lang w:val="fr-FR"/>
              </w:rPr>
              <w:t xml:space="preserve">pour leur </w:t>
            </w:r>
            <w:r w:rsidR="00840F8B" w:rsidRPr="00771717">
              <w:rPr>
                <w:rStyle w:val="normaltextrun"/>
                <w:rFonts w:asciiTheme="minorHAnsi" w:eastAsia="Times New Roman" w:hAnsiTheme="minorHAnsi" w:cstheme="minorBidi"/>
                <w:color w:val="auto"/>
                <w:sz w:val="22"/>
                <w:szCs w:val="22"/>
                <w:lang w:val="fr-FR"/>
              </w:rPr>
              <w:t xml:space="preserve">alignement </w:t>
            </w:r>
            <w:r w:rsidR="5AE253D5" w:rsidRPr="00771717">
              <w:rPr>
                <w:rStyle w:val="normaltextrun"/>
                <w:rFonts w:asciiTheme="minorHAnsi" w:eastAsia="Times New Roman" w:hAnsiTheme="minorHAnsi" w:cstheme="minorBidi"/>
                <w:color w:val="auto"/>
                <w:sz w:val="22"/>
                <w:szCs w:val="22"/>
                <w:lang w:val="fr-FR"/>
              </w:rPr>
              <w:t>avec l’allocation enfant de AMEN Social tout en élargissant la couverture des allocations familiales aux régimes spéciaux non-bénéficiaires de cette prestation sociale</w:t>
            </w:r>
            <w:r w:rsidRPr="00771717">
              <w:rPr>
                <w:rStyle w:val="normaltextrun"/>
                <w:rFonts w:asciiTheme="minorHAnsi" w:eastAsia="Times New Roman" w:hAnsiTheme="minorHAnsi" w:cstheme="minorBidi"/>
                <w:color w:val="auto"/>
                <w:sz w:val="22"/>
                <w:szCs w:val="22"/>
                <w:lang w:val="fr-FR"/>
              </w:rPr>
              <w:t xml:space="preserve">. </w:t>
            </w:r>
          </w:p>
          <w:p w14:paraId="18886CEB" w14:textId="5B448259" w:rsidR="00A53FDD" w:rsidRPr="00771717" w:rsidRDefault="130C3FAA" w:rsidP="79C213BD">
            <w:pPr>
              <w:spacing w:before="60" w:after="60" w:line="240" w:lineRule="auto"/>
              <w:jc w:val="both"/>
              <w:rPr>
                <w:rStyle w:val="normaltextrun"/>
                <w:rFonts w:asciiTheme="minorHAnsi" w:eastAsia="Times New Roman" w:hAnsiTheme="minorHAnsi" w:cstheme="minorBidi"/>
                <w:b/>
                <w:bCs/>
                <w:color w:val="4471C4"/>
                <w:sz w:val="22"/>
                <w:szCs w:val="22"/>
                <w:lang w:val="fr-FR"/>
              </w:rPr>
            </w:pPr>
            <w:r w:rsidRPr="00771717">
              <w:rPr>
                <w:rStyle w:val="normaltextrun"/>
                <w:rFonts w:asciiTheme="minorHAnsi" w:eastAsia="Times New Roman" w:hAnsiTheme="minorHAnsi" w:cstheme="minorBidi"/>
                <w:color w:val="auto"/>
                <w:sz w:val="22"/>
                <w:szCs w:val="22"/>
                <w:lang w:val="fr-FR"/>
              </w:rPr>
              <w:t xml:space="preserve">Le but de cette mission est </w:t>
            </w:r>
            <w:r w:rsidR="3848F065" w:rsidRPr="00771717">
              <w:rPr>
                <w:rStyle w:val="normaltextrun"/>
                <w:rFonts w:asciiTheme="minorHAnsi" w:eastAsia="Times New Roman" w:hAnsiTheme="minorHAnsi" w:cstheme="minorBidi"/>
                <w:color w:val="auto"/>
                <w:sz w:val="22"/>
                <w:szCs w:val="22"/>
                <w:lang w:val="fr-FR"/>
              </w:rPr>
              <w:t xml:space="preserve">d'appuyer </w:t>
            </w:r>
            <w:r w:rsidRPr="00771717">
              <w:rPr>
                <w:rStyle w:val="normaltextrun"/>
                <w:rFonts w:asciiTheme="minorHAnsi" w:eastAsia="Times New Roman" w:hAnsiTheme="minorHAnsi" w:cstheme="minorBidi"/>
                <w:color w:val="auto"/>
                <w:sz w:val="22"/>
                <w:szCs w:val="22"/>
                <w:lang w:val="fr-FR"/>
              </w:rPr>
              <w:t xml:space="preserve">le MAS à entreprendre une </w:t>
            </w:r>
            <w:r w:rsidR="1E2B60E9" w:rsidRPr="00771717">
              <w:rPr>
                <w:rStyle w:val="normaltextrun"/>
                <w:rFonts w:asciiTheme="minorHAnsi" w:eastAsia="Times New Roman" w:hAnsiTheme="minorHAnsi" w:cstheme="minorBidi"/>
                <w:color w:val="auto"/>
                <w:sz w:val="22"/>
                <w:szCs w:val="22"/>
                <w:lang w:val="fr-FR"/>
              </w:rPr>
              <w:t xml:space="preserve">revue </w:t>
            </w:r>
            <w:r w:rsidRPr="00771717">
              <w:rPr>
                <w:rStyle w:val="normaltextrun"/>
                <w:rFonts w:asciiTheme="minorHAnsi" w:eastAsia="Times New Roman" w:hAnsiTheme="minorHAnsi" w:cstheme="minorBidi"/>
                <w:color w:val="auto"/>
                <w:sz w:val="22"/>
                <w:szCs w:val="22"/>
                <w:lang w:val="fr-FR"/>
              </w:rPr>
              <w:t xml:space="preserve">complète des </w:t>
            </w:r>
            <w:r w:rsidR="36E65B72" w:rsidRPr="00771717">
              <w:rPr>
                <w:rStyle w:val="normaltextrun"/>
                <w:rFonts w:asciiTheme="minorHAnsi" w:eastAsia="Times New Roman" w:hAnsiTheme="minorHAnsi" w:cstheme="minorBidi"/>
                <w:color w:val="auto"/>
                <w:sz w:val="22"/>
                <w:szCs w:val="22"/>
                <w:lang w:val="fr-FR"/>
              </w:rPr>
              <w:t xml:space="preserve">options existantes pour la mise en </w:t>
            </w:r>
            <w:r w:rsidR="40783A02" w:rsidRPr="00771717">
              <w:rPr>
                <w:rStyle w:val="normaltextrun"/>
                <w:rFonts w:asciiTheme="minorHAnsi" w:eastAsia="Times New Roman" w:hAnsiTheme="minorHAnsi" w:cstheme="minorBidi"/>
                <w:color w:val="auto"/>
                <w:sz w:val="22"/>
                <w:szCs w:val="22"/>
                <w:lang w:val="fr-FR"/>
              </w:rPr>
              <w:t>œuvre</w:t>
            </w:r>
            <w:r w:rsidR="36E65B72" w:rsidRPr="00771717">
              <w:rPr>
                <w:rStyle w:val="normaltextrun"/>
                <w:rFonts w:asciiTheme="minorHAnsi" w:eastAsia="Times New Roman" w:hAnsiTheme="minorHAnsi" w:cstheme="minorBidi"/>
                <w:color w:val="auto"/>
                <w:sz w:val="22"/>
                <w:szCs w:val="22"/>
                <w:lang w:val="fr-FR"/>
              </w:rPr>
              <w:t xml:space="preserve"> </w:t>
            </w:r>
            <w:r w:rsidRPr="00771717">
              <w:rPr>
                <w:rStyle w:val="normaltextrun"/>
                <w:rFonts w:asciiTheme="minorHAnsi" w:eastAsia="Times New Roman" w:hAnsiTheme="minorHAnsi" w:cstheme="minorBidi"/>
                <w:color w:val="auto"/>
                <w:sz w:val="22"/>
                <w:szCs w:val="22"/>
                <w:lang w:val="fr-FR"/>
              </w:rPr>
              <w:t>d’une stratégie d’alignement des différentes catégories d’allocations familiales. Cette mission vise à fournir une analyse complète</w:t>
            </w:r>
            <w:r w:rsidR="40783A02" w:rsidRPr="00771717">
              <w:rPr>
                <w:rStyle w:val="normaltextrun"/>
                <w:rFonts w:asciiTheme="minorHAnsi" w:eastAsia="Times New Roman" w:hAnsiTheme="minorHAnsi" w:cstheme="minorBidi"/>
                <w:color w:val="auto"/>
                <w:sz w:val="22"/>
                <w:szCs w:val="22"/>
                <w:lang w:val="fr-FR"/>
              </w:rPr>
              <w:t xml:space="preserve"> </w:t>
            </w:r>
            <w:r w:rsidR="066D356A" w:rsidRPr="00771717">
              <w:rPr>
                <w:rStyle w:val="normaltextrun"/>
                <w:rFonts w:asciiTheme="minorHAnsi" w:eastAsia="Times New Roman" w:hAnsiTheme="minorHAnsi" w:cstheme="minorBidi"/>
                <w:color w:val="auto"/>
                <w:sz w:val="22"/>
                <w:szCs w:val="22"/>
                <w:lang w:val="fr-FR"/>
              </w:rPr>
              <w:t xml:space="preserve">des </w:t>
            </w:r>
            <w:r w:rsidR="40783A02" w:rsidRPr="00771717">
              <w:rPr>
                <w:rStyle w:val="normaltextrun"/>
                <w:rFonts w:asciiTheme="minorHAnsi" w:eastAsia="Times New Roman" w:hAnsiTheme="minorHAnsi" w:cstheme="minorBidi"/>
                <w:color w:val="auto"/>
                <w:sz w:val="22"/>
                <w:szCs w:val="22"/>
                <w:lang w:val="fr-FR"/>
              </w:rPr>
              <w:t xml:space="preserve">ressources financières existantes et disponibles </w:t>
            </w:r>
            <w:r w:rsidR="09D4594C" w:rsidRPr="00771717">
              <w:rPr>
                <w:rStyle w:val="normaltextrun"/>
                <w:rFonts w:asciiTheme="minorHAnsi" w:eastAsia="Times New Roman" w:hAnsiTheme="minorHAnsi" w:cstheme="minorBidi"/>
                <w:color w:val="auto"/>
                <w:sz w:val="22"/>
                <w:szCs w:val="22"/>
                <w:lang w:val="fr-FR"/>
              </w:rPr>
              <w:t>a</w:t>
            </w:r>
            <w:r w:rsidR="40783A02" w:rsidRPr="00771717">
              <w:rPr>
                <w:rStyle w:val="normaltextrun"/>
                <w:rFonts w:asciiTheme="minorHAnsi" w:eastAsia="Times New Roman" w:hAnsiTheme="minorHAnsi" w:cstheme="minorBidi"/>
                <w:color w:val="auto"/>
                <w:sz w:val="22"/>
                <w:szCs w:val="22"/>
                <w:lang w:val="fr-FR"/>
              </w:rPr>
              <w:t>u niveau de la branche ‘allocation familiale</w:t>
            </w:r>
            <w:r w:rsidR="063A4B44" w:rsidRPr="00771717">
              <w:rPr>
                <w:rStyle w:val="normaltextrun"/>
                <w:rFonts w:asciiTheme="minorHAnsi" w:eastAsia="Times New Roman" w:hAnsiTheme="minorHAnsi" w:cstheme="minorBidi"/>
                <w:color w:val="auto"/>
                <w:sz w:val="22"/>
                <w:szCs w:val="22"/>
                <w:lang w:val="fr-FR"/>
              </w:rPr>
              <w:t xml:space="preserve">’, des reformes </w:t>
            </w:r>
            <w:r w:rsidR="659A85B9" w:rsidRPr="00771717">
              <w:rPr>
                <w:rStyle w:val="normaltextrun"/>
                <w:rFonts w:asciiTheme="minorHAnsi" w:eastAsia="Times New Roman" w:hAnsiTheme="minorHAnsi" w:cstheme="minorBidi"/>
                <w:color w:val="auto"/>
                <w:sz w:val="22"/>
                <w:szCs w:val="22"/>
                <w:lang w:val="fr-FR"/>
              </w:rPr>
              <w:t>paramétriques</w:t>
            </w:r>
            <w:r w:rsidR="063A4B44" w:rsidRPr="00771717">
              <w:rPr>
                <w:rStyle w:val="normaltextrun"/>
                <w:rFonts w:asciiTheme="minorHAnsi" w:eastAsia="Times New Roman" w:hAnsiTheme="minorHAnsi" w:cstheme="minorBidi"/>
                <w:color w:val="auto"/>
                <w:sz w:val="22"/>
                <w:szCs w:val="22"/>
                <w:lang w:val="fr-FR"/>
              </w:rPr>
              <w:t xml:space="preserve"> </w:t>
            </w:r>
            <w:r w:rsidR="659A85B9" w:rsidRPr="00771717">
              <w:rPr>
                <w:rStyle w:val="normaltextrun"/>
                <w:rFonts w:asciiTheme="minorHAnsi" w:eastAsia="Times New Roman" w:hAnsiTheme="minorHAnsi" w:cstheme="minorBidi"/>
                <w:color w:val="auto"/>
                <w:sz w:val="22"/>
                <w:szCs w:val="22"/>
                <w:lang w:val="fr-FR"/>
              </w:rPr>
              <w:t>à</w:t>
            </w:r>
            <w:r w:rsidR="063A4B44" w:rsidRPr="00771717">
              <w:rPr>
                <w:rStyle w:val="normaltextrun"/>
                <w:rFonts w:asciiTheme="minorHAnsi" w:eastAsia="Times New Roman" w:hAnsiTheme="minorHAnsi" w:cstheme="minorBidi"/>
                <w:color w:val="auto"/>
                <w:sz w:val="22"/>
                <w:szCs w:val="22"/>
                <w:lang w:val="fr-FR"/>
              </w:rPr>
              <w:t xml:space="preserve"> mettre en place et</w:t>
            </w:r>
            <w:r w:rsidRPr="00771717">
              <w:rPr>
                <w:rStyle w:val="normaltextrun"/>
                <w:rFonts w:asciiTheme="minorHAnsi" w:eastAsia="Times New Roman" w:hAnsiTheme="minorHAnsi" w:cstheme="minorBidi"/>
                <w:color w:val="auto"/>
                <w:sz w:val="22"/>
                <w:szCs w:val="22"/>
                <w:lang w:val="fr-FR"/>
              </w:rPr>
              <w:t xml:space="preserve"> des besoins en financement, </w:t>
            </w:r>
            <w:r w:rsidR="3D430D7E" w:rsidRPr="00771717">
              <w:rPr>
                <w:rStyle w:val="normaltextrun"/>
                <w:rFonts w:asciiTheme="minorHAnsi" w:eastAsia="Times New Roman" w:hAnsiTheme="minorHAnsi" w:cstheme="minorBidi"/>
                <w:color w:val="auto"/>
                <w:sz w:val="22"/>
                <w:szCs w:val="22"/>
                <w:lang w:val="fr-FR"/>
              </w:rPr>
              <w:t>d</w:t>
            </w:r>
            <w:r w:rsidRPr="00771717">
              <w:rPr>
                <w:rStyle w:val="normaltextrun"/>
                <w:rFonts w:asciiTheme="minorHAnsi" w:eastAsia="Times New Roman" w:hAnsiTheme="minorHAnsi" w:cstheme="minorBidi"/>
                <w:color w:val="auto"/>
                <w:sz w:val="22"/>
                <w:szCs w:val="22"/>
                <w:lang w:val="fr-FR"/>
              </w:rPr>
              <w:t xml:space="preserve">es nouvelles réformes proposées dans le cadre de la stratégie de réformes du dispositif. </w:t>
            </w:r>
            <w:r w:rsidR="7AC89595" w:rsidRPr="00771717">
              <w:rPr>
                <w:rStyle w:val="normaltextrun"/>
                <w:rFonts w:asciiTheme="minorHAnsi" w:eastAsia="Times New Roman" w:hAnsiTheme="minorHAnsi" w:cstheme="minorBidi"/>
                <w:color w:val="auto"/>
                <w:sz w:val="22"/>
                <w:szCs w:val="22"/>
                <w:lang w:val="fr-FR"/>
              </w:rPr>
              <w:t>En fonction des résultats de l’analyse de la situation de la branche ‘</w:t>
            </w:r>
            <w:r w:rsidR="2265A37C" w:rsidRPr="00771717">
              <w:rPr>
                <w:rStyle w:val="normaltextrun"/>
                <w:rFonts w:asciiTheme="minorHAnsi" w:eastAsia="Times New Roman" w:hAnsiTheme="minorHAnsi" w:cstheme="minorBidi"/>
                <w:color w:val="auto"/>
                <w:sz w:val="22"/>
                <w:szCs w:val="22"/>
                <w:lang w:val="fr-FR"/>
              </w:rPr>
              <w:t>allocation</w:t>
            </w:r>
            <w:r w:rsidR="21A5108D" w:rsidRPr="00771717">
              <w:rPr>
                <w:rStyle w:val="normaltextrun"/>
                <w:rFonts w:asciiTheme="minorHAnsi" w:eastAsia="Times New Roman" w:hAnsiTheme="minorHAnsi" w:cstheme="minorBidi"/>
                <w:color w:val="auto"/>
                <w:sz w:val="22"/>
                <w:szCs w:val="22"/>
                <w:lang w:val="fr-FR"/>
              </w:rPr>
              <w:t>s</w:t>
            </w:r>
            <w:r w:rsidR="2265A37C" w:rsidRPr="00771717">
              <w:rPr>
                <w:rStyle w:val="normaltextrun"/>
                <w:rFonts w:asciiTheme="minorHAnsi" w:eastAsia="Times New Roman" w:hAnsiTheme="minorHAnsi" w:cstheme="minorBidi"/>
                <w:color w:val="auto"/>
                <w:sz w:val="22"/>
                <w:szCs w:val="22"/>
                <w:lang w:val="fr-FR"/>
              </w:rPr>
              <w:t xml:space="preserve"> familiale</w:t>
            </w:r>
            <w:r w:rsidR="7FB2C730" w:rsidRPr="00771717">
              <w:rPr>
                <w:rStyle w:val="normaltextrun"/>
                <w:rFonts w:asciiTheme="minorHAnsi" w:eastAsia="Times New Roman" w:hAnsiTheme="minorHAnsi" w:cstheme="minorBidi"/>
                <w:color w:val="auto"/>
                <w:sz w:val="22"/>
                <w:szCs w:val="22"/>
                <w:lang w:val="fr-FR"/>
              </w:rPr>
              <w:t>s</w:t>
            </w:r>
            <w:r w:rsidR="2265A37C" w:rsidRPr="00771717">
              <w:rPr>
                <w:rStyle w:val="normaltextrun"/>
                <w:rFonts w:asciiTheme="minorHAnsi" w:eastAsia="Times New Roman" w:hAnsiTheme="minorHAnsi" w:cstheme="minorBidi"/>
                <w:color w:val="auto"/>
                <w:sz w:val="22"/>
                <w:szCs w:val="22"/>
                <w:lang w:val="fr-FR"/>
              </w:rPr>
              <w:t>’, l</w:t>
            </w:r>
            <w:r w:rsidRPr="00771717">
              <w:rPr>
                <w:rStyle w:val="normaltextrun"/>
                <w:rFonts w:asciiTheme="minorHAnsi" w:eastAsia="Times New Roman" w:hAnsiTheme="minorHAnsi" w:cstheme="minorBidi"/>
                <w:color w:val="auto"/>
                <w:sz w:val="22"/>
                <w:szCs w:val="22"/>
                <w:lang w:val="fr-FR"/>
              </w:rPr>
              <w:t xml:space="preserve">a mission </w:t>
            </w:r>
            <w:r w:rsidR="7AC89595" w:rsidRPr="00771717">
              <w:rPr>
                <w:rStyle w:val="normaltextrun"/>
                <w:rFonts w:asciiTheme="minorHAnsi" w:eastAsia="Times New Roman" w:hAnsiTheme="minorHAnsi" w:cstheme="minorBidi"/>
                <w:color w:val="auto"/>
                <w:sz w:val="22"/>
                <w:szCs w:val="22"/>
                <w:lang w:val="fr-FR"/>
              </w:rPr>
              <w:t xml:space="preserve">visera </w:t>
            </w:r>
            <w:r w:rsidRPr="00771717">
              <w:rPr>
                <w:rStyle w:val="normaltextrun"/>
                <w:rFonts w:asciiTheme="minorHAnsi" w:eastAsia="Times New Roman" w:hAnsiTheme="minorHAnsi" w:cstheme="minorBidi"/>
                <w:color w:val="auto"/>
                <w:sz w:val="22"/>
                <w:szCs w:val="22"/>
                <w:lang w:val="fr-FR"/>
              </w:rPr>
              <w:t xml:space="preserve">également </w:t>
            </w:r>
            <w:r w:rsidR="7AC89595" w:rsidRPr="00771717">
              <w:rPr>
                <w:rStyle w:val="normaltextrun"/>
                <w:rFonts w:asciiTheme="minorHAnsi" w:eastAsia="Times New Roman" w:hAnsiTheme="minorHAnsi" w:cstheme="minorBidi"/>
                <w:color w:val="auto"/>
                <w:sz w:val="22"/>
                <w:szCs w:val="22"/>
                <w:lang w:val="fr-FR"/>
              </w:rPr>
              <w:t xml:space="preserve">à établir </w:t>
            </w:r>
            <w:r w:rsidRPr="00771717">
              <w:rPr>
                <w:rStyle w:val="normaltextrun"/>
                <w:rFonts w:asciiTheme="minorHAnsi" w:eastAsia="Times New Roman" w:hAnsiTheme="minorHAnsi" w:cstheme="minorBidi"/>
                <w:color w:val="auto"/>
                <w:sz w:val="22"/>
                <w:szCs w:val="22"/>
                <w:lang w:val="fr-FR"/>
              </w:rPr>
              <w:t>des estimations de coûts pour divers scénarios, y compris l</w:t>
            </w:r>
            <w:r w:rsidR="73E01877" w:rsidRPr="00771717">
              <w:rPr>
                <w:rStyle w:val="normaltextrun"/>
                <w:rFonts w:asciiTheme="minorHAnsi" w:eastAsia="Times New Roman" w:hAnsiTheme="minorHAnsi" w:cstheme="minorBidi"/>
                <w:color w:val="auto"/>
                <w:sz w:val="22"/>
                <w:szCs w:val="22"/>
                <w:lang w:val="fr-FR"/>
              </w:rPr>
              <w:t xml:space="preserve">es étapes de </w:t>
            </w:r>
            <w:r w:rsidRPr="00771717">
              <w:rPr>
                <w:rStyle w:val="normaltextrun"/>
                <w:rFonts w:asciiTheme="minorHAnsi" w:eastAsia="Times New Roman" w:hAnsiTheme="minorHAnsi" w:cstheme="minorBidi"/>
                <w:color w:val="auto"/>
                <w:sz w:val="22"/>
                <w:szCs w:val="22"/>
                <w:lang w:val="fr-FR"/>
              </w:rPr>
              <w:t xml:space="preserve">mise en œuvre </w:t>
            </w:r>
            <w:r w:rsidR="73E01877" w:rsidRPr="00771717">
              <w:rPr>
                <w:rStyle w:val="normaltextrun"/>
                <w:rFonts w:asciiTheme="minorHAnsi" w:eastAsia="Times New Roman" w:hAnsiTheme="minorHAnsi" w:cstheme="minorBidi"/>
                <w:color w:val="auto"/>
                <w:sz w:val="22"/>
                <w:szCs w:val="22"/>
                <w:lang w:val="fr-FR"/>
              </w:rPr>
              <w:t xml:space="preserve">des réformes </w:t>
            </w:r>
            <w:r w:rsidRPr="00771717">
              <w:rPr>
                <w:rStyle w:val="normaltextrun"/>
                <w:rFonts w:asciiTheme="minorHAnsi" w:eastAsia="Times New Roman" w:hAnsiTheme="minorHAnsi" w:cstheme="minorBidi"/>
                <w:color w:val="auto"/>
                <w:sz w:val="22"/>
                <w:szCs w:val="22"/>
                <w:lang w:val="fr-FR"/>
              </w:rPr>
              <w:t>au cours des prochaines années. L'objectif principal de cet exercice est d</w:t>
            </w:r>
            <w:r w:rsidR="59A09696" w:rsidRPr="00771717">
              <w:rPr>
                <w:rStyle w:val="normaltextrun"/>
                <w:rFonts w:asciiTheme="minorHAnsi" w:eastAsia="Times New Roman" w:hAnsiTheme="minorHAnsi" w:cstheme="minorBidi"/>
                <w:color w:val="auto"/>
                <w:sz w:val="22"/>
                <w:szCs w:val="22"/>
                <w:lang w:val="fr-FR"/>
              </w:rPr>
              <w:t>’appuyer une analyse complète de la situation de la ‘branche allocation</w:t>
            </w:r>
            <w:r w:rsidR="1B665A20" w:rsidRPr="00771717">
              <w:rPr>
                <w:rStyle w:val="normaltextrun"/>
                <w:rFonts w:asciiTheme="minorHAnsi" w:eastAsia="Times New Roman" w:hAnsiTheme="minorHAnsi" w:cstheme="minorBidi"/>
                <w:color w:val="auto"/>
                <w:sz w:val="22"/>
                <w:szCs w:val="22"/>
                <w:lang w:val="fr-FR"/>
              </w:rPr>
              <w:t>s</w:t>
            </w:r>
            <w:r w:rsidR="59A09696" w:rsidRPr="00771717">
              <w:rPr>
                <w:rStyle w:val="normaltextrun"/>
                <w:rFonts w:asciiTheme="minorHAnsi" w:eastAsia="Times New Roman" w:hAnsiTheme="minorHAnsi" w:cstheme="minorBidi"/>
                <w:color w:val="auto"/>
                <w:sz w:val="22"/>
                <w:szCs w:val="22"/>
                <w:lang w:val="fr-FR"/>
              </w:rPr>
              <w:t xml:space="preserve"> familiale</w:t>
            </w:r>
            <w:r w:rsidR="70815091" w:rsidRPr="00771717">
              <w:rPr>
                <w:rStyle w:val="normaltextrun"/>
                <w:rFonts w:asciiTheme="minorHAnsi" w:eastAsia="Times New Roman" w:hAnsiTheme="minorHAnsi" w:cstheme="minorBidi"/>
                <w:color w:val="auto"/>
                <w:sz w:val="22"/>
                <w:szCs w:val="22"/>
                <w:lang w:val="fr-FR"/>
              </w:rPr>
              <w:t>s</w:t>
            </w:r>
            <w:r w:rsidR="59A09696" w:rsidRPr="00771717">
              <w:rPr>
                <w:rStyle w:val="normaltextrun"/>
                <w:rFonts w:asciiTheme="minorHAnsi" w:eastAsia="Times New Roman" w:hAnsiTheme="minorHAnsi" w:cstheme="minorBidi"/>
                <w:color w:val="auto"/>
                <w:sz w:val="22"/>
                <w:szCs w:val="22"/>
                <w:lang w:val="fr-FR"/>
              </w:rPr>
              <w:t xml:space="preserve">’ </w:t>
            </w:r>
            <w:r w:rsidR="437A6203" w:rsidRPr="00771717">
              <w:rPr>
                <w:rStyle w:val="normaltextrun"/>
                <w:rFonts w:asciiTheme="minorHAnsi" w:eastAsia="Times New Roman" w:hAnsiTheme="minorHAnsi" w:cstheme="minorBidi"/>
                <w:color w:val="auto"/>
                <w:sz w:val="22"/>
                <w:szCs w:val="22"/>
                <w:lang w:val="fr-FR"/>
              </w:rPr>
              <w:t>puis d</w:t>
            </w:r>
            <w:r w:rsidRPr="00771717">
              <w:rPr>
                <w:rStyle w:val="normaltextrun"/>
                <w:rFonts w:asciiTheme="minorHAnsi" w:eastAsia="Times New Roman" w:hAnsiTheme="minorHAnsi" w:cstheme="minorBidi"/>
                <w:color w:val="auto"/>
                <w:sz w:val="22"/>
                <w:szCs w:val="22"/>
                <w:lang w:val="fr-FR"/>
              </w:rPr>
              <w:t xml:space="preserve">e préparer </w:t>
            </w:r>
            <w:r w:rsidR="437A6203" w:rsidRPr="00771717">
              <w:rPr>
                <w:rStyle w:val="normaltextrun"/>
                <w:rFonts w:asciiTheme="minorHAnsi" w:eastAsia="Times New Roman" w:hAnsiTheme="minorHAnsi" w:cstheme="minorBidi"/>
                <w:color w:val="auto"/>
                <w:sz w:val="22"/>
                <w:szCs w:val="22"/>
                <w:lang w:val="fr-FR"/>
              </w:rPr>
              <w:t>différents scenarios de r</w:t>
            </w:r>
            <w:r w:rsidR="7FDC21F6" w:rsidRPr="00771717">
              <w:rPr>
                <w:rStyle w:val="normaltextrun"/>
                <w:rFonts w:asciiTheme="minorHAnsi" w:eastAsia="Times New Roman" w:hAnsiTheme="minorHAnsi" w:cstheme="minorBidi"/>
                <w:color w:val="auto"/>
                <w:sz w:val="22"/>
                <w:szCs w:val="22"/>
                <w:lang w:val="fr-FR"/>
              </w:rPr>
              <w:t>é</w:t>
            </w:r>
            <w:r w:rsidR="437A6203" w:rsidRPr="00771717">
              <w:rPr>
                <w:rStyle w:val="normaltextrun"/>
                <w:rFonts w:asciiTheme="minorHAnsi" w:eastAsia="Times New Roman" w:hAnsiTheme="minorHAnsi" w:cstheme="minorBidi"/>
                <w:color w:val="auto"/>
                <w:sz w:val="22"/>
                <w:szCs w:val="22"/>
                <w:lang w:val="fr-FR"/>
              </w:rPr>
              <w:t xml:space="preserve">formes </w:t>
            </w:r>
            <w:r w:rsidR="7B29AB3F" w:rsidRPr="00771717">
              <w:rPr>
                <w:rStyle w:val="normaltextrun"/>
                <w:rFonts w:asciiTheme="minorHAnsi" w:eastAsia="Times New Roman" w:hAnsiTheme="minorHAnsi" w:cstheme="minorBidi"/>
                <w:color w:val="auto"/>
                <w:sz w:val="22"/>
                <w:szCs w:val="22"/>
                <w:lang w:val="fr-FR"/>
              </w:rPr>
              <w:t>paramétriques</w:t>
            </w:r>
            <w:r w:rsidR="437A6203" w:rsidRPr="00771717">
              <w:rPr>
                <w:rStyle w:val="normaltextrun"/>
                <w:rFonts w:asciiTheme="minorHAnsi" w:eastAsia="Times New Roman" w:hAnsiTheme="minorHAnsi" w:cstheme="minorBidi"/>
                <w:color w:val="auto"/>
                <w:sz w:val="22"/>
                <w:szCs w:val="22"/>
                <w:lang w:val="fr-FR"/>
              </w:rPr>
              <w:t xml:space="preserve"> </w:t>
            </w:r>
            <w:r w:rsidR="7B29AB3F" w:rsidRPr="00771717">
              <w:rPr>
                <w:rStyle w:val="normaltextrun"/>
                <w:rFonts w:asciiTheme="minorHAnsi" w:eastAsia="Times New Roman" w:hAnsiTheme="minorHAnsi" w:cstheme="minorBidi"/>
                <w:color w:val="auto"/>
                <w:sz w:val="22"/>
                <w:szCs w:val="22"/>
                <w:lang w:val="fr-FR"/>
              </w:rPr>
              <w:t>accompagnées d’</w:t>
            </w:r>
            <w:r w:rsidR="437A6203" w:rsidRPr="00771717">
              <w:rPr>
                <w:rStyle w:val="normaltextrun"/>
                <w:rFonts w:asciiTheme="minorHAnsi" w:eastAsia="Times New Roman" w:hAnsiTheme="minorHAnsi" w:cstheme="minorBidi"/>
                <w:color w:val="auto"/>
                <w:sz w:val="22"/>
                <w:szCs w:val="22"/>
                <w:lang w:val="fr-FR"/>
              </w:rPr>
              <w:t xml:space="preserve">un </w:t>
            </w:r>
            <w:r w:rsidRPr="00771717">
              <w:rPr>
                <w:rStyle w:val="normaltextrun"/>
                <w:rFonts w:asciiTheme="minorHAnsi" w:eastAsia="Times New Roman" w:hAnsiTheme="minorHAnsi" w:cstheme="minorBidi"/>
                <w:color w:val="auto"/>
                <w:sz w:val="22"/>
                <w:szCs w:val="22"/>
                <w:lang w:val="fr-FR"/>
              </w:rPr>
              <w:t xml:space="preserve">chiffrage pluriannuel des coûts d’un ajustement du montant des allocations familiales du secteur contributif afin d'éclairer la décision d’une harmonisation des allocations </w:t>
            </w:r>
            <w:r w:rsidR="7A40FC10" w:rsidRPr="00771717">
              <w:rPr>
                <w:rStyle w:val="normaltextrun"/>
                <w:rFonts w:asciiTheme="minorHAnsi" w:eastAsia="Times New Roman" w:hAnsiTheme="minorHAnsi" w:cstheme="minorBidi"/>
                <w:color w:val="auto"/>
                <w:sz w:val="22"/>
                <w:szCs w:val="22"/>
                <w:lang w:val="fr-FR"/>
              </w:rPr>
              <w:t xml:space="preserve">enfants/familiales </w:t>
            </w:r>
            <w:r w:rsidRPr="00771717">
              <w:rPr>
                <w:rStyle w:val="normaltextrun"/>
                <w:rFonts w:asciiTheme="minorHAnsi" w:eastAsia="Times New Roman" w:hAnsiTheme="minorHAnsi" w:cstheme="minorBidi"/>
                <w:color w:val="auto"/>
                <w:sz w:val="22"/>
                <w:szCs w:val="22"/>
                <w:lang w:val="fr-FR"/>
              </w:rPr>
              <w:t>pour les secteurs contributifs et non-contributifs</w:t>
            </w:r>
            <w:r w:rsidRPr="00771717">
              <w:rPr>
                <w:rStyle w:val="normaltextrun"/>
                <w:rFonts w:asciiTheme="minorHAnsi" w:eastAsia="Times New Roman" w:hAnsiTheme="minorHAnsi" w:cstheme="minorBidi"/>
                <w:b/>
                <w:bCs/>
                <w:color w:val="4471C4"/>
                <w:sz w:val="22"/>
                <w:szCs w:val="22"/>
                <w:lang w:val="fr-FR"/>
              </w:rPr>
              <w:t xml:space="preserve">.  </w:t>
            </w:r>
          </w:p>
          <w:p w14:paraId="04E6BCFA" w14:textId="77777777" w:rsidR="00397355" w:rsidRPr="00C61CEC" w:rsidRDefault="00397355" w:rsidP="00397355">
            <w:pPr>
              <w:spacing w:before="60" w:after="60" w:line="240" w:lineRule="auto"/>
              <w:jc w:val="both"/>
              <w:rPr>
                <w:rStyle w:val="normaltextrun"/>
                <w:rFonts w:asciiTheme="minorHAnsi" w:eastAsia="Times New Roman" w:hAnsiTheme="minorHAnsi" w:cstheme="minorBidi"/>
                <w:b/>
                <w:bCs/>
                <w:color w:val="4472C4" w:themeColor="accent5"/>
                <w:sz w:val="2"/>
                <w:szCs w:val="2"/>
                <w:lang w:val="fr-FR"/>
              </w:rPr>
            </w:pPr>
          </w:p>
          <w:p w14:paraId="64302806" w14:textId="160D0491" w:rsidR="00440C76" w:rsidRDefault="00440C76" w:rsidP="00397355">
            <w:pPr>
              <w:pStyle w:val="ListParagraph"/>
              <w:numPr>
                <w:ilvl w:val="0"/>
                <w:numId w:val="13"/>
              </w:numPr>
              <w:spacing w:line="240" w:lineRule="auto"/>
              <w:jc w:val="both"/>
              <w:rPr>
                <w:rFonts w:asciiTheme="minorHAnsi" w:eastAsia="Times New Roman" w:hAnsiTheme="minorHAnsi" w:cstheme="minorHAnsi"/>
                <w:b/>
                <w:bCs/>
                <w:color w:val="4472C4" w:themeColor="accent5"/>
                <w:sz w:val="24"/>
                <w:szCs w:val="24"/>
                <w:lang w:val="fr-FR"/>
              </w:rPr>
            </w:pPr>
            <w:r w:rsidRPr="00736483">
              <w:rPr>
                <w:rFonts w:asciiTheme="minorHAnsi" w:eastAsia="Times New Roman" w:hAnsiTheme="minorHAnsi" w:cstheme="minorHAnsi"/>
                <w:b/>
                <w:bCs/>
                <w:color w:val="4472C4" w:themeColor="accent5"/>
                <w:sz w:val="24"/>
                <w:szCs w:val="24"/>
                <w:lang w:val="fr-FR"/>
              </w:rPr>
              <w:t xml:space="preserve">Objectif </w:t>
            </w:r>
            <w:r w:rsidR="00551D0A" w:rsidRPr="00736483">
              <w:rPr>
                <w:rFonts w:asciiTheme="minorHAnsi" w:eastAsia="Times New Roman" w:hAnsiTheme="minorHAnsi" w:cstheme="minorHAnsi"/>
                <w:b/>
                <w:bCs/>
                <w:color w:val="4472C4" w:themeColor="accent5"/>
                <w:sz w:val="24"/>
                <w:szCs w:val="24"/>
                <w:lang w:val="fr-FR"/>
              </w:rPr>
              <w:t>g</w:t>
            </w:r>
            <w:r w:rsidRPr="00736483">
              <w:rPr>
                <w:rFonts w:asciiTheme="minorHAnsi" w:eastAsia="Times New Roman" w:hAnsiTheme="minorHAnsi" w:cstheme="minorHAnsi"/>
                <w:b/>
                <w:bCs/>
                <w:color w:val="4472C4" w:themeColor="accent5"/>
                <w:sz w:val="24"/>
                <w:szCs w:val="24"/>
                <w:lang w:val="fr-FR"/>
              </w:rPr>
              <w:t xml:space="preserve">énéral de la </w:t>
            </w:r>
            <w:r w:rsidR="00551D0A" w:rsidRPr="00736483">
              <w:rPr>
                <w:rFonts w:asciiTheme="minorHAnsi" w:eastAsia="Times New Roman" w:hAnsiTheme="minorHAnsi" w:cstheme="minorHAnsi"/>
                <w:b/>
                <w:bCs/>
                <w:color w:val="4472C4" w:themeColor="accent5"/>
                <w:sz w:val="24"/>
                <w:szCs w:val="24"/>
                <w:lang w:val="fr-FR"/>
              </w:rPr>
              <w:t>consultation :</w:t>
            </w:r>
          </w:p>
          <w:p w14:paraId="3664AF29" w14:textId="77777777" w:rsidR="00397355" w:rsidRPr="00C61CEC" w:rsidRDefault="00397355" w:rsidP="00397355">
            <w:pPr>
              <w:pStyle w:val="ListParagraph"/>
              <w:spacing w:line="240" w:lineRule="auto"/>
              <w:ind w:left="1080"/>
              <w:jc w:val="both"/>
              <w:rPr>
                <w:rFonts w:asciiTheme="minorHAnsi" w:eastAsia="Times New Roman" w:hAnsiTheme="minorHAnsi" w:cstheme="minorHAnsi"/>
                <w:b/>
                <w:bCs/>
                <w:color w:val="4472C4" w:themeColor="accent5"/>
                <w:sz w:val="12"/>
                <w:szCs w:val="12"/>
                <w:lang w:val="fr-FR"/>
              </w:rPr>
            </w:pPr>
          </w:p>
          <w:p w14:paraId="4BCDB17B" w14:textId="36642D06" w:rsidR="00736483" w:rsidRPr="00736483" w:rsidRDefault="00736483" w:rsidP="00397355">
            <w:pPr>
              <w:spacing w:line="240" w:lineRule="auto"/>
              <w:jc w:val="both"/>
              <w:rPr>
                <w:rFonts w:asciiTheme="minorHAnsi" w:hAnsiTheme="minorHAnsi" w:cstheme="minorHAnsi"/>
                <w:sz w:val="22"/>
                <w:szCs w:val="22"/>
                <w:lang w:val="fr-FR"/>
              </w:rPr>
            </w:pPr>
            <w:r w:rsidRPr="00736483">
              <w:rPr>
                <w:rFonts w:asciiTheme="minorHAnsi" w:hAnsiTheme="minorHAnsi" w:cstheme="minorHAnsi"/>
                <w:sz w:val="22"/>
                <w:szCs w:val="22"/>
                <w:lang w:val="fr-FR"/>
              </w:rPr>
              <w:t xml:space="preserve">Cette consultation a </w:t>
            </w:r>
            <w:r>
              <w:rPr>
                <w:rFonts w:asciiTheme="minorHAnsi" w:hAnsiTheme="minorHAnsi" w:cstheme="minorHAnsi"/>
                <w:sz w:val="22"/>
                <w:szCs w:val="22"/>
                <w:lang w:val="fr-FR"/>
              </w:rPr>
              <w:t>pour</w:t>
            </w:r>
            <w:r w:rsidRPr="00736483">
              <w:rPr>
                <w:rFonts w:asciiTheme="minorHAnsi" w:hAnsiTheme="minorHAnsi" w:cstheme="minorHAnsi"/>
                <w:sz w:val="22"/>
                <w:szCs w:val="22"/>
                <w:lang w:val="fr-FR"/>
              </w:rPr>
              <w:t xml:space="preserve"> objectifs : </w:t>
            </w:r>
          </w:p>
          <w:p w14:paraId="2D1E9500" w14:textId="2C3B0A8C" w:rsidR="00736483" w:rsidRPr="00736483" w:rsidRDefault="00736483" w:rsidP="00397355">
            <w:pPr>
              <w:pStyle w:val="ListParagraph"/>
              <w:numPr>
                <w:ilvl w:val="0"/>
                <w:numId w:val="14"/>
              </w:numPr>
              <w:shd w:val="clear" w:color="auto" w:fill="FFFFFF"/>
              <w:spacing w:line="240" w:lineRule="auto"/>
              <w:jc w:val="both"/>
              <w:rPr>
                <w:rFonts w:asciiTheme="minorHAnsi" w:hAnsiTheme="minorHAnsi" w:cstheme="minorHAnsi"/>
                <w:sz w:val="22"/>
                <w:szCs w:val="22"/>
                <w:lang w:val="fr-FR"/>
              </w:rPr>
            </w:pPr>
            <w:r w:rsidRPr="00736483">
              <w:rPr>
                <w:rFonts w:asciiTheme="minorHAnsi" w:hAnsiTheme="minorHAnsi" w:cstheme="minorHAnsi"/>
                <w:sz w:val="22"/>
                <w:szCs w:val="22"/>
                <w:lang w:val="fr-FR"/>
              </w:rPr>
              <w:t>Engager des hauts fonctionnaires clés du ministère des affaires sociales</w:t>
            </w:r>
            <w:r w:rsidR="00B04161">
              <w:rPr>
                <w:rFonts w:asciiTheme="minorHAnsi" w:hAnsiTheme="minorHAnsi" w:cstheme="minorHAnsi"/>
                <w:sz w:val="22"/>
                <w:szCs w:val="22"/>
                <w:lang w:val="fr-FR"/>
              </w:rPr>
              <w:t>, du CRES</w:t>
            </w:r>
            <w:r w:rsidR="007E6C1A">
              <w:rPr>
                <w:rFonts w:asciiTheme="minorHAnsi" w:hAnsiTheme="minorHAnsi" w:cstheme="minorHAnsi"/>
                <w:sz w:val="22"/>
                <w:szCs w:val="22"/>
                <w:lang w:val="fr-FR"/>
              </w:rPr>
              <w:t xml:space="preserve"> et des caisses de sécurité sociale (CNSS, CNRPS, CNAM)</w:t>
            </w:r>
            <w:r w:rsidRPr="00736483">
              <w:rPr>
                <w:rFonts w:asciiTheme="minorHAnsi" w:hAnsiTheme="minorHAnsi" w:cstheme="minorHAnsi"/>
                <w:sz w:val="22"/>
                <w:szCs w:val="22"/>
                <w:lang w:val="fr-FR"/>
              </w:rPr>
              <w:t>, du ministère des Finances et du ministère de l’économie et de la planification pour établir un engagement institutionnel et des plans sur le financement de la stratégie d’ajustement</w:t>
            </w:r>
            <w:r w:rsidR="00A115EE">
              <w:rPr>
                <w:rFonts w:asciiTheme="minorHAnsi" w:hAnsiTheme="minorHAnsi" w:cstheme="minorHAnsi"/>
                <w:sz w:val="22"/>
                <w:szCs w:val="22"/>
                <w:lang w:val="fr-FR"/>
              </w:rPr>
              <w:t>.</w:t>
            </w:r>
            <w:r w:rsidRPr="00736483">
              <w:rPr>
                <w:rFonts w:asciiTheme="minorHAnsi" w:hAnsiTheme="minorHAnsi" w:cstheme="minorHAnsi"/>
                <w:sz w:val="22"/>
                <w:szCs w:val="22"/>
                <w:lang w:val="fr-FR"/>
              </w:rPr>
              <w:t xml:space="preserve"> </w:t>
            </w:r>
          </w:p>
          <w:p w14:paraId="0946E843" w14:textId="4852D1FC" w:rsidR="00736483" w:rsidRPr="00736483" w:rsidRDefault="00736483" w:rsidP="00397355">
            <w:pPr>
              <w:pStyle w:val="ListParagraph"/>
              <w:numPr>
                <w:ilvl w:val="0"/>
                <w:numId w:val="14"/>
              </w:numPr>
              <w:shd w:val="clear" w:color="auto" w:fill="FFFFFF"/>
              <w:spacing w:line="240" w:lineRule="auto"/>
              <w:jc w:val="both"/>
              <w:rPr>
                <w:rFonts w:asciiTheme="minorHAnsi" w:hAnsiTheme="minorHAnsi" w:cstheme="minorHAnsi"/>
                <w:sz w:val="22"/>
                <w:szCs w:val="22"/>
                <w:lang w:val="fr-FR"/>
              </w:rPr>
            </w:pPr>
            <w:r w:rsidRPr="00736483">
              <w:rPr>
                <w:rFonts w:asciiTheme="minorHAnsi" w:hAnsiTheme="minorHAnsi" w:cstheme="minorHAnsi"/>
                <w:sz w:val="22"/>
                <w:szCs w:val="22"/>
                <w:lang w:val="fr-FR"/>
              </w:rPr>
              <w:t>Concevoir une méthodologie/un modèle de</w:t>
            </w:r>
            <w:r w:rsidR="00A115EE">
              <w:rPr>
                <w:rFonts w:asciiTheme="minorHAnsi" w:hAnsiTheme="minorHAnsi" w:cstheme="minorHAnsi"/>
                <w:sz w:val="22"/>
                <w:szCs w:val="22"/>
                <w:lang w:val="fr-FR"/>
              </w:rPr>
              <w:t xml:space="preserve"> collecte de </w:t>
            </w:r>
            <w:r w:rsidR="004A4EE5">
              <w:rPr>
                <w:rFonts w:asciiTheme="minorHAnsi" w:hAnsiTheme="minorHAnsi" w:cstheme="minorHAnsi"/>
                <w:sz w:val="22"/>
                <w:szCs w:val="22"/>
                <w:lang w:val="fr-FR"/>
              </w:rPr>
              <w:t>données</w:t>
            </w:r>
            <w:r w:rsidR="00A115EE">
              <w:rPr>
                <w:rFonts w:asciiTheme="minorHAnsi" w:hAnsiTheme="minorHAnsi" w:cstheme="minorHAnsi"/>
                <w:sz w:val="22"/>
                <w:szCs w:val="22"/>
                <w:lang w:val="fr-FR"/>
              </w:rPr>
              <w:t xml:space="preserve"> financières des caisses pour la branche ‘allocations familiales</w:t>
            </w:r>
            <w:r w:rsidR="00397355">
              <w:rPr>
                <w:rFonts w:asciiTheme="minorHAnsi" w:hAnsiTheme="minorHAnsi" w:cstheme="minorHAnsi"/>
                <w:sz w:val="22"/>
                <w:szCs w:val="22"/>
                <w:lang w:val="fr-FR"/>
              </w:rPr>
              <w:t xml:space="preserve">' </w:t>
            </w:r>
            <w:r w:rsidR="008854C0">
              <w:rPr>
                <w:rFonts w:asciiTheme="minorHAnsi" w:hAnsiTheme="minorHAnsi" w:cstheme="minorHAnsi"/>
                <w:sz w:val="22"/>
                <w:szCs w:val="22"/>
                <w:lang w:val="fr-FR"/>
              </w:rPr>
              <w:t xml:space="preserve">puis de </w:t>
            </w:r>
            <w:r w:rsidRPr="00736483">
              <w:rPr>
                <w:rFonts w:asciiTheme="minorHAnsi" w:hAnsiTheme="minorHAnsi" w:cstheme="minorHAnsi"/>
                <w:sz w:val="22"/>
                <w:szCs w:val="22"/>
                <w:lang w:val="fr-FR"/>
              </w:rPr>
              <w:t xml:space="preserve">calcul des </w:t>
            </w:r>
            <w:r w:rsidR="008854C0">
              <w:rPr>
                <w:rFonts w:asciiTheme="minorHAnsi" w:hAnsiTheme="minorHAnsi" w:cstheme="minorHAnsi"/>
                <w:sz w:val="22"/>
                <w:szCs w:val="22"/>
                <w:lang w:val="fr-FR"/>
              </w:rPr>
              <w:t xml:space="preserve">recettes, prestations et </w:t>
            </w:r>
            <w:r w:rsidRPr="00736483">
              <w:rPr>
                <w:rFonts w:asciiTheme="minorHAnsi" w:hAnsiTheme="minorHAnsi" w:cstheme="minorHAnsi"/>
                <w:sz w:val="22"/>
                <w:szCs w:val="22"/>
                <w:lang w:val="fr-FR"/>
              </w:rPr>
              <w:t>coûts, à valider par les parties prenantes concernées. Le modèle sera utilisé pour établir le</w:t>
            </w:r>
            <w:r w:rsidR="008854C0">
              <w:rPr>
                <w:rFonts w:asciiTheme="minorHAnsi" w:hAnsiTheme="minorHAnsi" w:cstheme="minorHAnsi"/>
                <w:sz w:val="22"/>
                <w:szCs w:val="22"/>
                <w:lang w:val="fr-FR"/>
              </w:rPr>
              <w:t xml:space="preserve">s scenarios des reformes paramétriques, des </w:t>
            </w:r>
            <w:r w:rsidR="004A4EE5">
              <w:rPr>
                <w:rFonts w:asciiTheme="minorHAnsi" w:hAnsiTheme="minorHAnsi" w:cstheme="minorHAnsi"/>
                <w:sz w:val="22"/>
                <w:szCs w:val="22"/>
                <w:lang w:val="fr-FR"/>
              </w:rPr>
              <w:t>estimations</w:t>
            </w:r>
            <w:r w:rsidR="008854C0">
              <w:rPr>
                <w:rFonts w:asciiTheme="minorHAnsi" w:hAnsiTheme="minorHAnsi" w:cstheme="minorHAnsi"/>
                <w:sz w:val="22"/>
                <w:szCs w:val="22"/>
                <w:lang w:val="fr-FR"/>
              </w:rPr>
              <w:t xml:space="preserve"> des besoins</w:t>
            </w:r>
            <w:r w:rsidR="004A4EE5">
              <w:rPr>
                <w:rFonts w:asciiTheme="minorHAnsi" w:hAnsiTheme="minorHAnsi" w:cstheme="minorHAnsi"/>
                <w:sz w:val="22"/>
                <w:szCs w:val="22"/>
                <w:lang w:val="fr-FR"/>
              </w:rPr>
              <w:t xml:space="preserve"> et </w:t>
            </w:r>
            <w:r w:rsidRPr="00736483">
              <w:rPr>
                <w:rFonts w:asciiTheme="minorHAnsi" w:hAnsiTheme="minorHAnsi" w:cstheme="minorHAnsi"/>
                <w:sz w:val="22"/>
                <w:szCs w:val="22"/>
                <w:lang w:val="fr-FR"/>
              </w:rPr>
              <w:t>coût</w:t>
            </w:r>
            <w:r w:rsidR="004A4EE5">
              <w:rPr>
                <w:rFonts w:asciiTheme="minorHAnsi" w:hAnsiTheme="minorHAnsi" w:cstheme="minorHAnsi"/>
                <w:sz w:val="22"/>
                <w:szCs w:val="22"/>
                <w:lang w:val="fr-FR"/>
              </w:rPr>
              <w:t>s</w:t>
            </w:r>
            <w:r w:rsidRPr="00736483">
              <w:rPr>
                <w:rFonts w:asciiTheme="minorHAnsi" w:hAnsiTheme="minorHAnsi" w:cstheme="minorHAnsi"/>
                <w:sz w:val="22"/>
                <w:szCs w:val="22"/>
                <w:lang w:val="fr-FR"/>
              </w:rPr>
              <w:t xml:space="preserve"> de mise en œuvre de la nouvelle stratégie d</w:t>
            </w:r>
            <w:r w:rsidR="00006FA2">
              <w:rPr>
                <w:rFonts w:asciiTheme="minorHAnsi" w:hAnsiTheme="minorHAnsi" w:cstheme="minorHAnsi"/>
                <w:sz w:val="22"/>
                <w:szCs w:val="22"/>
                <w:lang w:val="fr-FR"/>
              </w:rPr>
              <w:t>e revalorisation et d</w:t>
            </w:r>
            <w:r w:rsidRPr="00736483">
              <w:rPr>
                <w:rFonts w:asciiTheme="minorHAnsi" w:hAnsiTheme="minorHAnsi" w:cstheme="minorHAnsi"/>
                <w:sz w:val="22"/>
                <w:szCs w:val="22"/>
                <w:lang w:val="fr-FR"/>
              </w:rPr>
              <w:t>’alignement/ajustement et des réformes spécifiques.</w:t>
            </w:r>
          </w:p>
          <w:p w14:paraId="0048FBDB" w14:textId="34B4E2E3" w:rsidR="00736483" w:rsidRPr="00736483" w:rsidRDefault="00736483" w:rsidP="00397355">
            <w:pPr>
              <w:pStyle w:val="ListParagraph"/>
              <w:numPr>
                <w:ilvl w:val="0"/>
                <w:numId w:val="14"/>
              </w:numPr>
              <w:shd w:val="clear" w:color="auto" w:fill="FFFFFF"/>
              <w:spacing w:line="240" w:lineRule="auto"/>
              <w:jc w:val="both"/>
              <w:rPr>
                <w:rFonts w:asciiTheme="minorHAnsi" w:hAnsiTheme="minorHAnsi" w:cstheme="minorHAnsi"/>
                <w:sz w:val="22"/>
                <w:szCs w:val="22"/>
                <w:lang w:val="fr-FR"/>
              </w:rPr>
            </w:pPr>
            <w:r w:rsidRPr="00736483">
              <w:rPr>
                <w:rFonts w:asciiTheme="minorHAnsi" w:hAnsiTheme="minorHAnsi" w:cstheme="minorHAnsi"/>
                <w:sz w:val="22"/>
                <w:szCs w:val="22"/>
                <w:lang w:val="fr-FR"/>
              </w:rPr>
              <w:t xml:space="preserve">Collecter </w:t>
            </w:r>
            <w:r w:rsidR="000A00B5">
              <w:rPr>
                <w:rFonts w:asciiTheme="minorHAnsi" w:hAnsiTheme="minorHAnsi" w:cstheme="minorHAnsi"/>
                <w:sz w:val="22"/>
                <w:szCs w:val="22"/>
                <w:lang w:val="fr-FR"/>
              </w:rPr>
              <w:t>et analyser l</w:t>
            </w:r>
            <w:r w:rsidRPr="00736483">
              <w:rPr>
                <w:rFonts w:asciiTheme="minorHAnsi" w:hAnsiTheme="minorHAnsi" w:cstheme="minorHAnsi"/>
                <w:sz w:val="22"/>
                <w:szCs w:val="22"/>
                <w:lang w:val="fr-FR"/>
              </w:rPr>
              <w:t xml:space="preserve">es données </w:t>
            </w:r>
            <w:r w:rsidR="001B2848">
              <w:rPr>
                <w:rFonts w:asciiTheme="minorHAnsi" w:hAnsiTheme="minorHAnsi" w:cstheme="minorHAnsi"/>
                <w:sz w:val="22"/>
                <w:szCs w:val="22"/>
                <w:lang w:val="fr-FR"/>
              </w:rPr>
              <w:t xml:space="preserve">sur les recettes et les prestations de la ‘branche allocations familiales’ et réaliser des projections </w:t>
            </w:r>
            <w:r w:rsidR="00E86B43">
              <w:rPr>
                <w:rFonts w:asciiTheme="minorHAnsi" w:hAnsiTheme="minorHAnsi" w:cstheme="minorHAnsi"/>
                <w:sz w:val="22"/>
                <w:szCs w:val="22"/>
                <w:lang w:val="fr-FR"/>
              </w:rPr>
              <w:t xml:space="preserve">actuarielles </w:t>
            </w:r>
            <w:r w:rsidR="001B2848">
              <w:rPr>
                <w:rFonts w:asciiTheme="minorHAnsi" w:hAnsiTheme="minorHAnsi" w:cstheme="minorHAnsi"/>
                <w:sz w:val="22"/>
                <w:szCs w:val="22"/>
                <w:lang w:val="fr-FR"/>
              </w:rPr>
              <w:t xml:space="preserve">sur les 30 prochaines années sur la base </w:t>
            </w:r>
            <w:r w:rsidR="00121187">
              <w:rPr>
                <w:rFonts w:asciiTheme="minorHAnsi" w:hAnsiTheme="minorHAnsi" w:cstheme="minorHAnsi"/>
                <w:sz w:val="22"/>
                <w:szCs w:val="22"/>
                <w:lang w:val="fr-FR"/>
              </w:rPr>
              <w:t xml:space="preserve">du scenario central (taux </w:t>
            </w:r>
            <w:r w:rsidR="00FA0790">
              <w:rPr>
                <w:rFonts w:asciiTheme="minorHAnsi" w:hAnsiTheme="minorHAnsi" w:cstheme="minorHAnsi"/>
                <w:sz w:val="22"/>
                <w:szCs w:val="22"/>
                <w:lang w:val="fr-FR"/>
              </w:rPr>
              <w:t xml:space="preserve">de </w:t>
            </w:r>
            <w:r w:rsidR="00121187">
              <w:rPr>
                <w:rFonts w:asciiTheme="minorHAnsi" w:hAnsiTheme="minorHAnsi" w:cstheme="minorHAnsi"/>
                <w:sz w:val="22"/>
                <w:szCs w:val="22"/>
                <w:lang w:val="fr-FR"/>
              </w:rPr>
              <w:t xml:space="preserve">chômage, </w:t>
            </w:r>
            <w:r w:rsidR="00257DCB">
              <w:rPr>
                <w:rFonts w:asciiTheme="minorHAnsi" w:hAnsiTheme="minorHAnsi" w:cstheme="minorHAnsi"/>
                <w:sz w:val="22"/>
                <w:szCs w:val="22"/>
                <w:lang w:val="fr-FR"/>
              </w:rPr>
              <w:t xml:space="preserve">emploi par secteur, </w:t>
            </w:r>
            <w:r w:rsidR="00121187">
              <w:rPr>
                <w:rFonts w:asciiTheme="minorHAnsi" w:hAnsiTheme="minorHAnsi" w:cstheme="minorHAnsi"/>
                <w:sz w:val="22"/>
                <w:szCs w:val="22"/>
                <w:lang w:val="fr-FR"/>
              </w:rPr>
              <w:t>évolution démographique,</w:t>
            </w:r>
            <w:r w:rsidR="00E86B43">
              <w:rPr>
                <w:rFonts w:asciiTheme="minorHAnsi" w:hAnsiTheme="minorHAnsi" w:cstheme="minorHAnsi"/>
                <w:sz w:val="22"/>
                <w:szCs w:val="22"/>
                <w:lang w:val="fr-FR"/>
              </w:rPr>
              <w:t xml:space="preserve"> évolution du nombre d’enfants par </w:t>
            </w:r>
            <w:r w:rsidR="00257DCB">
              <w:rPr>
                <w:rFonts w:asciiTheme="minorHAnsi" w:hAnsiTheme="minorHAnsi" w:cstheme="minorHAnsi"/>
                <w:sz w:val="22"/>
                <w:szCs w:val="22"/>
                <w:lang w:val="fr-FR"/>
              </w:rPr>
              <w:t>ménage</w:t>
            </w:r>
            <w:r w:rsidR="00121187">
              <w:rPr>
                <w:rFonts w:asciiTheme="minorHAnsi" w:hAnsiTheme="minorHAnsi" w:cstheme="minorHAnsi"/>
                <w:sz w:val="22"/>
                <w:szCs w:val="22"/>
                <w:lang w:val="fr-FR"/>
              </w:rPr>
              <w:t xml:space="preserve"> </w:t>
            </w:r>
            <w:r w:rsidR="00C61CEC">
              <w:rPr>
                <w:rFonts w:asciiTheme="minorHAnsi" w:hAnsiTheme="minorHAnsi" w:cstheme="minorHAnsi"/>
                <w:sz w:val="22"/>
                <w:szCs w:val="22"/>
                <w:lang w:val="fr-FR"/>
              </w:rPr>
              <w:t>etc.</w:t>
            </w:r>
            <w:r w:rsidR="00257DCB">
              <w:rPr>
                <w:rFonts w:asciiTheme="minorHAnsi" w:hAnsiTheme="minorHAnsi" w:cstheme="minorHAnsi"/>
                <w:sz w:val="22"/>
                <w:szCs w:val="22"/>
                <w:lang w:val="fr-FR"/>
              </w:rPr>
              <w:t xml:space="preserve">) </w:t>
            </w:r>
            <w:r w:rsidR="00B91E9D">
              <w:rPr>
                <w:rFonts w:asciiTheme="minorHAnsi" w:hAnsiTheme="minorHAnsi" w:cstheme="minorHAnsi"/>
                <w:sz w:val="22"/>
                <w:szCs w:val="22"/>
                <w:lang w:val="fr-FR"/>
              </w:rPr>
              <w:t>avec un</w:t>
            </w:r>
            <w:r w:rsidR="00E16596">
              <w:rPr>
                <w:rFonts w:asciiTheme="minorHAnsi" w:hAnsiTheme="minorHAnsi" w:cstheme="minorHAnsi"/>
                <w:sz w:val="22"/>
                <w:szCs w:val="22"/>
                <w:lang w:val="fr-FR"/>
              </w:rPr>
              <w:t>e</w:t>
            </w:r>
            <w:r w:rsidR="00B91E9D">
              <w:rPr>
                <w:rFonts w:asciiTheme="minorHAnsi" w:hAnsiTheme="minorHAnsi" w:cstheme="minorHAnsi"/>
                <w:sz w:val="22"/>
                <w:szCs w:val="22"/>
                <w:lang w:val="fr-FR"/>
              </w:rPr>
              <w:t xml:space="preserve"> estimation </w:t>
            </w:r>
            <w:r w:rsidR="00697E8F">
              <w:rPr>
                <w:rFonts w:asciiTheme="minorHAnsi" w:hAnsiTheme="minorHAnsi" w:cstheme="minorHAnsi"/>
                <w:sz w:val="22"/>
                <w:szCs w:val="22"/>
                <w:lang w:val="fr-FR"/>
              </w:rPr>
              <w:t xml:space="preserve">des mesures paramétriques pour assurer l’équilibre financier </w:t>
            </w:r>
            <w:r w:rsidR="008100F0">
              <w:rPr>
                <w:rFonts w:asciiTheme="minorHAnsi" w:hAnsiTheme="minorHAnsi" w:cstheme="minorHAnsi"/>
                <w:sz w:val="22"/>
                <w:szCs w:val="22"/>
                <w:lang w:val="fr-FR"/>
              </w:rPr>
              <w:t xml:space="preserve"> de cette branche </w:t>
            </w:r>
            <w:r w:rsidR="00697E8F">
              <w:rPr>
                <w:rFonts w:asciiTheme="minorHAnsi" w:hAnsiTheme="minorHAnsi" w:cstheme="minorHAnsi"/>
                <w:sz w:val="22"/>
                <w:szCs w:val="22"/>
                <w:lang w:val="fr-FR"/>
              </w:rPr>
              <w:t xml:space="preserve">et </w:t>
            </w:r>
            <w:r w:rsidR="00E16596">
              <w:rPr>
                <w:rFonts w:asciiTheme="minorHAnsi" w:hAnsiTheme="minorHAnsi" w:cstheme="minorHAnsi"/>
                <w:sz w:val="22"/>
                <w:szCs w:val="22"/>
                <w:lang w:val="fr-FR"/>
              </w:rPr>
              <w:t xml:space="preserve">son élargissement aux </w:t>
            </w:r>
            <w:r w:rsidR="008100F0">
              <w:rPr>
                <w:rFonts w:asciiTheme="minorHAnsi" w:hAnsiTheme="minorHAnsi" w:cstheme="minorHAnsi"/>
                <w:sz w:val="22"/>
                <w:szCs w:val="22"/>
                <w:lang w:val="fr-FR"/>
              </w:rPr>
              <w:t>régimes</w:t>
            </w:r>
            <w:r w:rsidR="00E16596">
              <w:rPr>
                <w:rFonts w:asciiTheme="minorHAnsi" w:hAnsiTheme="minorHAnsi" w:cstheme="minorHAnsi"/>
                <w:sz w:val="22"/>
                <w:szCs w:val="22"/>
                <w:lang w:val="fr-FR"/>
              </w:rPr>
              <w:t xml:space="preserve"> </w:t>
            </w:r>
            <w:r w:rsidR="008100F0">
              <w:rPr>
                <w:rFonts w:asciiTheme="minorHAnsi" w:hAnsiTheme="minorHAnsi" w:cstheme="minorHAnsi"/>
                <w:sz w:val="22"/>
                <w:szCs w:val="22"/>
                <w:lang w:val="fr-FR"/>
              </w:rPr>
              <w:t>spéciaux</w:t>
            </w:r>
            <w:r w:rsidR="00E16596">
              <w:rPr>
                <w:rFonts w:asciiTheme="minorHAnsi" w:hAnsiTheme="minorHAnsi" w:cstheme="minorHAnsi"/>
                <w:sz w:val="22"/>
                <w:szCs w:val="22"/>
                <w:lang w:val="fr-FR"/>
              </w:rPr>
              <w:t xml:space="preserve"> </w:t>
            </w:r>
            <w:r w:rsidR="00B73B61">
              <w:rPr>
                <w:rFonts w:asciiTheme="minorHAnsi" w:hAnsiTheme="minorHAnsi" w:cstheme="minorHAnsi"/>
                <w:sz w:val="22"/>
                <w:szCs w:val="22"/>
                <w:lang w:val="fr-FR"/>
              </w:rPr>
              <w:t>et</w:t>
            </w:r>
            <w:r w:rsidR="00697E8F">
              <w:rPr>
                <w:rFonts w:asciiTheme="minorHAnsi" w:hAnsiTheme="minorHAnsi" w:cstheme="minorHAnsi"/>
                <w:sz w:val="22"/>
                <w:szCs w:val="22"/>
                <w:lang w:val="fr-FR"/>
              </w:rPr>
              <w:t xml:space="preserve"> estimer</w:t>
            </w:r>
            <w:r w:rsidR="00697E8F" w:rsidRPr="00736483">
              <w:rPr>
                <w:rFonts w:asciiTheme="minorHAnsi" w:hAnsiTheme="minorHAnsi" w:cstheme="minorHAnsi"/>
                <w:sz w:val="22"/>
                <w:szCs w:val="22"/>
                <w:lang w:val="fr-FR"/>
              </w:rPr>
              <w:t xml:space="preserve"> </w:t>
            </w:r>
            <w:r w:rsidRPr="00736483">
              <w:rPr>
                <w:rFonts w:asciiTheme="minorHAnsi" w:hAnsiTheme="minorHAnsi" w:cstheme="minorHAnsi"/>
                <w:sz w:val="22"/>
                <w:szCs w:val="22"/>
                <w:lang w:val="fr-FR"/>
              </w:rPr>
              <w:t xml:space="preserve">le coût </w:t>
            </w:r>
            <w:r w:rsidR="00DC48DF">
              <w:rPr>
                <w:rFonts w:asciiTheme="minorHAnsi" w:hAnsiTheme="minorHAnsi" w:cstheme="minorHAnsi"/>
                <w:sz w:val="22"/>
                <w:szCs w:val="22"/>
                <w:lang w:val="fr-FR"/>
              </w:rPr>
              <w:t xml:space="preserve">pour la </w:t>
            </w:r>
            <w:r w:rsidRPr="00736483">
              <w:rPr>
                <w:rFonts w:asciiTheme="minorHAnsi" w:hAnsiTheme="minorHAnsi" w:cstheme="minorHAnsi"/>
                <w:sz w:val="22"/>
                <w:szCs w:val="22"/>
                <w:lang w:val="fr-FR"/>
              </w:rPr>
              <w:t xml:space="preserve">mise en œuvre d’un ajustement du niveau des allocations familiales du secteur contributif. </w:t>
            </w:r>
          </w:p>
          <w:p w14:paraId="0AF2A5CD" w14:textId="35C36E97" w:rsidR="00736483" w:rsidRPr="00736483" w:rsidRDefault="00736483" w:rsidP="00397355">
            <w:pPr>
              <w:pStyle w:val="ListParagraph"/>
              <w:numPr>
                <w:ilvl w:val="0"/>
                <w:numId w:val="14"/>
              </w:numPr>
              <w:shd w:val="clear" w:color="auto" w:fill="FFFFFF"/>
              <w:spacing w:line="240" w:lineRule="auto"/>
              <w:jc w:val="both"/>
              <w:rPr>
                <w:rFonts w:asciiTheme="minorHAnsi" w:hAnsiTheme="minorHAnsi" w:cstheme="minorHAnsi"/>
                <w:sz w:val="22"/>
                <w:szCs w:val="22"/>
                <w:lang w:val="fr-FR"/>
              </w:rPr>
            </w:pPr>
            <w:r w:rsidRPr="00736483">
              <w:rPr>
                <w:rFonts w:asciiTheme="minorHAnsi" w:hAnsiTheme="minorHAnsi" w:cstheme="minorHAnsi"/>
                <w:sz w:val="22"/>
                <w:szCs w:val="22"/>
                <w:lang w:val="fr-FR"/>
              </w:rPr>
              <w:lastRenderedPageBreak/>
              <w:t xml:space="preserve">Produire un </w:t>
            </w:r>
            <w:r w:rsidR="009A3859">
              <w:rPr>
                <w:rFonts w:asciiTheme="minorHAnsi" w:hAnsiTheme="minorHAnsi" w:cstheme="minorHAnsi"/>
                <w:sz w:val="22"/>
                <w:szCs w:val="22"/>
                <w:lang w:val="fr-FR"/>
              </w:rPr>
              <w:t xml:space="preserve">rapport proposant les réformes nécessaires pour assurer l’équilibre de la branche ‘allocations familiales’ </w:t>
            </w:r>
            <w:r w:rsidR="004821A3">
              <w:rPr>
                <w:rFonts w:asciiTheme="minorHAnsi" w:hAnsiTheme="minorHAnsi" w:cstheme="minorHAnsi"/>
                <w:sz w:val="22"/>
                <w:szCs w:val="22"/>
                <w:lang w:val="fr-FR"/>
              </w:rPr>
              <w:t xml:space="preserve">et présentant un </w:t>
            </w:r>
            <w:r w:rsidRPr="00736483">
              <w:rPr>
                <w:rFonts w:asciiTheme="minorHAnsi" w:hAnsiTheme="minorHAnsi" w:cstheme="minorHAnsi"/>
                <w:sz w:val="22"/>
                <w:szCs w:val="22"/>
                <w:lang w:val="fr-FR"/>
              </w:rPr>
              <w:t xml:space="preserve">chiffrage pluriannuel </w:t>
            </w:r>
            <w:r w:rsidR="00E16596" w:rsidRPr="00736483">
              <w:rPr>
                <w:rFonts w:asciiTheme="minorHAnsi" w:hAnsiTheme="minorHAnsi" w:cstheme="minorHAnsi"/>
                <w:sz w:val="22"/>
                <w:szCs w:val="22"/>
                <w:lang w:val="fr-FR"/>
              </w:rPr>
              <w:t xml:space="preserve">des </w:t>
            </w:r>
            <w:r w:rsidRPr="00736483">
              <w:rPr>
                <w:rFonts w:asciiTheme="minorHAnsi" w:hAnsiTheme="minorHAnsi" w:cstheme="minorHAnsi"/>
                <w:sz w:val="22"/>
                <w:szCs w:val="22"/>
                <w:lang w:val="fr-FR"/>
              </w:rPr>
              <w:t>coûts budgétaires consécutifs à l’ajustement/réévaluation des allocations familiales du secteur contributif.</w:t>
            </w:r>
          </w:p>
          <w:p w14:paraId="44C30417" w14:textId="76588B2F" w:rsidR="00736483" w:rsidRDefault="00736483" w:rsidP="00397355">
            <w:pPr>
              <w:pStyle w:val="ListParagraph"/>
              <w:numPr>
                <w:ilvl w:val="0"/>
                <w:numId w:val="14"/>
              </w:numPr>
              <w:shd w:val="clear" w:color="auto" w:fill="FFFFFF"/>
              <w:spacing w:line="240" w:lineRule="auto"/>
              <w:jc w:val="both"/>
              <w:rPr>
                <w:rFonts w:asciiTheme="minorHAnsi" w:hAnsiTheme="minorHAnsi" w:cstheme="minorHAnsi"/>
                <w:sz w:val="22"/>
                <w:szCs w:val="22"/>
                <w:lang w:val="fr-FR"/>
              </w:rPr>
            </w:pPr>
            <w:r w:rsidRPr="00736483">
              <w:rPr>
                <w:rFonts w:asciiTheme="minorHAnsi" w:hAnsiTheme="minorHAnsi" w:cstheme="minorHAnsi"/>
                <w:sz w:val="22"/>
                <w:szCs w:val="22"/>
                <w:lang w:val="fr-FR"/>
              </w:rPr>
              <w:t xml:space="preserve">Proposer </w:t>
            </w:r>
            <w:r w:rsidR="004821A3">
              <w:rPr>
                <w:rFonts w:asciiTheme="minorHAnsi" w:hAnsiTheme="minorHAnsi" w:cstheme="minorHAnsi"/>
                <w:sz w:val="22"/>
                <w:szCs w:val="22"/>
                <w:lang w:val="fr-FR"/>
              </w:rPr>
              <w:t xml:space="preserve">dans le rapport </w:t>
            </w:r>
            <w:r w:rsidRPr="00736483">
              <w:rPr>
                <w:rFonts w:asciiTheme="minorHAnsi" w:hAnsiTheme="minorHAnsi" w:cstheme="minorHAnsi"/>
                <w:sz w:val="22"/>
                <w:szCs w:val="22"/>
                <w:lang w:val="fr-FR"/>
              </w:rPr>
              <w:t xml:space="preserve">des scénarios de mise en œuvre de l’ajustement et de l’harmonisation des différentes catégories existantes d’allocations monétaires pour les enfants. </w:t>
            </w:r>
          </w:p>
          <w:p w14:paraId="0EED98B2" w14:textId="77777777" w:rsidR="00C61CEC" w:rsidRPr="00C61CEC" w:rsidRDefault="00C61CEC" w:rsidP="00C61CEC">
            <w:pPr>
              <w:pStyle w:val="ListParagraph"/>
              <w:shd w:val="clear" w:color="auto" w:fill="FFFFFF"/>
              <w:spacing w:line="240" w:lineRule="auto"/>
              <w:jc w:val="both"/>
              <w:rPr>
                <w:rFonts w:asciiTheme="minorHAnsi" w:hAnsiTheme="minorHAnsi" w:cstheme="minorHAnsi"/>
                <w:sz w:val="14"/>
                <w:szCs w:val="14"/>
                <w:lang w:val="fr-FR"/>
              </w:rPr>
            </w:pPr>
          </w:p>
          <w:p w14:paraId="63BEA608" w14:textId="64B41162" w:rsidR="00736483" w:rsidRPr="00397355" w:rsidRDefault="00736483" w:rsidP="00397355">
            <w:pPr>
              <w:pStyle w:val="ListParagraph"/>
              <w:numPr>
                <w:ilvl w:val="0"/>
                <w:numId w:val="13"/>
              </w:numPr>
              <w:shd w:val="clear" w:color="auto" w:fill="FFFFFF"/>
              <w:spacing w:line="240" w:lineRule="auto"/>
              <w:jc w:val="both"/>
              <w:rPr>
                <w:rFonts w:ascii="Calibri" w:hAnsi="Calibri" w:cs="Calibri"/>
                <w:b/>
                <w:bCs/>
                <w:color w:val="4472C4" w:themeColor="accent5"/>
                <w:sz w:val="24"/>
                <w:szCs w:val="24"/>
                <w:lang w:val="fr-FR"/>
              </w:rPr>
            </w:pPr>
            <w:r w:rsidRPr="00397355">
              <w:rPr>
                <w:rFonts w:ascii="Calibri" w:hAnsi="Calibri" w:cs="Calibri"/>
                <w:b/>
                <w:bCs/>
                <w:color w:val="4472C4" w:themeColor="accent5"/>
                <w:sz w:val="24"/>
                <w:szCs w:val="24"/>
                <w:lang w:val="fr-FR"/>
              </w:rPr>
              <w:t>Taches et livrables :</w:t>
            </w:r>
          </w:p>
          <w:p w14:paraId="58F97F13" w14:textId="184F4777" w:rsidR="002B2FF7" w:rsidRDefault="00736483" w:rsidP="00397355">
            <w:pPr>
              <w:shd w:val="clear" w:color="auto" w:fill="FFFFFF"/>
              <w:spacing w:line="240" w:lineRule="auto"/>
              <w:jc w:val="both"/>
              <w:rPr>
                <w:rFonts w:ascii="Calibri" w:hAnsi="Calibri" w:cs="Calibri"/>
                <w:sz w:val="22"/>
                <w:szCs w:val="22"/>
                <w:lang w:val="fr-FR"/>
              </w:rPr>
            </w:pPr>
            <w:r w:rsidRPr="00736483">
              <w:rPr>
                <w:rFonts w:ascii="Calibri" w:hAnsi="Calibri" w:cs="Calibri"/>
                <w:sz w:val="22"/>
                <w:szCs w:val="22"/>
                <w:lang w:val="fr-FR"/>
              </w:rPr>
              <w:t xml:space="preserve">Sous la responsabilité du </w:t>
            </w:r>
            <w:r w:rsidR="00397355" w:rsidRPr="00397355">
              <w:rPr>
                <w:rFonts w:ascii="Calibri" w:hAnsi="Calibri" w:cs="Calibri"/>
                <w:sz w:val="22"/>
                <w:szCs w:val="22"/>
                <w:lang w:val="fr-FR"/>
              </w:rPr>
              <w:t xml:space="preserve">Social Policy Manager </w:t>
            </w:r>
            <w:r w:rsidR="00397355">
              <w:rPr>
                <w:rFonts w:ascii="Calibri" w:hAnsi="Calibri" w:cs="Calibri"/>
                <w:sz w:val="22"/>
                <w:szCs w:val="22"/>
                <w:lang w:val="fr-FR"/>
              </w:rPr>
              <w:t>de l’UNICEF</w:t>
            </w:r>
            <w:r w:rsidRPr="00736483">
              <w:rPr>
                <w:rFonts w:ascii="Calibri" w:hAnsi="Calibri" w:cs="Calibri"/>
                <w:sz w:val="22"/>
                <w:szCs w:val="22"/>
                <w:lang w:val="fr-FR"/>
              </w:rPr>
              <w:t xml:space="preserve"> et en collaboration avec les équipes, le consultant devra de manière plus spécifique effectuer les tâches suivantes :</w:t>
            </w:r>
          </w:p>
          <w:p w14:paraId="4A0CBDBA" w14:textId="77777777" w:rsidR="00BA4CC3" w:rsidRPr="00BA4CC3" w:rsidRDefault="00BA4CC3" w:rsidP="00397355">
            <w:pPr>
              <w:shd w:val="clear" w:color="auto" w:fill="FFFFFF"/>
              <w:spacing w:line="240" w:lineRule="auto"/>
              <w:jc w:val="both"/>
              <w:rPr>
                <w:rFonts w:ascii="Calibri" w:hAnsi="Calibri" w:cs="Calibri"/>
                <w:sz w:val="12"/>
                <w:szCs w:val="12"/>
                <w:lang w:val="fr-FR"/>
              </w:rPr>
            </w:pPr>
          </w:p>
          <w:tbl>
            <w:tblPr>
              <w:tblStyle w:val="TableGrid"/>
              <w:tblW w:w="9707" w:type="dxa"/>
              <w:tblLayout w:type="fixed"/>
              <w:tblLook w:val="04A0" w:firstRow="1" w:lastRow="0" w:firstColumn="1" w:lastColumn="0" w:noHBand="0" w:noVBand="1"/>
            </w:tblPr>
            <w:tblGrid>
              <w:gridCol w:w="4401"/>
              <w:gridCol w:w="2977"/>
              <w:gridCol w:w="2329"/>
            </w:tblGrid>
            <w:tr w:rsidR="00BA4CC3" w14:paraId="2B0166D0" w14:textId="77777777" w:rsidTr="00BA4CC3">
              <w:trPr>
                <w:trHeight w:val="5"/>
              </w:trPr>
              <w:tc>
                <w:tcPr>
                  <w:tcW w:w="4401" w:type="dxa"/>
                  <w:shd w:val="clear" w:color="auto" w:fill="DEEAF6" w:themeFill="accent1" w:themeFillTint="33"/>
                </w:tcPr>
                <w:p w14:paraId="463B98C2" w14:textId="77777777" w:rsidR="00BA4CC3" w:rsidRPr="002B2FF7" w:rsidRDefault="00BA4CC3" w:rsidP="00951153">
                  <w:pPr>
                    <w:framePr w:hSpace="180" w:wrap="around" w:hAnchor="margin" w:y="530"/>
                    <w:spacing w:line="240" w:lineRule="auto"/>
                    <w:jc w:val="center"/>
                    <w:rPr>
                      <w:b/>
                      <w:bCs/>
                      <w:lang w:val="fr-FR"/>
                    </w:rPr>
                  </w:pPr>
                  <w:r w:rsidRPr="002B2FF7">
                    <w:rPr>
                      <w:rFonts w:ascii="Calibri" w:eastAsia="Arial Unicode MS" w:hAnsi="Calibri" w:cs="Calibri"/>
                      <w:b/>
                      <w:bCs/>
                      <w:color w:val="auto"/>
                      <w:lang w:val="fr-FR"/>
                    </w:rPr>
                    <w:t>Livrables</w:t>
                  </w:r>
                </w:p>
              </w:tc>
              <w:tc>
                <w:tcPr>
                  <w:tcW w:w="2977" w:type="dxa"/>
                  <w:shd w:val="clear" w:color="auto" w:fill="DEEAF6" w:themeFill="accent1" w:themeFillTint="33"/>
                </w:tcPr>
                <w:p w14:paraId="77601B2C" w14:textId="291E3C49" w:rsidR="00BA4CC3" w:rsidRPr="002B2FF7" w:rsidRDefault="00A102D2" w:rsidP="00951153">
                  <w:pPr>
                    <w:framePr w:hSpace="180" w:wrap="around" w:hAnchor="margin" w:y="530"/>
                    <w:spacing w:line="240" w:lineRule="auto"/>
                    <w:jc w:val="center"/>
                    <w:rPr>
                      <w:b/>
                      <w:bCs/>
                      <w:lang w:val="fr-FR"/>
                    </w:rPr>
                  </w:pPr>
                  <w:r>
                    <w:rPr>
                      <w:rFonts w:ascii="Calibri" w:eastAsia="Arial Unicode MS" w:hAnsi="Calibri" w:cs="Calibri"/>
                      <w:b/>
                      <w:bCs/>
                      <w:color w:val="auto"/>
                      <w:lang w:val="fr-FR"/>
                    </w:rPr>
                    <w:t xml:space="preserve">Estimation </w:t>
                  </w:r>
                  <w:r w:rsidR="00BA4CC3" w:rsidRPr="002B2FF7">
                    <w:rPr>
                      <w:rFonts w:ascii="Calibri" w:eastAsia="Arial Unicode MS" w:hAnsi="Calibri" w:cs="Calibri"/>
                      <w:b/>
                      <w:bCs/>
                      <w:color w:val="auto"/>
                      <w:lang w:val="fr-FR"/>
                    </w:rPr>
                    <w:t>H/J</w:t>
                  </w:r>
                </w:p>
              </w:tc>
              <w:tc>
                <w:tcPr>
                  <w:tcW w:w="2329" w:type="dxa"/>
                  <w:shd w:val="clear" w:color="auto" w:fill="DEEAF6" w:themeFill="accent1" w:themeFillTint="33"/>
                </w:tcPr>
                <w:p w14:paraId="3CFF58E0" w14:textId="77777777" w:rsidR="00BA4CC3" w:rsidRPr="002B2FF7" w:rsidRDefault="00BA4CC3" w:rsidP="00951153">
                  <w:pPr>
                    <w:framePr w:hSpace="180" w:wrap="around" w:hAnchor="margin" w:y="530"/>
                    <w:spacing w:line="240" w:lineRule="auto"/>
                    <w:jc w:val="center"/>
                    <w:rPr>
                      <w:rFonts w:ascii="Calibri" w:eastAsia="Arial Unicode MS" w:hAnsi="Calibri" w:cs="Calibri"/>
                      <w:b/>
                      <w:bCs/>
                      <w:color w:val="auto"/>
                      <w:lang w:val="fr-FR"/>
                    </w:rPr>
                  </w:pPr>
                  <w:r w:rsidRPr="002B2FF7">
                    <w:rPr>
                      <w:rFonts w:ascii="Calibri" w:eastAsia="Arial Unicode MS" w:hAnsi="Calibri" w:cs="Calibri"/>
                      <w:b/>
                      <w:bCs/>
                      <w:color w:val="auto"/>
                      <w:lang w:val="fr-FR"/>
                    </w:rPr>
                    <w:t>Echéances</w:t>
                  </w:r>
                </w:p>
              </w:tc>
            </w:tr>
            <w:tr w:rsidR="00BA4CC3" w:rsidRPr="00951153" w14:paraId="52BC8D98" w14:textId="77777777" w:rsidTr="00BA4CC3">
              <w:trPr>
                <w:trHeight w:val="15"/>
              </w:trPr>
              <w:tc>
                <w:tcPr>
                  <w:tcW w:w="4401" w:type="dxa"/>
                  <w:shd w:val="clear" w:color="auto" w:fill="auto"/>
                  <w:vAlign w:val="center"/>
                </w:tcPr>
                <w:p w14:paraId="3B5B2D7C" w14:textId="4C66C0C4" w:rsidR="00BA4CC3" w:rsidRPr="00EE2C8A" w:rsidRDefault="00BA4CC3" w:rsidP="00951153">
                  <w:pPr>
                    <w:framePr w:hSpace="180" w:wrap="around" w:hAnchor="margin" w:y="530"/>
                    <w:spacing w:line="240" w:lineRule="auto"/>
                    <w:jc w:val="both"/>
                    <w:rPr>
                      <w:rFonts w:ascii="Calibri" w:eastAsia="Arial Unicode MS" w:hAnsi="Calibri" w:cs="Calibri"/>
                      <w:color w:val="auto"/>
                      <w:lang w:val="fr-FR"/>
                    </w:rPr>
                  </w:pPr>
                  <w:r w:rsidRPr="00EE2C8A">
                    <w:rPr>
                      <w:rFonts w:ascii="Calibri" w:eastAsia="Arial Unicode MS" w:hAnsi="Calibri" w:cs="Calibri"/>
                      <w:color w:val="auto"/>
                      <w:lang w:val="fr-FR"/>
                    </w:rPr>
                    <w:t>1) Rapport de démarrage</w:t>
                  </w:r>
                </w:p>
              </w:tc>
              <w:tc>
                <w:tcPr>
                  <w:tcW w:w="2977" w:type="dxa"/>
                  <w:shd w:val="clear" w:color="auto" w:fill="auto"/>
                </w:tcPr>
                <w:p w14:paraId="33ECB12F" w14:textId="2BC415B7" w:rsidR="00BA4CC3" w:rsidRPr="00EE2C8A" w:rsidRDefault="00A95133" w:rsidP="00951153">
                  <w:pPr>
                    <w:framePr w:hSpace="180" w:wrap="around" w:hAnchor="margin" w:y="530"/>
                    <w:spacing w:line="240" w:lineRule="auto"/>
                    <w:jc w:val="center"/>
                    <w:rPr>
                      <w:rFonts w:asciiTheme="minorHAnsi" w:hAnsiTheme="minorHAnsi" w:cstheme="minorHAnsi"/>
                      <w:color w:val="auto"/>
                      <w:lang w:val="fr-FR"/>
                    </w:rPr>
                  </w:pPr>
                  <w:r>
                    <w:rPr>
                      <w:rFonts w:asciiTheme="minorHAnsi" w:hAnsiTheme="minorHAnsi" w:cstheme="minorHAnsi"/>
                      <w:color w:val="auto"/>
                      <w:lang w:val="fr-FR"/>
                    </w:rPr>
                    <w:t>5</w:t>
                  </w:r>
                  <w:r w:rsidR="00BA4CC3" w:rsidRPr="00EE2C8A">
                    <w:rPr>
                      <w:rFonts w:asciiTheme="minorHAnsi" w:hAnsiTheme="minorHAnsi" w:cstheme="minorHAnsi"/>
                      <w:color w:val="auto"/>
                      <w:lang w:val="fr-FR"/>
                    </w:rPr>
                    <w:t xml:space="preserve"> H/J</w:t>
                  </w:r>
                </w:p>
                <w:p w14:paraId="1A562853" w14:textId="77777777" w:rsidR="00BA4CC3" w:rsidRPr="00EE2C8A" w:rsidRDefault="00BA4CC3" w:rsidP="00951153">
                  <w:pPr>
                    <w:framePr w:hSpace="180" w:wrap="around" w:hAnchor="margin" w:y="530"/>
                    <w:spacing w:line="240" w:lineRule="auto"/>
                    <w:jc w:val="center"/>
                    <w:rPr>
                      <w:rFonts w:asciiTheme="minorHAnsi" w:eastAsia="Arial Unicode MS" w:hAnsiTheme="minorHAnsi" w:cstheme="minorHAnsi"/>
                      <w:b/>
                      <w:bCs/>
                      <w:color w:val="auto"/>
                      <w:lang w:val="fr-FR"/>
                    </w:rPr>
                  </w:pPr>
                </w:p>
              </w:tc>
              <w:tc>
                <w:tcPr>
                  <w:tcW w:w="2329" w:type="dxa"/>
                </w:tcPr>
                <w:p w14:paraId="7655C03B" w14:textId="0BD8FC96" w:rsidR="00BA4CC3" w:rsidRPr="00EE2C8A" w:rsidRDefault="00BA4CC3" w:rsidP="00951153">
                  <w:pPr>
                    <w:framePr w:hSpace="180" w:wrap="around" w:hAnchor="margin" w:y="530"/>
                    <w:spacing w:line="240" w:lineRule="auto"/>
                    <w:rPr>
                      <w:rFonts w:asciiTheme="minorHAnsi" w:hAnsiTheme="minorHAnsi" w:cstheme="minorHAnsi"/>
                      <w:color w:val="auto"/>
                      <w:lang w:val="fr-FR"/>
                    </w:rPr>
                  </w:pPr>
                  <w:r w:rsidRPr="00EE2C8A">
                    <w:rPr>
                      <w:rFonts w:asciiTheme="minorHAnsi" w:hAnsiTheme="minorHAnsi" w:cstheme="minorHAnsi"/>
                      <w:color w:val="auto"/>
                      <w:lang w:val="fr-FR"/>
                    </w:rPr>
                    <w:t>3 semaines après le début du contrat</w:t>
                  </w:r>
                </w:p>
              </w:tc>
            </w:tr>
            <w:tr w:rsidR="00BA4CC3" w:rsidRPr="00951153" w14:paraId="02AAF560" w14:textId="77777777" w:rsidTr="00BA4CC3">
              <w:trPr>
                <w:trHeight w:val="1106"/>
              </w:trPr>
              <w:tc>
                <w:tcPr>
                  <w:tcW w:w="4401" w:type="dxa"/>
                  <w:shd w:val="clear" w:color="auto" w:fill="auto"/>
                  <w:vAlign w:val="center"/>
                </w:tcPr>
                <w:p w14:paraId="62CAF48C" w14:textId="77777777" w:rsidR="00BA4CC3" w:rsidRPr="00EE2C8A" w:rsidRDefault="00BA4CC3" w:rsidP="00951153">
                  <w:pPr>
                    <w:framePr w:hSpace="180" w:wrap="around" w:hAnchor="margin" w:y="530"/>
                    <w:spacing w:line="240" w:lineRule="auto"/>
                    <w:jc w:val="both"/>
                    <w:rPr>
                      <w:rFonts w:ascii="Calibri" w:eastAsia="Arial Unicode MS" w:hAnsi="Calibri" w:cs="Calibri"/>
                      <w:color w:val="auto"/>
                      <w:lang w:val="fr-FR"/>
                    </w:rPr>
                  </w:pPr>
                  <w:r w:rsidRPr="00EE2C8A">
                    <w:rPr>
                      <w:rFonts w:ascii="Calibri" w:eastAsia="Arial Unicode MS" w:hAnsi="Calibri" w:cs="Calibri"/>
                      <w:color w:val="auto"/>
                      <w:lang w:val="fr-FR"/>
                    </w:rPr>
                    <w:t xml:space="preserve">2) Analyse complète de la situation actuelle de la branche ‘allocations familiales’ contributive (recette, prestation, couverture etc.) sur la base de la collecte des données CNSS, CNRPS, CRES et MAS. </w:t>
                  </w:r>
                </w:p>
                <w:p w14:paraId="209F6561" w14:textId="6F4D92A1" w:rsidR="00BA4CC3" w:rsidRPr="00EE2C8A" w:rsidRDefault="00BA4CC3" w:rsidP="00951153">
                  <w:pPr>
                    <w:framePr w:hSpace="180" w:wrap="around" w:hAnchor="margin" w:y="530"/>
                    <w:spacing w:line="240" w:lineRule="auto"/>
                    <w:jc w:val="both"/>
                    <w:rPr>
                      <w:rFonts w:ascii="Calibri" w:eastAsia="Arial Unicode MS" w:hAnsi="Calibri" w:cs="Calibri"/>
                      <w:color w:val="auto"/>
                      <w:sz w:val="10"/>
                      <w:szCs w:val="10"/>
                      <w:lang w:val="fr-FR"/>
                    </w:rPr>
                  </w:pPr>
                </w:p>
              </w:tc>
              <w:tc>
                <w:tcPr>
                  <w:tcW w:w="2977" w:type="dxa"/>
                  <w:shd w:val="clear" w:color="auto" w:fill="auto"/>
                </w:tcPr>
                <w:p w14:paraId="1E00F882" w14:textId="4DB1FAAC" w:rsidR="00BA4CC3" w:rsidRPr="00EE2C8A" w:rsidRDefault="00A85C07" w:rsidP="00951153">
                  <w:pPr>
                    <w:framePr w:hSpace="180" w:wrap="around" w:hAnchor="margin" w:y="530"/>
                    <w:spacing w:line="240" w:lineRule="auto"/>
                    <w:jc w:val="center"/>
                    <w:rPr>
                      <w:rFonts w:asciiTheme="minorHAnsi" w:hAnsiTheme="minorHAnsi" w:cstheme="minorHAnsi"/>
                      <w:color w:val="auto"/>
                      <w:lang w:val="fr-FR"/>
                    </w:rPr>
                  </w:pPr>
                  <w:r>
                    <w:rPr>
                      <w:rFonts w:asciiTheme="minorHAnsi" w:hAnsiTheme="minorHAnsi" w:cstheme="minorHAnsi"/>
                      <w:color w:val="auto"/>
                      <w:lang w:val="fr-FR"/>
                    </w:rPr>
                    <w:t>10</w:t>
                  </w:r>
                  <w:r w:rsidR="00BA4CC3" w:rsidRPr="00EE2C8A">
                    <w:rPr>
                      <w:rFonts w:asciiTheme="minorHAnsi" w:hAnsiTheme="minorHAnsi" w:cstheme="minorHAnsi"/>
                      <w:color w:val="auto"/>
                      <w:lang w:val="fr-FR"/>
                    </w:rPr>
                    <w:t xml:space="preserve"> H/J</w:t>
                  </w:r>
                </w:p>
                <w:p w14:paraId="264A4488" w14:textId="77777777" w:rsidR="00BA4CC3" w:rsidRPr="00EE2C8A" w:rsidRDefault="00BA4CC3" w:rsidP="00951153">
                  <w:pPr>
                    <w:framePr w:hSpace="180" w:wrap="around" w:hAnchor="margin" w:y="530"/>
                    <w:spacing w:line="240" w:lineRule="auto"/>
                    <w:jc w:val="center"/>
                    <w:rPr>
                      <w:rFonts w:asciiTheme="minorHAnsi" w:eastAsia="Arial Unicode MS" w:hAnsiTheme="minorHAnsi" w:cstheme="minorHAnsi"/>
                      <w:b/>
                      <w:bCs/>
                      <w:color w:val="auto"/>
                      <w:lang w:val="fr-FR"/>
                    </w:rPr>
                  </w:pPr>
                </w:p>
              </w:tc>
              <w:tc>
                <w:tcPr>
                  <w:tcW w:w="2329" w:type="dxa"/>
                </w:tcPr>
                <w:p w14:paraId="0A33DCD1" w14:textId="24A9C943" w:rsidR="00BA4CC3" w:rsidRPr="00EE2C8A" w:rsidRDefault="004E15BC" w:rsidP="00951153">
                  <w:pPr>
                    <w:framePr w:hSpace="180" w:wrap="around" w:hAnchor="margin" w:y="530"/>
                    <w:spacing w:line="240" w:lineRule="auto"/>
                    <w:rPr>
                      <w:rFonts w:asciiTheme="minorHAnsi" w:hAnsiTheme="minorHAnsi" w:cstheme="minorHAnsi"/>
                      <w:color w:val="auto"/>
                      <w:lang w:val="fr-FR"/>
                    </w:rPr>
                  </w:pPr>
                  <w:r>
                    <w:rPr>
                      <w:rFonts w:asciiTheme="minorHAnsi" w:hAnsiTheme="minorHAnsi" w:cstheme="minorHAnsi"/>
                      <w:color w:val="auto"/>
                      <w:lang w:val="fr-FR"/>
                    </w:rPr>
                    <w:t>2</w:t>
                  </w:r>
                  <w:r w:rsidR="00BA4CC3" w:rsidRPr="00EE2C8A">
                    <w:rPr>
                      <w:rFonts w:asciiTheme="minorHAnsi" w:hAnsiTheme="minorHAnsi" w:cstheme="minorHAnsi"/>
                      <w:color w:val="auto"/>
                      <w:lang w:val="fr-FR"/>
                    </w:rPr>
                    <w:t xml:space="preserve"> mois après le début du contrat</w:t>
                  </w:r>
                </w:p>
              </w:tc>
            </w:tr>
            <w:tr w:rsidR="00BA4CC3" w:rsidRPr="00951153" w14:paraId="444791F2" w14:textId="77777777" w:rsidTr="00BA4CC3">
              <w:trPr>
                <w:trHeight w:val="16"/>
              </w:trPr>
              <w:tc>
                <w:tcPr>
                  <w:tcW w:w="4401" w:type="dxa"/>
                  <w:shd w:val="clear" w:color="auto" w:fill="auto"/>
                  <w:vAlign w:val="center"/>
                </w:tcPr>
                <w:p w14:paraId="15B20DF5" w14:textId="14FD9546" w:rsidR="00BA4CC3" w:rsidRPr="00EE2C8A" w:rsidRDefault="00BA4CC3" w:rsidP="00951153">
                  <w:pPr>
                    <w:framePr w:hSpace="180" w:wrap="around" w:hAnchor="margin" w:y="530"/>
                    <w:spacing w:line="240" w:lineRule="auto"/>
                    <w:jc w:val="both"/>
                    <w:rPr>
                      <w:rFonts w:ascii="Calibri" w:hAnsi="Calibri" w:cs="Calibri"/>
                      <w:color w:val="auto"/>
                      <w:lang w:val="fr-FR"/>
                    </w:rPr>
                  </w:pPr>
                  <w:r w:rsidRPr="00EE2C8A">
                    <w:rPr>
                      <w:rFonts w:ascii="Calibri" w:hAnsi="Calibri" w:cs="Calibri"/>
                      <w:color w:val="auto"/>
                      <w:lang w:val="fr-FR"/>
                    </w:rPr>
                    <w:t>3) Simulations actuarielles d’un alignement à 30DT par mois pour les 30 prochaines années de la branche ‘allocations familiales’, son extension de couverture aux régimes spéciaux avec des hypothèses validées par toutes les parties prenantes</w:t>
                  </w:r>
                  <w:r w:rsidR="00953C50">
                    <w:rPr>
                      <w:rFonts w:ascii="Calibri" w:hAnsi="Calibri" w:cs="Calibri"/>
                      <w:color w:val="auto"/>
                      <w:lang w:val="fr-FR"/>
                    </w:rPr>
                    <w:t>.</w:t>
                  </w:r>
                </w:p>
              </w:tc>
              <w:tc>
                <w:tcPr>
                  <w:tcW w:w="2977" w:type="dxa"/>
                  <w:shd w:val="clear" w:color="auto" w:fill="auto"/>
                </w:tcPr>
                <w:p w14:paraId="6ACE1C6F" w14:textId="198DBACA" w:rsidR="00BA4CC3" w:rsidRPr="00EE2C8A" w:rsidRDefault="008D6444" w:rsidP="00951153">
                  <w:pPr>
                    <w:framePr w:hSpace="180" w:wrap="around" w:hAnchor="margin" w:y="530"/>
                    <w:spacing w:line="240" w:lineRule="auto"/>
                    <w:jc w:val="center"/>
                    <w:rPr>
                      <w:rFonts w:asciiTheme="minorHAnsi" w:hAnsiTheme="minorHAnsi" w:cstheme="minorHAnsi"/>
                      <w:color w:val="auto"/>
                      <w:lang w:val="fr-FR"/>
                    </w:rPr>
                  </w:pPr>
                  <w:r>
                    <w:rPr>
                      <w:rFonts w:asciiTheme="minorHAnsi" w:hAnsiTheme="minorHAnsi" w:cstheme="minorHAnsi"/>
                      <w:color w:val="auto"/>
                      <w:lang w:val="fr-FR"/>
                    </w:rPr>
                    <w:t>10</w:t>
                  </w:r>
                  <w:r w:rsidR="00BA4CC3" w:rsidRPr="00EE2C8A">
                    <w:rPr>
                      <w:rFonts w:asciiTheme="minorHAnsi" w:hAnsiTheme="minorHAnsi" w:cstheme="minorHAnsi"/>
                      <w:color w:val="auto"/>
                      <w:lang w:val="fr-FR"/>
                    </w:rPr>
                    <w:t xml:space="preserve"> H/J</w:t>
                  </w:r>
                </w:p>
                <w:p w14:paraId="0025C384" w14:textId="77777777" w:rsidR="00BA4CC3" w:rsidRPr="00EE2C8A" w:rsidRDefault="00BA4CC3" w:rsidP="00951153">
                  <w:pPr>
                    <w:framePr w:hSpace="180" w:wrap="around" w:hAnchor="margin" w:y="530"/>
                    <w:spacing w:line="240" w:lineRule="auto"/>
                    <w:jc w:val="center"/>
                    <w:rPr>
                      <w:rFonts w:asciiTheme="minorHAnsi" w:eastAsia="Arial Unicode MS" w:hAnsiTheme="minorHAnsi" w:cstheme="minorHAnsi"/>
                      <w:b/>
                      <w:bCs/>
                      <w:color w:val="auto"/>
                      <w:lang w:val="fr-FR"/>
                    </w:rPr>
                  </w:pPr>
                </w:p>
              </w:tc>
              <w:tc>
                <w:tcPr>
                  <w:tcW w:w="2329" w:type="dxa"/>
                </w:tcPr>
                <w:p w14:paraId="43CA55BA" w14:textId="2E76A403" w:rsidR="00BA4CC3" w:rsidRPr="00EE2C8A" w:rsidRDefault="00BA4CC3" w:rsidP="00951153">
                  <w:pPr>
                    <w:framePr w:hSpace="180" w:wrap="around" w:hAnchor="margin" w:y="530"/>
                    <w:spacing w:line="240" w:lineRule="auto"/>
                    <w:rPr>
                      <w:rFonts w:asciiTheme="minorHAnsi" w:hAnsiTheme="minorHAnsi" w:cstheme="minorHAnsi"/>
                      <w:color w:val="auto"/>
                      <w:lang w:val="fr-FR"/>
                    </w:rPr>
                  </w:pPr>
                  <w:r w:rsidRPr="00EE2C8A">
                    <w:rPr>
                      <w:rFonts w:asciiTheme="minorHAnsi" w:hAnsiTheme="minorHAnsi" w:cstheme="minorHAnsi"/>
                      <w:color w:val="auto"/>
                      <w:lang w:val="fr-FR"/>
                    </w:rPr>
                    <w:t>4 mois après le début du contrat</w:t>
                  </w:r>
                </w:p>
              </w:tc>
            </w:tr>
            <w:tr w:rsidR="00BA4CC3" w:rsidRPr="00951153" w14:paraId="615CC915" w14:textId="77777777" w:rsidTr="00BA4CC3">
              <w:trPr>
                <w:trHeight w:val="13"/>
              </w:trPr>
              <w:tc>
                <w:tcPr>
                  <w:tcW w:w="4401" w:type="dxa"/>
                  <w:shd w:val="clear" w:color="auto" w:fill="auto"/>
                  <w:vAlign w:val="center"/>
                </w:tcPr>
                <w:p w14:paraId="657677D6" w14:textId="3DC3FB11" w:rsidR="00BA4CC3" w:rsidRPr="00EE2C8A" w:rsidRDefault="00BA4CC3" w:rsidP="00951153">
                  <w:pPr>
                    <w:framePr w:hSpace="180" w:wrap="around" w:hAnchor="margin" w:y="530"/>
                    <w:spacing w:line="240" w:lineRule="auto"/>
                    <w:jc w:val="both"/>
                    <w:rPr>
                      <w:rFonts w:ascii="Calibri" w:hAnsi="Calibri" w:cs="Calibri"/>
                      <w:color w:val="auto"/>
                      <w:lang w:val="fr-FR"/>
                    </w:rPr>
                  </w:pPr>
                  <w:r w:rsidRPr="00EE2C8A">
                    <w:rPr>
                      <w:rFonts w:ascii="Calibri" w:hAnsi="Calibri" w:cs="Calibri"/>
                      <w:color w:val="auto"/>
                      <w:lang w:val="fr-FR"/>
                    </w:rPr>
                    <w:t>4) Rapport provisoire et sa note de synthèse intégrant les scenarios, les reformes paramétriques pour l’équilibre de la branche, son extension de couverture et</w:t>
                  </w:r>
                  <w:r w:rsidR="00970951">
                    <w:rPr>
                      <w:rFonts w:ascii="Calibri" w:hAnsi="Calibri" w:cs="Calibri"/>
                      <w:color w:val="auto"/>
                      <w:lang w:val="fr-FR"/>
                    </w:rPr>
                    <w:t xml:space="preserve"> le</w:t>
                  </w:r>
                  <w:r w:rsidRPr="00EE2C8A">
                    <w:rPr>
                      <w:rFonts w:ascii="Calibri" w:hAnsi="Calibri" w:cs="Calibri"/>
                      <w:color w:val="auto"/>
                      <w:lang w:val="fr-FR"/>
                    </w:rPr>
                    <w:t xml:space="preserve"> budget à allouer pour assurer l’équilibre.</w:t>
                  </w:r>
                </w:p>
              </w:tc>
              <w:tc>
                <w:tcPr>
                  <w:tcW w:w="2977" w:type="dxa"/>
                  <w:shd w:val="clear" w:color="auto" w:fill="auto"/>
                </w:tcPr>
                <w:p w14:paraId="0CE04BC0" w14:textId="245D7DB6" w:rsidR="00BA4CC3" w:rsidRPr="00EE2C8A" w:rsidRDefault="00A85C07" w:rsidP="00951153">
                  <w:pPr>
                    <w:framePr w:hSpace="180" w:wrap="around" w:hAnchor="margin" w:y="530"/>
                    <w:spacing w:line="240" w:lineRule="auto"/>
                    <w:jc w:val="center"/>
                    <w:rPr>
                      <w:rFonts w:asciiTheme="minorHAnsi" w:hAnsiTheme="minorHAnsi" w:cstheme="minorHAnsi"/>
                      <w:color w:val="auto"/>
                      <w:lang w:val="fr-FR"/>
                    </w:rPr>
                  </w:pPr>
                  <w:r>
                    <w:rPr>
                      <w:rFonts w:asciiTheme="minorHAnsi" w:hAnsiTheme="minorHAnsi" w:cstheme="minorHAnsi"/>
                      <w:color w:val="auto"/>
                      <w:lang w:val="fr-FR"/>
                    </w:rPr>
                    <w:t>10</w:t>
                  </w:r>
                  <w:r w:rsidR="00BA4CC3" w:rsidRPr="00EE2C8A">
                    <w:rPr>
                      <w:rFonts w:asciiTheme="minorHAnsi" w:hAnsiTheme="minorHAnsi" w:cstheme="minorHAnsi"/>
                      <w:color w:val="auto"/>
                      <w:lang w:val="fr-FR"/>
                    </w:rPr>
                    <w:t xml:space="preserve"> H/J</w:t>
                  </w:r>
                </w:p>
                <w:p w14:paraId="13C6B3A8" w14:textId="77777777" w:rsidR="00BA4CC3" w:rsidRPr="00EE2C8A" w:rsidRDefault="00BA4CC3" w:rsidP="00951153">
                  <w:pPr>
                    <w:framePr w:hSpace="180" w:wrap="around" w:hAnchor="margin" w:y="530"/>
                    <w:spacing w:line="240" w:lineRule="auto"/>
                    <w:jc w:val="center"/>
                    <w:rPr>
                      <w:rFonts w:asciiTheme="minorHAnsi" w:eastAsia="Arial Unicode MS" w:hAnsiTheme="minorHAnsi" w:cstheme="minorHAnsi"/>
                      <w:b/>
                      <w:bCs/>
                      <w:color w:val="auto"/>
                      <w:lang w:val="fr-FR"/>
                    </w:rPr>
                  </w:pPr>
                </w:p>
              </w:tc>
              <w:tc>
                <w:tcPr>
                  <w:tcW w:w="2329" w:type="dxa"/>
                </w:tcPr>
                <w:p w14:paraId="48E702A1" w14:textId="54D00FEB" w:rsidR="00BA4CC3" w:rsidRPr="00EE2C8A" w:rsidRDefault="00386E1B" w:rsidP="00951153">
                  <w:pPr>
                    <w:framePr w:hSpace="180" w:wrap="around" w:hAnchor="margin" w:y="530"/>
                    <w:spacing w:line="240" w:lineRule="auto"/>
                    <w:rPr>
                      <w:rFonts w:asciiTheme="minorHAnsi" w:hAnsiTheme="minorHAnsi" w:cstheme="minorHAnsi"/>
                      <w:color w:val="auto"/>
                      <w:lang w:val="fr-FR"/>
                    </w:rPr>
                  </w:pPr>
                  <w:r>
                    <w:rPr>
                      <w:rFonts w:asciiTheme="minorHAnsi" w:hAnsiTheme="minorHAnsi" w:cstheme="minorHAnsi"/>
                      <w:color w:val="auto"/>
                      <w:lang w:val="fr-FR"/>
                    </w:rPr>
                    <w:t>5</w:t>
                  </w:r>
                  <w:r w:rsidR="00BA4CC3" w:rsidRPr="00EE2C8A">
                    <w:rPr>
                      <w:rFonts w:asciiTheme="minorHAnsi" w:hAnsiTheme="minorHAnsi" w:cstheme="minorHAnsi"/>
                      <w:color w:val="auto"/>
                      <w:lang w:val="fr-FR"/>
                    </w:rPr>
                    <w:t xml:space="preserve"> mois après le début du contrat</w:t>
                  </w:r>
                </w:p>
              </w:tc>
            </w:tr>
            <w:tr w:rsidR="00BA4CC3" w:rsidRPr="00951153" w14:paraId="4D7CCF3C" w14:textId="77777777" w:rsidTr="00BA4CC3">
              <w:trPr>
                <w:trHeight w:val="16"/>
              </w:trPr>
              <w:tc>
                <w:tcPr>
                  <w:tcW w:w="4401" w:type="dxa"/>
                  <w:shd w:val="clear" w:color="auto" w:fill="auto"/>
                  <w:vAlign w:val="center"/>
                </w:tcPr>
                <w:p w14:paraId="399CBA8B" w14:textId="3ABBC595" w:rsidR="00BA4CC3" w:rsidRPr="00EE2C8A" w:rsidRDefault="00BA4CC3" w:rsidP="00951153">
                  <w:pPr>
                    <w:framePr w:hSpace="180" w:wrap="around" w:hAnchor="margin" w:y="530"/>
                    <w:spacing w:line="240" w:lineRule="auto"/>
                    <w:jc w:val="both"/>
                    <w:rPr>
                      <w:rFonts w:ascii="Calibri" w:hAnsi="Calibri" w:cs="Calibri"/>
                      <w:color w:val="auto"/>
                      <w:sz w:val="10"/>
                      <w:szCs w:val="10"/>
                      <w:lang w:val="fr-FR"/>
                    </w:rPr>
                  </w:pPr>
                  <w:r w:rsidRPr="00EE2C8A">
                    <w:rPr>
                      <w:rFonts w:ascii="Calibri" w:hAnsi="Calibri" w:cs="Calibri"/>
                      <w:color w:val="auto"/>
                      <w:lang w:val="fr-FR"/>
                    </w:rPr>
                    <w:t>5) Présentation du rapport final, de la note de synthèse et d’une PPT</w:t>
                  </w:r>
                  <w:r w:rsidR="00E07BCA">
                    <w:rPr>
                      <w:rFonts w:ascii="Calibri" w:hAnsi="Calibri" w:cs="Calibri"/>
                      <w:color w:val="auto"/>
                      <w:lang w:val="fr-FR"/>
                    </w:rPr>
                    <w:t>.</w:t>
                  </w:r>
                </w:p>
              </w:tc>
              <w:tc>
                <w:tcPr>
                  <w:tcW w:w="2977" w:type="dxa"/>
                  <w:shd w:val="clear" w:color="auto" w:fill="auto"/>
                </w:tcPr>
                <w:p w14:paraId="4CAD2968" w14:textId="76EC7B00" w:rsidR="00BA4CC3" w:rsidRPr="00EE2C8A" w:rsidRDefault="00A85C07" w:rsidP="00951153">
                  <w:pPr>
                    <w:framePr w:hSpace="180" w:wrap="around" w:hAnchor="margin" w:y="530"/>
                    <w:spacing w:line="240" w:lineRule="auto"/>
                    <w:jc w:val="center"/>
                    <w:rPr>
                      <w:rFonts w:asciiTheme="minorHAnsi" w:hAnsiTheme="minorHAnsi" w:cstheme="minorHAnsi"/>
                      <w:color w:val="auto"/>
                      <w:lang w:val="fr-FR"/>
                    </w:rPr>
                  </w:pPr>
                  <w:r>
                    <w:rPr>
                      <w:rFonts w:asciiTheme="minorHAnsi" w:hAnsiTheme="minorHAnsi" w:cstheme="minorHAnsi"/>
                      <w:color w:val="auto"/>
                      <w:lang w:val="fr-FR"/>
                    </w:rPr>
                    <w:t>5</w:t>
                  </w:r>
                  <w:r w:rsidR="00BA4CC3" w:rsidRPr="00EE2C8A">
                    <w:rPr>
                      <w:rFonts w:asciiTheme="minorHAnsi" w:hAnsiTheme="minorHAnsi" w:cstheme="minorHAnsi"/>
                      <w:color w:val="auto"/>
                      <w:lang w:val="fr-FR"/>
                    </w:rPr>
                    <w:t xml:space="preserve"> H/J</w:t>
                  </w:r>
                </w:p>
                <w:p w14:paraId="2A1A5C7D" w14:textId="77777777" w:rsidR="00BA4CC3" w:rsidRPr="00EE2C8A" w:rsidRDefault="00BA4CC3" w:rsidP="00951153">
                  <w:pPr>
                    <w:framePr w:hSpace="180" w:wrap="around" w:hAnchor="margin" w:y="530"/>
                    <w:spacing w:line="240" w:lineRule="auto"/>
                    <w:jc w:val="center"/>
                    <w:rPr>
                      <w:rFonts w:asciiTheme="minorHAnsi" w:eastAsia="Arial Unicode MS" w:hAnsiTheme="minorHAnsi" w:cstheme="minorHAnsi"/>
                      <w:b/>
                      <w:bCs/>
                      <w:color w:val="auto"/>
                      <w:lang w:val="fr-FR"/>
                    </w:rPr>
                  </w:pPr>
                </w:p>
              </w:tc>
              <w:tc>
                <w:tcPr>
                  <w:tcW w:w="2329" w:type="dxa"/>
                </w:tcPr>
                <w:p w14:paraId="505AFBDB" w14:textId="03EFA13B" w:rsidR="00BA4CC3" w:rsidRPr="00EE2C8A" w:rsidRDefault="00386E1B" w:rsidP="00951153">
                  <w:pPr>
                    <w:framePr w:hSpace="180" w:wrap="around" w:hAnchor="margin" w:y="530"/>
                    <w:spacing w:line="240" w:lineRule="auto"/>
                    <w:rPr>
                      <w:rFonts w:asciiTheme="minorHAnsi" w:hAnsiTheme="minorHAnsi" w:cstheme="minorHAnsi"/>
                      <w:color w:val="auto"/>
                      <w:lang w:val="fr-FR"/>
                    </w:rPr>
                  </w:pPr>
                  <w:r>
                    <w:rPr>
                      <w:rFonts w:asciiTheme="minorHAnsi" w:hAnsiTheme="minorHAnsi" w:cstheme="minorHAnsi"/>
                      <w:color w:val="auto"/>
                      <w:lang w:val="fr-FR"/>
                    </w:rPr>
                    <w:t>6</w:t>
                  </w:r>
                  <w:r w:rsidR="00BA4CC3" w:rsidRPr="00EE2C8A">
                    <w:rPr>
                      <w:rFonts w:asciiTheme="minorHAnsi" w:hAnsiTheme="minorHAnsi" w:cstheme="minorHAnsi"/>
                      <w:color w:val="auto"/>
                      <w:lang w:val="fr-FR"/>
                    </w:rPr>
                    <w:t xml:space="preserve"> mois après le début du contrat</w:t>
                  </w:r>
                </w:p>
              </w:tc>
            </w:tr>
            <w:tr w:rsidR="00BA4CC3" w:rsidRPr="00397355" w14:paraId="4A616531" w14:textId="77777777" w:rsidTr="00BA4CC3">
              <w:trPr>
                <w:trHeight w:val="16"/>
              </w:trPr>
              <w:tc>
                <w:tcPr>
                  <w:tcW w:w="4401" w:type="dxa"/>
                  <w:shd w:val="clear" w:color="auto" w:fill="auto"/>
                </w:tcPr>
                <w:p w14:paraId="1B37B341" w14:textId="77777777" w:rsidR="00BA4CC3" w:rsidRPr="00EE2C8A" w:rsidRDefault="00BA4CC3" w:rsidP="00951153">
                  <w:pPr>
                    <w:framePr w:hSpace="180" w:wrap="around" w:hAnchor="margin" w:y="530"/>
                    <w:spacing w:line="240" w:lineRule="auto"/>
                    <w:jc w:val="center"/>
                    <w:rPr>
                      <w:rFonts w:ascii="Calibri" w:hAnsi="Calibri" w:cs="Calibri"/>
                      <w:color w:val="auto"/>
                      <w:lang w:val="fr-FR"/>
                    </w:rPr>
                  </w:pPr>
                  <w:r w:rsidRPr="00EE2C8A">
                    <w:rPr>
                      <w:rFonts w:ascii="Calibri" w:eastAsia="Arial Unicode MS" w:hAnsi="Calibri" w:cs="Calibri"/>
                      <w:b/>
                      <w:bCs/>
                      <w:color w:val="auto"/>
                      <w:lang w:val="fr-FR"/>
                    </w:rPr>
                    <w:t>Total H/J</w:t>
                  </w:r>
                </w:p>
              </w:tc>
              <w:tc>
                <w:tcPr>
                  <w:tcW w:w="2977" w:type="dxa"/>
                  <w:shd w:val="clear" w:color="auto" w:fill="auto"/>
                </w:tcPr>
                <w:p w14:paraId="53444BFD" w14:textId="45CC3E2D" w:rsidR="00BA4CC3" w:rsidRPr="00EE2C8A" w:rsidRDefault="008D6444" w:rsidP="00951153">
                  <w:pPr>
                    <w:framePr w:hSpace="180" w:wrap="around" w:hAnchor="margin" w:y="530"/>
                    <w:spacing w:line="240" w:lineRule="auto"/>
                    <w:jc w:val="center"/>
                    <w:rPr>
                      <w:rFonts w:asciiTheme="minorHAnsi" w:eastAsia="Arial Unicode MS" w:hAnsiTheme="minorHAnsi" w:cstheme="minorHAnsi"/>
                      <w:b/>
                      <w:bCs/>
                      <w:color w:val="auto"/>
                      <w:lang w:val="fr-FR"/>
                    </w:rPr>
                  </w:pPr>
                  <w:r>
                    <w:rPr>
                      <w:rFonts w:ascii="Calibri" w:eastAsia="Arial Unicode MS" w:hAnsi="Calibri" w:cs="Calibri"/>
                      <w:b/>
                      <w:bCs/>
                      <w:color w:val="auto"/>
                      <w:lang w:val="fr-FR"/>
                    </w:rPr>
                    <w:t>40</w:t>
                  </w:r>
                  <w:r w:rsidR="00BA4CC3" w:rsidRPr="00EE2C8A">
                    <w:rPr>
                      <w:rFonts w:ascii="Calibri" w:eastAsia="Arial Unicode MS" w:hAnsi="Calibri" w:cs="Calibri"/>
                      <w:b/>
                      <w:bCs/>
                      <w:color w:val="auto"/>
                      <w:lang w:val="fr-FR"/>
                    </w:rPr>
                    <w:t xml:space="preserve"> H/J</w:t>
                  </w:r>
                </w:p>
              </w:tc>
              <w:tc>
                <w:tcPr>
                  <w:tcW w:w="2329" w:type="dxa"/>
                </w:tcPr>
                <w:p w14:paraId="7E241C5F" w14:textId="42A6FCA8" w:rsidR="00BA4CC3" w:rsidRPr="00EE2C8A" w:rsidRDefault="00386E1B" w:rsidP="00951153">
                  <w:pPr>
                    <w:framePr w:hSpace="180" w:wrap="around" w:hAnchor="margin" w:y="530"/>
                    <w:spacing w:line="240" w:lineRule="auto"/>
                    <w:jc w:val="center"/>
                    <w:rPr>
                      <w:rFonts w:asciiTheme="minorHAnsi" w:hAnsiTheme="minorHAnsi" w:cstheme="minorHAnsi"/>
                      <w:color w:val="auto"/>
                      <w:lang w:val="fr-FR"/>
                    </w:rPr>
                  </w:pPr>
                  <w:r>
                    <w:rPr>
                      <w:rFonts w:ascii="Calibri" w:eastAsia="Arial Unicode MS" w:hAnsi="Calibri" w:cs="Calibri"/>
                      <w:b/>
                      <w:bCs/>
                      <w:color w:val="auto"/>
                      <w:lang w:val="fr-FR"/>
                    </w:rPr>
                    <w:t>6</w:t>
                  </w:r>
                  <w:r w:rsidR="00BA4CC3" w:rsidRPr="00EE2C8A">
                    <w:rPr>
                      <w:rFonts w:ascii="Calibri" w:eastAsia="Arial Unicode MS" w:hAnsi="Calibri" w:cs="Calibri"/>
                      <w:b/>
                      <w:bCs/>
                      <w:color w:val="auto"/>
                      <w:lang w:val="fr-FR"/>
                    </w:rPr>
                    <w:t xml:space="preserve"> mois</w:t>
                  </w:r>
                </w:p>
              </w:tc>
            </w:tr>
          </w:tbl>
          <w:p w14:paraId="67292861" w14:textId="7107B1CA" w:rsidR="00736483" w:rsidRDefault="00736483" w:rsidP="00397355">
            <w:pPr>
              <w:spacing w:line="240" w:lineRule="auto"/>
              <w:jc w:val="both"/>
              <w:rPr>
                <w:rFonts w:asciiTheme="minorHAnsi" w:eastAsia="Times New Roman" w:hAnsiTheme="minorHAnsi" w:cstheme="minorHAnsi"/>
                <w:b/>
                <w:bCs/>
                <w:color w:val="4472C4" w:themeColor="accent5"/>
                <w:sz w:val="22"/>
                <w:szCs w:val="22"/>
                <w:lang w:val="fr-FR"/>
              </w:rPr>
            </w:pPr>
          </w:p>
          <w:p w14:paraId="7C98120F" w14:textId="77777777" w:rsidR="00BA4CC3" w:rsidRPr="00C61CEC" w:rsidRDefault="00BA4CC3" w:rsidP="00397355">
            <w:pPr>
              <w:spacing w:line="240" w:lineRule="auto"/>
              <w:jc w:val="both"/>
              <w:rPr>
                <w:rFonts w:asciiTheme="minorHAnsi" w:eastAsia="Times New Roman" w:hAnsiTheme="minorHAnsi" w:cstheme="minorHAnsi"/>
                <w:b/>
                <w:bCs/>
                <w:color w:val="4472C4" w:themeColor="accent5"/>
                <w:sz w:val="2"/>
                <w:szCs w:val="2"/>
                <w:lang w:val="fr-FR"/>
              </w:rPr>
            </w:pPr>
          </w:p>
          <w:p w14:paraId="6897B280" w14:textId="77777777" w:rsidR="00EF186E" w:rsidRPr="00397355" w:rsidRDefault="00D02FE0" w:rsidP="00397355">
            <w:pPr>
              <w:pStyle w:val="ListParagraph"/>
              <w:numPr>
                <w:ilvl w:val="0"/>
                <w:numId w:val="13"/>
              </w:numPr>
              <w:spacing w:line="240" w:lineRule="auto"/>
              <w:jc w:val="both"/>
              <w:rPr>
                <w:rFonts w:ascii="Calibri" w:hAnsi="Calibri" w:cs="Calibri"/>
                <w:b/>
                <w:bCs/>
                <w:color w:val="4472C4" w:themeColor="accent5"/>
                <w:sz w:val="24"/>
                <w:szCs w:val="24"/>
                <w:lang w:val="fr-FR"/>
              </w:rPr>
            </w:pPr>
            <w:r w:rsidRPr="00397355">
              <w:rPr>
                <w:rFonts w:ascii="Calibri" w:hAnsi="Calibri" w:cs="Calibri"/>
                <w:b/>
                <w:bCs/>
                <w:color w:val="4472C4" w:themeColor="accent5"/>
                <w:sz w:val="24"/>
                <w:szCs w:val="24"/>
                <w:lang w:val="fr-FR"/>
              </w:rPr>
              <w:t>Qualification et profil du candidat :</w:t>
            </w:r>
          </w:p>
          <w:p w14:paraId="49C9C373" w14:textId="77777777" w:rsidR="002B2FF7" w:rsidRDefault="002B2FF7" w:rsidP="001A7147">
            <w:pPr>
              <w:spacing w:line="240" w:lineRule="auto"/>
              <w:jc w:val="both"/>
              <w:rPr>
                <w:sz w:val="27"/>
                <w:szCs w:val="27"/>
                <w:lang w:val="fr-FR"/>
              </w:rPr>
            </w:pPr>
            <w:r w:rsidRPr="002B2FF7">
              <w:rPr>
                <w:rFonts w:asciiTheme="minorHAnsi" w:hAnsiTheme="minorHAnsi" w:cstheme="minorHAnsi"/>
                <w:sz w:val="22"/>
                <w:szCs w:val="22"/>
                <w:lang w:val="fr-FR"/>
              </w:rPr>
              <w:t>La personne sélectionnée veillera à ce que les ensembles de données soient examinés dans les délais et à ce que tous les livrables soient atteints</w:t>
            </w:r>
            <w:r w:rsidRPr="002B2FF7">
              <w:rPr>
                <w:sz w:val="27"/>
                <w:szCs w:val="27"/>
                <w:lang w:val="fr-FR"/>
              </w:rPr>
              <w:t>.</w:t>
            </w:r>
          </w:p>
          <w:p w14:paraId="04110862" w14:textId="40103B8F" w:rsidR="00D02FE0" w:rsidRPr="00D02FE0" w:rsidRDefault="00D02FE0" w:rsidP="001A7147">
            <w:pPr>
              <w:spacing w:line="240" w:lineRule="auto"/>
              <w:jc w:val="both"/>
              <w:rPr>
                <w:rFonts w:asciiTheme="minorHAnsi" w:hAnsiTheme="minorHAnsi" w:cstheme="minorHAnsi"/>
                <w:sz w:val="22"/>
                <w:szCs w:val="22"/>
                <w:lang w:val="fr-FR"/>
              </w:rPr>
            </w:pPr>
            <w:r w:rsidRPr="00D02FE0">
              <w:rPr>
                <w:rFonts w:asciiTheme="minorHAnsi" w:hAnsiTheme="minorHAnsi" w:cstheme="minorHAnsi"/>
                <w:sz w:val="22"/>
                <w:szCs w:val="22"/>
                <w:lang w:val="fr-FR"/>
              </w:rPr>
              <w:t>Le consultant doit répondre aux besoins ci-dessus détaillés de cette expertise :</w:t>
            </w:r>
          </w:p>
          <w:p w14:paraId="651EA206" w14:textId="1B4F7EA5" w:rsidR="00563E29" w:rsidRPr="00563E29" w:rsidRDefault="00D02FE0" w:rsidP="001A7147">
            <w:pPr>
              <w:pStyle w:val="ListParagraph"/>
              <w:numPr>
                <w:ilvl w:val="0"/>
                <w:numId w:val="15"/>
              </w:numPr>
              <w:spacing w:line="240" w:lineRule="auto"/>
              <w:jc w:val="both"/>
              <w:rPr>
                <w:rFonts w:asciiTheme="minorHAnsi" w:hAnsiTheme="minorHAnsi" w:cstheme="minorHAnsi"/>
                <w:sz w:val="22"/>
                <w:szCs w:val="22"/>
                <w:lang w:val="fr-FR"/>
              </w:rPr>
            </w:pPr>
            <w:r w:rsidRPr="00D02FE0">
              <w:rPr>
                <w:rFonts w:asciiTheme="minorHAnsi" w:hAnsiTheme="minorHAnsi" w:cstheme="minorHAnsi"/>
                <w:sz w:val="22"/>
                <w:szCs w:val="22"/>
                <w:lang w:val="fr-FR"/>
              </w:rPr>
              <w:t xml:space="preserve">Au moins un master dans un domaine pertinent, tel que </w:t>
            </w:r>
            <w:r w:rsidR="001C443A">
              <w:rPr>
                <w:rFonts w:asciiTheme="minorHAnsi" w:hAnsiTheme="minorHAnsi" w:cstheme="minorHAnsi"/>
                <w:sz w:val="22"/>
                <w:szCs w:val="22"/>
                <w:lang w:val="fr-FR"/>
              </w:rPr>
              <w:t xml:space="preserve">l’actuariat, </w:t>
            </w:r>
            <w:r w:rsidRPr="00D02FE0">
              <w:rPr>
                <w:rFonts w:asciiTheme="minorHAnsi" w:hAnsiTheme="minorHAnsi" w:cstheme="minorHAnsi"/>
                <w:sz w:val="22"/>
                <w:szCs w:val="22"/>
                <w:lang w:val="fr-FR"/>
              </w:rPr>
              <w:t xml:space="preserve">l’économétrie, </w:t>
            </w:r>
            <w:r w:rsidR="001C443A">
              <w:rPr>
                <w:rFonts w:asciiTheme="minorHAnsi" w:hAnsiTheme="minorHAnsi" w:cstheme="minorHAnsi"/>
                <w:sz w:val="22"/>
                <w:szCs w:val="22"/>
                <w:lang w:val="fr-FR"/>
              </w:rPr>
              <w:t xml:space="preserve">les statistiques ou </w:t>
            </w:r>
            <w:r w:rsidRPr="00D02FE0">
              <w:rPr>
                <w:rFonts w:asciiTheme="minorHAnsi" w:hAnsiTheme="minorHAnsi" w:cstheme="minorHAnsi"/>
                <w:sz w:val="22"/>
                <w:szCs w:val="22"/>
                <w:lang w:val="fr-FR"/>
              </w:rPr>
              <w:t>l’économie.</w:t>
            </w:r>
          </w:p>
          <w:p w14:paraId="40D9917D" w14:textId="21F4D16F" w:rsidR="00D02FE0" w:rsidRDefault="00D02FE0" w:rsidP="001A7147">
            <w:pPr>
              <w:pStyle w:val="ListParagraph"/>
              <w:numPr>
                <w:ilvl w:val="0"/>
                <w:numId w:val="15"/>
              </w:numPr>
              <w:spacing w:after="360"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Au moins 10 ans d’e</w:t>
            </w:r>
            <w:r w:rsidRPr="00D02FE0">
              <w:rPr>
                <w:rFonts w:asciiTheme="minorHAnsi" w:hAnsiTheme="minorHAnsi" w:cstheme="minorHAnsi"/>
                <w:sz w:val="22"/>
                <w:szCs w:val="22"/>
                <w:lang w:val="fr-FR"/>
              </w:rPr>
              <w:t xml:space="preserve">xpérience dans </w:t>
            </w:r>
            <w:r>
              <w:rPr>
                <w:rFonts w:asciiTheme="minorHAnsi" w:hAnsiTheme="minorHAnsi" w:cstheme="minorHAnsi"/>
                <w:sz w:val="22"/>
                <w:szCs w:val="22"/>
                <w:lang w:val="fr-FR"/>
              </w:rPr>
              <w:t>l</w:t>
            </w:r>
            <w:r w:rsidRPr="00D02FE0">
              <w:rPr>
                <w:rFonts w:asciiTheme="minorHAnsi" w:hAnsiTheme="minorHAnsi" w:cstheme="minorHAnsi"/>
                <w:sz w:val="22"/>
                <w:szCs w:val="22"/>
                <w:lang w:val="fr-FR"/>
              </w:rPr>
              <w:t xml:space="preserve">a conduite de recherches sur </w:t>
            </w:r>
            <w:r w:rsidR="00360BAC">
              <w:rPr>
                <w:rFonts w:asciiTheme="minorHAnsi" w:hAnsiTheme="minorHAnsi" w:cstheme="minorHAnsi"/>
                <w:sz w:val="22"/>
                <w:szCs w:val="22"/>
                <w:lang w:val="fr-FR"/>
              </w:rPr>
              <w:t>la protection sociale contributive et les simulations actuarielles</w:t>
            </w:r>
            <w:r w:rsidRPr="00D02FE0">
              <w:rPr>
                <w:rFonts w:asciiTheme="minorHAnsi" w:hAnsiTheme="minorHAnsi" w:cstheme="minorHAnsi"/>
                <w:sz w:val="22"/>
                <w:szCs w:val="22"/>
                <w:lang w:val="fr-FR"/>
              </w:rPr>
              <w:t>.</w:t>
            </w:r>
          </w:p>
          <w:p w14:paraId="610A4048" w14:textId="282B9753" w:rsidR="00563E29" w:rsidRPr="00D02FE0" w:rsidRDefault="00563E29" w:rsidP="001A7147">
            <w:pPr>
              <w:pStyle w:val="ListParagraph"/>
              <w:numPr>
                <w:ilvl w:val="0"/>
                <w:numId w:val="15"/>
              </w:numPr>
              <w:spacing w:after="360"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U</w:t>
            </w:r>
            <w:r w:rsidRPr="00563E29">
              <w:rPr>
                <w:rFonts w:asciiTheme="minorHAnsi" w:hAnsiTheme="minorHAnsi" w:cstheme="minorHAnsi"/>
                <w:sz w:val="22"/>
                <w:szCs w:val="22"/>
                <w:lang w:val="fr-FR"/>
              </w:rPr>
              <w:t xml:space="preserve">ne bonne connaissance des systèmes de </w:t>
            </w:r>
            <w:r w:rsidR="00360BAC">
              <w:rPr>
                <w:rFonts w:asciiTheme="minorHAnsi" w:hAnsiTheme="minorHAnsi" w:cstheme="minorHAnsi"/>
                <w:sz w:val="22"/>
                <w:szCs w:val="22"/>
                <w:lang w:val="fr-FR"/>
              </w:rPr>
              <w:t>sécurité sociale</w:t>
            </w:r>
            <w:r w:rsidR="00386E1B">
              <w:rPr>
                <w:rFonts w:asciiTheme="minorHAnsi" w:hAnsiTheme="minorHAnsi" w:cstheme="minorHAnsi"/>
                <w:sz w:val="22"/>
                <w:szCs w:val="22"/>
                <w:lang w:val="fr-FR"/>
              </w:rPr>
              <w:t xml:space="preserve"> et de protection sociale en Tunisie</w:t>
            </w:r>
            <w:r>
              <w:rPr>
                <w:rFonts w:asciiTheme="minorHAnsi" w:hAnsiTheme="minorHAnsi" w:cstheme="minorHAnsi"/>
                <w:sz w:val="22"/>
                <w:szCs w:val="22"/>
                <w:lang w:val="fr-FR"/>
              </w:rPr>
              <w:t xml:space="preserve">. </w:t>
            </w:r>
          </w:p>
          <w:p w14:paraId="75AF4CE3" w14:textId="2936FB43" w:rsidR="00D02FE0" w:rsidRPr="00D02FE0" w:rsidRDefault="00D02FE0" w:rsidP="001A7147">
            <w:pPr>
              <w:pStyle w:val="ListParagraph"/>
              <w:numPr>
                <w:ilvl w:val="0"/>
                <w:numId w:val="15"/>
              </w:numPr>
              <w:spacing w:after="360" w:line="240" w:lineRule="auto"/>
              <w:jc w:val="both"/>
              <w:rPr>
                <w:rFonts w:asciiTheme="minorHAnsi" w:hAnsiTheme="minorHAnsi" w:cstheme="minorHAnsi"/>
                <w:sz w:val="22"/>
                <w:szCs w:val="22"/>
                <w:lang w:val="fr-FR"/>
              </w:rPr>
            </w:pPr>
            <w:r w:rsidRPr="00D02FE0">
              <w:rPr>
                <w:rFonts w:asciiTheme="minorHAnsi" w:hAnsiTheme="minorHAnsi" w:cstheme="minorHAnsi"/>
                <w:sz w:val="22"/>
                <w:szCs w:val="22"/>
                <w:lang w:val="fr-FR"/>
              </w:rPr>
              <w:t xml:space="preserve">Connaissance de méthodes de recherche quantitative, l’analyse des données, l’élaboration de modèle économétrique et les analyses </w:t>
            </w:r>
            <w:r w:rsidR="0084315E">
              <w:rPr>
                <w:rFonts w:asciiTheme="minorHAnsi" w:hAnsiTheme="minorHAnsi" w:cstheme="minorHAnsi"/>
                <w:sz w:val="22"/>
                <w:szCs w:val="22"/>
                <w:lang w:val="fr-FR"/>
              </w:rPr>
              <w:t>actuarielles</w:t>
            </w:r>
            <w:r w:rsidRPr="00D02FE0">
              <w:rPr>
                <w:rFonts w:asciiTheme="minorHAnsi" w:hAnsiTheme="minorHAnsi" w:cstheme="minorHAnsi"/>
                <w:sz w:val="22"/>
                <w:szCs w:val="22"/>
                <w:lang w:val="fr-FR"/>
              </w:rPr>
              <w:t xml:space="preserve">. </w:t>
            </w:r>
          </w:p>
          <w:p w14:paraId="79278D98" w14:textId="77777777" w:rsidR="00D02FE0" w:rsidRPr="00D02FE0" w:rsidRDefault="00D02FE0" w:rsidP="001A7147">
            <w:pPr>
              <w:pStyle w:val="ListParagraph"/>
              <w:numPr>
                <w:ilvl w:val="0"/>
                <w:numId w:val="15"/>
              </w:numPr>
              <w:spacing w:after="360" w:line="240" w:lineRule="auto"/>
              <w:jc w:val="both"/>
              <w:rPr>
                <w:rFonts w:asciiTheme="minorHAnsi" w:hAnsiTheme="minorHAnsi" w:cstheme="minorHAnsi"/>
                <w:sz w:val="22"/>
                <w:szCs w:val="22"/>
                <w:lang w:val="fr-FR"/>
              </w:rPr>
            </w:pPr>
            <w:r w:rsidRPr="00D02FE0">
              <w:rPr>
                <w:rFonts w:asciiTheme="minorHAnsi" w:hAnsiTheme="minorHAnsi" w:cstheme="minorHAnsi"/>
                <w:sz w:val="22"/>
                <w:szCs w:val="22"/>
                <w:lang w:val="fr-FR"/>
              </w:rPr>
              <w:t>Excellentes compétences en matière d’analyse et de rédaction de rapports, ainsi que la capacité de communiquer les résultats de la recherche à divers publics.</w:t>
            </w:r>
          </w:p>
          <w:p w14:paraId="1E00B208" w14:textId="3AA5AF76" w:rsidR="00D02FE0" w:rsidRDefault="00D02FE0" w:rsidP="001A7147">
            <w:pPr>
              <w:pStyle w:val="ListParagraph"/>
              <w:numPr>
                <w:ilvl w:val="0"/>
                <w:numId w:val="15"/>
              </w:numPr>
              <w:spacing w:after="360" w:line="240" w:lineRule="auto"/>
              <w:jc w:val="both"/>
              <w:rPr>
                <w:rFonts w:asciiTheme="minorHAnsi" w:hAnsiTheme="minorHAnsi" w:cstheme="minorHAnsi"/>
                <w:sz w:val="22"/>
                <w:szCs w:val="22"/>
                <w:lang w:val="fr-FR"/>
              </w:rPr>
            </w:pPr>
            <w:r w:rsidRPr="00D02FE0">
              <w:rPr>
                <w:rFonts w:asciiTheme="minorHAnsi" w:hAnsiTheme="minorHAnsi" w:cstheme="minorHAnsi"/>
                <w:sz w:val="22"/>
                <w:szCs w:val="22"/>
                <w:lang w:val="fr-FR"/>
              </w:rPr>
              <w:t>Le consultant doit être en mesure de travailler en langue</w:t>
            </w:r>
            <w:r w:rsidR="003773D6" w:rsidRPr="00D02FE0">
              <w:rPr>
                <w:rFonts w:asciiTheme="minorHAnsi" w:hAnsiTheme="minorHAnsi" w:cstheme="minorHAnsi"/>
                <w:sz w:val="22"/>
                <w:szCs w:val="22"/>
                <w:lang w:val="fr-FR"/>
              </w:rPr>
              <w:t xml:space="preserve"> française </w:t>
            </w:r>
            <w:r w:rsidRPr="00D02FE0">
              <w:rPr>
                <w:rFonts w:asciiTheme="minorHAnsi" w:hAnsiTheme="minorHAnsi" w:cstheme="minorHAnsi"/>
                <w:sz w:val="22"/>
                <w:szCs w:val="22"/>
                <w:lang w:val="fr-FR"/>
              </w:rPr>
              <w:t xml:space="preserve">parlée et écrite. </w:t>
            </w:r>
          </w:p>
          <w:p w14:paraId="27F18EDF" w14:textId="77777777" w:rsidR="00397355" w:rsidRDefault="00397355" w:rsidP="00397355">
            <w:pPr>
              <w:pStyle w:val="ListParagraph"/>
              <w:spacing w:after="360" w:line="240" w:lineRule="auto"/>
              <w:jc w:val="both"/>
              <w:rPr>
                <w:rFonts w:asciiTheme="minorHAnsi" w:hAnsiTheme="minorHAnsi" w:cstheme="minorHAnsi"/>
                <w:sz w:val="22"/>
                <w:szCs w:val="22"/>
                <w:lang w:val="fr-FR"/>
              </w:rPr>
            </w:pPr>
          </w:p>
          <w:p w14:paraId="1FBC9BEE" w14:textId="77777777" w:rsidR="002B2FF7" w:rsidRPr="00397355" w:rsidRDefault="002B2FF7" w:rsidP="00397355">
            <w:pPr>
              <w:pStyle w:val="ListParagraph"/>
              <w:numPr>
                <w:ilvl w:val="0"/>
                <w:numId w:val="13"/>
              </w:numPr>
              <w:spacing w:line="240" w:lineRule="auto"/>
              <w:jc w:val="both"/>
              <w:rPr>
                <w:rFonts w:ascii="Calibri" w:hAnsi="Calibri" w:cs="Calibri"/>
                <w:b/>
                <w:bCs/>
                <w:color w:val="4472C4" w:themeColor="accent5"/>
                <w:sz w:val="24"/>
                <w:szCs w:val="24"/>
                <w:lang w:val="fr-FR"/>
              </w:rPr>
            </w:pPr>
            <w:r w:rsidRPr="00397355">
              <w:rPr>
                <w:rFonts w:ascii="Calibri" w:hAnsi="Calibri" w:cs="Calibri"/>
                <w:b/>
                <w:bCs/>
                <w:color w:val="4472C4" w:themeColor="accent5"/>
                <w:sz w:val="24"/>
                <w:szCs w:val="24"/>
                <w:lang w:val="fr-FR"/>
              </w:rPr>
              <w:t>Conditions Générales</w:t>
            </w:r>
          </w:p>
          <w:p w14:paraId="7345E172" w14:textId="77777777" w:rsidR="002B2FF7" w:rsidRPr="00C25AAA" w:rsidRDefault="002B2FF7" w:rsidP="00C25AAA">
            <w:pPr>
              <w:pStyle w:val="ListParagraph"/>
              <w:numPr>
                <w:ilvl w:val="0"/>
                <w:numId w:val="16"/>
              </w:numPr>
              <w:spacing w:line="240" w:lineRule="auto"/>
              <w:jc w:val="both"/>
              <w:rPr>
                <w:rFonts w:asciiTheme="minorHAnsi" w:hAnsiTheme="minorHAnsi" w:cstheme="minorBidi"/>
                <w:b/>
                <w:bCs/>
                <w:color w:val="4472C4" w:themeColor="accent5"/>
                <w:sz w:val="24"/>
                <w:szCs w:val="24"/>
                <w:lang w:val="fr-FR"/>
              </w:rPr>
            </w:pPr>
            <w:r w:rsidRPr="00C25AAA">
              <w:rPr>
                <w:rFonts w:asciiTheme="minorHAnsi" w:hAnsiTheme="minorHAnsi" w:cstheme="minorBidi"/>
                <w:b/>
                <w:bCs/>
                <w:color w:val="4472C4" w:themeColor="accent5"/>
                <w:sz w:val="24"/>
                <w:szCs w:val="24"/>
                <w:lang w:val="fr-FR"/>
              </w:rPr>
              <w:t>Lieu et durée</w:t>
            </w:r>
          </w:p>
          <w:p w14:paraId="57C356D4" w14:textId="7B096A36" w:rsidR="00397355" w:rsidRPr="00397355" w:rsidRDefault="002B2FF7" w:rsidP="00B74F91">
            <w:pPr>
              <w:spacing w:after="360" w:line="240" w:lineRule="auto"/>
              <w:jc w:val="both"/>
              <w:rPr>
                <w:rFonts w:asciiTheme="minorHAnsi" w:eastAsia="Times New Roman" w:hAnsiTheme="minorHAnsi" w:cstheme="minorHAnsi"/>
                <w:sz w:val="22"/>
                <w:szCs w:val="22"/>
                <w:lang w:val="fr-FR"/>
              </w:rPr>
            </w:pPr>
            <w:r w:rsidRPr="002B2FF7">
              <w:rPr>
                <w:rFonts w:asciiTheme="minorHAnsi" w:eastAsia="Times New Roman" w:hAnsiTheme="minorHAnsi" w:cstheme="minorHAnsi"/>
                <w:sz w:val="22"/>
                <w:szCs w:val="22"/>
                <w:lang w:val="fr-FR"/>
              </w:rPr>
              <w:lastRenderedPageBreak/>
              <w:t xml:space="preserve">La consultation se déroulera sur une période de </w:t>
            </w:r>
            <w:r w:rsidR="00094625">
              <w:rPr>
                <w:rFonts w:asciiTheme="minorHAnsi" w:eastAsia="Times New Roman" w:hAnsiTheme="minorHAnsi" w:cstheme="minorHAnsi"/>
                <w:sz w:val="22"/>
                <w:szCs w:val="22"/>
                <w:lang w:val="fr-FR"/>
              </w:rPr>
              <w:t>6</w:t>
            </w:r>
            <w:r w:rsidR="003773D6">
              <w:rPr>
                <w:rFonts w:asciiTheme="minorHAnsi" w:eastAsia="Times New Roman" w:hAnsiTheme="minorHAnsi" w:cstheme="minorHAnsi"/>
                <w:sz w:val="22"/>
                <w:szCs w:val="22"/>
                <w:lang w:val="fr-FR"/>
              </w:rPr>
              <w:t xml:space="preserve"> </w:t>
            </w:r>
            <w:r w:rsidRPr="002B2FF7">
              <w:rPr>
                <w:rFonts w:asciiTheme="minorHAnsi" w:eastAsia="Times New Roman" w:hAnsiTheme="minorHAnsi" w:cstheme="minorHAnsi"/>
                <w:sz w:val="22"/>
                <w:szCs w:val="22"/>
                <w:lang w:val="fr-FR"/>
              </w:rPr>
              <w:t>mois. Le consultant travaillera à distance et participera à des réunions dans les locaux de l’UNICEF</w:t>
            </w:r>
            <w:r w:rsidR="004764D6">
              <w:rPr>
                <w:rFonts w:asciiTheme="minorHAnsi" w:eastAsia="Times New Roman" w:hAnsiTheme="minorHAnsi" w:cstheme="minorHAnsi"/>
                <w:sz w:val="22"/>
                <w:szCs w:val="22"/>
                <w:lang w:val="fr-FR"/>
              </w:rPr>
              <w:t>, du MAS</w:t>
            </w:r>
            <w:r>
              <w:rPr>
                <w:rFonts w:asciiTheme="minorHAnsi" w:eastAsia="Times New Roman" w:hAnsiTheme="minorHAnsi" w:cstheme="minorHAnsi"/>
                <w:sz w:val="22"/>
                <w:szCs w:val="22"/>
                <w:lang w:val="fr-FR"/>
              </w:rPr>
              <w:t xml:space="preserve"> et du Centre de Recherche</w:t>
            </w:r>
            <w:r w:rsidR="002A3A70">
              <w:rPr>
                <w:rFonts w:asciiTheme="minorHAnsi" w:eastAsia="Times New Roman" w:hAnsiTheme="minorHAnsi" w:cstheme="minorHAnsi"/>
                <w:sz w:val="22"/>
                <w:szCs w:val="22"/>
                <w:lang w:val="fr-FR"/>
              </w:rPr>
              <w:t>s et D’Etudes</w:t>
            </w:r>
            <w:r>
              <w:rPr>
                <w:rFonts w:asciiTheme="minorHAnsi" w:eastAsia="Times New Roman" w:hAnsiTheme="minorHAnsi" w:cstheme="minorHAnsi"/>
                <w:sz w:val="22"/>
                <w:szCs w:val="22"/>
                <w:lang w:val="fr-FR"/>
              </w:rPr>
              <w:t xml:space="preserve"> Sociale (CRES)</w:t>
            </w:r>
            <w:r w:rsidRPr="002B2FF7">
              <w:rPr>
                <w:rFonts w:asciiTheme="minorHAnsi" w:eastAsia="Times New Roman" w:hAnsiTheme="minorHAnsi" w:cstheme="minorHAnsi"/>
                <w:sz w:val="22"/>
                <w:szCs w:val="22"/>
                <w:lang w:val="fr-FR"/>
              </w:rPr>
              <w:t>.</w:t>
            </w:r>
          </w:p>
          <w:p w14:paraId="6BB443A9" w14:textId="33ABC5A6" w:rsidR="00397355" w:rsidRPr="00C25AAA" w:rsidRDefault="002B2FF7" w:rsidP="00C25AAA">
            <w:pPr>
              <w:pStyle w:val="ListParagraph"/>
              <w:numPr>
                <w:ilvl w:val="0"/>
                <w:numId w:val="16"/>
              </w:numPr>
              <w:spacing w:line="240" w:lineRule="auto"/>
              <w:jc w:val="both"/>
              <w:rPr>
                <w:rFonts w:asciiTheme="minorHAnsi" w:hAnsiTheme="minorHAnsi" w:cstheme="minorBidi"/>
                <w:b/>
                <w:bCs/>
                <w:color w:val="4472C4" w:themeColor="accent5"/>
                <w:sz w:val="24"/>
                <w:szCs w:val="24"/>
                <w:lang w:val="fr-FR"/>
              </w:rPr>
            </w:pPr>
            <w:r w:rsidRPr="00C25AAA">
              <w:rPr>
                <w:rFonts w:asciiTheme="minorHAnsi" w:hAnsiTheme="minorHAnsi" w:cstheme="minorBidi"/>
                <w:b/>
                <w:bCs/>
                <w:color w:val="4472C4" w:themeColor="accent5"/>
                <w:sz w:val="24"/>
                <w:szCs w:val="24"/>
                <w:lang w:val="fr-FR"/>
              </w:rPr>
              <w:t xml:space="preserve">Modalités de Paiement </w:t>
            </w:r>
          </w:p>
          <w:p w14:paraId="2EC5339C" w14:textId="60B2AC1E" w:rsidR="00B93661" w:rsidRPr="00397355" w:rsidRDefault="00B93661" w:rsidP="00397355">
            <w:pPr>
              <w:pStyle w:val="ListParagraph"/>
              <w:spacing w:after="360" w:line="240" w:lineRule="auto"/>
              <w:ind w:left="180"/>
              <w:jc w:val="both"/>
              <w:rPr>
                <w:rFonts w:asciiTheme="minorHAnsi" w:hAnsiTheme="minorHAnsi" w:cstheme="minorHAnsi"/>
                <w:lang w:val="fr-FR"/>
              </w:rPr>
            </w:pPr>
            <w:r w:rsidRPr="00397355">
              <w:rPr>
                <w:rFonts w:asciiTheme="minorHAnsi" w:hAnsiTheme="minorHAnsi" w:cstheme="minorHAnsi"/>
                <w:b/>
                <w:bCs/>
                <w:lang w:val="fr-FR"/>
              </w:rPr>
              <w:t>1er paiement – 10%</w:t>
            </w:r>
            <w:r w:rsidRPr="00397355">
              <w:rPr>
                <w:rFonts w:asciiTheme="minorHAnsi" w:hAnsiTheme="minorHAnsi" w:cstheme="minorHAnsi"/>
                <w:lang w:val="fr-FR"/>
              </w:rPr>
              <w:t xml:space="preserve"> : sur remise et validation du rapport initial qui comprend le cadre conceptuel</w:t>
            </w:r>
            <w:r w:rsidR="00C25AAA">
              <w:rPr>
                <w:rFonts w:asciiTheme="minorHAnsi" w:hAnsiTheme="minorHAnsi" w:cstheme="minorHAnsi"/>
                <w:lang w:val="fr-FR"/>
              </w:rPr>
              <w:t>, un plan de travail</w:t>
            </w:r>
            <w:r w:rsidRPr="00397355">
              <w:rPr>
                <w:rFonts w:asciiTheme="minorHAnsi" w:hAnsiTheme="minorHAnsi" w:cstheme="minorHAnsi"/>
                <w:lang w:val="fr-FR"/>
              </w:rPr>
              <w:t xml:space="preserve"> et un plan d’analyse des données.</w:t>
            </w:r>
          </w:p>
          <w:p w14:paraId="0FC315B9" w14:textId="6C353266" w:rsidR="00B93661" w:rsidRPr="00B93661" w:rsidRDefault="00B93661" w:rsidP="00B93661">
            <w:pPr>
              <w:spacing w:after="360" w:line="240" w:lineRule="auto"/>
              <w:ind w:left="180"/>
              <w:rPr>
                <w:rFonts w:asciiTheme="minorHAnsi" w:hAnsiTheme="minorHAnsi" w:cstheme="minorHAnsi"/>
                <w:lang w:val="fr-FR"/>
              </w:rPr>
            </w:pPr>
            <w:r w:rsidRPr="00B93661">
              <w:rPr>
                <w:rFonts w:asciiTheme="minorHAnsi" w:hAnsiTheme="minorHAnsi" w:cstheme="minorHAnsi"/>
                <w:b/>
                <w:bCs/>
                <w:lang w:val="fr-FR"/>
              </w:rPr>
              <w:t xml:space="preserve">  2</w:t>
            </w:r>
            <w:r w:rsidRPr="00B93661">
              <w:rPr>
                <w:rFonts w:asciiTheme="minorHAnsi" w:hAnsiTheme="minorHAnsi" w:cstheme="minorHAnsi"/>
                <w:b/>
                <w:bCs/>
                <w:vertAlign w:val="superscript"/>
                <w:lang w:val="fr-FR"/>
              </w:rPr>
              <w:t>e</w:t>
            </w:r>
            <w:r w:rsidRPr="00B93661">
              <w:rPr>
                <w:rFonts w:asciiTheme="minorHAnsi" w:hAnsiTheme="minorHAnsi" w:cstheme="minorHAnsi"/>
                <w:b/>
                <w:bCs/>
                <w:lang w:val="fr-FR"/>
              </w:rPr>
              <w:t xml:space="preserve"> paiement – 30%</w:t>
            </w:r>
            <w:r w:rsidRPr="00B93661">
              <w:rPr>
                <w:rFonts w:asciiTheme="minorHAnsi" w:hAnsiTheme="minorHAnsi" w:cstheme="minorHAnsi"/>
                <w:lang w:val="fr-FR"/>
              </w:rPr>
              <w:t> : Après réception et validation d</w:t>
            </w:r>
            <w:r>
              <w:rPr>
                <w:rFonts w:asciiTheme="minorHAnsi" w:hAnsiTheme="minorHAnsi" w:cstheme="minorHAnsi"/>
                <w:lang w:val="fr-FR"/>
              </w:rPr>
              <w:t xml:space="preserve">u rapport sur </w:t>
            </w:r>
            <w:r>
              <w:rPr>
                <w:rFonts w:ascii="Calibri" w:eastAsia="Arial Unicode MS" w:hAnsi="Calibri" w:cs="Calibri"/>
                <w:color w:val="auto"/>
                <w:lang w:val="fr-FR"/>
              </w:rPr>
              <w:t>l’analyse complète de la situation actuelle de la branche ‘allocation familiale’ contributive (recette, prestation, couverture etc.) sur la base de la c</w:t>
            </w:r>
            <w:r w:rsidRPr="00006694">
              <w:rPr>
                <w:rFonts w:ascii="Calibri" w:eastAsia="Arial Unicode MS" w:hAnsi="Calibri" w:cs="Calibri"/>
                <w:color w:val="auto"/>
                <w:lang w:val="fr-FR"/>
              </w:rPr>
              <w:t>ollecte</w:t>
            </w:r>
            <w:r>
              <w:rPr>
                <w:rFonts w:ascii="Calibri" w:eastAsia="Arial Unicode MS" w:hAnsi="Calibri" w:cs="Calibri"/>
                <w:color w:val="auto"/>
                <w:lang w:val="fr-FR"/>
              </w:rPr>
              <w:t xml:space="preserve"> des données CNSS, CNRPS, CRES et MAS.</w:t>
            </w:r>
          </w:p>
          <w:p w14:paraId="7A5C412C" w14:textId="48239BEE" w:rsidR="00B93661" w:rsidRPr="00B93661" w:rsidRDefault="00B93661" w:rsidP="00B93661">
            <w:pPr>
              <w:spacing w:after="360" w:line="240" w:lineRule="auto"/>
              <w:ind w:left="180"/>
              <w:rPr>
                <w:rFonts w:asciiTheme="minorHAnsi" w:hAnsiTheme="minorHAnsi" w:cstheme="minorHAnsi"/>
                <w:lang w:val="fr-FR"/>
              </w:rPr>
            </w:pPr>
            <w:r w:rsidRPr="00BA4CC3">
              <w:rPr>
                <w:rFonts w:asciiTheme="minorHAnsi" w:hAnsiTheme="minorHAnsi" w:cstheme="minorHAnsi"/>
                <w:b/>
                <w:bCs/>
                <w:lang w:val="fr-FR"/>
              </w:rPr>
              <w:t>3e paiement – 30% :</w:t>
            </w:r>
            <w:r>
              <w:rPr>
                <w:rFonts w:asciiTheme="minorHAnsi" w:hAnsiTheme="minorHAnsi" w:cstheme="minorHAnsi"/>
                <w:lang w:val="fr-FR"/>
              </w:rPr>
              <w:t xml:space="preserve"> Après réception et validation </w:t>
            </w:r>
            <w:r w:rsidRPr="00397355">
              <w:rPr>
                <w:rFonts w:ascii="Calibri" w:hAnsi="Calibri" w:cs="Calibri"/>
                <w:color w:val="auto"/>
                <w:lang w:val="fr-FR"/>
              </w:rPr>
              <w:t>des simulations actuarielles d’un</w:t>
            </w:r>
            <w:r w:rsidR="00C25AAA">
              <w:rPr>
                <w:rFonts w:ascii="Calibri" w:hAnsi="Calibri" w:cs="Calibri"/>
                <w:color w:val="auto"/>
                <w:lang w:val="fr-FR"/>
              </w:rPr>
              <w:t xml:space="preserve">e revalorisation a </w:t>
            </w:r>
            <w:r w:rsidRPr="00397355">
              <w:rPr>
                <w:rFonts w:ascii="Calibri" w:hAnsi="Calibri" w:cs="Calibri"/>
                <w:color w:val="auto"/>
                <w:lang w:val="fr-FR"/>
              </w:rPr>
              <w:t>30DT par mois</w:t>
            </w:r>
            <w:r w:rsidR="00C25AAA">
              <w:rPr>
                <w:rFonts w:ascii="Calibri" w:hAnsi="Calibri" w:cs="Calibri"/>
                <w:color w:val="auto"/>
                <w:lang w:val="fr-FR"/>
              </w:rPr>
              <w:t xml:space="preserve"> et par enfant</w:t>
            </w:r>
            <w:r w:rsidRPr="00397355">
              <w:rPr>
                <w:rFonts w:ascii="Calibri" w:hAnsi="Calibri" w:cs="Calibri"/>
                <w:color w:val="auto"/>
                <w:lang w:val="fr-FR"/>
              </w:rPr>
              <w:t xml:space="preserve"> pour les 30 prochaines années de la branche ‘allocation familiale’, son extension de couverture aux régimes spéciaux avec des hypothèses validées par toutes les parties prenantes</w:t>
            </w:r>
          </w:p>
          <w:p w14:paraId="7B072536" w14:textId="57F25EC0" w:rsidR="00B93661" w:rsidRPr="00397355" w:rsidRDefault="00B93661" w:rsidP="00B93661">
            <w:pPr>
              <w:spacing w:after="360" w:line="240" w:lineRule="auto"/>
              <w:ind w:left="180"/>
              <w:rPr>
                <w:rFonts w:asciiTheme="minorHAnsi" w:hAnsiTheme="minorHAnsi" w:cstheme="minorHAnsi"/>
                <w:color w:val="auto"/>
                <w:lang w:val="fr-FR"/>
              </w:rPr>
            </w:pPr>
            <w:r w:rsidRPr="00BA4CC3">
              <w:rPr>
                <w:rFonts w:asciiTheme="minorHAnsi" w:hAnsiTheme="minorHAnsi" w:cstheme="minorHAnsi"/>
                <w:b/>
                <w:bCs/>
                <w:lang w:val="fr-FR"/>
              </w:rPr>
              <w:t>4e paiement – 15% :</w:t>
            </w:r>
            <w:r>
              <w:rPr>
                <w:rFonts w:asciiTheme="minorHAnsi" w:hAnsiTheme="minorHAnsi" w:cstheme="minorHAnsi"/>
                <w:lang w:val="fr-FR"/>
              </w:rPr>
              <w:t xml:space="preserve"> Après réception et validation</w:t>
            </w:r>
            <w:r>
              <w:rPr>
                <w:rFonts w:ascii="Calibri" w:hAnsi="Calibri" w:cs="Calibri"/>
                <w:color w:val="4472C4" w:themeColor="accent5"/>
                <w:lang w:val="fr-FR"/>
              </w:rPr>
              <w:t xml:space="preserve"> </w:t>
            </w:r>
            <w:r w:rsidRPr="00397355">
              <w:rPr>
                <w:rFonts w:ascii="Calibri" w:hAnsi="Calibri" w:cs="Calibri"/>
                <w:color w:val="auto"/>
                <w:lang w:val="fr-FR"/>
              </w:rPr>
              <w:t>du rapport provisoire et sa note de synthèse intégrant les scenarios, les reformes paramétriques pour l’équilibre de la branche, son extension de couverture et</w:t>
            </w:r>
            <w:r w:rsidR="00625782">
              <w:rPr>
                <w:rFonts w:ascii="Calibri" w:hAnsi="Calibri" w:cs="Calibri"/>
                <w:color w:val="auto"/>
                <w:lang w:val="fr-FR"/>
              </w:rPr>
              <w:t xml:space="preserve"> le</w:t>
            </w:r>
            <w:r w:rsidRPr="00397355">
              <w:rPr>
                <w:rFonts w:ascii="Calibri" w:hAnsi="Calibri" w:cs="Calibri"/>
                <w:color w:val="auto"/>
                <w:lang w:val="fr-FR"/>
              </w:rPr>
              <w:t xml:space="preserve"> budget à allouer pour assurer l’équilibre.</w:t>
            </w:r>
          </w:p>
          <w:p w14:paraId="270CCC94" w14:textId="4181DB08" w:rsidR="00B93661" w:rsidRDefault="00B93661" w:rsidP="00D87745">
            <w:pPr>
              <w:spacing w:after="360" w:line="240" w:lineRule="auto"/>
              <w:ind w:left="180"/>
              <w:rPr>
                <w:rFonts w:ascii="Calibri" w:hAnsi="Calibri" w:cs="Calibri"/>
                <w:color w:val="auto"/>
                <w:lang w:val="fr-FR"/>
              </w:rPr>
            </w:pPr>
            <w:r w:rsidRPr="00BA4CC3">
              <w:rPr>
                <w:rFonts w:asciiTheme="minorHAnsi" w:hAnsiTheme="minorHAnsi" w:cstheme="minorHAnsi"/>
                <w:b/>
                <w:bCs/>
                <w:lang w:val="fr-FR"/>
              </w:rPr>
              <w:t>5e paiement – 15% :</w:t>
            </w:r>
            <w:r w:rsidRPr="00B93661">
              <w:rPr>
                <w:rFonts w:asciiTheme="minorHAnsi" w:hAnsiTheme="minorHAnsi" w:cstheme="minorHAnsi"/>
                <w:lang w:val="fr-FR"/>
              </w:rPr>
              <w:t xml:space="preserve"> </w:t>
            </w:r>
            <w:r w:rsidRPr="00D87745">
              <w:rPr>
                <w:rFonts w:asciiTheme="minorHAnsi" w:hAnsiTheme="minorHAnsi" w:cstheme="minorHAnsi"/>
                <w:color w:val="4472C4" w:themeColor="accent5"/>
                <w:lang w:val="fr-FR"/>
              </w:rPr>
              <w:t xml:space="preserve"> </w:t>
            </w:r>
            <w:r w:rsidRPr="00D87745">
              <w:rPr>
                <w:rFonts w:asciiTheme="minorHAnsi" w:hAnsiTheme="minorHAnsi" w:cstheme="minorHAnsi"/>
                <w:lang w:val="fr-FR"/>
              </w:rPr>
              <w:t xml:space="preserve"> à la fin du contrat après réception et validation d</w:t>
            </w:r>
            <w:r w:rsidR="00D87745">
              <w:rPr>
                <w:rFonts w:asciiTheme="minorHAnsi" w:hAnsiTheme="minorHAnsi" w:cstheme="minorHAnsi"/>
                <w:lang w:val="fr-FR"/>
              </w:rPr>
              <w:t xml:space="preserve">u </w:t>
            </w:r>
            <w:r w:rsidRPr="00397355">
              <w:rPr>
                <w:rFonts w:ascii="Calibri" w:hAnsi="Calibri" w:cs="Calibri"/>
                <w:color w:val="auto"/>
                <w:lang w:val="fr-FR"/>
              </w:rPr>
              <w:t>Rapport final</w:t>
            </w:r>
            <w:r w:rsidR="00D87745" w:rsidRPr="00397355">
              <w:rPr>
                <w:rFonts w:ascii="Calibri" w:hAnsi="Calibri" w:cs="Calibri"/>
                <w:color w:val="auto"/>
                <w:lang w:val="fr-FR"/>
              </w:rPr>
              <w:t xml:space="preserve"> de la consultation</w:t>
            </w:r>
            <w:r w:rsidRPr="00397355">
              <w:rPr>
                <w:rFonts w:ascii="Calibri" w:hAnsi="Calibri" w:cs="Calibri"/>
                <w:color w:val="auto"/>
                <w:lang w:val="fr-FR"/>
              </w:rPr>
              <w:t xml:space="preserve">, </w:t>
            </w:r>
            <w:r w:rsidR="00D87745" w:rsidRPr="00397355">
              <w:rPr>
                <w:rFonts w:ascii="Calibri" w:hAnsi="Calibri" w:cs="Calibri"/>
                <w:color w:val="auto"/>
                <w:lang w:val="fr-FR"/>
              </w:rPr>
              <w:t xml:space="preserve">la </w:t>
            </w:r>
            <w:r w:rsidRPr="00397355">
              <w:rPr>
                <w:rFonts w:ascii="Calibri" w:hAnsi="Calibri" w:cs="Calibri"/>
                <w:color w:val="auto"/>
                <w:lang w:val="fr-FR"/>
              </w:rPr>
              <w:t xml:space="preserve">note de synthèse et </w:t>
            </w:r>
            <w:r w:rsidR="00D87745" w:rsidRPr="00397355">
              <w:rPr>
                <w:rFonts w:ascii="Calibri" w:hAnsi="Calibri" w:cs="Calibri"/>
                <w:color w:val="auto"/>
                <w:lang w:val="fr-FR"/>
              </w:rPr>
              <w:t xml:space="preserve">une </w:t>
            </w:r>
            <w:r w:rsidRPr="00397355">
              <w:rPr>
                <w:rFonts w:ascii="Calibri" w:hAnsi="Calibri" w:cs="Calibri"/>
                <w:color w:val="auto"/>
                <w:lang w:val="fr-FR"/>
              </w:rPr>
              <w:t>présentation</w:t>
            </w:r>
            <w:r w:rsidR="00D87745" w:rsidRPr="00397355">
              <w:rPr>
                <w:rFonts w:ascii="Calibri" w:hAnsi="Calibri" w:cs="Calibri"/>
                <w:color w:val="auto"/>
                <w:lang w:val="fr-FR"/>
              </w:rPr>
              <w:t xml:space="preserve">. </w:t>
            </w:r>
          </w:p>
          <w:p w14:paraId="55B05748" w14:textId="77777777" w:rsidR="002B2FF7" w:rsidRPr="00BA4CC3" w:rsidRDefault="002B2FF7" w:rsidP="00C25AAA">
            <w:pPr>
              <w:pStyle w:val="ListParagraph"/>
              <w:numPr>
                <w:ilvl w:val="0"/>
                <w:numId w:val="16"/>
              </w:numPr>
              <w:spacing w:line="240" w:lineRule="auto"/>
              <w:jc w:val="both"/>
              <w:rPr>
                <w:rFonts w:asciiTheme="minorHAnsi" w:hAnsiTheme="minorHAnsi" w:cstheme="minorHAnsi"/>
                <w:b/>
                <w:bCs/>
                <w:color w:val="4472C4" w:themeColor="accent5"/>
                <w:lang w:val="fr-FR"/>
              </w:rPr>
            </w:pPr>
            <w:r w:rsidRPr="00BA4CC3">
              <w:rPr>
                <w:rFonts w:asciiTheme="minorHAnsi" w:hAnsiTheme="minorHAnsi" w:cstheme="minorBidi"/>
                <w:b/>
                <w:bCs/>
                <w:color w:val="4472C4" w:themeColor="accent5"/>
                <w:sz w:val="24"/>
                <w:szCs w:val="24"/>
                <w:lang w:val="fr-FR"/>
              </w:rPr>
              <w:t>Supervision</w:t>
            </w:r>
          </w:p>
          <w:p w14:paraId="26A3468F" w14:textId="4E2F831E" w:rsidR="002B2FF7" w:rsidRPr="00DC64CC" w:rsidRDefault="002B2FF7" w:rsidP="00B93661">
            <w:pPr>
              <w:spacing w:after="240" w:line="240" w:lineRule="auto"/>
              <w:jc w:val="both"/>
              <w:rPr>
                <w:rFonts w:asciiTheme="minorHAnsi" w:hAnsiTheme="minorHAnsi" w:cstheme="minorHAnsi"/>
                <w:sz w:val="22"/>
                <w:szCs w:val="22"/>
                <w:lang w:val="fr-FR"/>
              </w:rPr>
            </w:pPr>
            <w:r w:rsidRPr="002B2FF7">
              <w:rPr>
                <w:rFonts w:asciiTheme="minorHAnsi" w:hAnsiTheme="minorHAnsi" w:cstheme="minorHAnsi"/>
                <w:sz w:val="22"/>
                <w:szCs w:val="22"/>
                <w:lang w:val="fr-FR"/>
              </w:rPr>
              <w:t xml:space="preserve">La supervision de cette consultation sera effectuée par le Social Policy Manager </w:t>
            </w:r>
            <w:r>
              <w:rPr>
                <w:rFonts w:asciiTheme="minorHAnsi" w:hAnsiTheme="minorHAnsi" w:cstheme="minorHAnsi"/>
                <w:sz w:val="22"/>
                <w:szCs w:val="22"/>
                <w:lang w:val="fr-FR"/>
              </w:rPr>
              <w:t xml:space="preserve">du Bureau de </w:t>
            </w:r>
            <w:r w:rsidRPr="00DC64CC">
              <w:rPr>
                <w:rFonts w:asciiTheme="minorHAnsi" w:hAnsiTheme="minorHAnsi" w:cstheme="minorHAnsi"/>
                <w:sz w:val="22"/>
                <w:szCs w:val="22"/>
                <w:lang w:val="fr-FR"/>
              </w:rPr>
              <w:t>l’UNICEF en Tunisie.</w:t>
            </w:r>
          </w:p>
          <w:p w14:paraId="20BA00EC" w14:textId="7B0096C8" w:rsidR="00DC64CC" w:rsidRPr="00C61CEC" w:rsidRDefault="00DC64CC" w:rsidP="00C25AAA">
            <w:pPr>
              <w:pStyle w:val="ListParagraph"/>
              <w:numPr>
                <w:ilvl w:val="0"/>
                <w:numId w:val="16"/>
              </w:numPr>
              <w:spacing w:line="240" w:lineRule="auto"/>
              <w:rPr>
                <w:rFonts w:asciiTheme="minorHAnsi" w:hAnsiTheme="minorHAnsi" w:cstheme="minorHAnsi"/>
                <w:b/>
                <w:bCs/>
                <w:color w:val="4472C4" w:themeColor="accent5"/>
                <w:sz w:val="24"/>
                <w:szCs w:val="24"/>
                <w:lang w:val="fr-FR"/>
              </w:rPr>
            </w:pPr>
            <w:r w:rsidRPr="00C61CEC">
              <w:rPr>
                <w:rFonts w:asciiTheme="minorHAnsi" w:hAnsiTheme="minorHAnsi" w:cstheme="minorBidi"/>
                <w:b/>
                <w:bCs/>
                <w:color w:val="4472C4" w:themeColor="accent5"/>
                <w:sz w:val="24"/>
                <w:szCs w:val="24"/>
                <w:lang w:val="fr-FR"/>
              </w:rPr>
              <w:t>Points administratifs :</w:t>
            </w:r>
          </w:p>
          <w:p w14:paraId="2708FD84" w14:textId="4589396A" w:rsidR="00DC64CC" w:rsidRPr="00DC64CC" w:rsidRDefault="00DC64CC" w:rsidP="00B93661">
            <w:pPr>
              <w:spacing w:line="240" w:lineRule="auto"/>
              <w:rPr>
                <w:rFonts w:asciiTheme="minorHAnsi" w:hAnsiTheme="minorHAnsi" w:cstheme="minorHAnsi"/>
                <w:color w:val="auto"/>
                <w:sz w:val="22"/>
                <w:szCs w:val="22"/>
                <w:lang w:val="fr-FR"/>
              </w:rPr>
            </w:pPr>
            <w:r w:rsidRPr="00DC64CC">
              <w:rPr>
                <w:rFonts w:asciiTheme="minorHAnsi" w:hAnsiTheme="minorHAnsi" w:cstheme="minorHAnsi"/>
                <w:color w:val="auto"/>
                <w:sz w:val="22"/>
                <w:szCs w:val="22"/>
                <w:lang w:val="fr-FR"/>
              </w:rPr>
              <w:t>Toutes les rémunérations doivent être comprises dans l'accord contractuel.</w:t>
            </w:r>
          </w:p>
          <w:p w14:paraId="2631C40D" w14:textId="77777777" w:rsidR="00DC64CC" w:rsidRDefault="00DC64CC" w:rsidP="00B93661">
            <w:pPr>
              <w:spacing w:line="240" w:lineRule="auto"/>
              <w:rPr>
                <w:rFonts w:asciiTheme="minorHAnsi" w:hAnsiTheme="minorHAnsi" w:cstheme="minorHAnsi"/>
                <w:color w:val="auto"/>
                <w:sz w:val="22"/>
                <w:szCs w:val="22"/>
                <w:lang w:val="fr-FR"/>
              </w:rPr>
            </w:pPr>
            <w:r w:rsidRPr="00DC64CC">
              <w:rPr>
                <w:rFonts w:asciiTheme="minorHAnsi" w:hAnsiTheme="minorHAnsi" w:cstheme="minorHAnsi"/>
                <w:color w:val="auto"/>
                <w:sz w:val="22"/>
                <w:szCs w:val="22"/>
                <w:lang w:val="fr-FR"/>
              </w:rPr>
              <w:t>Tous les documents imprimés ou électroniques rédigés, conçus et soumis par le consultant à l'UNICEF pendant la période de consultation restent la propriété de l'UNICEF TCO</w:t>
            </w:r>
            <w:r>
              <w:rPr>
                <w:rFonts w:asciiTheme="minorHAnsi" w:hAnsiTheme="minorHAnsi" w:cstheme="minorHAnsi"/>
                <w:color w:val="auto"/>
                <w:sz w:val="22"/>
                <w:szCs w:val="22"/>
                <w:lang w:val="fr-FR"/>
              </w:rPr>
              <w:t>.</w:t>
            </w:r>
          </w:p>
          <w:p w14:paraId="37BA47ED" w14:textId="35A70557" w:rsidR="00DC64CC" w:rsidRPr="00DC64CC" w:rsidRDefault="00DC64CC" w:rsidP="00B93661">
            <w:pPr>
              <w:spacing w:line="240" w:lineRule="auto"/>
              <w:rPr>
                <w:rFonts w:asciiTheme="minorHAnsi" w:hAnsiTheme="minorHAnsi" w:cstheme="minorHAnsi"/>
                <w:color w:val="auto"/>
                <w:sz w:val="22"/>
                <w:szCs w:val="22"/>
                <w:lang w:val="fr-FR"/>
              </w:rPr>
            </w:pPr>
            <w:r w:rsidRPr="00DC64CC">
              <w:rPr>
                <w:rFonts w:asciiTheme="minorHAnsi" w:hAnsiTheme="minorHAnsi" w:cstheme="minorHAnsi"/>
                <w:color w:val="auto"/>
                <w:sz w:val="22"/>
                <w:szCs w:val="22"/>
                <w:lang w:val="fr-FR"/>
              </w:rPr>
              <w:t>Le contractant sélectionné ne peut pas commencer à travailler ou voyager tant que le contrat individuel concerné n'a pas été dûment approuvé, signé par les deux parties et renvoyé à la section RH, avec les documents et certifications requis.</w:t>
            </w:r>
          </w:p>
          <w:p w14:paraId="54575679" w14:textId="77777777" w:rsidR="00BA4CC3" w:rsidRPr="00C25AAA" w:rsidRDefault="00BA4CC3" w:rsidP="00C25AAA">
            <w:pPr>
              <w:pStyle w:val="ListParagraph"/>
              <w:numPr>
                <w:ilvl w:val="0"/>
                <w:numId w:val="16"/>
              </w:numPr>
              <w:spacing w:line="240" w:lineRule="auto"/>
              <w:rPr>
                <w:rFonts w:asciiTheme="minorHAnsi" w:hAnsiTheme="minorHAnsi" w:cstheme="minorBidi"/>
                <w:b/>
                <w:bCs/>
                <w:color w:val="4472C4" w:themeColor="accent5"/>
                <w:sz w:val="24"/>
                <w:szCs w:val="24"/>
                <w:lang w:val="fr-FR"/>
              </w:rPr>
            </w:pPr>
            <w:r w:rsidRPr="00C25AAA">
              <w:rPr>
                <w:rFonts w:asciiTheme="minorHAnsi" w:hAnsiTheme="minorHAnsi" w:cstheme="minorBidi"/>
                <w:b/>
                <w:bCs/>
                <w:color w:val="4472C4" w:themeColor="accent5"/>
                <w:sz w:val="24"/>
                <w:szCs w:val="24"/>
                <w:lang w:val="fr-FR"/>
              </w:rPr>
              <w:t xml:space="preserve">Durée du Contrat </w:t>
            </w:r>
          </w:p>
          <w:p w14:paraId="7D3DB9B1" w14:textId="6B373ADB" w:rsidR="00DC64CC" w:rsidRPr="00BA4CC3" w:rsidRDefault="00DC64CC" w:rsidP="00BA4CC3">
            <w:pPr>
              <w:pStyle w:val="ListParagraph"/>
              <w:spacing w:after="240" w:line="240" w:lineRule="auto"/>
              <w:ind w:left="1080"/>
              <w:jc w:val="both"/>
              <w:rPr>
                <w:rFonts w:asciiTheme="minorHAnsi" w:hAnsiTheme="minorHAnsi" w:cstheme="minorHAnsi"/>
                <w:color w:val="auto"/>
                <w:sz w:val="22"/>
                <w:szCs w:val="22"/>
                <w:lang w:val="fr-FR"/>
              </w:rPr>
            </w:pPr>
            <w:r w:rsidRPr="00BA4CC3">
              <w:rPr>
                <w:rFonts w:asciiTheme="minorHAnsi" w:hAnsiTheme="minorHAnsi" w:cstheme="minorHAnsi"/>
                <w:color w:val="auto"/>
                <w:sz w:val="22"/>
                <w:szCs w:val="22"/>
                <w:lang w:val="fr-FR"/>
              </w:rPr>
              <w:t xml:space="preserve">La consultation mentionnée ci-dessous est attendue à </w:t>
            </w:r>
            <w:r w:rsidR="008C759B">
              <w:rPr>
                <w:rFonts w:asciiTheme="minorHAnsi" w:hAnsiTheme="minorHAnsi" w:cstheme="minorHAnsi"/>
                <w:color w:val="auto"/>
                <w:sz w:val="22"/>
                <w:szCs w:val="22"/>
                <w:lang w:val="fr-FR"/>
              </w:rPr>
              <w:t>40</w:t>
            </w:r>
            <w:r w:rsidR="004764D6" w:rsidRPr="00BA4CC3">
              <w:rPr>
                <w:rFonts w:asciiTheme="minorHAnsi" w:hAnsiTheme="minorHAnsi" w:cstheme="minorHAnsi"/>
                <w:color w:val="auto"/>
                <w:sz w:val="22"/>
                <w:szCs w:val="22"/>
                <w:lang w:val="fr-FR"/>
              </w:rPr>
              <w:t xml:space="preserve"> </w:t>
            </w:r>
            <w:r w:rsidRPr="00BA4CC3">
              <w:rPr>
                <w:rFonts w:asciiTheme="minorHAnsi" w:hAnsiTheme="minorHAnsi" w:cstheme="minorHAnsi"/>
                <w:color w:val="auto"/>
                <w:sz w:val="22"/>
                <w:szCs w:val="22"/>
                <w:lang w:val="fr-FR"/>
              </w:rPr>
              <w:t xml:space="preserve">jours de travail, sur une période de </w:t>
            </w:r>
            <w:r w:rsidR="00860B06">
              <w:rPr>
                <w:rFonts w:asciiTheme="minorHAnsi" w:hAnsiTheme="minorHAnsi" w:cstheme="minorHAnsi"/>
                <w:color w:val="auto"/>
                <w:sz w:val="22"/>
                <w:szCs w:val="22"/>
                <w:lang w:val="fr-FR"/>
              </w:rPr>
              <w:t>6</w:t>
            </w:r>
            <w:r w:rsidR="004764D6" w:rsidRPr="00BA4CC3">
              <w:rPr>
                <w:rFonts w:asciiTheme="minorHAnsi" w:hAnsiTheme="minorHAnsi" w:cstheme="minorHAnsi"/>
                <w:color w:val="auto"/>
                <w:sz w:val="22"/>
                <w:szCs w:val="22"/>
                <w:lang w:val="fr-FR"/>
              </w:rPr>
              <w:t xml:space="preserve"> </w:t>
            </w:r>
            <w:r w:rsidRPr="00BA4CC3">
              <w:rPr>
                <w:rFonts w:asciiTheme="minorHAnsi" w:hAnsiTheme="minorHAnsi" w:cstheme="minorHAnsi"/>
                <w:color w:val="auto"/>
                <w:sz w:val="22"/>
                <w:szCs w:val="22"/>
                <w:lang w:val="fr-FR"/>
              </w:rPr>
              <w:t>mois.</w:t>
            </w:r>
          </w:p>
          <w:p w14:paraId="78E90C92" w14:textId="77777777" w:rsidR="00BA4CC3" w:rsidRPr="00C25AAA" w:rsidRDefault="00BA4CC3" w:rsidP="00C25AAA">
            <w:pPr>
              <w:pStyle w:val="ListParagraph"/>
              <w:numPr>
                <w:ilvl w:val="0"/>
                <w:numId w:val="16"/>
              </w:numPr>
              <w:spacing w:line="240" w:lineRule="auto"/>
              <w:rPr>
                <w:rFonts w:asciiTheme="minorHAnsi" w:hAnsiTheme="minorHAnsi" w:cstheme="minorBidi"/>
                <w:b/>
                <w:bCs/>
                <w:color w:val="4472C4" w:themeColor="accent5"/>
                <w:sz w:val="24"/>
                <w:szCs w:val="24"/>
                <w:lang w:val="fr-FR"/>
              </w:rPr>
            </w:pPr>
            <w:r w:rsidRPr="00C25AAA">
              <w:rPr>
                <w:rFonts w:asciiTheme="minorHAnsi" w:hAnsiTheme="minorHAnsi" w:cstheme="minorBidi"/>
                <w:b/>
                <w:bCs/>
                <w:color w:val="4472C4" w:themeColor="accent5"/>
                <w:sz w:val="24"/>
                <w:szCs w:val="24"/>
                <w:lang w:val="fr-FR"/>
              </w:rPr>
              <w:t xml:space="preserve">Documents à soumettre dans l’offre technique </w:t>
            </w:r>
          </w:p>
          <w:p w14:paraId="525DB491" w14:textId="7C8E448F" w:rsidR="00DC64CC" w:rsidRPr="00BA4CC3" w:rsidRDefault="00DC64CC" w:rsidP="00BA4CC3">
            <w:pPr>
              <w:pStyle w:val="ListParagraph"/>
              <w:spacing w:before="100" w:beforeAutospacing="1" w:after="100" w:afterAutospacing="1" w:line="240" w:lineRule="auto"/>
              <w:ind w:left="1080"/>
              <w:rPr>
                <w:rFonts w:asciiTheme="minorHAnsi" w:eastAsia="Times New Roman" w:hAnsiTheme="minorHAnsi" w:cstheme="minorHAnsi"/>
                <w:color w:val="auto"/>
                <w:lang w:val="fr-FR"/>
              </w:rPr>
            </w:pPr>
            <w:r w:rsidRPr="00BA4CC3">
              <w:rPr>
                <w:rFonts w:asciiTheme="minorHAnsi" w:eastAsia="Times New Roman" w:hAnsiTheme="minorHAnsi" w:cstheme="minorHAnsi"/>
                <w:sz w:val="22"/>
                <w:szCs w:val="22"/>
                <w:lang w:val="fr-FR"/>
              </w:rPr>
              <w:t>Lors de la soumission de sa propre candidature, le consultant ou le bureau d’étude postulant doit soumettre en ligne deux propositions :</w:t>
            </w:r>
          </w:p>
          <w:p w14:paraId="6FE504CD" w14:textId="77777777" w:rsidR="00DC64CC" w:rsidRPr="00DC64CC" w:rsidRDefault="00DC64CC" w:rsidP="00C25AAA">
            <w:pPr>
              <w:spacing w:line="240" w:lineRule="auto"/>
              <w:ind w:left="1080"/>
              <w:rPr>
                <w:rFonts w:asciiTheme="minorHAnsi" w:eastAsia="Times New Roman" w:hAnsiTheme="minorHAnsi" w:cstheme="minorHAnsi"/>
                <w:b/>
                <w:bCs/>
                <w:sz w:val="22"/>
                <w:szCs w:val="22"/>
                <w:lang w:val="fr-FR"/>
              </w:rPr>
            </w:pPr>
            <w:r w:rsidRPr="00DC64CC">
              <w:rPr>
                <w:rFonts w:asciiTheme="minorHAnsi" w:eastAsia="Times New Roman" w:hAnsiTheme="minorHAnsi" w:cstheme="minorHAnsi"/>
                <w:b/>
                <w:bCs/>
                <w:sz w:val="22"/>
                <w:szCs w:val="22"/>
                <w:lang w:val="fr-FR"/>
              </w:rPr>
              <w:t>a) Une courte proposition technique qui devra inclure les documents suivants :</w:t>
            </w:r>
          </w:p>
          <w:p w14:paraId="3FF61C6A" w14:textId="77777777" w:rsidR="00DC64CC" w:rsidRPr="00DC64CC" w:rsidRDefault="00DC64CC" w:rsidP="00C25AAA">
            <w:pPr>
              <w:spacing w:line="240" w:lineRule="auto"/>
              <w:ind w:left="1080"/>
              <w:rPr>
                <w:rFonts w:asciiTheme="minorHAnsi" w:eastAsia="Times New Roman" w:hAnsiTheme="minorHAnsi" w:cstheme="minorHAnsi"/>
                <w:sz w:val="22"/>
                <w:szCs w:val="22"/>
                <w:lang w:val="fr-FR"/>
              </w:rPr>
            </w:pPr>
            <w:r w:rsidRPr="00DC64CC">
              <w:rPr>
                <w:rFonts w:asciiTheme="minorHAnsi" w:eastAsia="Times New Roman" w:hAnsiTheme="minorHAnsi" w:cstheme="minorHAnsi"/>
                <w:sz w:val="22"/>
                <w:szCs w:val="22"/>
                <w:lang w:val="fr-FR"/>
              </w:rPr>
              <w:t>- Une lettre de motivation présentant la démarche proposée par l’expert(e)</w:t>
            </w:r>
          </w:p>
          <w:p w14:paraId="5FACF6BB" w14:textId="77777777" w:rsidR="00DC64CC" w:rsidRPr="00DC64CC" w:rsidRDefault="00DC64CC" w:rsidP="00C25AAA">
            <w:pPr>
              <w:spacing w:line="240" w:lineRule="auto"/>
              <w:ind w:left="1080"/>
              <w:rPr>
                <w:rFonts w:asciiTheme="minorHAnsi" w:eastAsia="Times New Roman" w:hAnsiTheme="minorHAnsi" w:cstheme="minorHAnsi"/>
                <w:sz w:val="22"/>
                <w:szCs w:val="22"/>
                <w:lang w:val="fr-FR"/>
              </w:rPr>
            </w:pPr>
            <w:r w:rsidRPr="00DC64CC">
              <w:rPr>
                <w:rFonts w:asciiTheme="minorHAnsi" w:eastAsia="Times New Roman" w:hAnsiTheme="minorHAnsi" w:cstheme="minorHAnsi"/>
                <w:sz w:val="22"/>
                <w:szCs w:val="22"/>
                <w:lang w:val="fr-FR"/>
              </w:rPr>
              <w:t>- Un CV indiquant les publications pertinentes antérieures et les expériences professionnelles pour des travaux similaires</w:t>
            </w:r>
          </w:p>
          <w:p w14:paraId="0982572D" w14:textId="77777777" w:rsidR="00DC64CC" w:rsidRPr="00DC64CC" w:rsidRDefault="00DC64CC" w:rsidP="00C25AAA">
            <w:pPr>
              <w:spacing w:line="240" w:lineRule="auto"/>
              <w:ind w:left="1080"/>
              <w:rPr>
                <w:rFonts w:asciiTheme="minorHAnsi" w:eastAsia="Times New Roman" w:hAnsiTheme="minorHAnsi" w:cstheme="minorHAnsi"/>
                <w:sz w:val="22"/>
                <w:szCs w:val="22"/>
                <w:lang w:val="fr-FR"/>
              </w:rPr>
            </w:pPr>
            <w:r w:rsidRPr="00DC64CC">
              <w:rPr>
                <w:rFonts w:asciiTheme="minorHAnsi" w:eastAsia="Times New Roman" w:hAnsiTheme="minorHAnsi" w:cstheme="minorHAnsi"/>
                <w:sz w:val="22"/>
                <w:szCs w:val="22"/>
                <w:lang w:val="fr-FR"/>
              </w:rPr>
              <w:t>- Un chronogramme/plan de travail présentant les étapes et la démarche proposée par l’expert(e)</w:t>
            </w:r>
          </w:p>
          <w:p w14:paraId="020923B5" w14:textId="0F24006F" w:rsidR="00DC64CC" w:rsidRPr="00DC64CC" w:rsidRDefault="00DC64CC" w:rsidP="00860B06">
            <w:pPr>
              <w:spacing w:line="240" w:lineRule="auto"/>
              <w:ind w:left="1080"/>
              <w:rPr>
                <w:rFonts w:asciiTheme="minorHAnsi" w:eastAsia="Times New Roman" w:hAnsiTheme="minorHAnsi" w:cstheme="minorHAnsi"/>
                <w:sz w:val="22"/>
                <w:szCs w:val="22"/>
                <w:lang w:val="fr-FR"/>
              </w:rPr>
            </w:pPr>
            <w:r w:rsidRPr="00DC64CC">
              <w:rPr>
                <w:rFonts w:asciiTheme="minorHAnsi" w:eastAsia="Times New Roman" w:hAnsiTheme="minorHAnsi" w:cstheme="minorHAnsi"/>
                <w:b/>
                <w:bCs/>
                <w:sz w:val="22"/>
                <w:szCs w:val="22"/>
                <w:lang w:val="fr-FR"/>
              </w:rPr>
              <w:t>b) Une offre financière</w:t>
            </w:r>
            <w:r w:rsidR="00422760">
              <w:rPr>
                <w:rFonts w:asciiTheme="minorHAnsi" w:eastAsia="Times New Roman" w:hAnsiTheme="minorHAnsi" w:cstheme="minorHAnsi"/>
                <w:b/>
                <w:bCs/>
                <w:sz w:val="22"/>
                <w:szCs w:val="22"/>
                <w:lang w:val="fr-FR"/>
              </w:rPr>
              <w:t> :</w:t>
            </w:r>
            <w:r w:rsidR="00860B06">
              <w:rPr>
                <w:rFonts w:asciiTheme="minorHAnsi" w:eastAsia="Times New Roman" w:hAnsiTheme="minorHAnsi" w:cstheme="minorHAnsi"/>
                <w:b/>
                <w:bCs/>
                <w:sz w:val="22"/>
                <w:szCs w:val="22"/>
                <w:lang w:val="fr-FR"/>
              </w:rPr>
              <w:t xml:space="preserve"> </w:t>
            </w:r>
            <w:r w:rsidRPr="00DC64CC">
              <w:rPr>
                <w:rFonts w:asciiTheme="minorHAnsi" w:eastAsia="Times New Roman" w:hAnsiTheme="minorHAnsi" w:cstheme="minorHAnsi"/>
                <w:sz w:val="22"/>
                <w:szCs w:val="22"/>
                <w:lang w:val="fr-FR"/>
              </w:rPr>
              <w:t>L’offre financière proposée doit contenir les honoraires, et les coûts indirects (édition</w:t>
            </w:r>
            <w:r w:rsidR="003C4DED">
              <w:rPr>
                <w:rFonts w:asciiTheme="minorHAnsi" w:eastAsia="Times New Roman" w:hAnsiTheme="minorHAnsi" w:cstheme="minorHAnsi"/>
                <w:sz w:val="22"/>
                <w:szCs w:val="22"/>
                <w:lang w:val="fr-FR"/>
              </w:rPr>
              <w:t>, mission en Tunisie</w:t>
            </w:r>
            <w:r w:rsidRPr="00DC64CC">
              <w:rPr>
                <w:rFonts w:asciiTheme="minorHAnsi" w:eastAsia="Times New Roman" w:hAnsiTheme="minorHAnsi" w:cstheme="minorHAnsi"/>
                <w:sz w:val="22"/>
                <w:szCs w:val="22"/>
                <w:lang w:val="fr-FR"/>
              </w:rPr>
              <w:t>). Les honoraires seront négociés et déterminés avant signature du contrat.</w:t>
            </w:r>
          </w:p>
          <w:p w14:paraId="7ABD86B6" w14:textId="3013F780" w:rsidR="00DC64CC" w:rsidRPr="00BA4CC3" w:rsidRDefault="00DC64CC" w:rsidP="00BA4CC3">
            <w:pPr>
              <w:spacing w:before="100" w:beforeAutospacing="1" w:after="100" w:afterAutospacing="1" w:line="240" w:lineRule="auto"/>
              <w:ind w:left="1080"/>
              <w:rPr>
                <w:rFonts w:asciiTheme="minorHAnsi" w:eastAsia="Times New Roman" w:hAnsiTheme="minorHAnsi" w:cstheme="minorHAnsi"/>
                <w:sz w:val="22"/>
                <w:szCs w:val="22"/>
                <w:lang w:val="fr-FR"/>
              </w:rPr>
            </w:pPr>
            <w:r w:rsidRPr="00DC64CC">
              <w:rPr>
                <w:rFonts w:asciiTheme="minorHAnsi" w:eastAsia="Times New Roman" w:hAnsiTheme="minorHAnsi" w:cstheme="minorHAnsi"/>
                <w:sz w:val="22"/>
                <w:szCs w:val="22"/>
                <w:lang w:val="fr-FR"/>
              </w:rPr>
              <w:lastRenderedPageBreak/>
              <w:t>L’offre financière doit suivre le principe du « meilleur rapport qualité-prix », c’est-à-dire obtenir le résultat souhaité au tarif le plus bas possible. Le consultant sera invité à stipuler des honoraires tout compris, y compris des frais forfaitaires de déplacement et de séjour, le cas échéant. Le paiement des honoraires professionnels sera basé sur la soumission des livrables convenus. L’UNICEF se réserve le droit de retenir le paiement dans le cas où les livrables soumis ne sont pas à la hauteur des normes requises ou en cas de retard dans la soumission des livrables de la part du consultant.</w:t>
            </w:r>
            <w:r>
              <w:rPr>
                <w:rFonts w:asciiTheme="minorHAnsi" w:eastAsia="Times New Roman" w:hAnsiTheme="minorHAnsi" w:cstheme="minorHAnsi"/>
                <w:sz w:val="22"/>
                <w:szCs w:val="22"/>
                <w:lang w:val="fr-FR"/>
              </w:rPr>
              <w:t xml:space="preserve"> </w:t>
            </w:r>
            <w:r w:rsidRPr="00DC64CC">
              <w:rPr>
                <w:rFonts w:asciiTheme="minorHAnsi" w:eastAsia="Times New Roman" w:hAnsiTheme="minorHAnsi" w:cstheme="minorHAnsi"/>
                <w:sz w:val="22"/>
                <w:szCs w:val="22"/>
                <w:lang w:val="fr-FR"/>
              </w:rPr>
              <w:t xml:space="preserve">D'autres dépenses directement liées aux missions et aux livrables des </w:t>
            </w:r>
            <w:proofErr w:type="spellStart"/>
            <w:r w:rsidRPr="00DC64CC">
              <w:rPr>
                <w:rFonts w:asciiTheme="minorHAnsi" w:eastAsia="Times New Roman" w:hAnsiTheme="minorHAnsi" w:cstheme="minorHAnsi"/>
                <w:sz w:val="22"/>
                <w:szCs w:val="22"/>
                <w:lang w:val="fr-FR"/>
              </w:rPr>
              <w:t>TdRs</w:t>
            </w:r>
            <w:proofErr w:type="spellEnd"/>
            <w:r w:rsidRPr="00DC64CC">
              <w:rPr>
                <w:rFonts w:asciiTheme="minorHAnsi" w:eastAsia="Times New Roman" w:hAnsiTheme="minorHAnsi" w:cstheme="minorHAnsi"/>
                <w:sz w:val="22"/>
                <w:szCs w:val="22"/>
                <w:lang w:val="fr-FR"/>
              </w:rPr>
              <w:t xml:space="preserve"> tels que : (frais de traduction/interprétation, transport local, impôts, etc.) doivent être incluses dans l'offre financière. S’ils ne sont pas fournis par les </w:t>
            </w:r>
            <w:proofErr w:type="spellStart"/>
            <w:r w:rsidRPr="00DC64CC">
              <w:rPr>
                <w:rFonts w:asciiTheme="minorHAnsi" w:eastAsia="Times New Roman" w:hAnsiTheme="minorHAnsi" w:cstheme="minorHAnsi"/>
                <w:sz w:val="22"/>
                <w:szCs w:val="22"/>
                <w:lang w:val="fr-FR"/>
              </w:rPr>
              <w:t>TdR</w:t>
            </w:r>
            <w:r w:rsidR="008E77C5">
              <w:rPr>
                <w:rFonts w:asciiTheme="minorHAnsi" w:eastAsia="Times New Roman" w:hAnsiTheme="minorHAnsi" w:cstheme="minorHAnsi"/>
                <w:sz w:val="22"/>
                <w:szCs w:val="22"/>
                <w:lang w:val="fr-FR"/>
              </w:rPr>
              <w:t>s</w:t>
            </w:r>
            <w:proofErr w:type="spellEnd"/>
            <w:r w:rsidRPr="00DC64CC">
              <w:rPr>
                <w:rFonts w:asciiTheme="minorHAnsi" w:eastAsia="Times New Roman" w:hAnsiTheme="minorHAnsi" w:cstheme="minorHAnsi"/>
                <w:sz w:val="22"/>
                <w:szCs w:val="22"/>
                <w:lang w:val="fr-FR"/>
              </w:rPr>
              <w:t>, l’UNICEF ne remboursera pas les coûts non directement liés à la consultation. Ce contrat ne permet pas le paiement des heures supplémentaires, de l'assurance médicale, des taxes et des congés de maladie.</w:t>
            </w:r>
          </w:p>
        </w:tc>
      </w:tr>
      <w:tr w:rsidR="007613B3" w:rsidRPr="00951153" w14:paraId="526775C4" w14:textId="77777777" w:rsidTr="79C213BD">
        <w:trPr>
          <w:trHeight w:val="60"/>
        </w:trPr>
        <w:tc>
          <w:tcPr>
            <w:tcW w:w="9872" w:type="dxa"/>
            <w:gridSpan w:val="4"/>
            <w:tcBorders>
              <w:top w:val="nil"/>
            </w:tcBorders>
            <w:shd w:val="clear" w:color="auto" w:fill="auto"/>
            <w:noWrap/>
          </w:tcPr>
          <w:p w14:paraId="06FCC5E5" w14:textId="77777777" w:rsidR="007613B3" w:rsidRDefault="007613B3" w:rsidP="00377BF5">
            <w:pPr>
              <w:spacing w:before="60" w:after="60" w:line="240" w:lineRule="auto"/>
              <w:rPr>
                <w:rFonts w:ascii="Calibri" w:eastAsia="Arial Unicode MS" w:hAnsi="Calibri" w:cs="Calibri"/>
                <w:i/>
                <w:color w:val="auto"/>
                <w:lang w:val="fr-FR"/>
              </w:rPr>
            </w:pPr>
          </w:p>
          <w:p w14:paraId="3628B2FD" w14:textId="77777777" w:rsidR="00C61CEC" w:rsidRPr="00DB419B" w:rsidRDefault="00C61CEC" w:rsidP="00377BF5">
            <w:pPr>
              <w:spacing w:before="60" w:after="60" w:line="240" w:lineRule="auto"/>
              <w:rPr>
                <w:rFonts w:ascii="Calibri" w:eastAsia="Arial Unicode MS" w:hAnsi="Calibri" w:cs="Calibri"/>
                <w:i/>
                <w:color w:val="auto"/>
                <w:lang w:val="fr-FR"/>
              </w:rPr>
            </w:pPr>
          </w:p>
        </w:tc>
      </w:tr>
      <w:tr w:rsidR="00B14BE6" w:rsidRPr="007613B3" w14:paraId="6A6D53D7" w14:textId="77777777" w:rsidTr="79C213BD">
        <w:trPr>
          <w:trHeight w:val="60"/>
        </w:trPr>
        <w:tc>
          <w:tcPr>
            <w:tcW w:w="9872" w:type="dxa"/>
            <w:gridSpan w:val="4"/>
            <w:tcBorders>
              <w:top w:val="nil"/>
            </w:tcBorders>
            <w:shd w:val="clear" w:color="auto" w:fill="auto"/>
            <w:noWrap/>
          </w:tcPr>
          <w:p w14:paraId="661DC295"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1EBEBAED"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21"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1615E60D"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61272CEE" w14:textId="77777777"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DB419B">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DB419B">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DB419B">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36F386BF" w14:textId="1D633B8A"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06D7B4EF" w14:textId="65BD713B"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DB419B">
              <w:rPr>
                <w:rFonts w:ascii="Calibri" w:eastAsia="Arial Unicode MS" w:hAnsi="Calibri" w:cs="Calibri"/>
                <w:sz w:val="20"/>
                <w:szCs w:val="20"/>
                <w:lang w:val="en-AU"/>
              </w:rPr>
              <w:fldChar w:fldCharType="begin">
                <w:ffData>
                  <w:name w:val=""/>
                  <w:enabled/>
                  <w:calcOnExit w:val="0"/>
                  <w:checkBox>
                    <w:sizeAuto/>
                    <w:default w:val="1"/>
                  </w:checkBox>
                </w:ffData>
              </w:fldChar>
            </w:r>
            <w:r w:rsidR="00DB419B">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DB419B">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C44D68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17E7624C"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6D43E7F2"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DB419B">
              <w:rPr>
                <w:rFonts w:ascii="Calibri" w:eastAsia="Arial Unicode MS" w:hAnsi="Calibri" w:cs="Calibri"/>
                <w:sz w:val="20"/>
                <w:szCs w:val="20"/>
                <w:lang w:val="en-AU"/>
              </w:rPr>
              <w:fldChar w:fldCharType="begin">
                <w:ffData>
                  <w:name w:val=""/>
                  <w:enabled/>
                  <w:calcOnExit w:val="0"/>
                  <w:checkBox>
                    <w:sizeAuto/>
                    <w:default w:val="1"/>
                  </w:checkBox>
                </w:ffData>
              </w:fldChar>
            </w:r>
            <w:r w:rsidR="00DB419B">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DB419B">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612616C3" w14:textId="77777777" w:rsidR="00B14BE6"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1DA451A8" w14:textId="77777777" w:rsidR="00BB1538" w:rsidRDefault="00BB1538" w:rsidP="00B14BE6">
            <w:pPr>
              <w:pStyle w:val="paragraph"/>
              <w:spacing w:before="0" w:beforeAutospacing="0" w:after="0" w:afterAutospacing="0"/>
              <w:textAlignment w:val="baseline"/>
              <w:rPr>
                <w:rFonts w:ascii="Segoe UI" w:hAnsi="Segoe UI" w:cs="Segoe UI"/>
                <w:color w:val="000000"/>
                <w:sz w:val="18"/>
                <w:szCs w:val="18"/>
              </w:rPr>
            </w:pPr>
          </w:p>
          <w:p w14:paraId="0D442DC1" w14:textId="77777777"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C9D0DAC" w14:textId="77777777" w:rsidTr="00C756A2">
              <w:tc>
                <w:tcPr>
                  <w:tcW w:w="9661" w:type="dxa"/>
                </w:tcPr>
                <w:p w14:paraId="0B9C02B5" w14:textId="77777777" w:rsidR="00C756A2" w:rsidRPr="00FE2A80" w:rsidRDefault="00CB3017" w:rsidP="00951153">
                  <w:pPr>
                    <w:pStyle w:val="paragraph"/>
                    <w:framePr w:hSpace="180" w:wrap="around" w:hAnchor="margin" w:y="530"/>
                    <w:spacing w:before="0" w:beforeAutospacing="0" w:after="0" w:afterAutospacing="0"/>
                    <w:textAlignment w:val="baseline"/>
                    <w:rPr>
                      <w:rStyle w:val="eop"/>
                      <w:rFonts w:ascii="Calibri" w:hAnsi="Calibri" w:cs="Calibri"/>
                      <w:color w:val="4472C4" w:themeColor="accent5"/>
                      <w:sz w:val="20"/>
                      <w:szCs w:val="20"/>
                    </w:rPr>
                  </w:pPr>
                  <w:r w:rsidRPr="00FE2A80">
                    <w:rPr>
                      <w:rStyle w:val="eop"/>
                      <w:rFonts w:ascii="Calibri" w:hAnsi="Calibri" w:cs="Calibri"/>
                      <w:color w:val="4472C4" w:themeColor="accent5"/>
                      <w:sz w:val="20"/>
                      <w:szCs w:val="20"/>
                    </w:rPr>
                    <w:t>0</w:t>
                  </w:r>
                </w:p>
                <w:p w14:paraId="7B209911" w14:textId="77777777" w:rsidR="00C756A2" w:rsidRPr="00FE2A80" w:rsidRDefault="00C756A2" w:rsidP="00951153">
                  <w:pPr>
                    <w:pStyle w:val="paragraph"/>
                    <w:framePr w:hSpace="180" w:wrap="around" w:hAnchor="margin" w:y="530"/>
                    <w:spacing w:before="0" w:beforeAutospacing="0" w:after="0" w:afterAutospacing="0"/>
                    <w:textAlignment w:val="baseline"/>
                    <w:rPr>
                      <w:rStyle w:val="eop"/>
                      <w:rFonts w:ascii="Calibri" w:hAnsi="Calibri" w:cs="Calibri"/>
                      <w:color w:val="4472C4" w:themeColor="accent5"/>
                      <w:sz w:val="20"/>
                      <w:szCs w:val="20"/>
                    </w:rPr>
                  </w:pPr>
                </w:p>
              </w:tc>
            </w:tr>
          </w:tbl>
          <w:p w14:paraId="202259ED" w14:textId="77777777"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60E095C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22"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23"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22DF452B" w14:textId="77777777"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1B7427F4" w14:textId="0CBB87CB" w:rsidR="443C16F4" w:rsidRDefault="443C16F4"/>
    <w:p w14:paraId="05DBDB8E" w14:textId="2780EC80" w:rsidR="407CBCC5" w:rsidRDefault="407CBCC5"/>
    <w:p w14:paraId="7F365B68" w14:textId="77777777" w:rsidR="007613B3" w:rsidRDefault="007613B3" w:rsidP="002108C6">
      <w:pPr>
        <w:spacing w:line="240" w:lineRule="auto"/>
        <w:rPr>
          <w:rFonts w:ascii="Calibri" w:hAnsi="Calibri" w:cs="Calibri"/>
          <w:b/>
          <w:bCs/>
          <w:sz w:val="24"/>
          <w:szCs w:val="24"/>
          <w:u w:val="single"/>
        </w:rPr>
      </w:pPr>
    </w:p>
    <w:p w14:paraId="4C614F76" w14:textId="55C58E63" w:rsidR="00F627BE" w:rsidRPr="00397355" w:rsidRDefault="00F627BE" w:rsidP="002B2FF7">
      <w:pPr>
        <w:spacing w:before="100" w:beforeAutospacing="1" w:after="100" w:afterAutospacing="1" w:line="240" w:lineRule="auto"/>
        <w:rPr>
          <w:rFonts w:asciiTheme="minorHAnsi" w:eastAsia="Times New Roman" w:hAnsiTheme="minorHAnsi" w:cstheme="minorHAnsi"/>
          <w:sz w:val="22"/>
          <w:szCs w:val="22"/>
        </w:rPr>
      </w:pPr>
    </w:p>
    <w:tbl>
      <w:tblPr>
        <w:tblpPr w:leftFromText="180" w:rightFromText="180" w:vertAnchor="page" w:horzAnchor="margin" w:tblpY="228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9536EF" w:rsidRPr="007613B3" w14:paraId="303D54AF" w14:textId="77777777" w:rsidTr="00143422">
        <w:trPr>
          <w:trHeight w:val="70"/>
        </w:trPr>
        <w:tc>
          <w:tcPr>
            <w:tcW w:w="1636" w:type="dxa"/>
            <w:tcBorders>
              <w:bottom w:val="nil"/>
            </w:tcBorders>
            <w:shd w:val="clear" w:color="auto" w:fill="auto"/>
            <w:noWrap/>
            <w:hideMark/>
          </w:tcPr>
          <w:p w14:paraId="4C323A0F" w14:textId="77777777" w:rsidR="009536EF" w:rsidRPr="007613B3" w:rsidRDefault="009536E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205" w:type="dxa"/>
            <w:gridSpan w:val="2"/>
            <w:tcBorders>
              <w:bottom w:val="nil"/>
            </w:tcBorders>
            <w:shd w:val="clear" w:color="auto" w:fill="auto"/>
            <w:noWrap/>
            <w:hideMark/>
          </w:tcPr>
          <w:p w14:paraId="3DEA31A8" w14:textId="77777777" w:rsidR="009536EF" w:rsidRPr="007613B3" w:rsidRDefault="009536E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46" w:type="dxa"/>
            <w:gridSpan w:val="4"/>
            <w:tcBorders>
              <w:bottom w:val="nil"/>
            </w:tcBorders>
            <w:shd w:val="clear" w:color="auto" w:fill="auto"/>
          </w:tcPr>
          <w:p w14:paraId="7650B521" w14:textId="32FC50AD" w:rsidR="009536EF" w:rsidRDefault="009536E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r w:rsidR="00B24E4D">
              <w:rPr>
                <w:rFonts w:ascii="Calibri" w:eastAsia="Arial Unicode MS" w:hAnsi="Calibri" w:cs="Calibri"/>
                <w:b/>
                <w:color w:val="auto"/>
                <w:lang w:val="en-AU"/>
              </w:rPr>
              <w:t xml:space="preserve"> </w:t>
            </w:r>
            <w:r w:rsidR="00B24E4D" w:rsidRPr="00B24E4D">
              <w:rPr>
                <w:rFonts w:ascii="Calibri" w:eastAsia="Arial Unicode MS" w:hAnsi="Calibri" w:cs="Calibri"/>
                <w:bCs/>
                <w:color w:val="auto"/>
                <w:lang w:val="en-AU"/>
              </w:rPr>
              <w:t>Technical expertise, actuary, not available in CO</w:t>
            </w:r>
          </w:p>
          <w:p w14:paraId="5C7FDC8F" w14:textId="77777777" w:rsidR="00BB1538" w:rsidRPr="007613B3" w:rsidRDefault="00BB1538">
            <w:pPr>
              <w:spacing w:before="100" w:beforeAutospacing="1" w:after="100" w:afterAutospacing="1" w:line="240" w:lineRule="auto"/>
              <w:rPr>
                <w:rFonts w:ascii="Calibri" w:eastAsia="Arial Unicode MS" w:hAnsi="Calibri" w:cs="Calibri"/>
                <w:b/>
                <w:color w:val="auto"/>
                <w:lang w:val="en-AU"/>
              </w:rPr>
            </w:pPr>
          </w:p>
        </w:tc>
      </w:tr>
      <w:tr w:rsidR="009536EF" w:rsidRPr="00274DC3" w14:paraId="1CE3E863" w14:textId="77777777" w:rsidTr="00143422">
        <w:tc>
          <w:tcPr>
            <w:tcW w:w="9887" w:type="dxa"/>
            <w:gridSpan w:val="7"/>
            <w:tcBorders>
              <w:top w:val="nil"/>
            </w:tcBorders>
            <w:shd w:val="clear" w:color="auto" w:fill="auto"/>
            <w:noWrap/>
          </w:tcPr>
          <w:p w14:paraId="1BDA3304" w14:textId="1CE4EB6C" w:rsidR="009536EF" w:rsidRPr="00274DC3" w:rsidRDefault="009536EF" w:rsidP="00D02FE0">
            <w:pPr>
              <w:spacing w:before="60" w:after="60" w:line="240" w:lineRule="auto"/>
              <w:rPr>
                <w:rFonts w:ascii="Calibri" w:eastAsia="Arial Unicode MS" w:hAnsi="Calibri" w:cs="Calibri"/>
                <w:i/>
                <w:color w:val="4472C4" w:themeColor="accent5"/>
              </w:rPr>
            </w:pPr>
          </w:p>
        </w:tc>
      </w:tr>
      <w:tr w:rsidR="009536EF" w:rsidRPr="007613B3" w14:paraId="406201F6" w14:textId="77777777" w:rsidTr="00143422">
        <w:tc>
          <w:tcPr>
            <w:tcW w:w="6390" w:type="dxa"/>
            <w:gridSpan w:val="5"/>
            <w:tcBorders>
              <w:bottom w:val="nil"/>
            </w:tcBorders>
            <w:shd w:val="clear" w:color="auto" w:fill="auto"/>
          </w:tcPr>
          <w:p w14:paraId="6E56DFD3" w14:textId="77777777" w:rsidR="009536EF" w:rsidRDefault="009536EF">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15D594E5" w14:textId="0E80301C" w:rsidR="009536EF" w:rsidRPr="007613B3" w:rsidRDefault="00340B1D">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9536EF" w:rsidRPr="007613B3">
              <w:rPr>
                <w:rFonts w:ascii="Calibri" w:eastAsia="Arial Unicode MS" w:hAnsi="Calibri" w:cs="Calibri"/>
                <w:color w:val="auto"/>
                <w:lang w:val="en-AU"/>
              </w:rPr>
              <w:t xml:space="preserve"> National  </w:t>
            </w:r>
            <w:r w:rsidR="009536EF"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9536EF"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9536EF" w:rsidRPr="007613B3">
              <w:rPr>
                <w:rFonts w:ascii="Calibri" w:eastAsia="Arial Unicode MS" w:hAnsi="Calibri" w:cs="Calibri"/>
                <w:color w:val="auto"/>
                <w:lang w:val="en-AU"/>
              </w:rPr>
              <w:fldChar w:fldCharType="end"/>
            </w:r>
            <w:r w:rsidR="009536EF" w:rsidRPr="007613B3">
              <w:rPr>
                <w:rFonts w:ascii="Calibri" w:eastAsia="Arial Unicode MS" w:hAnsi="Calibri" w:cs="Calibri"/>
                <w:color w:val="auto"/>
                <w:lang w:val="en-AU"/>
              </w:rPr>
              <w:t xml:space="preserve"> International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9536EF" w:rsidRPr="007613B3">
              <w:rPr>
                <w:rFonts w:ascii="Calibri" w:eastAsia="Arial Unicode MS" w:hAnsi="Calibri" w:cs="Calibri"/>
                <w:color w:val="auto"/>
                <w:lang w:val="en-AU"/>
              </w:rPr>
              <w:t xml:space="preserve"> Both</w:t>
            </w:r>
          </w:p>
          <w:p w14:paraId="3DBDD6C1" w14:textId="77777777" w:rsidR="009536EF" w:rsidRDefault="009536EF">
            <w:pPr>
              <w:spacing w:before="120" w:after="60" w:line="240" w:lineRule="auto"/>
              <w:rPr>
                <w:rFonts w:ascii="Calibri" w:eastAsia="Arial Unicode MS" w:hAnsi="Calibri" w:cs="Calibri"/>
                <w:b/>
                <w:color w:val="auto"/>
                <w:lang w:val="en-AU"/>
              </w:rPr>
            </w:pPr>
          </w:p>
          <w:p w14:paraId="36E4817B" w14:textId="77777777" w:rsidR="009536EF" w:rsidRPr="00214E11" w:rsidRDefault="009536EF">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77481D94" w14:textId="77777777" w:rsidR="009536EF" w:rsidRDefault="009536E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Desk Review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24A3A510" w14:textId="77777777" w:rsidR="009536EF" w:rsidRDefault="009536EF">
            <w:pPr>
              <w:spacing w:before="120" w:after="60" w:line="240" w:lineRule="auto"/>
              <w:rPr>
                <w:rFonts w:ascii="Calibri" w:eastAsia="Arial Unicode MS" w:hAnsi="Calibri" w:cs="Calibri"/>
                <w:color w:val="auto"/>
                <w:lang w:val="en-AU"/>
              </w:rPr>
            </w:pPr>
          </w:p>
          <w:p w14:paraId="350018AD" w14:textId="77777777" w:rsidR="009536EF" w:rsidRPr="007613B3" w:rsidRDefault="009536EF">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p>
        </w:tc>
        <w:tc>
          <w:tcPr>
            <w:tcW w:w="3497" w:type="dxa"/>
            <w:gridSpan w:val="2"/>
            <w:tcBorders>
              <w:bottom w:val="nil"/>
            </w:tcBorders>
            <w:shd w:val="clear" w:color="auto" w:fill="auto"/>
          </w:tcPr>
          <w:p w14:paraId="5FBF71B9" w14:textId="77777777" w:rsidR="009536EF" w:rsidRPr="007613B3" w:rsidRDefault="009536EF">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4E7AADFB" w14:textId="77777777" w:rsidR="009536EF" w:rsidRPr="007613B3" w:rsidRDefault="009536E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537165FA" w14:textId="5D89C929" w:rsidR="009536EF" w:rsidRPr="007613B3" w:rsidRDefault="009536EF">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9536EF" w:rsidRPr="007613B3" w14:paraId="01324722" w14:textId="77777777" w:rsidTr="00143422">
        <w:trPr>
          <w:trHeight w:val="410"/>
        </w:trPr>
        <w:tc>
          <w:tcPr>
            <w:tcW w:w="9887" w:type="dxa"/>
            <w:gridSpan w:val="7"/>
            <w:tcBorders>
              <w:bottom w:val="nil"/>
            </w:tcBorders>
            <w:shd w:val="clear" w:color="auto" w:fill="auto"/>
          </w:tcPr>
          <w:p w14:paraId="0AF2018D" w14:textId="77777777" w:rsidR="009536EF" w:rsidRPr="00DB419B" w:rsidRDefault="009536EF">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r>
      <w:tr w:rsidR="009536EF" w:rsidRPr="007613B3" w14:paraId="5EF14C70" w14:textId="77777777" w:rsidTr="00143422">
        <w:trPr>
          <w:trHeight w:val="897"/>
        </w:trPr>
        <w:tc>
          <w:tcPr>
            <w:tcW w:w="4138" w:type="dxa"/>
            <w:gridSpan w:val="2"/>
            <w:tcBorders>
              <w:bottom w:val="nil"/>
            </w:tcBorders>
            <w:shd w:val="clear" w:color="auto" w:fill="auto"/>
            <w:noWrap/>
            <w:hideMark/>
          </w:tcPr>
          <w:p w14:paraId="1B260626" w14:textId="35597E37" w:rsidR="006002BC" w:rsidRPr="006002BC" w:rsidRDefault="009536EF" w:rsidP="00B24E4D">
            <w:pPr>
              <w:spacing w:before="100" w:beforeAutospacing="1" w:after="100" w:afterAutospacing="1" w:line="240" w:lineRule="auto"/>
              <w:rPr>
                <w:rFonts w:ascii="Calibri" w:eastAsia="Arial Unicode MS" w:hAnsi="Calibri" w:cs="Calibri"/>
                <w:bCs/>
                <w:color w:val="4472C4" w:themeColor="accent5"/>
                <w:lang w:val="en-AU"/>
              </w:rPr>
            </w:pPr>
            <w:r w:rsidRPr="00DB419B">
              <w:rPr>
                <w:rFonts w:ascii="Calibri" w:eastAsia="Arial Unicode MS" w:hAnsi="Calibri" w:cs="Calibri"/>
                <w:b/>
                <w:color w:val="auto"/>
                <w:lang w:val="en-AU"/>
              </w:rPr>
              <w:t>Supervisor:</w:t>
            </w:r>
            <w:r w:rsidR="00B24E4D">
              <w:rPr>
                <w:rFonts w:ascii="Calibri" w:eastAsia="Arial Unicode MS" w:hAnsi="Calibri" w:cs="Calibri"/>
                <w:b/>
                <w:color w:val="auto"/>
                <w:lang w:val="en-AU"/>
              </w:rPr>
              <w:t xml:space="preserve"> </w:t>
            </w:r>
          </w:p>
        </w:tc>
        <w:tc>
          <w:tcPr>
            <w:tcW w:w="1980" w:type="dxa"/>
            <w:gridSpan w:val="2"/>
            <w:tcBorders>
              <w:bottom w:val="nil"/>
            </w:tcBorders>
            <w:shd w:val="clear" w:color="auto" w:fill="auto"/>
            <w:noWrap/>
            <w:hideMark/>
          </w:tcPr>
          <w:p w14:paraId="0D97A784" w14:textId="0187E4D2" w:rsidR="009536EF" w:rsidRPr="00DB419B" w:rsidRDefault="009536EF" w:rsidP="00B24E4D">
            <w:pPr>
              <w:spacing w:before="100" w:beforeAutospacing="1" w:after="100" w:afterAutospacing="1" w:line="240" w:lineRule="auto"/>
              <w:rPr>
                <w:rFonts w:ascii="Calibri" w:eastAsia="Arial Unicode MS" w:hAnsi="Calibri" w:cs="Calibri"/>
                <w:bCs/>
                <w:color w:val="auto"/>
                <w:lang w:val="en-AU"/>
              </w:rPr>
            </w:pPr>
            <w:r w:rsidRPr="007613B3">
              <w:rPr>
                <w:rFonts w:ascii="Calibri" w:eastAsia="Arial Unicode MS" w:hAnsi="Calibri" w:cs="Calibri"/>
                <w:b/>
                <w:color w:val="auto"/>
                <w:lang w:val="en-AU"/>
              </w:rPr>
              <w:t>Start Date:</w:t>
            </w:r>
            <w:r w:rsidR="00B24E4D">
              <w:rPr>
                <w:rFonts w:ascii="Calibri" w:eastAsia="Arial Unicode MS" w:hAnsi="Calibri" w:cs="Calibri"/>
                <w:b/>
                <w:color w:val="auto"/>
                <w:lang w:val="en-AU"/>
              </w:rPr>
              <w:t xml:space="preserve"> </w:t>
            </w:r>
            <w:r w:rsidR="00D251AB">
              <w:rPr>
                <w:rFonts w:ascii="Calibri" w:eastAsia="Arial Unicode MS" w:hAnsi="Calibri" w:cs="Calibri"/>
                <w:bCs/>
                <w:color w:val="auto"/>
                <w:lang w:val="en-AU"/>
              </w:rPr>
              <w:t xml:space="preserve">01 </w:t>
            </w:r>
            <w:proofErr w:type="spellStart"/>
            <w:r w:rsidR="006319C3">
              <w:rPr>
                <w:rFonts w:ascii="Calibri" w:eastAsia="Arial Unicode MS" w:hAnsi="Calibri" w:cs="Calibri"/>
                <w:bCs/>
                <w:color w:val="auto"/>
                <w:lang w:val="en-AU"/>
              </w:rPr>
              <w:t>janvier</w:t>
            </w:r>
            <w:proofErr w:type="spellEnd"/>
            <w:r w:rsidR="00D251AB">
              <w:rPr>
                <w:rFonts w:ascii="Calibri" w:eastAsia="Arial Unicode MS" w:hAnsi="Calibri" w:cs="Calibri"/>
                <w:bCs/>
                <w:color w:val="auto"/>
                <w:lang w:val="en-AU"/>
              </w:rPr>
              <w:t xml:space="preserve"> 202</w:t>
            </w:r>
            <w:r w:rsidR="006319C3">
              <w:rPr>
                <w:rFonts w:ascii="Calibri" w:eastAsia="Arial Unicode MS" w:hAnsi="Calibri" w:cs="Calibri"/>
                <w:bCs/>
                <w:color w:val="auto"/>
                <w:lang w:val="en-AU"/>
              </w:rPr>
              <w:t>5</w:t>
            </w:r>
          </w:p>
        </w:tc>
        <w:tc>
          <w:tcPr>
            <w:tcW w:w="2070" w:type="dxa"/>
            <w:gridSpan w:val="2"/>
            <w:tcBorders>
              <w:bottom w:val="nil"/>
            </w:tcBorders>
            <w:shd w:val="clear" w:color="auto" w:fill="auto"/>
          </w:tcPr>
          <w:p w14:paraId="051A1999" w14:textId="51DD005B" w:rsidR="009536EF" w:rsidRPr="00DB419B" w:rsidRDefault="009536EF" w:rsidP="00B24E4D">
            <w:pPr>
              <w:spacing w:before="100" w:beforeAutospacing="1" w:after="100" w:afterAutospacing="1" w:line="240" w:lineRule="auto"/>
              <w:rPr>
                <w:rFonts w:ascii="Calibri" w:eastAsia="Arial Unicode MS" w:hAnsi="Calibri" w:cs="Calibri"/>
                <w:lang w:val="en-AU"/>
              </w:rPr>
            </w:pPr>
            <w:r w:rsidRPr="007613B3">
              <w:rPr>
                <w:rFonts w:ascii="Calibri" w:eastAsia="Arial Unicode MS" w:hAnsi="Calibri" w:cs="Calibri"/>
                <w:b/>
                <w:color w:val="auto"/>
                <w:lang w:val="en-AU"/>
              </w:rPr>
              <w:t>End Date:</w:t>
            </w:r>
            <w:r w:rsidR="00B24E4D">
              <w:rPr>
                <w:rFonts w:ascii="Calibri" w:eastAsia="Arial Unicode MS" w:hAnsi="Calibri" w:cs="Calibri"/>
                <w:b/>
                <w:color w:val="auto"/>
                <w:lang w:val="en-AU"/>
              </w:rPr>
              <w:t xml:space="preserve"> </w:t>
            </w:r>
            <w:proofErr w:type="spellStart"/>
            <w:r w:rsidR="006319C3">
              <w:rPr>
                <w:rFonts w:ascii="Calibri" w:eastAsia="Arial Unicode MS" w:hAnsi="Calibri" w:cs="Calibri"/>
                <w:bCs/>
                <w:color w:val="auto"/>
                <w:lang w:val="en-AU"/>
              </w:rPr>
              <w:t>juillet</w:t>
            </w:r>
            <w:proofErr w:type="spellEnd"/>
            <w:r w:rsidR="00D251AB">
              <w:rPr>
                <w:rFonts w:ascii="Calibri" w:eastAsia="Arial Unicode MS" w:hAnsi="Calibri" w:cs="Calibri"/>
                <w:bCs/>
                <w:color w:val="auto"/>
                <w:lang w:val="en-AU"/>
              </w:rPr>
              <w:t xml:space="preserve"> 2025</w:t>
            </w:r>
          </w:p>
        </w:tc>
        <w:tc>
          <w:tcPr>
            <w:tcW w:w="1699" w:type="dxa"/>
            <w:tcBorders>
              <w:bottom w:val="nil"/>
            </w:tcBorders>
            <w:shd w:val="clear" w:color="auto" w:fill="auto"/>
          </w:tcPr>
          <w:p w14:paraId="2AFDA009" w14:textId="2EDC073D" w:rsidR="00EF186E" w:rsidRPr="00EF186E" w:rsidRDefault="009536EF" w:rsidP="00D02FE0">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w:t>
            </w:r>
            <w:r>
              <w:rPr>
                <w:rFonts w:ascii="Calibri" w:eastAsia="Arial Unicode MS" w:hAnsi="Calibri" w:cs="Calibri"/>
                <w:b/>
                <w:color w:val="auto"/>
                <w:lang w:val="en-AU"/>
              </w:rPr>
              <w:t xml:space="preserve"> working</w:t>
            </w:r>
            <w:r w:rsidRPr="007613B3">
              <w:rPr>
                <w:rFonts w:ascii="Calibri" w:eastAsia="Arial Unicode MS" w:hAnsi="Calibri" w:cs="Calibri"/>
                <w:b/>
                <w:color w:val="auto"/>
                <w:lang w:val="en-AU"/>
              </w:rPr>
              <w:t xml:space="preserve"> </w:t>
            </w:r>
            <w:r w:rsidR="00B94BDB" w:rsidRPr="007613B3">
              <w:rPr>
                <w:rFonts w:ascii="Calibri" w:eastAsia="Arial Unicode MS" w:hAnsi="Calibri" w:cs="Calibri"/>
                <w:b/>
                <w:color w:val="auto"/>
                <w:lang w:val="en-AU"/>
              </w:rPr>
              <w:t>Days:</w:t>
            </w:r>
            <w:r w:rsidR="00B24E4D">
              <w:rPr>
                <w:rFonts w:ascii="Calibri" w:eastAsia="Arial Unicode MS" w:hAnsi="Calibri" w:cs="Calibri"/>
                <w:b/>
                <w:color w:val="auto"/>
                <w:lang w:val="en-AU"/>
              </w:rPr>
              <w:t xml:space="preserve"> </w:t>
            </w:r>
            <w:r w:rsidR="00681426">
              <w:rPr>
                <w:rFonts w:ascii="Calibri" w:eastAsia="Arial Unicode MS" w:hAnsi="Calibri" w:cs="Calibri"/>
                <w:bCs/>
                <w:color w:val="auto"/>
                <w:lang w:val="en-AU"/>
              </w:rPr>
              <w:t>4</w:t>
            </w:r>
            <w:r w:rsidR="00B24E4D" w:rsidRPr="00B94BDB">
              <w:rPr>
                <w:rFonts w:ascii="Calibri" w:eastAsia="Arial Unicode MS" w:hAnsi="Calibri" w:cs="Calibri"/>
                <w:bCs/>
                <w:color w:val="auto"/>
                <w:lang w:val="en-AU"/>
              </w:rPr>
              <w:t>0</w:t>
            </w:r>
          </w:p>
        </w:tc>
      </w:tr>
    </w:tbl>
    <w:p w14:paraId="15933F97" w14:textId="77777777" w:rsidR="004E0027" w:rsidRPr="00FE2A80" w:rsidRDefault="004E0027" w:rsidP="002108C6">
      <w:pPr>
        <w:spacing w:line="240" w:lineRule="auto"/>
        <w:rPr>
          <w:rFonts w:ascii="Calibri" w:hAnsi="Calibri" w:cs="Calibri"/>
          <w:sz w:val="24"/>
          <w:szCs w:val="24"/>
          <w:lang w:val="fr-FR"/>
        </w:rPr>
      </w:pPr>
    </w:p>
    <w:p w14:paraId="4CFB3010" w14:textId="77777777" w:rsidR="00F627BE" w:rsidRPr="00F627BE" w:rsidRDefault="00F627BE" w:rsidP="002108C6">
      <w:pPr>
        <w:tabs>
          <w:tab w:val="left" w:pos="2550"/>
        </w:tabs>
        <w:spacing w:line="240" w:lineRule="auto"/>
        <w:rPr>
          <w:rFonts w:ascii="Calibri" w:hAnsi="Calibri" w:cs="Calibri"/>
          <w:sz w:val="24"/>
          <w:szCs w:val="24"/>
          <w:lang w:val="fr-FR"/>
        </w:rPr>
      </w:pPr>
    </w:p>
    <w:tbl>
      <w:tblPr>
        <w:tblpPr w:leftFromText="180" w:rightFromText="180" w:vertAnchor="page" w:horzAnchor="margin" w:tblpY="1531"/>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101"/>
        <w:gridCol w:w="4619"/>
        <w:gridCol w:w="1494"/>
        <w:gridCol w:w="124"/>
      </w:tblGrid>
      <w:tr w:rsidR="00D41D98" w:rsidRPr="007613B3" w14:paraId="16DE134D" w14:textId="77777777" w:rsidTr="00A102D2">
        <w:trPr>
          <w:trHeight w:val="406"/>
        </w:trPr>
        <w:tc>
          <w:tcPr>
            <w:tcW w:w="410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5B6FB618" w14:textId="77777777" w:rsidR="00D41D98" w:rsidRPr="007613B3" w:rsidRDefault="00D41D98">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lastRenderedPageBreak/>
              <w:t>Estimated Consultancy fee</w:t>
            </w:r>
          </w:p>
        </w:tc>
        <w:tc>
          <w:tcPr>
            <w:tcW w:w="461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7A9A037" w14:textId="77777777" w:rsidR="00D41D98" w:rsidRPr="007613B3" w:rsidRDefault="00D41D98" w:rsidP="002108C6">
            <w:pPr>
              <w:spacing w:line="240" w:lineRule="auto"/>
              <w:ind w:left="12" w:hanging="12"/>
              <w:rPr>
                <w:rFonts w:ascii="Calibri" w:eastAsia="Arial Unicode MS" w:hAnsi="Calibri" w:cs="Calibri"/>
                <w:b/>
                <w:color w:val="auto"/>
                <w:lang w:val="en-AU"/>
              </w:rPr>
            </w:pPr>
          </w:p>
        </w:tc>
        <w:tc>
          <w:tcPr>
            <w:tcW w:w="1618" w:type="dxa"/>
            <w:gridSpan w:val="2"/>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1745497" w14:textId="77777777" w:rsidR="00D41D98" w:rsidRPr="007613B3" w:rsidRDefault="00D41D98">
            <w:pPr>
              <w:spacing w:before="60" w:after="60" w:line="240" w:lineRule="auto"/>
              <w:jc w:val="center"/>
              <w:rPr>
                <w:rFonts w:ascii="Calibri" w:eastAsia="Arial Unicode MS" w:hAnsi="Calibri" w:cs="Calibri"/>
                <w:b/>
                <w:color w:val="auto"/>
                <w:lang w:val="en-AU"/>
              </w:rPr>
            </w:pPr>
          </w:p>
        </w:tc>
      </w:tr>
      <w:tr w:rsidR="00F927BB" w:rsidRPr="00F927BB" w14:paraId="78FEE676" w14:textId="77777777" w:rsidTr="00800EEB">
        <w:trPr>
          <w:trHeight w:val="406"/>
        </w:trPr>
        <w:tc>
          <w:tcPr>
            <w:tcW w:w="4101" w:type="dxa"/>
            <w:tcBorders>
              <w:top w:val="single" w:sz="8" w:space="0" w:color="6D6D6D"/>
              <w:left w:val="single" w:sz="8" w:space="0" w:color="6D6D6D"/>
              <w:bottom w:val="single" w:sz="8" w:space="0" w:color="6D6D6D"/>
              <w:right w:val="single" w:sz="8" w:space="0" w:color="6D6D6D"/>
            </w:tcBorders>
            <w:shd w:val="clear" w:color="auto" w:fill="auto"/>
            <w:noWrap/>
          </w:tcPr>
          <w:p w14:paraId="018E7720" w14:textId="78B59EDD" w:rsidR="00F927BB" w:rsidRPr="00F927BB" w:rsidRDefault="00172C61">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fees</w:t>
            </w:r>
          </w:p>
        </w:tc>
        <w:tc>
          <w:tcPr>
            <w:tcW w:w="4619" w:type="dxa"/>
            <w:tcBorders>
              <w:top w:val="single" w:sz="8" w:space="0" w:color="6D6D6D"/>
              <w:left w:val="single" w:sz="8" w:space="0" w:color="6D6D6D"/>
              <w:bottom w:val="single" w:sz="8" w:space="0" w:color="6D6D6D"/>
              <w:right w:val="single" w:sz="8" w:space="0" w:color="6D6D6D"/>
            </w:tcBorders>
            <w:shd w:val="clear" w:color="auto" w:fill="auto"/>
          </w:tcPr>
          <w:p w14:paraId="517CADF6" w14:textId="441A9FD1" w:rsidR="00F927BB" w:rsidRPr="00800EEB" w:rsidRDefault="00681426" w:rsidP="00800EEB">
            <w:pPr>
              <w:spacing w:line="240" w:lineRule="auto"/>
              <w:ind w:left="12" w:hanging="12"/>
              <w:rPr>
                <w:rFonts w:ascii="Calibri" w:eastAsia="Arial Unicode MS" w:hAnsi="Calibri" w:cs="Calibri"/>
                <w:color w:val="4472C4" w:themeColor="accent5"/>
                <w:lang w:val="fr-FR"/>
              </w:rPr>
            </w:pPr>
            <w:r>
              <w:rPr>
                <w:rFonts w:ascii="Calibri" w:eastAsia="Arial Unicode MS" w:hAnsi="Calibri" w:cs="Calibri"/>
                <w:color w:val="4472C4" w:themeColor="accent5"/>
                <w:lang w:val="fr-FR"/>
              </w:rPr>
              <w:t>4</w:t>
            </w:r>
            <w:r w:rsidR="00F927BB" w:rsidRPr="00800EEB">
              <w:rPr>
                <w:rFonts w:ascii="Calibri" w:eastAsia="Arial Unicode MS" w:hAnsi="Calibri" w:cs="Calibri"/>
                <w:color w:val="4472C4" w:themeColor="accent5"/>
                <w:lang w:val="fr-FR"/>
              </w:rPr>
              <w:t>0 jours</w:t>
            </w:r>
          </w:p>
        </w:tc>
        <w:tc>
          <w:tcPr>
            <w:tcW w:w="1618" w:type="dxa"/>
            <w:gridSpan w:val="2"/>
            <w:tcBorders>
              <w:top w:val="single" w:sz="8" w:space="0" w:color="6D6D6D"/>
              <w:left w:val="single" w:sz="8" w:space="0" w:color="6D6D6D"/>
              <w:bottom w:val="single" w:sz="8" w:space="0" w:color="6D6D6D"/>
              <w:right w:val="single" w:sz="8" w:space="0" w:color="6D6D6D"/>
            </w:tcBorders>
            <w:shd w:val="clear" w:color="auto" w:fill="auto"/>
          </w:tcPr>
          <w:p w14:paraId="372A9E12" w14:textId="677D87E1" w:rsidR="00F927BB" w:rsidRPr="00F927BB" w:rsidRDefault="00F927BB" w:rsidP="00F927BB">
            <w:pPr>
              <w:spacing w:before="60" w:after="60" w:line="240" w:lineRule="auto"/>
              <w:rPr>
                <w:rFonts w:ascii="Calibri" w:eastAsia="Arial Unicode MS" w:hAnsi="Calibri" w:cs="Calibri"/>
                <w:color w:val="auto"/>
                <w:lang w:val="en-AU"/>
              </w:rPr>
            </w:pPr>
          </w:p>
        </w:tc>
      </w:tr>
      <w:tr w:rsidR="00D41D98" w:rsidRPr="00A53FDD" w14:paraId="320305CE" w14:textId="77777777" w:rsidTr="00A102D2">
        <w:trPr>
          <w:trHeight w:val="677"/>
        </w:trPr>
        <w:tc>
          <w:tcPr>
            <w:tcW w:w="4101" w:type="dxa"/>
            <w:tcBorders>
              <w:top w:val="single" w:sz="8" w:space="0" w:color="6D6D6D"/>
              <w:left w:val="single" w:sz="8" w:space="0" w:color="6D6D6D"/>
              <w:bottom w:val="single" w:sz="8" w:space="0" w:color="6D6D6D"/>
              <w:right w:val="single" w:sz="8" w:space="0" w:color="6D6D6D"/>
            </w:tcBorders>
            <w:shd w:val="clear" w:color="auto" w:fill="auto"/>
            <w:noWrap/>
          </w:tcPr>
          <w:p w14:paraId="609740EB" w14:textId="77777777" w:rsidR="00D41D98" w:rsidRDefault="00D41D98">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25A2704F" w14:textId="77777777" w:rsidR="00D41D98" w:rsidRPr="007613B3" w:rsidRDefault="00D41D98">
            <w:pPr>
              <w:spacing w:before="60" w:after="60" w:line="240" w:lineRule="auto"/>
              <w:rPr>
                <w:rFonts w:ascii="Calibri" w:eastAsia="Arial Unicode MS" w:hAnsi="Calibri" w:cs="Calibri"/>
                <w:color w:val="auto"/>
                <w:lang w:val="en-AU"/>
              </w:rPr>
            </w:pPr>
          </w:p>
        </w:tc>
        <w:tc>
          <w:tcPr>
            <w:tcW w:w="4619" w:type="dxa"/>
            <w:tcBorders>
              <w:top w:val="single" w:sz="8" w:space="0" w:color="6D6D6D"/>
              <w:left w:val="single" w:sz="8" w:space="0" w:color="6D6D6D"/>
              <w:bottom w:val="single" w:sz="8" w:space="0" w:color="6D6D6D"/>
              <w:right w:val="single" w:sz="8" w:space="0" w:color="6D6D6D"/>
            </w:tcBorders>
            <w:shd w:val="clear" w:color="auto" w:fill="auto"/>
          </w:tcPr>
          <w:p w14:paraId="63BB409E" w14:textId="3A93F021" w:rsidR="00D41D98" w:rsidRPr="00857A90" w:rsidRDefault="006319C3" w:rsidP="002108C6">
            <w:pPr>
              <w:spacing w:line="240" w:lineRule="auto"/>
              <w:ind w:left="12" w:hanging="12"/>
              <w:rPr>
                <w:rFonts w:ascii="Calibri" w:eastAsia="Arial Unicode MS" w:hAnsi="Calibri" w:cs="Calibri"/>
                <w:color w:val="4472C4" w:themeColor="accent5"/>
                <w:lang w:val="fr-FR"/>
              </w:rPr>
            </w:pPr>
            <w:r>
              <w:rPr>
                <w:rFonts w:ascii="Calibri" w:eastAsia="Arial Unicode MS" w:hAnsi="Calibri" w:cs="Calibri"/>
                <w:color w:val="4472C4" w:themeColor="accent5"/>
                <w:lang w:val="fr-FR"/>
              </w:rPr>
              <w:t xml:space="preserve">3 voyages </w:t>
            </w:r>
            <w:r w:rsidR="008008A6">
              <w:rPr>
                <w:rFonts w:ascii="Calibri" w:eastAsia="Arial Unicode MS" w:hAnsi="Calibri" w:cs="Calibri"/>
                <w:color w:val="4472C4" w:themeColor="accent5"/>
                <w:lang w:val="fr-FR"/>
              </w:rPr>
              <w:t>à</w:t>
            </w:r>
            <w:r>
              <w:rPr>
                <w:rFonts w:ascii="Calibri" w:eastAsia="Arial Unicode MS" w:hAnsi="Calibri" w:cs="Calibri"/>
                <w:color w:val="4472C4" w:themeColor="accent5"/>
                <w:lang w:val="fr-FR"/>
              </w:rPr>
              <w:t xml:space="preserve"> Tunis</w:t>
            </w:r>
          </w:p>
        </w:tc>
        <w:tc>
          <w:tcPr>
            <w:tcW w:w="1618" w:type="dxa"/>
            <w:gridSpan w:val="2"/>
            <w:tcBorders>
              <w:top w:val="single" w:sz="8" w:space="0" w:color="6D6D6D"/>
              <w:left w:val="single" w:sz="8" w:space="0" w:color="6D6D6D"/>
              <w:bottom w:val="single" w:sz="8" w:space="0" w:color="6D6D6D"/>
              <w:right w:val="single" w:sz="8" w:space="0" w:color="6D6D6D"/>
            </w:tcBorders>
            <w:shd w:val="clear" w:color="auto" w:fill="auto"/>
          </w:tcPr>
          <w:p w14:paraId="21AAD6E6" w14:textId="33809915" w:rsidR="00D41D98" w:rsidRPr="00857A90" w:rsidRDefault="00D41D98">
            <w:pPr>
              <w:spacing w:before="60" w:after="60" w:line="240" w:lineRule="auto"/>
              <w:rPr>
                <w:rFonts w:ascii="Calibri" w:eastAsia="Arial Unicode MS" w:hAnsi="Calibri" w:cs="Calibri"/>
                <w:color w:val="auto"/>
                <w:lang w:val="fr-FR"/>
              </w:rPr>
            </w:pPr>
          </w:p>
        </w:tc>
      </w:tr>
      <w:tr w:rsidR="00D41D98" w:rsidRPr="00A53FDD" w14:paraId="76B9D3EC" w14:textId="77777777" w:rsidTr="00A102D2">
        <w:trPr>
          <w:trHeight w:val="406"/>
        </w:trPr>
        <w:tc>
          <w:tcPr>
            <w:tcW w:w="4101" w:type="dxa"/>
            <w:tcBorders>
              <w:top w:val="single" w:sz="8" w:space="0" w:color="6D6D6D"/>
              <w:left w:val="single" w:sz="8" w:space="0" w:color="6D6D6D"/>
              <w:bottom w:val="single" w:sz="8" w:space="0" w:color="6D6D6D"/>
              <w:right w:val="single" w:sz="8" w:space="0" w:color="6D6D6D"/>
            </w:tcBorders>
            <w:shd w:val="clear" w:color="auto" w:fill="auto"/>
            <w:noWrap/>
          </w:tcPr>
          <w:p w14:paraId="390277EB" w14:textId="77777777" w:rsidR="00D41D98" w:rsidRPr="007613B3" w:rsidRDefault="00D41D98">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4619" w:type="dxa"/>
            <w:tcBorders>
              <w:top w:val="single" w:sz="8" w:space="0" w:color="6D6D6D"/>
              <w:left w:val="single" w:sz="8" w:space="0" w:color="6D6D6D"/>
              <w:bottom w:val="single" w:sz="8" w:space="0" w:color="6D6D6D"/>
              <w:right w:val="single" w:sz="8" w:space="0" w:color="6D6D6D"/>
            </w:tcBorders>
            <w:shd w:val="clear" w:color="auto" w:fill="auto"/>
          </w:tcPr>
          <w:p w14:paraId="2EBF422C" w14:textId="163DE0FC" w:rsidR="00D41D98" w:rsidRPr="00BF2489" w:rsidRDefault="00A102D2" w:rsidP="002108C6">
            <w:pPr>
              <w:spacing w:line="240" w:lineRule="auto"/>
              <w:ind w:left="12" w:hanging="12"/>
              <w:rPr>
                <w:rFonts w:ascii="Calibri" w:eastAsia="Arial Unicode MS" w:hAnsi="Calibri" w:cs="Calibri"/>
                <w:color w:val="4472C4" w:themeColor="accent5"/>
              </w:rPr>
            </w:pPr>
            <w:r>
              <w:rPr>
                <w:rFonts w:ascii="Calibri" w:eastAsia="Arial Unicode MS" w:hAnsi="Calibri" w:cs="Calibri"/>
                <w:color w:val="4472C4" w:themeColor="accent5"/>
              </w:rPr>
              <w:t>N/A</w:t>
            </w:r>
          </w:p>
        </w:tc>
        <w:tc>
          <w:tcPr>
            <w:tcW w:w="1618" w:type="dxa"/>
            <w:gridSpan w:val="2"/>
            <w:tcBorders>
              <w:top w:val="single" w:sz="8" w:space="0" w:color="6D6D6D"/>
              <w:left w:val="single" w:sz="8" w:space="0" w:color="6D6D6D"/>
              <w:bottom w:val="single" w:sz="8" w:space="0" w:color="6D6D6D"/>
              <w:right w:val="single" w:sz="8" w:space="0" w:color="6D6D6D"/>
            </w:tcBorders>
            <w:shd w:val="clear" w:color="auto" w:fill="auto"/>
          </w:tcPr>
          <w:p w14:paraId="7A5A569E" w14:textId="77777777" w:rsidR="00D41D98" w:rsidRPr="00BF2489" w:rsidRDefault="00D41D98">
            <w:pPr>
              <w:spacing w:before="60" w:after="60" w:line="240" w:lineRule="auto"/>
              <w:rPr>
                <w:rFonts w:ascii="Calibri" w:eastAsia="Arial Unicode MS" w:hAnsi="Calibri" w:cs="Calibri"/>
                <w:color w:val="auto"/>
              </w:rPr>
            </w:pPr>
          </w:p>
        </w:tc>
      </w:tr>
      <w:tr w:rsidR="00D41D98" w:rsidRPr="008008A6" w14:paraId="4F317F10" w14:textId="77777777" w:rsidTr="00A102D2">
        <w:trPr>
          <w:trHeight w:val="406"/>
        </w:trPr>
        <w:tc>
          <w:tcPr>
            <w:tcW w:w="4101" w:type="dxa"/>
            <w:tcBorders>
              <w:top w:val="single" w:sz="8" w:space="0" w:color="6D6D6D"/>
              <w:left w:val="single" w:sz="8" w:space="0" w:color="6D6D6D"/>
              <w:bottom w:val="single" w:sz="8" w:space="0" w:color="6D6D6D"/>
              <w:right w:val="single" w:sz="8" w:space="0" w:color="6D6D6D"/>
            </w:tcBorders>
            <w:shd w:val="clear" w:color="auto" w:fill="auto"/>
            <w:noWrap/>
          </w:tcPr>
          <w:p w14:paraId="5203ED8F" w14:textId="77777777" w:rsidR="00D41D98" w:rsidRPr="007613B3" w:rsidRDefault="00D41D98">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4619" w:type="dxa"/>
            <w:tcBorders>
              <w:top w:val="single" w:sz="8" w:space="0" w:color="6D6D6D"/>
              <w:left w:val="single" w:sz="8" w:space="0" w:color="6D6D6D"/>
              <w:bottom w:val="single" w:sz="8" w:space="0" w:color="6D6D6D"/>
              <w:right w:val="single" w:sz="8" w:space="0" w:color="6D6D6D"/>
            </w:tcBorders>
            <w:shd w:val="clear" w:color="auto" w:fill="auto"/>
          </w:tcPr>
          <w:p w14:paraId="7BBD6548" w14:textId="0D5D3977" w:rsidR="00D41D98" w:rsidRPr="008008A6" w:rsidRDefault="006319C3" w:rsidP="002108C6">
            <w:pPr>
              <w:spacing w:line="240" w:lineRule="auto"/>
              <w:ind w:left="12" w:hanging="12"/>
              <w:rPr>
                <w:rFonts w:ascii="Calibri" w:eastAsia="Arial Unicode MS" w:hAnsi="Calibri" w:cs="Calibri"/>
                <w:color w:val="4472C4" w:themeColor="accent5"/>
                <w:lang w:val="fr-FR"/>
              </w:rPr>
            </w:pPr>
            <w:r w:rsidRPr="008008A6">
              <w:rPr>
                <w:rFonts w:ascii="Calibri" w:eastAsia="Arial Unicode MS" w:hAnsi="Calibri" w:cs="Calibri"/>
                <w:color w:val="4472C4" w:themeColor="accent5"/>
                <w:lang w:val="fr-FR"/>
              </w:rPr>
              <w:t xml:space="preserve">3 fois 5 jours </w:t>
            </w:r>
            <w:r w:rsidR="008008A6" w:rsidRPr="008008A6">
              <w:rPr>
                <w:rFonts w:ascii="Calibri" w:eastAsia="Arial Unicode MS" w:hAnsi="Calibri" w:cs="Calibri"/>
                <w:color w:val="4472C4" w:themeColor="accent5"/>
                <w:lang w:val="fr-FR"/>
              </w:rPr>
              <w:t>à</w:t>
            </w:r>
            <w:r w:rsidRPr="008008A6">
              <w:rPr>
                <w:rFonts w:ascii="Calibri" w:eastAsia="Arial Unicode MS" w:hAnsi="Calibri" w:cs="Calibri"/>
                <w:color w:val="4472C4" w:themeColor="accent5"/>
                <w:lang w:val="fr-FR"/>
              </w:rPr>
              <w:t xml:space="preserve"> Tunis</w:t>
            </w:r>
          </w:p>
        </w:tc>
        <w:tc>
          <w:tcPr>
            <w:tcW w:w="1618" w:type="dxa"/>
            <w:gridSpan w:val="2"/>
            <w:tcBorders>
              <w:top w:val="single" w:sz="8" w:space="0" w:color="6D6D6D"/>
              <w:left w:val="single" w:sz="8" w:space="0" w:color="6D6D6D"/>
              <w:bottom w:val="single" w:sz="8" w:space="0" w:color="6D6D6D"/>
              <w:right w:val="single" w:sz="8" w:space="0" w:color="6D6D6D"/>
            </w:tcBorders>
            <w:shd w:val="clear" w:color="auto" w:fill="auto"/>
          </w:tcPr>
          <w:p w14:paraId="2BE36F4C" w14:textId="67B20542" w:rsidR="00D41D98" w:rsidRPr="006D78C5" w:rsidRDefault="00D41D98">
            <w:pPr>
              <w:spacing w:before="60" w:after="60" w:line="240" w:lineRule="auto"/>
              <w:jc w:val="center"/>
              <w:rPr>
                <w:rFonts w:ascii="Calibri" w:eastAsia="Arial Unicode MS" w:hAnsi="Calibri" w:cs="Calibri"/>
                <w:color w:val="auto"/>
                <w:lang w:val="fr-FR"/>
              </w:rPr>
            </w:pPr>
          </w:p>
        </w:tc>
      </w:tr>
      <w:tr w:rsidR="00D41D98" w:rsidRPr="007613B3" w14:paraId="470653FA" w14:textId="77777777" w:rsidTr="00A102D2">
        <w:trPr>
          <w:trHeight w:val="406"/>
        </w:trPr>
        <w:tc>
          <w:tcPr>
            <w:tcW w:w="410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38E47B74" w14:textId="0B8814CD" w:rsidR="00D41D98" w:rsidRPr="0054592E" w:rsidRDefault="00D41D98">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2"/>
            </w:r>
            <w:r w:rsidR="006D78C5">
              <w:rPr>
                <w:rFonts w:ascii="Calibri" w:eastAsia="Arial Unicode MS" w:hAnsi="Calibri" w:cs="Calibri"/>
                <w:b/>
                <w:color w:val="auto"/>
                <w:lang w:val="en-AU"/>
              </w:rPr>
              <w:t xml:space="preserve"> (</w:t>
            </w:r>
            <w:r w:rsidR="008C759B">
              <w:rPr>
                <w:rFonts w:ascii="Calibri" w:eastAsia="Arial Unicode MS" w:hAnsi="Calibri" w:cs="Calibri"/>
                <w:b/>
                <w:color w:val="auto"/>
                <w:lang w:val="en-AU"/>
              </w:rPr>
              <w:t>4</w:t>
            </w:r>
            <w:r w:rsidR="006D78C5">
              <w:rPr>
                <w:rFonts w:ascii="Calibri" w:eastAsia="Arial Unicode MS" w:hAnsi="Calibri" w:cs="Calibri"/>
                <w:b/>
                <w:color w:val="auto"/>
                <w:lang w:val="en-AU"/>
              </w:rPr>
              <w:t>0</w:t>
            </w:r>
            <w:r w:rsidR="00EF186E">
              <w:rPr>
                <w:rFonts w:ascii="Calibri" w:eastAsia="Arial Unicode MS" w:hAnsi="Calibri" w:cs="Calibri"/>
                <w:b/>
                <w:color w:val="auto"/>
                <w:lang w:val="en-AU"/>
              </w:rPr>
              <w:t xml:space="preserve"> H</w:t>
            </w:r>
            <w:r w:rsidR="006D78C5">
              <w:rPr>
                <w:rFonts w:ascii="Calibri" w:eastAsia="Arial Unicode MS" w:hAnsi="Calibri" w:cs="Calibri"/>
                <w:b/>
                <w:color w:val="auto"/>
                <w:lang w:val="en-AU"/>
              </w:rPr>
              <w:t>/J)</w:t>
            </w:r>
          </w:p>
        </w:tc>
        <w:tc>
          <w:tcPr>
            <w:tcW w:w="461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060E789" w14:textId="5700A8EA" w:rsidR="00D41D98" w:rsidRPr="007613B3" w:rsidRDefault="00D41D98" w:rsidP="00A102D2">
            <w:pPr>
              <w:spacing w:before="60" w:after="60" w:line="240" w:lineRule="auto"/>
              <w:jc w:val="center"/>
              <w:rPr>
                <w:rFonts w:ascii="Calibri" w:eastAsia="Arial Unicode MS" w:hAnsi="Calibri" w:cs="Calibri"/>
                <w:color w:val="auto"/>
                <w:lang w:val="en-AU"/>
              </w:rPr>
            </w:pPr>
          </w:p>
        </w:tc>
        <w:tc>
          <w:tcPr>
            <w:tcW w:w="1618" w:type="dxa"/>
            <w:gridSpan w:val="2"/>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09F36CF" w14:textId="14E6720C" w:rsidR="00D41D98" w:rsidRPr="00EF186E" w:rsidRDefault="00D41D98">
            <w:pPr>
              <w:spacing w:before="60" w:after="60" w:line="240" w:lineRule="auto"/>
              <w:jc w:val="center"/>
              <w:rPr>
                <w:rFonts w:ascii="Calibri" w:eastAsia="Arial Unicode MS" w:hAnsi="Calibri" w:cs="Calibri"/>
                <w:b/>
                <w:bCs/>
                <w:color w:val="4472C4" w:themeColor="accent5"/>
                <w:lang w:val="en-AU"/>
              </w:rPr>
            </w:pPr>
          </w:p>
        </w:tc>
      </w:tr>
      <w:bookmarkEnd w:id="4"/>
      <w:tr w:rsidR="00ED1C78" w:rsidRPr="007613B3" w14:paraId="42DFCDAE" w14:textId="77777777" w:rsidTr="00A102D2">
        <w:trPr>
          <w:trHeight w:val="401"/>
        </w:trPr>
        <w:tc>
          <w:tcPr>
            <w:tcW w:w="4101" w:type="dxa"/>
            <w:tcBorders>
              <w:top w:val="single" w:sz="4" w:space="0" w:color="auto"/>
              <w:left w:val="single" w:sz="4" w:space="0" w:color="auto"/>
              <w:bottom w:val="nil"/>
              <w:right w:val="single" w:sz="4" w:space="0" w:color="auto"/>
            </w:tcBorders>
            <w:shd w:val="clear" w:color="auto" w:fill="auto"/>
            <w:noWrap/>
            <w:hideMark/>
          </w:tcPr>
          <w:p w14:paraId="58D0812D" w14:textId="77777777" w:rsidR="00ED1C78" w:rsidRPr="007613B3" w:rsidRDefault="00ED1C78">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6237" w:type="dxa"/>
            <w:gridSpan w:val="3"/>
            <w:tcBorders>
              <w:top w:val="single" w:sz="4" w:space="0" w:color="auto"/>
              <w:left w:val="single" w:sz="4" w:space="0" w:color="auto"/>
              <w:bottom w:val="nil"/>
              <w:right w:val="single" w:sz="4" w:space="0" w:color="auto"/>
            </w:tcBorders>
            <w:shd w:val="clear" w:color="auto" w:fill="auto"/>
            <w:noWrap/>
            <w:hideMark/>
          </w:tcPr>
          <w:p w14:paraId="51F86FA4" w14:textId="77777777" w:rsidR="00ED1C78" w:rsidRPr="007613B3" w:rsidRDefault="00ED1C78">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ED1C78" w:rsidRPr="00951153" w14:paraId="244EDAC7" w14:textId="77777777" w:rsidTr="00A102D2">
        <w:trPr>
          <w:trHeight w:val="401"/>
        </w:trPr>
        <w:tc>
          <w:tcPr>
            <w:tcW w:w="4101" w:type="dxa"/>
            <w:tcBorders>
              <w:top w:val="nil"/>
              <w:left w:val="single" w:sz="4" w:space="0" w:color="auto"/>
              <w:bottom w:val="nil"/>
              <w:right w:val="single" w:sz="4" w:space="0" w:color="auto"/>
            </w:tcBorders>
            <w:shd w:val="clear" w:color="auto" w:fill="auto"/>
            <w:noWrap/>
          </w:tcPr>
          <w:p w14:paraId="1EE263A8" w14:textId="6CFC6A43" w:rsidR="00ED1C78" w:rsidRPr="00ED1C78" w:rsidRDefault="00527096" w:rsidP="00527096">
            <w:pPr>
              <w:spacing w:before="60" w:line="240" w:lineRule="auto"/>
              <w:rPr>
                <w:rFonts w:ascii="Calibri" w:eastAsia="Arial Unicode MS" w:hAnsi="Calibri" w:cs="Calibri"/>
                <w:color w:val="auto"/>
                <w:lang w:val="fr-FR"/>
              </w:rPr>
            </w:pPr>
            <w:r>
              <w:rPr>
                <w:rFonts w:ascii="Calibri" w:eastAsia="Arial Unicode MS" w:hAnsi="Calibri" w:cs="Calibri"/>
                <w:color w:val="auto"/>
                <w:lang w:val="en-AU"/>
              </w:rPr>
              <w:fldChar w:fldCharType="begin">
                <w:ffData>
                  <w:name w:val="Check6"/>
                  <w:enabled/>
                  <w:calcOnExit w:val="0"/>
                  <w:checkBox>
                    <w:sizeAuto/>
                    <w:default w:val="0"/>
                  </w:checkBox>
                </w:ffData>
              </w:fldChar>
            </w:r>
            <w:r w:rsidRPr="00C717ED">
              <w:rPr>
                <w:rFonts w:ascii="Calibri" w:eastAsia="Arial Unicode MS" w:hAnsi="Calibri" w:cs="Calibri"/>
                <w:color w:val="auto"/>
                <w:lang w:val="fr-FR"/>
              </w:rPr>
              <w:instrText xml:space="preserve"> </w:instrText>
            </w:r>
            <w:bookmarkStart w:id="5" w:name="Check6"/>
            <w:r w:rsidRPr="00C717ED">
              <w:rPr>
                <w:rFonts w:ascii="Calibri" w:eastAsia="Arial Unicode MS" w:hAnsi="Calibri" w:cs="Calibri"/>
                <w:color w:val="auto"/>
                <w:lang w:val="fr-FR"/>
              </w:rPr>
              <w:instrText xml:space="preserve">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ED1C78" w:rsidRPr="00ED1C78">
              <w:rPr>
                <w:rFonts w:ascii="Calibri" w:eastAsia="Arial Unicode MS" w:hAnsi="Calibri" w:cs="Calibri"/>
                <w:color w:val="auto"/>
                <w:lang w:val="fr-FR"/>
              </w:rPr>
              <w:t xml:space="preserve"> </w:t>
            </w:r>
            <w:proofErr w:type="spellStart"/>
            <w:r w:rsidR="00ED1C78" w:rsidRPr="00ED1C78">
              <w:rPr>
                <w:rFonts w:ascii="Calibri" w:eastAsia="Arial Unicode MS" w:hAnsi="Calibri" w:cs="Calibri"/>
                <w:color w:val="auto"/>
                <w:lang w:val="fr-FR"/>
              </w:rPr>
              <w:t>Bachelors</w:t>
            </w:r>
            <w:proofErr w:type="spellEnd"/>
            <w:r w:rsidR="00ED1C78" w:rsidRPr="00ED1C78">
              <w:rPr>
                <w:rFonts w:ascii="Calibri" w:eastAsia="Arial Unicode MS" w:hAnsi="Calibri" w:cs="Calibri"/>
                <w:color w:val="auto"/>
                <w:lang w:val="fr-FR"/>
              </w:rPr>
              <w:t xml:space="preserve">   </w:t>
            </w:r>
            <w:r>
              <w:rPr>
                <w:rFonts w:ascii="Calibri" w:eastAsia="Arial Unicode MS" w:hAnsi="Calibri" w:cs="Calibri"/>
                <w:color w:val="auto"/>
                <w:lang w:val="en-AU"/>
              </w:rPr>
              <w:fldChar w:fldCharType="begin">
                <w:ffData>
                  <w:name w:val="Check7"/>
                  <w:enabled/>
                  <w:calcOnExit w:val="0"/>
                  <w:checkBox>
                    <w:sizeAuto/>
                    <w:default w:val="1"/>
                  </w:checkBox>
                </w:ffData>
              </w:fldChar>
            </w:r>
            <w:r w:rsidRPr="00C717ED">
              <w:rPr>
                <w:rFonts w:ascii="Calibri" w:eastAsia="Arial Unicode MS" w:hAnsi="Calibri" w:cs="Calibri"/>
                <w:color w:val="auto"/>
                <w:lang w:val="fr-FR"/>
              </w:rPr>
              <w:instrText xml:space="preserve"> </w:instrText>
            </w:r>
            <w:bookmarkStart w:id="6" w:name="Check7"/>
            <w:r w:rsidRPr="00C717ED">
              <w:rPr>
                <w:rFonts w:ascii="Calibri" w:eastAsia="Arial Unicode MS" w:hAnsi="Calibri" w:cs="Calibri"/>
                <w:color w:val="auto"/>
                <w:lang w:val="fr-FR"/>
              </w:rPr>
              <w:instrText xml:space="preserve">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6"/>
            <w:r w:rsidR="00ED1C78" w:rsidRPr="00ED1C78">
              <w:rPr>
                <w:rFonts w:ascii="Calibri" w:eastAsia="Arial Unicode MS" w:hAnsi="Calibri" w:cs="Calibri"/>
                <w:color w:val="auto"/>
                <w:lang w:val="fr-FR"/>
              </w:rPr>
              <w:t xml:space="preserve"> Masters   </w:t>
            </w:r>
            <w:r w:rsidR="00EF186E">
              <w:rPr>
                <w:rFonts w:ascii="Calibri" w:eastAsia="Arial Unicode MS" w:hAnsi="Calibri" w:cs="Calibri"/>
                <w:color w:val="auto"/>
                <w:lang w:val="en-AU"/>
              </w:rPr>
              <w:fldChar w:fldCharType="begin">
                <w:ffData>
                  <w:name w:val="Check8"/>
                  <w:enabled/>
                  <w:calcOnExit w:val="0"/>
                  <w:checkBox>
                    <w:sizeAuto/>
                    <w:default w:val="1"/>
                  </w:checkBox>
                </w:ffData>
              </w:fldChar>
            </w:r>
            <w:bookmarkStart w:id="7" w:name="Check8"/>
            <w:r w:rsidR="00EF186E" w:rsidRPr="00397355">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EF186E">
              <w:rPr>
                <w:rFonts w:ascii="Calibri" w:eastAsia="Arial Unicode MS" w:hAnsi="Calibri" w:cs="Calibri"/>
                <w:color w:val="auto"/>
                <w:lang w:val="en-AU"/>
              </w:rPr>
              <w:fldChar w:fldCharType="end"/>
            </w:r>
            <w:bookmarkEnd w:id="7"/>
            <w:r w:rsidR="00ED1C78" w:rsidRPr="00ED1C78">
              <w:rPr>
                <w:rFonts w:ascii="Calibri" w:eastAsia="Arial Unicode MS" w:hAnsi="Calibri" w:cs="Calibri"/>
                <w:color w:val="auto"/>
                <w:lang w:val="fr-FR"/>
              </w:rPr>
              <w:t xml:space="preserve"> PhD   </w:t>
            </w:r>
            <w:r w:rsidR="00ED1C78"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ED1C78" w:rsidRPr="00ED1C78">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ED1C78" w:rsidRPr="007613B3">
              <w:rPr>
                <w:rFonts w:ascii="Calibri" w:eastAsia="Arial Unicode MS" w:hAnsi="Calibri" w:cs="Calibri"/>
                <w:color w:val="auto"/>
                <w:lang w:val="en-AU"/>
              </w:rPr>
              <w:fldChar w:fldCharType="end"/>
            </w:r>
            <w:r w:rsidR="00ED1C78" w:rsidRPr="00ED1C78">
              <w:rPr>
                <w:rFonts w:ascii="Calibri" w:eastAsia="Arial Unicode MS" w:hAnsi="Calibri" w:cs="Calibri"/>
                <w:color w:val="auto"/>
                <w:lang w:val="fr-FR"/>
              </w:rPr>
              <w:t xml:space="preserve"> </w:t>
            </w:r>
            <w:proofErr w:type="spellStart"/>
            <w:r w:rsidR="00ED1C78" w:rsidRPr="00ED1C78">
              <w:rPr>
                <w:rFonts w:ascii="Calibri" w:eastAsia="Arial Unicode MS" w:hAnsi="Calibri" w:cs="Calibri"/>
                <w:color w:val="auto"/>
                <w:lang w:val="fr-FR"/>
              </w:rPr>
              <w:t>Other</w:t>
            </w:r>
            <w:proofErr w:type="spellEnd"/>
            <w:r w:rsidR="00ED1C78" w:rsidRPr="00ED1C78">
              <w:rPr>
                <w:rFonts w:ascii="Calibri" w:eastAsia="Arial Unicode MS" w:hAnsi="Calibri" w:cs="Calibri"/>
                <w:color w:val="auto"/>
                <w:lang w:val="fr-FR"/>
              </w:rPr>
              <w:t xml:space="preserve">  </w:t>
            </w:r>
          </w:p>
          <w:p w14:paraId="6E15D688" w14:textId="77777777" w:rsidR="00ED1C78" w:rsidRPr="00ED1C78" w:rsidRDefault="00ED1C78">
            <w:pPr>
              <w:spacing w:before="60" w:line="240" w:lineRule="auto"/>
              <w:rPr>
                <w:rFonts w:ascii="Calibri" w:eastAsia="Arial Unicode MS" w:hAnsi="Calibri" w:cs="Calibri"/>
                <w:color w:val="auto"/>
                <w:lang w:val="fr-FR"/>
              </w:rPr>
            </w:pPr>
            <w:r w:rsidRPr="00ED1C78">
              <w:rPr>
                <w:rFonts w:ascii="Calibri" w:eastAsia="Arial Unicode MS" w:hAnsi="Calibri" w:cs="Calibri"/>
                <w:color w:val="auto"/>
                <w:lang w:val="fr-FR"/>
              </w:rPr>
              <w:t>Enter Disciplines</w:t>
            </w:r>
          </w:p>
          <w:p w14:paraId="244A14AA" w14:textId="75F58CE2" w:rsidR="00ED1C78" w:rsidRDefault="00563E29">
            <w:pPr>
              <w:spacing w:before="60" w:line="240" w:lineRule="auto"/>
              <w:rPr>
                <w:rFonts w:ascii="Calibri" w:hAnsi="Calibri" w:cs="Calibri"/>
                <w:color w:val="4472C4" w:themeColor="accent5"/>
                <w:lang w:val="fr-FR"/>
              </w:rPr>
            </w:pPr>
            <w:r w:rsidRPr="00563E29">
              <w:rPr>
                <w:rFonts w:ascii="Calibri" w:hAnsi="Calibri" w:cs="Calibri"/>
                <w:color w:val="4472C4" w:themeColor="accent5"/>
                <w:lang w:val="fr-FR"/>
              </w:rPr>
              <w:t xml:space="preserve">L’économétrie, </w:t>
            </w:r>
            <w:r w:rsidR="00AB615B">
              <w:rPr>
                <w:rFonts w:ascii="Calibri" w:hAnsi="Calibri" w:cs="Calibri"/>
                <w:color w:val="4472C4" w:themeColor="accent5"/>
                <w:lang w:val="fr-FR"/>
              </w:rPr>
              <w:t xml:space="preserve">l’actuariat, </w:t>
            </w:r>
            <w:r w:rsidRPr="00563E29">
              <w:rPr>
                <w:rFonts w:ascii="Calibri" w:hAnsi="Calibri" w:cs="Calibri"/>
                <w:color w:val="4472C4" w:themeColor="accent5"/>
                <w:lang w:val="fr-FR"/>
              </w:rPr>
              <w:t xml:space="preserve">l’économie, ou les </w:t>
            </w:r>
            <w:r w:rsidR="00AB615B">
              <w:rPr>
                <w:rFonts w:ascii="Calibri" w:hAnsi="Calibri" w:cs="Calibri"/>
                <w:color w:val="4472C4" w:themeColor="accent5"/>
                <w:lang w:val="fr-FR"/>
              </w:rPr>
              <w:t>statistiques</w:t>
            </w:r>
            <w:r w:rsidRPr="00563E29">
              <w:rPr>
                <w:rFonts w:ascii="Calibri" w:hAnsi="Calibri" w:cs="Calibri"/>
                <w:color w:val="4472C4" w:themeColor="accent5"/>
                <w:lang w:val="fr-FR"/>
              </w:rPr>
              <w:t>,</w:t>
            </w:r>
            <w:r w:rsidR="00EF186E" w:rsidRPr="00EF186E">
              <w:rPr>
                <w:rFonts w:ascii="Calibri" w:hAnsi="Calibri" w:cs="Calibri"/>
                <w:color w:val="4472C4" w:themeColor="accent5"/>
                <w:lang w:val="fr-FR"/>
              </w:rPr>
              <w:t xml:space="preserve"> etc.</w:t>
            </w:r>
          </w:p>
          <w:p w14:paraId="56D40994" w14:textId="3EEA3114" w:rsidR="00EF186E" w:rsidRPr="00EF186E" w:rsidRDefault="00EF186E">
            <w:pPr>
              <w:spacing w:before="60" w:line="240" w:lineRule="auto"/>
              <w:rPr>
                <w:rFonts w:ascii="Calibri" w:eastAsia="Arial Unicode MS" w:hAnsi="Calibri" w:cs="Calibri"/>
                <w:color w:val="auto"/>
                <w:sz w:val="4"/>
                <w:szCs w:val="4"/>
                <w:lang w:val="fr-FR"/>
              </w:rPr>
            </w:pPr>
          </w:p>
        </w:tc>
        <w:tc>
          <w:tcPr>
            <w:tcW w:w="6237" w:type="dxa"/>
            <w:gridSpan w:val="3"/>
            <w:tcBorders>
              <w:top w:val="nil"/>
              <w:left w:val="single" w:sz="4" w:space="0" w:color="auto"/>
              <w:bottom w:val="nil"/>
              <w:right w:val="single" w:sz="4" w:space="0" w:color="auto"/>
            </w:tcBorders>
            <w:shd w:val="clear" w:color="auto" w:fill="auto"/>
            <w:noWrap/>
          </w:tcPr>
          <w:p w14:paraId="7F41345C" w14:textId="1C51182A" w:rsidR="00ED1C78" w:rsidRPr="00A102D2" w:rsidRDefault="00A102D2" w:rsidP="00A102D2">
            <w:pPr>
              <w:pStyle w:val="ListParagraph"/>
              <w:numPr>
                <w:ilvl w:val="0"/>
                <w:numId w:val="18"/>
              </w:numPr>
              <w:spacing w:line="300" w:lineRule="atLeast"/>
              <w:jc w:val="both"/>
              <w:rPr>
                <w:rFonts w:ascii="Calibri" w:eastAsia="Arial Unicode MS" w:hAnsi="Calibri" w:cs="Calibri"/>
                <w:color w:val="0070C0"/>
                <w:lang w:val="fr-FR"/>
              </w:rPr>
            </w:pPr>
            <w:r w:rsidRPr="00A102D2">
              <w:rPr>
                <w:rFonts w:ascii="Calibri" w:eastAsia="Arial Unicode MS" w:hAnsi="Calibri" w:cs="Calibri"/>
                <w:color w:val="0070C0"/>
                <w:lang w:val="fr-FR"/>
              </w:rPr>
              <w:t xml:space="preserve">Expérience d’au moins 10 ans dans </w:t>
            </w:r>
            <w:r w:rsidR="00B90463">
              <w:rPr>
                <w:rFonts w:ascii="Calibri" w:eastAsia="Arial Unicode MS" w:hAnsi="Calibri" w:cs="Calibri"/>
                <w:color w:val="0070C0"/>
                <w:lang w:val="fr-FR"/>
              </w:rPr>
              <w:t xml:space="preserve">la </w:t>
            </w:r>
            <w:r w:rsidRPr="00A102D2">
              <w:rPr>
                <w:rFonts w:ascii="Calibri" w:eastAsia="Arial Unicode MS" w:hAnsi="Calibri" w:cs="Calibri"/>
                <w:color w:val="0070C0"/>
                <w:lang w:val="fr-FR"/>
              </w:rPr>
              <w:t>conduite de recherches sur la protection sociale contributive et les simulations actuarielles.</w:t>
            </w:r>
          </w:p>
          <w:p w14:paraId="0002EADC" w14:textId="77777777" w:rsidR="00A102D2" w:rsidRPr="00A102D2" w:rsidRDefault="00A102D2" w:rsidP="00A102D2">
            <w:pPr>
              <w:pStyle w:val="ListParagraph"/>
              <w:numPr>
                <w:ilvl w:val="0"/>
                <w:numId w:val="18"/>
              </w:numPr>
              <w:spacing w:line="300" w:lineRule="atLeast"/>
              <w:jc w:val="both"/>
              <w:rPr>
                <w:rFonts w:ascii="Calibri" w:eastAsia="Arial Unicode MS" w:hAnsi="Calibri" w:cs="Calibri"/>
                <w:color w:val="0070C0"/>
                <w:lang w:val="fr-FR"/>
              </w:rPr>
            </w:pPr>
            <w:r w:rsidRPr="00A102D2">
              <w:rPr>
                <w:rFonts w:ascii="Calibri" w:eastAsia="Arial Unicode MS" w:hAnsi="Calibri" w:cs="Calibri"/>
                <w:color w:val="0070C0"/>
                <w:lang w:val="fr-FR"/>
              </w:rPr>
              <w:t xml:space="preserve">Une bonne connaissance des </w:t>
            </w:r>
            <w:r w:rsidRPr="00A102D2">
              <w:rPr>
                <w:rFonts w:asciiTheme="minorHAnsi" w:hAnsiTheme="minorHAnsi" w:cstheme="minorHAnsi"/>
                <w:color w:val="0070C0"/>
                <w:lang w:val="fr-FR"/>
              </w:rPr>
              <w:t>systèmes</w:t>
            </w:r>
            <w:r w:rsidRPr="00A102D2">
              <w:rPr>
                <w:rFonts w:ascii="Calibri" w:eastAsia="Arial Unicode MS" w:hAnsi="Calibri" w:cs="Calibri"/>
                <w:color w:val="0070C0"/>
                <w:lang w:val="fr-FR"/>
              </w:rPr>
              <w:t xml:space="preserve"> de sécurité sociale en Tunisie.</w:t>
            </w:r>
          </w:p>
          <w:p w14:paraId="5A0BF20B" w14:textId="0AF8AE86" w:rsidR="00A102D2" w:rsidRPr="00A102D2" w:rsidRDefault="00A102D2" w:rsidP="00A102D2">
            <w:pPr>
              <w:pStyle w:val="ListParagraph"/>
              <w:numPr>
                <w:ilvl w:val="0"/>
                <w:numId w:val="18"/>
              </w:numPr>
              <w:spacing w:line="300" w:lineRule="atLeast"/>
              <w:jc w:val="both"/>
              <w:rPr>
                <w:rFonts w:ascii="Calibri" w:eastAsia="Arial Unicode MS" w:hAnsi="Calibri" w:cs="Calibri"/>
                <w:color w:val="0070C0"/>
                <w:lang w:val="fr-FR"/>
              </w:rPr>
            </w:pPr>
            <w:r w:rsidRPr="00A102D2">
              <w:rPr>
                <w:rFonts w:ascii="Calibri" w:eastAsia="Arial Unicode MS" w:hAnsi="Calibri" w:cs="Calibri"/>
                <w:color w:val="0070C0"/>
                <w:lang w:val="fr-FR"/>
              </w:rPr>
              <w:t>Bonnes compétences et expérience en analyses quantitative, connaissance de méthodes de recherche quantitative, l’analyse des données, l’élaboration de modèle économétrique.</w:t>
            </w:r>
          </w:p>
          <w:p w14:paraId="5AE14B12" w14:textId="77777777" w:rsidR="00A102D2" w:rsidRPr="00A102D2" w:rsidRDefault="00A102D2" w:rsidP="00A102D2">
            <w:pPr>
              <w:pStyle w:val="ListParagraph"/>
              <w:numPr>
                <w:ilvl w:val="0"/>
                <w:numId w:val="18"/>
              </w:numPr>
              <w:spacing w:line="300" w:lineRule="atLeast"/>
              <w:jc w:val="both"/>
              <w:rPr>
                <w:rFonts w:ascii="Calibri" w:eastAsia="Arial Unicode MS" w:hAnsi="Calibri" w:cs="Calibri"/>
                <w:color w:val="0070C0"/>
                <w:lang w:val="fr-FR"/>
              </w:rPr>
            </w:pPr>
            <w:r w:rsidRPr="00A102D2">
              <w:rPr>
                <w:rFonts w:ascii="Calibri" w:eastAsia="Arial Unicode MS" w:hAnsi="Calibri" w:cs="Calibri"/>
                <w:color w:val="0070C0"/>
                <w:lang w:val="fr-FR"/>
              </w:rPr>
              <w:t>Bonne connaissance des systèmes de protection sociale et de sécurité sociale en Tunisie.</w:t>
            </w:r>
          </w:p>
          <w:p w14:paraId="433A07ED" w14:textId="563811EE" w:rsidR="00A102D2" w:rsidRPr="00A102D2" w:rsidRDefault="00A102D2" w:rsidP="00A102D2">
            <w:pPr>
              <w:pStyle w:val="ListParagraph"/>
              <w:numPr>
                <w:ilvl w:val="0"/>
                <w:numId w:val="18"/>
              </w:numPr>
              <w:spacing w:line="300" w:lineRule="atLeast"/>
              <w:jc w:val="both"/>
              <w:rPr>
                <w:rFonts w:ascii="Calibri" w:eastAsia="Arial Unicode MS" w:hAnsi="Calibri" w:cs="Calibri"/>
                <w:color w:val="auto"/>
                <w:lang w:val="fr-FR"/>
              </w:rPr>
            </w:pPr>
            <w:r w:rsidRPr="00A102D2">
              <w:rPr>
                <w:rFonts w:ascii="Calibri" w:eastAsia="Arial Unicode MS" w:hAnsi="Calibri" w:cs="Calibri"/>
                <w:color w:val="0070C0"/>
                <w:lang w:val="fr-FR"/>
              </w:rPr>
              <w:t>Compétences en matière d’analyse et de rédaction de rapports.</w:t>
            </w:r>
          </w:p>
        </w:tc>
      </w:tr>
      <w:tr w:rsidR="00ED1C78" w:rsidRPr="00951153" w14:paraId="12728D82" w14:textId="77777777" w:rsidTr="00A102D2">
        <w:trPr>
          <w:trHeight w:val="153"/>
        </w:trPr>
        <w:tc>
          <w:tcPr>
            <w:tcW w:w="10338" w:type="dxa"/>
            <w:gridSpan w:val="4"/>
            <w:tcBorders>
              <w:top w:val="nil"/>
            </w:tcBorders>
            <w:shd w:val="clear" w:color="auto" w:fill="auto"/>
            <w:noWrap/>
          </w:tcPr>
          <w:p w14:paraId="0018640C" w14:textId="77777777" w:rsidR="00EF186E" w:rsidRDefault="00EF186E">
            <w:pPr>
              <w:spacing w:before="60" w:line="240" w:lineRule="auto"/>
              <w:rPr>
                <w:color w:val="auto"/>
              </w:rPr>
            </w:pPr>
          </w:p>
          <w:tbl>
            <w:tblPr>
              <w:tblStyle w:val="TableGrid"/>
              <w:tblW w:w="9638" w:type="dxa"/>
              <w:tblLayout w:type="fixed"/>
              <w:tblLook w:val="04A0" w:firstRow="1" w:lastRow="0" w:firstColumn="1" w:lastColumn="0" w:noHBand="0" w:noVBand="1"/>
            </w:tblPr>
            <w:tblGrid>
              <w:gridCol w:w="4819"/>
              <w:gridCol w:w="4819"/>
            </w:tblGrid>
            <w:tr w:rsidR="00ED1C78" w:rsidRPr="00CB3017" w14:paraId="6FF863E2" w14:textId="77777777" w:rsidTr="002B2FF7">
              <w:tc>
                <w:tcPr>
                  <w:tcW w:w="4819" w:type="dxa"/>
                  <w:shd w:val="clear" w:color="auto" w:fill="D9E2F3" w:themeFill="accent5" w:themeFillTint="33"/>
                </w:tcPr>
                <w:p w14:paraId="35BA1848" w14:textId="5046032E" w:rsidR="00ED1C78" w:rsidRPr="00EF186E" w:rsidRDefault="00ED1C78" w:rsidP="00951153">
                  <w:pPr>
                    <w:framePr w:hSpace="180" w:wrap="around" w:vAnchor="page" w:hAnchor="margin" w:y="1531"/>
                    <w:spacing w:before="60" w:line="240" w:lineRule="auto"/>
                    <w:rPr>
                      <w:rFonts w:ascii="Calibri" w:hAnsi="Calibri" w:cs="Calibri"/>
                      <w:b/>
                      <w:bCs/>
                      <w:lang w:val="en-AU"/>
                    </w:rPr>
                  </w:pPr>
                  <w:r w:rsidRPr="00EF186E">
                    <w:rPr>
                      <w:rFonts w:ascii="Calibri" w:hAnsi="Calibri" w:cs="Calibri"/>
                      <w:b/>
                      <w:bCs/>
                      <w:lang w:val="en-AU"/>
                    </w:rPr>
                    <w:t xml:space="preserve">A) </w:t>
                  </w:r>
                  <w:r w:rsidRPr="00EF186E">
                    <w:rPr>
                      <w:rFonts w:ascii="Calibri" w:eastAsia="Arial Unicode MS" w:hAnsi="Calibri" w:cs="Calibri"/>
                      <w:b/>
                      <w:bCs/>
                      <w:color w:val="auto"/>
                      <w:lang w:val="en-AU"/>
                    </w:rPr>
                    <w:t xml:space="preserve"> Technical Evaluation (maximum 75 </w:t>
                  </w:r>
                  <w:r w:rsidR="00EF186E" w:rsidRPr="00EF186E">
                    <w:rPr>
                      <w:rFonts w:ascii="Calibri" w:eastAsia="Arial Unicode MS" w:hAnsi="Calibri" w:cs="Calibri"/>
                      <w:b/>
                      <w:bCs/>
                      <w:color w:val="auto"/>
                      <w:lang w:val="en-AU"/>
                    </w:rPr>
                    <w:t xml:space="preserve">Points)  </w:t>
                  </w:r>
                </w:p>
              </w:tc>
              <w:tc>
                <w:tcPr>
                  <w:tcW w:w="4819" w:type="dxa"/>
                  <w:shd w:val="clear" w:color="auto" w:fill="D9E2F3" w:themeFill="accent5" w:themeFillTint="33"/>
                </w:tcPr>
                <w:p w14:paraId="3F425D0C" w14:textId="77777777" w:rsidR="00ED1C78" w:rsidRPr="00EF186E" w:rsidRDefault="00ED1C78" w:rsidP="00951153">
                  <w:pPr>
                    <w:framePr w:hSpace="180" w:wrap="around" w:vAnchor="page" w:hAnchor="margin" w:y="1531"/>
                    <w:spacing w:before="60" w:line="240" w:lineRule="auto"/>
                    <w:rPr>
                      <w:rFonts w:ascii="Calibri" w:hAnsi="Calibri" w:cs="Calibri"/>
                      <w:b/>
                      <w:bCs/>
                    </w:rPr>
                  </w:pPr>
                  <w:r w:rsidRPr="00EF186E">
                    <w:rPr>
                      <w:rFonts w:ascii="Calibri" w:eastAsia="Arial Unicode MS" w:hAnsi="Calibri" w:cs="Calibri"/>
                      <w:b/>
                      <w:bCs/>
                      <w:color w:val="auto"/>
                      <w:lang w:val="en-AU"/>
                    </w:rPr>
                    <w:t>B) Financial Proposal (maximum of 25 Points)</w:t>
                  </w:r>
                </w:p>
              </w:tc>
            </w:tr>
            <w:tr w:rsidR="00EF186E" w:rsidRPr="00EF186E" w14:paraId="3874E2C0" w14:textId="77777777" w:rsidTr="002B2FF7">
              <w:tc>
                <w:tcPr>
                  <w:tcW w:w="4819" w:type="dxa"/>
                </w:tcPr>
                <w:p w14:paraId="46B2B712" w14:textId="3F50DBFE" w:rsidR="00EF186E" w:rsidRPr="005E7388" w:rsidRDefault="00EF186E" w:rsidP="00951153">
                  <w:pPr>
                    <w:pStyle w:val="ListParagraph"/>
                    <w:framePr w:hSpace="180" w:wrap="around" w:vAnchor="page" w:hAnchor="margin" w:y="1531"/>
                    <w:numPr>
                      <w:ilvl w:val="0"/>
                      <w:numId w:val="2"/>
                    </w:numPr>
                    <w:rPr>
                      <w:rFonts w:ascii="Calibri" w:hAnsi="Calibri" w:cs="Calibri"/>
                      <w:color w:val="4472C4" w:themeColor="accent5"/>
                      <w:lang w:val="fr-FR"/>
                    </w:rPr>
                  </w:pPr>
                  <w:r w:rsidRPr="00D02FE0">
                    <w:rPr>
                      <w:rFonts w:ascii="Calibri" w:hAnsi="Calibri" w:cs="Calibri"/>
                      <w:b/>
                      <w:bCs/>
                      <w:color w:val="4472C4" w:themeColor="accent5"/>
                      <w:lang w:val="fr-FR"/>
                    </w:rPr>
                    <w:t xml:space="preserve">Education : </w:t>
                  </w:r>
                  <w:r w:rsidR="00D02FE0" w:rsidRPr="00D02FE0">
                    <w:rPr>
                      <w:lang w:val="fr-FR"/>
                    </w:rPr>
                    <w:t xml:space="preserve"> </w:t>
                  </w:r>
                  <w:r w:rsidR="005E7388" w:rsidRPr="005E7388">
                    <w:rPr>
                      <w:lang w:val="fr-FR"/>
                    </w:rPr>
                    <w:t xml:space="preserve"> </w:t>
                  </w:r>
                  <w:r w:rsidR="005E7388" w:rsidRPr="005E7388">
                    <w:rPr>
                      <w:rFonts w:ascii="Calibri" w:hAnsi="Calibri" w:cs="Calibri"/>
                      <w:color w:val="4472C4" w:themeColor="accent5"/>
                      <w:lang w:val="fr-FR"/>
                    </w:rPr>
                    <w:t>Au moins un master dans un domaine pertinent, tel que l’actuariat, l’économétrie, les statistiques ou l’économie</w:t>
                  </w:r>
                  <w:r w:rsidR="00A102D2">
                    <w:rPr>
                      <w:rFonts w:ascii="Calibri" w:hAnsi="Calibri" w:cs="Calibri"/>
                      <w:color w:val="4472C4" w:themeColor="accent5"/>
                      <w:lang w:val="fr-FR"/>
                    </w:rPr>
                    <w:t xml:space="preserve"> </w:t>
                  </w:r>
                  <w:r w:rsidR="00A102D2" w:rsidRPr="00A102D2">
                    <w:rPr>
                      <w:rFonts w:ascii="Calibri" w:hAnsi="Calibri" w:cs="Calibri"/>
                      <w:i/>
                      <w:iCs/>
                      <w:color w:val="4472C4" w:themeColor="accent5"/>
                      <w:lang w:val="fr-FR"/>
                    </w:rPr>
                    <w:t>(10 points)</w:t>
                  </w:r>
                  <w:r w:rsidR="005E7388" w:rsidRPr="00A102D2">
                    <w:rPr>
                      <w:rFonts w:ascii="Calibri" w:hAnsi="Calibri" w:cs="Calibri"/>
                      <w:i/>
                      <w:iCs/>
                      <w:color w:val="4472C4" w:themeColor="accent5"/>
                      <w:lang w:val="fr-FR"/>
                    </w:rPr>
                    <w:t>.</w:t>
                  </w:r>
                </w:p>
              </w:tc>
              <w:tc>
                <w:tcPr>
                  <w:tcW w:w="4819" w:type="dxa"/>
                  <w:vMerge w:val="restart"/>
                </w:tcPr>
                <w:p w14:paraId="5125F6AB" w14:textId="0B92ADCA" w:rsidR="00EF186E" w:rsidRPr="00EF186E" w:rsidRDefault="00EF186E" w:rsidP="00951153">
                  <w:pPr>
                    <w:framePr w:hSpace="180" w:wrap="around" w:vAnchor="page" w:hAnchor="margin" w:y="1531"/>
                    <w:spacing w:before="60" w:line="240" w:lineRule="auto"/>
                    <w:rPr>
                      <w:rFonts w:ascii="Calibri" w:eastAsia="Arial Unicode MS" w:hAnsi="Calibri" w:cs="Calibri"/>
                      <w:color w:val="auto"/>
                      <w:lang w:val="fr-FR"/>
                    </w:rPr>
                  </w:pPr>
                  <w:r w:rsidRPr="00EF186E">
                    <w:rPr>
                      <w:rFonts w:ascii="Calibri" w:eastAsia="Arial Unicode MS" w:hAnsi="Calibri" w:cs="Calibri"/>
                      <w:color w:val="4472C4" w:themeColor="accent5"/>
                      <w:lang w:val="fr-FR"/>
                    </w:rPr>
                    <w:t>Pas de critères spécifiques</w:t>
                  </w:r>
                </w:p>
              </w:tc>
            </w:tr>
            <w:tr w:rsidR="00EF186E" w:rsidRPr="00951153" w14:paraId="35EFD0DA" w14:textId="77777777" w:rsidTr="002B2FF7">
              <w:trPr>
                <w:trHeight w:val="1313"/>
              </w:trPr>
              <w:tc>
                <w:tcPr>
                  <w:tcW w:w="4819" w:type="dxa"/>
                </w:tcPr>
                <w:p w14:paraId="271CBCBB" w14:textId="0FEB374D" w:rsidR="00EF186E" w:rsidRPr="0077008D" w:rsidRDefault="00EF186E" w:rsidP="00951153">
                  <w:pPr>
                    <w:pStyle w:val="ListParagraph"/>
                    <w:framePr w:hSpace="180" w:wrap="around" w:vAnchor="page" w:hAnchor="margin" w:y="1531"/>
                    <w:numPr>
                      <w:ilvl w:val="0"/>
                      <w:numId w:val="2"/>
                    </w:numPr>
                    <w:spacing w:before="60"/>
                    <w:jc w:val="both"/>
                    <w:rPr>
                      <w:rFonts w:ascii="Calibri" w:hAnsi="Calibri" w:cs="Calibri"/>
                      <w:color w:val="4472C4" w:themeColor="accent5"/>
                      <w:lang w:val="fr-FR"/>
                    </w:rPr>
                  </w:pPr>
                  <w:r w:rsidRPr="0077008D">
                    <w:rPr>
                      <w:rFonts w:ascii="Calibri" w:hAnsi="Calibri" w:cs="Calibri"/>
                      <w:b/>
                      <w:bCs/>
                      <w:color w:val="4472C4" w:themeColor="accent5"/>
                      <w:lang w:val="fr-FR"/>
                    </w:rPr>
                    <w:t>Expérience Professionnelle :</w:t>
                  </w:r>
                  <w:r w:rsidRPr="0077008D">
                    <w:rPr>
                      <w:rFonts w:ascii="Calibri" w:hAnsi="Calibri" w:cs="Calibri"/>
                      <w:color w:val="4472C4" w:themeColor="accent5"/>
                      <w:lang w:val="fr-FR"/>
                    </w:rPr>
                    <w:t xml:space="preserve"> </w:t>
                  </w:r>
                  <w:r w:rsidRPr="0077008D">
                    <w:rPr>
                      <w:color w:val="4472C4" w:themeColor="accent5"/>
                      <w:lang w:val="fr-FR"/>
                    </w:rPr>
                    <w:t xml:space="preserve"> </w:t>
                  </w:r>
                  <w:r w:rsidRPr="0077008D">
                    <w:rPr>
                      <w:lang w:val="fr-FR"/>
                    </w:rPr>
                    <w:t xml:space="preserve">  </w:t>
                  </w:r>
                  <w:r w:rsidRPr="0077008D">
                    <w:rPr>
                      <w:rFonts w:ascii="Calibri" w:hAnsi="Calibri" w:cs="Calibri"/>
                      <w:color w:val="4472C4" w:themeColor="accent5"/>
                      <w:lang w:val="fr-FR"/>
                    </w:rPr>
                    <w:t xml:space="preserve">Expérience de travail pertinente d’au moins </w:t>
                  </w:r>
                  <w:r w:rsidR="00D02FE0" w:rsidRPr="0077008D">
                    <w:rPr>
                      <w:rFonts w:ascii="Calibri" w:hAnsi="Calibri" w:cs="Calibri"/>
                      <w:color w:val="4472C4" w:themeColor="accent5"/>
                      <w:lang w:val="fr-FR"/>
                    </w:rPr>
                    <w:t>1</w:t>
                  </w:r>
                  <w:r w:rsidRPr="0077008D">
                    <w:rPr>
                      <w:rFonts w:ascii="Calibri" w:hAnsi="Calibri" w:cs="Calibri"/>
                      <w:color w:val="4472C4" w:themeColor="accent5"/>
                      <w:lang w:val="fr-FR"/>
                    </w:rPr>
                    <w:t xml:space="preserve">0 ans avérée dans </w:t>
                  </w:r>
                  <w:r w:rsidR="005E7388" w:rsidRPr="0077008D">
                    <w:rPr>
                      <w:rFonts w:ascii="Calibri" w:hAnsi="Calibri" w:cs="Calibri"/>
                      <w:color w:val="4472C4" w:themeColor="accent5"/>
                      <w:lang w:val="fr-FR"/>
                    </w:rPr>
                    <w:t>la conduite de recherches sur la protection sociale contributive et les simulations actuarielles</w:t>
                  </w:r>
                  <w:r w:rsidR="0077008D" w:rsidRPr="0077008D">
                    <w:rPr>
                      <w:rFonts w:ascii="Calibri" w:hAnsi="Calibri" w:cs="Calibri"/>
                      <w:color w:val="4472C4" w:themeColor="accent5"/>
                      <w:lang w:val="fr-FR"/>
                    </w:rPr>
                    <w:t xml:space="preserve"> et </w:t>
                  </w:r>
                  <w:r w:rsidR="0077008D">
                    <w:rPr>
                      <w:rFonts w:ascii="Calibri" w:hAnsi="Calibri" w:cs="Calibri"/>
                      <w:color w:val="4472C4" w:themeColor="accent5"/>
                      <w:lang w:val="fr-FR"/>
                    </w:rPr>
                    <w:t>u</w:t>
                  </w:r>
                  <w:r w:rsidR="005E7388" w:rsidRPr="0077008D">
                    <w:rPr>
                      <w:rFonts w:ascii="Calibri" w:hAnsi="Calibri" w:cs="Calibri"/>
                      <w:color w:val="4472C4" w:themeColor="accent5"/>
                      <w:lang w:val="fr-FR"/>
                    </w:rPr>
                    <w:t xml:space="preserve">ne </w:t>
                  </w:r>
                  <w:r w:rsidR="0077008D">
                    <w:rPr>
                      <w:rFonts w:ascii="Calibri" w:hAnsi="Calibri" w:cs="Calibri"/>
                      <w:color w:val="4472C4" w:themeColor="accent5"/>
                      <w:lang w:val="fr-FR"/>
                    </w:rPr>
                    <w:t xml:space="preserve">très </w:t>
                  </w:r>
                  <w:r w:rsidR="005E7388" w:rsidRPr="0077008D">
                    <w:rPr>
                      <w:rFonts w:ascii="Calibri" w:hAnsi="Calibri" w:cs="Calibri"/>
                      <w:color w:val="4472C4" w:themeColor="accent5"/>
                      <w:lang w:val="fr-FR"/>
                    </w:rPr>
                    <w:t>bonne connaissance des systèmes de sécurité sociale</w:t>
                  </w:r>
                  <w:r w:rsidR="0077008D">
                    <w:rPr>
                      <w:rFonts w:ascii="Calibri" w:hAnsi="Calibri" w:cs="Calibri"/>
                      <w:color w:val="4472C4" w:themeColor="accent5"/>
                      <w:lang w:val="fr-FR"/>
                    </w:rPr>
                    <w:t xml:space="preserve"> en Tunisie</w:t>
                  </w:r>
                  <w:r w:rsidR="00A102D2">
                    <w:rPr>
                      <w:rFonts w:ascii="Calibri" w:hAnsi="Calibri" w:cs="Calibri"/>
                      <w:color w:val="4472C4" w:themeColor="accent5"/>
                      <w:lang w:val="fr-FR"/>
                    </w:rPr>
                    <w:t xml:space="preserve"> </w:t>
                  </w:r>
                  <w:r w:rsidR="00A102D2" w:rsidRPr="00A102D2">
                    <w:rPr>
                      <w:rFonts w:ascii="Calibri" w:hAnsi="Calibri" w:cs="Calibri"/>
                      <w:i/>
                      <w:iCs/>
                      <w:color w:val="4472C4" w:themeColor="accent5"/>
                      <w:lang w:val="fr-FR"/>
                    </w:rPr>
                    <w:t>(</w:t>
                  </w:r>
                  <w:r w:rsidR="00A102D2">
                    <w:rPr>
                      <w:rFonts w:ascii="Calibri" w:hAnsi="Calibri" w:cs="Calibri"/>
                      <w:i/>
                      <w:iCs/>
                      <w:color w:val="4472C4" w:themeColor="accent5"/>
                      <w:lang w:val="fr-FR"/>
                    </w:rPr>
                    <w:t>30</w:t>
                  </w:r>
                  <w:r w:rsidR="00A102D2" w:rsidRPr="00A102D2">
                    <w:rPr>
                      <w:rFonts w:ascii="Calibri" w:hAnsi="Calibri" w:cs="Calibri"/>
                      <w:i/>
                      <w:iCs/>
                      <w:color w:val="4472C4" w:themeColor="accent5"/>
                      <w:lang w:val="fr-FR"/>
                    </w:rPr>
                    <w:t xml:space="preserve"> points)</w:t>
                  </w:r>
                  <w:r w:rsidR="005E7388" w:rsidRPr="00A102D2">
                    <w:rPr>
                      <w:rFonts w:ascii="Calibri" w:hAnsi="Calibri" w:cs="Calibri"/>
                      <w:i/>
                      <w:iCs/>
                      <w:color w:val="4472C4" w:themeColor="accent5"/>
                      <w:lang w:val="fr-FR"/>
                    </w:rPr>
                    <w:t>.</w:t>
                  </w:r>
                  <w:r w:rsidR="005E7388" w:rsidRPr="0077008D">
                    <w:rPr>
                      <w:rFonts w:ascii="Calibri" w:hAnsi="Calibri" w:cs="Calibri"/>
                      <w:color w:val="4472C4" w:themeColor="accent5"/>
                      <w:lang w:val="fr-FR"/>
                    </w:rPr>
                    <w:t xml:space="preserve"> </w:t>
                  </w:r>
                </w:p>
              </w:tc>
              <w:tc>
                <w:tcPr>
                  <w:tcW w:w="4819" w:type="dxa"/>
                  <w:vMerge/>
                </w:tcPr>
                <w:p w14:paraId="14810D81" w14:textId="6EB8DCC4" w:rsidR="00EF186E" w:rsidRPr="00F813EA" w:rsidRDefault="00EF186E" w:rsidP="00951153">
                  <w:pPr>
                    <w:framePr w:hSpace="180" w:wrap="around" w:vAnchor="page" w:hAnchor="margin" w:y="1531"/>
                    <w:spacing w:before="60" w:line="240" w:lineRule="auto"/>
                    <w:rPr>
                      <w:rFonts w:ascii="Calibri" w:hAnsi="Calibri" w:cs="Calibri"/>
                      <w:lang w:val="fr-FR"/>
                    </w:rPr>
                  </w:pPr>
                </w:p>
              </w:tc>
            </w:tr>
            <w:tr w:rsidR="00EF186E" w:rsidRPr="00951153" w14:paraId="4C51D446" w14:textId="77777777" w:rsidTr="002B2FF7">
              <w:tc>
                <w:tcPr>
                  <w:tcW w:w="4819" w:type="dxa"/>
                </w:tcPr>
                <w:p w14:paraId="4C2BFD82" w14:textId="1E7772C3" w:rsidR="00EF186E" w:rsidRPr="007D7330" w:rsidRDefault="0077008D" w:rsidP="00951153">
                  <w:pPr>
                    <w:pStyle w:val="ListParagraph"/>
                    <w:framePr w:hSpace="180" w:wrap="around" w:vAnchor="page" w:hAnchor="margin" w:y="1531"/>
                    <w:numPr>
                      <w:ilvl w:val="0"/>
                      <w:numId w:val="2"/>
                    </w:numPr>
                    <w:spacing w:before="60"/>
                    <w:jc w:val="both"/>
                    <w:rPr>
                      <w:rFonts w:ascii="Calibri" w:hAnsi="Calibri" w:cs="Calibri"/>
                      <w:b/>
                      <w:bCs/>
                      <w:color w:val="4472C4" w:themeColor="accent5"/>
                      <w:lang w:val="fr-FR"/>
                    </w:rPr>
                  </w:pPr>
                  <w:r>
                    <w:rPr>
                      <w:rFonts w:ascii="Calibri" w:hAnsi="Calibri" w:cs="Calibri"/>
                      <w:color w:val="4472C4" w:themeColor="accent5"/>
                      <w:lang w:val="fr-FR"/>
                    </w:rPr>
                    <w:t xml:space="preserve">Très </w:t>
                  </w:r>
                  <w:r w:rsidR="00EF186E" w:rsidRPr="00EF186E">
                    <w:rPr>
                      <w:rFonts w:ascii="Calibri" w:hAnsi="Calibri" w:cs="Calibri"/>
                      <w:color w:val="4472C4" w:themeColor="accent5"/>
                      <w:lang w:val="fr-FR"/>
                    </w:rPr>
                    <w:t>Bonnes compétences et expérience</w:t>
                  </w:r>
                  <w:r w:rsidR="00EF186E" w:rsidRPr="00EF186E">
                    <w:rPr>
                      <w:rFonts w:ascii="Calibri" w:hAnsi="Calibri" w:cs="Calibri"/>
                      <w:b/>
                      <w:bCs/>
                      <w:color w:val="4472C4" w:themeColor="accent5"/>
                      <w:lang w:val="fr-FR"/>
                    </w:rPr>
                    <w:t xml:space="preserve"> en analyses </w:t>
                  </w:r>
                  <w:r w:rsidR="00D02FE0" w:rsidRPr="00D02FE0">
                    <w:rPr>
                      <w:rFonts w:ascii="Calibri" w:hAnsi="Calibri" w:cs="Calibri"/>
                      <w:b/>
                      <w:bCs/>
                      <w:color w:val="4472C4" w:themeColor="accent5"/>
                      <w:lang w:val="fr-FR"/>
                    </w:rPr>
                    <w:t xml:space="preserve">quantitative, </w:t>
                  </w:r>
                  <w:r w:rsidR="007D7330" w:rsidRPr="007D7330">
                    <w:rPr>
                      <w:rFonts w:ascii="Calibri" w:hAnsi="Calibri" w:cs="Calibri"/>
                      <w:color w:val="4472C4" w:themeColor="accent5"/>
                      <w:lang w:val="fr-FR"/>
                    </w:rPr>
                    <w:t>c</w:t>
                  </w:r>
                  <w:r w:rsidRPr="007D7330">
                    <w:rPr>
                      <w:rFonts w:ascii="Calibri" w:hAnsi="Calibri" w:cs="Calibri"/>
                      <w:color w:val="4472C4" w:themeColor="accent5"/>
                      <w:lang w:val="fr-FR"/>
                    </w:rPr>
                    <w:t>onnaissance de méthodes de recherche quantitative, l’analyse des données, l’élaboration de modèle économétrique et les analyses actuarielles</w:t>
                  </w:r>
                  <w:r w:rsidR="00A102D2">
                    <w:rPr>
                      <w:rFonts w:ascii="Calibri" w:hAnsi="Calibri" w:cs="Calibri"/>
                      <w:color w:val="4472C4" w:themeColor="accent5"/>
                      <w:lang w:val="fr-FR"/>
                    </w:rPr>
                    <w:t xml:space="preserve"> </w:t>
                  </w:r>
                  <w:r w:rsidR="00A102D2" w:rsidRPr="00A102D2">
                    <w:rPr>
                      <w:rFonts w:ascii="Calibri" w:hAnsi="Calibri" w:cs="Calibri"/>
                      <w:i/>
                      <w:iCs/>
                      <w:color w:val="4472C4" w:themeColor="accent5"/>
                      <w:lang w:val="fr-FR"/>
                    </w:rPr>
                    <w:t>(1</w:t>
                  </w:r>
                  <w:r w:rsidR="00A102D2">
                    <w:rPr>
                      <w:rFonts w:ascii="Calibri" w:hAnsi="Calibri" w:cs="Calibri"/>
                      <w:i/>
                      <w:iCs/>
                      <w:color w:val="4472C4" w:themeColor="accent5"/>
                      <w:lang w:val="fr-FR"/>
                    </w:rPr>
                    <w:t>5</w:t>
                  </w:r>
                  <w:r w:rsidR="00A102D2" w:rsidRPr="00A102D2">
                    <w:rPr>
                      <w:rFonts w:ascii="Calibri" w:hAnsi="Calibri" w:cs="Calibri"/>
                      <w:i/>
                      <w:iCs/>
                      <w:color w:val="4472C4" w:themeColor="accent5"/>
                      <w:lang w:val="fr-FR"/>
                    </w:rPr>
                    <w:t xml:space="preserve"> points)</w:t>
                  </w:r>
                  <w:r w:rsidRPr="00A102D2">
                    <w:rPr>
                      <w:rFonts w:ascii="Calibri" w:hAnsi="Calibri" w:cs="Calibri"/>
                      <w:i/>
                      <w:iCs/>
                      <w:color w:val="4472C4" w:themeColor="accent5"/>
                      <w:lang w:val="fr-FR"/>
                    </w:rPr>
                    <w:t>.</w:t>
                  </w:r>
                </w:p>
              </w:tc>
              <w:tc>
                <w:tcPr>
                  <w:tcW w:w="4819" w:type="dxa"/>
                  <w:vMerge/>
                </w:tcPr>
                <w:p w14:paraId="4EA9348D" w14:textId="44FA2F15" w:rsidR="00EF186E" w:rsidRPr="00F813EA" w:rsidRDefault="00EF186E" w:rsidP="00951153">
                  <w:pPr>
                    <w:framePr w:hSpace="180" w:wrap="around" w:vAnchor="page" w:hAnchor="margin" w:y="1531"/>
                    <w:spacing w:before="60" w:line="240" w:lineRule="auto"/>
                    <w:rPr>
                      <w:rFonts w:ascii="Calibri" w:hAnsi="Calibri" w:cs="Calibri"/>
                      <w:lang w:val="fr-FR"/>
                    </w:rPr>
                  </w:pPr>
                </w:p>
              </w:tc>
            </w:tr>
            <w:tr w:rsidR="00EF186E" w:rsidRPr="00951153" w14:paraId="20949873" w14:textId="77777777" w:rsidTr="002B2FF7">
              <w:tc>
                <w:tcPr>
                  <w:tcW w:w="4819" w:type="dxa"/>
                </w:tcPr>
                <w:p w14:paraId="2C348AD7" w14:textId="28CFDA76" w:rsidR="00EF186E" w:rsidRPr="00563E29" w:rsidRDefault="00563E29" w:rsidP="00951153">
                  <w:pPr>
                    <w:pStyle w:val="ListParagraph"/>
                    <w:framePr w:hSpace="180" w:wrap="around" w:vAnchor="page" w:hAnchor="margin" w:y="1531"/>
                    <w:numPr>
                      <w:ilvl w:val="0"/>
                      <w:numId w:val="2"/>
                    </w:numPr>
                    <w:rPr>
                      <w:rFonts w:ascii="Calibri" w:hAnsi="Calibri" w:cs="Calibri"/>
                      <w:color w:val="4472C4" w:themeColor="accent5"/>
                      <w:lang w:val="fr-FR"/>
                    </w:rPr>
                  </w:pPr>
                  <w:r w:rsidRPr="00563E29">
                    <w:rPr>
                      <w:rFonts w:ascii="Calibri" w:hAnsi="Calibri" w:cs="Calibri"/>
                      <w:color w:val="4472C4" w:themeColor="accent5"/>
                      <w:lang w:val="fr-FR"/>
                    </w:rPr>
                    <w:t>Une bonne connaissance des systèmes de</w:t>
                  </w:r>
                  <w:r w:rsidR="00134B0C">
                    <w:rPr>
                      <w:rFonts w:ascii="Calibri" w:hAnsi="Calibri" w:cs="Calibri"/>
                      <w:color w:val="4472C4" w:themeColor="accent5"/>
                      <w:lang w:val="fr-FR"/>
                    </w:rPr>
                    <w:t xml:space="preserve"> protection sociale et de sécurité sociale en Tunisie</w:t>
                  </w:r>
                  <w:r w:rsidRPr="00563E29">
                    <w:rPr>
                      <w:rFonts w:ascii="Calibri" w:hAnsi="Calibri" w:cs="Calibri"/>
                      <w:color w:val="4472C4" w:themeColor="accent5"/>
                      <w:lang w:val="fr-FR"/>
                    </w:rPr>
                    <w:t xml:space="preserve"> (dimensions </w:t>
                  </w:r>
                  <w:r w:rsidR="00134B0C">
                    <w:rPr>
                      <w:rFonts w:ascii="Calibri" w:hAnsi="Calibri" w:cs="Calibri"/>
                      <w:color w:val="4472C4" w:themeColor="accent5"/>
                      <w:lang w:val="fr-FR"/>
                    </w:rPr>
                    <w:t>cotisations et prestations</w:t>
                  </w:r>
                  <w:r w:rsidRPr="00563E29">
                    <w:rPr>
                      <w:rFonts w:ascii="Calibri" w:hAnsi="Calibri" w:cs="Calibri"/>
                      <w:color w:val="4472C4" w:themeColor="accent5"/>
                      <w:lang w:val="fr-FR"/>
                    </w:rPr>
                    <w:t>)</w:t>
                  </w:r>
                  <w:r w:rsidR="00A102D2">
                    <w:rPr>
                      <w:rFonts w:ascii="Calibri" w:hAnsi="Calibri" w:cs="Calibri"/>
                      <w:color w:val="4472C4" w:themeColor="accent5"/>
                      <w:lang w:val="fr-FR"/>
                    </w:rPr>
                    <w:t xml:space="preserve"> </w:t>
                  </w:r>
                  <w:r w:rsidR="00A102D2" w:rsidRPr="00A102D2">
                    <w:rPr>
                      <w:rFonts w:ascii="Calibri" w:hAnsi="Calibri" w:cs="Calibri"/>
                      <w:i/>
                      <w:iCs/>
                      <w:color w:val="4472C4" w:themeColor="accent5"/>
                      <w:lang w:val="fr-FR"/>
                    </w:rPr>
                    <w:t>(</w:t>
                  </w:r>
                  <w:r w:rsidR="00A102D2">
                    <w:rPr>
                      <w:rFonts w:ascii="Calibri" w:hAnsi="Calibri" w:cs="Calibri"/>
                      <w:i/>
                      <w:iCs/>
                      <w:color w:val="4472C4" w:themeColor="accent5"/>
                      <w:lang w:val="fr-FR"/>
                    </w:rPr>
                    <w:t>10</w:t>
                  </w:r>
                  <w:r w:rsidR="00A102D2" w:rsidRPr="00A102D2">
                    <w:rPr>
                      <w:rFonts w:ascii="Calibri" w:hAnsi="Calibri" w:cs="Calibri"/>
                      <w:i/>
                      <w:iCs/>
                      <w:color w:val="4472C4" w:themeColor="accent5"/>
                      <w:lang w:val="fr-FR"/>
                    </w:rPr>
                    <w:t xml:space="preserve"> points)</w:t>
                  </w:r>
                  <w:r w:rsidRPr="00A102D2">
                    <w:rPr>
                      <w:rFonts w:ascii="Calibri" w:hAnsi="Calibri" w:cs="Calibri"/>
                      <w:i/>
                      <w:iCs/>
                      <w:color w:val="4472C4" w:themeColor="accent5"/>
                      <w:lang w:val="fr-FR"/>
                    </w:rPr>
                    <w:t>.</w:t>
                  </w:r>
                  <w:r w:rsidRPr="00563E29">
                    <w:rPr>
                      <w:rFonts w:ascii="Calibri" w:hAnsi="Calibri" w:cs="Calibri"/>
                      <w:color w:val="4472C4" w:themeColor="accent5"/>
                      <w:lang w:val="fr-FR"/>
                    </w:rPr>
                    <w:t xml:space="preserve"> </w:t>
                  </w:r>
                </w:p>
              </w:tc>
              <w:tc>
                <w:tcPr>
                  <w:tcW w:w="4819" w:type="dxa"/>
                  <w:vMerge w:val="restart"/>
                </w:tcPr>
                <w:p w14:paraId="76BF3657" w14:textId="77777777" w:rsidR="00EF186E" w:rsidRPr="00FE2A80" w:rsidRDefault="00EF186E" w:rsidP="00951153">
                  <w:pPr>
                    <w:framePr w:hSpace="180" w:wrap="around" w:vAnchor="page" w:hAnchor="margin" w:y="1531"/>
                    <w:spacing w:before="60" w:line="240" w:lineRule="auto"/>
                    <w:rPr>
                      <w:rFonts w:ascii="Calibri" w:hAnsi="Calibri" w:cs="Calibri"/>
                      <w:color w:val="4472C4" w:themeColor="accent5"/>
                      <w:lang w:val="fr-FR"/>
                    </w:rPr>
                  </w:pPr>
                </w:p>
              </w:tc>
            </w:tr>
            <w:tr w:rsidR="00EF186E" w:rsidRPr="00951153" w14:paraId="094DF9CB" w14:textId="77777777" w:rsidTr="002B2FF7">
              <w:tc>
                <w:tcPr>
                  <w:tcW w:w="4819" w:type="dxa"/>
                </w:tcPr>
                <w:p w14:paraId="7A494D1B" w14:textId="61072E76" w:rsidR="00EF186E" w:rsidRPr="00134B0C" w:rsidRDefault="007D7330" w:rsidP="00951153">
                  <w:pPr>
                    <w:pStyle w:val="ListParagraph"/>
                    <w:framePr w:hSpace="180" w:wrap="around" w:vAnchor="page" w:hAnchor="margin" w:y="1531"/>
                    <w:numPr>
                      <w:ilvl w:val="0"/>
                      <w:numId w:val="2"/>
                    </w:numPr>
                    <w:rPr>
                      <w:rFonts w:ascii="Calibri" w:hAnsi="Calibri" w:cs="Calibri"/>
                      <w:color w:val="4472C4" w:themeColor="accent5"/>
                      <w:lang w:val="fr-FR"/>
                    </w:rPr>
                  </w:pPr>
                  <w:r w:rsidRPr="007D7330">
                    <w:rPr>
                      <w:rFonts w:ascii="Calibri" w:hAnsi="Calibri" w:cs="Calibri"/>
                      <w:color w:val="4472C4" w:themeColor="accent5"/>
                      <w:lang w:val="fr-FR"/>
                    </w:rPr>
                    <w:t>Excellentes compétences en matière d’analyse et de rédaction de rapports, ainsi que la capacité de communiquer les résultats de la recherche à divers publics</w:t>
                  </w:r>
                  <w:r w:rsidR="00A102D2" w:rsidRPr="00A102D2">
                    <w:rPr>
                      <w:rFonts w:ascii="Calibri" w:hAnsi="Calibri" w:cs="Calibri"/>
                      <w:i/>
                      <w:iCs/>
                      <w:color w:val="4472C4" w:themeColor="accent5"/>
                      <w:lang w:val="fr-FR"/>
                    </w:rPr>
                    <w:t xml:space="preserve"> (5 points)</w:t>
                  </w:r>
                  <w:r w:rsidR="00A102D2">
                    <w:rPr>
                      <w:rFonts w:ascii="Calibri" w:hAnsi="Calibri" w:cs="Calibri"/>
                      <w:i/>
                      <w:iCs/>
                      <w:color w:val="4472C4" w:themeColor="accent5"/>
                      <w:lang w:val="fr-FR"/>
                    </w:rPr>
                    <w:t>.</w:t>
                  </w:r>
                </w:p>
              </w:tc>
              <w:tc>
                <w:tcPr>
                  <w:tcW w:w="4819" w:type="dxa"/>
                  <w:vMerge/>
                </w:tcPr>
                <w:p w14:paraId="691FF02E" w14:textId="4CED176A" w:rsidR="00EF186E" w:rsidRPr="00F813EA" w:rsidRDefault="00EF186E" w:rsidP="00951153">
                  <w:pPr>
                    <w:framePr w:hSpace="180" w:wrap="around" w:vAnchor="page" w:hAnchor="margin" w:y="1531"/>
                    <w:spacing w:before="60" w:line="240" w:lineRule="auto"/>
                    <w:rPr>
                      <w:rFonts w:ascii="Calibri" w:hAnsi="Calibri" w:cs="Calibri"/>
                      <w:lang w:val="fr-FR"/>
                    </w:rPr>
                  </w:pPr>
                </w:p>
              </w:tc>
            </w:tr>
            <w:tr w:rsidR="00ED1C78" w:rsidRPr="00951153" w14:paraId="0FFF0AC6" w14:textId="77777777" w:rsidTr="002B2FF7">
              <w:tc>
                <w:tcPr>
                  <w:tcW w:w="4819" w:type="dxa"/>
                </w:tcPr>
                <w:p w14:paraId="0F749580" w14:textId="6B8E5BC7" w:rsidR="00ED1C78" w:rsidRPr="00EF186E" w:rsidRDefault="00134B0C" w:rsidP="00951153">
                  <w:pPr>
                    <w:pStyle w:val="ListParagraph"/>
                    <w:framePr w:hSpace="180" w:wrap="around" w:vAnchor="page" w:hAnchor="margin" w:y="1531"/>
                    <w:numPr>
                      <w:ilvl w:val="0"/>
                      <w:numId w:val="2"/>
                    </w:numPr>
                    <w:spacing w:before="60" w:line="240" w:lineRule="auto"/>
                    <w:rPr>
                      <w:rFonts w:ascii="Calibri" w:hAnsi="Calibri" w:cs="Calibri"/>
                      <w:b/>
                      <w:bCs/>
                      <w:lang w:val="fr-FR"/>
                    </w:rPr>
                  </w:pPr>
                  <w:r w:rsidRPr="00134B0C">
                    <w:rPr>
                      <w:rFonts w:ascii="Calibri" w:hAnsi="Calibri" w:cs="Calibri"/>
                      <w:color w:val="4472C4" w:themeColor="accent5"/>
                      <w:lang w:val="fr-FR"/>
                    </w:rPr>
                    <w:t>Le consultant doit être en mesure de travailler en langue française et arabe et parlées et écrite</w:t>
                  </w:r>
                  <w:r w:rsidR="00A102D2">
                    <w:rPr>
                      <w:rFonts w:ascii="Calibri" w:hAnsi="Calibri" w:cs="Calibri"/>
                      <w:color w:val="4472C4" w:themeColor="accent5"/>
                      <w:lang w:val="fr-FR"/>
                    </w:rPr>
                    <w:t xml:space="preserve">s </w:t>
                  </w:r>
                  <w:r w:rsidR="00A102D2" w:rsidRPr="00A102D2">
                    <w:rPr>
                      <w:rFonts w:ascii="Calibri" w:hAnsi="Calibri" w:cs="Calibri"/>
                      <w:i/>
                      <w:iCs/>
                      <w:color w:val="4472C4" w:themeColor="accent5"/>
                      <w:lang w:val="fr-FR"/>
                    </w:rPr>
                    <w:t>(5 points)</w:t>
                  </w:r>
                  <w:r w:rsidR="00A102D2">
                    <w:rPr>
                      <w:rFonts w:ascii="Calibri" w:hAnsi="Calibri" w:cs="Calibri"/>
                      <w:i/>
                      <w:iCs/>
                      <w:color w:val="4472C4" w:themeColor="accent5"/>
                      <w:lang w:val="fr-FR"/>
                    </w:rPr>
                    <w:t>.</w:t>
                  </w:r>
                </w:p>
              </w:tc>
              <w:tc>
                <w:tcPr>
                  <w:tcW w:w="4819" w:type="dxa"/>
                </w:tcPr>
                <w:p w14:paraId="0697FE2F" w14:textId="77777777" w:rsidR="00ED1C78" w:rsidRPr="00F813EA" w:rsidRDefault="00ED1C78" w:rsidP="00951153">
                  <w:pPr>
                    <w:framePr w:hSpace="180" w:wrap="around" w:vAnchor="page" w:hAnchor="margin" w:y="1531"/>
                    <w:spacing w:before="60" w:line="240" w:lineRule="auto"/>
                    <w:rPr>
                      <w:rFonts w:ascii="Calibri" w:hAnsi="Calibri" w:cs="Calibri"/>
                      <w:lang w:val="fr-FR"/>
                    </w:rPr>
                  </w:pPr>
                </w:p>
              </w:tc>
            </w:tr>
          </w:tbl>
          <w:p w14:paraId="464CFC29" w14:textId="2D52587C" w:rsidR="00ED1C78" w:rsidRPr="00A102D2" w:rsidRDefault="00A102D2">
            <w:pPr>
              <w:spacing w:before="60" w:line="240" w:lineRule="auto"/>
              <w:rPr>
                <w:rFonts w:ascii="Calibri" w:hAnsi="Calibri" w:cs="Calibri"/>
                <w:i/>
                <w:iCs/>
                <w:lang w:val="fr-FR"/>
              </w:rPr>
            </w:pPr>
            <w:r w:rsidRPr="00A102D2">
              <w:rPr>
                <w:rFonts w:ascii="Calibri" w:hAnsi="Calibri" w:cs="Calibri"/>
                <w:i/>
                <w:iCs/>
                <w:lang w:val="fr-FR"/>
              </w:rPr>
              <w:lastRenderedPageBreak/>
              <w:t xml:space="preserve">NB : Prière de noter que seules les candidatures ayant eu un score de 60% ou plus lors de l’évaluation technique, passeront à l’évaluation financière. </w:t>
            </w:r>
          </w:p>
        </w:tc>
      </w:tr>
      <w:tr w:rsidR="00ED1C78" w:rsidRPr="007613B3" w14:paraId="307A19D4" w14:textId="77777777" w:rsidTr="00A102D2">
        <w:trPr>
          <w:trHeight w:val="153"/>
        </w:trPr>
        <w:tc>
          <w:tcPr>
            <w:tcW w:w="4101" w:type="dxa"/>
            <w:tcBorders>
              <w:top w:val="nil"/>
              <w:right w:val="single" w:sz="4" w:space="0" w:color="auto"/>
            </w:tcBorders>
            <w:shd w:val="clear" w:color="auto" w:fill="auto"/>
            <w:noWrap/>
          </w:tcPr>
          <w:p w14:paraId="00A19471" w14:textId="20169613" w:rsidR="00ED1C78" w:rsidRDefault="00ED1C78" w:rsidP="00A102D2">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Administrative details</w:t>
            </w:r>
            <w:r>
              <w:rPr>
                <w:rFonts w:ascii="Calibri" w:eastAsia="Arial Unicode MS" w:hAnsi="Calibri" w:cs="Calibri"/>
                <w:b/>
                <w:color w:val="auto"/>
                <w:lang w:val="en-AU"/>
              </w:rPr>
              <w:t>:</w:t>
            </w:r>
          </w:p>
          <w:p w14:paraId="51C868C6" w14:textId="77777777" w:rsidR="00ED1C78" w:rsidRDefault="00ED1C78" w:rsidP="002108C6">
            <w:pPr>
              <w:spacing w:line="240" w:lineRule="auto"/>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06856D7" w14:textId="77777777" w:rsidR="00ED1C78" w:rsidRDefault="00ED1C78" w:rsidP="002108C6">
            <w:pPr>
              <w:spacing w:line="240" w:lineRule="auto"/>
              <w:rPr>
                <w:rFonts w:ascii="Calibri" w:eastAsia="Arial Unicode MS" w:hAnsi="Calibri" w:cs="Calibri"/>
                <w:color w:val="auto"/>
                <w:lang w:val="en-AU"/>
              </w:rPr>
            </w:pPr>
          </w:p>
          <w:p w14:paraId="0DD82C0F" w14:textId="77777777" w:rsidR="00ED1C78" w:rsidRPr="00527096" w:rsidRDefault="00ED1C78" w:rsidP="002108C6">
            <w:pPr>
              <w:spacing w:line="240" w:lineRule="auto"/>
              <w:rPr>
                <w:rFonts w:ascii="Calibri" w:eastAsia="Arial Unicode MS" w:hAnsi="Calibri" w:cs="Calibri"/>
                <w:color w:val="auto"/>
              </w:rPr>
            </w:pPr>
            <w:r>
              <w:rPr>
                <w:rFonts w:ascii="Calibri" w:eastAsia="Arial Unicode MS" w:hAnsi="Calibri" w:cs="Calibri"/>
                <w:color w:val="auto"/>
                <w:lang w:val="en-AU"/>
              </w:rPr>
              <w:fldChar w:fldCharType="begin">
                <w:ffData>
                  <w:name w:val=""/>
                  <w:enabled/>
                  <w:calcOnExit w:val="0"/>
                  <w:checkBox>
                    <w:sizeAuto/>
                    <w:default w:val="1"/>
                  </w:checkBox>
                </w:ffData>
              </w:fldChar>
            </w:r>
            <w:r w:rsidRPr="00397355">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527096">
              <w:rPr>
                <w:rFonts w:ascii="Calibri" w:eastAsia="Arial Unicode MS" w:hAnsi="Calibri" w:cs="Calibri"/>
                <w:color w:val="auto"/>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397355">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27096">
              <w:rPr>
                <w:rFonts w:ascii="Calibri" w:eastAsia="Arial Unicode MS" w:hAnsi="Calibri" w:cs="Calibri"/>
                <w:color w:val="auto"/>
              </w:rPr>
              <w:t xml:space="preserve"> Office Based:</w:t>
            </w:r>
          </w:p>
          <w:p w14:paraId="717EDA40" w14:textId="1AC26560" w:rsidR="00ED1C78" w:rsidRPr="00344F72" w:rsidRDefault="00ED1C78" w:rsidP="00344F72">
            <w:pPr>
              <w:spacing w:before="60" w:line="240" w:lineRule="auto"/>
              <w:rPr>
                <w:rFonts w:ascii="Calibri" w:eastAsia="Arial Unicode MS" w:hAnsi="Calibri" w:cs="Calibri"/>
                <w:bCs/>
                <w:color w:val="4472C4" w:themeColor="accent5"/>
                <w:lang w:val="fr-FR"/>
              </w:rPr>
            </w:pPr>
            <w:r w:rsidRPr="00FE2A80">
              <w:rPr>
                <w:rFonts w:ascii="Calibri" w:eastAsia="Arial Unicode MS" w:hAnsi="Calibri" w:cs="Calibri"/>
                <w:bCs/>
                <w:color w:val="4472C4" w:themeColor="accent5"/>
                <w:lang w:val="fr-FR"/>
              </w:rPr>
              <w:t xml:space="preserve">Les déplacements seront pris en charge par le consultant.  Le consultant utilisera son propre PC.  </w:t>
            </w:r>
          </w:p>
        </w:tc>
        <w:tc>
          <w:tcPr>
            <w:tcW w:w="6237" w:type="dxa"/>
            <w:gridSpan w:val="3"/>
            <w:tcBorders>
              <w:top w:val="nil"/>
              <w:left w:val="single" w:sz="4" w:space="0" w:color="auto"/>
            </w:tcBorders>
            <w:shd w:val="clear" w:color="auto" w:fill="auto"/>
            <w:noWrap/>
          </w:tcPr>
          <w:p w14:paraId="2A87CA34" w14:textId="77777777" w:rsidR="00ED1C78" w:rsidRPr="00FE2A80" w:rsidRDefault="00ED1C78" w:rsidP="002108C6">
            <w:pPr>
              <w:spacing w:line="240" w:lineRule="auto"/>
              <w:rPr>
                <w:rFonts w:ascii="Calibri" w:eastAsia="Arial Unicode MS" w:hAnsi="Calibri" w:cs="Calibri"/>
                <w:color w:val="auto"/>
                <w:lang w:val="fr-FR"/>
              </w:rPr>
            </w:pPr>
            <w:r w:rsidRPr="00FE2A80">
              <w:rPr>
                <w:rFonts w:ascii="Calibri" w:eastAsia="Arial Unicode MS" w:hAnsi="Calibri" w:cs="Calibri"/>
                <w:color w:val="auto"/>
                <w:lang w:val="fr-FR"/>
              </w:rPr>
              <w:t xml:space="preserve"> </w:t>
            </w:r>
          </w:p>
          <w:p w14:paraId="3664F798" w14:textId="77777777" w:rsidR="00ED1C78" w:rsidRPr="00FE2A80" w:rsidRDefault="00ED1C78" w:rsidP="002108C6">
            <w:pPr>
              <w:spacing w:line="240" w:lineRule="auto"/>
              <w:rPr>
                <w:rFonts w:ascii="Calibri" w:eastAsia="Arial Unicode MS" w:hAnsi="Calibri" w:cs="Calibri"/>
                <w:color w:val="auto"/>
                <w:lang w:val="fr-FR"/>
              </w:rPr>
            </w:pPr>
          </w:p>
          <w:p w14:paraId="5A7B5FBA" w14:textId="77777777" w:rsidR="00ED1C78" w:rsidRPr="007613B3" w:rsidRDefault="00ED1C78" w:rsidP="002108C6">
            <w:pPr>
              <w:spacing w:line="240" w:lineRule="auto"/>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A1456C9" w14:textId="77777777" w:rsidR="00ED1C78" w:rsidRDefault="00ED1C78" w:rsidP="002108C6">
            <w:pPr>
              <w:spacing w:line="240" w:lineRule="auto"/>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09522C4C" w14:textId="77777777" w:rsidR="00ED1C78" w:rsidRPr="007613B3" w:rsidRDefault="00ED1C78" w:rsidP="002108C6">
            <w:pPr>
              <w:spacing w:line="240" w:lineRule="auto"/>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ED1C78" w:rsidRPr="007613B3" w14:paraId="136EFD48" w14:textId="77777777" w:rsidTr="00A102D2">
        <w:trPr>
          <w:trHeight w:val="240"/>
        </w:trPr>
        <w:tc>
          <w:tcPr>
            <w:tcW w:w="4101" w:type="dxa"/>
            <w:tcBorders>
              <w:bottom w:val="nil"/>
            </w:tcBorders>
            <w:shd w:val="clear" w:color="auto" w:fill="auto"/>
            <w:noWrap/>
            <w:hideMark/>
          </w:tcPr>
          <w:p w14:paraId="573DB906" w14:textId="77777777" w:rsidR="00ED1C78" w:rsidRPr="007613B3" w:rsidRDefault="00ED1C78">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6237" w:type="dxa"/>
            <w:gridSpan w:val="3"/>
            <w:tcBorders>
              <w:bottom w:val="nil"/>
            </w:tcBorders>
            <w:shd w:val="clear" w:color="auto" w:fill="auto"/>
          </w:tcPr>
          <w:p w14:paraId="75F0014E" w14:textId="77777777" w:rsidR="00ED1C78" w:rsidRPr="007613B3" w:rsidRDefault="00ED1C78">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ED1C78" w:rsidRPr="007613B3" w14:paraId="2B872714" w14:textId="77777777" w:rsidTr="00A102D2">
        <w:trPr>
          <w:trHeight w:val="361"/>
        </w:trPr>
        <w:tc>
          <w:tcPr>
            <w:tcW w:w="4101" w:type="dxa"/>
            <w:tcBorders>
              <w:top w:val="nil"/>
            </w:tcBorders>
            <w:shd w:val="clear" w:color="auto" w:fill="auto"/>
            <w:noWrap/>
          </w:tcPr>
          <w:p w14:paraId="35EFD516" w14:textId="77777777" w:rsidR="00ED1C78" w:rsidRDefault="00ED1C78">
            <w:pPr>
              <w:spacing w:before="60" w:after="60" w:line="240" w:lineRule="auto"/>
              <w:rPr>
                <w:rFonts w:ascii="Calibri" w:eastAsia="Arial Unicode MS" w:hAnsi="Calibri" w:cs="Calibri"/>
                <w:i/>
                <w:color w:val="auto"/>
                <w:lang w:val="en-AU"/>
              </w:rPr>
            </w:pPr>
          </w:p>
          <w:p w14:paraId="26A212E3" w14:textId="77777777" w:rsidR="00344F72" w:rsidRDefault="00344F72">
            <w:pPr>
              <w:spacing w:before="60" w:after="60" w:line="240" w:lineRule="auto"/>
              <w:rPr>
                <w:rFonts w:ascii="Calibri" w:eastAsia="Arial Unicode MS" w:hAnsi="Calibri" w:cs="Calibri"/>
                <w:i/>
                <w:color w:val="auto"/>
                <w:lang w:val="en-AU"/>
              </w:rPr>
            </w:pPr>
          </w:p>
          <w:p w14:paraId="23F77505" w14:textId="77777777" w:rsidR="00344F72" w:rsidRPr="007613B3" w:rsidRDefault="00344F72">
            <w:pPr>
              <w:spacing w:before="60" w:after="60" w:line="240" w:lineRule="auto"/>
              <w:rPr>
                <w:rFonts w:ascii="Calibri" w:eastAsia="Arial Unicode MS" w:hAnsi="Calibri" w:cs="Calibri"/>
                <w:i/>
                <w:color w:val="auto"/>
                <w:lang w:val="en-AU"/>
              </w:rPr>
            </w:pPr>
          </w:p>
        </w:tc>
        <w:tc>
          <w:tcPr>
            <w:tcW w:w="6237" w:type="dxa"/>
            <w:gridSpan w:val="3"/>
            <w:tcBorders>
              <w:top w:val="nil"/>
            </w:tcBorders>
            <w:shd w:val="clear" w:color="auto" w:fill="auto"/>
          </w:tcPr>
          <w:p w14:paraId="67510DB1" w14:textId="77777777" w:rsidR="00ED1C78" w:rsidRPr="007613B3" w:rsidRDefault="00ED1C78">
            <w:pPr>
              <w:spacing w:before="60" w:after="60" w:line="240" w:lineRule="auto"/>
              <w:rPr>
                <w:rFonts w:ascii="Calibri" w:eastAsia="Arial Unicode MS" w:hAnsi="Calibri" w:cs="Calibri"/>
                <w:i/>
                <w:color w:val="auto"/>
                <w:lang w:val="es-US"/>
              </w:rPr>
            </w:pPr>
          </w:p>
        </w:tc>
      </w:tr>
      <w:tr w:rsidR="00ED1C78" w:rsidRPr="007613B3" w14:paraId="4EE79742" w14:textId="77777777" w:rsidTr="00A102D2">
        <w:trPr>
          <w:trHeight w:val="1580"/>
        </w:trPr>
        <w:tc>
          <w:tcPr>
            <w:tcW w:w="10338" w:type="dxa"/>
            <w:gridSpan w:val="4"/>
            <w:tcBorders>
              <w:top w:val="nil"/>
            </w:tcBorders>
            <w:shd w:val="clear" w:color="auto" w:fill="auto"/>
            <w:noWrap/>
          </w:tcPr>
          <w:p w14:paraId="7AF2F3B1" w14:textId="77777777" w:rsidR="00ED1C78" w:rsidRPr="007613B3" w:rsidRDefault="00ED1C78">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557BCDCD" w14:textId="77777777" w:rsidR="00ED1C78" w:rsidRPr="007613B3" w:rsidRDefault="00ED1C78">
            <w:pPr>
              <w:spacing w:line="240" w:lineRule="auto"/>
              <w:rPr>
                <w:rFonts w:ascii="Calibri" w:eastAsia="Arial Unicode MS" w:hAnsi="Calibri" w:cs="Calibri"/>
                <w:i/>
                <w:color w:val="auto"/>
                <w:lang w:val="en-AU"/>
              </w:rPr>
            </w:pPr>
          </w:p>
          <w:p w14:paraId="09931F19" w14:textId="77777777" w:rsidR="00ED1C78" w:rsidRPr="007613B3" w:rsidRDefault="00ED1C78">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6C1CAB97" w14:textId="77777777" w:rsidR="00ED1C78" w:rsidRPr="007613B3" w:rsidRDefault="00ED1C78">
            <w:pPr>
              <w:spacing w:line="240" w:lineRule="auto"/>
              <w:rPr>
                <w:rFonts w:ascii="Calibri" w:eastAsia="Arial Unicode MS" w:hAnsi="Calibri" w:cs="Calibri"/>
                <w:i/>
                <w:color w:val="auto"/>
                <w:lang w:val="en-AU"/>
              </w:rPr>
            </w:pPr>
          </w:p>
          <w:p w14:paraId="22EFB1D3" w14:textId="77777777" w:rsidR="00ED1C78" w:rsidRPr="007613B3" w:rsidRDefault="00ED1C78">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6085A9C4" w14:textId="77777777" w:rsidR="00ED1C78" w:rsidRDefault="00ED1C78">
            <w:pPr>
              <w:spacing w:before="60" w:after="60" w:line="240" w:lineRule="auto"/>
              <w:rPr>
                <w:rFonts w:ascii="Calibri" w:eastAsia="Arial Unicode MS" w:hAnsi="Calibri" w:cs="Calibri"/>
                <w:i/>
                <w:color w:val="auto"/>
                <w:lang w:val="en-AU"/>
              </w:rPr>
            </w:pPr>
          </w:p>
          <w:p w14:paraId="02CEB44D" w14:textId="77777777" w:rsidR="00ED1C78" w:rsidRPr="00555615" w:rsidRDefault="00ED1C78">
            <w:pPr>
              <w:spacing w:before="60" w:after="60" w:line="240" w:lineRule="auto"/>
              <w:rPr>
                <w:rFonts w:ascii="Calibri" w:eastAsia="Arial Unicode MS" w:hAnsi="Calibri" w:cs="Calibri"/>
                <w:i/>
                <w:color w:val="auto"/>
                <w:lang w:val="en-AU"/>
              </w:rPr>
            </w:pPr>
          </w:p>
        </w:tc>
      </w:tr>
      <w:tr w:rsidR="00ED1C78" w:rsidRPr="007613B3" w14:paraId="6A490D0A" w14:textId="77777777" w:rsidTr="00A102D2">
        <w:trPr>
          <w:gridAfter w:val="1"/>
          <w:wAfter w:w="124" w:type="dxa"/>
          <w:trHeight w:val="144"/>
        </w:trPr>
        <w:tc>
          <w:tcPr>
            <w:tcW w:w="10214" w:type="dxa"/>
            <w:gridSpan w:val="3"/>
            <w:tcBorders>
              <w:top w:val="nil"/>
              <w:left w:val="nil"/>
              <w:bottom w:val="nil"/>
              <w:right w:val="nil"/>
            </w:tcBorders>
            <w:shd w:val="clear" w:color="auto" w:fill="auto"/>
            <w:noWrap/>
            <w:hideMark/>
          </w:tcPr>
          <w:p w14:paraId="25A29C0B" w14:textId="77777777" w:rsidR="00ED1C78" w:rsidRPr="007613B3" w:rsidRDefault="00ED1C78">
            <w:pPr>
              <w:spacing w:line="240" w:lineRule="auto"/>
              <w:ind w:left="342" w:hanging="342"/>
              <w:rPr>
                <w:rFonts w:ascii="Calibri" w:eastAsia="Arial Unicode MS" w:hAnsi="Calibri" w:cs="Calibri"/>
                <w:color w:val="auto"/>
                <w:sz w:val="16"/>
                <w:szCs w:val="16"/>
                <w:lang w:val="en-AU"/>
              </w:rPr>
            </w:pPr>
          </w:p>
        </w:tc>
      </w:tr>
      <w:tr w:rsidR="00ED1C78" w:rsidRPr="007613B3" w14:paraId="71B78371" w14:textId="77777777" w:rsidTr="00A102D2">
        <w:trPr>
          <w:gridAfter w:val="1"/>
          <w:wAfter w:w="124" w:type="dxa"/>
          <w:trHeight w:val="391"/>
        </w:trPr>
        <w:tc>
          <w:tcPr>
            <w:tcW w:w="10214" w:type="dxa"/>
            <w:gridSpan w:val="3"/>
            <w:tcBorders>
              <w:top w:val="nil"/>
              <w:left w:val="nil"/>
              <w:bottom w:val="nil"/>
              <w:right w:val="nil"/>
            </w:tcBorders>
            <w:shd w:val="clear" w:color="auto" w:fill="auto"/>
            <w:noWrap/>
          </w:tcPr>
          <w:p w14:paraId="2642F4D6" w14:textId="77777777" w:rsidR="00ED1C78" w:rsidRPr="00344F72" w:rsidRDefault="00ED1C78" w:rsidP="00344F72">
            <w:pPr>
              <w:spacing w:line="240" w:lineRule="auto"/>
              <w:rPr>
                <w:rFonts w:ascii="Calibri" w:eastAsia="Arial Unicode MS" w:hAnsi="Calibri" w:cs="Calibri"/>
                <w:color w:val="auto"/>
                <w:sz w:val="6"/>
                <w:szCs w:val="6"/>
                <w:lang w:val="en-AU"/>
              </w:rPr>
            </w:pPr>
          </w:p>
        </w:tc>
      </w:tr>
    </w:tbl>
    <w:p w14:paraId="64914793" w14:textId="24FC6C82" w:rsidR="00ED1C78" w:rsidRPr="00344F72" w:rsidRDefault="00ED1C78" w:rsidP="00344F72">
      <w:pPr>
        <w:pStyle w:val="EndnoteText"/>
        <w:jc w:val="both"/>
        <w:rPr>
          <w:rFonts w:asciiTheme="minorHAnsi" w:hAnsiTheme="minorHAnsi" w:cstheme="minorHAnsi"/>
        </w:rPr>
      </w:pPr>
      <w:r w:rsidRPr="00344F72">
        <w:rPr>
          <w:rStyle w:val="EndnoteReference"/>
          <w:rFonts w:asciiTheme="minorHAnsi" w:hAnsiTheme="minorHAnsi" w:cstheme="minorHAnsi"/>
        </w:rPr>
        <w:footnoteRef/>
      </w:r>
      <w:r w:rsidRPr="00344F72">
        <w:rPr>
          <w:rFonts w:asciiTheme="minorHAnsi" w:hAnsiTheme="minorHAnsi" w:cstheme="minorHAnsi"/>
        </w:rPr>
        <w:t xml:space="preserve"> 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554D3090" w14:textId="50F9D08C" w:rsidR="00ED1C78" w:rsidRPr="00344F72" w:rsidRDefault="00ED1C78" w:rsidP="00344F72">
      <w:pPr>
        <w:pStyle w:val="EndnoteText"/>
        <w:jc w:val="both"/>
        <w:rPr>
          <w:rFonts w:asciiTheme="minorHAnsi" w:hAnsiTheme="minorHAnsi" w:cstheme="minorHAnsi"/>
        </w:rPr>
      </w:pPr>
      <w:r w:rsidRPr="00344F72">
        <w:rPr>
          <w:rFonts w:asciiTheme="minorHAnsi" w:hAnsiTheme="minorHAnsi" w:cstheme="minorHAnsi"/>
        </w:rPr>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r w:rsidR="00344F72" w:rsidRPr="00344F72">
        <w:rPr>
          <w:rFonts w:asciiTheme="minorHAnsi" w:hAnsiTheme="minorHAnsi" w:cstheme="minorHAnsi"/>
        </w:rPr>
        <w:t>consultant.</w:t>
      </w:r>
    </w:p>
    <w:p w14:paraId="0D4CF71B" w14:textId="77777777" w:rsidR="00ED1C78" w:rsidRPr="00344F72" w:rsidRDefault="00ED1C78" w:rsidP="00344F72">
      <w:pPr>
        <w:pStyle w:val="EndnoteText"/>
        <w:jc w:val="both"/>
        <w:rPr>
          <w:rFonts w:asciiTheme="minorHAnsi" w:hAnsiTheme="minorHAnsi" w:cstheme="minorHAnsi"/>
        </w:rPr>
      </w:pPr>
      <w:r w:rsidRPr="00344F72">
        <w:rPr>
          <w:rFonts w:asciiTheme="minorHAnsi" w:hAnsiTheme="minorHAnsi" w:cstheme="minorHAnsi"/>
          <w:b/>
          <w:bCs/>
        </w:rPr>
        <w:t>Text to be added to all TORs:</w:t>
      </w:r>
    </w:p>
    <w:p w14:paraId="00261878" w14:textId="77777777" w:rsidR="00344F72" w:rsidRPr="00344F72" w:rsidRDefault="00ED1C78" w:rsidP="00344F72">
      <w:pPr>
        <w:spacing w:after="160" w:line="240" w:lineRule="auto"/>
        <w:jc w:val="both"/>
        <w:rPr>
          <w:rFonts w:asciiTheme="minorHAnsi" w:eastAsia="Arial" w:hAnsiTheme="minorHAnsi" w:cstheme="minorHAnsi"/>
          <w:color w:val="000000" w:themeColor="text1"/>
        </w:rPr>
      </w:pPr>
      <w:r w:rsidRPr="00344F72">
        <w:rPr>
          <w:rFonts w:asciiTheme="minorHAnsi" w:eastAsia="Arial" w:hAnsiTheme="minorHAnsi" w:cstheme="minorHAnsi"/>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5EA55DE2" w14:textId="0926D70D" w:rsidR="5DD2836A" w:rsidRPr="00344F72" w:rsidRDefault="00ED1C78" w:rsidP="00344F72">
      <w:pPr>
        <w:spacing w:after="160" w:line="240" w:lineRule="auto"/>
        <w:jc w:val="both"/>
        <w:rPr>
          <w:rFonts w:asciiTheme="minorHAnsi" w:eastAsia="Arial" w:hAnsiTheme="minorHAnsi" w:cstheme="minorHAnsi"/>
          <w:color w:val="000000" w:themeColor="text1"/>
        </w:rPr>
      </w:pPr>
      <w:r w:rsidRPr="00344F72">
        <w:rPr>
          <w:rFonts w:asciiTheme="minorHAnsi" w:eastAsia="Arial" w:hAnsiTheme="minorHAnsi" w:cstheme="minorHAnsi"/>
          <w:color w:val="000000" w:themeColor="text1"/>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r w:rsidR="00344F72">
        <w:rPr>
          <w:rFonts w:asciiTheme="minorHAnsi" w:eastAsia="Arial" w:hAnsiTheme="minorHAnsi" w:cstheme="minorHAnsi"/>
          <w:color w:val="000000" w:themeColor="text1"/>
        </w:rPr>
        <w:t xml:space="preserve"> </w:t>
      </w:r>
      <w:r w:rsidRPr="00344F72">
        <w:rPr>
          <w:rFonts w:asciiTheme="minorHAnsi" w:eastAsia="Arial" w:hAnsiTheme="minorHAnsi" w:cstheme="minorHAnsi"/>
          <w:color w:val="000000" w:themeColor="text1"/>
        </w:rPr>
        <w:t xml:space="preserve">UNICEF offers </w:t>
      </w:r>
      <w:hyperlink r:id="rId24">
        <w:r w:rsidRPr="00344F72">
          <w:rPr>
            <w:rStyle w:val="Hyperlink"/>
            <w:rFonts w:asciiTheme="minorHAnsi" w:eastAsia="Arial" w:hAnsiTheme="minorHAnsi" w:cstheme="minorHAnsi"/>
          </w:rPr>
          <w:t>reasonable accommodation</w:t>
        </w:r>
      </w:hyperlink>
      <w:r w:rsidRPr="00344F72">
        <w:rPr>
          <w:rFonts w:asciiTheme="minorHAnsi" w:eastAsia="Arial" w:hAnsiTheme="minorHAnsi" w:cstheme="minorHAnsi"/>
          <w:color w:val="000000" w:themeColor="text1"/>
        </w:rPr>
        <w:t xml:space="preserve"> for consultants with disabilities. This may include, for example, accessible software, travel assistance for missions or personal attendants. We encourage you to disclose</w:t>
      </w:r>
      <w:r w:rsidRPr="5DD2836A">
        <w:rPr>
          <w:rFonts w:eastAsia="Arial" w:cs="Arial"/>
          <w:color w:val="000000" w:themeColor="text1"/>
        </w:rPr>
        <w:t xml:space="preserve"> your disability during your application in case you need reasonable accommodation during the selection process and afterwards in your assignment.</w:t>
      </w:r>
    </w:p>
    <w:sectPr w:rsidR="5DD2836A" w:rsidRPr="00344F72" w:rsidSect="003C4672">
      <w:headerReference w:type="default" r:id="rId25"/>
      <w:footerReference w:type="default" r:id="rId26"/>
      <w:headerReference w:type="first" r:id="rId27"/>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3D65" w14:textId="77777777" w:rsidR="00B87740" w:rsidRDefault="00B87740" w:rsidP="000C3710">
      <w:r>
        <w:separator/>
      </w:r>
    </w:p>
  </w:endnote>
  <w:endnote w:type="continuationSeparator" w:id="0">
    <w:p w14:paraId="23DA1A70" w14:textId="77777777" w:rsidR="00B87740" w:rsidRDefault="00B87740" w:rsidP="000C3710">
      <w:r>
        <w:continuationSeparator/>
      </w:r>
    </w:p>
  </w:endnote>
  <w:endnote w:type="continuationNotice" w:id="1">
    <w:p w14:paraId="6C0834B9" w14:textId="77777777" w:rsidR="00B87740" w:rsidRDefault="00B87740">
      <w:pPr>
        <w:spacing w:line="240" w:lineRule="auto"/>
      </w:pPr>
    </w:p>
  </w:endnote>
  <w:endnote w:id="2">
    <w:p w14:paraId="75D27E78" w14:textId="77777777" w:rsidR="00D41D98" w:rsidRPr="00A934E9" w:rsidRDefault="00D41D98" w:rsidP="00ED1C7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6B28" w14:textId="777777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6C0EF19C" wp14:editId="1457EA6E">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9C8A320" w14:textId="77777777" w:rsidR="009247BD" w:rsidRPr="00B02636" w:rsidRDefault="009247BD" w:rsidP="009247BD">
                          <w:pPr>
                            <w:pStyle w:val="AddressText"/>
                            <w:spacing w:line="240" w:lineRule="auto"/>
                            <w:rPr>
                              <w:color w:val="00B0F0"/>
                            </w:rPr>
                          </w:pPr>
                        </w:p>
                        <w:p w14:paraId="212709A6" w14:textId="77777777" w:rsidR="009247BD" w:rsidRPr="00A0375D" w:rsidRDefault="009247BD" w:rsidP="009247BD">
                          <w:pPr>
                            <w:pStyle w:val="AddressText"/>
                            <w:spacing w:line="240" w:lineRule="auto"/>
                            <w:rPr>
                              <w:color w:val="000000"/>
                            </w:rPr>
                          </w:pPr>
                        </w:p>
                        <w:p w14:paraId="71A9E511" w14:textId="77777777" w:rsidR="009247BD" w:rsidRPr="00A0375D" w:rsidRDefault="009247BD" w:rsidP="009247BD">
                          <w:pPr>
                            <w:pStyle w:val="AddressText"/>
                            <w:spacing w:line="240" w:lineRule="auto"/>
                            <w:rPr>
                              <w:color w:val="000000"/>
                            </w:rPr>
                          </w:pPr>
                        </w:p>
                        <w:p w14:paraId="1DC5AD1F" w14:textId="77777777" w:rsidR="009247BD" w:rsidRPr="00A0375D" w:rsidRDefault="009247BD" w:rsidP="009247BD">
                          <w:pPr>
                            <w:pStyle w:val="AddressText"/>
                            <w:spacing w:line="240" w:lineRule="auto"/>
                            <w:rPr>
                              <w:color w:val="000000"/>
                            </w:rPr>
                          </w:pPr>
                        </w:p>
                        <w:p w14:paraId="438F4020" w14:textId="77777777" w:rsidR="009247BD" w:rsidRPr="00A0375D" w:rsidRDefault="009247BD" w:rsidP="009247BD">
                          <w:pPr>
                            <w:pStyle w:val="AddressText"/>
                            <w:spacing w:line="240" w:lineRule="auto"/>
                            <w:rPr>
                              <w:color w:val="000000"/>
                            </w:rPr>
                          </w:pPr>
                        </w:p>
                        <w:p w14:paraId="699BD880"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EF19C" id="_x0000_t202" coordsize="21600,21600" o:spt="202" path="m,l,21600r21600,l21600,xe">
              <v:stroke joinstyle="miter"/>
              <v:path gradientshapeok="t" o:connecttype="rect"/>
            </v:shapetype>
            <v:shape id="Text Box 6" o:spid="_x0000_s1027"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79C8A320" w14:textId="77777777" w:rsidR="009247BD" w:rsidRPr="00B02636" w:rsidRDefault="009247BD" w:rsidP="009247BD">
                    <w:pPr>
                      <w:pStyle w:val="AddressText"/>
                      <w:spacing w:line="240" w:lineRule="auto"/>
                      <w:rPr>
                        <w:color w:val="00B0F0"/>
                      </w:rPr>
                    </w:pPr>
                  </w:p>
                  <w:p w14:paraId="212709A6" w14:textId="77777777" w:rsidR="009247BD" w:rsidRPr="00A0375D" w:rsidRDefault="009247BD" w:rsidP="009247BD">
                    <w:pPr>
                      <w:pStyle w:val="AddressText"/>
                      <w:spacing w:line="240" w:lineRule="auto"/>
                      <w:rPr>
                        <w:color w:val="000000"/>
                      </w:rPr>
                    </w:pPr>
                  </w:p>
                  <w:p w14:paraId="71A9E511" w14:textId="77777777" w:rsidR="009247BD" w:rsidRPr="00A0375D" w:rsidRDefault="009247BD" w:rsidP="009247BD">
                    <w:pPr>
                      <w:pStyle w:val="AddressText"/>
                      <w:spacing w:line="240" w:lineRule="auto"/>
                      <w:rPr>
                        <w:color w:val="000000"/>
                      </w:rPr>
                    </w:pPr>
                  </w:p>
                  <w:p w14:paraId="1DC5AD1F" w14:textId="77777777" w:rsidR="009247BD" w:rsidRPr="00A0375D" w:rsidRDefault="009247BD" w:rsidP="009247BD">
                    <w:pPr>
                      <w:pStyle w:val="AddressText"/>
                      <w:spacing w:line="240" w:lineRule="auto"/>
                      <w:rPr>
                        <w:color w:val="000000"/>
                      </w:rPr>
                    </w:pPr>
                  </w:p>
                  <w:p w14:paraId="438F4020" w14:textId="77777777" w:rsidR="009247BD" w:rsidRPr="00A0375D" w:rsidRDefault="009247BD" w:rsidP="009247BD">
                    <w:pPr>
                      <w:pStyle w:val="AddressText"/>
                      <w:spacing w:line="240" w:lineRule="auto"/>
                      <w:rPr>
                        <w:color w:val="000000"/>
                      </w:rPr>
                    </w:pPr>
                  </w:p>
                  <w:p w14:paraId="699BD880"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AC90" w14:textId="77777777" w:rsidR="00B87740" w:rsidRDefault="00B87740" w:rsidP="000C3710">
      <w:r>
        <w:separator/>
      </w:r>
    </w:p>
  </w:footnote>
  <w:footnote w:type="continuationSeparator" w:id="0">
    <w:p w14:paraId="1622664C" w14:textId="77777777" w:rsidR="00B87740" w:rsidRDefault="00B87740" w:rsidP="000C3710">
      <w:r>
        <w:continuationSeparator/>
      </w:r>
    </w:p>
  </w:footnote>
  <w:footnote w:type="continuationNotice" w:id="1">
    <w:p w14:paraId="69A9AAB6" w14:textId="77777777" w:rsidR="00B87740" w:rsidRDefault="00B87740">
      <w:pPr>
        <w:spacing w:line="240" w:lineRule="auto"/>
      </w:pPr>
    </w:p>
  </w:footnote>
  <w:footnote w:id="2">
    <w:p w14:paraId="4004A74D" w14:textId="0B5CB988" w:rsidR="00551D0A" w:rsidRPr="002A03A6" w:rsidRDefault="00551D0A">
      <w:pPr>
        <w:pStyle w:val="FootnoteText"/>
        <w:rPr>
          <w:rFonts w:asciiTheme="minorHAnsi" w:hAnsiTheme="minorHAnsi" w:cstheme="minorHAnsi"/>
          <w:lang w:val="fr-FR"/>
        </w:rPr>
      </w:pPr>
      <w:r w:rsidRPr="002A03A6">
        <w:rPr>
          <w:rStyle w:val="FootnoteReference"/>
          <w:rFonts w:asciiTheme="minorHAnsi" w:hAnsiTheme="minorHAnsi" w:cstheme="minorHAnsi"/>
        </w:rPr>
        <w:footnoteRef/>
      </w:r>
      <w:r w:rsidRPr="002A03A6">
        <w:rPr>
          <w:rFonts w:asciiTheme="minorHAnsi" w:hAnsiTheme="minorHAnsi" w:cstheme="minorHAnsi"/>
          <w:lang w:val="fr-FR"/>
        </w:rPr>
        <w:t xml:space="preserve"> </w:t>
      </w:r>
      <w:r w:rsidR="002A03A6" w:rsidRPr="002A03A6">
        <w:rPr>
          <w:rFonts w:asciiTheme="minorHAnsi" w:hAnsiTheme="minorHAnsi" w:cstheme="minorHAnsi"/>
          <w:lang w:val="fr-FR"/>
        </w:rPr>
        <w:t>Pacte International relatif aux Droits Economiques, Sociaux et Culturels (1966)</w:t>
      </w:r>
    </w:p>
  </w:footnote>
  <w:footnote w:id="3">
    <w:p w14:paraId="0D9EA4D3" w14:textId="584B9241" w:rsidR="002A03A6" w:rsidRPr="002A03A6" w:rsidRDefault="002A03A6">
      <w:pPr>
        <w:pStyle w:val="FootnoteText"/>
        <w:rPr>
          <w:rFonts w:asciiTheme="minorHAnsi" w:hAnsiTheme="minorHAnsi" w:cstheme="minorHAnsi"/>
          <w:lang w:val="fr-FR"/>
        </w:rPr>
      </w:pPr>
      <w:r w:rsidRPr="002A03A6">
        <w:rPr>
          <w:rStyle w:val="FootnoteReference"/>
          <w:rFonts w:asciiTheme="minorHAnsi" w:hAnsiTheme="minorHAnsi" w:cstheme="minorHAnsi"/>
        </w:rPr>
        <w:footnoteRef/>
      </w:r>
      <w:r w:rsidRPr="002A03A6">
        <w:rPr>
          <w:rFonts w:asciiTheme="minorHAnsi" w:hAnsiTheme="minorHAnsi" w:cstheme="minorHAnsi"/>
          <w:lang w:val="fr-FR"/>
        </w:rPr>
        <w:t xml:space="preserve"> Constitution de la République Tunisienne (2022)</w:t>
      </w:r>
    </w:p>
  </w:footnote>
  <w:footnote w:id="4">
    <w:p w14:paraId="44D8486E" w14:textId="6E9E8EF3" w:rsidR="002A03A6" w:rsidRPr="002A03A6" w:rsidRDefault="002A03A6">
      <w:pPr>
        <w:pStyle w:val="FootnoteText"/>
        <w:rPr>
          <w:lang w:val="fr-FR"/>
        </w:rPr>
      </w:pPr>
      <w:r w:rsidRPr="002A03A6">
        <w:rPr>
          <w:rStyle w:val="FootnoteReference"/>
          <w:rFonts w:asciiTheme="minorHAnsi" w:hAnsiTheme="minorHAnsi" w:cstheme="minorHAnsi"/>
        </w:rPr>
        <w:footnoteRef/>
      </w:r>
      <w:r w:rsidRPr="002A03A6">
        <w:rPr>
          <w:rFonts w:asciiTheme="minorHAnsi" w:hAnsiTheme="minorHAnsi" w:cstheme="minorHAnsi"/>
          <w:lang w:val="fr-FR"/>
        </w:rPr>
        <w:t xml:space="preserve"> INS, Carte de la pauvreté (2021)</w:t>
      </w:r>
    </w:p>
  </w:footnote>
  <w:footnote w:id="5">
    <w:p w14:paraId="1CEAFD5B" w14:textId="61C32FB2" w:rsidR="00C61CEC" w:rsidRPr="00C61CEC" w:rsidRDefault="00C61CEC">
      <w:pPr>
        <w:pStyle w:val="FootnoteText"/>
        <w:rPr>
          <w:rFonts w:asciiTheme="minorHAnsi" w:hAnsiTheme="minorHAnsi" w:cstheme="minorHAnsi"/>
          <w:lang w:val="fr-FR"/>
        </w:rPr>
      </w:pPr>
      <w:r w:rsidRPr="00C61CEC">
        <w:rPr>
          <w:rStyle w:val="FootnoteReference"/>
          <w:rFonts w:asciiTheme="minorHAnsi" w:hAnsiTheme="minorHAnsi" w:cstheme="minorHAnsi"/>
        </w:rPr>
        <w:footnoteRef/>
      </w:r>
      <w:r w:rsidRPr="00C61CEC">
        <w:rPr>
          <w:rFonts w:asciiTheme="minorHAnsi" w:hAnsiTheme="minorHAnsi" w:cstheme="minorHAnsi"/>
          <w:lang w:val="fr-FR"/>
        </w:rPr>
        <w:t xml:space="preserve"> </w:t>
      </w:r>
      <w:r w:rsidRPr="00C61CEC">
        <w:rPr>
          <w:rFonts w:asciiTheme="minorHAnsi" w:hAnsiTheme="minorHAnsi" w:cstheme="minorHAnsi" w:hint="eastAsia"/>
          <w:lang w:val="fr-FR"/>
        </w:rPr>
        <w:t xml:space="preserve">Loi fondamental n°2019‐10 du </w:t>
      </w:r>
      <w:r w:rsidRPr="00C61CEC">
        <w:rPr>
          <w:rFonts w:asciiTheme="minorHAnsi" w:hAnsiTheme="minorHAnsi" w:cstheme="minorHAnsi"/>
          <w:lang w:val="fr-FR"/>
        </w:rPr>
        <w:t>30 janvier</w:t>
      </w:r>
      <w:r w:rsidRPr="00C61CEC">
        <w:rPr>
          <w:rFonts w:asciiTheme="minorHAnsi" w:hAnsiTheme="minorHAnsi" w:cstheme="minorHAnsi" w:hint="eastAsia"/>
          <w:lang w:val="fr-FR"/>
        </w:rPr>
        <w:t xml:space="preserve"> 2019 fixant le Programme de A</w:t>
      </w:r>
      <w:r>
        <w:rPr>
          <w:rFonts w:asciiTheme="minorHAnsi" w:hAnsiTheme="minorHAnsi" w:cstheme="minorHAnsi"/>
          <w:lang w:val="fr-FR"/>
        </w:rPr>
        <w:t>MEN S</w:t>
      </w:r>
      <w:r w:rsidRPr="00C61CEC">
        <w:rPr>
          <w:rFonts w:asciiTheme="minorHAnsi" w:hAnsiTheme="minorHAnsi" w:cstheme="minorHAnsi" w:hint="eastAsia"/>
          <w:lang w:val="fr-FR"/>
        </w:rPr>
        <w:t>ocial</w:t>
      </w:r>
      <w:r>
        <w:rPr>
          <w:rFonts w:asciiTheme="minorHAnsi" w:hAnsiTheme="minorHAnsi" w:cstheme="minorHAnsi"/>
          <w:lang w:val="fr-FR"/>
        </w:rPr>
        <w:t xml:space="preserve">, </w:t>
      </w:r>
      <w:r w:rsidR="00000000">
        <w:fldChar w:fldCharType="begin"/>
      </w:r>
      <w:r w:rsidR="00000000" w:rsidRPr="00951153">
        <w:rPr>
          <w:lang w:val="fr-FR"/>
        </w:rPr>
        <w:instrText>HYPERLINK "https://www.social.gov.tn/fr/cr%C3%A9ation-des-sources-de-revenu-au-profit-des-cat%C3%A9gories-d%C3%A9munies-inscrites-au-programme-amen-social"</w:instrText>
      </w:r>
      <w:r w:rsidR="00000000">
        <w:fldChar w:fldCharType="separate"/>
      </w:r>
      <w:r w:rsidRPr="00267154">
        <w:rPr>
          <w:rStyle w:val="Hyperlink"/>
          <w:rFonts w:asciiTheme="minorHAnsi" w:hAnsiTheme="minorHAnsi" w:cstheme="minorHAnsi"/>
          <w:lang w:val="fr-FR"/>
        </w:rPr>
        <w:t>https://www.social.gov.tn/fr/cr%C3%A9ation-des-sources-de-revenu-au-profit-des-cat%C3%A9gories-d%C3%A9munies-inscrites-au-programme-amen-social</w:t>
      </w:r>
      <w:r w:rsidR="00000000">
        <w:rPr>
          <w:rStyle w:val="Hyperlink"/>
          <w:rFonts w:asciiTheme="minorHAnsi" w:hAnsiTheme="minorHAnsi" w:cstheme="minorHAnsi"/>
          <w:lang w:val="fr-FR"/>
        </w:rPr>
        <w:fldChar w:fldCharType="end"/>
      </w:r>
      <w:r>
        <w:rPr>
          <w:rFonts w:asciiTheme="minorHAnsi" w:hAnsiTheme="minorHAnsi" w:cstheme="minorHAnsi"/>
          <w:lang w:val="fr-FR"/>
        </w:rPr>
        <w:t xml:space="preserve"> </w:t>
      </w:r>
    </w:p>
  </w:footnote>
  <w:footnote w:id="6">
    <w:p w14:paraId="5B07B880" w14:textId="77777777" w:rsidR="00033A90" w:rsidRPr="00C61CEC" w:rsidRDefault="00033A90" w:rsidP="00033A90">
      <w:pPr>
        <w:pStyle w:val="FootnoteText"/>
        <w:rPr>
          <w:lang w:val="fr-FR"/>
        </w:rPr>
      </w:pPr>
      <w:r w:rsidRPr="00C61CEC">
        <w:rPr>
          <w:rStyle w:val="FootnoteReference"/>
          <w:rFonts w:asciiTheme="minorHAnsi" w:hAnsiTheme="minorHAnsi" w:cstheme="minorHAnsi"/>
        </w:rPr>
        <w:footnoteRef/>
      </w:r>
      <w:r w:rsidRPr="00C61CEC">
        <w:rPr>
          <w:rFonts w:asciiTheme="minorHAnsi" w:hAnsiTheme="minorHAnsi" w:cstheme="minorHAnsi"/>
          <w:lang w:val="fr-FR"/>
        </w:rPr>
        <w:t xml:space="preserve"> Centre de Recherches et d’Etudes Sociales, 2019</w:t>
      </w:r>
    </w:p>
  </w:footnote>
  <w:footnote w:id="7">
    <w:p w14:paraId="523DE67B" w14:textId="77777777" w:rsidR="00033A90" w:rsidRPr="00397355" w:rsidRDefault="00033A90" w:rsidP="00033A90">
      <w:pPr>
        <w:pStyle w:val="FootnoteText"/>
        <w:rPr>
          <w:rFonts w:asciiTheme="minorHAnsi" w:hAnsiTheme="minorHAnsi" w:cstheme="minorHAnsi"/>
          <w:lang w:val="fr-FR"/>
        </w:rPr>
      </w:pPr>
      <w:r w:rsidRPr="00397355">
        <w:rPr>
          <w:rStyle w:val="FootnoteReference"/>
          <w:rFonts w:asciiTheme="minorHAnsi" w:hAnsiTheme="minorHAnsi" w:cstheme="minorHAnsi"/>
        </w:rPr>
        <w:footnoteRef/>
      </w:r>
      <w:r w:rsidRPr="00397355">
        <w:rPr>
          <w:rFonts w:asciiTheme="minorHAnsi" w:hAnsiTheme="minorHAnsi" w:cstheme="minorHAnsi"/>
          <w:lang w:val="fr-FR"/>
        </w:rPr>
        <w:t xml:space="preserve"> </w:t>
      </w:r>
      <w:r w:rsidRPr="009C2AAB">
        <w:rPr>
          <w:rFonts w:asciiTheme="minorHAnsi" w:hAnsiTheme="minorHAnsi" w:cstheme="minorHAnsi"/>
          <w:lang w:val="fr-FR"/>
        </w:rPr>
        <w:t xml:space="preserve">Loi n° 88-40 du 6 mai 1988 modifiant la loi n° 65-17 du 28 juin 1965 étendant les régimes de sécurité sociale - </w:t>
      </w:r>
      <w:r>
        <w:rPr>
          <w:rFonts w:asciiTheme="minorHAnsi" w:hAnsiTheme="minorHAnsi" w:cstheme="minorHAnsi"/>
          <w:lang w:val="fr-FR"/>
        </w:rPr>
        <w:t>CNSS</w:t>
      </w:r>
      <w:r w:rsidRPr="009C2AAB">
        <w:rPr>
          <w:rFonts w:asciiTheme="minorHAnsi" w:hAnsiTheme="minorHAnsi" w:cstheme="minorHAnsi"/>
          <w:lang w:val="fr-FR"/>
        </w:rPr>
        <w:t xml:space="preserve"> - </w:t>
      </w:r>
      <w:r>
        <w:rPr>
          <w:rFonts w:asciiTheme="minorHAnsi" w:hAnsiTheme="minorHAnsi" w:cstheme="minorHAnsi"/>
          <w:lang w:val="fr-FR"/>
        </w:rPr>
        <w:t>CNRPS</w:t>
      </w:r>
      <w:r w:rsidRPr="009C2AAB">
        <w:rPr>
          <w:rFonts w:asciiTheme="minorHAnsi" w:hAnsiTheme="minorHAnsi" w:cstheme="minorHAnsi"/>
          <w:lang w:val="fr-FR"/>
        </w:rPr>
        <w:t xml:space="preserve"> aux étudiants - Tunisie</w:t>
      </w:r>
      <w:r>
        <w:rPr>
          <w:rFonts w:asciiTheme="minorHAnsi" w:hAnsiTheme="minorHAnsi" w:cstheme="minorHAnsi"/>
          <w:lang w:val="fr-FR"/>
        </w:rPr>
        <w:t xml:space="preserve"> </w:t>
      </w:r>
    </w:p>
  </w:footnote>
  <w:footnote w:id="8">
    <w:p w14:paraId="2BBFF0AD" w14:textId="77777777" w:rsidR="00033A90" w:rsidRPr="00AC7388" w:rsidRDefault="00033A90" w:rsidP="00033A90">
      <w:pPr>
        <w:pStyle w:val="FootnoteText"/>
        <w:rPr>
          <w:lang w:val="fr-FR"/>
        </w:rPr>
      </w:pPr>
      <w:r>
        <w:rPr>
          <w:rStyle w:val="FootnoteReference"/>
        </w:rPr>
        <w:footnoteRef/>
      </w:r>
      <w:r w:rsidRPr="00AC7388">
        <w:rPr>
          <w:lang w:val="fr-FR"/>
        </w:rPr>
        <w:t xml:space="preserve"> </w:t>
      </w:r>
      <w:r>
        <w:rPr>
          <w:rFonts w:asciiTheme="minorHAnsi" w:hAnsiTheme="minorHAnsi" w:cstheme="minorHAnsi"/>
          <w:lang w:val="fr-FR"/>
        </w:rPr>
        <w:t>E</w:t>
      </w:r>
      <w:r w:rsidRPr="00960677">
        <w:rPr>
          <w:rFonts w:asciiTheme="minorHAnsi" w:hAnsiTheme="minorHAnsi" w:cstheme="minorHAnsi"/>
          <w:lang w:val="fr-FR"/>
        </w:rPr>
        <w:t>nquête nationale sur le budget, la consommation et le niveau de vie des ménages</w:t>
      </w:r>
      <w:r>
        <w:rPr>
          <w:rFonts w:asciiTheme="minorHAnsi" w:hAnsiTheme="minorHAnsi" w:cstheme="minorHAnsi"/>
          <w:lang w:val="fr-FR"/>
        </w:rPr>
        <w:t>, INS, 2015</w:t>
      </w:r>
    </w:p>
  </w:footnote>
  <w:footnote w:id="9">
    <w:p w14:paraId="10F98911" w14:textId="77777777" w:rsidR="00A53FDD" w:rsidRPr="00C61CEC" w:rsidRDefault="00A53FDD" w:rsidP="00A53FDD">
      <w:pPr>
        <w:pStyle w:val="FootnoteText"/>
        <w:rPr>
          <w:rFonts w:asciiTheme="minorHAnsi" w:hAnsiTheme="minorHAnsi" w:cstheme="minorHAnsi"/>
          <w:lang w:val="fr-FR"/>
        </w:rPr>
      </w:pPr>
      <w:r>
        <w:rPr>
          <w:rStyle w:val="FootnoteReference"/>
        </w:rPr>
        <w:footnoteRef/>
      </w:r>
      <w:r w:rsidRPr="00A53FDD">
        <w:rPr>
          <w:lang w:val="fr-FR"/>
        </w:rPr>
        <w:t xml:space="preserve"> </w:t>
      </w:r>
      <w:r w:rsidRPr="00C61CEC">
        <w:rPr>
          <w:rFonts w:asciiTheme="minorHAnsi" w:hAnsiTheme="minorHAnsi" w:cstheme="minorHAnsi"/>
          <w:lang w:val="fr-FR"/>
        </w:rPr>
        <w:t>Carte de la Pauvreté (2021)</w:t>
      </w:r>
    </w:p>
  </w:footnote>
  <w:footnote w:id="10">
    <w:p w14:paraId="5DC5E6F3" w14:textId="0599D830" w:rsidR="00C61CEC" w:rsidRPr="00C61CEC" w:rsidRDefault="00C61CEC">
      <w:pPr>
        <w:pStyle w:val="FootnoteText"/>
        <w:rPr>
          <w:rFonts w:asciiTheme="minorHAnsi" w:hAnsiTheme="minorHAnsi" w:cstheme="minorHAnsi"/>
          <w:lang w:val="fr-FR"/>
        </w:rPr>
      </w:pPr>
      <w:r w:rsidRPr="00C61CEC">
        <w:rPr>
          <w:rStyle w:val="FootnoteReference"/>
          <w:rFonts w:asciiTheme="minorHAnsi" w:hAnsiTheme="minorHAnsi" w:cstheme="minorHAnsi"/>
        </w:rPr>
        <w:footnoteRef/>
      </w:r>
      <w:r w:rsidRPr="00C61CEC">
        <w:rPr>
          <w:rFonts w:asciiTheme="minorHAnsi" w:hAnsiTheme="minorHAnsi" w:cstheme="minorHAnsi"/>
          <w:lang w:val="fr-FR"/>
        </w:rPr>
        <w:t xml:space="preserve"> Décret n°2022-08 du 31 janvier 2022 créant une allocation familiale pour les enfants de moins de 6 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AE12" w14:textId="77777777" w:rsidR="003B7251" w:rsidRDefault="00213A86" w:rsidP="0075490C">
    <w:pPr>
      <w:pStyle w:val="Heading3"/>
    </w:pPr>
    <w:r>
      <w:rPr>
        <w:noProof/>
      </w:rPr>
      <w:drawing>
        <wp:anchor distT="0" distB="0" distL="114300" distR="114300" simplePos="0" relativeHeight="251658245" behindDoc="0" locked="0" layoutInCell="1" allowOverlap="1" wp14:anchorId="48C99F55" wp14:editId="79F249FB">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5F0D14AC" wp14:editId="13DEF94E">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20ADF9"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EC9F" w14:textId="77777777"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0BC94213" wp14:editId="42F88AA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53EBE18A" wp14:editId="1B383FCE">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42E1E2"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147536B" w14:textId="77777777"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57F47F0D" wp14:editId="59BAFEEC">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AD80339" w14:textId="77777777"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C007BD9" w14:textId="77777777"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299BFB04" w14:textId="77777777" w:rsidR="00861563" w:rsidRPr="00B02636" w:rsidRDefault="00861563" w:rsidP="00962F0B">
                          <w:pPr>
                            <w:pStyle w:val="AddressText"/>
                            <w:spacing w:line="240" w:lineRule="auto"/>
                            <w:jc w:val="both"/>
                            <w:rPr>
                              <w:color w:val="00B0F0"/>
                            </w:rPr>
                          </w:pPr>
                        </w:p>
                        <w:p w14:paraId="5FF9915B" w14:textId="77777777" w:rsidR="00861563" w:rsidRPr="00A0375D" w:rsidRDefault="00861563" w:rsidP="00962F0B">
                          <w:pPr>
                            <w:pStyle w:val="AddressText"/>
                            <w:spacing w:line="240" w:lineRule="auto"/>
                            <w:jc w:val="both"/>
                            <w:rPr>
                              <w:color w:val="000000"/>
                            </w:rPr>
                          </w:pPr>
                        </w:p>
                        <w:p w14:paraId="044A4626" w14:textId="77777777" w:rsidR="00861563" w:rsidRPr="00A0375D" w:rsidRDefault="00861563" w:rsidP="00962F0B">
                          <w:pPr>
                            <w:pStyle w:val="AddressText"/>
                            <w:spacing w:line="240" w:lineRule="auto"/>
                            <w:jc w:val="both"/>
                            <w:rPr>
                              <w:color w:val="000000"/>
                            </w:rPr>
                          </w:pPr>
                        </w:p>
                        <w:p w14:paraId="3071DD79" w14:textId="77777777" w:rsidR="00861563" w:rsidRPr="00A0375D" w:rsidRDefault="00861563" w:rsidP="00962F0B">
                          <w:pPr>
                            <w:pStyle w:val="AddressText"/>
                            <w:spacing w:line="240" w:lineRule="auto"/>
                            <w:jc w:val="both"/>
                            <w:rPr>
                              <w:color w:val="000000"/>
                            </w:rPr>
                          </w:pPr>
                        </w:p>
                        <w:p w14:paraId="1B4A313E" w14:textId="77777777" w:rsidR="00861563" w:rsidRPr="00A0375D" w:rsidRDefault="00861563" w:rsidP="00962F0B">
                          <w:pPr>
                            <w:pStyle w:val="AddressText"/>
                            <w:spacing w:line="240" w:lineRule="auto"/>
                            <w:jc w:val="both"/>
                            <w:rPr>
                              <w:color w:val="000000"/>
                            </w:rPr>
                          </w:pPr>
                        </w:p>
                        <w:p w14:paraId="084FD98A"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47F0D" id="_x0000_t202" coordsize="21600,21600" o:spt="202" path="m,l,21600r21600,l21600,xe">
              <v:stroke joinstyle="miter"/>
              <v:path gradientshapeok="t" o:connecttype="rect"/>
            </v:shapetype>
            <v:shape id="Text Box 2" o:spid="_x0000_s1028"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5AD80339" w14:textId="77777777"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C007BD9" w14:textId="77777777"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299BFB04" w14:textId="77777777" w:rsidR="00861563" w:rsidRPr="00B02636" w:rsidRDefault="00861563" w:rsidP="00962F0B">
                    <w:pPr>
                      <w:pStyle w:val="AddressText"/>
                      <w:spacing w:line="240" w:lineRule="auto"/>
                      <w:jc w:val="both"/>
                      <w:rPr>
                        <w:color w:val="00B0F0"/>
                      </w:rPr>
                    </w:pPr>
                  </w:p>
                  <w:p w14:paraId="5FF9915B" w14:textId="77777777" w:rsidR="00861563" w:rsidRPr="00A0375D" w:rsidRDefault="00861563" w:rsidP="00962F0B">
                    <w:pPr>
                      <w:pStyle w:val="AddressText"/>
                      <w:spacing w:line="240" w:lineRule="auto"/>
                      <w:jc w:val="both"/>
                      <w:rPr>
                        <w:color w:val="000000"/>
                      </w:rPr>
                    </w:pPr>
                  </w:p>
                  <w:p w14:paraId="044A4626" w14:textId="77777777" w:rsidR="00861563" w:rsidRPr="00A0375D" w:rsidRDefault="00861563" w:rsidP="00962F0B">
                    <w:pPr>
                      <w:pStyle w:val="AddressText"/>
                      <w:spacing w:line="240" w:lineRule="auto"/>
                      <w:jc w:val="both"/>
                      <w:rPr>
                        <w:color w:val="000000"/>
                      </w:rPr>
                    </w:pPr>
                  </w:p>
                  <w:p w14:paraId="3071DD79" w14:textId="77777777" w:rsidR="00861563" w:rsidRPr="00A0375D" w:rsidRDefault="00861563" w:rsidP="00962F0B">
                    <w:pPr>
                      <w:pStyle w:val="AddressText"/>
                      <w:spacing w:line="240" w:lineRule="auto"/>
                      <w:jc w:val="both"/>
                      <w:rPr>
                        <w:color w:val="000000"/>
                      </w:rPr>
                    </w:pPr>
                  </w:p>
                  <w:p w14:paraId="1B4A313E" w14:textId="77777777" w:rsidR="00861563" w:rsidRPr="00A0375D" w:rsidRDefault="00861563" w:rsidP="00962F0B">
                    <w:pPr>
                      <w:pStyle w:val="AddressText"/>
                      <w:spacing w:line="240" w:lineRule="auto"/>
                      <w:jc w:val="both"/>
                      <w:rPr>
                        <w:color w:val="000000"/>
                      </w:rPr>
                    </w:pPr>
                  </w:p>
                  <w:p w14:paraId="084FD98A"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762A4"/>
    <w:multiLevelType w:val="hybridMultilevel"/>
    <w:tmpl w:val="788E63DC"/>
    <w:lvl w:ilvl="0" w:tplc="04090011">
      <w:start w:val="1"/>
      <w:numFmt w:val="decimal"/>
      <w:lvlText w:val="%1)"/>
      <w:lvlJc w:val="left"/>
      <w:pPr>
        <w:ind w:left="108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32EF463C"/>
    <w:multiLevelType w:val="hybridMultilevel"/>
    <w:tmpl w:val="9722913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6800E11"/>
    <w:multiLevelType w:val="hybridMultilevel"/>
    <w:tmpl w:val="AE4E602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A2146CB"/>
    <w:multiLevelType w:val="hybridMultilevel"/>
    <w:tmpl w:val="C3A88280"/>
    <w:lvl w:ilvl="0" w:tplc="B5D8AE78">
      <w:start w:val="2"/>
      <w:numFmt w:val="bullet"/>
      <w:lvlText w:val="-"/>
      <w:lvlJc w:val="left"/>
      <w:pPr>
        <w:ind w:left="360" w:hanging="360"/>
      </w:pPr>
      <w:rPr>
        <w:rFonts w:ascii="Calibri" w:eastAsia="Arial Unicode MS"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353707"/>
    <w:multiLevelType w:val="hybridMultilevel"/>
    <w:tmpl w:val="FFF26A14"/>
    <w:lvl w:ilvl="0" w:tplc="0409000F">
      <w:start w:val="1"/>
      <w:numFmt w:val="decimal"/>
      <w:lvlText w:val="%1."/>
      <w:lvlJc w:val="left"/>
      <w:pPr>
        <w:ind w:left="1080" w:hanging="360"/>
      </w:pPr>
    </w:lvl>
    <w:lvl w:ilvl="1" w:tplc="22D006B6">
      <w:start w:val="1"/>
      <w:numFmt w:val="low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FB66E83"/>
    <w:multiLevelType w:val="hybridMultilevel"/>
    <w:tmpl w:val="5C8E408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7B3930"/>
    <w:multiLevelType w:val="hybridMultilevel"/>
    <w:tmpl w:val="45D69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CB0B17"/>
    <w:multiLevelType w:val="hybridMultilevel"/>
    <w:tmpl w:val="B504E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13287"/>
    <w:multiLevelType w:val="hybridMultilevel"/>
    <w:tmpl w:val="3E34A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55163"/>
    <w:multiLevelType w:val="hybridMultilevel"/>
    <w:tmpl w:val="5FB080E6"/>
    <w:lvl w:ilvl="0" w:tplc="828220D2">
      <w:start w:val="1"/>
      <w:numFmt w:val="decimal"/>
      <w:lvlText w:val="%1)"/>
      <w:lvlJc w:val="left"/>
      <w:pPr>
        <w:ind w:left="360" w:hanging="360"/>
      </w:pPr>
      <w:rPr>
        <w:rFonts w:hint="default"/>
        <w:b/>
        <w:color w:val="2E74B5"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065B41"/>
    <w:multiLevelType w:val="hybridMultilevel"/>
    <w:tmpl w:val="330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1500EE"/>
    <w:multiLevelType w:val="hybridMultilevel"/>
    <w:tmpl w:val="A162B6DA"/>
    <w:lvl w:ilvl="0" w:tplc="1F86A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220AC"/>
    <w:multiLevelType w:val="hybridMultilevel"/>
    <w:tmpl w:val="22265CCA"/>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5BFD4C7F"/>
    <w:multiLevelType w:val="hybridMultilevel"/>
    <w:tmpl w:val="D6C6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30893"/>
    <w:multiLevelType w:val="hybridMultilevel"/>
    <w:tmpl w:val="1FEE5168"/>
    <w:lvl w:ilvl="0" w:tplc="0409000D">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A907350"/>
    <w:multiLevelType w:val="hybridMultilevel"/>
    <w:tmpl w:val="67BE4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4F232B"/>
    <w:multiLevelType w:val="hybridMultilevel"/>
    <w:tmpl w:val="B7560D7E"/>
    <w:lvl w:ilvl="0" w:tplc="0409000D">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72CD60D2"/>
    <w:multiLevelType w:val="hybridMultilevel"/>
    <w:tmpl w:val="6A7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127328">
    <w:abstractNumId w:val="11"/>
  </w:num>
  <w:num w:numId="2" w16cid:durableId="114255196">
    <w:abstractNumId w:val="9"/>
  </w:num>
  <w:num w:numId="3" w16cid:durableId="1232158081">
    <w:abstractNumId w:val="15"/>
  </w:num>
  <w:num w:numId="4" w16cid:durableId="1208637911">
    <w:abstractNumId w:val="4"/>
  </w:num>
  <w:num w:numId="5" w16cid:durableId="1828745792">
    <w:abstractNumId w:val="8"/>
  </w:num>
  <w:num w:numId="6" w16cid:durableId="1550338244">
    <w:abstractNumId w:val="6"/>
  </w:num>
  <w:num w:numId="7" w16cid:durableId="1652059171">
    <w:abstractNumId w:val="10"/>
  </w:num>
  <w:num w:numId="8" w16cid:durableId="283197820">
    <w:abstractNumId w:val="17"/>
  </w:num>
  <w:num w:numId="9" w16cid:durableId="1466312772">
    <w:abstractNumId w:val="14"/>
  </w:num>
  <w:num w:numId="10" w16cid:durableId="1646473994">
    <w:abstractNumId w:val="2"/>
  </w:num>
  <w:num w:numId="11" w16cid:durableId="1545217895">
    <w:abstractNumId w:val="7"/>
  </w:num>
  <w:num w:numId="12" w16cid:durableId="2064743197">
    <w:abstractNumId w:val="12"/>
  </w:num>
  <w:num w:numId="13" w16cid:durableId="1491748025">
    <w:abstractNumId w:val="5"/>
  </w:num>
  <w:num w:numId="14" w16cid:durableId="966354298">
    <w:abstractNumId w:val="1"/>
  </w:num>
  <w:num w:numId="15" w16cid:durableId="605430069">
    <w:abstractNumId w:val="13"/>
  </w:num>
  <w:num w:numId="16" w16cid:durableId="910770251">
    <w:abstractNumId w:val="0"/>
  </w:num>
  <w:num w:numId="17" w16cid:durableId="1827697364">
    <w:abstractNumId w:val="16"/>
  </w:num>
  <w:num w:numId="18" w16cid:durableId="184100221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0BF"/>
    <w:rsid w:val="000032E5"/>
    <w:rsid w:val="00005AE2"/>
    <w:rsid w:val="00006FA2"/>
    <w:rsid w:val="00007E4A"/>
    <w:rsid w:val="0001231E"/>
    <w:rsid w:val="00014EDC"/>
    <w:rsid w:val="000203F2"/>
    <w:rsid w:val="00023D84"/>
    <w:rsid w:val="000241D1"/>
    <w:rsid w:val="000249F2"/>
    <w:rsid w:val="00024C29"/>
    <w:rsid w:val="00024FE5"/>
    <w:rsid w:val="00025485"/>
    <w:rsid w:val="00025F29"/>
    <w:rsid w:val="00026132"/>
    <w:rsid w:val="00030834"/>
    <w:rsid w:val="000310DE"/>
    <w:rsid w:val="00032400"/>
    <w:rsid w:val="00033A90"/>
    <w:rsid w:val="00035C50"/>
    <w:rsid w:val="00037C19"/>
    <w:rsid w:val="0004132A"/>
    <w:rsid w:val="000415E9"/>
    <w:rsid w:val="00041843"/>
    <w:rsid w:val="00041A48"/>
    <w:rsid w:val="00042EED"/>
    <w:rsid w:val="0004433C"/>
    <w:rsid w:val="00050D84"/>
    <w:rsid w:val="00051966"/>
    <w:rsid w:val="00051BFE"/>
    <w:rsid w:val="00054BFB"/>
    <w:rsid w:val="00055368"/>
    <w:rsid w:val="000565B3"/>
    <w:rsid w:val="00056A18"/>
    <w:rsid w:val="00057048"/>
    <w:rsid w:val="00057493"/>
    <w:rsid w:val="000576DC"/>
    <w:rsid w:val="000578B8"/>
    <w:rsid w:val="000600A9"/>
    <w:rsid w:val="00060B6F"/>
    <w:rsid w:val="0006116E"/>
    <w:rsid w:val="00064448"/>
    <w:rsid w:val="00066267"/>
    <w:rsid w:val="000664B9"/>
    <w:rsid w:val="00066698"/>
    <w:rsid w:val="00066CAF"/>
    <w:rsid w:val="00073685"/>
    <w:rsid w:val="00074481"/>
    <w:rsid w:val="0007550A"/>
    <w:rsid w:val="00075F7E"/>
    <w:rsid w:val="00076437"/>
    <w:rsid w:val="00080A60"/>
    <w:rsid w:val="00082184"/>
    <w:rsid w:val="0008250C"/>
    <w:rsid w:val="00090EF0"/>
    <w:rsid w:val="00091E2B"/>
    <w:rsid w:val="000926DF"/>
    <w:rsid w:val="00094625"/>
    <w:rsid w:val="00094F0A"/>
    <w:rsid w:val="00096574"/>
    <w:rsid w:val="000A00B5"/>
    <w:rsid w:val="000A2080"/>
    <w:rsid w:val="000A2BB1"/>
    <w:rsid w:val="000A7045"/>
    <w:rsid w:val="000A75C9"/>
    <w:rsid w:val="000A7848"/>
    <w:rsid w:val="000B27E4"/>
    <w:rsid w:val="000B2830"/>
    <w:rsid w:val="000B4664"/>
    <w:rsid w:val="000B5829"/>
    <w:rsid w:val="000B6220"/>
    <w:rsid w:val="000C3710"/>
    <w:rsid w:val="000C3FE8"/>
    <w:rsid w:val="000C466C"/>
    <w:rsid w:val="000C61F2"/>
    <w:rsid w:val="000C7816"/>
    <w:rsid w:val="000C781A"/>
    <w:rsid w:val="000D181C"/>
    <w:rsid w:val="000D1E55"/>
    <w:rsid w:val="000D505A"/>
    <w:rsid w:val="000D5675"/>
    <w:rsid w:val="000D6CA1"/>
    <w:rsid w:val="000E03CE"/>
    <w:rsid w:val="000E1755"/>
    <w:rsid w:val="000E3253"/>
    <w:rsid w:val="000E414F"/>
    <w:rsid w:val="000E4D25"/>
    <w:rsid w:val="000E4D76"/>
    <w:rsid w:val="000F383C"/>
    <w:rsid w:val="000F393D"/>
    <w:rsid w:val="000F58B9"/>
    <w:rsid w:val="000F6440"/>
    <w:rsid w:val="000F6E19"/>
    <w:rsid w:val="000F7077"/>
    <w:rsid w:val="00102E70"/>
    <w:rsid w:val="00106C0F"/>
    <w:rsid w:val="00107B7A"/>
    <w:rsid w:val="001118D6"/>
    <w:rsid w:val="00112DEE"/>
    <w:rsid w:val="00113AF6"/>
    <w:rsid w:val="001152B9"/>
    <w:rsid w:val="00117248"/>
    <w:rsid w:val="00121086"/>
    <w:rsid w:val="00121187"/>
    <w:rsid w:val="0012188C"/>
    <w:rsid w:val="00123514"/>
    <w:rsid w:val="00124330"/>
    <w:rsid w:val="001256C1"/>
    <w:rsid w:val="001264F7"/>
    <w:rsid w:val="00130A4F"/>
    <w:rsid w:val="00130F1F"/>
    <w:rsid w:val="00131E4F"/>
    <w:rsid w:val="0013235F"/>
    <w:rsid w:val="001324E1"/>
    <w:rsid w:val="00134B0C"/>
    <w:rsid w:val="00135E19"/>
    <w:rsid w:val="00141DBF"/>
    <w:rsid w:val="00143422"/>
    <w:rsid w:val="00143936"/>
    <w:rsid w:val="00147FD4"/>
    <w:rsid w:val="0015099F"/>
    <w:rsid w:val="00150A2E"/>
    <w:rsid w:val="0015246C"/>
    <w:rsid w:val="00155413"/>
    <w:rsid w:val="00155534"/>
    <w:rsid w:val="001555CD"/>
    <w:rsid w:val="0015757A"/>
    <w:rsid w:val="00157B5A"/>
    <w:rsid w:val="00161E11"/>
    <w:rsid w:val="001622EA"/>
    <w:rsid w:val="001637C2"/>
    <w:rsid w:val="00164C95"/>
    <w:rsid w:val="00165C9B"/>
    <w:rsid w:val="00166BBE"/>
    <w:rsid w:val="00170404"/>
    <w:rsid w:val="00172C61"/>
    <w:rsid w:val="00174958"/>
    <w:rsid w:val="00174EB7"/>
    <w:rsid w:val="00175E9C"/>
    <w:rsid w:val="00175FA1"/>
    <w:rsid w:val="00176711"/>
    <w:rsid w:val="00182C1C"/>
    <w:rsid w:val="00182F4B"/>
    <w:rsid w:val="00183FA9"/>
    <w:rsid w:val="00185432"/>
    <w:rsid w:val="00186E13"/>
    <w:rsid w:val="00191767"/>
    <w:rsid w:val="0019364C"/>
    <w:rsid w:val="00193ADB"/>
    <w:rsid w:val="00193BD3"/>
    <w:rsid w:val="00195C12"/>
    <w:rsid w:val="00196F8A"/>
    <w:rsid w:val="001A01AB"/>
    <w:rsid w:val="001A2697"/>
    <w:rsid w:val="001A43F0"/>
    <w:rsid w:val="001A46C9"/>
    <w:rsid w:val="001A496E"/>
    <w:rsid w:val="001A4B63"/>
    <w:rsid w:val="001A6FDC"/>
    <w:rsid w:val="001A7147"/>
    <w:rsid w:val="001B0DB8"/>
    <w:rsid w:val="001B11A5"/>
    <w:rsid w:val="001B190C"/>
    <w:rsid w:val="001B2848"/>
    <w:rsid w:val="001B466D"/>
    <w:rsid w:val="001B4C34"/>
    <w:rsid w:val="001B5D66"/>
    <w:rsid w:val="001C102E"/>
    <w:rsid w:val="001C22DA"/>
    <w:rsid w:val="001C3FE6"/>
    <w:rsid w:val="001C443A"/>
    <w:rsid w:val="001D0797"/>
    <w:rsid w:val="001D08A3"/>
    <w:rsid w:val="001D410B"/>
    <w:rsid w:val="001D629B"/>
    <w:rsid w:val="001D7C88"/>
    <w:rsid w:val="001E01C5"/>
    <w:rsid w:val="001E112E"/>
    <w:rsid w:val="001E4C6E"/>
    <w:rsid w:val="001E7405"/>
    <w:rsid w:val="001F651F"/>
    <w:rsid w:val="001F6F15"/>
    <w:rsid w:val="00200980"/>
    <w:rsid w:val="002037D2"/>
    <w:rsid w:val="002046E3"/>
    <w:rsid w:val="00204948"/>
    <w:rsid w:val="002072D5"/>
    <w:rsid w:val="002108C6"/>
    <w:rsid w:val="00210BFA"/>
    <w:rsid w:val="00213A86"/>
    <w:rsid w:val="00214E11"/>
    <w:rsid w:val="00214EB8"/>
    <w:rsid w:val="00215E5E"/>
    <w:rsid w:val="00216452"/>
    <w:rsid w:val="00217204"/>
    <w:rsid w:val="00217840"/>
    <w:rsid w:val="0022123C"/>
    <w:rsid w:val="00222F56"/>
    <w:rsid w:val="00223194"/>
    <w:rsid w:val="00233D53"/>
    <w:rsid w:val="00234AD4"/>
    <w:rsid w:val="002357EE"/>
    <w:rsid w:val="002371E6"/>
    <w:rsid w:val="00237CDF"/>
    <w:rsid w:val="002402F4"/>
    <w:rsid w:val="00241B3E"/>
    <w:rsid w:val="002432A0"/>
    <w:rsid w:val="00243429"/>
    <w:rsid w:val="002438B3"/>
    <w:rsid w:val="002448CF"/>
    <w:rsid w:val="00244E25"/>
    <w:rsid w:val="002460BE"/>
    <w:rsid w:val="00247353"/>
    <w:rsid w:val="00247A87"/>
    <w:rsid w:val="002513DA"/>
    <w:rsid w:val="0025202C"/>
    <w:rsid w:val="002553A9"/>
    <w:rsid w:val="0025551E"/>
    <w:rsid w:val="002564E0"/>
    <w:rsid w:val="002565FD"/>
    <w:rsid w:val="00257736"/>
    <w:rsid w:val="00257BD7"/>
    <w:rsid w:val="00257DCB"/>
    <w:rsid w:val="002637DD"/>
    <w:rsid w:val="00265477"/>
    <w:rsid w:val="002659AE"/>
    <w:rsid w:val="002663A6"/>
    <w:rsid w:val="0026644B"/>
    <w:rsid w:val="0027015A"/>
    <w:rsid w:val="00274DC3"/>
    <w:rsid w:val="00275D8B"/>
    <w:rsid w:val="00277B0C"/>
    <w:rsid w:val="002806B7"/>
    <w:rsid w:val="00280CAC"/>
    <w:rsid w:val="002816FD"/>
    <w:rsid w:val="00283545"/>
    <w:rsid w:val="00284B67"/>
    <w:rsid w:val="0028551C"/>
    <w:rsid w:val="00285811"/>
    <w:rsid w:val="002873F3"/>
    <w:rsid w:val="00290006"/>
    <w:rsid w:val="00290366"/>
    <w:rsid w:val="002908D2"/>
    <w:rsid w:val="00292B02"/>
    <w:rsid w:val="00293255"/>
    <w:rsid w:val="00293DC8"/>
    <w:rsid w:val="002952E4"/>
    <w:rsid w:val="00297290"/>
    <w:rsid w:val="002972E0"/>
    <w:rsid w:val="002A03A6"/>
    <w:rsid w:val="002A351C"/>
    <w:rsid w:val="002A3A70"/>
    <w:rsid w:val="002A507C"/>
    <w:rsid w:val="002A67A9"/>
    <w:rsid w:val="002B1BEF"/>
    <w:rsid w:val="002B1DAF"/>
    <w:rsid w:val="002B2A26"/>
    <w:rsid w:val="002B2FF7"/>
    <w:rsid w:val="002B6832"/>
    <w:rsid w:val="002B6C3D"/>
    <w:rsid w:val="002B7647"/>
    <w:rsid w:val="002B7E57"/>
    <w:rsid w:val="002C1C0C"/>
    <w:rsid w:val="002C1FBB"/>
    <w:rsid w:val="002C2E0D"/>
    <w:rsid w:val="002C35F3"/>
    <w:rsid w:val="002C48ED"/>
    <w:rsid w:val="002C4CAC"/>
    <w:rsid w:val="002C5AA6"/>
    <w:rsid w:val="002C7EEA"/>
    <w:rsid w:val="002D0754"/>
    <w:rsid w:val="002D0C54"/>
    <w:rsid w:val="002D16CD"/>
    <w:rsid w:val="002D1B1E"/>
    <w:rsid w:val="002D2730"/>
    <w:rsid w:val="002D38E9"/>
    <w:rsid w:val="002D43E5"/>
    <w:rsid w:val="002D4CD2"/>
    <w:rsid w:val="002D4DEF"/>
    <w:rsid w:val="002D5B23"/>
    <w:rsid w:val="002D62E4"/>
    <w:rsid w:val="002D7780"/>
    <w:rsid w:val="002D7D3A"/>
    <w:rsid w:val="002D7EBE"/>
    <w:rsid w:val="002E1937"/>
    <w:rsid w:val="002E28FB"/>
    <w:rsid w:val="002E3645"/>
    <w:rsid w:val="002E443D"/>
    <w:rsid w:val="002E465C"/>
    <w:rsid w:val="002E6896"/>
    <w:rsid w:val="002E761F"/>
    <w:rsid w:val="002E7709"/>
    <w:rsid w:val="002F0273"/>
    <w:rsid w:val="002F2367"/>
    <w:rsid w:val="002F34DA"/>
    <w:rsid w:val="002F363E"/>
    <w:rsid w:val="00300EBD"/>
    <w:rsid w:val="0030213B"/>
    <w:rsid w:val="003023E2"/>
    <w:rsid w:val="00303D1A"/>
    <w:rsid w:val="00305451"/>
    <w:rsid w:val="00306E1E"/>
    <w:rsid w:val="0030754E"/>
    <w:rsid w:val="003117C2"/>
    <w:rsid w:val="0031210D"/>
    <w:rsid w:val="00313EFF"/>
    <w:rsid w:val="00316858"/>
    <w:rsid w:val="003168A6"/>
    <w:rsid w:val="00320886"/>
    <w:rsid w:val="0032151B"/>
    <w:rsid w:val="003231ED"/>
    <w:rsid w:val="00325E38"/>
    <w:rsid w:val="00326ACA"/>
    <w:rsid w:val="00327883"/>
    <w:rsid w:val="00331A9C"/>
    <w:rsid w:val="0033253E"/>
    <w:rsid w:val="003328A2"/>
    <w:rsid w:val="00332D2A"/>
    <w:rsid w:val="00334369"/>
    <w:rsid w:val="00337470"/>
    <w:rsid w:val="0034041C"/>
    <w:rsid w:val="00340B1D"/>
    <w:rsid w:val="00341EF8"/>
    <w:rsid w:val="00342C34"/>
    <w:rsid w:val="0034354C"/>
    <w:rsid w:val="00344A3D"/>
    <w:rsid w:val="00344F72"/>
    <w:rsid w:val="00347525"/>
    <w:rsid w:val="0035004D"/>
    <w:rsid w:val="00350DAC"/>
    <w:rsid w:val="003529CD"/>
    <w:rsid w:val="00353547"/>
    <w:rsid w:val="003568CA"/>
    <w:rsid w:val="003605A2"/>
    <w:rsid w:val="00360648"/>
    <w:rsid w:val="00360BAC"/>
    <w:rsid w:val="00361834"/>
    <w:rsid w:val="00362697"/>
    <w:rsid w:val="003655B8"/>
    <w:rsid w:val="00366BB9"/>
    <w:rsid w:val="0037054A"/>
    <w:rsid w:val="0037152D"/>
    <w:rsid w:val="0037161D"/>
    <w:rsid w:val="00371A98"/>
    <w:rsid w:val="00372E4B"/>
    <w:rsid w:val="00373453"/>
    <w:rsid w:val="0037425C"/>
    <w:rsid w:val="003742A4"/>
    <w:rsid w:val="003755FD"/>
    <w:rsid w:val="003767DE"/>
    <w:rsid w:val="003773D6"/>
    <w:rsid w:val="00377BF5"/>
    <w:rsid w:val="00377E69"/>
    <w:rsid w:val="0038200F"/>
    <w:rsid w:val="0038249B"/>
    <w:rsid w:val="00384547"/>
    <w:rsid w:val="00386E1B"/>
    <w:rsid w:val="003879AF"/>
    <w:rsid w:val="003904D0"/>
    <w:rsid w:val="00390607"/>
    <w:rsid w:val="003925DD"/>
    <w:rsid w:val="0039267A"/>
    <w:rsid w:val="00396BF0"/>
    <w:rsid w:val="00397355"/>
    <w:rsid w:val="003A00B6"/>
    <w:rsid w:val="003A285D"/>
    <w:rsid w:val="003A57B0"/>
    <w:rsid w:val="003A6484"/>
    <w:rsid w:val="003A676A"/>
    <w:rsid w:val="003A7D0F"/>
    <w:rsid w:val="003B214B"/>
    <w:rsid w:val="003B22D4"/>
    <w:rsid w:val="003B274B"/>
    <w:rsid w:val="003B3F83"/>
    <w:rsid w:val="003B445C"/>
    <w:rsid w:val="003B4A5D"/>
    <w:rsid w:val="003B52AA"/>
    <w:rsid w:val="003B7251"/>
    <w:rsid w:val="003B742F"/>
    <w:rsid w:val="003C0559"/>
    <w:rsid w:val="003C0C96"/>
    <w:rsid w:val="003C1BC1"/>
    <w:rsid w:val="003C3E98"/>
    <w:rsid w:val="003C4672"/>
    <w:rsid w:val="003C48FF"/>
    <w:rsid w:val="003C4DED"/>
    <w:rsid w:val="003C6579"/>
    <w:rsid w:val="003D04D3"/>
    <w:rsid w:val="003D0F6C"/>
    <w:rsid w:val="003D2BCF"/>
    <w:rsid w:val="003D42F1"/>
    <w:rsid w:val="003D6D93"/>
    <w:rsid w:val="003E4220"/>
    <w:rsid w:val="003E4868"/>
    <w:rsid w:val="003E6021"/>
    <w:rsid w:val="003E6CE2"/>
    <w:rsid w:val="003E7E75"/>
    <w:rsid w:val="003F0AEA"/>
    <w:rsid w:val="003F4082"/>
    <w:rsid w:val="003F4A42"/>
    <w:rsid w:val="003F56AB"/>
    <w:rsid w:val="003F5AB6"/>
    <w:rsid w:val="003F71B5"/>
    <w:rsid w:val="00400098"/>
    <w:rsid w:val="00401490"/>
    <w:rsid w:val="00402901"/>
    <w:rsid w:val="004034E9"/>
    <w:rsid w:val="004036D7"/>
    <w:rsid w:val="004038D8"/>
    <w:rsid w:val="00404F4C"/>
    <w:rsid w:val="004059CF"/>
    <w:rsid w:val="00405E85"/>
    <w:rsid w:val="00407258"/>
    <w:rsid w:val="00407853"/>
    <w:rsid w:val="00411F46"/>
    <w:rsid w:val="00413781"/>
    <w:rsid w:val="00415507"/>
    <w:rsid w:val="004160E9"/>
    <w:rsid w:val="00416141"/>
    <w:rsid w:val="004211F2"/>
    <w:rsid w:val="00422305"/>
    <w:rsid w:val="00422760"/>
    <w:rsid w:val="004238F9"/>
    <w:rsid w:val="0042418D"/>
    <w:rsid w:val="00426577"/>
    <w:rsid w:val="004323F2"/>
    <w:rsid w:val="00433607"/>
    <w:rsid w:val="004348FB"/>
    <w:rsid w:val="00435AB0"/>
    <w:rsid w:val="0043646D"/>
    <w:rsid w:val="0043671A"/>
    <w:rsid w:val="00437C88"/>
    <w:rsid w:val="00440C76"/>
    <w:rsid w:val="00440CE6"/>
    <w:rsid w:val="00441539"/>
    <w:rsid w:val="004429D6"/>
    <w:rsid w:val="00443A69"/>
    <w:rsid w:val="004453DE"/>
    <w:rsid w:val="00445CFF"/>
    <w:rsid w:val="00446F4F"/>
    <w:rsid w:val="0045292C"/>
    <w:rsid w:val="00453ECB"/>
    <w:rsid w:val="00454AB0"/>
    <w:rsid w:val="004602F1"/>
    <w:rsid w:val="004609BB"/>
    <w:rsid w:val="00460DFE"/>
    <w:rsid w:val="00462B62"/>
    <w:rsid w:val="00465554"/>
    <w:rsid w:val="00470E45"/>
    <w:rsid w:val="00471986"/>
    <w:rsid w:val="00472BBD"/>
    <w:rsid w:val="004764D6"/>
    <w:rsid w:val="004809D8"/>
    <w:rsid w:val="00481D11"/>
    <w:rsid w:val="004821A3"/>
    <w:rsid w:val="00483D25"/>
    <w:rsid w:val="00485AF1"/>
    <w:rsid w:val="00486C7B"/>
    <w:rsid w:val="00487318"/>
    <w:rsid w:val="00490304"/>
    <w:rsid w:val="004903FD"/>
    <w:rsid w:val="00490FF0"/>
    <w:rsid w:val="004930A7"/>
    <w:rsid w:val="00493391"/>
    <w:rsid w:val="00496405"/>
    <w:rsid w:val="00496F3F"/>
    <w:rsid w:val="004A0514"/>
    <w:rsid w:val="004A34E8"/>
    <w:rsid w:val="004A4EE5"/>
    <w:rsid w:val="004A4EE7"/>
    <w:rsid w:val="004A64C8"/>
    <w:rsid w:val="004A696C"/>
    <w:rsid w:val="004A6CA6"/>
    <w:rsid w:val="004B0E7C"/>
    <w:rsid w:val="004B243F"/>
    <w:rsid w:val="004B276A"/>
    <w:rsid w:val="004B6159"/>
    <w:rsid w:val="004C2C7B"/>
    <w:rsid w:val="004C4A36"/>
    <w:rsid w:val="004C7781"/>
    <w:rsid w:val="004D08C1"/>
    <w:rsid w:val="004D2245"/>
    <w:rsid w:val="004D2CF8"/>
    <w:rsid w:val="004D3442"/>
    <w:rsid w:val="004D38E1"/>
    <w:rsid w:val="004D3F82"/>
    <w:rsid w:val="004D58C6"/>
    <w:rsid w:val="004D5D35"/>
    <w:rsid w:val="004E0027"/>
    <w:rsid w:val="004E08B6"/>
    <w:rsid w:val="004E15BC"/>
    <w:rsid w:val="004E160F"/>
    <w:rsid w:val="004E2D0B"/>
    <w:rsid w:val="004E3601"/>
    <w:rsid w:val="004E40A1"/>
    <w:rsid w:val="004E448F"/>
    <w:rsid w:val="004E594D"/>
    <w:rsid w:val="004E61DA"/>
    <w:rsid w:val="004E67BE"/>
    <w:rsid w:val="004F1A27"/>
    <w:rsid w:val="004F5910"/>
    <w:rsid w:val="0050109F"/>
    <w:rsid w:val="00502EB8"/>
    <w:rsid w:val="005032F9"/>
    <w:rsid w:val="005053B8"/>
    <w:rsid w:val="005075C6"/>
    <w:rsid w:val="00511A6E"/>
    <w:rsid w:val="00512916"/>
    <w:rsid w:val="00516026"/>
    <w:rsid w:val="005160D0"/>
    <w:rsid w:val="005178C2"/>
    <w:rsid w:val="0052155F"/>
    <w:rsid w:val="00522C5D"/>
    <w:rsid w:val="00523593"/>
    <w:rsid w:val="00523923"/>
    <w:rsid w:val="005246DC"/>
    <w:rsid w:val="00525F4E"/>
    <w:rsid w:val="0052651F"/>
    <w:rsid w:val="00526E80"/>
    <w:rsid w:val="00527096"/>
    <w:rsid w:val="005323D5"/>
    <w:rsid w:val="00532948"/>
    <w:rsid w:val="005352AD"/>
    <w:rsid w:val="005356FF"/>
    <w:rsid w:val="0053745F"/>
    <w:rsid w:val="00541106"/>
    <w:rsid w:val="0054269A"/>
    <w:rsid w:val="00543155"/>
    <w:rsid w:val="00544027"/>
    <w:rsid w:val="005445EB"/>
    <w:rsid w:val="005446DF"/>
    <w:rsid w:val="005448C3"/>
    <w:rsid w:val="00544A89"/>
    <w:rsid w:val="0054592E"/>
    <w:rsid w:val="00546B76"/>
    <w:rsid w:val="00546CFD"/>
    <w:rsid w:val="00546F24"/>
    <w:rsid w:val="005500FC"/>
    <w:rsid w:val="00551D0A"/>
    <w:rsid w:val="00553154"/>
    <w:rsid w:val="00553981"/>
    <w:rsid w:val="00553F3F"/>
    <w:rsid w:val="00555615"/>
    <w:rsid w:val="00555EF2"/>
    <w:rsid w:val="00557C47"/>
    <w:rsid w:val="005637A5"/>
    <w:rsid w:val="00563E29"/>
    <w:rsid w:val="005642D4"/>
    <w:rsid w:val="005675C8"/>
    <w:rsid w:val="005754DE"/>
    <w:rsid w:val="00577B7E"/>
    <w:rsid w:val="00577C46"/>
    <w:rsid w:val="00577EAF"/>
    <w:rsid w:val="00580340"/>
    <w:rsid w:val="0058256F"/>
    <w:rsid w:val="005842C1"/>
    <w:rsid w:val="00584D14"/>
    <w:rsid w:val="005911B8"/>
    <w:rsid w:val="00591246"/>
    <w:rsid w:val="005944A8"/>
    <w:rsid w:val="005945D6"/>
    <w:rsid w:val="00594704"/>
    <w:rsid w:val="00595EB8"/>
    <w:rsid w:val="0059671E"/>
    <w:rsid w:val="005A1F58"/>
    <w:rsid w:val="005A3F53"/>
    <w:rsid w:val="005A5C91"/>
    <w:rsid w:val="005A643C"/>
    <w:rsid w:val="005A70B1"/>
    <w:rsid w:val="005B07CD"/>
    <w:rsid w:val="005B1513"/>
    <w:rsid w:val="005B2380"/>
    <w:rsid w:val="005B3739"/>
    <w:rsid w:val="005B3AF6"/>
    <w:rsid w:val="005B4C04"/>
    <w:rsid w:val="005B4D63"/>
    <w:rsid w:val="005B5C7D"/>
    <w:rsid w:val="005B6D02"/>
    <w:rsid w:val="005C103A"/>
    <w:rsid w:val="005C1144"/>
    <w:rsid w:val="005C27A6"/>
    <w:rsid w:val="005C5067"/>
    <w:rsid w:val="005D0798"/>
    <w:rsid w:val="005D0BBF"/>
    <w:rsid w:val="005D189A"/>
    <w:rsid w:val="005D1AD7"/>
    <w:rsid w:val="005D2D51"/>
    <w:rsid w:val="005D4227"/>
    <w:rsid w:val="005E006A"/>
    <w:rsid w:val="005E2165"/>
    <w:rsid w:val="005E2623"/>
    <w:rsid w:val="005E524E"/>
    <w:rsid w:val="005E629A"/>
    <w:rsid w:val="005E6FE1"/>
    <w:rsid w:val="005E7388"/>
    <w:rsid w:val="005E74E7"/>
    <w:rsid w:val="005E7D88"/>
    <w:rsid w:val="005F0FD7"/>
    <w:rsid w:val="005F101B"/>
    <w:rsid w:val="005F3AFC"/>
    <w:rsid w:val="005F5EDA"/>
    <w:rsid w:val="006002BC"/>
    <w:rsid w:val="006007DA"/>
    <w:rsid w:val="00605608"/>
    <w:rsid w:val="00605EE9"/>
    <w:rsid w:val="0060758E"/>
    <w:rsid w:val="00607C8A"/>
    <w:rsid w:val="00607EBD"/>
    <w:rsid w:val="006127E3"/>
    <w:rsid w:val="00613ACE"/>
    <w:rsid w:val="0061470F"/>
    <w:rsid w:val="00615023"/>
    <w:rsid w:val="00616FEB"/>
    <w:rsid w:val="00621525"/>
    <w:rsid w:val="00622ED3"/>
    <w:rsid w:val="00623D03"/>
    <w:rsid w:val="00623D4C"/>
    <w:rsid w:val="00625782"/>
    <w:rsid w:val="00626681"/>
    <w:rsid w:val="00626DD4"/>
    <w:rsid w:val="00630902"/>
    <w:rsid w:val="00631410"/>
    <w:rsid w:val="006319C3"/>
    <w:rsid w:val="00632D59"/>
    <w:rsid w:val="0063357B"/>
    <w:rsid w:val="0063510F"/>
    <w:rsid w:val="00641AEF"/>
    <w:rsid w:val="006434E0"/>
    <w:rsid w:val="00644085"/>
    <w:rsid w:val="00645238"/>
    <w:rsid w:val="00646404"/>
    <w:rsid w:val="00647586"/>
    <w:rsid w:val="00647A5C"/>
    <w:rsid w:val="00650C72"/>
    <w:rsid w:val="0065387C"/>
    <w:rsid w:val="00653E0C"/>
    <w:rsid w:val="00654823"/>
    <w:rsid w:val="006579B7"/>
    <w:rsid w:val="0066116E"/>
    <w:rsid w:val="00661BE1"/>
    <w:rsid w:val="006622CE"/>
    <w:rsid w:val="00663447"/>
    <w:rsid w:val="006642C4"/>
    <w:rsid w:val="006646CE"/>
    <w:rsid w:val="0066666C"/>
    <w:rsid w:val="00666821"/>
    <w:rsid w:val="0066692F"/>
    <w:rsid w:val="00671D19"/>
    <w:rsid w:val="00671F73"/>
    <w:rsid w:val="00674FCB"/>
    <w:rsid w:val="00681426"/>
    <w:rsid w:val="00681B0F"/>
    <w:rsid w:val="00682F6E"/>
    <w:rsid w:val="00684DEE"/>
    <w:rsid w:val="006855E0"/>
    <w:rsid w:val="006856AF"/>
    <w:rsid w:val="00686361"/>
    <w:rsid w:val="0068636E"/>
    <w:rsid w:val="0068655C"/>
    <w:rsid w:val="00687AD6"/>
    <w:rsid w:val="006907A6"/>
    <w:rsid w:val="006921D1"/>
    <w:rsid w:val="006921F4"/>
    <w:rsid w:val="006924E6"/>
    <w:rsid w:val="0069414D"/>
    <w:rsid w:val="00695F27"/>
    <w:rsid w:val="00696676"/>
    <w:rsid w:val="006968C1"/>
    <w:rsid w:val="00696CE8"/>
    <w:rsid w:val="00697E8F"/>
    <w:rsid w:val="006A032F"/>
    <w:rsid w:val="006A0E3A"/>
    <w:rsid w:val="006A1584"/>
    <w:rsid w:val="006A4A50"/>
    <w:rsid w:val="006A5CFB"/>
    <w:rsid w:val="006A6683"/>
    <w:rsid w:val="006A6E80"/>
    <w:rsid w:val="006B21D9"/>
    <w:rsid w:val="006B2A23"/>
    <w:rsid w:val="006B3B83"/>
    <w:rsid w:val="006B4298"/>
    <w:rsid w:val="006B7F68"/>
    <w:rsid w:val="006C29A5"/>
    <w:rsid w:val="006C47DD"/>
    <w:rsid w:val="006C5703"/>
    <w:rsid w:val="006C688F"/>
    <w:rsid w:val="006C7D5A"/>
    <w:rsid w:val="006C7E0F"/>
    <w:rsid w:val="006D1098"/>
    <w:rsid w:val="006D1BD7"/>
    <w:rsid w:val="006D21C4"/>
    <w:rsid w:val="006D4A7B"/>
    <w:rsid w:val="006D6C69"/>
    <w:rsid w:val="006D78C5"/>
    <w:rsid w:val="006E3839"/>
    <w:rsid w:val="006E47FE"/>
    <w:rsid w:val="006E50D6"/>
    <w:rsid w:val="006F2323"/>
    <w:rsid w:val="006F3357"/>
    <w:rsid w:val="006F3DFC"/>
    <w:rsid w:val="006F5B72"/>
    <w:rsid w:val="006F6309"/>
    <w:rsid w:val="006F6410"/>
    <w:rsid w:val="006F7357"/>
    <w:rsid w:val="006F7A07"/>
    <w:rsid w:val="007001DA"/>
    <w:rsid w:val="00701818"/>
    <w:rsid w:val="0070263C"/>
    <w:rsid w:val="00702A06"/>
    <w:rsid w:val="00702F96"/>
    <w:rsid w:val="007056EC"/>
    <w:rsid w:val="007070A9"/>
    <w:rsid w:val="00710D8F"/>
    <w:rsid w:val="00711C06"/>
    <w:rsid w:val="0071297F"/>
    <w:rsid w:val="007142C7"/>
    <w:rsid w:val="007202B2"/>
    <w:rsid w:val="00720325"/>
    <w:rsid w:val="0072541A"/>
    <w:rsid w:val="00725637"/>
    <w:rsid w:val="0073167A"/>
    <w:rsid w:val="0073358F"/>
    <w:rsid w:val="00736483"/>
    <w:rsid w:val="007410EC"/>
    <w:rsid w:val="00743B01"/>
    <w:rsid w:val="00745587"/>
    <w:rsid w:val="00746FD9"/>
    <w:rsid w:val="00750D04"/>
    <w:rsid w:val="00751237"/>
    <w:rsid w:val="00752A58"/>
    <w:rsid w:val="00752EE1"/>
    <w:rsid w:val="00753782"/>
    <w:rsid w:val="0075490C"/>
    <w:rsid w:val="0075672C"/>
    <w:rsid w:val="00756755"/>
    <w:rsid w:val="007613B3"/>
    <w:rsid w:val="007616EE"/>
    <w:rsid w:val="00766A70"/>
    <w:rsid w:val="0077008D"/>
    <w:rsid w:val="007709E9"/>
    <w:rsid w:val="00771367"/>
    <w:rsid w:val="007713E0"/>
    <w:rsid w:val="00771717"/>
    <w:rsid w:val="0077272C"/>
    <w:rsid w:val="00774438"/>
    <w:rsid w:val="0077559E"/>
    <w:rsid w:val="00777173"/>
    <w:rsid w:val="00781A71"/>
    <w:rsid w:val="007826F8"/>
    <w:rsid w:val="00783FBD"/>
    <w:rsid w:val="007842A0"/>
    <w:rsid w:val="00786DB5"/>
    <w:rsid w:val="0079434B"/>
    <w:rsid w:val="0079716E"/>
    <w:rsid w:val="007A0550"/>
    <w:rsid w:val="007A0BC4"/>
    <w:rsid w:val="007A108E"/>
    <w:rsid w:val="007A2450"/>
    <w:rsid w:val="007A6382"/>
    <w:rsid w:val="007A65B8"/>
    <w:rsid w:val="007A6F4B"/>
    <w:rsid w:val="007B29EC"/>
    <w:rsid w:val="007B3616"/>
    <w:rsid w:val="007B3C09"/>
    <w:rsid w:val="007B40F6"/>
    <w:rsid w:val="007B4B5E"/>
    <w:rsid w:val="007B5AAA"/>
    <w:rsid w:val="007B67B8"/>
    <w:rsid w:val="007B6BF8"/>
    <w:rsid w:val="007B77EA"/>
    <w:rsid w:val="007B7B7D"/>
    <w:rsid w:val="007C1F9A"/>
    <w:rsid w:val="007C28EB"/>
    <w:rsid w:val="007C56CA"/>
    <w:rsid w:val="007C7F78"/>
    <w:rsid w:val="007D13B0"/>
    <w:rsid w:val="007D230B"/>
    <w:rsid w:val="007D5968"/>
    <w:rsid w:val="007D5B99"/>
    <w:rsid w:val="007D7330"/>
    <w:rsid w:val="007D736E"/>
    <w:rsid w:val="007D7750"/>
    <w:rsid w:val="007E06E9"/>
    <w:rsid w:val="007E1AC5"/>
    <w:rsid w:val="007E1FD0"/>
    <w:rsid w:val="007E28B0"/>
    <w:rsid w:val="007E6C1A"/>
    <w:rsid w:val="007E70F7"/>
    <w:rsid w:val="007E73F5"/>
    <w:rsid w:val="007F1726"/>
    <w:rsid w:val="007F46BE"/>
    <w:rsid w:val="007F65FA"/>
    <w:rsid w:val="007F7B53"/>
    <w:rsid w:val="008008A6"/>
    <w:rsid w:val="00800DA1"/>
    <w:rsid w:val="00800EEB"/>
    <w:rsid w:val="00800FE4"/>
    <w:rsid w:val="00801C3E"/>
    <w:rsid w:val="00802DB2"/>
    <w:rsid w:val="00802FE7"/>
    <w:rsid w:val="0080603F"/>
    <w:rsid w:val="00806AF3"/>
    <w:rsid w:val="008100F0"/>
    <w:rsid w:val="00811870"/>
    <w:rsid w:val="00812FFA"/>
    <w:rsid w:val="0081361A"/>
    <w:rsid w:val="00813D3A"/>
    <w:rsid w:val="00817672"/>
    <w:rsid w:val="00822016"/>
    <w:rsid w:val="00823A49"/>
    <w:rsid w:val="00823C8D"/>
    <w:rsid w:val="00827F9E"/>
    <w:rsid w:val="008346D9"/>
    <w:rsid w:val="00835781"/>
    <w:rsid w:val="00840AAE"/>
    <w:rsid w:val="00840F8B"/>
    <w:rsid w:val="00842DB2"/>
    <w:rsid w:val="0084315E"/>
    <w:rsid w:val="00845125"/>
    <w:rsid w:val="00857A90"/>
    <w:rsid w:val="008609D1"/>
    <w:rsid w:val="00860B06"/>
    <w:rsid w:val="00860E84"/>
    <w:rsid w:val="00861563"/>
    <w:rsid w:val="00861E6C"/>
    <w:rsid w:val="008620B7"/>
    <w:rsid w:val="0086250E"/>
    <w:rsid w:val="00862605"/>
    <w:rsid w:val="00862C6D"/>
    <w:rsid w:val="00862E0B"/>
    <w:rsid w:val="00866E9D"/>
    <w:rsid w:val="00871533"/>
    <w:rsid w:val="008717B9"/>
    <w:rsid w:val="008718AF"/>
    <w:rsid w:val="00873C12"/>
    <w:rsid w:val="00875474"/>
    <w:rsid w:val="0087632F"/>
    <w:rsid w:val="00876CDF"/>
    <w:rsid w:val="008802C1"/>
    <w:rsid w:val="00880B0B"/>
    <w:rsid w:val="0088325C"/>
    <w:rsid w:val="00883D70"/>
    <w:rsid w:val="00884DCD"/>
    <w:rsid w:val="00884F21"/>
    <w:rsid w:val="00884F6C"/>
    <w:rsid w:val="008854C0"/>
    <w:rsid w:val="00887DC8"/>
    <w:rsid w:val="00890D0C"/>
    <w:rsid w:val="00891984"/>
    <w:rsid w:val="00891C78"/>
    <w:rsid w:val="00893057"/>
    <w:rsid w:val="00896383"/>
    <w:rsid w:val="00896A68"/>
    <w:rsid w:val="008974A1"/>
    <w:rsid w:val="008A1F94"/>
    <w:rsid w:val="008A2615"/>
    <w:rsid w:val="008A2A60"/>
    <w:rsid w:val="008A501F"/>
    <w:rsid w:val="008A50A0"/>
    <w:rsid w:val="008A58C1"/>
    <w:rsid w:val="008A6D88"/>
    <w:rsid w:val="008A7C45"/>
    <w:rsid w:val="008B0A0B"/>
    <w:rsid w:val="008B0F07"/>
    <w:rsid w:val="008B3A81"/>
    <w:rsid w:val="008B3BDE"/>
    <w:rsid w:val="008C18B6"/>
    <w:rsid w:val="008C1921"/>
    <w:rsid w:val="008C41CB"/>
    <w:rsid w:val="008C51CC"/>
    <w:rsid w:val="008C5761"/>
    <w:rsid w:val="008C759B"/>
    <w:rsid w:val="008C7D31"/>
    <w:rsid w:val="008D0EAF"/>
    <w:rsid w:val="008D2E72"/>
    <w:rsid w:val="008D4992"/>
    <w:rsid w:val="008D4CE5"/>
    <w:rsid w:val="008D6444"/>
    <w:rsid w:val="008D72AA"/>
    <w:rsid w:val="008D79DD"/>
    <w:rsid w:val="008E375E"/>
    <w:rsid w:val="008E5326"/>
    <w:rsid w:val="008E77C5"/>
    <w:rsid w:val="008F065F"/>
    <w:rsid w:val="008F1F3C"/>
    <w:rsid w:val="008F34F9"/>
    <w:rsid w:val="008F5722"/>
    <w:rsid w:val="009000DD"/>
    <w:rsid w:val="0090065A"/>
    <w:rsid w:val="00900912"/>
    <w:rsid w:val="00901E68"/>
    <w:rsid w:val="00902D96"/>
    <w:rsid w:val="00903E9D"/>
    <w:rsid w:val="00904FC0"/>
    <w:rsid w:val="00905882"/>
    <w:rsid w:val="00905953"/>
    <w:rsid w:val="00906E2A"/>
    <w:rsid w:val="00907CEE"/>
    <w:rsid w:val="009109A5"/>
    <w:rsid w:val="00910D82"/>
    <w:rsid w:val="009129CD"/>
    <w:rsid w:val="0091382D"/>
    <w:rsid w:val="00913990"/>
    <w:rsid w:val="00914825"/>
    <w:rsid w:val="00915172"/>
    <w:rsid w:val="009168E6"/>
    <w:rsid w:val="00916E85"/>
    <w:rsid w:val="00917C8D"/>
    <w:rsid w:val="009203FF"/>
    <w:rsid w:val="00920747"/>
    <w:rsid w:val="009215D3"/>
    <w:rsid w:val="00922852"/>
    <w:rsid w:val="009246B0"/>
    <w:rsid w:val="009247BD"/>
    <w:rsid w:val="009322FE"/>
    <w:rsid w:val="00934DCF"/>
    <w:rsid w:val="00935C74"/>
    <w:rsid w:val="009370E9"/>
    <w:rsid w:val="009416D2"/>
    <w:rsid w:val="00943423"/>
    <w:rsid w:val="0094440D"/>
    <w:rsid w:val="00951153"/>
    <w:rsid w:val="009512AC"/>
    <w:rsid w:val="009517E9"/>
    <w:rsid w:val="0095309F"/>
    <w:rsid w:val="009536EF"/>
    <w:rsid w:val="00953C50"/>
    <w:rsid w:val="00956229"/>
    <w:rsid w:val="00960715"/>
    <w:rsid w:val="0096103C"/>
    <w:rsid w:val="00961A51"/>
    <w:rsid w:val="0096249B"/>
    <w:rsid w:val="00962F0B"/>
    <w:rsid w:val="009637FF"/>
    <w:rsid w:val="00963C52"/>
    <w:rsid w:val="00963C5B"/>
    <w:rsid w:val="009657AF"/>
    <w:rsid w:val="0096717B"/>
    <w:rsid w:val="00970951"/>
    <w:rsid w:val="00970EBD"/>
    <w:rsid w:val="009716F6"/>
    <w:rsid w:val="00975550"/>
    <w:rsid w:val="00976453"/>
    <w:rsid w:val="0098190B"/>
    <w:rsid w:val="0098646B"/>
    <w:rsid w:val="0098688A"/>
    <w:rsid w:val="009918E1"/>
    <w:rsid w:val="00991F13"/>
    <w:rsid w:val="00992757"/>
    <w:rsid w:val="00992BF5"/>
    <w:rsid w:val="00993A55"/>
    <w:rsid w:val="009940CC"/>
    <w:rsid w:val="00994B1E"/>
    <w:rsid w:val="0099579C"/>
    <w:rsid w:val="009979B4"/>
    <w:rsid w:val="009A0292"/>
    <w:rsid w:val="009A04EA"/>
    <w:rsid w:val="009A11FE"/>
    <w:rsid w:val="009A174E"/>
    <w:rsid w:val="009A1C63"/>
    <w:rsid w:val="009A3859"/>
    <w:rsid w:val="009A39FA"/>
    <w:rsid w:val="009A5AD8"/>
    <w:rsid w:val="009A5CBC"/>
    <w:rsid w:val="009B17BB"/>
    <w:rsid w:val="009B3C84"/>
    <w:rsid w:val="009B53D5"/>
    <w:rsid w:val="009B6BAC"/>
    <w:rsid w:val="009B6EFC"/>
    <w:rsid w:val="009B7020"/>
    <w:rsid w:val="009C1327"/>
    <w:rsid w:val="009C2749"/>
    <w:rsid w:val="009C2AAB"/>
    <w:rsid w:val="009C2F4A"/>
    <w:rsid w:val="009C510A"/>
    <w:rsid w:val="009C69BA"/>
    <w:rsid w:val="009C71CD"/>
    <w:rsid w:val="009D037B"/>
    <w:rsid w:val="009D11CD"/>
    <w:rsid w:val="009D3404"/>
    <w:rsid w:val="009D4D8B"/>
    <w:rsid w:val="009D5ED5"/>
    <w:rsid w:val="009D749B"/>
    <w:rsid w:val="009E0672"/>
    <w:rsid w:val="009E2EFD"/>
    <w:rsid w:val="009E3691"/>
    <w:rsid w:val="009E4AC0"/>
    <w:rsid w:val="009E758D"/>
    <w:rsid w:val="009F0367"/>
    <w:rsid w:val="009F043A"/>
    <w:rsid w:val="009F098F"/>
    <w:rsid w:val="009F2A57"/>
    <w:rsid w:val="009F4722"/>
    <w:rsid w:val="009F5CA4"/>
    <w:rsid w:val="009F6833"/>
    <w:rsid w:val="009F7D1C"/>
    <w:rsid w:val="00A00690"/>
    <w:rsid w:val="00A0299A"/>
    <w:rsid w:val="00A02AB8"/>
    <w:rsid w:val="00A0375D"/>
    <w:rsid w:val="00A04EEB"/>
    <w:rsid w:val="00A06C9D"/>
    <w:rsid w:val="00A079A3"/>
    <w:rsid w:val="00A07C1E"/>
    <w:rsid w:val="00A102D2"/>
    <w:rsid w:val="00A115EE"/>
    <w:rsid w:val="00A11676"/>
    <w:rsid w:val="00A11FA1"/>
    <w:rsid w:val="00A14A11"/>
    <w:rsid w:val="00A15D12"/>
    <w:rsid w:val="00A16C40"/>
    <w:rsid w:val="00A17A07"/>
    <w:rsid w:val="00A233BC"/>
    <w:rsid w:val="00A23698"/>
    <w:rsid w:val="00A249A6"/>
    <w:rsid w:val="00A24FA9"/>
    <w:rsid w:val="00A254AC"/>
    <w:rsid w:val="00A26E41"/>
    <w:rsid w:val="00A31930"/>
    <w:rsid w:val="00A33010"/>
    <w:rsid w:val="00A3426D"/>
    <w:rsid w:val="00A3477D"/>
    <w:rsid w:val="00A3517A"/>
    <w:rsid w:val="00A35502"/>
    <w:rsid w:val="00A3685D"/>
    <w:rsid w:val="00A41A6D"/>
    <w:rsid w:val="00A47973"/>
    <w:rsid w:val="00A507E2"/>
    <w:rsid w:val="00A50AD3"/>
    <w:rsid w:val="00A53FDD"/>
    <w:rsid w:val="00A544E3"/>
    <w:rsid w:val="00A54DAA"/>
    <w:rsid w:val="00A55FA2"/>
    <w:rsid w:val="00A563F6"/>
    <w:rsid w:val="00A56EC7"/>
    <w:rsid w:val="00A56EE7"/>
    <w:rsid w:val="00A628F0"/>
    <w:rsid w:val="00A635E2"/>
    <w:rsid w:val="00A670D1"/>
    <w:rsid w:val="00A67C16"/>
    <w:rsid w:val="00A71939"/>
    <w:rsid w:val="00A71AB3"/>
    <w:rsid w:val="00A7304B"/>
    <w:rsid w:val="00A73543"/>
    <w:rsid w:val="00A7722C"/>
    <w:rsid w:val="00A7725E"/>
    <w:rsid w:val="00A80C16"/>
    <w:rsid w:val="00A83342"/>
    <w:rsid w:val="00A8354D"/>
    <w:rsid w:val="00A85C07"/>
    <w:rsid w:val="00A86B7D"/>
    <w:rsid w:val="00A874D3"/>
    <w:rsid w:val="00A878C1"/>
    <w:rsid w:val="00A91457"/>
    <w:rsid w:val="00A934E9"/>
    <w:rsid w:val="00A93540"/>
    <w:rsid w:val="00A93E17"/>
    <w:rsid w:val="00A94248"/>
    <w:rsid w:val="00A95133"/>
    <w:rsid w:val="00A95661"/>
    <w:rsid w:val="00A96796"/>
    <w:rsid w:val="00A97890"/>
    <w:rsid w:val="00A97B08"/>
    <w:rsid w:val="00AA0F06"/>
    <w:rsid w:val="00AA468B"/>
    <w:rsid w:val="00AA673C"/>
    <w:rsid w:val="00AB1512"/>
    <w:rsid w:val="00AB16FB"/>
    <w:rsid w:val="00AB20BB"/>
    <w:rsid w:val="00AB2ACC"/>
    <w:rsid w:val="00AB5F91"/>
    <w:rsid w:val="00AB615B"/>
    <w:rsid w:val="00AC083A"/>
    <w:rsid w:val="00AC2E15"/>
    <w:rsid w:val="00AC78AC"/>
    <w:rsid w:val="00AD0A5D"/>
    <w:rsid w:val="00AD2CEB"/>
    <w:rsid w:val="00AD674B"/>
    <w:rsid w:val="00AE0E28"/>
    <w:rsid w:val="00AE0F92"/>
    <w:rsid w:val="00AE43C0"/>
    <w:rsid w:val="00AE48C4"/>
    <w:rsid w:val="00AE557D"/>
    <w:rsid w:val="00AE5646"/>
    <w:rsid w:val="00AE5730"/>
    <w:rsid w:val="00AE74FB"/>
    <w:rsid w:val="00AE7699"/>
    <w:rsid w:val="00AE7B61"/>
    <w:rsid w:val="00AF077A"/>
    <w:rsid w:val="00AF3A32"/>
    <w:rsid w:val="00AF3B0E"/>
    <w:rsid w:val="00B00ECB"/>
    <w:rsid w:val="00B02636"/>
    <w:rsid w:val="00B04161"/>
    <w:rsid w:val="00B0429C"/>
    <w:rsid w:val="00B04572"/>
    <w:rsid w:val="00B05ABF"/>
    <w:rsid w:val="00B062E6"/>
    <w:rsid w:val="00B12439"/>
    <w:rsid w:val="00B14863"/>
    <w:rsid w:val="00B14BE6"/>
    <w:rsid w:val="00B14C92"/>
    <w:rsid w:val="00B159D9"/>
    <w:rsid w:val="00B163A7"/>
    <w:rsid w:val="00B22FF0"/>
    <w:rsid w:val="00B23D35"/>
    <w:rsid w:val="00B24E4D"/>
    <w:rsid w:val="00B25923"/>
    <w:rsid w:val="00B309D8"/>
    <w:rsid w:val="00B315AA"/>
    <w:rsid w:val="00B35723"/>
    <w:rsid w:val="00B3653A"/>
    <w:rsid w:val="00B37562"/>
    <w:rsid w:val="00B4127F"/>
    <w:rsid w:val="00B4141B"/>
    <w:rsid w:val="00B415E7"/>
    <w:rsid w:val="00B5133A"/>
    <w:rsid w:val="00B52468"/>
    <w:rsid w:val="00B55CA6"/>
    <w:rsid w:val="00B55CE8"/>
    <w:rsid w:val="00B5724D"/>
    <w:rsid w:val="00B579CE"/>
    <w:rsid w:val="00B6094D"/>
    <w:rsid w:val="00B62C34"/>
    <w:rsid w:val="00B63E76"/>
    <w:rsid w:val="00B647F9"/>
    <w:rsid w:val="00B66698"/>
    <w:rsid w:val="00B677D8"/>
    <w:rsid w:val="00B67BE3"/>
    <w:rsid w:val="00B702AE"/>
    <w:rsid w:val="00B71C12"/>
    <w:rsid w:val="00B72614"/>
    <w:rsid w:val="00B7298F"/>
    <w:rsid w:val="00B73B61"/>
    <w:rsid w:val="00B74882"/>
    <w:rsid w:val="00B74A47"/>
    <w:rsid w:val="00B74F91"/>
    <w:rsid w:val="00B768C9"/>
    <w:rsid w:val="00B77302"/>
    <w:rsid w:val="00B7752C"/>
    <w:rsid w:val="00B814B7"/>
    <w:rsid w:val="00B84938"/>
    <w:rsid w:val="00B85C05"/>
    <w:rsid w:val="00B87494"/>
    <w:rsid w:val="00B87740"/>
    <w:rsid w:val="00B90463"/>
    <w:rsid w:val="00B91E9D"/>
    <w:rsid w:val="00B92528"/>
    <w:rsid w:val="00B933ED"/>
    <w:rsid w:val="00B93661"/>
    <w:rsid w:val="00B94BDB"/>
    <w:rsid w:val="00B961E5"/>
    <w:rsid w:val="00B96CAE"/>
    <w:rsid w:val="00BA1B60"/>
    <w:rsid w:val="00BA253B"/>
    <w:rsid w:val="00BA3FBB"/>
    <w:rsid w:val="00BA4CC3"/>
    <w:rsid w:val="00BA73B8"/>
    <w:rsid w:val="00BA758F"/>
    <w:rsid w:val="00BA76BF"/>
    <w:rsid w:val="00BB04CE"/>
    <w:rsid w:val="00BB1006"/>
    <w:rsid w:val="00BB144D"/>
    <w:rsid w:val="00BB1538"/>
    <w:rsid w:val="00BB256A"/>
    <w:rsid w:val="00BB3215"/>
    <w:rsid w:val="00BB4256"/>
    <w:rsid w:val="00BB4A6F"/>
    <w:rsid w:val="00BC0092"/>
    <w:rsid w:val="00BC029E"/>
    <w:rsid w:val="00BC06E9"/>
    <w:rsid w:val="00BC385D"/>
    <w:rsid w:val="00BC521E"/>
    <w:rsid w:val="00BC624D"/>
    <w:rsid w:val="00BC6EBE"/>
    <w:rsid w:val="00BD0165"/>
    <w:rsid w:val="00BD2453"/>
    <w:rsid w:val="00BD3D07"/>
    <w:rsid w:val="00BD4F6F"/>
    <w:rsid w:val="00BD5E8B"/>
    <w:rsid w:val="00BE0837"/>
    <w:rsid w:val="00BE36B0"/>
    <w:rsid w:val="00BE4EEF"/>
    <w:rsid w:val="00BE7451"/>
    <w:rsid w:val="00BE7E63"/>
    <w:rsid w:val="00BF1376"/>
    <w:rsid w:val="00BF1B8A"/>
    <w:rsid w:val="00BF2489"/>
    <w:rsid w:val="00BF38EC"/>
    <w:rsid w:val="00BF605F"/>
    <w:rsid w:val="00BF7BD0"/>
    <w:rsid w:val="00C0044F"/>
    <w:rsid w:val="00C037B5"/>
    <w:rsid w:val="00C046B2"/>
    <w:rsid w:val="00C05B19"/>
    <w:rsid w:val="00C07FF8"/>
    <w:rsid w:val="00C104A7"/>
    <w:rsid w:val="00C1551F"/>
    <w:rsid w:val="00C1648C"/>
    <w:rsid w:val="00C25AAA"/>
    <w:rsid w:val="00C25DC0"/>
    <w:rsid w:val="00C34829"/>
    <w:rsid w:val="00C34C2B"/>
    <w:rsid w:val="00C36D28"/>
    <w:rsid w:val="00C37985"/>
    <w:rsid w:val="00C401E7"/>
    <w:rsid w:val="00C40504"/>
    <w:rsid w:val="00C4073B"/>
    <w:rsid w:val="00C407F6"/>
    <w:rsid w:val="00C414D6"/>
    <w:rsid w:val="00C423E2"/>
    <w:rsid w:val="00C427CA"/>
    <w:rsid w:val="00C438B9"/>
    <w:rsid w:val="00C448ED"/>
    <w:rsid w:val="00C44AF9"/>
    <w:rsid w:val="00C45DD2"/>
    <w:rsid w:val="00C4696F"/>
    <w:rsid w:val="00C50688"/>
    <w:rsid w:val="00C52029"/>
    <w:rsid w:val="00C52FC9"/>
    <w:rsid w:val="00C53ECE"/>
    <w:rsid w:val="00C556D0"/>
    <w:rsid w:val="00C56A84"/>
    <w:rsid w:val="00C571EA"/>
    <w:rsid w:val="00C572C9"/>
    <w:rsid w:val="00C57C02"/>
    <w:rsid w:val="00C61CEC"/>
    <w:rsid w:val="00C62593"/>
    <w:rsid w:val="00C62958"/>
    <w:rsid w:val="00C62EFB"/>
    <w:rsid w:val="00C64C64"/>
    <w:rsid w:val="00C6702B"/>
    <w:rsid w:val="00C67418"/>
    <w:rsid w:val="00C67879"/>
    <w:rsid w:val="00C67BD2"/>
    <w:rsid w:val="00C705AF"/>
    <w:rsid w:val="00C711EC"/>
    <w:rsid w:val="00C717ED"/>
    <w:rsid w:val="00C756A2"/>
    <w:rsid w:val="00C760DC"/>
    <w:rsid w:val="00C769EE"/>
    <w:rsid w:val="00C76E0E"/>
    <w:rsid w:val="00C77245"/>
    <w:rsid w:val="00C77B32"/>
    <w:rsid w:val="00C81061"/>
    <w:rsid w:val="00C820A8"/>
    <w:rsid w:val="00C827D4"/>
    <w:rsid w:val="00C83A84"/>
    <w:rsid w:val="00C8417F"/>
    <w:rsid w:val="00C852E3"/>
    <w:rsid w:val="00C853BB"/>
    <w:rsid w:val="00C8666F"/>
    <w:rsid w:val="00C90E47"/>
    <w:rsid w:val="00C91111"/>
    <w:rsid w:val="00C92726"/>
    <w:rsid w:val="00C95E0F"/>
    <w:rsid w:val="00C96973"/>
    <w:rsid w:val="00C972F8"/>
    <w:rsid w:val="00C97A10"/>
    <w:rsid w:val="00C97F8B"/>
    <w:rsid w:val="00CA0007"/>
    <w:rsid w:val="00CA05AB"/>
    <w:rsid w:val="00CA1F65"/>
    <w:rsid w:val="00CA3B5E"/>
    <w:rsid w:val="00CA3BB1"/>
    <w:rsid w:val="00CA714D"/>
    <w:rsid w:val="00CA764E"/>
    <w:rsid w:val="00CB04CA"/>
    <w:rsid w:val="00CB085B"/>
    <w:rsid w:val="00CB0B32"/>
    <w:rsid w:val="00CB172F"/>
    <w:rsid w:val="00CB2B43"/>
    <w:rsid w:val="00CB3017"/>
    <w:rsid w:val="00CB3A47"/>
    <w:rsid w:val="00CB4089"/>
    <w:rsid w:val="00CB6FCF"/>
    <w:rsid w:val="00CC3F41"/>
    <w:rsid w:val="00CD3149"/>
    <w:rsid w:val="00CD3A3D"/>
    <w:rsid w:val="00CD3E5C"/>
    <w:rsid w:val="00CD4BC5"/>
    <w:rsid w:val="00CD5862"/>
    <w:rsid w:val="00CD637F"/>
    <w:rsid w:val="00CE00CA"/>
    <w:rsid w:val="00CE08BD"/>
    <w:rsid w:val="00CE27D7"/>
    <w:rsid w:val="00CE46A7"/>
    <w:rsid w:val="00CE503F"/>
    <w:rsid w:val="00CE6111"/>
    <w:rsid w:val="00CE769B"/>
    <w:rsid w:val="00CF15F9"/>
    <w:rsid w:val="00CF49EF"/>
    <w:rsid w:val="00CF6961"/>
    <w:rsid w:val="00CF6CDB"/>
    <w:rsid w:val="00CF7046"/>
    <w:rsid w:val="00D0283A"/>
    <w:rsid w:val="00D0289D"/>
    <w:rsid w:val="00D02FE0"/>
    <w:rsid w:val="00D03797"/>
    <w:rsid w:val="00D042EF"/>
    <w:rsid w:val="00D04A24"/>
    <w:rsid w:val="00D05933"/>
    <w:rsid w:val="00D06126"/>
    <w:rsid w:val="00D106AB"/>
    <w:rsid w:val="00D121B1"/>
    <w:rsid w:val="00D133BA"/>
    <w:rsid w:val="00D175F1"/>
    <w:rsid w:val="00D21D22"/>
    <w:rsid w:val="00D2250C"/>
    <w:rsid w:val="00D2298B"/>
    <w:rsid w:val="00D24E21"/>
    <w:rsid w:val="00D251AB"/>
    <w:rsid w:val="00D26336"/>
    <w:rsid w:val="00D26EEF"/>
    <w:rsid w:val="00D30685"/>
    <w:rsid w:val="00D3172E"/>
    <w:rsid w:val="00D32791"/>
    <w:rsid w:val="00D32D13"/>
    <w:rsid w:val="00D3303B"/>
    <w:rsid w:val="00D332FE"/>
    <w:rsid w:val="00D35998"/>
    <w:rsid w:val="00D40DCD"/>
    <w:rsid w:val="00D41D98"/>
    <w:rsid w:val="00D460BE"/>
    <w:rsid w:val="00D465F1"/>
    <w:rsid w:val="00D505DE"/>
    <w:rsid w:val="00D511CF"/>
    <w:rsid w:val="00D5235F"/>
    <w:rsid w:val="00D5258E"/>
    <w:rsid w:val="00D53195"/>
    <w:rsid w:val="00D5384F"/>
    <w:rsid w:val="00D541BC"/>
    <w:rsid w:val="00D54A64"/>
    <w:rsid w:val="00D56DB5"/>
    <w:rsid w:val="00D5725C"/>
    <w:rsid w:val="00D57BE3"/>
    <w:rsid w:val="00D60897"/>
    <w:rsid w:val="00D61345"/>
    <w:rsid w:val="00D61A9A"/>
    <w:rsid w:val="00D61EB2"/>
    <w:rsid w:val="00D62083"/>
    <w:rsid w:val="00D6462C"/>
    <w:rsid w:val="00D64897"/>
    <w:rsid w:val="00D65165"/>
    <w:rsid w:val="00D65E2D"/>
    <w:rsid w:val="00D67207"/>
    <w:rsid w:val="00D675C4"/>
    <w:rsid w:val="00D702EC"/>
    <w:rsid w:val="00D72E5E"/>
    <w:rsid w:val="00D737C6"/>
    <w:rsid w:val="00D74C8B"/>
    <w:rsid w:val="00D8047E"/>
    <w:rsid w:val="00D806F6"/>
    <w:rsid w:val="00D81077"/>
    <w:rsid w:val="00D82109"/>
    <w:rsid w:val="00D83518"/>
    <w:rsid w:val="00D83AFF"/>
    <w:rsid w:val="00D84097"/>
    <w:rsid w:val="00D86D91"/>
    <w:rsid w:val="00D87532"/>
    <w:rsid w:val="00D87745"/>
    <w:rsid w:val="00D92AE1"/>
    <w:rsid w:val="00D92FA2"/>
    <w:rsid w:val="00D93893"/>
    <w:rsid w:val="00DA05FA"/>
    <w:rsid w:val="00DA2BFF"/>
    <w:rsid w:val="00DB05D6"/>
    <w:rsid w:val="00DB11C4"/>
    <w:rsid w:val="00DB419B"/>
    <w:rsid w:val="00DB45DD"/>
    <w:rsid w:val="00DB7E77"/>
    <w:rsid w:val="00DC3993"/>
    <w:rsid w:val="00DC48DF"/>
    <w:rsid w:val="00DC4B97"/>
    <w:rsid w:val="00DC623D"/>
    <w:rsid w:val="00DC64CC"/>
    <w:rsid w:val="00DD0419"/>
    <w:rsid w:val="00DD61E0"/>
    <w:rsid w:val="00DD69ED"/>
    <w:rsid w:val="00DE2AD4"/>
    <w:rsid w:val="00DE40E3"/>
    <w:rsid w:val="00DE415E"/>
    <w:rsid w:val="00DE52E7"/>
    <w:rsid w:val="00DE7BFC"/>
    <w:rsid w:val="00DE7FD5"/>
    <w:rsid w:val="00DF03E5"/>
    <w:rsid w:val="00DF0D32"/>
    <w:rsid w:val="00DF14E1"/>
    <w:rsid w:val="00DF3931"/>
    <w:rsid w:val="00DF510F"/>
    <w:rsid w:val="00E0002B"/>
    <w:rsid w:val="00E00969"/>
    <w:rsid w:val="00E00ADA"/>
    <w:rsid w:val="00E00B53"/>
    <w:rsid w:val="00E0101D"/>
    <w:rsid w:val="00E026EE"/>
    <w:rsid w:val="00E05E8C"/>
    <w:rsid w:val="00E071D2"/>
    <w:rsid w:val="00E07BCA"/>
    <w:rsid w:val="00E11D1F"/>
    <w:rsid w:val="00E13740"/>
    <w:rsid w:val="00E149B5"/>
    <w:rsid w:val="00E15E03"/>
    <w:rsid w:val="00E16596"/>
    <w:rsid w:val="00E170B4"/>
    <w:rsid w:val="00E17BC1"/>
    <w:rsid w:val="00E2153C"/>
    <w:rsid w:val="00E24709"/>
    <w:rsid w:val="00E2771B"/>
    <w:rsid w:val="00E27920"/>
    <w:rsid w:val="00E31E09"/>
    <w:rsid w:val="00E3374C"/>
    <w:rsid w:val="00E35ABA"/>
    <w:rsid w:val="00E4106E"/>
    <w:rsid w:val="00E437E5"/>
    <w:rsid w:val="00E46F84"/>
    <w:rsid w:val="00E5125E"/>
    <w:rsid w:val="00E5163F"/>
    <w:rsid w:val="00E51E50"/>
    <w:rsid w:val="00E539A9"/>
    <w:rsid w:val="00E54A5D"/>
    <w:rsid w:val="00E55130"/>
    <w:rsid w:val="00E55B2F"/>
    <w:rsid w:val="00E569B4"/>
    <w:rsid w:val="00E60708"/>
    <w:rsid w:val="00E612AA"/>
    <w:rsid w:val="00E61D56"/>
    <w:rsid w:val="00E62072"/>
    <w:rsid w:val="00E630F3"/>
    <w:rsid w:val="00E654DC"/>
    <w:rsid w:val="00E655F2"/>
    <w:rsid w:val="00E67201"/>
    <w:rsid w:val="00E71619"/>
    <w:rsid w:val="00E7192C"/>
    <w:rsid w:val="00E72ED4"/>
    <w:rsid w:val="00E7333E"/>
    <w:rsid w:val="00E7388F"/>
    <w:rsid w:val="00E742CE"/>
    <w:rsid w:val="00E744A0"/>
    <w:rsid w:val="00E7524E"/>
    <w:rsid w:val="00E7632F"/>
    <w:rsid w:val="00E80498"/>
    <w:rsid w:val="00E82A93"/>
    <w:rsid w:val="00E82AF8"/>
    <w:rsid w:val="00E847F4"/>
    <w:rsid w:val="00E86787"/>
    <w:rsid w:val="00E86B43"/>
    <w:rsid w:val="00E954F3"/>
    <w:rsid w:val="00E962C5"/>
    <w:rsid w:val="00EA032E"/>
    <w:rsid w:val="00EA22E5"/>
    <w:rsid w:val="00EA33AF"/>
    <w:rsid w:val="00EA4593"/>
    <w:rsid w:val="00EA6D4D"/>
    <w:rsid w:val="00EA7E4F"/>
    <w:rsid w:val="00EB0993"/>
    <w:rsid w:val="00EB2644"/>
    <w:rsid w:val="00EB2E50"/>
    <w:rsid w:val="00EB5196"/>
    <w:rsid w:val="00EB6654"/>
    <w:rsid w:val="00EB76A6"/>
    <w:rsid w:val="00EC013D"/>
    <w:rsid w:val="00EC01F1"/>
    <w:rsid w:val="00EC0480"/>
    <w:rsid w:val="00EC0F98"/>
    <w:rsid w:val="00EC44C9"/>
    <w:rsid w:val="00EC5E3A"/>
    <w:rsid w:val="00ED1473"/>
    <w:rsid w:val="00ED1C78"/>
    <w:rsid w:val="00ED1FC0"/>
    <w:rsid w:val="00ED29BC"/>
    <w:rsid w:val="00EE24D4"/>
    <w:rsid w:val="00EE2C8A"/>
    <w:rsid w:val="00EE382A"/>
    <w:rsid w:val="00EE3A60"/>
    <w:rsid w:val="00EE460C"/>
    <w:rsid w:val="00EE49B2"/>
    <w:rsid w:val="00EE679C"/>
    <w:rsid w:val="00EE6F89"/>
    <w:rsid w:val="00EE7747"/>
    <w:rsid w:val="00EF186E"/>
    <w:rsid w:val="00EF4558"/>
    <w:rsid w:val="00EF4B23"/>
    <w:rsid w:val="00EF52C2"/>
    <w:rsid w:val="00EF54F6"/>
    <w:rsid w:val="00EF5A83"/>
    <w:rsid w:val="00F00989"/>
    <w:rsid w:val="00F02182"/>
    <w:rsid w:val="00F027D0"/>
    <w:rsid w:val="00F04727"/>
    <w:rsid w:val="00F058B2"/>
    <w:rsid w:val="00F1261A"/>
    <w:rsid w:val="00F13F95"/>
    <w:rsid w:val="00F167AB"/>
    <w:rsid w:val="00F17038"/>
    <w:rsid w:val="00F173F3"/>
    <w:rsid w:val="00F219DD"/>
    <w:rsid w:val="00F21ADB"/>
    <w:rsid w:val="00F2205D"/>
    <w:rsid w:val="00F2296D"/>
    <w:rsid w:val="00F2300E"/>
    <w:rsid w:val="00F24528"/>
    <w:rsid w:val="00F246C3"/>
    <w:rsid w:val="00F26D4B"/>
    <w:rsid w:val="00F2762F"/>
    <w:rsid w:val="00F31118"/>
    <w:rsid w:val="00F31886"/>
    <w:rsid w:val="00F31C4B"/>
    <w:rsid w:val="00F33392"/>
    <w:rsid w:val="00F349B0"/>
    <w:rsid w:val="00F35E74"/>
    <w:rsid w:val="00F40128"/>
    <w:rsid w:val="00F40DA7"/>
    <w:rsid w:val="00F50485"/>
    <w:rsid w:val="00F506CE"/>
    <w:rsid w:val="00F509A4"/>
    <w:rsid w:val="00F52800"/>
    <w:rsid w:val="00F536B6"/>
    <w:rsid w:val="00F536F6"/>
    <w:rsid w:val="00F55389"/>
    <w:rsid w:val="00F55AC9"/>
    <w:rsid w:val="00F5647F"/>
    <w:rsid w:val="00F576A2"/>
    <w:rsid w:val="00F576CA"/>
    <w:rsid w:val="00F60023"/>
    <w:rsid w:val="00F60CEF"/>
    <w:rsid w:val="00F627BE"/>
    <w:rsid w:val="00F66A3F"/>
    <w:rsid w:val="00F7484C"/>
    <w:rsid w:val="00F75912"/>
    <w:rsid w:val="00F774E7"/>
    <w:rsid w:val="00F813EA"/>
    <w:rsid w:val="00F8230D"/>
    <w:rsid w:val="00F82389"/>
    <w:rsid w:val="00F834BF"/>
    <w:rsid w:val="00F8439C"/>
    <w:rsid w:val="00F90618"/>
    <w:rsid w:val="00F90FD7"/>
    <w:rsid w:val="00F927BB"/>
    <w:rsid w:val="00F9576D"/>
    <w:rsid w:val="00F96999"/>
    <w:rsid w:val="00F97B64"/>
    <w:rsid w:val="00F97BEC"/>
    <w:rsid w:val="00FA0790"/>
    <w:rsid w:val="00FA4539"/>
    <w:rsid w:val="00FA4C03"/>
    <w:rsid w:val="00FA55CB"/>
    <w:rsid w:val="00FA66C4"/>
    <w:rsid w:val="00FB2897"/>
    <w:rsid w:val="00FB47FD"/>
    <w:rsid w:val="00FB6F21"/>
    <w:rsid w:val="00FC048C"/>
    <w:rsid w:val="00FC0EA8"/>
    <w:rsid w:val="00FC1ABD"/>
    <w:rsid w:val="00FC30FE"/>
    <w:rsid w:val="00FC38EC"/>
    <w:rsid w:val="00FC4856"/>
    <w:rsid w:val="00FC6DA6"/>
    <w:rsid w:val="00FD2810"/>
    <w:rsid w:val="00FD3430"/>
    <w:rsid w:val="00FD406A"/>
    <w:rsid w:val="00FD5907"/>
    <w:rsid w:val="00FE0193"/>
    <w:rsid w:val="00FE0D59"/>
    <w:rsid w:val="00FE1530"/>
    <w:rsid w:val="00FE21C6"/>
    <w:rsid w:val="00FE2A80"/>
    <w:rsid w:val="00FE336B"/>
    <w:rsid w:val="00FE3537"/>
    <w:rsid w:val="00FE3848"/>
    <w:rsid w:val="00FE46C7"/>
    <w:rsid w:val="00FE4EFA"/>
    <w:rsid w:val="00FE5098"/>
    <w:rsid w:val="00FE6CFE"/>
    <w:rsid w:val="00FF29E9"/>
    <w:rsid w:val="00FF713E"/>
    <w:rsid w:val="00FF7CA3"/>
    <w:rsid w:val="028C7081"/>
    <w:rsid w:val="02B3CFFD"/>
    <w:rsid w:val="03920E19"/>
    <w:rsid w:val="04FDE6FF"/>
    <w:rsid w:val="063A4B44"/>
    <w:rsid w:val="0669A26C"/>
    <w:rsid w:val="066D356A"/>
    <w:rsid w:val="084AFEC0"/>
    <w:rsid w:val="09D4594C"/>
    <w:rsid w:val="09E91006"/>
    <w:rsid w:val="0A87DB26"/>
    <w:rsid w:val="0AC93965"/>
    <w:rsid w:val="0BB49618"/>
    <w:rsid w:val="0C8E2D44"/>
    <w:rsid w:val="0E358C16"/>
    <w:rsid w:val="0E4C9BFC"/>
    <w:rsid w:val="0E6C4F36"/>
    <w:rsid w:val="1033BC40"/>
    <w:rsid w:val="11168155"/>
    <w:rsid w:val="12297930"/>
    <w:rsid w:val="1279E904"/>
    <w:rsid w:val="12F20158"/>
    <w:rsid w:val="130C3FAA"/>
    <w:rsid w:val="13E5A225"/>
    <w:rsid w:val="1481BEB6"/>
    <w:rsid w:val="14F18F8C"/>
    <w:rsid w:val="159E3CF3"/>
    <w:rsid w:val="1829BD29"/>
    <w:rsid w:val="188F47D1"/>
    <w:rsid w:val="18E2D163"/>
    <w:rsid w:val="1A40AB18"/>
    <w:rsid w:val="1A955405"/>
    <w:rsid w:val="1B16DCBD"/>
    <w:rsid w:val="1B665A20"/>
    <w:rsid w:val="1C3E4537"/>
    <w:rsid w:val="1C5E4AD5"/>
    <w:rsid w:val="1CC092CD"/>
    <w:rsid w:val="1E2B60E9"/>
    <w:rsid w:val="1E32AF10"/>
    <w:rsid w:val="1EC26145"/>
    <w:rsid w:val="20753589"/>
    <w:rsid w:val="20A8E061"/>
    <w:rsid w:val="21A5108D"/>
    <w:rsid w:val="2265A37C"/>
    <w:rsid w:val="2453120A"/>
    <w:rsid w:val="24BAA489"/>
    <w:rsid w:val="24E536FC"/>
    <w:rsid w:val="2575CDD3"/>
    <w:rsid w:val="25B2229E"/>
    <w:rsid w:val="264B3354"/>
    <w:rsid w:val="287C6614"/>
    <w:rsid w:val="28885C05"/>
    <w:rsid w:val="2934FD57"/>
    <w:rsid w:val="2990F21D"/>
    <w:rsid w:val="29CE899B"/>
    <w:rsid w:val="2AD0E77C"/>
    <w:rsid w:val="2AE39F22"/>
    <w:rsid w:val="2BD32699"/>
    <w:rsid w:val="2CE655A1"/>
    <w:rsid w:val="2DDC8DF9"/>
    <w:rsid w:val="2E1ECB76"/>
    <w:rsid w:val="2EBF218C"/>
    <w:rsid w:val="2EFC5A69"/>
    <w:rsid w:val="2F73E70E"/>
    <w:rsid w:val="2FD02D48"/>
    <w:rsid w:val="2FED44AA"/>
    <w:rsid w:val="308932BD"/>
    <w:rsid w:val="30A43026"/>
    <w:rsid w:val="3345E349"/>
    <w:rsid w:val="3380E50D"/>
    <w:rsid w:val="34AD72F9"/>
    <w:rsid w:val="3571A924"/>
    <w:rsid w:val="3598219D"/>
    <w:rsid w:val="35DAE2B0"/>
    <w:rsid w:val="36894E2A"/>
    <w:rsid w:val="36E65B72"/>
    <w:rsid w:val="3848F065"/>
    <w:rsid w:val="385C6CFA"/>
    <w:rsid w:val="38B3270D"/>
    <w:rsid w:val="3907E6B1"/>
    <w:rsid w:val="39788DCD"/>
    <w:rsid w:val="39C2386A"/>
    <w:rsid w:val="3A152166"/>
    <w:rsid w:val="3A79A956"/>
    <w:rsid w:val="3C0CC6C1"/>
    <w:rsid w:val="3D430D7E"/>
    <w:rsid w:val="3D555ABB"/>
    <w:rsid w:val="3D94DA3C"/>
    <w:rsid w:val="3FBE0CDE"/>
    <w:rsid w:val="40783A02"/>
    <w:rsid w:val="407CBCC5"/>
    <w:rsid w:val="412390EC"/>
    <w:rsid w:val="437A6203"/>
    <w:rsid w:val="443C16F4"/>
    <w:rsid w:val="446EC3F2"/>
    <w:rsid w:val="448ACBCA"/>
    <w:rsid w:val="484A7654"/>
    <w:rsid w:val="4D444161"/>
    <w:rsid w:val="4DC2420B"/>
    <w:rsid w:val="4E072B04"/>
    <w:rsid w:val="4E60BB8B"/>
    <w:rsid w:val="4E7FD518"/>
    <w:rsid w:val="50033C93"/>
    <w:rsid w:val="503FAF7F"/>
    <w:rsid w:val="512FE9C4"/>
    <w:rsid w:val="538BD8A5"/>
    <w:rsid w:val="53ADD22B"/>
    <w:rsid w:val="53AE5232"/>
    <w:rsid w:val="547636DE"/>
    <w:rsid w:val="55802BCF"/>
    <w:rsid w:val="57B43C45"/>
    <w:rsid w:val="58A8E356"/>
    <w:rsid w:val="59A09696"/>
    <w:rsid w:val="5AE253D5"/>
    <w:rsid w:val="5B7A2820"/>
    <w:rsid w:val="5BEACBAE"/>
    <w:rsid w:val="5DD2836A"/>
    <w:rsid w:val="5F158CD0"/>
    <w:rsid w:val="5FB33565"/>
    <w:rsid w:val="63D392B0"/>
    <w:rsid w:val="63F92F58"/>
    <w:rsid w:val="6452E392"/>
    <w:rsid w:val="6463D91F"/>
    <w:rsid w:val="648564E3"/>
    <w:rsid w:val="64AEAB66"/>
    <w:rsid w:val="659A85B9"/>
    <w:rsid w:val="65C8AFC3"/>
    <w:rsid w:val="661D075F"/>
    <w:rsid w:val="69861F26"/>
    <w:rsid w:val="6A1F28A9"/>
    <w:rsid w:val="6B743FE1"/>
    <w:rsid w:val="6BED8C0F"/>
    <w:rsid w:val="6CE1A638"/>
    <w:rsid w:val="6E41706F"/>
    <w:rsid w:val="6FAAC148"/>
    <w:rsid w:val="7055EC77"/>
    <w:rsid w:val="70815091"/>
    <w:rsid w:val="70A75916"/>
    <w:rsid w:val="718A59A8"/>
    <w:rsid w:val="726EBFFF"/>
    <w:rsid w:val="72E2620A"/>
    <w:rsid w:val="73877744"/>
    <w:rsid w:val="73E01877"/>
    <w:rsid w:val="74E118DE"/>
    <w:rsid w:val="76DFEA6B"/>
    <w:rsid w:val="77B77510"/>
    <w:rsid w:val="79C213BD"/>
    <w:rsid w:val="7A40FC10"/>
    <w:rsid w:val="7A432547"/>
    <w:rsid w:val="7AAA8294"/>
    <w:rsid w:val="7AC89595"/>
    <w:rsid w:val="7B29AB3F"/>
    <w:rsid w:val="7BA4C3F6"/>
    <w:rsid w:val="7C81D0D3"/>
    <w:rsid w:val="7D2A4E27"/>
    <w:rsid w:val="7E62AB3C"/>
    <w:rsid w:val="7F5CEF1A"/>
    <w:rsid w:val="7FB2C730"/>
    <w:rsid w:val="7FDC2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A0C1F27"/>
  <w15:docId w15:val="{74139B6E-F80D-4588-B9D8-8BA93F7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 Paragraph (numbered (a)),Numbered list,List_Paragraph,Multilevel para_II,Lapis Bulleted List,Citation List,ReferencesCxSpLast,lp1,Normal 2,Colorful List - Accent 12,Main numbered paragraph,Bullet paras,Heading 1.1,EC,Dot p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3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uiPriority w:val="34"/>
    <w:qFormat/>
    <w:rsid w:val="00DB419B"/>
    <w:pPr>
      <w:spacing w:line="240" w:lineRule="auto"/>
      <w:ind w:left="708"/>
    </w:pPr>
    <w:rPr>
      <w:rFonts w:ascii="Times New Roman" w:eastAsia="Times New Roman" w:hAnsi="Times New Roman"/>
      <w:color w:val="auto"/>
      <w:sz w:val="24"/>
      <w:szCs w:val="24"/>
      <w:lang w:val="fr-FR" w:eastAsia="fr-FR"/>
    </w:rPr>
  </w:style>
  <w:style w:type="paragraph" w:styleId="Revision">
    <w:name w:val="Revision"/>
    <w:hidden/>
    <w:uiPriority w:val="99"/>
    <w:semiHidden/>
    <w:rsid w:val="003A6484"/>
    <w:rPr>
      <w:rFonts w:ascii="Arial" w:eastAsia="MS PGothic" w:hAnsi="Arial"/>
      <w:color w:val="000000"/>
    </w:rPr>
  </w:style>
  <w:style w:type="character" w:styleId="CommentReference">
    <w:name w:val="annotation reference"/>
    <w:basedOn w:val="DefaultParagraphFont"/>
    <w:semiHidden/>
    <w:unhideWhenUsed/>
    <w:rsid w:val="00605EE9"/>
    <w:rPr>
      <w:sz w:val="16"/>
      <w:szCs w:val="16"/>
    </w:rPr>
  </w:style>
  <w:style w:type="paragraph" w:styleId="CommentSubject">
    <w:name w:val="annotation subject"/>
    <w:basedOn w:val="CommentText"/>
    <w:next w:val="CommentText"/>
    <w:link w:val="CommentSubjectChar"/>
    <w:semiHidden/>
    <w:unhideWhenUsed/>
    <w:rsid w:val="00605EE9"/>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05EE9"/>
    <w:rPr>
      <w:rFonts w:ascii="Arial" w:eastAsia="MS PGothic" w:hAnsi="Arial"/>
      <w:b/>
      <w:bCs/>
      <w:color w:val="000000"/>
      <w:lang w:val="en-GB"/>
    </w:rPr>
  </w:style>
  <w:style w:type="character" w:styleId="Mention">
    <w:name w:val="Mention"/>
    <w:basedOn w:val="DefaultParagraphFont"/>
    <w:uiPriority w:val="99"/>
    <w:unhideWhenUsed/>
    <w:rsid w:val="00546B76"/>
    <w:rPr>
      <w:color w:val="2B579A"/>
      <w:shd w:val="clear" w:color="auto" w:fill="E1DFDD"/>
    </w:rPr>
  </w:style>
  <w:style w:type="paragraph" w:styleId="FootnoteText">
    <w:name w:val="footnote text"/>
    <w:basedOn w:val="Normal"/>
    <w:link w:val="FootnoteTextChar"/>
    <w:uiPriority w:val="99"/>
    <w:unhideWhenUsed/>
    <w:qFormat/>
    <w:rsid w:val="00A53FDD"/>
    <w:pPr>
      <w:adjustRightInd w:val="0"/>
      <w:spacing w:line="240" w:lineRule="auto"/>
    </w:pPr>
    <w:rPr>
      <w:rFonts w:eastAsiaTheme="minorHAnsi" w:cs="Arial"/>
      <w:color w:val="auto"/>
      <w:sz w:val="18"/>
      <w:szCs w:val="18"/>
      <w:lang w:val="en-GB" w:eastAsia="en-GB"/>
    </w:rPr>
  </w:style>
  <w:style w:type="character" w:customStyle="1" w:styleId="FootnoteTextChar">
    <w:name w:val="Footnote Text Char"/>
    <w:basedOn w:val="DefaultParagraphFont"/>
    <w:link w:val="FootnoteText"/>
    <w:uiPriority w:val="99"/>
    <w:rsid w:val="00A53FDD"/>
    <w:rPr>
      <w:rFonts w:ascii="Arial" w:eastAsiaTheme="minorHAnsi" w:hAnsi="Arial" w:cs="Arial"/>
      <w:sz w:val="18"/>
      <w:szCs w:val="18"/>
      <w:lang w:val="en-GB" w:eastAsia="en-GB"/>
    </w:rPr>
  </w:style>
  <w:style w:type="character" w:customStyle="1" w:styleId="ListParagraphChar">
    <w:name w:val="List Paragraph Char"/>
    <w:aliases w:val="List Paragraph (numbered (a)) Char,Numbered list Char,List_Paragraph Char,Multilevel para_II Char,Lapis Bulleted List Char,Citation List Char,ReferencesCxSpLast Char,lp1 Char,Normal 2 Char,Colorful List - Accent 12 Char,EC Char"/>
    <w:basedOn w:val="DefaultParagraphFont"/>
    <w:link w:val="ListParagraph"/>
    <w:uiPriority w:val="34"/>
    <w:locked/>
    <w:rsid w:val="00A53FDD"/>
    <w:rPr>
      <w:rFonts w:ascii="Arial" w:eastAsia="MS PGothic" w:hAnsi="Arial"/>
      <w:color w:val="000000"/>
    </w:rPr>
  </w:style>
  <w:style w:type="character" w:styleId="FootnoteReference">
    <w:name w:val="footnote reference"/>
    <w:basedOn w:val="DefaultParagraphFont"/>
    <w:uiPriority w:val="99"/>
    <w:unhideWhenUsed/>
    <w:qFormat/>
    <w:rsid w:val="00A53FDD"/>
    <w:rPr>
      <w:vertAlign w:val="superscript"/>
    </w:rPr>
  </w:style>
  <w:style w:type="paragraph" w:styleId="Caption">
    <w:name w:val="caption"/>
    <w:basedOn w:val="BodyText"/>
    <w:next w:val="BodyText"/>
    <w:unhideWhenUsed/>
    <w:qFormat/>
    <w:rsid w:val="00B23D35"/>
    <w:pPr>
      <w:keepNext/>
      <w:spacing w:line="240" w:lineRule="auto"/>
      <w:ind w:left="1134" w:hanging="1134"/>
      <w:outlineLvl w:val="2"/>
    </w:pPr>
    <w:rPr>
      <w:rFonts w:eastAsia="Times New Roman"/>
      <w:b/>
      <w:bCs/>
      <w:color w:val="0B1F51"/>
      <w:sz w:val="22"/>
      <w:szCs w:val="22"/>
      <w:lang w:val="en-GB"/>
    </w:rPr>
  </w:style>
  <w:style w:type="paragraph" w:styleId="BodyText">
    <w:name w:val="Body Text"/>
    <w:basedOn w:val="Normal"/>
    <w:link w:val="BodyTextChar"/>
    <w:semiHidden/>
    <w:unhideWhenUsed/>
    <w:rsid w:val="00B23D35"/>
    <w:pPr>
      <w:spacing w:after="120"/>
    </w:pPr>
  </w:style>
  <w:style w:type="character" w:customStyle="1" w:styleId="BodyTextChar">
    <w:name w:val="Body Text Char"/>
    <w:basedOn w:val="DefaultParagraphFont"/>
    <w:link w:val="BodyText"/>
    <w:semiHidden/>
    <w:rsid w:val="00B23D35"/>
    <w:rPr>
      <w:rFonts w:ascii="Arial" w:eastAsia="MS PGothic" w:hAnsi="Arial"/>
      <w:color w:val="000000"/>
    </w:rPr>
  </w:style>
  <w:style w:type="character" w:styleId="FollowedHyperlink">
    <w:name w:val="FollowedHyperlink"/>
    <w:basedOn w:val="DefaultParagraphFont"/>
    <w:rsid w:val="00F52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74778580">
      <w:bodyDiv w:val="1"/>
      <w:marLeft w:val="0"/>
      <w:marRight w:val="0"/>
      <w:marTop w:val="0"/>
      <w:marBottom w:val="0"/>
      <w:divBdr>
        <w:top w:val="none" w:sz="0" w:space="0" w:color="auto"/>
        <w:left w:val="none" w:sz="0" w:space="0" w:color="auto"/>
        <w:bottom w:val="none" w:sz="0" w:space="0" w:color="auto"/>
        <w:right w:val="none" w:sz="0" w:space="0" w:color="auto"/>
      </w:divBdr>
    </w:div>
    <w:div w:id="1143621492">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491822848">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41134123">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443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nicef.sharepoint.com/sites/DHR-ChildSafeguarding/DocumentLibrary1/Guidance%20on%20Identifying%20Elevated%20Risk%20Roles_finalversion.pdf?CT=1590792470221&amp;OR=ItemsView"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unicef.org/careers/unicef-provides-reasonable-accommodation-job-candidates-and-personnel-disabilities" TargetMode="Externa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s://unicef.sharepoint.com/sites/DHR-ChildSafeguarding/DocumentLibrary1/Child%20Safeguarding%20FAQs%20and%20Updates%20Dec%202020.pdf"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hyperlink" Target="https://unicef.sharepoint.com/sites/DHR-ChildSafeguarding/SitePages/Amendments-to-the-Recruitment-Guidance.aspx"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B98FFD-989D-41BA-A6FF-B2AA1B287CE7}" type="doc">
      <dgm:prSet loTypeId="urn:microsoft.com/office/officeart/2005/8/layout/orgChart1" loCatId="hierarchy" qsTypeId="urn:microsoft.com/office/officeart/2005/8/quickstyle/3d4" qsCatId="3D" csTypeId="urn:microsoft.com/office/officeart/2005/8/colors/accent0_3" csCatId="mainScheme" phldr="1"/>
      <dgm:spPr/>
      <dgm:t>
        <a:bodyPr/>
        <a:lstStyle/>
        <a:p>
          <a:endParaRPr lang="fr-FR"/>
        </a:p>
      </dgm:t>
    </dgm:pt>
    <dgm:pt modelId="{17C3E39F-9127-421A-95AD-918137BBD79A}">
      <dgm:prSet phldrT="[Texte]" custT="1"/>
      <dgm:spPr/>
      <dgm:t>
        <a:bodyPr/>
        <a:lstStyle/>
        <a:p>
          <a:r>
            <a:rPr lang="fr-FR" sz="1050">
              <a:latin typeface="+mn-lt"/>
              <a:cs typeface="Arial" panose="020B0604020202020204" pitchFamily="34" charset="0"/>
            </a:rPr>
            <a:t>Population de moins de 18 ans </a:t>
          </a:r>
        </a:p>
        <a:p>
          <a:r>
            <a:rPr lang="fr-FR" sz="1050">
              <a:latin typeface="+mn-lt"/>
              <a:cs typeface="Arial" panose="020B0604020202020204" pitchFamily="34" charset="0"/>
            </a:rPr>
            <a:t>3,1 millions</a:t>
          </a:r>
        </a:p>
      </dgm:t>
    </dgm:pt>
    <dgm:pt modelId="{4834E615-7A62-48AE-8EDB-FD39989F51A1}" type="parTrans" cxnId="{01BDEDFD-0C61-4E6F-A356-2D7438653E90}">
      <dgm:prSet/>
      <dgm:spPr/>
      <dgm:t>
        <a:bodyPr/>
        <a:lstStyle/>
        <a:p>
          <a:endParaRPr lang="fr-FR" sz="1050">
            <a:latin typeface="+mn-lt"/>
          </a:endParaRPr>
        </a:p>
      </dgm:t>
    </dgm:pt>
    <dgm:pt modelId="{91ECE62E-6C4C-41F1-8C3F-9E974A0D1A64}" type="sibTrans" cxnId="{01BDEDFD-0C61-4E6F-A356-2D7438653E90}">
      <dgm:prSet/>
      <dgm:spPr/>
      <dgm:t>
        <a:bodyPr/>
        <a:lstStyle/>
        <a:p>
          <a:endParaRPr lang="fr-FR" sz="1050">
            <a:latin typeface="+mn-lt"/>
          </a:endParaRPr>
        </a:p>
      </dgm:t>
    </dgm:pt>
    <dgm:pt modelId="{C59C7A2E-A98B-4689-906F-C5DB0BA3E43A}">
      <dgm:prSet phldrT="[Texte]" custT="1"/>
      <dgm:spPr/>
      <dgm:t>
        <a:bodyPr/>
        <a:lstStyle/>
        <a:p>
          <a:pPr algn="ctr"/>
          <a:r>
            <a:rPr lang="fr-FR" sz="1050" b="0" cap="none" spc="0">
              <a:ln w="0"/>
              <a:effectLst>
                <a:outerShdw blurRad="38100" dist="19050" dir="2700000" algn="tl" rotWithShape="0">
                  <a:schemeClr val="dk1">
                    <a:alpha val="40000"/>
                  </a:schemeClr>
                </a:outerShdw>
              </a:effectLst>
              <a:latin typeface="+mn-lt"/>
              <a:cs typeface="Arial" panose="020B0604020202020204" pitchFamily="34" charset="0"/>
            </a:rPr>
            <a:t>les enfants non couverts</a:t>
          </a:r>
        </a:p>
        <a:p>
          <a:pPr algn="ctr"/>
          <a:r>
            <a:rPr lang="fr-FR" sz="1050" b="0" cap="none" spc="0">
              <a:ln w="0"/>
              <a:effectLst>
                <a:outerShdw blurRad="38100" dist="19050" dir="2700000" algn="tl" rotWithShape="0">
                  <a:schemeClr val="dk1">
                    <a:alpha val="40000"/>
                  </a:schemeClr>
                </a:outerShdw>
              </a:effectLst>
              <a:latin typeface="+mn-lt"/>
              <a:cs typeface="Arial" panose="020B0604020202020204" pitchFamily="34" charset="0"/>
            </a:rPr>
            <a:t>1,84 million (59%) en 2015</a:t>
          </a:r>
          <a:endParaRPr lang="fr-FR" sz="1050" b="0" cap="none" spc="0">
            <a:ln w="0"/>
            <a:effectLst>
              <a:outerShdw blurRad="38100" dist="19050" dir="2700000" algn="tl" rotWithShape="0">
                <a:schemeClr val="dk1">
                  <a:alpha val="40000"/>
                </a:schemeClr>
              </a:outerShdw>
            </a:effectLst>
            <a:latin typeface="+mn-lt"/>
          </a:endParaRPr>
        </a:p>
      </dgm:t>
    </dgm:pt>
    <dgm:pt modelId="{0CA8623C-F70A-4BC9-93E4-454F1C12A956}" type="parTrans" cxnId="{EC36D4E6-9392-4F2D-A4CD-D32B58DFB62F}">
      <dgm:prSet/>
      <dgm:spPr/>
      <dgm:t>
        <a:bodyPr/>
        <a:lstStyle/>
        <a:p>
          <a:endParaRPr lang="fr-FR" sz="1050">
            <a:latin typeface="+mn-lt"/>
          </a:endParaRPr>
        </a:p>
      </dgm:t>
    </dgm:pt>
    <dgm:pt modelId="{C7A2ED5A-9973-46E5-BDE4-383561A8FB23}" type="sibTrans" cxnId="{EC36D4E6-9392-4F2D-A4CD-D32B58DFB62F}">
      <dgm:prSet/>
      <dgm:spPr/>
      <dgm:t>
        <a:bodyPr/>
        <a:lstStyle/>
        <a:p>
          <a:endParaRPr lang="fr-FR" sz="1050">
            <a:latin typeface="+mn-lt"/>
          </a:endParaRPr>
        </a:p>
      </dgm:t>
    </dgm:pt>
    <dgm:pt modelId="{621D455B-1FA2-4287-8414-FC2FD6F82DDF}">
      <dgm:prSet custT="1"/>
      <dgm:spPr/>
      <dgm:t>
        <a:bodyPr/>
        <a:lstStyle/>
        <a:p>
          <a:r>
            <a:rPr lang="fr-FR" sz="1050" b="0" cap="none" spc="0">
              <a:ln w="0"/>
              <a:effectLst>
                <a:outerShdw blurRad="38100" dist="19050" dir="2700000" algn="tl" rotWithShape="0">
                  <a:schemeClr val="dk1">
                    <a:alpha val="40000"/>
                  </a:schemeClr>
                </a:outerShdw>
              </a:effectLst>
              <a:latin typeface="+mn-lt"/>
              <a:cs typeface="Arial" panose="020B0604020202020204" pitchFamily="34" charset="0"/>
            </a:rPr>
            <a:t>les enfants couverts par le systeme  </a:t>
          </a:r>
        </a:p>
        <a:p>
          <a:r>
            <a:rPr lang="fr-FR" sz="1050" b="0" cap="none" spc="0">
              <a:ln w="0"/>
              <a:effectLst>
                <a:outerShdw blurRad="38100" dist="19050" dir="2700000" algn="tl" rotWithShape="0">
                  <a:schemeClr val="dk1">
                    <a:alpha val="40000"/>
                  </a:schemeClr>
                </a:outerShdw>
              </a:effectLst>
              <a:latin typeface="+mn-lt"/>
              <a:cs typeface="Arial" panose="020B0604020202020204" pitchFamily="34" charset="0"/>
            </a:rPr>
            <a:t>contributif</a:t>
          </a:r>
        </a:p>
        <a:p>
          <a:r>
            <a:rPr lang="fr-FR" sz="1050" b="0" cap="none" spc="0">
              <a:ln w="0"/>
              <a:effectLst>
                <a:outerShdw blurRad="38100" dist="19050" dir="2700000" algn="tl" rotWithShape="0">
                  <a:schemeClr val="dk1">
                    <a:alpha val="40000"/>
                  </a:schemeClr>
                </a:outerShdw>
              </a:effectLst>
              <a:latin typeface="+mn-lt"/>
              <a:cs typeface="Arial" panose="020B0604020202020204" pitchFamily="34" charset="0"/>
            </a:rPr>
            <a:t>1,19 million (38,3%) en 2015</a:t>
          </a:r>
          <a:endParaRPr lang="fr-FR" sz="1050" b="0" cap="none" spc="0">
            <a:ln w="0"/>
            <a:effectLst>
              <a:outerShdw blurRad="38100" dist="19050" dir="2700000" algn="tl" rotWithShape="0">
                <a:schemeClr val="dk1">
                  <a:alpha val="40000"/>
                </a:schemeClr>
              </a:outerShdw>
            </a:effectLst>
            <a:latin typeface="+mn-lt"/>
          </a:endParaRPr>
        </a:p>
      </dgm:t>
    </dgm:pt>
    <dgm:pt modelId="{E8F70D53-DB74-4549-AFCA-144B064B76D9}" type="parTrans" cxnId="{507157C3-FD8D-4A90-BDF7-AFAB841AFBC6}">
      <dgm:prSet/>
      <dgm:spPr/>
      <dgm:t>
        <a:bodyPr/>
        <a:lstStyle/>
        <a:p>
          <a:endParaRPr lang="fr-FR" sz="1050">
            <a:latin typeface="+mn-lt"/>
          </a:endParaRPr>
        </a:p>
      </dgm:t>
    </dgm:pt>
    <dgm:pt modelId="{CF2C480E-A01E-4437-B02B-3C0AD6B699E0}" type="sibTrans" cxnId="{507157C3-FD8D-4A90-BDF7-AFAB841AFBC6}">
      <dgm:prSet/>
      <dgm:spPr/>
      <dgm:t>
        <a:bodyPr/>
        <a:lstStyle/>
        <a:p>
          <a:endParaRPr lang="fr-FR" sz="1050">
            <a:latin typeface="+mn-lt"/>
          </a:endParaRPr>
        </a:p>
      </dgm:t>
    </dgm:pt>
    <dgm:pt modelId="{3D001C9E-5589-4884-81F7-DB1210261063}">
      <dgm:prSet custT="1"/>
      <dgm:spPr/>
      <dgm:t>
        <a:bodyPr/>
        <a:lstStyle/>
        <a:p>
          <a:r>
            <a:rPr lang="fr-FR" sz="1050" b="0" cap="none" spc="0">
              <a:ln w="0"/>
              <a:effectLst>
                <a:outerShdw blurRad="38100" dist="19050" dir="2700000" algn="tl" rotWithShape="0">
                  <a:schemeClr val="dk1">
                    <a:alpha val="40000"/>
                  </a:schemeClr>
                </a:outerShdw>
              </a:effectLst>
              <a:latin typeface="+mn-lt"/>
              <a:cs typeface="Arial" panose="020B0604020202020204" pitchFamily="34" charset="0"/>
            </a:rPr>
            <a:t>les enfants  couverts par le systeme non contributif </a:t>
          </a:r>
        </a:p>
        <a:p>
          <a:r>
            <a:rPr lang="fr-FR" sz="1050" b="0" cap="none" spc="0">
              <a:ln w="0"/>
              <a:effectLst>
                <a:outerShdw blurRad="38100" dist="19050" dir="2700000" algn="tl" rotWithShape="0">
                  <a:schemeClr val="dk1">
                    <a:alpha val="40000"/>
                  </a:schemeClr>
                </a:outerShdw>
              </a:effectLst>
              <a:latin typeface="+mn-lt"/>
              <a:cs typeface="Arial" panose="020B0604020202020204" pitchFamily="34" charset="0"/>
            </a:rPr>
            <a:t>0,075 million en 2015(2,4%) - 0,6 million en 2023 (19%)</a:t>
          </a:r>
          <a:endParaRPr lang="fr-FR" sz="1050" b="0" cap="none" spc="0">
            <a:ln w="0"/>
            <a:effectLst>
              <a:outerShdw blurRad="38100" dist="19050" dir="2700000" algn="tl" rotWithShape="0">
                <a:schemeClr val="dk1">
                  <a:alpha val="40000"/>
                </a:schemeClr>
              </a:outerShdw>
            </a:effectLst>
            <a:latin typeface="+mn-lt"/>
          </a:endParaRPr>
        </a:p>
        <a:p>
          <a:endParaRPr lang="fr-FR" sz="1050" b="0" cap="none" spc="0">
            <a:ln w="0"/>
            <a:effectLst>
              <a:outerShdw blurRad="38100" dist="19050" dir="2700000" algn="tl" rotWithShape="0">
                <a:schemeClr val="dk1">
                  <a:alpha val="40000"/>
                </a:schemeClr>
              </a:outerShdw>
            </a:effectLst>
            <a:latin typeface="+mn-lt"/>
          </a:endParaRPr>
        </a:p>
      </dgm:t>
    </dgm:pt>
    <dgm:pt modelId="{B53901C5-78FB-45FC-9182-C38A590C2423}" type="parTrans" cxnId="{A485195D-355B-4707-978F-A36FABF47AA3}">
      <dgm:prSet/>
      <dgm:spPr/>
      <dgm:t>
        <a:bodyPr/>
        <a:lstStyle/>
        <a:p>
          <a:endParaRPr lang="fr-FR" sz="1050">
            <a:latin typeface="+mn-lt"/>
          </a:endParaRPr>
        </a:p>
      </dgm:t>
    </dgm:pt>
    <dgm:pt modelId="{25E761CD-54C7-4617-BC64-47BA4EF7EDBA}" type="sibTrans" cxnId="{A485195D-355B-4707-978F-A36FABF47AA3}">
      <dgm:prSet/>
      <dgm:spPr/>
      <dgm:t>
        <a:bodyPr/>
        <a:lstStyle/>
        <a:p>
          <a:endParaRPr lang="fr-FR" sz="1050">
            <a:latin typeface="+mn-lt"/>
          </a:endParaRPr>
        </a:p>
      </dgm:t>
    </dgm:pt>
    <dgm:pt modelId="{4735EE65-FB94-4F2E-9AA7-1B76489686CE}" type="pres">
      <dgm:prSet presAssocID="{61B98FFD-989D-41BA-A6FF-B2AA1B287CE7}" presName="hierChild1" presStyleCnt="0">
        <dgm:presLayoutVars>
          <dgm:orgChart val="1"/>
          <dgm:chPref val="1"/>
          <dgm:dir/>
          <dgm:animOne val="branch"/>
          <dgm:animLvl val="lvl"/>
          <dgm:resizeHandles/>
        </dgm:presLayoutVars>
      </dgm:prSet>
      <dgm:spPr/>
    </dgm:pt>
    <dgm:pt modelId="{A417EB2E-E709-4E3D-8696-B5BE6AB6F58F}" type="pres">
      <dgm:prSet presAssocID="{17C3E39F-9127-421A-95AD-918137BBD79A}" presName="hierRoot1" presStyleCnt="0">
        <dgm:presLayoutVars>
          <dgm:hierBranch val="init"/>
        </dgm:presLayoutVars>
      </dgm:prSet>
      <dgm:spPr/>
    </dgm:pt>
    <dgm:pt modelId="{EA6581BC-7330-42B5-95E8-CC28623AC5D0}" type="pres">
      <dgm:prSet presAssocID="{17C3E39F-9127-421A-95AD-918137BBD79A}" presName="rootComposite1" presStyleCnt="0"/>
      <dgm:spPr/>
    </dgm:pt>
    <dgm:pt modelId="{96A3441E-5913-477D-B91E-1D840E83B07E}" type="pres">
      <dgm:prSet presAssocID="{17C3E39F-9127-421A-95AD-918137BBD79A}" presName="rootText1" presStyleLbl="node0" presStyleIdx="0" presStyleCnt="1" custScaleX="136683" custScaleY="136558">
        <dgm:presLayoutVars>
          <dgm:chPref val="3"/>
        </dgm:presLayoutVars>
      </dgm:prSet>
      <dgm:spPr/>
    </dgm:pt>
    <dgm:pt modelId="{71E55458-9114-4A69-B5F2-42E8AAAC15D9}" type="pres">
      <dgm:prSet presAssocID="{17C3E39F-9127-421A-95AD-918137BBD79A}" presName="rootConnector1" presStyleLbl="node1" presStyleIdx="0" presStyleCnt="0"/>
      <dgm:spPr/>
    </dgm:pt>
    <dgm:pt modelId="{09EA2279-5B7E-46DB-AB15-D7238238C16E}" type="pres">
      <dgm:prSet presAssocID="{17C3E39F-9127-421A-95AD-918137BBD79A}" presName="hierChild2" presStyleCnt="0"/>
      <dgm:spPr/>
    </dgm:pt>
    <dgm:pt modelId="{0B1830B7-5525-441D-9346-6C3C48EAD25C}" type="pres">
      <dgm:prSet presAssocID="{E8F70D53-DB74-4549-AFCA-144B064B76D9}" presName="Name37" presStyleLbl="parChTrans1D2" presStyleIdx="0" presStyleCnt="3"/>
      <dgm:spPr/>
    </dgm:pt>
    <dgm:pt modelId="{6B4CD014-582D-49AC-B4EE-2E9607F5CBAB}" type="pres">
      <dgm:prSet presAssocID="{621D455B-1FA2-4287-8414-FC2FD6F82DDF}" presName="hierRoot2" presStyleCnt="0">
        <dgm:presLayoutVars>
          <dgm:hierBranch val="init"/>
        </dgm:presLayoutVars>
      </dgm:prSet>
      <dgm:spPr/>
    </dgm:pt>
    <dgm:pt modelId="{7A068244-CC10-4458-95B0-D7FE049C42F0}" type="pres">
      <dgm:prSet presAssocID="{621D455B-1FA2-4287-8414-FC2FD6F82DDF}" presName="rootComposite" presStyleCnt="0"/>
      <dgm:spPr/>
    </dgm:pt>
    <dgm:pt modelId="{DE896668-2B50-4A99-BC1D-15D4219D1578}" type="pres">
      <dgm:prSet presAssocID="{621D455B-1FA2-4287-8414-FC2FD6F82DDF}" presName="rootText" presStyleLbl="node2" presStyleIdx="0" presStyleCnt="3" custScaleX="198021" custScaleY="198036" custLinFactNeighborX="2585" custLinFactNeighborY="-5104">
        <dgm:presLayoutVars>
          <dgm:chPref val="3"/>
        </dgm:presLayoutVars>
      </dgm:prSet>
      <dgm:spPr/>
    </dgm:pt>
    <dgm:pt modelId="{1B80887F-8B21-446C-8228-98D13755C24C}" type="pres">
      <dgm:prSet presAssocID="{621D455B-1FA2-4287-8414-FC2FD6F82DDF}" presName="rootConnector" presStyleLbl="node2" presStyleIdx="0" presStyleCnt="3"/>
      <dgm:spPr/>
    </dgm:pt>
    <dgm:pt modelId="{C1F3FA94-0974-4524-B9CC-416D6B13644A}" type="pres">
      <dgm:prSet presAssocID="{621D455B-1FA2-4287-8414-FC2FD6F82DDF}" presName="hierChild4" presStyleCnt="0"/>
      <dgm:spPr/>
    </dgm:pt>
    <dgm:pt modelId="{243CA9FC-A933-4B14-A4B9-5AA8EAFD87DC}" type="pres">
      <dgm:prSet presAssocID="{621D455B-1FA2-4287-8414-FC2FD6F82DDF}" presName="hierChild5" presStyleCnt="0"/>
      <dgm:spPr/>
    </dgm:pt>
    <dgm:pt modelId="{6C5178E1-BE5B-4AE7-A23E-98D6E4095799}" type="pres">
      <dgm:prSet presAssocID="{B53901C5-78FB-45FC-9182-C38A590C2423}" presName="Name37" presStyleLbl="parChTrans1D2" presStyleIdx="1" presStyleCnt="3"/>
      <dgm:spPr/>
    </dgm:pt>
    <dgm:pt modelId="{36BDC519-DB2C-44D6-9BDB-A40B8A9F1A7A}" type="pres">
      <dgm:prSet presAssocID="{3D001C9E-5589-4884-81F7-DB1210261063}" presName="hierRoot2" presStyleCnt="0">
        <dgm:presLayoutVars>
          <dgm:hierBranch val="init"/>
        </dgm:presLayoutVars>
      </dgm:prSet>
      <dgm:spPr/>
    </dgm:pt>
    <dgm:pt modelId="{292C415E-9F08-4868-A4A3-52E397B5C2A7}" type="pres">
      <dgm:prSet presAssocID="{3D001C9E-5589-4884-81F7-DB1210261063}" presName="rootComposite" presStyleCnt="0"/>
      <dgm:spPr/>
    </dgm:pt>
    <dgm:pt modelId="{76A3CFD4-22A7-41D1-A6FB-BD731585F167}" type="pres">
      <dgm:prSet presAssocID="{3D001C9E-5589-4884-81F7-DB1210261063}" presName="rootText" presStyleLbl="node2" presStyleIdx="1" presStyleCnt="3" custScaleX="204498" custScaleY="203080" custLinFactNeighborX="-670" custLinFactNeighborY="-8036">
        <dgm:presLayoutVars>
          <dgm:chPref val="3"/>
        </dgm:presLayoutVars>
      </dgm:prSet>
      <dgm:spPr/>
    </dgm:pt>
    <dgm:pt modelId="{A7207E3F-B3D8-4F63-8DA9-6ABE43BE67E4}" type="pres">
      <dgm:prSet presAssocID="{3D001C9E-5589-4884-81F7-DB1210261063}" presName="rootConnector" presStyleLbl="node2" presStyleIdx="1" presStyleCnt="3"/>
      <dgm:spPr/>
    </dgm:pt>
    <dgm:pt modelId="{13DD6B78-D72D-42B9-A55F-1C590EFD20D0}" type="pres">
      <dgm:prSet presAssocID="{3D001C9E-5589-4884-81F7-DB1210261063}" presName="hierChild4" presStyleCnt="0"/>
      <dgm:spPr/>
    </dgm:pt>
    <dgm:pt modelId="{A8A1A728-A8C5-41C7-8379-5999E2747A6C}" type="pres">
      <dgm:prSet presAssocID="{3D001C9E-5589-4884-81F7-DB1210261063}" presName="hierChild5" presStyleCnt="0"/>
      <dgm:spPr/>
    </dgm:pt>
    <dgm:pt modelId="{312CC335-055C-44D8-BFA1-7516CDE75C81}" type="pres">
      <dgm:prSet presAssocID="{0CA8623C-F70A-4BC9-93E4-454F1C12A956}" presName="Name37" presStyleLbl="parChTrans1D2" presStyleIdx="2" presStyleCnt="3"/>
      <dgm:spPr/>
    </dgm:pt>
    <dgm:pt modelId="{E5F01ADD-B2B1-4E04-985B-967AF40F83A8}" type="pres">
      <dgm:prSet presAssocID="{C59C7A2E-A98B-4689-906F-C5DB0BA3E43A}" presName="hierRoot2" presStyleCnt="0">
        <dgm:presLayoutVars>
          <dgm:hierBranch val="init"/>
        </dgm:presLayoutVars>
      </dgm:prSet>
      <dgm:spPr/>
    </dgm:pt>
    <dgm:pt modelId="{DAF75B1C-539D-4591-9223-BA8DBA69F2E2}" type="pres">
      <dgm:prSet presAssocID="{C59C7A2E-A98B-4689-906F-C5DB0BA3E43A}" presName="rootComposite" presStyleCnt="0"/>
      <dgm:spPr/>
    </dgm:pt>
    <dgm:pt modelId="{D4B6D943-7F88-436F-AE60-D05A736C2A8A}" type="pres">
      <dgm:prSet presAssocID="{C59C7A2E-A98B-4689-906F-C5DB0BA3E43A}" presName="rootText" presStyleLbl="node2" presStyleIdx="2" presStyleCnt="3" custScaleX="150195" custScaleY="175884" custLinFactNeighborX="2009" custLinFactNeighborY="-8036">
        <dgm:presLayoutVars>
          <dgm:chPref val="3"/>
        </dgm:presLayoutVars>
      </dgm:prSet>
      <dgm:spPr/>
    </dgm:pt>
    <dgm:pt modelId="{8CEBE271-0B42-4B21-8A4A-74BB9A7A0768}" type="pres">
      <dgm:prSet presAssocID="{C59C7A2E-A98B-4689-906F-C5DB0BA3E43A}" presName="rootConnector" presStyleLbl="node2" presStyleIdx="2" presStyleCnt="3"/>
      <dgm:spPr/>
    </dgm:pt>
    <dgm:pt modelId="{C984F710-FBA8-42D9-B52F-17E782014056}" type="pres">
      <dgm:prSet presAssocID="{C59C7A2E-A98B-4689-906F-C5DB0BA3E43A}" presName="hierChild4" presStyleCnt="0"/>
      <dgm:spPr/>
    </dgm:pt>
    <dgm:pt modelId="{B60E484A-CA80-4165-9825-FF132C65E80E}" type="pres">
      <dgm:prSet presAssocID="{C59C7A2E-A98B-4689-906F-C5DB0BA3E43A}" presName="hierChild5" presStyleCnt="0"/>
      <dgm:spPr/>
    </dgm:pt>
    <dgm:pt modelId="{C7CA20E0-D4B1-4078-B3FB-3EB91AFA8E4D}" type="pres">
      <dgm:prSet presAssocID="{17C3E39F-9127-421A-95AD-918137BBD79A}" presName="hierChild3" presStyleCnt="0"/>
      <dgm:spPr/>
    </dgm:pt>
  </dgm:ptLst>
  <dgm:cxnLst>
    <dgm:cxn modelId="{D3365E0D-FFB3-4451-8F3B-C5323E61F200}" type="presOf" srcId="{C59C7A2E-A98B-4689-906F-C5DB0BA3E43A}" destId="{8CEBE271-0B42-4B21-8A4A-74BB9A7A0768}" srcOrd="1" destOrd="0" presId="urn:microsoft.com/office/officeart/2005/8/layout/orgChart1"/>
    <dgm:cxn modelId="{A485195D-355B-4707-978F-A36FABF47AA3}" srcId="{17C3E39F-9127-421A-95AD-918137BBD79A}" destId="{3D001C9E-5589-4884-81F7-DB1210261063}" srcOrd="1" destOrd="0" parTransId="{B53901C5-78FB-45FC-9182-C38A590C2423}" sibTransId="{25E761CD-54C7-4617-BC64-47BA4EF7EDBA}"/>
    <dgm:cxn modelId="{02F5C75E-D948-4DCF-A107-E4627BD178FE}" type="presOf" srcId="{C59C7A2E-A98B-4689-906F-C5DB0BA3E43A}" destId="{D4B6D943-7F88-436F-AE60-D05A736C2A8A}" srcOrd="0" destOrd="0" presId="urn:microsoft.com/office/officeart/2005/8/layout/orgChart1"/>
    <dgm:cxn modelId="{B264455F-7B91-45C2-A46C-0C964A31B794}" type="presOf" srcId="{3D001C9E-5589-4884-81F7-DB1210261063}" destId="{76A3CFD4-22A7-41D1-A6FB-BD731585F167}" srcOrd="0" destOrd="0" presId="urn:microsoft.com/office/officeart/2005/8/layout/orgChart1"/>
    <dgm:cxn modelId="{90C4F463-22C7-4B34-9E60-7C7D2965868B}" type="presOf" srcId="{621D455B-1FA2-4287-8414-FC2FD6F82DDF}" destId="{1B80887F-8B21-446C-8228-98D13755C24C}" srcOrd="1" destOrd="0" presId="urn:microsoft.com/office/officeart/2005/8/layout/orgChart1"/>
    <dgm:cxn modelId="{5453B847-EA9E-41FB-99AF-FA765CF1D00A}" type="presOf" srcId="{B53901C5-78FB-45FC-9182-C38A590C2423}" destId="{6C5178E1-BE5B-4AE7-A23E-98D6E4095799}" srcOrd="0" destOrd="0" presId="urn:microsoft.com/office/officeart/2005/8/layout/orgChart1"/>
    <dgm:cxn modelId="{7899BB69-3A86-4FC6-AF97-6124A0B98BC5}" type="presOf" srcId="{61B98FFD-989D-41BA-A6FF-B2AA1B287CE7}" destId="{4735EE65-FB94-4F2E-9AA7-1B76489686CE}" srcOrd="0" destOrd="0" presId="urn:microsoft.com/office/officeart/2005/8/layout/orgChart1"/>
    <dgm:cxn modelId="{C45B206A-F665-41DB-8342-F5CA404C4C6D}" type="presOf" srcId="{3D001C9E-5589-4884-81F7-DB1210261063}" destId="{A7207E3F-B3D8-4F63-8DA9-6ABE43BE67E4}" srcOrd="1" destOrd="0" presId="urn:microsoft.com/office/officeart/2005/8/layout/orgChart1"/>
    <dgm:cxn modelId="{86AAD84E-EF38-471F-8170-8E50ABBF2FE6}" type="presOf" srcId="{17C3E39F-9127-421A-95AD-918137BBD79A}" destId="{71E55458-9114-4A69-B5F2-42E8AAAC15D9}" srcOrd="1" destOrd="0" presId="urn:microsoft.com/office/officeart/2005/8/layout/orgChart1"/>
    <dgm:cxn modelId="{6AF2F993-F0E7-4D89-9232-32B5F573FE3F}" type="presOf" srcId="{621D455B-1FA2-4287-8414-FC2FD6F82DDF}" destId="{DE896668-2B50-4A99-BC1D-15D4219D1578}" srcOrd="0" destOrd="0" presId="urn:microsoft.com/office/officeart/2005/8/layout/orgChart1"/>
    <dgm:cxn modelId="{E58D12B9-C0BE-4E61-AD9B-F022BC74CF6D}" type="presOf" srcId="{0CA8623C-F70A-4BC9-93E4-454F1C12A956}" destId="{312CC335-055C-44D8-BFA1-7516CDE75C81}" srcOrd="0" destOrd="0" presId="urn:microsoft.com/office/officeart/2005/8/layout/orgChart1"/>
    <dgm:cxn modelId="{507157C3-FD8D-4A90-BDF7-AFAB841AFBC6}" srcId="{17C3E39F-9127-421A-95AD-918137BBD79A}" destId="{621D455B-1FA2-4287-8414-FC2FD6F82DDF}" srcOrd="0" destOrd="0" parTransId="{E8F70D53-DB74-4549-AFCA-144B064B76D9}" sibTransId="{CF2C480E-A01E-4437-B02B-3C0AD6B699E0}"/>
    <dgm:cxn modelId="{A3BC37E4-9CF7-4F26-9DC0-5B45DE5841A7}" type="presOf" srcId="{E8F70D53-DB74-4549-AFCA-144B064B76D9}" destId="{0B1830B7-5525-441D-9346-6C3C48EAD25C}" srcOrd="0" destOrd="0" presId="urn:microsoft.com/office/officeart/2005/8/layout/orgChart1"/>
    <dgm:cxn modelId="{EC36D4E6-9392-4F2D-A4CD-D32B58DFB62F}" srcId="{17C3E39F-9127-421A-95AD-918137BBD79A}" destId="{C59C7A2E-A98B-4689-906F-C5DB0BA3E43A}" srcOrd="2" destOrd="0" parTransId="{0CA8623C-F70A-4BC9-93E4-454F1C12A956}" sibTransId="{C7A2ED5A-9973-46E5-BDE4-383561A8FB23}"/>
    <dgm:cxn modelId="{231D87F6-81E3-419E-A8CC-42DEF42447E8}" type="presOf" srcId="{17C3E39F-9127-421A-95AD-918137BBD79A}" destId="{96A3441E-5913-477D-B91E-1D840E83B07E}" srcOrd="0" destOrd="0" presId="urn:microsoft.com/office/officeart/2005/8/layout/orgChart1"/>
    <dgm:cxn modelId="{01BDEDFD-0C61-4E6F-A356-2D7438653E90}" srcId="{61B98FFD-989D-41BA-A6FF-B2AA1B287CE7}" destId="{17C3E39F-9127-421A-95AD-918137BBD79A}" srcOrd="0" destOrd="0" parTransId="{4834E615-7A62-48AE-8EDB-FD39989F51A1}" sibTransId="{91ECE62E-6C4C-41F1-8C3F-9E974A0D1A64}"/>
    <dgm:cxn modelId="{5282712C-8F30-43AC-B4C0-188703853445}" type="presParOf" srcId="{4735EE65-FB94-4F2E-9AA7-1B76489686CE}" destId="{A417EB2E-E709-4E3D-8696-B5BE6AB6F58F}" srcOrd="0" destOrd="0" presId="urn:microsoft.com/office/officeart/2005/8/layout/orgChart1"/>
    <dgm:cxn modelId="{B34A4C2A-F661-4FAA-BF14-2FDDA279EDA9}" type="presParOf" srcId="{A417EB2E-E709-4E3D-8696-B5BE6AB6F58F}" destId="{EA6581BC-7330-42B5-95E8-CC28623AC5D0}" srcOrd="0" destOrd="0" presId="urn:microsoft.com/office/officeart/2005/8/layout/orgChart1"/>
    <dgm:cxn modelId="{83B4F3B3-DEC9-4AC5-9AD6-F5810BA06C85}" type="presParOf" srcId="{EA6581BC-7330-42B5-95E8-CC28623AC5D0}" destId="{96A3441E-5913-477D-B91E-1D840E83B07E}" srcOrd="0" destOrd="0" presId="urn:microsoft.com/office/officeart/2005/8/layout/orgChart1"/>
    <dgm:cxn modelId="{24C2ED17-B65F-438F-8326-59422F4FBEB9}" type="presParOf" srcId="{EA6581BC-7330-42B5-95E8-CC28623AC5D0}" destId="{71E55458-9114-4A69-B5F2-42E8AAAC15D9}" srcOrd="1" destOrd="0" presId="urn:microsoft.com/office/officeart/2005/8/layout/orgChart1"/>
    <dgm:cxn modelId="{2FE5BFF5-21F4-4B58-96FF-467E94524936}" type="presParOf" srcId="{A417EB2E-E709-4E3D-8696-B5BE6AB6F58F}" destId="{09EA2279-5B7E-46DB-AB15-D7238238C16E}" srcOrd="1" destOrd="0" presId="urn:microsoft.com/office/officeart/2005/8/layout/orgChart1"/>
    <dgm:cxn modelId="{38B7D587-49B7-40F5-BCD0-D8C490DE9FDB}" type="presParOf" srcId="{09EA2279-5B7E-46DB-AB15-D7238238C16E}" destId="{0B1830B7-5525-441D-9346-6C3C48EAD25C}" srcOrd="0" destOrd="0" presId="urn:microsoft.com/office/officeart/2005/8/layout/orgChart1"/>
    <dgm:cxn modelId="{1231F8F6-68BE-4751-BBB7-B7589DC79D6E}" type="presParOf" srcId="{09EA2279-5B7E-46DB-AB15-D7238238C16E}" destId="{6B4CD014-582D-49AC-B4EE-2E9607F5CBAB}" srcOrd="1" destOrd="0" presId="urn:microsoft.com/office/officeart/2005/8/layout/orgChart1"/>
    <dgm:cxn modelId="{F22138C0-8B78-4A60-B0D6-461B16F4C478}" type="presParOf" srcId="{6B4CD014-582D-49AC-B4EE-2E9607F5CBAB}" destId="{7A068244-CC10-4458-95B0-D7FE049C42F0}" srcOrd="0" destOrd="0" presId="urn:microsoft.com/office/officeart/2005/8/layout/orgChart1"/>
    <dgm:cxn modelId="{2ABE0F55-6DB2-4078-AF59-56B3E443C9A4}" type="presParOf" srcId="{7A068244-CC10-4458-95B0-D7FE049C42F0}" destId="{DE896668-2B50-4A99-BC1D-15D4219D1578}" srcOrd="0" destOrd="0" presId="urn:microsoft.com/office/officeart/2005/8/layout/orgChart1"/>
    <dgm:cxn modelId="{175985EE-41F3-4211-A246-8C237D695605}" type="presParOf" srcId="{7A068244-CC10-4458-95B0-D7FE049C42F0}" destId="{1B80887F-8B21-446C-8228-98D13755C24C}" srcOrd="1" destOrd="0" presId="urn:microsoft.com/office/officeart/2005/8/layout/orgChart1"/>
    <dgm:cxn modelId="{74AFAC44-D79D-49F4-BB4F-72CA97B53E19}" type="presParOf" srcId="{6B4CD014-582D-49AC-B4EE-2E9607F5CBAB}" destId="{C1F3FA94-0974-4524-B9CC-416D6B13644A}" srcOrd="1" destOrd="0" presId="urn:microsoft.com/office/officeart/2005/8/layout/orgChart1"/>
    <dgm:cxn modelId="{2022E047-F91F-45C3-A697-9C1987B4C297}" type="presParOf" srcId="{6B4CD014-582D-49AC-B4EE-2E9607F5CBAB}" destId="{243CA9FC-A933-4B14-A4B9-5AA8EAFD87DC}" srcOrd="2" destOrd="0" presId="urn:microsoft.com/office/officeart/2005/8/layout/orgChart1"/>
    <dgm:cxn modelId="{F9431F65-BAAC-4F1C-9AD9-42A35D4300F0}" type="presParOf" srcId="{09EA2279-5B7E-46DB-AB15-D7238238C16E}" destId="{6C5178E1-BE5B-4AE7-A23E-98D6E4095799}" srcOrd="2" destOrd="0" presId="urn:microsoft.com/office/officeart/2005/8/layout/orgChart1"/>
    <dgm:cxn modelId="{A3A6D619-73B6-44E3-AA36-BFBDDABBF978}" type="presParOf" srcId="{09EA2279-5B7E-46DB-AB15-D7238238C16E}" destId="{36BDC519-DB2C-44D6-9BDB-A40B8A9F1A7A}" srcOrd="3" destOrd="0" presId="urn:microsoft.com/office/officeart/2005/8/layout/orgChart1"/>
    <dgm:cxn modelId="{78AAA1F3-44D0-440A-A17C-802C5CDC2DF9}" type="presParOf" srcId="{36BDC519-DB2C-44D6-9BDB-A40B8A9F1A7A}" destId="{292C415E-9F08-4868-A4A3-52E397B5C2A7}" srcOrd="0" destOrd="0" presId="urn:microsoft.com/office/officeart/2005/8/layout/orgChart1"/>
    <dgm:cxn modelId="{6D8ABD88-B4CF-431D-B48F-62C79A4CA402}" type="presParOf" srcId="{292C415E-9F08-4868-A4A3-52E397B5C2A7}" destId="{76A3CFD4-22A7-41D1-A6FB-BD731585F167}" srcOrd="0" destOrd="0" presId="urn:microsoft.com/office/officeart/2005/8/layout/orgChart1"/>
    <dgm:cxn modelId="{205CD233-482B-4171-A7D5-E0F653BB574F}" type="presParOf" srcId="{292C415E-9F08-4868-A4A3-52E397B5C2A7}" destId="{A7207E3F-B3D8-4F63-8DA9-6ABE43BE67E4}" srcOrd="1" destOrd="0" presId="urn:microsoft.com/office/officeart/2005/8/layout/orgChart1"/>
    <dgm:cxn modelId="{00318FC1-8AF5-4588-BD40-4532F9C96F06}" type="presParOf" srcId="{36BDC519-DB2C-44D6-9BDB-A40B8A9F1A7A}" destId="{13DD6B78-D72D-42B9-A55F-1C590EFD20D0}" srcOrd="1" destOrd="0" presId="urn:microsoft.com/office/officeart/2005/8/layout/orgChart1"/>
    <dgm:cxn modelId="{06EA8D9E-7F0D-4CCC-A51E-FC737E182701}" type="presParOf" srcId="{36BDC519-DB2C-44D6-9BDB-A40B8A9F1A7A}" destId="{A8A1A728-A8C5-41C7-8379-5999E2747A6C}" srcOrd="2" destOrd="0" presId="urn:microsoft.com/office/officeart/2005/8/layout/orgChart1"/>
    <dgm:cxn modelId="{58BF2F1A-A2A2-448E-B404-5D9BD092495F}" type="presParOf" srcId="{09EA2279-5B7E-46DB-AB15-D7238238C16E}" destId="{312CC335-055C-44D8-BFA1-7516CDE75C81}" srcOrd="4" destOrd="0" presId="urn:microsoft.com/office/officeart/2005/8/layout/orgChart1"/>
    <dgm:cxn modelId="{51B81AEB-0A45-4699-B4DC-FA6A0A08C4FD}" type="presParOf" srcId="{09EA2279-5B7E-46DB-AB15-D7238238C16E}" destId="{E5F01ADD-B2B1-4E04-985B-967AF40F83A8}" srcOrd="5" destOrd="0" presId="urn:microsoft.com/office/officeart/2005/8/layout/orgChart1"/>
    <dgm:cxn modelId="{B3E754D1-3AF7-4A9A-8057-99FA7149AE85}" type="presParOf" srcId="{E5F01ADD-B2B1-4E04-985B-967AF40F83A8}" destId="{DAF75B1C-539D-4591-9223-BA8DBA69F2E2}" srcOrd="0" destOrd="0" presId="urn:microsoft.com/office/officeart/2005/8/layout/orgChart1"/>
    <dgm:cxn modelId="{707C74AF-4250-45CC-AE63-7691DB4AFFFA}" type="presParOf" srcId="{DAF75B1C-539D-4591-9223-BA8DBA69F2E2}" destId="{D4B6D943-7F88-436F-AE60-D05A736C2A8A}" srcOrd="0" destOrd="0" presId="urn:microsoft.com/office/officeart/2005/8/layout/orgChart1"/>
    <dgm:cxn modelId="{34E78883-DBCC-4DEE-87E6-AEFF384A4F0A}" type="presParOf" srcId="{DAF75B1C-539D-4591-9223-BA8DBA69F2E2}" destId="{8CEBE271-0B42-4B21-8A4A-74BB9A7A0768}" srcOrd="1" destOrd="0" presId="urn:microsoft.com/office/officeart/2005/8/layout/orgChart1"/>
    <dgm:cxn modelId="{EA102BB6-03D0-4D25-BCE0-66D37E6BDE0F}" type="presParOf" srcId="{E5F01ADD-B2B1-4E04-985B-967AF40F83A8}" destId="{C984F710-FBA8-42D9-B52F-17E782014056}" srcOrd="1" destOrd="0" presId="urn:microsoft.com/office/officeart/2005/8/layout/orgChart1"/>
    <dgm:cxn modelId="{158348FD-CC43-420E-9282-8C9F82C2B1AA}" type="presParOf" srcId="{E5F01ADD-B2B1-4E04-985B-967AF40F83A8}" destId="{B60E484A-CA80-4165-9825-FF132C65E80E}" srcOrd="2" destOrd="0" presId="urn:microsoft.com/office/officeart/2005/8/layout/orgChart1"/>
    <dgm:cxn modelId="{DF61F025-63B1-4707-B35D-792A77DEB38E}" type="presParOf" srcId="{A417EB2E-E709-4E3D-8696-B5BE6AB6F58F}" destId="{C7CA20E0-D4B1-4078-B3FB-3EB91AFA8E4D}" srcOrd="2" destOrd="0" presId="urn:microsoft.com/office/officeart/2005/8/layout/orgChart1"/>
  </dgm:cxnLst>
  <dgm:bg>
    <a:solidFill>
      <a:schemeClr val="bg1">
        <a:lumMod val="95000"/>
      </a:schemeClr>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CC335-055C-44D8-BFA1-7516CDE75C81}">
      <dsp:nvSpPr>
        <dsp:cNvPr id="0" name=""/>
        <dsp:cNvSpPr/>
      </dsp:nvSpPr>
      <dsp:spPr>
        <a:xfrm>
          <a:off x="2924175" y="714754"/>
          <a:ext cx="2186998" cy="166699"/>
        </a:xfrm>
        <a:custGeom>
          <a:avLst/>
          <a:gdLst/>
          <a:ahLst/>
          <a:cxnLst/>
          <a:rect l="0" t="0" r="0" b="0"/>
          <a:pathLst>
            <a:path>
              <a:moveTo>
                <a:pt x="0" y="0"/>
              </a:moveTo>
              <a:lnTo>
                <a:pt x="0" y="63629"/>
              </a:lnTo>
              <a:lnTo>
                <a:pt x="2186998" y="63629"/>
              </a:lnTo>
              <a:lnTo>
                <a:pt x="2186998" y="166699"/>
              </a:lnTo>
            </a:path>
          </a:pathLst>
        </a:custGeom>
        <a:noFill/>
        <a:ln w="12700" cap="flat" cmpd="sng" algn="ctr">
          <a:solidFill>
            <a:schemeClr val="dk2">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6C5178E1-BE5B-4AE7-A23E-98D6E4095799}">
      <dsp:nvSpPr>
        <dsp:cNvPr id="0" name=""/>
        <dsp:cNvSpPr/>
      </dsp:nvSpPr>
      <dsp:spPr>
        <a:xfrm>
          <a:off x="2924175" y="714754"/>
          <a:ext cx="228159" cy="166699"/>
        </a:xfrm>
        <a:custGeom>
          <a:avLst/>
          <a:gdLst/>
          <a:ahLst/>
          <a:cxnLst/>
          <a:rect l="0" t="0" r="0" b="0"/>
          <a:pathLst>
            <a:path>
              <a:moveTo>
                <a:pt x="0" y="0"/>
              </a:moveTo>
              <a:lnTo>
                <a:pt x="0" y="63629"/>
              </a:lnTo>
              <a:lnTo>
                <a:pt x="228159" y="63629"/>
              </a:lnTo>
              <a:lnTo>
                <a:pt x="228159" y="166699"/>
              </a:lnTo>
            </a:path>
          </a:pathLst>
        </a:custGeom>
        <a:noFill/>
        <a:ln w="12700" cap="flat" cmpd="sng" algn="ctr">
          <a:solidFill>
            <a:schemeClr val="dk2">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0B1830B7-5525-441D-9346-6C3C48EAD25C}">
      <dsp:nvSpPr>
        <dsp:cNvPr id="0" name=""/>
        <dsp:cNvSpPr/>
      </dsp:nvSpPr>
      <dsp:spPr>
        <a:xfrm>
          <a:off x="1002528" y="714754"/>
          <a:ext cx="1921646" cy="181090"/>
        </a:xfrm>
        <a:custGeom>
          <a:avLst/>
          <a:gdLst/>
          <a:ahLst/>
          <a:cxnLst/>
          <a:rect l="0" t="0" r="0" b="0"/>
          <a:pathLst>
            <a:path>
              <a:moveTo>
                <a:pt x="1921646" y="0"/>
              </a:moveTo>
              <a:lnTo>
                <a:pt x="1921646" y="78019"/>
              </a:lnTo>
              <a:lnTo>
                <a:pt x="0" y="78019"/>
              </a:lnTo>
              <a:lnTo>
                <a:pt x="0" y="181090"/>
              </a:lnTo>
            </a:path>
          </a:pathLst>
        </a:custGeom>
        <a:noFill/>
        <a:ln w="12700" cap="flat" cmpd="sng" algn="ctr">
          <a:solidFill>
            <a:schemeClr val="dk2">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96A3441E-5913-477D-B91E-1D840E83B07E}">
      <dsp:nvSpPr>
        <dsp:cNvPr id="0" name=""/>
        <dsp:cNvSpPr/>
      </dsp:nvSpPr>
      <dsp:spPr>
        <a:xfrm>
          <a:off x="2253316" y="44510"/>
          <a:ext cx="1341716" cy="670244"/>
        </a:xfrm>
        <a:prstGeom prst="rect">
          <a:avLst/>
        </a:prstGeom>
        <a:solidFill>
          <a:schemeClr val="dk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mn-lt"/>
              <a:cs typeface="Arial" panose="020B0604020202020204" pitchFamily="34" charset="0"/>
            </a:rPr>
            <a:t>Population de moins de 18 ans </a:t>
          </a:r>
        </a:p>
        <a:p>
          <a:pPr marL="0" lvl="0" indent="0" algn="ctr" defTabSz="466725">
            <a:lnSpc>
              <a:spcPct val="90000"/>
            </a:lnSpc>
            <a:spcBef>
              <a:spcPct val="0"/>
            </a:spcBef>
            <a:spcAft>
              <a:spcPct val="35000"/>
            </a:spcAft>
            <a:buNone/>
          </a:pPr>
          <a:r>
            <a:rPr lang="fr-FR" sz="1050" kern="1200">
              <a:latin typeface="+mn-lt"/>
              <a:cs typeface="Arial" panose="020B0604020202020204" pitchFamily="34" charset="0"/>
            </a:rPr>
            <a:t>3,1 millions</a:t>
          </a:r>
        </a:p>
      </dsp:txBody>
      <dsp:txXfrm>
        <a:off x="2253316" y="44510"/>
        <a:ext cx="1341716" cy="670244"/>
      </dsp:txXfrm>
    </dsp:sp>
    <dsp:sp modelId="{DE896668-2B50-4A99-BC1D-15D4219D1578}">
      <dsp:nvSpPr>
        <dsp:cNvPr id="0" name=""/>
        <dsp:cNvSpPr/>
      </dsp:nvSpPr>
      <dsp:spPr>
        <a:xfrm>
          <a:off x="30616" y="895845"/>
          <a:ext cx="1943825" cy="971986"/>
        </a:xfrm>
        <a:prstGeom prst="rect">
          <a:avLst/>
        </a:prstGeom>
        <a:solidFill>
          <a:schemeClr val="dk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b="0" kern="1200" cap="none" spc="0">
              <a:ln w="0"/>
              <a:effectLst>
                <a:outerShdw blurRad="38100" dist="19050" dir="2700000" algn="tl" rotWithShape="0">
                  <a:schemeClr val="dk1">
                    <a:alpha val="40000"/>
                  </a:schemeClr>
                </a:outerShdw>
              </a:effectLst>
              <a:latin typeface="+mn-lt"/>
              <a:cs typeface="Arial" panose="020B0604020202020204" pitchFamily="34" charset="0"/>
            </a:rPr>
            <a:t>les enfants couverts par le systeme  </a:t>
          </a:r>
        </a:p>
        <a:p>
          <a:pPr marL="0" lvl="0" indent="0" algn="ctr" defTabSz="466725">
            <a:lnSpc>
              <a:spcPct val="90000"/>
            </a:lnSpc>
            <a:spcBef>
              <a:spcPct val="0"/>
            </a:spcBef>
            <a:spcAft>
              <a:spcPct val="35000"/>
            </a:spcAft>
            <a:buNone/>
          </a:pPr>
          <a:r>
            <a:rPr lang="fr-FR" sz="1050" b="0" kern="1200" cap="none" spc="0">
              <a:ln w="0"/>
              <a:effectLst>
                <a:outerShdw blurRad="38100" dist="19050" dir="2700000" algn="tl" rotWithShape="0">
                  <a:schemeClr val="dk1">
                    <a:alpha val="40000"/>
                  </a:schemeClr>
                </a:outerShdw>
              </a:effectLst>
              <a:latin typeface="+mn-lt"/>
              <a:cs typeface="Arial" panose="020B0604020202020204" pitchFamily="34" charset="0"/>
            </a:rPr>
            <a:t>contributif</a:t>
          </a:r>
        </a:p>
        <a:p>
          <a:pPr marL="0" lvl="0" indent="0" algn="ctr" defTabSz="466725">
            <a:lnSpc>
              <a:spcPct val="90000"/>
            </a:lnSpc>
            <a:spcBef>
              <a:spcPct val="0"/>
            </a:spcBef>
            <a:spcAft>
              <a:spcPct val="35000"/>
            </a:spcAft>
            <a:buNone/>
          </a:pPr>
          <a:r>
            <a:rPr lang="fr-FR" sz="1050" b="0" kern="1200" cap="none" spc="0">
              <a:ln w="0"/>
              <a:effectLst>
                <a:outerShdw blurRad="38100" dist="19050" dir="2700000" algn="tl" rotWithShape="0">
                  <a:schemeClr val="dk1">
                    <a:alpha val="40000"/>
                  </a:schemeClr>
                </a:outerShdw>
              </a:effectLst>
              <a:latin typeface="+mn-lt"/>
              <a:cs typeface="Arial" panose="020B0604020202020204" pitchFamily="34" charset="0"/>
            </a:rPr>
            <a:t>1,19 million (38,3%) en 2015</a:t>
          </a:r>
          <a:endParaRPr lang="fr-FR" sz="1050" b="0" kern="1200" cap="none" spc="0">
            <a:ln w="0"/>
            <a:effectLst>
              <a:outerShdw blurRad="38100" dist="19050" dir="2700000" algn="tl" rotWithShape="0">
                <a:schemeClr val="dk1">
                  <a:alpha val="40000"/>
                </a:schemeClr>
              </a:outerShdw>
            </a:effectLst>
            <a:latin typeface="+mn-lt"/>
          </a:endParaRPr>
        </a:p>
      </dsp:txBody>
      <dsp:txXfrm>
        <a:off x="30616" y="895845"/>
        <a:ext cx="1943825" cy="971986"/>
      </dsp:txXfrm>
    </dsp:sp>
    <dsp:sp modelId="{76A3CFD4-22A7-41D1-A6FB-BD731585F167}">
      <dsp:nvSpPr>
        <dsp:cNvPr id="0" name=""/>
        <dsp:cNvSpPr/>
      </dsp:nvSpPr>
      <dsp:spPr>
        <a:xfrm>
          <a:off x="2148631" y="881454"/>
          <a:ext cx="2007405" cy="996743"/>
        </a:xfrm>
        <a:prstGeom prst="rect">
          <a:avLst/>
        </a:prstGeom>
        <a:solidFill>
          <a:schemeClr val="dk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b="0" kern="1200" cap="none" spc="0">
              <a:ln w="0"/>
              <a:effectLst>
                <a:outerShdw blurRad="38100" dist="19050" dir="2700000" algn="tl" rotWithShape="0">
                  <a:schemeClr val="dk1">
                    <a:alpha val="40000"/>
                  </a:schemeClr>
                </a:outerShdw>
              </a:effectLst>
              <a:latin typeface="+mn-lt"/>
              <a:cs typeface="Arial" panose="020B0604020202020204" pitchFamily="34" charset="0"/>
            </a:rPr>
            <a:t>les enfants  couverts par le systeme non contributif </a:t>
          </a:r>
        </a:p>
        <a:p>
          <a:pPr marL="0" lvl="0" indent="0" algn="ctr" defTabSz="466725">
            <a:lnSpc>
              <a:spcPct val="90000"/>
            </a:lnSpc>
            <a:spcBef>
              <a:spcPct val="0"/>
            </a:spcBef>
            <a:spcAft>
              <a:spcPct val="35000"/>
            </a:spcAft>
            <a:buNone/>
          </a:pPr>
          <a:r>
            <a:rPr lang="fr-FR" sz="1050" b="0" kern="1200" cap="none" spc="0">
              <a:ln w="0"/>
              <a:effectLst>
                <a:outerShdw blurRad="38100" dist="19050" dir="2700000" algn="tl" rotWithShape="0">
                  <a:schemeClr val="dk1">
                    <a:alpha val="40000"/>
                  </a:schemeClr>
                </a:outerShdw>
              </a:effectLst>
              <a:latin typeface="+mn-lt"/>
              <a:cs typeface="Arial" panose="020B0604020202020204" pitchFamily="34" charset="0"/>
            </a:rPr>
            <a:t>0,075 million en 2015(2,4%) - 0,6 million en 2023 (19%)</a:t>
          </a:r>
          <a:endParaRPr lang="fr-FR" sz="1050" b="0" kern="1200" cap="none" spc="0">
            <a:ln w="0"/>
            <a:effectLst>
              <a:outerShdw blurRad="38100" dist="19050" dir="2700000" algn="tl" rotWithShape="0">
                <a:schemeClr val="dk1">
                  <a:alpha val="40000"/>
                </a:schemeClr>
              </a:outerShdw>
            </a:effectLst>
            <a:latin typeface="+mn-lt"/>
          </a:endParaRPr>
        </a:p>
        <a:p>
          <a:pPr marL="0" lvl="0" indent="0" algn="ctr" defTabSz="466725">
            <a:lnSpc>
              <a:spcPct val="90000"/>
            </a:lnSpc>
            <a:spcBef>
              <a:spcPct val="0"/>
            </a:spcBef>
            <a:spcAft>
              <a:spcPct val="35000"/>
            </a:spcAft>
            <a:buNone/>
          </a:pPr>
          <a:endParaRPr lang="fr-FR" sz="1050" b="0" kern="1200" cap="none" spc="0">
            <a:ln w="0"/>
            <a:effectLst>
              <a:outerShdw blurRad="38100" dist="19050" dir="2700000" algn="tl" rotWithShape="0">
                <a:schemeClr val="dk1">
                  <a:alpha val="40000"/>
                </a:schemeClr>
              </a:outerShdw>
            </a:effectLst>
            <a:latin typeface="+mn-lt"/>
          </a:endParaRPr>
        </a:p>
      </dsp:txBody>
      <dsp:txXfrm>
        <a:off x="2148631" y="881454"/>
        <a:ext cx="2007405" cy="996743"/>
      </dsp:txXfrm>
    </dsp:sp>
    <dsp:sp modelId="{D4B6D943-7F88-436F-AE60-D05A736C2A8A}">
      <dsp:nvSpPr>
        <dsp:cNvPr id="0" name=""/>
        <dsp:cNvSpPr/>
      </dsp:nvSpPr>
      <dsp:spPr>
        <a:xfrm>
          <a:off x="4373996" y="881454"/>
          <a:ext cx="1474353" cy="863261"/>
        </a:xfrm>
        <a:prstGeom prst="rect">
          <a:avLst/>
        </a:prstGeom>
        <a:solidFill>
          <a:schemeClr val="dk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b="0" kern="1200" cap="none" spc="0">
              <a:ln w="0"/>
              <a:effectLst>
                <a:outerShdw blurRad="38100" dist="19050" dir="2700000" algn="tl" rotWithShape="0">
                  <a:schemeClr val="dk1">
                    <a:alpha val="40000"/>
                  </a:schemeClr>
                </a:outerShdw>
              </a:effectLst>
              <a:latin typeface="+mn-lt"/>
              <a:cs typeface="Arial" panose="020B0604020202020204" pitchFamily="34" charset="0"/>
            </a:rPr>
            <a:t>les enfants non couverts</a:t>
          </a:r>
        </a:p>
        <a:p>
          <a:pPr marL="0" lvl="0" indent="0" algn="ctr" defTabSz="466725">
            <a:lnSpc>
              <a:spcPct val="90000"/>
            </a:lnSpc>
            <a:spcBef>
              <a:spcPct val="0"/>
            </a:spcBef>
            <a:spcAft>
              <a:spcPct val="35000"/>
            </a:spcAft>
            <a:buNone/>
          </a:pPr>
          <a:r>
            <a:rPr lang="fr-FR" sz="1050" b="0" kern="1200" cap="none" spc="0">
              <a:ln w="0"/>
              <a:effectLst>
                <a:outerShdw blurRad="38100" dist="19050" dir="2700000" algn="tl" rotWithShape="0">
                  <a:schemeClr val="dk1">
                    <a:alpha val="40000"/>
                  </a:schemeClr>
                </a:outerShdw>
              </a:effectLst>
              <a:latin typeface="+mn-lt"/>
              <a:cs typeface="Arial" panose="020B0604020202020204" pitchFamily="34" charset="0"/>
            </a:rPr>
            <a:t>1,84 million (59%) en 2015</a:t>
          </a:r>
          <a:endParaRPr lang="fr-FR" sz="1050" b="0" kern="1200" cap="none" spc="0">
            <a:ln w="0"/>
            <a:effectLst>
              <a:outerShdw blurRad="38100" dist="19050" dir="2700000" algn="tl" rotWithShape="0">
                <a:schemeClr val="dk1">
                  <a:alpha val="40000"/>
                </a:schemeClr>
              </a:outerShdw>
            </a:effectLst>
            <a:latin typeface="+mn-lt"/>
          </a:endParaRPr>
        </a:p>
      </dsp:txBody>
      <dsp:txXfrm>
        <a:off x="4373996" y="881454"/>
        <a:ext cx="1474353" cy="8632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C96102920D0D4F9BA2A9241242BAB4" ma:contentTypeVersion="4" ma:contentTypeDescription="" ma:contentTypeScope="" ma:versionID="348555525cd967d4bb89231a79859b00">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97072e58cfff2c247cb943008dca5e3b"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e625-b593-47c6-b168-cc8be0db9b5f}" ma:internalName="TaxCatchAllLabel" ma:readOnly="true" ma:showField="CatchAllDataLabel"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a7e625-b593-47c6-b168-cc8be0db9b5f}" ma:internalName="TaxCatchAll" ma:showField="CatchAllData"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229</Value>
      <Value>231</Value>
      <Value>42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36DE6-1B32-4A4F-BAE1-E81E2CBAD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5508</Words>
  <Characters>31397</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Administrator</dc:creator>
  <cp:keywords>Consultant ; Terms of reference</cp:keywords>
  <dc:description/>
  <cp:lastModifiedBy>Raja Ben Mahjoub</cp:lastModifiedBy>
  <cp:revision>2</cp:revision>
  <cp:lastPrinted>2024-08-22T08:59:00Z</cp:lastPrinted>
  <dcterms:created xsi:type="dcterms:W3CDTF">2024-11-05T15:37:00Z</dcterms:created>
  <dcterms:modified xsi:type="dcterms:W3CDTF">2024-11-05T15:37:00Z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0x0101009BA85F8052A6DA4FA3E31FF9F74C6970009EC96102920D0D4F9BA2A9241242BAB4</vt:lpwstr>
  </property>
  <property fmtid="{D5CDD505-2E9C-101B-9397-08002B2CF9AE}" pid="3" name="TaxKeyword">
    <vt:lpwstr>4;#Consultant|97dbf340-afa5-45ee-bb2e-48a25e57c80a;#38;#Terms of reference|26e23d09-321c-47a9-b467-3d76284820e0</vt:lpwstr>
  </property>
  <property fmtid="{D5CDD505-2E9C-101B-9397-08002B2CF9AE}" pid="4" name="Topic">
    <vt:lpwstr>42;#HR Capacity HQ|5dfbef22-74f3-4590-8e9b-b76c325b633c</vt:lpwstr>
  </property>
  <property fmtid="{D5CDD505-2E9C-101B-9397-08002B2CF9AE}" pid="5" name="OfficeDivision">
    <vt:lpwstr>231;#Lebanon-2490|9edb7c65-e5d5-4e49-90eb-6706d834a52d</vt:lpwstr>
  </property>
  <property fmtid="{D5CDD505-2E9C-101B-9397-08002B2CF9AE}" pid="6" name="_dlc_DocIdItemGuid">
    <vt:lpwstr>40501985-388f-44a2-871f-4facccf89301</vt:lpwstr>
  </property>
  <property fmtid="{D5CDD505-2E9C-101B-9397-08002B2CF9AE}" pid="7" name="DocumentType">
    <vt:lpwstr>229;#Job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SharedWithUsers">
    <vt:lpwstr>30;#Silvia Chiarucci;#572;#Ghassen Akrimi;#917;#Amani Aouadi;#49;#Samir Bouzekri;#125;#Ines Ghribi;#50;#Remy Pigois;#970;#Gabriella Poubel Portes Lima;#1149;#Sana Guermazi;#1488;#Amal Trabelsi;#1096;#Dorra Belhaouene</vt:lpwstr>
  </property>
</Properties>
</file>