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113E13" w:rsidRDefault="00B14BE6" w:rsidP="00B14BE6">
      <w:pPr>
        <w:jc w:val="center"/>
        <w:rPr>
          <w:rFonts w:cs="Arial"/>
          <w:sz w:val="22"/>
          <w:szCs w:val="22"/>
        </w:rPr>
      </w:pPr>
      <w:r w:rsidRPr="00113E13">
        <w:rPr>
          <w:rFonts w:cs="Arial"/>
          <w:b/>
          <w:bCs/>
          <w:color w:val="00B0F0"/>
          <w:sz w:val="22"/>
          <w:szCs w:val="22"/>
          <w:u w:val="single"/>
        </w:rPr>
        <w:t>TERMS OF REFERENCE FOR INDIVIDUAL CONSULTANTS AND CONTRACTORS</w:t>
      </w:r>
    </w:p>
    <w:tbl>
      <w:tblPr>
        <w:tblpPr w:leftFromText="180" w:rightFromText="180" w:horzAnchor="margin" w:tblpY="53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3957"/>
        <w:gridCol w:w="3232"/>
        <w:gridCol w:w="8"/>
      </w:tblGrid>
      <w:tr w:rsidR="00FC3BA6" w:rsidRPr="007613B3" w14:paraId="523C54D2" w14:textId="77777777" w:rsidTr="00FC3BA6">
        <w:tc>
          <w:tcPr>
            <w:tcW w:w="2698" w:type="dxa"/>
            <w:tcBorders>
              <w:bottom w:val="nil"/>
            </w:tcBorders>
            <w:shd w:val="clear" w:color="auto" w:fill="auto"/>
            <w:noWrap/>
            <w:hideMark/>
          </w:tcPr>
          <w:p w14:paraId="6EBB311D" w14:textId="77777777" w:rsidR="00FC3BA6" w:rsidRPr="000E5D6C" w:rsidRDefault="00FC3BA6" w:rsidP="000E5D6C">
            <w:pPr>
              <w:spacing w:before="100" w:beforeAutospacing="1" w:after="100" w:afterAutospacing="1" w:line="240" w:lineRule="auto"/>
              <w:rPr>
                <w:rFonts w:ascii="Calibri" w:eastAsia="Arial Unicode MS" w:hAnsi="Calibri" w:cs="Calibri"/>
                <w:b/>
                <w:color w:val="auto"/>
                <w:sz w:val="22"/>
                <w:szCs w:val="22"/>
                <w:lang w:val="fr-FR"/>
              </w:rPr>
            </w:pPr>
            <w:proofErr w:type="spellStart"/>
            <w:r w:rsidRPr="000E5D6C">
              <w:rPr>
                <w:rFonts w:ascii="Calibri" w:eastAsia="Arial Unicode MS" w:hAnsi="Calibri" w:cs="Calibri"/>
                <w:b/>
                <w:color w:val="auto"/>
                <w:sz w:val="22"/>
                <w:szCs w:val="22"/>
                <w:lang w:val="fr-FR"/>
              </w:rPr>
              <w:t>Title</w:t>
            </w:r>
            <w:proofErr w:type="spellEnd"/>
          </w:p>
          <w:p w14:paraId="7A1AF25C" w14:textId="792836E7" w:rsidR="00FC3BA6" w:rsidRPr="000E5D6C" w:rsidRDefault="007926F9" w:rsidP="00C251A2">
            <w:pPr>
              <w:spacing w:before="100" w:beforeAutospacing="1" w:after="100" w:afterAutospacing="1" w:line="240" w:lineRule="auto"/>
              <w:rPr>
                <w:rFonts w:ascii="Calibri" w:eastAsia="Arial Unicode MS" w:hAnsi="Calibri" w:cs="Calibri"/>
                <w:b/>
                <w:color w:val="auto"/>
                <w:sz w:val="22"/>
                <w:szCs w:val="22"/>
                <w:lang w:val="fr-FR"/>
              </w:rPr>
            </w:pPr>
            <w:r>
              <w:rPr>
                <w:sz w:val="22"/>
                <w:szCs w:val="22"/>
                <w:lang w:val="fr-FR"/>
              </w:rPr>
              <w:t xml:space="preserve">Consultant National- </w:t>
            </w:r>
            <w:r w:rsidR="00FC3BA6" w:rsidRPr="000E5D6C">
              <w:rPr>
                <w:sz w:val="22"/>
                <w:szCs w:val="22"/>
                <w:lang w:val="fr-FR"/>
              </w:rPr>
              <w:t>Analyse des mécanismes de financement innovants en appui aux groupes communautaire</w:t>
            </w:r>
            <w:r w:rsidR="00FC3BA6">
              <w:rPr>
                <w:sz w:val="22"/>
                <w:szCs w:val="22"/>
                <w:lang w:val="fr-FR"/>
              </w:rPr>
              <w:t>s</w:t>
            </w:r>
            <w:r w:rsidR="00FC3BA6" w:rsidRPr="000E5D6C">
              <w:rPr>
                <w:sz w:val="22"/>
                <w:szCs w:val="22"/>
                <w:lang w:val="fr-FR"/>
              </w:rPr>
              <w:t xml:space="preserve"> de solidarité pour renforcer la résilience au niveau local</w:t>
            </w:r>
          </w:p>
          <w:p w14:paraId="75D9A581" w14:textId="77777777" w:rsidR="00FC3BA6" w:rsidRPr="00B24CE7" w:rsidRDefault="00FC3BA6" w:rsidP="00377BF5">
            <w:pPr>
              <w:spacing w:before="100" w:beforeAutospacing="1" w:after="100" w:afterAutospacing="1" w:line="240" w:lineRule="auto"/>
              <w:rPr>
                <w:rFonts w:ascii="Calibri" w:eastAsia="Arial Unicode MS" w:hAnsi="Calibri" w:cs="Calibri"/>
                <w:color w:val="auto"/>
                <w:lang w:val="fr-FR"/>
              </w:rPr>
            </w:pPr>
          </w:p>
        </w:tc>
        <w:tc>
          <w:tcPr>
            <w:tcW w:w="3957" w:type="dxa"/>
            <w:tcBorders>
              <w:bottom w:val="nil"/>
            </w:tcBorders>
            <w:shd w:val="clear" w:color="auto" w:fill="auto"/>
          </w:tcPr>
          <w:p w14:paraId="11BB878C" w14:textId="77777777" w:rsidR="00FC3BA6" w:rsidRPr="00113E13" w:rsidRDefault="00FC3BA6" w:rsidP="00377BF5">
            <w:pPr>
              <w:spacing w:before="100" w:beforeAutospacing="1" w:after="100" w:afterAutospacing="1" w:line="240" w:lineRule="auto"/>
              <w:rPr>
                <w:rFonts w:eastAsia="Arial Unicode MS" w:cs="Arial"/>
                <w:b/>
                <w:color w:val="auto"/>
                <w:lang w:val="en-AU"/>
              </w:rPr>
            </w:pPr>
            <w:r w:rsidRPr="00113E13">
              <w:rPr>
                <w:rFonts w:eastAsia="Arial Unicode MS" w:cs="Arial"/>
                <w:b/>
                <w:color w:val="auto"/>
                <w:lang w:val="en-AU"/>
              </w:rPr>
              <w:t>Type of engagement</w:t>
            </w:r>
          </w:p>
          <w:p w14:paraId="49FA3C13" w14:textId="2578F713" w:rsidR="00FC3BA6" w:rsidRPr="00113E13" w:rsidRDefault="00FC3BA6" w:rsidP="00377BF5">
            <w:pPr>
              <w:spacing w:before="60" w:after="60" w:line="240" w:lineRule="auto"/>
              <w:ind w:right="-108"/>
              <w:rPr>
                <w:rFonts w:eastAsia="Arial Unicode MS" w:cs="Arial"/>
                <w:color w:val="auto"/>
                <w:sz w:val="18"/>
                <w:szCs w:val="18"/>
                <w:lang w:val="en-AU"/>
              </w:rPr>
            </w:pPr>
            <w:r w:rsidRPr="00113E13">
              <w:rPr>
                <w:rFonts w:eastAsia="Arial Unicode MS" w:cs="Arial"/>
                <w:color w:val="auto"/>
                <w:sz w:val="18"/>
                <w:szCs w:val="18"/>
                <w:lang w:val="en-AU"/>
              </w:rPr>
              <w:fldChar w:fldCharType="begin">
                <w:ffData>
                  <w:name w:val="Check11"/>
                  <w:enabled/>
                  <w:calcOnExit w:val="0"/>
                  <w:checkBox>
                    <w:sizeAuto/>
                    <w:default w:val="1"/>
                  </w:checkBox>
                </w:ffData>
              </w:fldChar>
            </w:r>
            <w:bookmarkStart w:id="0" w:name="Check11"/>
            <w:r w:rsidRPr="00113E13">
              <w:rPr>
                <w:rFonts w:eastAsia="Arial Unicode MS" w:cs="Arial"/>
                <w:color w:val="auto"/>
                <w:sz w:val="18"/>
                <w:szCs w:val="18"/>
                <w:lang w:val="en-AU"/>
              </w:rPr>
              <w:instrText xml:space="preserve"> FORMCHECKBOX </w:instrText>
            </w:r>
            <w:r w:rsidR="00F322CB">
              <w:rPr>
                <w:rFonts w:eastAsia="Arial Unicode MS" w:cs="Arial"/>
                <w:color w:val="auto"/>
                <w:sz w:val="18"/>
                <w:szCs w:val="18"/>
                <w:lang w:val="en-AU"/>
              </w:rPr>
            </w:r>
            <w:r w:rsidR="00F322CB">
              <w:rPr>
                <w:rFonts w:eastAsia="Arial Unicode MS" w:cs="Arial"/>
                <w:color w:val="auto"/>
                <w:sz w:val="18"/>
                <w:szCs w:val="18"/>
                <w:lang w:val="en-AU"/>
              </w:rPr>
              <w:fldChar w:fldCharType="separate"/>
            </w:r>
            <w:r w:rsidRPr="00113E13">
              <w:rPr>
                <w:rFonts w:eastAsia="Arial Unicode MS" w:cs="Arial"/>
                <w:color w:val="auto"/>
                <w:sz w:val="18"/>
                <w:szCs w:val="18"/>
                <w:lang w:val="en-AU"/>
              </w:rPr>
              <w:fldChar w:fldCharType="end"/>
            </w:r>
            <w:bookmarkEnd w:id="0"/>
            <w:r w:rsidRPr="00113E13">
              <w:rPr>
                <w:rFonts w:eastAsia="Arial Unicode MS" w:cs="Arial"/>
                <w:color w:val="auto"/>
                <w:sz w:val="18"/>
                <w:szCs w:val="18"/>
                <w:lang w:val="en-AU"/>
              </w:rPr>
              <w:t xml:space="preserve"> Consultant  </w:t>
            </w:r>
          </w:p>
          <w:p w14:paraId="33BFAE9D" w14:textId="186E2C0C" w:rsidR="00FC3BA6" w:rsidRPr="00113E13" w:rsidRDefault="00FC3BA6" w:rsidP="00377BF5">
            <w:pPr>
              <w:spacing w:before="60" w:after="60" w:line="240" w:lineRule="auto"/>
              <w:ind w:right="-108"/>
              <w:rPr>
                <w:rFonts w:eastAsia="Arial Unicode MS" w:cs="Arial"/>
                <w:color w:val="auto"/>
                <w:sz w:val="18"/>
                <w:szCs w:val="18"/>
                <w:lang w:val="en-AU"/>
              </w:rPr>
            </w:pPr>
            <w:r w:rsidRPr="00113E13">
              <w:rPr>
                <w:rFonts w:eastAsia="Arial Unicode MS" w:cs="Arial"/>
                <w:color w:val="auto"/>
                <w:sz w:val="18"/>
                <w:szCs w:val="18"/>
                <w:lang w:val="en-AU"/>
              </w:rPr>
              <w:fldChar w:fldCharType="begin">
                <w:ffData>
                  <w:name w:val="Check12"/>
                  <w:enabled/>
                  <w:calcOnExit w:val="0"/>
                  <w:checkBox>
                    <w:sizeAuto/>
                    <w:default w:val="0"/>
                  </w:checkBox>
                </w:ffData>
              </w:fldChar>
            </w:r>
            <w:bookmarkStart w:id="1" w:name="Check12"/>
            <w:r w:rsidRPr="00113E13">
              <w:rPr>
                <w:rFonts w:eastAsia="Arial Unicode MS" w:cs="Arial"/>
                <w:color w:val="auto"/>
                <w:sz w:val="18"/>
                <w:szCs w:val="18"/>
                <w:lang w:val="en-AU"/>
              </w:rPr>
              <w:instrText xml:space="preserve"> FORMCHECKBOX </w:instrText>
            </w:r>
            <w:r w:rsidR="00F322CB">
              <w:rPr>
                <w:rFonts w:eastAsia="Arial Unicode MS" w:cs="Arial"/>
                <w:color w:val="auto"/>
                <w:sz w:val="18"/>
                <w:szCs w:val="18"/>
                <w:lang w:val="en-AU"/>
              </w:rPr>
            </w:r>
            <w:r w:rsidR="00F322CB">
              <w:rPr>
                <w:rFonts w:eastAsia="Arial Unicode MS" w:cs="Arial"/>
                <w:color w:val="auto"/>
                <w:sz w:val="18"/>
                <w:szCs w:val="18"/>
                <w:lang w:val="en-AU"/>
              </w:rPr>
              <w:fldChar w:fldCharType="separate"/>
            </w:r>
            <w:r w:rsidRPr="00113E13">
              <w:rPr>
                <w:rFonts w:eastAsia="Arial Unicode MS" w:cs="Arial"/>
                <w:color w:val="auto"/>
                <w:sz w:val="18"/>
                <w:szCs w:val="18"/>
                <w:lang w:val="en-AU"/>
              </w:rPr>
              <w:fldChar w:fldCharType="end"/>
            </w:r>
            <w:bookmarkEnd w:id="1"/>
            <w:r w:rsidRPr="00113E13">
              <w:rPr>
                <w:rFonts w:eastAsia="Arial Unicode MS" w:cs="Arial"/>
                <w:color w:val="auto"/>
                <w:sz w:val="18"/>
                <w:szCs w:val="18"/>
                <w:lang w:val="en-AU"/>
              </w:rPr>
              <w:t xml:space="preserve"> Individual Contractor Part-Time</w:t>
            </w:r>
          </w:p>
          <w:p w14:paraId="0F67FA87" w14:textId="3E48FCE1" w:rsidR="00FC3BA6" w:rsidRPr="00113E13" w:rsidRDefault="00FC3BA6" w:rsidP="00377BF5">
            <w:pPr>
              <w:spacing w:before="60" w:after="60" w:line="240" w:lineRule="auto"/>
              <w:ind w:right="-108"/>
              <w:rPr>
                <w:rFonts w:eastAsia="Arial Unicode MS" w:cs="Arial"/>
                <w:color w:val="auto"/>
                <w:lang w:val="en-AU"/>
              </w:rPr>
            </w:pPr>
            <w:r w:rsidRPr="00113E13">
              <w:rPr>
                <w:rFonts w:eastAsia="Arial Unicode MS" w:cs="Arial"/>
                <w:color w:val="auto"/>
                <w:sz w:val="18"/>
                <w:szCs w:val="18"/>
                <w:lang w:val="en-AU"/>
              </w:rPr>
              <w:fldChar w:fldCharType="begin">
                <w:ffData>
                  <w:name w:val="Check12"/>
                  <w:enabled/>
                  <w:calcOnExit w:val="0"/>
                  <w:checkBox>
                    <w:sizeAuto/>
                    <w:default w:val="0"/>
                  </w:checkBox>
                </w:ffData>
              </w:fldChar>
            </w:r>
            <w:r w:rsidRPr="00113E13">
              <w:rPr>
                <w:rFonts w:eastAsia="Arial Unicode MS" w:cs="Arial"/>
                <w:color w:val="auto"/>
                <w:sz w:val="18"/>
                <w:szCs w:val="18"/>
                <w:lang w:val="en-AU"/>
              </w:rPr>
              <w:instrText xml:space="preserve"> FORMCHECKBOX </w:instrText>
            </w:r>
            <w:r w:rsidR="00F322CB">
              <w:rPr>
                <w:rFonts w:eastAsia="Arial Unicode MS" w:cs="Arial"/>
                <w:color w:val="auto"/>
                <w:sz w:val="18"/>
                <w:szCs w:val="18"/>
                <w:lang w:val="en-AU"/>
              </w:rPr>
            </w:r>
            <w:r w:rsidR="00F322CB">
              <w:rPr>
                <w:rFonts w:eastAsia="Arial Unicode MS" w:cs="Arial"/>
                <w:color w:val="auto"/>
                <w:sz w:val="18"/>
                <w:szCs w:val="18"/>
                <w:lang w:val="en-AU"/>
              </w:rPr>
              <w:fldChar w:fldCharType="separate"/>
            </w:r>
            <w:r w:rsidRPr="00113E13">
              <w:rPr>
                <w:rFonts w:eastAsia="Arial Unicode MS" w:cs="Arial"/>
                <w:color w:val="auto"/>
                <w:sz w:val="18"/>
                <w:szCs w:val="18"/>
                <w:lang w:val="en-AU"/>
              </w:rPr>
              <w:fldChar w:fldCharType="end"/>
            </w:r>
            <w:r w:rsidRPr="00113E13">
              <w:rPr>
                <w:rFonts w:eastAsia="Arial Unicode MS" w:cs="Arial"/>
                <w:color w:val="auto"/>
                <w:sz w:val="18"/>
                <w:szCs w:val="18"/>
                <w:lang w:val="en-AU"/>
              </w:rPr>
              <w:t xml:space="preserve"> Individual Contractor Full-Time</w:t>
            </w:r>
          </w:p>
        </w:tc>
        <w:tc>
          <w:tcPr>
            <w:tcW w:w="3240" w:type="dxa"/>
            <w:gridSpan w:val="2"/>
            <w:tcBorders>
              <w:bottom w:val="nil"/>
            </w:tcBorders>
            <w:shd w:val="clear" w:color="auto" w:fill="auto"/>
          </w:tcPr>
          <w:p w14:paraId="2302C863" w14:textId="77777777" w:rsidR="00FC3BA6" w:rsidRPr="00113E13" w:rsidRDefault="00FC3BA6" w:rsidP="00377BF5">
            <w:pPr>
              <w:spacing w:before="100" w:beforeAutospacing="1" w:after="100" w:afterAutospacing="1" w:line="240" w:lineRule="auto"/>
              <w:rPr>
                <w:rFonts w:eastAsia="Arial Unicode MS" w:cs="Arial"/>
                <w:b/>
                <w:color w:val="auto"/>
                <w:lang w:val="en-AU"/>
              </w:rPr>
            </w:pPr>
            <w:r w:rsidRPr="00113E13">
              <w:rPr>
                <w:rFonts w:eastAsia="Arial Unicode MS" w:cs="Arial"/>
                <w:b/>
                <w:color w:val="auto"/>
                <w:lang w:val="en-AU"/>
              </w:rPr>
              <w:t>Duty Station:</w:t>
            </w:r>
          </w:p>
          <w:p w14:paraId="3CCE5269" w14:textId="74AEBEA6" w:rsidR="00FC3BA6" w:rsidRPr="00113E13" w:rsidRDefault="00FC3BA6" w:rsidP="00377BF5">
            <w:pPr>
              <w:spacing w:before="100" w:beforeAutospacing="1" w:after="100" w:afterAutospacing="1" w:line="240" w:lineRule="auto"/>
              <w:rPr>
                <w:rFonts w:eastAsia="Arial Unicode MS" w:cs="Arial"/>
                <w:color w:val="auto"/>
                <w:lang w:val="en-AU"/>
              </w:rPr>
            </w:pPr>
            <w:r w:rsidRPr="00113E13">
              <w:rPr>
                <w:rFonts w:eastAsia="Arial Unicode MS" w:cs="Arial"/>
                <w:color w:val="auto"/>
                <w:lang w:val="en-AU"/>
              </w:rPr>
              <w:t>Burundi</w:t>
            </w:r>
          </w:p>
        </w:tc>
      </w:tr>
      <w:tr w:rsidR="007613B3" w:rsidRPr="007926F9" w14:paraId="2F971280" w14:textId="77777777" w:rsidTr="00FC3BA6">
        <w:trPr>
          <w:gridAfter w:val="1"/>
          <w:wAfter w:w="8" w:type="dxa"/>
          <w:trHeight w:val="828"/>
        </w:trPr>
        <w:tc>
          <w:tcPr>
            <w:tcW w:w="9887" w:type="dxa"/>
            <w:gridSpan w:val="3"/>
            <w:tcBorders>
              <w:bottom w:val="nil"/>
            </w:tcBorders>
            <w:shd w:val="clear" w:color="auto" w:fill="auto"/>
            <w:noWrap/>
            <w:hideMark/>
          </w:tcPr>
          <w:p w14:paraId="7A23969C" w14:textId="0D10EB1C" w:rsidR="00DF0817" w:rsidRPr="00A32EC3" w:rsidRDefault="007613B3" w:rsidP="00DF0817">
            <w:pPr>
              <w:spacing w:line="240" w:lineRule="auto"/>
              <w:jc w:val="both"/>
              <w:rPr>
                <w:sz w:val="22"/>
                <w:szCs w:val="22"/>
                <w:shd w:val="clear" w:color="auto" w:fill="FFFFFF"/>
                <w:lang w:val="fr-FR"/>
              </w:rPr>
            </w:pPr>
            <w:proofErr w:type="spellStart"/>
            <w:r w:rsidRPr="00A32EC3">
              <w:rPr>
                <w:rFonts w:ascii="Calibri" w:eastAsia="Arial Unicode MS" w:hAnsi="Calibri" w:cs="Calibri"/>
                <w:b/>
                <w:color w:val="auto"/>
                <w:sz w:val="22"/>
                <w:szCs w:val="22"/>
                <w:lang w:val="fr-FR"/>
              </w:rPr>
              <w:t>Purpose</w:t>
            </w:r>
            <w:proofErr w:type="spellEnd"/>
            <w:r w:rsidRPr="00A32EC3">
              <w:rPr>
                <w:rFonts w:ascii="Calibri" w:eastAsia="Arial Unicode MS" w:hAnsi="Calibri" w:cs="Calibri"/>
                <w:b/>
                <w:color w:val="auto"/>
                <w:sz w:val="22"/>
                <w:szCs w:val="22"/>
                <w:lang w:val="fr-FR"/>
              </w:rPr>
              <w:t xml:space="preserve"> of Activity/</w:t>
            </w:r>
            <w:r w:rsidR="0058167F" w:rsidRPr="00A32EC3">
              <w:rPr>
                <w:rFonts w:ascii="Calibri" w:eastAsia="Arial Unicode MS" w:hAnsi="Calibri" w:cs="Calibri"/>
                <w:b/>
                <w:color w:val="auto"/>
                <w:sz w:val="22"/>
                <w:szCs w:val="22"/>
                <w:lang w:val="fr-FR"/>
              </w:rPr>
              <w:t>Assignement :</w:t>
            </w:r>
            <w:r w:rsidRPr="00A32EC3">
              <w:rPr>
                <w:rFonts w:ascii="Calibri" w:eastAsia="Arial Unicode MS" w:hAnsi="Calibri" w:cs="Calibri"/>
                <w:b/>
                <w:color w:val="auto"/>
                <w:sz w:val="22"/>
                <w:szCs w:val="22"/>
                <w:lang w:val="fr-FR"/>
              </w:rPr>
              <w:t xml:space="preserve"> </w:t>
            </w:r>
            <w:r w:rsidR="00C525F3" w:rsidRPr="00A32EC3">
              <w:rPr>
                <w:b/>
                <w:bCs/>
                <w:sz w:val="22"/>
                <w:szCs w:val="22"/>
                <w:lang w:val="fr-FR"/>
              </w:rPr>
              <w:t xml:space="preserve"> </w:t>
            </w:r>
            <w:r w:rsidR="00D65CAB" w:rsidRPr="00A32EC3">
              <w:rPr>
                <w:sz w:val="22"/>
                <w:szCs w:val="22"/>
                <w:shd w:val="clear" w:color="auto" w:fill="FFFFFF"/>
                <w:lang w:val="fr-FR"/>
              </w:rPr>
              <w:t xml:space="preserve"> </w:t>
            </w:r>
            <w:r w:rsidR="00DF0817" w:rsidRPr="00A32EC3">
              <w:rPr>
                <w:sz w:val="22"/>
                <w:szCs w:val="22"/>
                <w:shd w:val="clear" w:color="auto" w:fill="FFFFFF"/>
                <w:lang w:val="fr-FR"/>
              </w:rPr>
              <w:t xml:space="preserve"> L’objectif de l’étude est de mener une analyse de l’état actuel des mécanismes de financement en appui aux groupes de solidarité communautaire et trouver des pistes d’innovation </w:t>
            </w:r>
            <w:r w:rsidR="00DF0817">
              <w:rPr>
                <w:sz w:val="22"/>
                <w:szCs w:val="22"/>
                <w:shd w:val="clear" w:color="auto" w:fill="FFFFFF"/>
                <w:lang w:val="fr-FR"/>
              </w:rPr>
              <w:t xml:space="preserve">et </w:t>
            </w:r>
            <w:r w:rsidR="00DF0817" w:rsidRPr="00A32EC3">
              <w:rPr>
                <w:sz w:val="22"/>
                <w:szCs w:val="22"/>
                <w:shd w:val="clear" w:color="auto" w:fill="FFFFFF"/>
                <w:lang w:val="fr-FR"/>
              </w:rPr>
              <w:t>de pérennisation de ces mécanismes.</w:t>
            </w:r>
          </w:p>
          <w:p w14:paraId="4255C5D9" w14:textId="77777777" w:rsidR="00DF0817" w:rsidRPr="00A32EC3" w:rsidRDefault="00DF0817" w:rsidP="00DF0817">
            <w:pPr>
              <w:jc w:val="both"/>
              <w:rPr>
                <w:sz w:val="22"/>
                <w:szCs w:val="22"/>
                <w:shd w:val="clear" w:color="auto" w:fill="FFFFFF"/>
                <w:lang w:val="fr-FR"/>
              </w:rPr>
            </w:pPr>
          </w:p>
          <w:p w14:paraId="6F93F450" w14:textId="77777777" w:rsidR="00DF0817" w:rsidRPr="005C2BF1" w:rsidRDefault="00DF0817" w:rsidP="00DF0817">
            <w:pPr>
              <w:jc w:val="both"/>
              <w:rPr>
                <w:sz w:val="21"/>
                <w:szCs w:val="21"/>
                <w:shd w:val="clear" w:color="auto" w:fill="FFFFFF"/>
                <w:lang w:val="fr-FR"/>
              </w:rPr>
            </w:pPr>
            <w:r w:rsidRPr="005C2BF1">
              <w:rPr>
                <w:sz w:val="21"/>
                <w:szCs w:val="21"/>
                <w:shd w:val="clear" w:color="auto" w:fill="FFFFFF"/>
                <w:lang w:val="fr-FR"/>
              </w:rPr>
              <w:t>De façon spécifique, il s’agira de :</w:t>
            </w:r>
          </w:p>
          <w:p w14:paraId="1A10A324" w14:textId="77777777" w:rsidR="00DF0817" w:rsidRPr="005C2BF1" w:rsidRDefault="00DF0817" w:rsidP="00DF0817">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1"/>
                <w:szCs w:val="21"/>
                <w:shd w:val="clear" w:color="auto" w:fill="FFFFFF"/>
                <w:lang w:val="fr-FR"/>
              </w:rPr>
            </w:pPr>
            <w:r w:rsidRPr="005C2BF1">
              <w:rPr>
                <w:sz w:val="21"/>
                <w:szCs w:val="21"/>
                <w:shd w:val="clear" w:color="auto" w:fill="FFFFFF"/>
                <w:lang w:val="fr-FR"/>
              </w:rPr>
              <w:t xml:space="preserve">Faire une analyse référentielle </w:t>
            </w:r>
            <w:r>
              <w:rPr>
                <w:sz w:val="21"/>
                <w:szCs w:val="21"/>
                <w:shd w:val="clear" w:color="auto" w:fill="FFFFFF"/>
                <w:lang w:val="fr-FR"/>
              </w:rPr>
              <w:t>basée sur des évidences et</w:t>
            </w:r>
            <w:r w:rsidRPr="005C2BF1">
              <w:rPr>
                <w:sz w:val="21"/>
                <w:szCs w:val="21"/>
                <w:shd w:val="clear" w:color="auto" w:fill="FFFFFF"/>
                <w:lang w:val="fr-FR"/>
              </w:rPr>
              <w:t xml:space="preserve"> un mapping des mécanismes de financement existant au</w:t>
            </w:r>
            <w:r>
              <w:rPr>
                <w:sz w:val="21"/>
                <w:szCs w:val="21"/>
                <w:shd w:val="clear" w:color="auto" w:fill="FFFFFF"/>
                <w:lang w:val="fr-FR"/>
              </w:rPr>
              <w:t xml:space="preserve"> niveau communautaire </w:t>
            </w:r>
            <w:r w:rsidRPr="005C2BF1">
              <w:rPr>
                <w:sz w:val="21"/>
                <w:szCs w:val="21"/>
                <w:shd w:val="clear" w:color="auto" w:fill="FFFFFF"/>
                <w:lang w:val="fr-FR"/>
              </w:rPr>
              <w:t>en</w:t>
            </w:r>
            <w:r>
              <w:rPr>
                <w:sz w:val="21"/>
                <w:szCs w:val="21"/>
                <w:shd w:val="clear" w:color="auto" w:fill="FFFFFF"/>
                <w:lang w:val="fr-FR"/>
              </w:rPr>
              <w:t xml:space="preserve"> appui aux </w:t>
            </w:r>
            <w:r w:rsidRPr="005C2BF1">
              <w:rPr>
                <w:sz w:val="21"/>
                <w:szCs w:val="21"/>
                <w:shd w:val="clear" w:color="auto" w:fill="FFFFFF"/>
                <w:lang w:val="fr-FR"/>
              </w:rPr>
              <w:t xml:space="preserve">groupes de solidarité communautaire, en se basant </w:t>
            </w:r>
            <w:r>
              <w:rPr>
                <w:sz w:val="21"/>
                <w:szCs w:val="21"/>
                <w:shd w:val="clear" w:color="auto" w:fill="FFFFFF"/>
                <w:lang w:val="fr-FR"/>
              </w:rPr>
              <w:t xml:space="preserve">sur </w:t>
            </w:r>
            <w:r w:rsidRPr="005C2BF1">
              <w:rPr>
                <w:sz w:val="21"/>
                <w:szCs w:val="21"/>
                <w:shd w:val="clear" w:color="auto" w:fill="FFFFFF"/>
                <w:lang w:val="fr-FR"/>
              </w:rPr>
              <w:t>les expériences aux niveaux international, régional et national</w:t>
            </w:r>
            <w:r>
              <w:rPr>
                <w:sz w:val="21"/>
                <w:szCs w:val="21"/>
                <w:shd w:val="clear" w:color="auto" w:fill="FFFFFF"/>
                <w:lang w:val="fr-FR"/>
              </w:rPr>
              <w:t>).</w:t>
            </w:r>
          </w:p>
          <w:p w14:paraId="0B4F5C25" w14:textId="75146E6B" w:rsidR="00DF0817" w:rsidRPr="005C2BF1" w:rsidRDefault="00F46C6A" w:rsidP="00DF0817">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1"/>
                <w:szCs w:val="21"/>
                <w:shd w:val="clear" w:color="auto" w:fill="FFFFFF"/>
                <w:lang w:val="fr-FR"/>
              </w:rPr>
            </w:pPr>
            <w:r>
              <w:rPr>
                <w:sz w:val="21"/>
                <w:szCs w:val="21"/>
                <w:shd w:val="clear" w:color="auto" w:fill="FFFFFF"/>
                <w:lang w:val="fr-FR"/>
              </w:rPr>
              <w:t>Analyser</w:t>
            </w:r>
            <w:r w:rsidRPr="005C2BF1">
              <w:rPr>
                <w:sz w:val="21"/>
                <w:szCs w:val="21"/>
                <w:shd w:val="clear" w:color="auto" w:fill="FFFFFF"/>
                <w:lang w:val="fr-FR"/>
              </w:rPr>
              <w:t xml:space="preserve"> </w:t>
            </w:r>
            <w:r w:rsidR="00DF0817" w:rsidRPr="005C2BF1">
              <w:rPr>
                <w:sz w:val="21"/>
                <w:szCs w:val="21"/>
                <w:shd w:val="clear" w:color="auto" w:fill="FFFFFF"/>
                <w:lang w:val="fr-FR"/>
              </w:rPr>
              <w:t>le fonctionnement des groupes de solidarité communautaire (la gouvernance, la reconnaissance</w:t>
            </w:r>
            <w:r w:rsidR="00E6290D">
              <w:rPr>
                <w:sz w:val="21"/>
                <w:szCs w:val="21"/>
                <w:shd w:val="clear" w:color="auto" w:fill="FFFFFF"/>
                <w:lang w:val="fr-FR"/>
              </w:rPr>
              <w:t xml:space="preserve"> </w:t>
            </w:r>
            <w:r w:rsidR="00D43182">
              <w:rPr>
                <w:sz w:val="21"/>
                <w:szCs w:val="21"/>
                <w:shd w:val="clear" w:color="auto" w:fill="FFFFFF"/>
                <w:lang w:val="fr-FR"/>
              </w:rPr>
              <w:t>légale</w:t>
            </w:r>
            <w:r w:rsidR="00D85B9B">
              <w:rPr>
                <w:sz w:val="21"/>
                <w:szCs w:val="21"/>
                <w:shd w:val="clear" w:color="auto" w:fill="FFFFFF"/>
                <w:lang w:val="fr-FR"/>
              </w:rPr>
              <w:t>/administrative</w:t>
            </w:r>
            <w:r w:rsidR="00DF0817" w:rsidRPr="005C2BF1">
              <w:rPr>
                <w:sz w:val="21"/>
                <w:szCs w:val="21"/>
                <w:shd w:val="clear" w:color="auto" w:fill="FFFFFF"/>
                <w:lang w:val="fr-FR"/>
              </w:rPr>
              <w:t xml:space="preserve">, l’utilisation de l’épargne, les modalités d’octroi des prêts, </w:t>
            </w:r>
            <w:r w:rsidR="00C05313">
              <w:rPr>
                <w:sz w:val="21"/>
                <w:szCs w:val="21"/>
                <w:shd w:val="clear" w:color="auto" w:fill="FFFFFF"/>
                <w:lang w:val="fr-FR"/>
              </w:rPr>
              <w:t xml:space="preserve">la gestion dans les GS, </w:t>
            </w:r>
            <w:r w:rsidR="00DF0817" w:rsidRPr="005C2BF1">
              <w:rPr>
                <w:sz w:val="21"/>
                <w:szCs w:val="21"/>
                <w:shd w:val="clear" w:color="auto" w:fill="FFFFFF"/>
                <w:lang w:val="fr-FR"/>
              </w:rPr>
              <w:t>etc.).</w:t>
            </w:r>
          </w:p>
          <w:p w14:paraId="43FD56FF" w14:textId="3A048820" w:rsidR="00DF0817" w:rsidRPr="005C2BF1" w:rsidRDefault="00DF0817" w:rsidP="00DF0817">
            <w:pPr>
              <w:pStyle w:val="ListParagraph"/>
              <w:numPr>
                <w:ilvl w:val="0"/>
                <w:numId w:val="25"/>
              </w:numPr>
              <w:spacing w:after="160" w:line="259" w:lineRule="auto"/>
              <w:rPr>
                <w:sz w:val="21"/>
                <w:szCs w:val="21"/>
                <w:shd w:val="clear" w:color="auto" w:fill="FFFFFF"/>
                <w:lang w:val="fr-FR"/>
              </w:rPr>
            </w:pPr>
            <w:r w:rsidRPr="005C2BF1">
              <w:rPr>
                <w:sz w:val="21"/>
                <w:szCs w:val="21"/>
                <w:shd w:val="clear" w:color="auto" w:fill="FFFFFF"/>
                <w:lang w:val="fr-FR"/>
              </w:rPr>
              <w:t>Proposer des options de financement innovants</w:t>
            </w:r>
            <w:r w:rsidR="00D85B9B">
              <w:rPr>
                <w:sz w:val="21"/>
                <w:szCs w:val="21"/>
                <w:shd w:val="clear" w:color="auto" w:fill="FFFFFF"/>
                <w:lang w:val="fr-FR"/>
              </w:rPr>
              <w:t>/d’</w:t>
            </w:r>
            <w:r w:rsidR="00D43182">
              <w:rPr>
                <w:sz w:val="21"/>
                <w:szCs w:val="21"/>
                <w:shd w:val="clear" w:color="auto" w:fill="FFFFFF"/>
                <w:lang w:val="fr-FR"/>
              </w:rPr>
              <w:t>accès</w:t>
            </w:r>
            <w:r w:rsidR="00D85B9B">
              <w:rPr>
                <w:sz w:val="21"/>
                <w:szCs w:val="21"/>
                <w:shd w:val="clear" w:color="auto" w:fill="FFFFFF"/>
                <w:lang w:val="fr-FR"/>
              </w:rPr>
              <w:t xml:space="preserve"> aux financement</w:t>
            </w:r>
            <w:r w:rsidR="00D43182">
              <w:rPr>
                <w:sz w:val="21"/>
                <w:szCs w:val="21"/>
                <w:shd w:val="clear" w:color="auto" w:fill="FFFFFF"/>
                <w:lang w:val="fr-FR"/>
              </w:rPr>
              <w:t>s</w:t>
            </w:r>
            <w:r w:rsidR="00D85B9B">
              <w:rPr>
                <w:sz w:val="21"/>
                <w:szCs w:val="21"/>
                <w:shd w:val="clear" w:color="auto" w:fill="FFFFFF"/>
                <w:lang w:val="fr-FR"/>
              </w:rPr>
              <w:t xml:space="preserve"> pour l</w:t>
            </w:r>
            <w:r w:rsidRPr="005C2BF1">
              <w:rPr>
                <w:sz w:val="21"/>
                <w:szCs w:val="21"/>
                <w:shd w:val="clear" w:color="auto" w:fill="FFFFFF"/>
                <w:lang w:val="fr-FR"/>
              </w:rPr>
              <w:t xml:space="preserve">es groupes de solidarité communautaire. </w:t>
            </w:r>
          </w:p>
          <w:p w14:paraId="68FF5B83" w14:textId="5AE70ED0" w:rsidR="00DF0817" w:rsidRPr="005C2BF1" w:rsidRDefault="00DF0817" w:rsidP="00DF0817">
            <w:pPr>
              <w:tabs>
                <w:tab w:val="left" w:pos="270"/>
                <w:tab w:val="left" w:pos="360"/>
              </w:tabs>
              <w:jc w:val="both"/>
              <w:rPr>
                <w:sz w:val="21"/>
                <w:szCs w:val="21"/>
                <w:shd w:val="clear" w:color="auto" w:fill="FFFFFF"/>
                <w:lang w:val="fr-FR"/>
              </w:rPr>
            </w:pPr>
            <w:r w:rsidRPr="005C2BF1">
              <w:rPr>
                <w:sz w:val="21"/>
                <w:szCs w:val="21"/>
                <w:shd w:val="clear" w:color="auto" w:fill="FFFFFF"/>
                <w:lang w:val="fr-FR"/>
              </w:rPr>
              <w:t xml:space="preserve">Une étude en cours relative à </w:t>
            </w:r>
            <w:r w:rsidR="00D43182">
              <w:rPr>
                <w:sz w:val="21"/>
                <w:szCs w:val="21"/>
                <w:shd w:val="clear" w:color="auto" w:fill="FFFFFF"/>
                <w:lang w:val="fr-FR"/>
              </w:rPr>
              <w:t>l’identification</w:t>
            </w:r>
            <w:r w:rsidRPr="005C2BF1">
              <w:rPr>
                <w:sz w:val="21"/>
                <w:szCs w:val="21"/>
                <w:shd w:val="clear" w:color="auto" w:fill="FFFFFF"/>
                <w:lang w:val="fr-FR"/>
              </w:rPr>
              <w:t xml:space="preserve"> des potentialités des PPP et financement innovants identifiées et évaluées (outils/point d’entrées), y compris le renforcement institutionnel au niveau national abordera les aspects des options de financement innovants au niveau national qui pourront être intégrés aux possibilités de financement des groupes de solidarité communautaire.</w:t>
            </w:r>
          </w:p>
          <w:p w14:paraId="2766997E" w14:textId="77777777" w:rsidR="00DF0817" w:rsidRPr="005C2BF1" w:rsidRDefault="00DF0817" w:rsidP="00DF0817">
            <w:pPr>
              <w:tabs>
                <w:tab w:val="left" w:pos="270"/>
                <w:tab w:val="left" w:pos="360"/>
              </w:tabs>
              <w:jc w:val="both"/>
              <w:rPr>
                <w:sz w:val="21"/>
                <w:szCs w:val="21"/>
                <w:shd w:val="clear" w:color="auto" w:fill="FFFFFF"/>
                <w:lang w:val="fr-FR"/>
              </w:rPr>
            </w:pPr>
          </w:p>
          <w:p w14:paraId="261B35A4" w14:textId="3937EEB9" w:rsidR="00DF0817" w:rsidRPr="005C2BF1" w:rsidRDefault="00DF0817" w:rsidP="00DF0817">
            <w:pPr>
              <w:tabs>
                <w:tab w:val="left" w:pos="270"/>
                <w:tab w:val="left" w:pos="360"/>
              </w:tabs>
              <w:jc w:val="both"/>
              <w:rPr>
                <w:sz w:val="21"/>
                <w:szCs w:val="21"/>
                <w:shd w:val="clear" w:color="auto" w:fill="FFFFFF"/>
                <w:lang w:val="fr-FR"/>
              </w:rPr>
            </w:pPr>
            <w:r w:rsidRPr="005C2BF1">
              <w:rPr>
                <w:sz w:val="21"/>
                <w:szCs w:val="21"/>
                <w:shd w:val="clear" w:color="auto" w:fill="FFFFFF"/>
                <w:lang w:val="fr-FR"/>
              </w:rPr>
              <w:t xml:space="preserve">Une évaluation formative sur les </w:t>
            </w:r>
            <w:r w:rsidR="008B5D1A">
              <w:rPr>
                <w:sz w:val="21"/>
                <w:szCs w:val="21"/>
                <w:shd w:val="clear" w:color="auto" w:fill="FFFFFF"/>
                <w:lang w:val="fr-FR"/>
              </w:rPr>
              <w:t xml:space="preserve">groupes de </w:t>
            </w:r>
            <w:r w:rsidR="00835FB2">
              <w:rPr>
                <w:sz w:val="21"/>
                <w:szCs w:val="21"/>
                <w:shd w:val="clear" w:color="auto" w:fill="FFFFFF"/>
                <w:lang w:val="fr-FR"/>
              </w:rPr>
              <w:t>solidarités</w:t>
            </w:r>
            <w:r w:rsidR="008B5D1A">
              <w:rPr>
                <w:sz w:val="21"/>
                <w:szCs w:val="21"/>
                <w:shd w:val="clear" w:color="auto" w:fill="FFFFFF"/>
                <w:lang w:val="fr-FR"/>
              </w:rPr>
              <w:t xml:space="preserve"> (y compris les </w:t>
            </w:r>
            <w:proofErr w:type="spellStart"/>
            <w:r w:rsidRPr="005C2BF1">
              <w:rPr>
                <w:sz w:val="21"/>
                <w:szCs w:val="21"/>
                <w:shd w:val="clear" w:color="auto" w:fill="FFFFFF"/>
                <w:lang w:val="fr-FR"/>
              </w:rPr>
              <w:t>Nawe</w:t>
            </w:r>
            <w:proofErr w:type="spellEnd"/>
            <w:r w:rsidRPr="005C2BF1">
              <w:rPr>
                <w:sz w:val="21"/>
                <w:szCs w:val="21"/>
                <w:shd w:val="clear" w:color="auto" w:fill="FFFFFF"/>
                <w:lang w:val="fr-FR"/>
              </w:rPr>
              <w:t xml:space="preserve"> </w:t>
            </w:r>
            <w:proofErr w:type="spellStart"/>
            <w:r w:rsidRPr="005C2BF1">
              <w:rPr>
                <w:sz w:val="21"/>
                <w:szCs w:val="21"/>
                <w:shd w:val="clear" w:color="auto" w:fill="FFFFFF"/>
                <w:lang w:val="fr-FR"/>
              </w:rPr>
              <w:t>Nuze</w:t>
            </w:r>
            <w:proofErr w:type="spellEnd"/>
            <w:r w:rsidR="008B5D1A">
              <w:rPr>
                <w:sz w:val="21"/>
                <w:szCs w:val="21"/>
                <w:shd w:val="clear" w:color="auto" w:fill="FFFFFF"/>
                <w:lang w:val="fr-FR"/>
              </w:rPr>
              <w:t xml:space="preserve">) </w:t>
            </w:r>
            <w:r w:rsidRPr="005C2BF1">
              <w:rPr>
                <w:sz w:val="21"/>
                <w:szCs w:val="21"/>
                <w:shd w:val="clear" w:color="auto" w:fill="FFFFFF"/>
                <w:lang w:val="fr-FR"/>
              </w:rPr>
              <w:t>au niveau du bureau UNICEF Burundi</w:t>
            </w:r>
            <w:r w:rsidR="008B5D1A">
              <w:rPr>
                <w:sz w:val="21"/>
                <w:szCs w:val="21"/>
                <w:shd w:val="clear" w:color="auto" w:fill="FFFFFF"/>
                <w:lang w:val="fr-FR"/>
              </w:rPr>
              <w:t xml:space="preserve"> a été faite</w:t>
            </w:r>
            <w:r>
              <w:rPr>
                <w:sz w:val="21"/>
                <w:szCs w:val="21"/>
                <w:shd w:val="clear" w:color="auto" w:fill="FFFFFF"/>
                <w:lang w:val="fr-FR"/>
              </w:rPr>
              <w:t>.</w:t>
            </w:r>
            <w:r w:rsidRPr="005C2BF1">
              <w:rPr>
                <w:sz w:val="21"/>
                <w:szCs w:val="21"/>
                <w:shd w:val="clear" w:color="auto" w:fill="FFFFFF"/>
                <w:lang w:val="fr-FR"/>
              </w:rPr>
              <w:t xml:space="preserve"> Elle vise à mesurer l’efficacité de l’approche </w:t>
            </w:r>
            <w:proofErr w:type="spellStart"/>
            <w:r w:rsidRPr="005C2BF1">
              <w:rPr>
                <w:sz w:val="21"/>
                <w:szCs w:val="21"/>
                <w:shd w:val="clear" w:color="auto" w:fill="FFFFFF"/>
                <w:lang w:val="fr-FR"/>
              </w:rPr>
              <w:t>Nawe</w:t>
            </w:r>
            <w:proofErr w:type="spellEnd"/>
            <w:r>
              <w:rPr>
                <w:sz w:val="21"/>
                <w:szCs w:val="21"/>
                <w:shd w:val="clear" w:color="auto" w:fill="FFFFFF"/>
                <w:lang w:val="fr-FR"/>
              </w:rPr>
              <w:t xml:space="preserve"> </w:t>
            </w:r>
            <w:proofErr w:type="spellStart"/>
            <w:r w:rsidRPr="005C2BF1">
              <w:rPr>
                <w:sz w:val="21"/>
                <w:szCs w:val="21"/>
                <w:shd w:val="clear" w:color="auto" w:fill="FFFFFF"/>
                <w:lang w:val="fr-FR"/>
              </w:rPr>
              <w:t>Nuze</w:t>
            </w:r>
            <w:proofErr w:type="spellEnd"/>
            <w:r w:rsidRPr="005C2BF1">
              <w:rPr>
                <w:sz w:val="21"/>
                <w:szCs w:val="21"/>
                <w:shd w:val="clear" w:color="auto" w:fill="FFFFFF"/>
                <w:lang w:val="fr-FR"/>
              </w:rPr>
              <w:t xml:space="preserve">/Groupes de solidarité dans les interventions basées sur la communauté au niveau de différents programmes. Elle </w:t>
            </w:r>
            <w:r>
              <w:rPr>
                <w:sz w:val="21"/>
                <w:szCs w:val="21"/>
                <w:shd w:val="clear" w:color="auto" w:fill="FFFFFF"/>
                <w:lang w:val="fr-FR"/>
              </w:rPr>
              <w:t xml:space="preserve">va </w:t>
            </w:r>
            <w:r w:rsidRPr="005C2BF1">
              <w:rPr>
                <w:sz w:val="21"/>
                <w:szCs w:val="21"/>
                <w:shd w:val="clear" w:color="auto" w:fill="FFFFFF"/>
                <w:lang w:val="fr-FR"/>
              </w:rPr>
              <w:t>aussi identifier un modèle consolidant la résilience des ménages et la pérennité des actions qui puisse devenir un standard de base pour leur mise à l’échelle et leur amélioration. Les résultats de cette analyse pourront contribuer à la documentation et au cadrage de la gouvernance financière des GS.</w:t>
            </w:r>
          </w:p>
          <w:p w14:paraId="37400F48" w14:textId="7CE59743" w:rsidR="007613B3" w:rsidRPr="00A32EC3" w:rsidRDefault="007613B3" w:rsidP="00B24CE7">
            <w:pPr>
              <w:spacing w:before="60" w:after="60" w:line="240" w:lineRule="auto"/>
              <w:rPr>
                <w:rFonts w:ascii="Calibri" w:eastAsia="Arial Unicode MS" w:hAnsi="Calibri" w:cs="Calibri"/>
                <w:b/>
                <w:color w:val="auto"/>
                <w:sz w:val="22"/>
                <w:szCs w:val="22"/>
                <w:lang w:val="fr-FR"/>
              </w:rPr>
            </w:pPr>
          </w:p>
        </w:tc>
      </w:tr>
      <w:tr w:rsidR="007613B3" w:rsidRPr="00B24CE7" w14:paraId="55B63C31" w14:textId="77777777" w:rsidTr="00FC3BA6">
        <w:trPr>
          <w:gridAfter w:val="1"/>
          <w:wAfter w:w="8" w:type="dxa"/>
          <w:trHeight w:val="3771"/>
        </w:trPr>
        <w:tc>
          <w:tcPr>
            <w:tcW w:w="9887" w:type="dxa"/>
            <w:gridSpan w:val="3"/>
            <w:tcBorders>
              <w:bottom w:val="nil"/>
            </w:tcBorders>
            <w:shd w:val="clear" w:color="auto" w:fill="auto"/>
            <w:noWrap/>
          </w:tcPr>
          <w:p w14:paraId="64EE50FB" w14:textId="0CC41C5B" w:rsidR="007613B3" w:rsidRPr="001136B0" w:rsidRDefault="007613B3" w:rsidP="00D65CAB">
            <w:pPr>
              <w:spacing w:before="60" w:after="60" w:line="240" w:lineRule="auto"/>
              <w:rPr>
                <w:rFonts w:eastAsia="Arial Unicode MS" w:cs="Arial"/>
                <w:b/>
                <w:bCs/>
                <w:color w:val="auto"/>
                <w:lang w:val="fr-FR"/>
              </w:rPr>
            </w:pPr>
            <w:r w:rsidRPr="001136B0">
              <w:rPr>
                <w:rFonts w:eastAsia="Arial Unicode MS" w:cs="Arial"/>
                <w:b/>
                <w:bCs/>
                <w:color w:val="auto"/>
                <w:lang w:val="fr-FR"/>
              </w:rPr>
              <w:lastRenderedPageBreak/>
              <w:t xml:space="preserve">Scope of </w:t>
            </w:r>
            <w:proofErr w:type="gramStart"/>
            <w:r w:rsidRPr="001136B0">
              <w:rPr>
                <w:rFonts w:eastAsia="Arial Unicode MS" w:cs="Arial"/>
                <w:b/>
                <w:bCs/>
                <w:color w:val="auto"/>
                <w:lang w:val="fr-FR"/>
              </w:rPr>
              <w:t>Work:</w:t>
            </w:r>
            <w:proofErr w:type="gramEnd"/>
          </w:p>
          <w:p w14:paraId="630E70CB" w14:textId="7B6F7403" w:rsidR="007613B3" w:rsidRPr="00B24CE7" w:rsidRDefault="007613B3" w:rsidP="00D65CAB">
            <w:pPr>
              <w:spacing w:before="60" w:after="60" w:line="240" w:lineRule="auto"/>
              <w:rPr>
                <w:rFonts w:ascii="Calibri" w:eastAsia="Arial Unicode MS" w:hAnsi="Calibri" w:cs="Calibri"/>
                <w:b/>
                <w:bCs/>
                <w:color w:val="auto"/>
                <w:lang w:val="fr-FR"/>
              </w:rPr>
            </w:pPr>
          </w:p>
          <w:p w14:paraId="3CCEDD48" w14:textId="2915D5D6" w:rsidR="00D65CAB" w:rsidRPr="00D65CAB" w:rsidRDefault="00D65CAB" w:rsidP="00D65CAB">
            <w:pPr>
              <w:pStyle w:val="Default"/>
              <w:jc w:val="both"/>
              <w:rPr>
                <w:sz w:val="20"/>
                <w:szCs w:val="20"/>
                <w:shd w:val="clear" w:color="auto" w:fill="FFFFFF"/>
                <w:lang w:val="fr-FR" w:eastAsia="en-GB"/>
              </w:rPr>
            </w:pPr>
            <w:r w:rsidRPr="00D65CAB">
              <w:rPr>
                <w:sz w:val="20"/>
                <w:szCs w:val="20"/>
                <w:shd w:val="clear" w:color="auto" w:fill="FFFFFF"/>
                <w:lang w:val="fr-FR" w:eastAsia="en-GB"/>
              </w:rPr>
              <w:t xml:space="preserve">La méthodologie montrera brièvement l’approche de mise en œuvre de l’étude, la recherche documentaire, l’échantillonnage des unités statistiques, la collecte des données et des méthodes d’analyse des données. </w:t>
            </w:r>
          </w:p>
          <w:p w14:paraId="670BE9D9" w14:textId="75AFBA18" w:rsidR="00D65CAB" w:rsidRPr="00D65CAB" w:rsidRDefault="00D65CAB" w:rsidP="00D65CAB">
            <w:pPr>
              <w:pStyle w:val="Default"/>
              <w:jc w:val="both"/>
              <w:rPr>
                <w:sz w:val="20"/>
                <w:szCs w:val="20"/>
                <w:shd w:val="clear" w:color="auto" w:fill="FFFFFF"/>
                <w:lang w:val="fr-FR" w:eastAsia="en-GB"/>
              </w:rPr>
            </w:pPr>
            <w:r w:rsidRPr="00D65CAB">
              <w:rPr>
                <w:sz w:val="20"/>
                <w:szCs w:val="20"/>
                <w:shd w:val="clear" w:color="auto" w:fill="FFFFFF"/>
                <w:lang w:val="fr-FR" w:eastAsia="en-GB"/>
              </w:rPr>
              <w:t xml:space="preserve">Le travail sera initié par une session de consultation avec le </w:t>
            </w:r>
            <w:r w:rsidR="00670571">
              <w:rPr>
                <w:sz w:val="20"/>
                <w:szCs w:val="20"/>
                <w:shd w:val="clear" w:color="auto" w:fill="FFFFFF"/>
                <w:lang w:val="fr-FR" w:eastAsia="en-GB"/>
              </w:rPr>
              <w:t>commanditaire</w:t>
            </w:r>
            <w:r w:rsidRPr="00D65CAB">
              <w:rPr>
                <w:sz w:val="20"/>
                <w:szCs w:val="20"/>
                <w:shd w:val="clear" w:color="auto" w:fill="FFFFFF"/>
                <w:lang w:val="fr-FR" w:eastAsia="en-GB"/>
              </w:rPr>
              <w:t xml:space="preserve"> sur la nature de l’étude pour identifier les points d'entrée et les mécanismes de financement existants pour les GS. </w:t>
            </w:r>
          </w:p>
          <w:p w14:paraId="4F1709BD" w14:textId="77777777" w:rsidR="00D65CAB" w:rsidRPr="00D65CAB" w:rsidRDefault="00D65CAB" w:rsidP="00D65CAB">
            <w:pPr>
              <w:pStyle w:val="Default"/>
              <w:jc w:val="both"/>
              <w:rPr>
                <w:sz w:val="20"/>
                <w:szCs w:val="20"/>
                <w:shd w:val="clear" w:color="auto" w:fill="FFFFFF"/>
                <w:lang w:val="fr-FR" w:eastAsia="en-GB"/>
              </w:rPr>
            </w:pPr>
          </w:p>
          <w:p w14:paraId="41DD84AE" w14:textId="718310D8" w:rsidR="00D65CAB" w:rsidRPr="00D65CAB" w:rsidRDefault="00D65CAB" w:rsidP="00D65CAB">
            <w:pPr>
              <w:pStyle w:val="Default"/>
              <w:rPr>
                <w:sz w:val="20"/>
                <w:szCs w:val="20"/>
                <w:shd w:val="clear" w:color="auto" w:fill="FFFFFF"/>
                <w:lang w:val="fr-FR" w:eastAsia="en-GB"/>
              </w:rPr>
            </w:pPr>
            <w:r w:rsidRPr="00D65CAB">
              <w:rPr>
                <w:sz w:val="20"/>
                <w:szCs w:val="20"/>
                <w:shd w:val="clear" w:color="auto" w:fill="FFFFFF"/>
                <w:lang w:val="fr-FR" w:eastAsia="en-GB"/>
              </w:rPr>
              <w:t xml:space="preserve">Cette étape sera suivie par des discussions approfondies et des consultations avec les parties prenantes concernées (GS, associations diverses, etc.). </w:t>
            </w:r>
          </w:p>
          <w:p w14:paraId="6A37EC10" w14:textId="77777777" w:rsidR="00D65CAB" w:rsidRPr="00D65CAB" w:rsidRDefault="00D65CAB" w:rsidP="00D65CAB">
            <w:pPr>
              <w:spacing w:before="60" w:after="60"/>
              <w:jc w:val="both"/>
              <w:rPr>
                <w:shd w:val="clear" w:color="auto" w:fill="FFFFFF"/>
                <w:lang w:val="fr-FR"/>
              </w:rPr>
            </w:pPr>
            <w:r w:rsidRPr="00D65CAB">
              <w:rPr>
                <w:shd w:val="clear" w:color="auto" w:fill="FFFFFF"/>
                <w:lang w:val="fr-FR"/>
              </w:rPr>
              <w:t>Pour des raisons de formulation, les acteurs suivants sont à considérer et à consulter.</w:t>
            </w:r>
          </w:p>
          <w:p w14:paraId="7E680E61" w14:textId="2B8D3E24" w:rsid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sidRPr="00D65CAB">
              <w:rPr>
                <w:shd w:val="clear" w:color="auto" w:fill="FFFFFF"/>
                <w:lang w:val="fr-FR"/>
              </w:rPr>
              <w:t xml:space="preserve">Les différents groupes de solidarité communautaire ; </w:t>
            </w:r>
          </w:p>
          <w:p w14:paraId="6495C4B1" w14:textId="13DB1E8B" w:rsidR="0069058F" w:rsidRPr="00D65CAB" w:rsidRDefault="0069058F"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Pr>
                <w:shd w:val="clear" w:color="auto" w:fill="FFFFFF"/>
                <w:lang w:val="fr-FR"/>
              </w:rPr>
              <w:t xml:space="preserve">Les </w:t>
            </w:r>
            <w:r w:rsidR="007517B4">
              <w:rPr>
                <w:shd w:val="clear" w:color="auto" w:fill="FFFFFF"/>
                <w:lang w:val="fr-FR"/>
              </w:rPr>
              <w:t>collectivités locales</w:t>
            </w:r>
            <w:r>
              <w:rPr>
                <w:shd w:val="clear" w:color="auto" w:fill="FFFFFF"/>
                <w:lang w:val="fr-FR"/>
              </w:rPr>
              <w:t> ;</w:t>
            </w:r>
          </w:p>
          <w:p w14:paraId="78FCA701" w14:textId="77777777"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sidRPr="00D65CAB">
              <w:rPr>
                <w:shd w:val="clear" w:color="auto" w:fill="FFFFFF"/>
                <w:lang w:val="fr-FR"/>
              </w:rPr>
              <w:t>Les services financiers tels que les microfinances, les banques commerciales ;</w:t>
            </w:r>
          </w:p>
          <w:p w14:paraId="0F9FD6AA" w14:textId="77777777"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rPr>
            </w:pPr>
            <w:r w:rsidRPr="00D65CAB">
              <w:rPr>
                <w:shd w:val="clear" w:color="auto" w:fill="FFFFFF"/>
              </w:rPr>
              <w:t xml:space="preserve">Les </w:t>
            </w:r>
            <w:proofErr w:type="spellStart"/>
            <w:r w:rsidRPr="00D65CAB">
              <w:rPr>
                <w:shd w:val="clear" w:color="auto" w:fill="FFFFFF"/>
              </w:rPr>
              <w:t>mutuelles</w:t>
            </w:r>
            <w:proofErr w:type="spellEnd"/>
            <w:r w:rsidRPr="00D65CAB">
              <w:rPr>
                <w:shd w:val="clear" w:color="auto" w:fill="FFFFFF"/>
              </w:rPr>
              <w:t xml:space="preserve"> </w:t>
            </w:r>
            <w:proofErr w:type="spellStart"/>
            <w:r w:rsidRPr="00D65CAB">
              <w:rPr>
                <w:shd w:val="clear" w:color="auto" w:fill="FFFFFF"/>
              </w:rPr>
              <w:t>communautaires</w:t>
            </w:r>
            <w:proofErr w:type="spellEnd"/>
            <w:r w:rsidRPr="00D65CAB">
              <w:rPr>
                <w:shd w:val="clear" w:color="auto" w:fill="FFFFFF"/>
              </w:rPr>
              <w:t xml:space="preserve"> </w:t>
            </w:r>
          </w:p>
          <w:p w14:paraId="01FAF0A2" w14:textId="164E9971"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rPr>
            </w:pPr>
            <w:r w:rsidRPr="00D65CAB">
              <w:rPr>
                <w:shd w:val="clear" w:color="auto" w:fill="FFFFFF"/>
              </w:rPr>
              <w:t xml:space="preserve">Les </w:t>
            </w:r>
            <w:proofErr w:type="spellStart"/>
            <w:r w:rsidRPr="00D65CAB">
              <w:rPr>
                <w:shd w:val="clear" w:color="auto" w:fill="FFFFFF"/>
              </w:rPr>
              <w:t>coopératives</w:t>
            </w:r>
            <w:proofErr w:type="spellEnd"/>
            <w:r w:rsidRPr="00D65CAB">
              <w:rPr>
                <w:shd w:val="clear" w:color="auto" w:fill="FFFFFF"/>
              </w:rPr>
              <w:t> </w:t>
            </w:r>
            <w:proofErr w:type="gramStart"/>
            <w:r w:rsidR="007517B4" w:rsidRPr="00D65CAB">
              <w:rPr>
                <w:shd w:val="clear" w:color="auto" w:fill="FFFFFF"/>
              </w:rPr>
              <w:t>locales;</w:t>
            </w:r>
            <w:proofErr w:type="gramEnd"/>
          </w:p>
          <w:p w14:paraId="12EE2529" w14:textId="77777777"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sidRPr="00D65CAB">
              <w:rPr>
                <w:shd w:val="clear" w:color="auto" w:fill="FFFFFF"/>
                <w:lang w:val="fr-FR"/>
              </w:rPr>
              <w:t>Les autorités locales sur place ;</w:t>
            </w:r>
          </w:p>
          <w:p w14:paraId="5514531D" w14:textId="419BB241"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rPr>
            </w:pPr>
            <w:r w:rsidRPr="00D65CAB">
              <w:rPr>
                <w:shd w:val="clear" w:color="auto" w:fill="FFFFFF"/>
              </w:rPr>
              <w:t xml:space="preserve">Les </w:t>
            </w:r>
            <w:proofErr w:type="spellStart"/>
            <w:proofErr w:type="gramStart"/>
            <w:r w:rsidR="00670571" w:rsidRPr="00D65CAB">
              <w:rPr>
                <w:shd w:val="clear" w:color="auto" w:fill="FFFFFF"/>
              </w:rPr>
              <w:t>commerçants</w:t>
            </w:r>
            <w:proofErr w:type="spellEnd"/>
            <w:r w:rsidR="00670571" w:rsidRPr="00D65CAB">
              <w:rPr>
                <w:shd w:val="clear" w:color="auto" w:fill="FFFFFF"/>
              </w:rPr>
              <w:t>;</w:t>
            </w:r>
            <w:proofErr w:type="gramEnd"/>
          </w:p>
          <w:p w14:paraId="07C55961" w14:textId="77777777"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sidRPr="00D65CAB">
              <w:rPr>
                <w:shd w:val="clear" w:color="auto" w:fill="FFFFFF"/>
                <w:lang w:val="fr-FR"/>
              </w:rPr>
              <w:t>Le Ministère de la Solidarité, des Affaires Sociales, des Droits de la Personnes Humaine et du Genre, y compris la Commission Nationale de Protection Sociale ;</w:t>
            </w:r>
          </w:p>
          <w:p w14:paraId="3902898C" w14:textId="2271B58F" w:rsid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sidRPr="00D65CAB">
              <w:rPr>
                <w:shd w:val="clear" w:color="auto" w:fill="FFFFFF"/>
                <w:lang w:val="fr-FR"/>
              </w:rPr>
              <w:t>Ministère ayant l’intérieur dans ses attributions ;</w:t>
            </w:r>
          </w:p>
          <w:p w14:paraId="7F4EEFAF" w14:textId="20B1D793" w:rsidR="00655EE4" w:rsidRDefault="00655EE4"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Pr>
                <w:shd w:val="clear" w:color="auto" w:fill="FFFFFF"/>
                <w:lang w:val="fr-FR"/>
              </w:rPr>
              <w:t>Le Ministère ayant les finances dans ses attributions ;</w:t>
            </w:r>
          </w:p>
          <w:p w14:paraId="61A7DAF9" w14:textId="000F4DA6" w:rsidR="0040484B" w:rsidRPr="00D65CAB" w:rsidRDefault="0040484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lang w:val="fr-FR"/>
              </w:rPr>
            </w:pPr>
            <w:r>
              <w:rPr>
                <w:shd w:val="clear" w:color="auto" w:fill="FFFFFF"/>
                <w:lang w:val="fr-FR"/>
              </w:rPr>
              <w:t>Banques des Jeunes/Femmes</w:t>
            </w:r>
          </w:p>
          <w:p w14:paraId="31639940" w14:textId="53FF8789" w:rsidR="00D65CAB" w:rsidRPr="00D65CAB" w:rsidRDefault="00D65CAB" w:rsidP="00D65CA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rPr>
            </w:pPr>
            <w:r w:rsidRPr="00D65CAB">
              <w:rPr>
                <w:shd w:val="clear" w:color="auto" w:fill="FFFFFF"/>
              </w:rPr>
              <w:t xml:space="preserve">ONGs </w:t>
            </w:r>
            <w:proofErr w:type="spellStart"/>
            <w:r w:rsidRPr="00D65CAB">
              <w:rPr>
                <w:shd w:val="clear" w:color="auto" w:fill="FFFFFF"/>
              </w:rPr>
              <w:t>encadrant</w:t>
            </w:r>
            <w:proofErr w:type="spellEnd"/>
            <w:r w:rsidRPr="00D65CAB">
              <w:rPr>
                <w:shd w:val="clear" w:color="auto" w:fill="FFFFFF"/>
              </w:rPr>
              <w:t xml:space="preserve"> les </w:t>
            </w:r>
            <w:proofErr w:type="gramStart"/>
            <w:r w:rsidR="007517B4" w:rsidRPr="00D65CAB">
              <w:rPr>
                <w:shd w:val="clear" w:color="auto" w:fill="FFFFFF"/>
              </w:rPr>
              <w:t>GS;</w:t>
            </w:r>
            <w:proofErr w:type="gramEnd"/>
          </w:p>
          <w:p w14:paraId="78C5C227" w14:textId="0CFF6EB6" w:rsidR="00B14BE6" w:rsidRPr="000302D3" w:rsidRDefault="007517B4" w:rsidP="000302D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hd w:val="clear" w:color="auto" w:fill="FFFFFF"/>
              </w:rPr>
            </w:pPr>
            <w:r w:rsidRPr="00D65CAB">
              <w:rPr>
                <w:shd w:val="clear" w:color="auto" w:fill="FFFFFF"/>
              </w:rPr>
              <w:t>PTFs;</w:t>
            </w:r>
          </w:p>
        </w:tc>
      </w:tr>
      <w:tr w:rsidR="007613B3" w:rsidRPr="00B24CE7" w14:paraId="0A300CA7" w14:textId="77777777" w:rsidTr="00FC3BA6">
        <w:trPr>
          <w:gridAfter w:val="1"/>
          <w:wAfter w:w="8" w:type="dxa"/>
          <w:trHeight w:val="60"/>
        </w:trPr>
        <w:tc>
          <w:tcPr>
            <w:tcW w:w="9887" w:type="dxa"/>
            <w:gridSpan w:val="3"/>
            <w:tcBorders>
              <w:top w:val="nil"/>
            </w:tcBorders>
            <w:shd w:val="clear" w:color="auto" w:fill="auto"/>
            <w:noWrap/>
          </w:tcPr>
          <w:p w14:paraId="51AD8E11" w14:textId="77777777" w:rsidR="007613B3" w:rsidRPr="00B24CE7"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FC3BA6">
        <w:trPr>
          <w:gridAfter w:val="1"/>
          <w:wAfter w:w="8" w:type="dxa"/>
          <w:trHeight w:val="60"/>
        </w:trPr>
        <w:tc>
          <w:tcPr>
            <w:tcW w:w="9887" w:type="dxa"/>
            <w:gridSpan w:val="3"/>
            <w:tcBorders>
              <w:top w:val="nil"/>
            </w:tcBorders>
            <w:shd w:val="clear" w:color="auto" w:fill="auto"/>
            <w:noWrap/>
          </w:tcPr>
          <w:p w14:paraId="312E659C" w14:textId="16CF2F29"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231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3052"/>
        <w:gridCol w:w="1890"/>
      </w:tblGrid>
      <w:tr w:rsidR="00C34C2B" w:rsidRPr="0054592E" w14:paraId="052C4769" w14:textId="77777777" w:rsidTr="00841FB4">
        <w:trPr>
          <w:trHeight w:val="220"/>
        </w:trPr>
        <w:tc>
          <w:tcPr>
            <w:tcW w:w="9625" w:type="dxa"/>
            <w:gridSpan w:val="3"/>
            <w:tcBorders>
              <w:bottom w:val="nil"/>
            </w:tcBorders>
            <w:shd w:val="clear" w:color="auto" w:fill="auto"/>
            <w:noWrap/>
            <w:hideMark/>
          </w:tcPr>
          <w:p w14:paraId="0810BCEB" w14:textId="618CAE67" w:rsidR="00C34C2B" w:rsidRPr="0054592E" w:rsidRDefault="00C34C2B" w:rsidP="007926F9">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841FB4" w:rsidRPr="007613B3" w14:paraId="0057DA3A" w14:textId="77777777" w:rsidTr="00841FB4">
        <w:trPr>
          <w:trHeight w:val="608"/>
        </w:trPr>
        <w:tc>
          <w:tcPr>
            <w:tcW w:w="4683" w:type="dxa"/>
            <w:tcBorders>
              <w:top w:val="nil"/>
              <w:left w:val="single" w:sz="4" w:space="0" w:color="auto"/>
              <w:bottom w:val="single" w:sz="8" w:space="0" w:color="6D6D6D"/>
              <w:right w:val="nil"/>
            </w:tcBorders>
            <w:shd w:val="clear" w:color="auto" w:fill="auto"/>
            <w:noWrap/>
          </w:tcPr>
          <w:p w14:paraId="0EBC37ED" w14:textId="77777777" w:rsidR="00841FB4" w:rsidRPr="007613B3" w:rsidRDefault="00841FB4" w:rsidP="007926F9">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052" w:type="dxa"/>
            <w:tcBorders>
              <w:top w:val="nil"/>
              <w:left w:val="nil"/>
              <w:bottom w:val="single" w:sz="8" w:space="0" w:color="6D6D6D"/>
              <w:right w:val="nil"/>
            </w:tcBorders>
            <w:shd w:val="clear" w:color="auto" w:fill="auto"/>
          </w:tcPr>
          <w:p w14:paraId="65BA3C16" w14:textId="77777777" w:rsidR="00841FB4" w:rsidRPr="007613B3" w:rsidRDefault="00841FB4" w:rsidP="007926F9">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890" w:type="dxa"/>
            <w:tcBorders>
              <w:top w:val="nil"/>
              <w:left w:val="nil"/>
              <w:bottom w:val="single" w:sz="8" w:space="0" w:color="6D6D6D"/>
              <w:right w:val="nil"/>
            </w:tcBorders>
            <w:shd w:val="clear" w:color="auto" w:fill="auto"/>
          </w:tcPr>
          <w:p w14:paraId="34A012A7" w14:textId="77777777" w:rsidR="00841FB4" w:rsidRPr="007613B3" w:rsidRDefault="00841FB4" w:rsidP="007926F9">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841FB4" w:rsidRPr="00A32EC3" w14:paraId="3671DD93" w14:textId="77777777" w:rsidTr="00841FB4">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55B95A6" w14:textId="63F43EEA" w:rsidR="00841FB4" w:rsidRPr="004E3DDB" w:rsidRDefault="00841FB4" w:rsidP="007926F9">
            <w:pPr>
              <w:ind w:left="12" w:hanging="12"/>
              <w:rPr>
                <w:rFonts w:ascii="Calibri" w:eastAsia="Arial Unicode MS" w:hAnsi="Calibri" w:cs="Calibri"/>
                <w:color w:val="auto"/>
                <w:lang w:val="fr-FR"/>
              </w:rPr>
            </w:pPr>
            <w:r w:rsidRPr="004E3DDB">
              <w:rPr>
                <w:shd w:val="clear" w:color="auto" w:fill="FFFFFF"/>
                <w:lang w:val="fr-FR"/>
              </w:rPr>
              <w:t xml:space="preserve">Une revue de la documentation existante sur les informations au Burundi et les expériences </w:t>
            </w:r>
            <w:r>
              <w:rPr>
                <w:shd w:val="clear" w:color="auto" w:fill="FFFFFF"/>
                <w:lang w:val="fr-FR"/>
              </w:rPr>
              <w:t xml:space="preserve">régionales et </w:t>
            </w:r>
            <w:r w:rsidRPr="004E3DDB">
              <w:rPr>
                <w:shd w:val="clear" w:color="auto" w:fill="FFFFFF"/>
                <w:lang w:val="fr-FR"/>
              </w:rPr>
              <w:t xml:space="preserve">internationales </w:t>
            </w:r>
          </w:p>
        </w:tc>
        <w:tc>
          <w:tcPr>
            <w:tcW w:w="3052" w:type="dxa"/>
            <w:tcBorders>
              <w:top w:val="single" w:sz="8" w:space="0" w:color="6D6D6D"/>
              <w:left w:val="single" w:sz="8" w:space="0" w:color="6D6D6D"/>
              <w:bottom w:val="single" w:sz="8" w:space="0" w:color="6D6D6D"/>
              <w:right w:val="single" w:sz="8" w:space="0" w:color="6D6D6D"/>
            </w:tcBorders>
            <w:shd w:val="clear" w:color="auto" w:fill="auto"/>
          </w:tcPr>
          <w:p w14:paraId="6588CC15" w14:textId="1A025615" w:rsidR="00841FB4" w:rsidRPr="004E3DDB" w:rsidRDefault="00841FB4" w:rsidP="007926F9">
            <w:pPr>
              <w:pStyle w:val="NoSpacing"/>
              <w:tabs>
                <w:tab w:val="left" w:pos="270"/>
                <w:tab w:val="left" w:pos="360"/>
                <w:tab w:val="left" w:pos="450"/>
              </w:tabs>
              <w:jc w:val="both"/>
              <w:rPr>
                <w:rFonts w:ascii="Arial" w:eastAsia="MS PGothic" w:hAnsi="Arial" w:cs="Times New Roman"/>
                <w:color w:val="000000"/>
                <w:sz w:val="20"/>
                <w:szCs w:val="20"/>
                <w:shd w:val="clear" w:color="auto" w:fill="FFFFFF"/>
              </w:rPr>
            </w:pPr>
            <w:r w:rsidRPr="004E3DDB">
              <w:rPr>
                <w:rFonts w:ascii="Arial" w:eastAsia="MS PGothic" w:hAnsi="Arial" w:cs="Times New Roman"/>
                <w:color w:val="000000"/>
                <w:sz w:val="20"/>
                <w:szCs w:val="20"/>
                <w:shd w:val="clear" w:color="auto" w:fill="FFFFFF"/>
              </w:rPr>
              <w:t xml:space="preserve">Une note de cadrage de la mission et la revue de la littérature en mettant en évidence les défis et opportunités des groupes de solidarité communautaire </w:t>
            </w:r>
            <w:r>
              <w:rPr>
                <w:rFonts w:ascii="Arial" w:eastAsia="MS PGothic" w:hAnsi="Arial" w:cs="Times New Roman"/>
                <w:color w:val="000000"/>
                <w:sz w:val="20"/>
                <w:szCs w:val="20"/>
                <w:shd w:val="clear" w:color="auto" w:fill="FFFFFF"/>
              </w:rPr>
              <w:t xml:space="preserve">et/ou collectives, </w:t>
            </w:r>
            <w:r w:rsidRPr="004E3DDB">
              <w:rPr>
                <w:rFonts w:ascii="Arial" w:eastAsia="MS PGothic" w:hAnsi="Arial" w:cs="Times New Roman"/>
                <w:color w:val="000000"/>
                <w:sz w:val="20"/>
                <w:szCs w:val="20"/>
                <w:shd w:val="clear" w:color="auto" w:fill="FFFFFF"/>
              </w:rPr>
              <w:t>et montrant les évidences aux niveaux global, régional et national</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C0A347E" w14:textId="1D440748" w:rsidR="00841FB4" w:rsidRPr="0031164F" w:rsidRDefault="00841FB4" w:rsidP="00841FB4">
            <w:pPr>
              <w:spacing w:before="60" w:after="60" w:line="240" w:lineRule="auto"/>
              <w:ind w:right="-114"/>
              <w:rPr>
                <w:rFonts w:ascii="Calibri" w:eastAsia="Arial Unicode MS" w:hAnsi="Calibri" w:cs="Calibri"/>
                <w:color w:val="auto"/>
                <w:sz w:val="19"/>
                <w:szCs w:val="19"/>
                <w:lang w:val="fr-FR"/>
              </w:rPr>
            </w:pPr>
            <w:r w:rsidRPr="0031164F">
              <w:rPr>
                <w:rFonts w:ascii="Calibri" w:eastAsia="Arial Unicode MS" w:hAnsi="Calibri" w:cs="Calibri"/>
                <w:color w:val="auto"/>
                <w:sz w:val="19"/>
                <w:szCs w:val="19"/>
                <w:lang w:val="fr-FR"/>
              </w:rPr>
              <w:t xml:space="preserve">21 </w:t>
            </w:r>
            <w:proofErr w:type="spellStart"/>
            <w:r w:rsidRPr="0031164F">
              <w:rPr>
                <w:rFonts w:ascii="Calibri" w:eastAsia="Arial Unicode MS" w:hAnsi="Calibri" w:cs="Calibri"/>
                <w:color w:val="auto"/>
                <w:sz w:val="19"/>
                <w:szCs w:val="19"/>
                <w:lang w:val="fr-FR"/>
              </w:rPr>
              <w:t>janv</w:t>
            </w:r>
            <w:proofErr w:type="spellEnd"/>
            <w:r w:rsidRPr="0031164F">
              <w:rPr>
                <w:rFonts w:ascii="Calibri" w:eastAsia="Arial Unicode MS" w:hAnsi="Calibri" w:cs="Calibri"/>
                <w:color w:val="auto"/>
                <w:sz w:val="19"/>
                <w:szCs w:val="19"/>
                <w:lang w:val="fr-FR"/>
              </w:rPr>
              <w:t xml:space="preserve"> 2022</w:t>
            </w:r>
          </w:p>
        </w:tc>
      </w:tr>
      <w:tr w:rsidR="00841FB4" w:rsidRPr="00A32EC3" w14:paraId="17B21292" w14:textId="77777777" w:rsidTr="00841FB4">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763B7D94" w:rsidR="00841FB4" w:rsidRPr="004E3DDB" w:rsidRDefault="00841FB4" w:rsidP="007926F9">
            <w:pPr>
              <w:ind w:left="12" w:hanging="12"/>
              <w:rPr>
                <w:rFonts w:ascii="Calibri" w:eastAsia="Arial Unicode MS" w:hAnsi="Calibri" w:cs="Calibri"/>
                <w:color w:val="auto"/>
                <w:lang w:val="fr-FR"/>
              </w:rPr>
            </w:pPr>
            <w:r w:rsidRPr="004E3DDB">
              <w:rPr>
                <w:shd w:val="clear" w:color="auto" w:fill="FFFFFF"/>
                <w:lang w:val="fr-FR"/>
              </w:rPr>
              <w:t xml:space="preserve">La collecte des données auprès des partenaires parties prenantes (groupes de solidarité communautaire, mutuelle, coopératives, autorités locales, institutions financières, commerçants, partenaires, etc. </w:t>
            </w:r>
          </w:p>
        </w:tc>
        <w:tc>
          <w:tcPr>
            <w:tcW w:w="3052" w:type="dxa"/>
            <w:tcBorders>
              <w:top w:val="single" w:sz="8" w:space="0" w:color="6D6D6D"/>
              <w:left w:val="single" w:sz="8" w:space="0" w:color="6D6D6D"/>
              <w:bottom w:val="single" w:sz="8" w:space="0" w:color="6D6D6D"/>
              <w:right w:val="single" w:sz="8" w:space="0" w:color="6D6D6D"/>
            </w:tcBorders>
            <w:shd w:val="clear" w:color="auto" w:fill="auto"/>
          </w:tcPr>
          <w:p w14:paraId="567B00E9" w14:textId="698D080D" w:rsidR="00841FB4" w:rsidRPr="004E3DDB" w:rsidRDefault="00841FB4" w:rsidP="007926F9">
            <w:pPr>
              <w:rPr>
                <w:shd w:val="clear" w:color="auto" w:fill="FFFFFF"/>
                <w:lang w:val="fr-FR"/>
              </w:rPr>
            </w:pPr>
            <w:r w:rsidRPr="00694F65">
              <w:rPr>
                <w:shd w:val="clear" w:color="auto" w:fill="FFFFFF"/>
                <w:lang w:val="fr-FR"/>
              </w:rPr>
              <w:t xml:space="preserve">Une analyse de la situation actuelle du fonctionnement des groupes de solidarité communautaire selon leur classement en mettant en relief les mécanismes de financement disponible dans </w:t>
            </w:r>
            <w:r>
              <w:rPr>
                <w:shd w:val="clear" w:color="auto" w:fill="FFFFFF"/>
                <w:lang w:val="fr-FR"/>
              </w:rPr>
              <w:t>trois</w:t>
            </w:r>
            <w:r w:rsidRPr="00694F65">
              <w:rPr>
                <w:shd w:val="clear" w:color="auto" w:fill="FFFFFF"/>
                <w:lang w:val="fr-FR"/>
              </w:rPr>
              <w:t xml:space="preserve"> zones d’intervention et une analyse de l’apport des outils de l’économie sociale et solidaire (coopérative, social business, microfinance, mutualité solidaire) dans le financement des groupes de solidarité</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7DECDD9" w14:textId="56E9ECDC" w:rsidR="00841FB4" w:rsidRPr="00A32EC3" w:rsidRDefault="00841FB4" w:rsidP="007926F9">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11 mars 2022</w:t>
            </w:r>
          </w:p>
        </w:tc>
      </w:tr>
      <w:tr w:rsidR="00841FB4" w:rsidRPr="00C251A2" w14:paraId="3E7FFEF7" w14:textId="77777777" w:rsidTr="00841FB4">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57F1B5F" w14:textId="48BD34A0" w:rsidR="00841FB4" w:rsidRPr="004E3DDB" w:rsidRDefault="00841FB4" w:rsidP="007926F9">
            <w:pPr>
              <w:ind w:left="12" w:hanging="12"/>
              <w:rPr>
                <w:rFonts w:ascii="Calibri" w:eastAsia="Arial Unicode MS" w:hAnsi="Calibri" w:cs="Calibri"/>
                <w:color w:val="auto"/>
                <w:lang w:val="fr-FR"/>
              </w:rPr>
            </w:pPr>
            <w:r w:rsidRPr="004E3DDB">
              <w:rPr>
                <w:shd w:val="clear" w:color="auto" w:fill="FFFFFF"/>
                <w:lang w:val="fr-FR"/>
              </w:rPr>
              <w:t>Analyse des différents documents notamment les cadres stratégiques et Réglementaires</w:t>
            </w:r>
          </w:p>
        </w:tc>
        <w:tc>
          <w:tcPr>
            <w:tcW w:w="3052" w:type="dxa"/>
            <w:tcBorders>
              <w:top w:val="single" w:sz="8" w:space="0" w:color="6D6D6D"/>
              <w:left w:val="single" w:sz="8" w:space="0" w:color="6D6D6D"/>
              <w:bottom w:val="single" w:sz="8" w:space="0" w:color="6D6D6D"/>
              <w:right w:val="single" w:sz="8" w:space="0" w:color="6D6D6D"/>
            </w:tcBorders>
            <w:shd w:val="clear" w:color="auto" w:fill="auto"/>
          </w:tcPr>
          <w:p w14:paraId="1849C50F" w14:textId="47FF6D13" w:rsidR="00841FB4" w:rsidRPr="005F5A97" w:rsidRDefault="00841FB4" w:rsidP="007926F9">
            <w:pPr>
              <w:rPr>
                <w:rFonts w:ascii="Calibri" w:eastAsia="Arial Unicode MS" w:hAnsi="Calibri" w:cs="Calibri"/>
                <w:color w:val="auto"/>
                <w:lang w:val="fr-FR"/>
              </w:rPr>
            </w:pPr>
            <w:r w:rsidRPr="005F5A97">
              <w:rPr>
                <w:rFonts w:ascii="Times New Roman" w:eastAsia="Times New Roman" w:hAnsi="Times New Roman"/>
                <w:shd w:val="clear" w:color="auto" w:fill="FFFFFF"/>
                <w:lang w:val="fr-FR" w:eastAsia="en-GB"/>
              </w:rPr>
              <w:t>Un rapport de l’étude regroupant les résultats précédents et qui présente en détail des options ou des suggestions innovantes de financement des groupes de solidarité communautaire afin d’alimenter leurs caisses et de leur capacité à se former en coopérative (Rapport final avec un résumé exécutif et présentation PPT)</w:t>
            </w:r>
            <w:r>
              <w:rPr>
                <w:rFonts w:ascii="Times New Roman" w:eastAsia="Times New Roman" w:hAnsi="Times New Roman"/>
                <w:shd w:val="clear" w:color="auto" w:fill="FFFFFF"/>
                <w:lang w:val="fr-FR" w:eastAsia="en-GB"/>
              </w:rPr>
              <w:t xml:space="preserve">. </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6119971B" w14:textId="230582CA" w:rsidR="00841FB4" w:rsidRPr="0031164F" w:rsidRDefault="00841FB4" w:rsidP="007926F9">
            <w:pPr>
              <w:spacing w:before="60" w:after="60" w:line="240" w:lineRule="auto"/>
              <w:rPr>
                <w:rFonts w:ascii="Calibri" w:eastAsia="Arial Unicode MS" w:hAnsi="Calibri" w:cs="Calibri"/>
                <w:color w:val="auto"/>
                <w:sz w:val="19"/>
                <w:szCs w:val="19"/>
                <w:lang w:val="fr-FR"/>
              </w:rPr>
            </w:pPr>
            <w:r>
              <w:rPr>
                <w:rFonts w:ascii="Calibri" w:eastAsia="Arial Unicode MS" w:hAnsi="Calibri" w:cs="Calibri"/>
                <w:color w:val="auto"/>
                <w:sz w:val="19"/>
                <w:szCs w:val="19"/>
                <w:lang w:val="fr-FR"/>
              </w:rPr>
              <w:t>10</w:t>
            </w:r>
            <w:r w:rsidRPr="0031164F">
              <w:rPr>
                <w:rFonts w:ascii="Calibri" w:eastAsia="Arial Unicode MS" w:hAnsi="Calibri" w:cs="Calibri"/>
                <w:color w:val="auto"/>
                <w:sz w:val="19"/>
                <w:szCs w:val="19"/>
                <w:lang w:val="fr-FR"/>
              </w:rPr>
              <w:t xml:space="preserve"> avril 2022</w:t>
            </w:r>
          </w:p>
        </w:tc>
      </w:tr>
    </w:tbl>
    <w:p w14:paraId="7CC57047" w14:textId="1A934D83" w:rsidR="00FD2C14" w:rsidRDefault="00FD2C14" w:rsidP="00FD2C14">
      <w:pPr>
        <w:tabs>
          <w:tab w:val="left" w:pos="3181"/>
        </w:tabs>
        <w:rPr>
          <w:rFonts w:ascii="Calibri" w:hAnsi="Calibri" w:cs="Calibri"/>
          <w:sz w:val="24"/>
          <w:szCs w:val="24"/>
          <w:lang w:val="fr-FR"/>
        </w:rPr>
      </w:pPr>
    </w:p>
    <w:p w14:paraId="344BC6BC" w14:textId="77777777" w:rsidR="00FD2F5B" w:rsidRPr="00FD2F5B" w:rsidRDefault="00FD2F5B" w:rsidP="00FD2F5B">
      <w:pPr>
        <w:jc w:val="both"/>
        <w:rPr>
          <w:rFonts w:eastAsiaTheme="minorHAnsi"/>
          <w:sz w:val="22"/>
          <w:szCs w:val="22"/>
          <w:lang w:val="fr-FR" w:eastAsia="fr-FR"/>
        </w:rPr>
      </w:pPr>
      <w:r w:rsidRPr="00FD2F5B">
        <w:rPr>
          <w:rFonts w:eastAsiaTheme="minorHAnsi"/>
          <w:sz w:val="22"/>
          <w:szCs w:val="22"/>
          <w:lang w:val="fr-FR" w:eastAsia="fr-FR"/>
        </w:rPr>
        <w:t xml:space="preserve">Le consultant sera entièrement autonome du point de vue logistique. Ceci concerne notamment la prise de rendez-vous, les déplacements de toute nature, le secrétariat (photocopies, impression de documents, etc.). </w:t>
      </w:r>
    </w:p>
    <w:p w14:paraId="20114A3F" w14:textId="77777777" w:rsidR="00FD2F5B" w:rsidRPr="00FD2C14" w:rsidRDefault="00FD2F5B" w:rsidP="00FD2C14">
      <w:pPr>
        <w:tabs>
          <w:tab w:val="left" w:pos="3181"/>
        </w:tabs>
        <w:rPr>
          <w:rFonts w:ascii="Calibri" w:hAnsi="Calibri" w:cs="Calibri"/>
          <w:sz w:val="24"/>
          <w:szCs w:val="24"/>
          <w:lang w:val="fr-FR"/>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048658EA" w14:textId="77777777" w:rsidTr="007926F9">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926F9" w14:paraId="2E966DF2" w14:textId="77777777" w:rsidTr="007926F9">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38B8BED0" w:rsidR="007613B3" w:rsidRPr="000E5D6C" w:rsidRDefault="007613B3" w:rsidP="007613B3">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0E5D6C">
              <w:rPr>
                <w:rFonts w:ascii="Calibri" w:eastAsia="Arial Unicode MS" w:hAnsi="Calibri" w:cs="Calibri"/>
                <w:color w:val="auto"/>
                <w:lang w:val="fr-FR"/>
              </w:rPr>
              <w:instrText xml:space="preserve"> FORMCHECKBOX </w:instrText>
            </w:r>
            <w:r w:rsidR="00F322CB">
              <w:rPr>
                <w:rFonts w:ascii="Calibri" w:eastAsia="Arial Unicode MS" w:hAnsi="Calibri" w:cs="Calibri"/>
                <w:color w:val="auto"/>
                <w:lang w:val="en-AU"/>
              </w:rPr>
            </w:r>
            <w:r w:rsidR="00F322C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0E5D6C">
              <w:rPr>
                <w:rFonts w:ascii="Calibri" w:eastAsia="Arial Unicode MS" w:hAnsi="Calibri" w:cs="Calibri"/>
                <w:color w:val="auto"/>
                <w:lang w:val="fr-FR"/>
              </w:rPr>
              <w:t xml:space="preserve"> </w:t>
            </w:r>
            <w:proofErr w:type="spellStart"/>
            <w:r w:rsidRPr="000E5D6C">
              <w:rPr>
                <w:rFonts w:ascii="Calibri" w:eastAsia="Arial Unicode MS" w:hAnsi="Calibri" w:cs="Calibri"/>
                <w:color w:val="auto"/>
                <w:lang w:val="fr-FR"/>
              </w:rPr>
              <w:t>Bachelors</w:t>
            </w:r>
            <w:proofErr w:type="spellEnd"/>
            <w:r w:rsidRPr="000E5D6C">
              <w:rPr>
                <w:rFonts w:ascii="Calibri" w:eastAsia="Arial Unicode MS" w:hAnsi="Calibri" w:cs="Calibri"/>
                <w:color w:val="auto"/>
                <w:lang w:val="fr-FR"/>
              </w:rPr>
              <w:t xml:space="preserve">   </w:t>
            </w:r>
            <w:r w:rsidR="00C45F12">
              <w:rPr>
                <w:rFonts w:ascii="Calibri" w:eastAsia="Arial Unicode MS" w:hAnsi="Calibri" w:cs="Calibri"/>
                <w:color w:val="auto"/>
                <w:lang w:val="en-AU"/>
              </w:rPr>
              <w:fldChar w:fldCharType="begin">
                <w:ffData>
                  <w:name w:val="Check7"/>
                  <w:enabled/>
                  <w:calcOnExit w:val="0"/>
                  <w:checkBox>
                    <w:sizeAuto/>
                    <w:default w:val="1"/>
                  </w:checkBox>
                </w:ffData>
              </w:fldChar>
            </w:r>
            <w:bookmarkStart w:id="2" w:name="Check7"/>
            <w:r w:rsidR="00C45F12" w:rsidRPr="00C251A2">
              <w:rPr>
                <w:rFonts w:ascii="Calibri" w:eastAsia="Arial Unicode MS" w:hAnsi="Calibri" w:cs="Calibri"/>
                <w:color w:val="auto"/>
                <w:lang w:val="fr-FR"/>
              </w:rPr>
              <w:instrText xml:space="preserve"> FORMCHECKBOX </w:instrText>
            </w:r>
            <w:r w:rsidR="00F322CB">
              <w:rPr>
                <w:rFonts w:ascii="Calibri" w:eastAsia="Arial Unicode MS" w:hAnsi="Calibri" w:cs="Calibri"/>
                <w:color w:val="auto"/>
                <w:lang w:val="en-AU"/>
              </w:rPr>
            </w:r>
            <w:r w:rsidR="00F322CB">
              <w:rPr>
                <w:rFonts w:ascii="Calibri" w:eastAsia="Arial Unicode MS" w:hAnsi="Calibri" w:cs="Calibri"/>
                <w:color w:val="auto"/>
                <w:lang w:val="en-AU"/>
              </w:rPr>
              <w:fldChar w:fldCharType="separate"/>
            </w:r>
            <w:r w:rsidR="00C45F12">
              <w:rPr>
                <w:rFonts w:ascii="Calibri" w:eastAsia="Arial Unicode MS" w:hAnsi="Calibri" w:cs="Calibri"/>
                <w:color w:val="auto"/>
                <w:lang w:val="en-AU"/>
              </w:rPr>
              <w:fldChar w:fldCharType="end"/>
            </w:r>
            <w:bookmarkEnd w:id="2"/>
            <w:r w:rsidRPr="000E5D6C">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0E5D6C">
              <w:rPr>
                <w:rFonts w:ascii="Calibri" w:eastAsia="Arial Unicode MS" w:hAnsi="Calibri" w:cs="Calibri"/>
                <w:color w:val="auto"/>
                <w:lang w:val="fr-FR"/>
              </w:rPr>
              <w:instrText xml:space="preserve"> FORMCHECKBOX </w:instrText>
            </w:r>
            <w:r w:rsidR="00F322CB">
              <w:rPr>
                <w:rFonts w:ascii="Calibri" w:eastAsia="Arial Unicode MS" w:hAnsi="Calibri" w:cs="Calibri"/>
                <w:color w:val="auto"/>
                <w:lang w:val="en-AU"/>
              </w:rPr>
            </w:r>
            <w:r w:rsidR="00F322CB">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0E5D6C">
              <w:rPr>
                <w:rFonts w:ascii="Calibri" w:eastAsia="Arial Unicode MS" w:hAnsi="Calibri" w:cs="Calibri"/>
                <w:color w:val="auto"/>
                <w:lang w:val="fr-FR"/>
              </w:rPr>
              <w:t xml:space="preserve"> PhD   </w:t>
            </w:r>
            <w:r w:rsidR="00C45F12">
              <w:rPr>
                <w:rFonts w:ascii="Calibri" w:eastAsia="Arial Unicode MS" w:hAnsi="Calibri" w:cs="Calibri"/>
                <w:color w:val="auto"/>
                <w:lang w:val="en-AU"/>
              </w:rPr>
              <w:fldChar w:fldCharType="begin">
                <w:ffData>
                  <w:name w:val=""/>
                  <w:enabled/>
                  <w:calcOnExit w:val="0"/>
                  <w:checkBox>
                    <w:sizeAuto/>
                    <w:default w:val="0"/>
                  </w:checkBox>
                </w:ffData>
              </w:fldChar>
            </w:r>
            <w:r w:rsidR="00C45F12" w:rsidRPr="00C251A2">
              <w:rPr>
                <w:rFonts w:ascii="Calibri" w:eastAsia="Arial Unicode MS" w:hAnsi="Calibri" w:cs="Calibri"/>
                <w:color w:val="auto"/>
                <w:lang w:val="fr-FR"/>
              </w:rPr>
              <w:instrText xml:space="preserve"> FORMCHECKBOX </w:instrText>
            </w:r>
            <w:r w:rsidR="00F322CB">
              <w:rPr>
                <w:rFonts w:ascii="Calibri" w:eastAsia="Arial Unicode MS" w:hAnsi="Calibri" w:cs="Calibri"/>
                <w:color w:val="auto"/>
                <w:lang w:val="en-AU"/>
              </w:rPr>
            </w:r>
            <w:r w:rsidR="00F322CB">
              <w:rPr>
                <w:rFonts w:ascii="Calibri" w:eastAsia="Arial Unicode MS" w:hAnsi="Calibri" w:cs="Calibri"/>
                <w:color w:val="auto"/>
                <w:lang w:val="en-AU"/>
              </w:rPr>
              <w:fldChar w:fldCharType="separate"/>
            </w:r>
            <w:r w:rsidR="00C45F12">
              <w:rPr>
                <w:rFonts w:ascii="Calibri" w:eastAsia="Arial Unicode MS" w:hAnsi="Calibri" w:cs="Calibri"/>
                <w:color w:val="auto"/>
                <w:lang w:val="en-AU"/>
              </w:rPr>
              <w:fldChar w:fldCharType="end"/>
            </w:r>
            <w:r w:rsidRPr="000E5D6C">
              <w:rPr>
                <w:rFonts w:ascii="Calibri" w:eastAsia="Arial Unicode MS" w:hAnsi="Calibri" w:cs="Calibri"/>
                <w:color w:val="auto"/>
                <w:lang w:val="fr-FR"/>
              </w:rPr>
              <w:t xml:space="preserve"> </w:t>
            </w:r>
            <w:proofErr w:type="spellStart"/>
            <w:r w:rsidRPr="000E5D6C">
              <w:rPr>
                <w:rFonts w:ascii="Calibri" w:eastAsia="Arial Unicode MS" w:hAnsi="Calibri" w:cs="Calibri"/>
                <w:color w:val="auto"/>
                <w:lang w:val="fr-FR"/>
              </w:rPr>
              <w:t>Other</w:t>
            </w:r>
            <w:proofErr w:type="spellEnd"/>
            <w:r w:rsidRPr="000E5D6C">
              <w:rPr>
                <w:rFonts w:ascii="Calibri" w:eastAsia="Arial Unicode MS" w:hAnsi="Calibri" w:cs="Calibri"/>
                <w:color w:val="auto"/>
                <w:lang w:val="fr-FR"/>
              </w:rPr>
              <w:t xml:space="preserve">  </w:t>
            </w:r>
          </w:p>
          <w:p w14:paraId="77B12AF5" w14:textId="77777777" w:rsidR="007613B3" w:rsidRPr="000E5D6C" w:rsidRDefault="007613B3" w:rsidP="007613B3">
            <w:pPr>
              <w:spacing w:before="60" w:line="240" w:lineRule="auto"/>
              <w:rPr>
                <w:rFonts w:ascii="Calibri" w:eastAsia="Arial Unicode MS" w:hAnsi="Calibri" w:cs="Calibri"/>
                <w:color w:val="auto"/>
                <w:lang w:val="fr-FR"/>
              </w:rPr>
            </w:pPr>
          </w:p>
          <w:p w14:paraId="7D7BD3D1" w14:textId="77777777" w:rsidR="007613B3" w:rsidRPr="000E5D6C" w:rsidRDefault="007613B3" w:rsidP="007613B3">
            <w:pPr>
              <w:spacing w:before="60" w:line="240" w:lineRule="auto"/>
              <w:rPr>
                <w:rFonts w:ascii="Calibri" w:eastAsia="Arial Unicode MS" w:hAnsi="Calibri" w:cs="Calibri"/>
                <w:color w:val="auto"/>
                <w:lang w:val="fr-FR"/>
              </w:rPr>
            </w:pPr>
            <w:r w:rsidRPr="000E5D6C">
              <w:rPr>
                <w:rFonts w:ascii="Calibri" w:eastAsia="Arial Unicode MS" w:hAnsi="Calibri" w:cs="Calibri"/>
                <w:color w:val="auto"/>
                <w:lang w:val="fr-FR"/>
              </w:rPr>
              <w:t>Enter Disciplines</w:t>
            </w:r>
          </w:p>
          <w:p w14:paraId="6BA220CE" w14:textId="77777777" w:rsidR="00322319" w:rsidRPr="000E5D6C" w:rsidRDefault="00322319" w:rsidP="007613B3">
            <w:pPr>
              <w:spacing w:before="60" w:line="240" w:lineRule="auto"/>
              <w:rPr>
                <w:rFonts w:ascii="Calibri" w:eastAsia="Arial Unicode MS" w:hAnsi="Calibri" w:cs="Calibri"/>
                <w:color w:val="auto"/>
                <w:lang w:val="fr-FR"/>
              </w:rPr>
            </w:pPr>
          </w:p>
          <w:p w14:paraId="62C9E7AC" w14:textId="52FA7A19" w:rsidR="00322319" w:rsidRPr="00322319" w:rsidRDefault="00322319" w:rsidP="00322319">
            <w:pPr>
              <w:spacing w:line="240" w:lineRule="auto"/>
              <w:jc w:val="both"/>
              <w:rPr>
                <w:rFonts w:ascii="Calibri" w:eastAsia="Arial Unicode MS" w:hAnsi="Calibri" w:cs="Calibri"/>
                <w:color w:val="auto"/>
                <w:lang w:val="fr-FR"/>
              </w:rPr>
            </w:pPr>
            <w:r>
              <w:rPr>
                <w:rFonts w:eastAsiaTheme="minorHAnsi"/>
                <w:sz w:val="22"/>
                <w:szCs w:val="22"/>
                <w:lang w:val="fr-FR" w:eastAsia="fr-FR"/>
              </w:rPr>
              <w:t>D</w:t>
            </w:r>
            <w:r w:rsidRPr="00322319">
              <w:rPr>
                <w:rFonts w:eastAsiaTheme="minorHAnsi"/>
                <w:sz w:val="22"/>
                <w:szCs w:val="22"/>
                <w:lang w:val="fr-FR" w:eastAsia="fr-FR"/>
              </w:rPr>
              <w:t xml:space="preserve">iplôme universitaire </w:t>
            </w:r>
            <w:r w:rsidR="00C45F12">
              <w:rPr>
                <w:rFonts w:eastAsiaTheme="minorHAnsi"/>
                <w:sz w:val="22"/>
                <w:szCs w:val="22"/>
                <w:lang w:val="fr-FR" w:eastAsia="fr-FR"/>
              </w:rPr>
              <w:t xml:space="preserve">supérieur </w:t>
            </w:r>
            <w:r w:rsidRPr="00322319">
              <w:rPr>
                <w:rFonts w:eastAsiaTheme="minorHAnsi"/>
                <w:sz w:val="22"/>
                <w:szCs w:val="22"/>
                <w:lang w:val="fr-FR" w:eastAsia="fr-FR"/>
              </w:rPr>
              <w:t>en économie</w:t>
            </w:r>
            <w:r>
              <w:rPr>
                <w:rFonts w:eastAsiaTheme="minorHAnsi"/>
                <w:sz w:val="22"/>
                <w:szCs w:val="22"/>
                <w:lang w:val="fr-FR" w:eastAsia="fr-FR"/>
              </w:rPr>
              <w:t>, en</w:t>
            </w:r>
            <w:r w:rsidRPr="00322319">
              <w:rPr>
                <w:rFonts w:eastAsiaTheme="minorHAnsi"/>
                <w:sz w:val="22"/>
                <w:szCs w:val="22"/>
                <w:lang w:val="fr-FR" w:eastAsia="fr-FR"/>
              </w:rPr>
              <w:t xml:space="preserve"> finances</w:t>
            </w:r>
            <w:r>
              <w:rPr>
                <w:rFonts w:eastAsiaTheme="minorHAnsi"/>
                <w:sz w:val="22"/>
                <w:szCs w:val="22"/>
                <w:lang w:val="fr-FR" w:eastAsia="fr-FR"/>
              </w:rPr>
              <w:t xml:space="preserve"> ou</w:t>
            </w:r>
            <w:r w:rsidRPr="00322319">
              <w:rPr>
                <w:rFonts w:eastAsiaTheme="minorHAnsi"/>
                <w:sz w:val="22"/>
                <w:szCs w:val="22"/>
                <w:lang w:val="fr-FR" w:eastAsia="fr-FR"/>
              </w:rPr>
              <w:t xml:space="preserve"> développement communautaire </w:t>
            </w:r>
          </w:p>
        </w:tc>
        <w:tc>
          <w:tcPr>
            <w:tcW w:w="5413" w:type="dxa"/>
            <w:tcBorders>
              <w:top w:val="nil"/>
              <w:left w:val="single" w:sz="4" w:space="0" w:color="auto"/>
              <w:bottom w:val="nil"/>
              <w:right w:val="single" w:sz="4" w:space="0" w:color="auto"/>
            </w:tcBorders>
            <w:shd w:val="clear" w:color="auto" w:fill="auto"/>
            <w:noWrap/>
          </w:tcPr>
          <w:p w14:paraId="5EFD1657" w14:textId="77777777" w:rsidR="00322319" w:rsidRPr="00DB50E2" w:rsidRDefault="00322319" w:rsidP="00322319">
            <w:pPr>
              <w:numPr>
                <w:ilvl w:val="0"/>
                <w:numId w:val="29"/>
              </w:numPr>
              <w:spacing w:line="240" w:lineRule="auto"/>
              <w:jc w:val="both"/>
              <w:rPr>
                <w:rFonts w:eastAsiaTheme="minorHAnsi"/>
                <w:sz w:val="21"/>
                <w:szCs w:val="21"/>
                <w:lang w:val="fr-FR" w:eastAsia="fr-FR"/>
              </w:rPr>
            </w:pPr>
            <w:r w:rsidRPr="00DB50E2">
              <w:rPr>
                <w:rFonts w:eastAsiaTheme="minorHAnsi"/>
                <w:sz w:val="21"/>
                <w:szCs w:val="21"/>
                <w:lang w:val="fr-FR" w:eastAsia="fr-FR"/>
              </w:rPr>
              <w:t>Au moins huit ans d’expérience avérée dans le développement communautaire avec un accent sur les groupes de solidarité communautaires et d’autres associations communautaires au Burundi ;</w:t>
            </w:r>
          </w:p>
          <w:p w14:paraId="2E4EE44B" w14:textId="66AD2869" w:rsidR="00322319" w:rsidRDefault="00322319" w:rsidP="00322319">
            <w:pPr>
              <w:numPr>
                <w:ilvl w:val="0"/>
                <w:numId w:val="29"/>
              </w:numPr>
              <w:spacing w:line="240" w:lineRule="auto"/>
              <w:jc w:val="both"/>
              <w:rPr>
                <w:rFonts w:eastAsiaTheme="minorHAnsi"/>
                <w:sz w:val="21"/>
                <w:szCs w:val="21"/>
                <w:lang w:val="fr-FR" w:eastAsia="fr-FR"/>
              </w:rPr>
            </w:pPr>
            <w:r w:rsidRPr="00DB50E2">
              <w:rPr>
                <w:rFonts w:eastAsiaTheme="minorHAnsi"/>
                <w:sz w:val="21"/>
                <w:szCs w:val="21"/>
                <w:lang w:val="fr-FR" w:eastAsia="fr-FR"/>
              </w:rPr>
              <w:t>Une expérience avérée dans l</w:t>
            </w:r>
            <w:r w:rsidR="00C45F12">
              <w:rPr>
                <w:rFonts w:eastAsiaTheme="minorHAnsi"/>
                <w:sz w:val="21"/>
                <w:szCs w:val="21"/>
                <w:lang w:val="fr-FR" w:eastAsia="fr-FR"/>
              </w:rPr>
              <w:t>’élaboration et la</w:t>
            </w:r>
            <w:r w:rsidRPr="00DB50E2">
              <w:rPr>
                <w:rFonts w:eastAsiaTheme="minorHAnsi"/>
                <w:sz w:val="21"/>
                <w:szCs w:val="21"/>
                <w:lang w:val="fr-FR" w:eastAsia="fr-FR"/>
              </w:rPr>
              <w:t xml:space="preserve"> formulation des plans communaux de développement communautaire ou des plans stratégiques ;</w:t>
            </w:r>
          </w:p>
          <w:p w14:paraId="1BF43A9C" w14:textId="37B8584A" w:rsidR="007F7A05" w:rsidRPr="00DB50E2" w:rsidRDefault="007F7A05" w:rsidP="00322319">
            <w:pPr>
              <w:numPr>
                <w:ilvl w:val="0"/>
                <w:numId w:val="29"/>
              </w:numPr>
              <w:spacing w:line="240" w:lineRule="auto"/>
              <w:jc w:val="both"/>
              <w:rPr>
                <w:rFonts w:eastAsiaTheme="minorHAnsi"/>
                <w:sz w:val="21"/>
                <w:szCs w:val="21"/>
                <w:lang w:val="fr-FR" w:eastAsia="fr-FR"/>
              </w:rPr>
            </w:pPr>
            <w:r>
              <w:rPr>
                <w:rFonts w:eastAsiaTheme="minorHAnsi"/>
                <w:sz w:val="21"/>
                <w:szCs w:val="21"/>
                <w:lang w:val="fr-FR" w:eastAsia="fr-FR"/>
              </w:rPr>
              <w:t xml:space="preserve">Une connaissance du cadre administratif et </w:t>
            </w:r>
            <w:r w:rsidR="00F46C6A">
              <w:rPr>
                <w:rFonts w:eastAsiaTheme="minorHAnsi"/>
                <w:sz w:val="21"/>
                <w:szCs w:val="21"/>
                <w:lang w:val="fr-FR" w:eastAsia="fr-FR"/>
              </w:rPr>
              <w:t>légal</w:t>
            </w:r>
            <w:r>
              <w:rPr>
                <w:rFonts w:eastAsiaTheme="minorHAnsi"/>
                <w:sz w:val="21"/>
                <w:szCs w:val="21"/>
                <w:lang w:val="fr-FR" w:eastAsia="fr-FR"/>
              </w:rPr>
              <w:t xml:space="preserve"> ainsi que des politiques et </w:t>
            </w:r>
            <w:r w:rsidR="00F46C6A">
              <w:rPr>
                <w:rFonts w:eastAsiaTheme="minorHAnsi"/>
                <w:sz w:val="21"/>
                <w:szCs w:val="21"/>
                <w:lang w:val="fr-FR" w:eastAsia="fr-FR"/>
              </w:rPr>
              <w:t>stratégies</w:t>
            </w:r>
            <w:r>
              <w:rPr>
                <w:rFonts w:eastAsiaTheme="minorHAnsi"/>
                <w:sz w:val="21"/>
                <w:szCs w:val="21"/>
                <w:lang w:val="fr-FR" w:eastAsia="fr-FR"/>
              </w:rPr>
              <w:t xml:space="preserve"> pertinentes pour les groupes communautaires ;</w:t>
            </w:r>
          </w:p>
          <w:p w14:paraId="2398DF2C" w14:textId="77777777" w:rsidR="00322319" w:rsidRPr="00DB50E2" w:rsidRDefault="00322319" w:rsidP="00322319">
            <w:pPr>
              <w:numPr>
                <w:ilvl w:val="0"/>
                <w:numId w:val="29"/>
              </w:numPr>
              <w:spacing w:line="240" w:lineRule="auto"/>
              <w:jc w:val="both"/>
              <w:rPr>
                <w:rFonts w:eastAsiaTheme="minorHAnsi"/>
                <w:sz w:val="21"/>
                <w:szCs w:val="21"/>
                <w:lang w:val="fr-FR" w:eastAsia="fr-FR"/>
              </w:rPr>
            </w:pPr>
            <w:r w:rsidRPr="00DB50E2">
              <w:rPr>
                <w:rFonts w:eastAsiaTheme="minorHAnsi"/>
                <w:sz w:val="21"/>
                <w:szCs w:val="21"/>
                <w:lang w:val="fr-FR" w:eastAsia="fr-FR"/>
              </w:rPr>
              <w:t>La conduite des études avec succès pour le financement des organisations ou groupements d’associations ;</w:t>
            </w:r>
          </w:p>
          <w:p w14:paraId="3AB6713A" w14:textId="788CA077" w:rsidR="00322319" w:rsidRPr="00DB50E2" w:rsidRDefault="00322319" w:rsidP="00322319">
            <w:pPr>
              <w:numPr>
                <w:ilvl w:val="0"/>
                <w:numId w:val="29"/>
              </w:numPr>
              <w:spacing w:line="240" w:lineRule="auto"/>
              <w:jc w:val="both"/>
              <w:rPr>
                <w:rFonts w:eastAsiaTheme="minorHAnsi"/>
                <w:sz w:val="21"/>
                <w:szCs w:val="21"/>
                <w:lang w:val="fr-FR" w:eastAsia="fr-FR"/>
              </w:rPr>
            </w:pPr>
            <w:r w:rsidRPr="00DB50E2">
              <w:rPr>
                <w:rFonts w:eastAsiaTheme="minorHAnsi"/>
                <w:sz w:val="21"/>
                <w:szCs w:val="21"/>
                <w:lang w:val="fr-FR" w:eastAsia="fr-FR"/>
              </w:rPr>
              <w:t>Une expérience en matière de fonctionnement des institutions financières (banques commerciales, microfinances, etc.),</w:t>
            </w:r>
          </w:p>
          <w:p w14:paraId="45F4DD3B" w14:textId="7B7AF644" w:rsidR="00DB50E2" w:rsidRDefault="00DB50E2" w:rsidP="00DB50E2">
            <w:pPr>
              <w:numPr>
                <w:ilvl w:val="0"/>
                <w:numId w:val="29"/>
              </w:numPr>
              <w:spacing w:line="240" w:lineRule="auto"/>
              <w:jc w:val="both"/>
              <w:rPr>
                <w:rFonts w:eastAsiaTheme="minorHAnsi"/>
                <w:sz w:val="21"/>
                <w:szCs w:val="21"/>
                <w:lang w:val="fr-FR" w:eastAsia="fr-FR"/>
              </w:rPr>
            </w:pPr>
            <w:r w:rsidRPr="00DB50E2">
              <w:rPr>
                <w:rFonts w:eastAsiaTheme="minorHAnsi"/>
                <w:sz w:val="21"/>
                <w:szCs w:val="21"/>
                <w:lang w:val="fr-FR" w:eastAsia="fr-FR"/>
              </w:rPr>
              <w:t>Une bonne connaissance de la planification aux niveaux national et local ;</w:t>
            </w:r>
          </w:p>
          <w:p w14:paraId="76C99643" w14:textId="2537F039" w:rsidR="007613B3" w:rsidRPr="00322319" w:rsidRDefault="008D2006" w:rsidP="008D2006">
            <w:pPr>
              <w:numPr>
                <w:ilvl w:val="0"/>
                <w:numId w:val="29"/>
              </w:numPr>
              <w:spacing w:line="240" w:lineRule="auto"/>
              <w:jc w:val="both"/>
              <w:rPr>
                <w:rFonts w:ascii="Calibri" w:eastAsia="Arial Unicode MS" w:hAnsi="Calibri" w:cs="Calibri"/>
                <w:color w:val="auto"/>
                <w:lang w:val="fr-FR"/>
              </w:rPr>
            </w:pPr>
            <w:r>
              <w:rPr>
                <w:rFonts w:eastAsiaTheme="minorHAnsi"/>
                <w:sz w:val="21"/>
                <w:szCs w:val="21"/>
                <w:lang w:val="fr-FR" w:eastAsia="fr-FR"/>
              </w:rPr>
              <w:t>La langue de travail exigée est le français</w:t>
            </w:r>
          </w:p>
        </w:tc>
      </w:tr>
      <w:tr w:rsidR="007613B3" w:rsidRPr="007926F9" w14:paraId="55884655" w14:textId="77777777" w:rsidTr="007926F9">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322319" w:rsidRDefault="007613B3" w:rsidP="007613B3">
            <w:pPr>
              <w:spacing w:before="60" w:line="240" w:lineRule="auto"/>
              <w:rPr>
                <w:rFonts w:ascii="Calibri" w:eastAsia="Arial Unicode MS" w:hAnsi="Calibri" w:cs="Calibri"/>
                <w:color w:val="auto"/>
                <w:lang w:val="fr-FR"/>
              </w:rPr>
            </w:pPr>
          </w:p>
        </w:tc>
        <w:tc>
          <w:tcPr>
            <w:tcW w:w="5413" w:type="dxa"/>
            <w:tcBorders>
              <w:top w:val="nil"/>
              <w:left w:val="single" w:sz="4" w:space="0" w:color="auto"/>
            </w:tcBorders>
            <w:shd w:val="clear" w:color="auto" w:fill="auto"/>
            <w:noWrap/>
          </w:tcPr>
          <w:p w14:paraId="37E489D3" w14:textId="77777777" w:rsidR="007613B3" w:rsidRPr="00322319" w:rsidRDefault="007613B3" w:rsidP="007613B3">
            <w:pPr>
              <w:rPr>
                <w:rFonts w:ascii="Calibri" w:hAnsi="Calibri" w:cs="Calibri"/>
                <w:lang w:val="fr-FR"/>
              </w:rPr>
            </w:pPr>
          </w:p>
        </w:tc>
      </w:tr>
      <w:tr w:rsidR="007613B3" w:rsidRPr="007613B3" w14:paraId="7C881194" w14:textId="77777777" w:rsidTr="007926F9">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926F9">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532F85E5" w:rsidR="007613B3" w:rsidRDefault="007613B3" w:rsidP="00C34C2B">
      <w:pPr>
        <w:pBdr>
          <w:bottom w:val="single" w:sz="6" w:space="1" w:color="auto"/>
        </w:pBdr>
        <w:spacing w:before="120" w:after="200"/>
        <w:rPr>
          <w:rFonts w:ascii="Calibri" w:eastAsia="Arial Unicode MS" w:hAnsi="Calibri" w:cs="Calibri"/>
        </w:rPr>
      </w:pPr>
    </w:p>
    <w:p w14:paraId="61307AAE" w14:textId="1BDF52E9" w:rsidR="005869EC" w:rsidRDefault="005869EC" w:rsidP="00C34C2B">
      <w:pPr>
        <w:pBdr>
          <w:bottom w:val="single" w:sz="6" w:space="1" w:color="auto"/>
        </w:pBdr>
        <w:spacing w:before="120" w:after="200"/>
        <w:rPr>
          <w:rFonts w:ascii="Calibri" w:eastAsia="Arial Unicode MS" w:hAnsi="Calibri" w:cs="Calibri"/>
        </w:rPr>
      </w:pPr>
    </w:p>
    <w:p w14:paraId="617C651F" w14:textId="7C40441A" w:rsidR="005869EC" w:rsidRDefault="005869EC" w:rsidP="00C34C2B">
      <w:pPr>
        <w:pBdr>
          <w:bottom w:val="single" w:sz="6" w:space="1" w:color="auto"/>
        </w:pBdr>
        <w:spacing w:before="120" w:after="200"/>
        <w:rPr>
          <w:rFonts w:ascii="Calibri" w:eastAsia="Arial Unicode MS" w:hAnsi="Calibri" w:cs="Calibri"/>
        </w:rPr>
      </w:pPr>
    </w:p>
    <w:p w14:paraId="4881A496" w14:textId="77777777" w:rsidR="005869EC" w:rsidRDefault="005869EC" w:rsidP="00C34C2B">
      <w:pPr>
        <w:pBdr>
          <w:bottom w:val="single" w:sz="6" w:space="1" w:color="auto"/>
        </w:pBdr>
        <w:spacing w:before="120" w:after="200"/>
        <w:rPr>
          <w:rFonts w:ascii="Calibri" w:eastAsia="Arial Unicode MS" w:hAnsi="Calibri" w:cs="Calibri"/>
        </w:rPr>
      </w:pPr>
    </w:p>
    <w:p w14:paraId="29601DF0" w14:textId="159EF8EC" w:rsidR="00133E27" w:rsidRDefault="00133E27" w:rsidP="00C34C2B">
      <w:pPr>
        <w:spacing w:before="120" w:after="200"/>
        <w:rPr>
          <w:rFonts w:eastAsia="Arial Unicode MS" w:cs="Arial"/>
          <w:lang w:val="fr-FR"/>
        </w:rPr>
      </w:pPr>
      <w:r w:rsidRPr="00133E27">
        <w:rPr>
          <w:rFonts w:eastAsia="Arial Unicode MS" w:cs="Arial"/>
          <w:lang w:val="fr-FR"/>
        </w:rPr>
        <w:t>Les coûts indiqués sont estim</w:t>
      </w:r>
      <w:r w:rsidR="00F2641A">
        <w:rPr>
          <w:rFonts w:eastAsia="Arial Unicode MS" w:cs="Arial"/>
          <w:lang w:val="fr-FR"/>
        </w:rPr>
        <w:t>és</w:t>
      </w:r>
      <w:r w:rsidRPr="00133E27">
        <w:rPr>
          <w:rFonts w:eastAsia="Arial Unicode MS" w:cs="Arial"/>
          <w:lang w:val="fr-FR"/>
        </w:rPr>
        <w:t>. Le tarif final suivra le principe du "</w:t>
      </w:r>
      <w:r w:rsidRPr="00133E27">
        <w:rPr>
          <w:lang w:val="fr-FR"/>
        </w:rPr>
        <w:t xml:space="preserve"> </w:t>
      </w:r>
      <w:r w:rsidRPr="00133E27">
        <w:rPr>
          <w:lang w:val="fr-FR"/>
        </w:rPr>
        <w:t>best value for money”</w:t>
      </w:r>
      <w:r w:rsidRPr="00133E27">
        <w:rPr>
          <w:rFonts w:eastAsia="Arial Unicode MS" w:cs="Arial"/>
          <w:lang w:val="fr-FR"/>
        </w:rPr>
        <w:t>, c'est-à-dire qu'il s'agira d'atteindre le résultat souhaité avec les honoraires les plus bas possibles. Il sera demandé aux consultants de stipuler des honoraires tout compris, y compris les frais forfaitaires de voyage et de séjour, le cas échéant.</w:t>
      </w:r>
    </w:p>
    <w:p w14:paraId="60689353" w14:textId="354767F0" w:rsidR="00133E27" w:rsidRDefault="00133E27" w:rsidP="00C34C2B">
      <w:pPr>
        <w:spacing w:before="120" w:after="200"/>
        <w:rPr>
          <w:rFonts w:eastAsia="Arial Unicode MS" w:cs="Arial"/>
          <w:lang w:val="fr-FR"/>
        </w:rPr>
      </w:pPr>
      <w:r w:rsidRPr="00133E27">
        <w:rPr>
          <w:rFonts w:eastAsia="Arial Unicode MS" w:cs="Arial"/>
          <w:lang w:val="fr-FR"/>
        </w:rPr>
        <w:t>Le paiement des honoraires sera basé sur la soumission des produits livrables convenus. L'UNICEF se réserve le droit de ne pas payer si les produits livrables soumis ne sont pas conformes aux normes requises ou en cas de retard dans la soumission des produits livrables de la part du consultant.</w:t>
      </w:r>
    </w:p>
    <w:p w14:paraId="5CED1F2D" w14:textId="7D2DD1B1" w:rsidR="00133E27" w:rsidRDefault="00133E27" w:rsidP="009A5EAE">
      <w:pPr>
        <w:spacing w:before="120" w:after="200"/>
      </w:pPr>
      <w:r w:rsidRPr="00133E27">
        <w:rPr>
          <w:rFonts w:eastAsia="Arial Unicode MS" w:cs="Arial"/>
          <w:lang w:val="fr-FR"/>
        </w:rPr>
        <w:t xml:space="preserve">Les personnes engagées dans le cadre d'un contrat de consultant ou d'un contrat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 service seront régies par leur contrat et les Conditions générales des contrats de services des consultants et des contractants individuels. Les consultants et les contractants individuels sont responsables de la détermination de leurs obligations fiscales et du paiement de tout impôt et/ou taxe, conformément aux lois </w:t>
      </w:r>
    </w:p>
    <w:p w14:paraId="0BD1194B" w14:textId="77777777" w:rsidR="00133E27" w:rsidRPr="007613B3" w:rsidRDefault="00133E27" w:rsidP="00C34C2B">
      <w:pPr>
        <w:spacing w:before="120" w:after="200"/>
        <w:rPr>
          <w:rFonts w:ascii="Calibri" w:eastAsia="Arial Unicode MS" w:hAnsi="Calibri" w:cs="Calibri"/>
        </w:rPr>
      </w:pPr>
    </w:p>
    <w:sectPr w:rsidR="00133E27"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0773" w14:textId="77777777" w:rsidR="00F322CB" w:rsidRDefault="00F322CB" w:rsidP="000C3710">
      <w:r>
        <w:separator/>
      </w:r>
    </w:p>
  </w:endnote>
  <w:endnote w:type="continuationSeparator" w:id="0">
    <w:p w14:paraId="79ADEF38" w14:textId="77777777" w:rsidR="00F322CB" w:rsidRDefault="00F322CB"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60F2" w14:textId="77777777" w:rsidR="00F322CB" w:rsidRDefault="00F322CB" w:rsidP="000C3710">
      <w:r>
        <w:separator/>
      </w:r>
    </w:p>
  </w:footnote>
  <w:footnote w:type="continuationSeparator" w:id="0">
    <w:p w14:paraId="60FA6E16" w14:textId="77777777" w:rsidR="00F322CB" w:rsidRDefault="00F322C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0964B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08AE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9C27BE6"/>
    <w:multiLevelType w:val="multilevel"/>
    <w:tmpl w:val="C2748660"/>
    <w:lvl w:ilvl="0">
      <w:start w:val="1"/>
      <w:numFmt w:val="bullet"/>
      <w:lvlText w:val=""/>
      <w:lvlJc w:val="left"/>
      <w:pPr>
        <w:ind w:left="360" w:hanging="360"/>
      </w:pPr>
      <w:rPr>
        <w:rFonts w:ascii="Symbol" w:hAnsi="Symbol" w:hint="default"/>
      </w:rPr>
    </w:lvl>
    <w:lvl w:ilvl="1">
      <w:start w:val="1"/>
      <w:numFmt w:val="decimal"/>
      <w:isLgl/>
      <w:lvlText w:val="%1.%2."/>
      <w:lvlJc w:val="left"/>
      <w:pPr>
        <w:ind w:left="426" w:hanging="360"/>
      </w:pPr>
      <w:rPr>
        <w:rFonts w:asciiTheme="minorHAnsi" w:hAnsiTheme="minorHAnsi" w:cstheme="minorHAnsi" w:hint="default"/>
        <w:sz w:val="22"/>
        <w:u w:val="none"/>
      </w:rPr>
    </w:lvl>
    <w:lvl w:ilvl="2">
      <w:start w:val="1"/>
      <w:numFmt w:val="decimal"/>
      <w:isLgl/>
      <w:lvlText w:val="%1.%2.%3."/>
      <w:lvlJc w:val="left"/>
      <w:pPr>
        <w:ind w:left="720" w:hanging="720"/>
      </w:pPr>
      <w:rPr>
        <w:rFonts w:asciiTheme="minorHAnsi" w:hAnsiTheme="minorHAnsi" w:cstheme="minorHAnsi" w:hint="default"/>
        <w:sz w:val="22"/>
        <w:u w:val="single"/>
      </w:rPr>
    </w:lvl>
    <w:lvl w:ilvl="3">
      <w:start w:val="1"/>
      <w:numFmt w:val="decimal"/>
      <w:isLgl/>
      <w:lvlText w:val="%1.%2.%3.%4."/>
      <w:lvlJc w:val="left"/>
      <w:pPr>
        <w:ind w:left="720" w:hanging="720"/>
      </w:pPr>
      <w:rPr>
        <w:rFonts w:asciiTheme="minorHAnsi" w:hAnsiTheme="minorHAnsi" w:cstheme="minorHAnsi" w:hint="default"/>
        <w:sz w:val="22"/>
        <w:u w:val="single"/>
      </w:rPr>
    </w:lvl>
    <w:lvl w:ilvl="4">
      <w:start w:val="1"/>
      <w:numFmt w:val="decimal"/>
      <w:isLgl/>
      <w:lvlText w:val="%1.%2.%3.%4.%5."/>
      <w:lvlJc w:val="left"/>
      <w:pPr>
        <w:ind w:left="1080" w:hanging="1080"/>
      </w:pPr>
      <w:rPr>
        <w:rFonts w:asciiTheme="minorHAnsi" w:hAnsiTheme="minorHAnsi" w:cstheme="minorHAnsi" w:hint="default"/>
        <w:sz w:val="22"/>
        <w:u w:val="single"/>
      </w:rPr>
    </w:lvl>
    <w:lvl w:ilvl="5">
      <w:start w:val="1"/>
      <w:numFmt w:val="decimal"/>
      <w:isLgl/>
      <w:lvlText w:val="%1.%2.%3.%4.%5.%6."/>
      <w:lvlJc w:val="left"/>
      <w:pPr>
        <w:ind w:left="1080" w:hanging="1080"/>
      </w:pPr>
      <w:rPr>
        <w:rFonts w:asciiTheme="minorHAnsi" w:hAnsiTheme="minorHAnsi" w:cstheme="minorHAnsi" w:hint="default"/>
        <w:sz w:val="22"/>
        <w:u w:val="single"/>
      </w:rPr>
    </w:lvl>
    <w:lvl w:ilvl="6">
      <w:start w:val="1"/>
      <w:numFmt w:val="decimal"/>
      <w:isLgl/>
      <w:lvlText w:val="%1.%2.%3.%4.%5.%6.%7."/>
      <w:lvlJc w:val="left"/>
      <w:pPr>
        <w:ind w:left="1440" w:hanging="1440"/>
      </w:pPr>
      <w:rPr>
        <w:rFonts w:asciiTheme="minorHAnsi" w:hAnsiTheme="minorHAnsi" w:cstheme="minorHAnsi" w:hint="default"/>
        <w:sz w:val="22"/>
        <w:u w:val="single"/>
      </w:rPr>
    </w:lvl>
    <w:lvl w:ilvl="7">
      <w:start w:val="1"/>
      <w:numFmt w:val="decimal"/>
      <w:isLgl/>
      <w:lvlText w:val="%1.%2.%3.%4.%5.%6.%7.%8."/>
      <w:lvlJc w:val="left"/>
      <w:pPr>
        <w:ind w:left="1440" w:hanging="1440"/>
      </w:pPr>
      <w:rPr>
        <w:rFonts w:asciiTheme="minorHAnsi" w:hAnsiTheme="minorHAnsi" w:cstheme="minorHAnsi" w:hint="default"/>
        <w:sz w:val="22"/>
        <w:u w:val="single"/>
      </w:rPr>
    </w:lvl>
    <w:lvl w:ilvl="8">
      <w:start w:val="1"/>
      <w:numFmt w:val="decimal"/>
      <w:isLgl/>
      <w:lvlText w:val="%1.%2.%3.%4.%5.%6.%7.%8.%9."/>
      <w:lvlJc w:val="left"/>
      <w:pPr>
        <w:ind w:left="1800" w:hanging="1800"/>
      </w:pPr>
      <w:rPr>
        <w:rFonts w:asciiTheme="minorHAnsi" w:hAnsiTheme="minorHAnsi" w:cstheme="minorHAnsi" w:hint="default"/>
        <w:sz w:val="22"/>
        <w:u w:val="single"/>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2F3D0B"/>
    <w:multiLevelType w:val="hybridMultilevel"/>
    <w:tmpl w:val="17649E1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33D11"/>
    <w:multiLevelType w:val="hybridMultilevel"/>
    <w:tmpl w:val="D56E8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D76FE"/>
    <w:multiLevelType w:val="hybridMultilevel"/>
    <w:tmpl w:val="415E19F4"/>
    <w:lvl w:ilvl="0" w:tplc="040C000F">
      <w:start w:val="1"/>
      <w:numFmt w:val="decimal"/>
      <w:lvlText w:val="%1."/>
      <w:lvlJc w:val="left"/>
      <w:pPr>
        <w:ind w:left="1065" w:hanging="705"/>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885B4E"/>
    <w:multiLevelType w:val="hybridMultilevel"/>
    <w:tmpl w:val="EAAA12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14"/>
  </w:num>
  <w:num w:numId="5">
    <w:abstractNumId w:val="13"/>
  </w:num>
  <w:num w:numId="6">
    <w:abstractNumId w:val="18"/>
  </w:num>
  <w:num w:numId="7">
    <w:abstractNumId w:val="25"/>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8"/>
  </w:num>
  <w:num w:numId="26">
    <w:abstractNumId w:val="20"/>
  </w:num>
  <w:num w:numId="27">
    <w:abstractNumId w:val="12"/>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2D3"/>
    <w:rsid w:val="00030834"/>
    <w:rsid w:val="000310DE"/>
    <w:rsid w:val="000415E9"/>
    <w:rsid w:val="0004433C"/>
    <w:rsid w:val="00056A18"/>
    <w:rsid w:val="000576DC"/>
    <w:rsid w:val="00066CAF"/>
    <w:rsid w:val="00076437"/>
    <w:rsid w:val="00086BC3"/>
    <w:rsid w:val="00096574"/>
    <w:rsid w:val="000A7045"/>
    <w:rsid w:val="000B5829"/>
    <w:rsid w:val="000C1C71"/>
    <w:rsid w:val="000C3710"/>
    <w:rsid w:val="000C61F2"/>
    <w:rsid w:val="000D6CA1"/>
    <w:rsid w:val="000E1755"/>
    <w:rsid w:val="000E3253"/>
    <w:rsid w:val="000E414F"/>
    <w:rsid w:val="000E4D76"/>
    <w:rsid w:val="000E5D6C"/>
    <w:rsid w:val="000F6440"/>
    <w:rsid w:val="00107B7A"/>
    <w:rsid w:val="00112DEE"/>
    <w:rsid w:val="001136B0"/>
    <w:rsid w:val="00113E13"/>
    <w:rsid w:val="001212BF"/>
    <w:rsid w:val="00133E27"/>
    <w:rsid w:val="001555CD"/>
    <w:rsid w:val="0015757A"/>
    <w:rsid w:val="00162A92"/>
    <w:rsid w:val="001637C2"/>
    <w:rsid w:val="00164C95"/>
    <w:rsid w:val="00165C9B"/>
    <w:rsid w:val="00175E9C"/>
    <w:rsid w:val="00176711"/>
    <w:rsid w:val="00182C1C"/>
    <w:rsid w:val="00183FA9"/>
    <w:rsid w:val="00185E3D"/>
    <w:rsid w:val="00186E13"/>
    <w:rsid w:val="001A4B63"/>
    <w:rsid w:val="001B190C"/>
    <w:rsid w:val="001B5D66"/>
    <w:rsid w:val="001C43FC"/>
    <w:rsid w:val="001E112E"/>
    <w:rsid w:val="001E7405"/>
    <w:rsid w:val="001F651F"/>
    <w:rsid w:val="002072D5"/>
    <w:rsid w:val="00213A86"/>
    <w:rsid w:val="00215E5E"/>
    <w:rsid w:val="002178E6"/>
    <w:rsid w:val="0022123C"/>
    <w:rsid w:val="00222F56"/>
    <w:rsid w:val="00234AD4"/>
    <w:rsid w:val="002460BE"/>
    <w:rsid w:val="00246880"/>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64F"/>
    <w:rsid w:val="003117C2"/>
    <w:rsid w:val="00320886"/>
    <w:rsid w:val="0032151B"/>
    <w:rsid w:val="00322319"/>
    <w:rsid w:val="0034354C"/>
    <w:rsid w:val="00350865"/>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484B"/>
    <w:rsid w:val="00407258"/>
    <w:rsid w:val="00407853"/>
    <w:rsid w:val="00411F46"/>
    <w:rsid w:val="004160E9"/>
    <w:rsid w:val="00416141"/>
    <w:rsid w:val="00422305"/>
    <w:rsid w:val="00422E28"/>
    <w:rsid w:val="00435AB0"/>
    <w:rsid w:val="0043646D"/>
    <w:rsid w:val="004429D6"/>
    <w:rsid w:val="00445CFF"/>
    <w:rsid w:val="00472BBD"/>
    <w:rsid w:val="004809D8"/>
    <w:rsid w:val="00481D11"/>
    <w:rsid w:val="00481D61"/>
    <w:rsid w:val="004A64C8"/>
    <w:rsid w:val="004A6CA6"/>
    <w:rsid w:val="004B276A"/>
    <w:rsid w:val="004D08C1"/>
    <w:rsid w:val="004D2245"/>
    <w:rsid w:val="004D5D35"/>
    <w:rsid w:val="004E2D0B"/>
    <w:rsid w:val="004E3DDB"/>
    <w:rsid w:val="004E67BE"/>
    <w:rsid w:val="004F1A27"/>
    <w:rsid w:val="005032F9"/>
    <w:rsid w:val="005075C6"/>
    <w:rsid w:val="00511A6E"/>
    <w:rsid w:val="00523923"/>
    <w:rsid w:val="005246DC"/>
    <w:rsid w:val="0053060F"/>
    <w:rsid w:val="00535659"/>
    <w:rsid w:val="005356FF"/>
    <w:rsid w:val="00544027"/>
    <w:rsid w:val="00544A89"/>
    <w:rsid w:val="0054592E"/>
    <w:rsid w:val="0058167F"/>
    <w:rsid w:val="005869EC"/>
    <w:rsid w:val="00591246"/>
    <w:rsid w:val="0059671E"/>
    <w:rsid w:val="005A643C"/>
    <w:rsid w:val="005B3739"/>
    <w:rsid w:val="005C2BF1"/>
    <w:rsid w:val="005D0BBF"/>
    <w:rsid w:val="005E629A"/>
    <w:rsid w:val="005E6FE1"/>
    <w:rsid w:val="005F3AFC"/>
    <w:rsid w:val="005F5A97"/>
    <w:rsid w:val="006007DA"/>
    <w:rsid w:val="006069A1"/>
    <w:rsid w:val="00614C9F"/>
    <w:rsid w:val="00617C2C"/>
    <w:rsid w:val="00626681"/>
    <w:rsid w:val="00632D59"/>
    <w:rsid w:val="00653E0C"/>
    <w:rsid w:val="00655EE4"/>
    <w:rsid w:val="006579B7"/>
    <w:rsid w:val="00661BE1"/>
    <w:rsid w:val="006642C4"/>
    <w:rsid w:val="00664B9C"/>
    <w:rsid w:val="00670571"/>
    <w:rsid w:val="00674FCB"/>
    <w:rsid w:val="0068655C"/>
    <w:rsid w:val="0069058F"/>
    <w:rsid w:val="006907A6"/>
    <w:rsid w:val="006921D1"/>
    <w:rsid w:val="00694F65"/>
    <w:rsid w:val="006968C1"/>
    <w:rsid w:val="006975D0"/>
    <w:rsid w:val="006A5CFB"/>
    <w:rsid w:val="006A5E2A"/>
    <w:rsid w:val="006B4298"/>
    <w:rsid w:val="006B678D"/>
    <w:rsid w:val="006B7F68"/>
    <w:rsid w:val="006C4B22"/>
    <w:rsid w:val="006C4EB5"/>
    <w:rsid w:val="006C5703"/>
    <w:rsid w:val="006C688F"/>
    <w:rsid w:val="006C7D5A"/>
    <w:rsid w:val="006D1BD7"/>
    <w:rsid w:val="006D6C69"/>
    <w:rsid w:val="006E3839"/>
    <w:rsid w:val="006F3357"/>
    <w:rsid w:val="007001DA"/>
    <w:rsid w:val="0070263C"/>
    <w:rsid w:val="00711C06"/>
    <w:rsid w:val="0071297F"/>
    <w:rsid w:val="00746FD9"/>
    <w:rsid w:val="007517B4"/>
    <w:rsid w:val="0075490C"/>
    <w:rsid w:val="00756755"/>
    <w:rsid w:val="007613B3"/>
    <w:rsid w:val="00774438"/>
    <w:rsid w:val="007826F8"/>
    <w:rsid w:val="007926F9"/>
    <w:rsid w:val="007B543F"/>
    <w:rsid w:val="007B6BF8"/>
    <w:rsid w:val="007C7F78"/>
    <w:rsid w:val="007D2755"/>
    <w:rsid w:val="007D5968"/>
    <w:rsid w:val="007D7750"/>
    <w:rsid w:val="007E4361"/>
    <w:rsid w:val="007E73F5"/>
    <w:rsid w:val="007F7A05"/>
    <w:rsid w:val="00801C3E"/>
    <w:rsid w:val="00804840"/>
    <w:rsid w:val="0080603F"/>
    <w:rsid w:val="00806AF3"/>
    <w:rsid w:val="00812FFA"/>
    <w:rsid w:val="00813D3A"/>
    <w:rsid w:val="00835FB2"/>
    <w:rsid w:val="00840C25"/>
    <w:rsid w:val="00841FB4"/>
    <w:rsid w:val="00845125"/>
    <w:rsid w:val="00853033"/>
    <w:rsid w:val="0086142B"/>
    <w:rsid w:val="00861563"/>
    <w:rsid w:val="00863723"/>
    <w:rsid w:val="00873C12"/>
    <w:rsid w:val="00883D70"/>
    <w:rsid w:val="00884F21"/>
    <w:rsid w:val="00897E96"/>
    <w:rsid w:val="008B0A0B"/>
    <w:rsid w:val="008B3BDE"/>
    <w:rsid w:val="008B5D1A"/>
    <w:rsid w:val="008C5761"/>
    <w:rsid w:val="008D2006"/>
    <w:rsid w:val="008D205E"/>
    <w:rsid w:val="008D79DD"/>
    <w:rsid w:val="008E3411"/>
    <w:rsid w:val="008E375E"/>
    <w:rsid w:val="0090065A"/>
    <w:rsid w:val="00903E9D"/>
    <w:rsid w:val="00905953"/>
    <w:rsid w:val="00906E2A"/>
    <w:rsid w:val="00910CFA"/>
    <w:rsid w:val="00912B5A"/>
    <w:rsid w:val="0091382D"/>
    <w:rsid w:val="009203FF"/>
    <w:rsid w:val="00922852"/>
    <w:rsid w:val="009247BD"/>
    <w:rsid w:val="00944B8B"/>
    <w:rsid w:val="00950BB0"/>
    <w:rsid w:val="009512AC"/>
    <w:rsid w:val="0095309F"/>
    <w:rsid w:val="00960715"/>
    <w:rsid w:val="0096249B"/>
    <w:rsid w:val="00962F0B"/>
    <w:rsid w:val="009637FF"/>
    <w:rsid w:val="00963C52"/>
    <w:rsid w:val="009657AF"/>
    <w:rsid w:val="00970EBD"/>
    <w:rsid w:val="00975550"/>
    <w:rsid w:val="009A0CB7"/>
    <w:rsid w:val="009A1C63"/>
    <w:rsid w:val="009A5EAE"/>
    <w:rsid w:val="009B3C84"/>
    <w:rsid w:val="009B6BAC"/>
    <w:rsid w:val="009B7D22"/>
    <w:rsid w:val="009C1764"/>
    <w:rsid w:val="009D5ED5"/>
    <w:rsid w:val="009E077A"/>
    <w:rsid w:val="009E758D"/>
    <w:rsid w:val="00A0375D"/>
    <w:rsid w:val="00A11FA1"/>
    <w:rsid w:val="00A15D12"/>
    <w:rsid w:val="00A32EC3"/>
    <w:rsid w:val="00A3477D"/>
    <w:rsid w:val="00A56EC7"/>
    <w:rsid w:val="00A6063A"/>
    <w:rsid w:val="00A71AB3"/>
    <w:rsid w:val="00A73543"/>
    <w:rsid w:val="00A7722C"/>
    <w:rsid w:val="00A80C16"/>
    <w:rsid w:val="00A81492"/>
    <w:rsid w:val="00A8354D"/>
    <w:rsid w:val="00A94248"/>
    <w:rsid w:val="00AB1FFC"/>
    <w:rsid w:val="00AB6271"/>
    <w:rsid w:val="00AB75EF"/>
    <w:rsid w:val="00AC083A"/>
    <w:rsid w:val="00AC78AC"/>
    <w:rsid w:val="00AE48C4"/>
    <w:rsid w:val="00AF077A"/>
    <w:rsid w:val="00AF3B0E"/>
    <w:rsid w:val="00B02636"/>
    <w:rsid w:val="00B05ABF"/>
    <w:rsid w:val="00B14BE6"/>
    <w:rsid w:val="00B22FF0"/>
    <w:rsid w:val="00B24CE7"/>
    <w:rsid w:val="00B25923"/>
    <w:rsid w:val="00B35723"/>
    <w:rsid w:val="00B37562"/>
    <w:rsid w:val="00B4127F"/>
    <w:rsid w:val="00B415E7"/>
    <w:rsid w:val="00B51D78"/>
    <w:rsid w:val="00B62832"/>
    <w:rsid w:val="00B63E76"/>
    <w:rsid w:val="00B66698"/>
    <w:rsid w:val="00B677D8"/>
    <w:rsid w:val="00B814B7"/>
    <w:rsid w:val="00B84938"/>
    <w:rsid w:val="00B96CAE"/>
    <w:rsid w:val="00BB1006"/>
    <w:rsid w:val="00BB4A6F"/>
    <w:rsid w:val="00BC0092"/>
    <w:rsid w:val="00BC06E9"/>
    <w:rsid w:val="00BC36D9"/>
    <w:rsid w:val="00BF605F"/>
    <w:rsid w:val="00C046B2"/>
    <w:rsid w:val="00C05313"/>
    <w:rsid w:val="00C11A55"/>
    <w:rsid w:val="00C16364"/>
    <w:rsid w:val="00C251A2"/>
    <w:rsid w:val="00C25DC0"/>
    <w:rsid w:val="00C34C2B"/>
    <w:rsid w:val="00C401E7"/>
    <w:rsid w:val="00C448ED"/>
    <w:rsid w:val="00C45F12"/>
    <w:rsid w:val="00C525F3"/>
    <w:rsid w:val="00C62EFB"/>
    <w:rsid w:val="00C67879"/>
    <w:rsid w:val="00C756A2"/>
    <w:rsid w:val="00C77B32"/>
    <w:rsid w:val="00C81444"/>
    <w:rsid w:val="00C92726"/>
    <w:rsid w:val="00C96F2B"/>
    <w:rsid w:val="00C972F8"/>
    <w:rsid w:val="00CA7D10"/>
    <w:rsid w:val="00CB3A47"/>
    <w:rsid w:val="00CD3149"/>
    <w:rsid w:val="00CD3E5C"/>
    <w:rsid w:val="00CE46A7"/>
    <w:rsid w:val="00CE769B"/>
    <w:rsid w:val="00D03797"/>
    <w:rsid w:val="00D042EF"/>
    <w:rsid w:val="00D05933"/>
    <w:rsid w:val="00D06544"/>
    <w:rsid w:val="00D24E21"/>
    <w:rsid w:val="00D26336"/>
    <w:rsid w:val="00D266E0"/>
    <w:rsid w:val="00D3303B"/>
    <w:rsid w:val="00D35998"/>
    <w:rsid w:val="00D43182"/>
    <w:rsid w:val="00D460BE"/>
    <w:rsid w:val="00D5258E"/>
    <w:rsid w:val="00D541BC"/>
    <w:rsid w:val="00D61A9A"/>
    <w:rsid w:val="00D64897"/>
    <w:rsid w:val="00D65CAB"/>
    <w:rsid w:val="00D67207"/>
    <w:rsid w:val="00D675C4"/>
    <w:rsid w:val="00D72E5E"/>
    <w:rsid w:val="00D837B1"/>
    <w:rsid w:val="00D84097"/>
    <w:rsid w:val="00D85B9B"/>
    <w:rsid w:val="00D86D91"/>
    <w:rsid w:val="00D92AE1"/>
    <w:rsid w:val="00DA286D"/>
    <w:rsid w:val="00DA5BA6"/>
    <w:rsid w:val="00DB50E2"/>
    <w:rsid w:val="00DE40E3"/>
    <w:rsid w:val="00DF0817"/>
    <w:rsid w:val="00DF7CB5"/>
    <w:rsid w:val="00E00B53"/>
    <w:rsid w:val="00E05D94"/>
    <w:rsid w:val="00E13740"/>
    <w:rsid w:val="00E2153C"/>
    <w:rsid w:val="00E24709"/>
    <w:rsid w:val="00E5163F"/>
    <w:rsid w:val="00E54A5D"/>
    <w:rsid w:val="00E55B2F"/>
    <w:rsid w:val="00E5655B"/>
    <w:rsid w:val="00E612AA"/>
    <w:rsid w:val="00E61D56"/>
    <w:rsid w:val="00E6290D"/>
    <w:rsid w:val="00E630F3"/>
    <w:rsid w:val="00E654DC"/>
    <w:rsid w:val="00E67E32"/>
    <w:rsid w:val="00E82A93"/>
    <w:rsid w:val="00E867E1"/>
    <w:rsid w:val="00EA6D4D"/>
    <w:rsid w:val="00EB76A6"/>
    <w:rsid w:val="00EC369D"/>
    <w:rsid w:val="00EC5E3A"/>
    <w:rsid w:val="00EE3A60"/>
    <w:rsid w:val="00EE7747"/>
    <w:rsid w:val="00EF5A83"/>
    <w:rsid w:val="00F027D0"/>
    <w:rsid w:val="00F136C0"/>
    <w:rsid w:val="00F2296D"/>
    <w:rsid w:val="00F22AF4"/>
    <w:rsid w:val="00F2300E"/>
    <w:rsid w:val="00F24528"/>
    <w:rsid w:val="00F246C3"/>
    <w:rsid w:val="00F2641A"/>
    <w:rsid w:val="00F31886"/>
    <w:rsid w:val="00F322CB"/>
    <w:rsid w:val="00F349B0"/>
    <w:rsid w:val="00F35E74"/>
    <w:rsid w:val="00F46C6A"/>
    <w:rsid w:val="00F509A4"/>
    <w:rsid w:val="00F55F6C"/>
    <w:rsid w:val="00F7484C"/>
    <w:rsid w:val="00F834BF"/>
    <w:rsid w:val="00F8439C"/>
    <w:rsid w:val="00F85AA2"/>
    <w:rsid w:val="00F86FAC"/>
    <w:rsid w:val="00F90618"/>
    <w:rsid w:val="00F97B64"/>
    <w:rsid w:val="00FA55CB"/>
    <w:rsid w:val="00FB6F21"/>
    <w:rsid w:val="00FC0559"/>
    <w:rsid w:val="00FC1ABD"/>
    <w:rsid w:val="00FC3BA6"/>
    <w:rsid w:val="00FD2C14"/>
    <w:rsid w:val="00FD2F5B"/>
    <w:rsid w:val="00FE1530"/>
    <w:rsid w:val="00FE3848"/>
    <w:rsid w:val="00FE46C7"/>
    <w:rsid w:val="00FF713E"/>
    <w:rsid w:val="00FF7A15"/>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3,List Paragraph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B24CE7"/>
    <w:rPr>
      <w:rFonts w:ascii="Arial" w:eastAsia="MS PGothic" w:hAnsi="Arial"/>
      <w:color w:val="000000"/>
    </w:rPr>
  </w:style>
  <w:style w:type="paragraph" w:styleId="NoSpacing">
    <w:name w:val="No Spacing"/>
    <w:uiPriority w:val="1"/>
    <w:qFormat/>
    <w:rsid w:val="00A32EC3"/>
    <w:rPr>
      <w:rFonts w:asciiTheme="minorHAnsi" w:eastAsiaTheme="minorHAnsi" w:hAnsiTheme="minorHAnsi" w:cstheme="minorBidi"/>
      <w:sz w:val="22"/>
      <w:szCs w:val="22"/>
      <w:lang w:val="fr-FR"/>
    </w:rPr>
  </w:style>
  <w:style w:type="character" w:styleId="CommentReference">
    <w:name w:val="annotation reference"/>
    <w:basedOn w:val="DefaultParagraphFont"/>
    <w:semiHidden/>
    <w:unhideWhenUsed/>
    <w:rsid w:val="00086BC3"/>
    <w:rPr>
      <w:sz w:val="16"/>
      <w:szCs w:val="16"/>
    </w:rPr>
  </w:style>
  <w:style w:type="paragraph" w:styleId="CommentSubject">
    <w:name w:val="annotation subject"/>
    <w:basedOn w:val="CommentText"/>
    <w:next w:val="CommentText"/>
    <w:link w:val="CommentSubjectChar"/>
    <w:semiHidden/>
    <w:unhideWhenUsed/>
    <w:rsid w:val="00086BC3"/>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86BC3"/>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846B9-902D-440B-94DC-1758612848FE}">
  <ds:schemaRefs>
    <ds:schemaRef ds:uri="http://schemas.openxmlformats.org/officeDocument/2006/bibliography"/>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29</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Ndayikeze</cp:lastModifiedBy>
  <cp:revision>5</cp:revision>
  <cp:lastPrinted>2017-01-06T22:20:00Z</cp:lastPrinted>
  <dcterms:created xsi:type="dcterms:W3CDTF">2021-11-22T06:59:00Z</dcterms:created>
  <dcterms:modified xsi:type="dcterms:W3CDTF">2021-11-22T07:27:00Z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