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58B6" w14:textId="574083AD" w:rsidR="00BA5891" w:rsidRPr="00730173" w:rsidRDefault="00BA5891" w:rsidP="00730173">
      <w:pPr>
        <w:spacing w:after="120" w:line="240" w:lineRule="auto"/>
        <w:jc w:val="center"/>
        <w:rPr>
          <w:rFonts w:ascii="Times New Roman" w:eastAsia="Times New Roman" w:hAnsi="Times New Roman" w:cs="Times New Roman"/>
          <w:b/>
          <w:color w:val="000000"/>
          <w:lang w:val="fr-FR"/>
        </w:rPr>
      </w:pPr>
      <w:r w:rsidRPr="00730173">
        <w:rPr>
          <w:b/>
          <w:sz w:val="28"/>
          <w:szCs w:val="28"/>
          <w:lang w:val="fr-FR"/>
        </w:rPr>
        <w:t xml:space="preserve"> </w:t>
      </w:r>
      <w:r w:rsidR="00730F9C" w:rsidRPr="00730173">
        <w:rPr>
          <w:b/>
          <w:sz w:val="28"/>
          <w:szCs w:val="28"/>
          <w:lang w:val="fr-FR"/>
        </w:rPr>
        <w:t xml:space="preserve"> </w:t>
      </w:r>
      <w:r w:rsidRPr="00730173">
        <w:rPr>
          <w:rFonts w:ascii="Times New Roman" w:eastAsia="Times New Roman" w:hAnsi="Times New Roman" w:cs="Times New Roman"/>
          <w:b/>
          <w:color w:val="000000"/>
          <w:lang w:val="fr-FR"/>
        </w:rPr>
        <w:t>TERM</w:t>
      </w:r>
      <w:r w:rsidR="00D323DB">
        <w:rPr>
          <w:rFonts w:ascii="Times New Roman" w:eastAsia="Times New Roman" w:hAnsi="Times New Roman" w:cs="Times New Roman"/>
          <w:b/>
          <w:color w:val="000000"/>
          <w:lang w:val="fr-FR"/>
        </w:rPr>
        <w:t>E</w:t>
      </w:r>
      <w:r w:rsidRPr="00730173">
        <w:rPr>
          <w:rFonts w:ascii="Times New Roman" w:eastAsia="Times New Roman" w:hAnsi="Times New Roman" w:cs="Times New Roman"/>
          <w:b/>
          <w:color w:val="000000"/>
          <w:lang w:val="fr-FR"/>
        </w:rPr>
        <w:t xml:space="preserve">S </w:t>
      </w:r>
      <w:r w:rsidR="00730173" w:rsidRPr="00730173">
        <w:rPr>
          <w:rFonts w:ascii="Times New Roman" w:eastAsia="Times New Roman" w:hAnsi="Times New Roman" w:cs="Times New Roman"/>
          <w:b/>
          <w:color w:val="000000"/>
          <w:lang w:val="fr-FR"/>
        </w:rPr>
        <w:t>DE</w:t>
      </w:r>
      <w:r w:rsidRPr="00730173">
        <w:rPr>
          <w:rFonts w:ascii="Times New Roman" w:eastAsia="Times New Roman" w:hAnsi="Times New Roman" w:cs="Times New Roman"/>
          <w:b/>
          <w:color w:val="000000"/>
          <w:lang w:val="fr-FR"/>
        </w:rPr>
        <w:t xml:space="preserve"> REFERENCE</w:t>
      </w:r>
      <w:r w:rsidR="00730173" w:rsidRPr="00730173">
        <w:rPr>
          <w:rFonts w:ascii="Times New Roman" w:eastAsia="Times New Roman" w:hAnsi="Times New Roman" w:cs="Times New Roman"/>
          <w:b/>
          <w:color w:val="000000"/>
          <w:lang w:val="fr-FR"/>
        </w:rPr>
        <w:t xml:space="preserve"> </w:t>
      </w:r>
      <w:proofErr w:type="gramStart"/>
      <w:r w:rsidR="00D168AA">
        <w:rPr>
          <w:rFonts w:ascii="Times New Roman" w:eastAsia="Times New Roman" w:hAnsi="Times New Roman" w:cs="Times New Roman"/>
          <w:b/>
          <w:color w:val="000000"/>
          <w:lang w:val="fr-FR"/>
        </w:rPr>
        <w:t xml:space="preserve">DU </w:t>
      </w:r>
      <w:r w:rsidR="00730173" w:rsidRPr="00730173">
        <w:rPr>
          <w:rFonts w:ascii="Times New Roman" w:eastAsia="Times New Roman" w:hAnsi="Times New Roman" w:cs="Times New Roman"/>
          <w:b/>
          <w:color w:val="000000"/>
          <w:lang w:val="fr-FR"/>
        </w:rPr>
        <w:t xml:space="preserve"> ROSTER</w:t>
      </w:r>
      <w:proofErr w:type="gramEnd"/>
      <w:r w:rsidR="00730173" w:rsidRPr="00730173">
        <w:rPr>
          <w:rFonts w:ascii="Times New Roman" w:eastAsia="Times New Roman" w:hAnsi="Times New Roman" w:cs="Times New Roman"/>
          <w:b/>
          <w:color w:val="000000"/>
          <w:lang w:val="fr-FR"/>
        </w:rPr>
        <w:t xml:space="preserve"> </w:t>
      </w:r>
      <w:r w:rsidR="00D168AA">
        <w:rPr>
          <w:rFonts w:ascii="Times New Roman" w:eastAsia="Times New Roman" w:hAnsi="Times New Roman" w:cs="Times New Roman"/>
          <w:b/>
          <w:color w:val="000000"/>
          <w:lang w:val="fr-FR"/>
        </w:rPr>
        <w:t xml:space="preserve">POUR LES </w:t>
      </w:r>
      <w:r w:rsidRPr="00730173">
        <w:rPr>
          <w:rFonts w:ascii="Times New Roman" w:eastAsia="Times New Roman" w:hAnsi="Times New Roman" w:cs="Times New Roman"/>
          <w:b/>
          <w:color w:val="000000"/>
          <w:lang w:val="fr-FR"/>
        </w:rPr>
        <w:t>CONSULTANT</w:t>
      </w:r>
      <w:r w:rsidR="00730173" w:rsidRPr="00730173">
        <w:rPr>
          <w:rFonts w:ascii="Times New Roman" w:eastAsia="Times New Roman" w:hAnsi="Times New Roman" w:cs="Times New Roman"/>
          <w:b/>
          <w:color w:val="000000"/>
          <w:lang w:val="fr-FR"/>
        </w:rPr>
        <w:t>S</w:t>
      </w:r>
      <w:r w:rsidRPr="00730173">
        <w:rPr>
          <w:rFonts w:ascii="Times New Roman" w:eastAsia="Times New Roman" w:hAnsi="Times New Roman" w:cs="Times New Roman"/>
          <w:b/>
          <w:color w:val="000000"/>
          <w:lang w:val="fr-FR"/>
        </w:rPr>
        <w:t xml:space="preserve"> </w:t>
      </w:r>
      <w:r w:rsidR="00730173" w:rsidRPr="00730173">
        <w:rPr>
          <w:rFonts w:ascii="Times New Roman" w:eastAsia="Times New Roman" w:hAnsi="Times New Roman" w:cs="Times New Roman"/>
          <w:b/>
          <w:color w:val="000000"/>
          <w:lang w:val="fr-FR"/>
        </w:rPr>
        <w:t xml:space="preserve">NATIONAUX </w:t>
      </w:r>
      <w:r w:rsidR="00C13572">
        <w:rPr>
          <w:rFonts w:ascii="Times New Roman" w:eastAsia="Times New Roman" w:hAnsi="Times New Roman" w:cs="Times New Roman"/>
          <w:b/>
          <w:color w:val="000000"/>
          <w:lang w:val="fr-FR"/>
        </w:rPr>
        <w:t>SBC</w:t>
      </w:r>
      <w:r w:rsidR="00DE604A">
        <w:rPr>
          <w:rFonts w:ascii="Times New Roman" w:eastAsia="Times New Roman" w:hAnsi="Times New Roman" w:cs="Times New Roman"/>
          <w:b/>
          <w:color w:val="000000"/>
          <w:lang w:val="fr-FR"/>
        </w:rPr>
        <w:t xml:space="preserve"> EN APPUI AU PROGRAMME DE L’UNICEF</w:t>
      </w:r>
    </w:p>
    <w:p w14:paraId="66FBAB00" w14:textId="131E0EF8" w:rsidR="005174BD" w:rsidRPr="00730173" w:rsidRDefault="005174BD" w:rsidP="00A842E3">
      <w:pPr>
        <w:pStyle w:val="NoSpacing"/>
        <w:jc w:val="center"/>
        <w:rPr>
          <w:sz w:val="28"/>
          <w:szCs w:val="28"/>
          <w:lang w:val="fr-FR"/>
        </w:rPr>
      </w:pPr>
    </w:p>
    <w:tbl>
      <w:tblPr>
        <w:tblStyle w:val="TableGrid"/>
        <w:tblW w:w="5071" w:type="pct"/>
        <w:tblInd w:w="85" w:type="dxa"/>
        <w:tblLook w:val="04A0" w:firstRow="1" w:lastRow="0" w:firstColumn="1" w:lastColumn="0" w:noHBand="0" w:noVBand="1"/>
      </w:tblPr>
      <w:tblGrid>
        <w:gridCol w:w="2921"/>
        <w:gridCol w:w="7069"/>
      </w:tblGrid>
      <w:tr w:rsidR="00BA5891" w:rsidRPr="00E55DAC" w14:paraId="46B3D9ED" w14:textId="77777777" w:rsidTr="00E55DAC">
        <w:trPr>
          <w:trHeight w:val="733"/>
        </w:trPr>
        <w:tc>
          <w:tcPr>
            <w:tcW w:w="1462" w:type="pct"/>
            <w:vAlign w:val="center"/>
            <w:hideMark/>
          </w:tcPr>
          <w:p w14:paraId="4A59136D" w14:textId="77777777" w:rsidR="00BA5891" w:rsidRPr="00E94789" w:rsidRDefault="00BA5891" w:rsidP="00BA5891">
            <w:pPr>
              <w:ind w:left="360" w:hanging="360"/>
              <w:jc w:val="both"/>
              <w:rPr>
                <w:rFonts w:eastAsia="Times New Roman" w:cstheme="minorHAnsi"/>
                <w:b/>
                <w:bCs/>
                <w:color w:val="000000"/>
                <w:lang w:val="fr-FR" w:eastAsia="zh-CN"/>
              </w:rPr>
            </w:pPr>
            <w:r w:rsidRPr="00E94789">
              <w:rPr>
                <w:rFonts w:eastAsia="Times New Roman" w:cstheme="minorHAnsi"/>
                <w:b/>
                <w:bCs/>
                <w:color w:val="000000"/>
                <w:lang w:val="fr-FR" w:eastAsia="zh-CN"/>
              </w:rPr>
              <w:t>Titre</w:t>
            </w:r>
          </w:p>
        </w:tc>
        <w:tc>
          <w:tcPr>
            <w:tcW w:w="3538" w:type="pct"/>
          </w:tcPr>
          <w:p w14:paraId="03FAC713" w14:textId="0A3B29EF" w:rsidR="00BA5891" w:rsidRPr="00E94789" w:rsidRDefault="005906C4" w:rsidP="00BA5891">
            <w:pPr>
              <w:jc w:val="both"/>
              <w:rPr>
                <w:rFonts w:cstheme="minorHAnsi"/>
                <w:lang w:val="fr-FR"/>
              </w:rPr>
            </w:pPr>
            <w:r>
              <w:rPr>
                <w:rFonts w:ascii="Times New Roman" w:eastAsia="Times New Roman" w:hAnsi="Times New Roman" w:cs="Times New Roman"/>
                <w:color w:val="000000"/>
                <w:lang w:val="fr-FR"/>
              </w:rPr>
              <w:t xml:space="preserve">Roster des consultants nationaux </w:t>
            </w:r>
            <w:r w:rsidR="00A76927">
              <w:rPr>
                <w:rFonts w:ascii="Times New Roman" w:eastAsia="Times New Roman" w:hAnsi="Times New Roman" w:cs="Times New Roman"/>
                <w:color w:val="000000"/>
                <w:lang w:val="fr-FR"/>
              </w:rPr>
              <w:t>SBC</w:t>
            </w:r>
          </w:p>
        </w:tc>
      </w:tr>
      <w:tr w:rsidR="00BA5891" w:rsidRPr="00E55DAC" w14:paraId="4A5133C1" w14:textId="77777777" w:rsidTr="00E55DAC">
        <w:trPr>
          <w:trHeight w:val="232"/>
        </w:trPr>
        <w:tc>
          <w:tcPr>
            <w:tcW w:w="1462" w:type="pct"/>
            <w:vAlign w:val="center"/>
            <w:hideMark/>
          </w:tcPr>
          <w:p w14:paraId="7CBC3182" w14:textId="72946704" w:rsidR="00BA5891" w:rsidRPr="00E94789" w:rsidRDefault="00BA5891" w:rsidP="00BA5891">
            <w:pPr>
              <w:ind w:left="360" w:hanging="360"/>
              <w:jc w:val="both"/>
              <w:rPr>
                <w:rFonts w:eastAsia="Times New Roman" w:cstheme="minorHAnsi"/>
                <w:b/>
                <w:bCs/>
                <w:color w:val="000000"/>
                <w:lang w:val="fr-FR" w:eastAsia="zh-CN"/>
              </w:rPr>
            </w:pPr>
            <w:r w:rsidRPr="00E94789">
              <w:rPr>
                <w:rFonts w:eastAsia="Times New Roman" w:cstheme="minorHAnsi"/>
                <w:b/>
                <w:bCs/>
                <w:color w:val="000000"/>
                <w:lang w:val="fr-FR" w:eastAsia="zh-CN"/>
              </w:rPr>
              <w:t>Objectif</w:t>
            </w:r>
          </w:p>
        </w:tc>
        <w:tc>
          <w:tcPr>
            <w:tcW w:w="3538" w:type="pct"/>
            <w:vAlign w:val="center"/>
          </w:tcPr>
          <w:p w14:paraId="1D00FF5C" w14:textId="134B9FDC" w:rsidR="00BA5891" w:rsidRPr="00FF6611" w:rsidRDefault="00FF6611" w:rsidP="005906C4">
            <w:pPr>
              <w:spacing w:before="60" w:after="60"/>
              <w:rPr>
                <w:rFonts w:ascii="Times New Roman" w:eastAsia="MS Mincho" w:hAnsi="Times New Roman" w:cs="Times New Roman"/>
                <w:lang w:val="fr-FR" w:eastAsia="en-GB"/>
              </w:rPr>
            </w:pPr>
            <w:r w:rsidRPr="00D318D7">
              <w:rPr>
                <w:rFonts w:ascii="Times New Roman" w:eastAsia="MS Mincho" w:hAnsi="Times New Roman" w:cs="Times New Roman"/>
                <w:lang w:val="fr-FR" w:eastAsia="en-GB"/>
              </w:rPr>
              <w:t>L'objectif principal d</w:t>
            </w:r>
            <w:r w:rsidR="005906C4">
              <w:rPr>
                <w:rFonts w:ascii="Times New Roman" w:eastAsia="MS Mincho" w:hAnsi="Times New Roman" w:cs="Times New Roman"/>
                <w:lang w:val="fr-FR" w:eastAsia="en-GB"/>
              </w:rPr>
              <w:t xml:space="preserve">u Roster </w:t>
            </w:r>
            <w:r w:rsidR="00D323DB" w:rsidRPr="00D318D7">
              <w:rPr>
                <w:rFonts w:ascii="Times New Roman" w:eastAsia="MS Mincho" w:hAnsi="Times New Roman" w:cs="Times New Roman"/>
                <w:lang w:val="fr-FR" w:eastAsia="en-GB"/>
              </w:rPr>
              <w:t>es</w:t>
            </w:r>
            <w:r w:rsidR="00D323DB">
              <w:rPr>
                <w:rFonts w:ascii="Times New Roman" w:eastAsia="MS Mincho" w:hAnsi="Times New Roman" w:cs="Times New Roman"/>
                <w:lang w:val="fr-FR" w:eastAsia="en-GB"/>
              </w:rPr>
              <w:t>t de</w:t>
            </w:r>
            <w:r w:rsidR="005906C4">
              <w:rPr>
                <w:rFonts w:ascii="Times New Roman" w:eastAsia="MS Mincho" w:hAnsi="Times New Roman" w:cs="Times New Roman"/>
                <w:sz w:val="24"/>
                <w:szCs w:val="24"/>
                <w:lang w:val="fr-FR" w:eastAsia="en-GB"/>
              </w:rPr>
              <w:t xml:space="preserve"> constituer une banque des données des consultants SBC potentiels à </w:t>
            </w:r>
            <w:proofErr w:type="gramStart"/>
            <w:r w:rsidR="005906C4">
              <w:rPr>
                <w:rFonts w:ascii="Times New Roman" w:eastAsia="MS Mincho" w:hAnsi="Times New Roman" w:cs="Times New Roman"/>
                <w:sz w:val="24"/>
                <w:szCs w:val="24"/>
                <w:lang w:val="fr-FR" w:eastAsia="en-GB"/>
              </w:rPr>
              <w:t xml:space="preserve">recruter  </w:t>
            </w:r>
            <w:r w:rsidR="00DE604A" w:rsidRPr="00E94789">
              <w:rPr>
                <w:rFonts w:cstheme="minorHAnsi"/>
                <w:lang w:val="fr-FR"/>
              </w:rPr>
              <w:t>en</w:t>
            </w:r>
            <w:proofErr w:type="gramEnd"/>
            <w:r w:rsidR="00DE604A" w:rsidRPr="00E94789">
              <w:rPr>
                <w:rFonts w:cstheme="minorHAnsi"/>
                <w:lang w:val="fr-FR"/>
              </w:rPr>
              <w:t xml:space="preserve"> appui </w:t>
            </w:r>
            <w:r w:rsidR="00DE604A" w:rsidRPr="004949E4">
              <w:rPr>
                <w:rFonts w:cstheme="minorHAnsi"/>
                <w:lang w:val="fr-FR"/>
              </w:rPr>
              <w:t>aux interventions de l’UNICEF</w:t>
            </w:r>
            <w:r w:rsidR="00DE604A">
              <w:rPr>
                <w:rFonts w:cstheme="minorHAnsi"/>
                <w:lang w:val="fr-FR"/>
              </w:rPr>
              <w:t>.</w:t>
            </w:r>
          </w:p>
        </w:tc>
      </w:tr>
      <w:tr w:rsidR="00BA5891" w:rsidRPr="00E55DAC" w14:paraId="1AA2EEA4" w14:textId="77777777" w:rsidTr="00E55DAC">
        <w:trPr>
          <w:trHeight w:val="325"/>
        </w:trPr>
        <w:tc>
          <w:tcPr>
            <w:tcW w:w="1462" w:type="pct"/>
            <w:vAlign w:val="center"/>
            <w:hideMark/>
          </w:tcPr>
          <w:p w14:paraId="4CA3D441" w14:textId="77777777" w:rsidR="00BA5891" w:rsidRPr="00E94789" w:rsidRDefault="00BA5891" w:rsidP="00BA5891">
            <w:pPr>
              <w:ind w:left="360" w:hanging="360"/>
              <w:jc w:val="both"/>
              <w:rPr>
                <w:rFonts w:eastAsia="Times New Roman" w:cstheme="minorHAnsi"/>
                <w:b/>
                <w:bCs/>
                <w:color w:val="000000"/>
                <w:lang w:val="fr-FR" w:eastAsia="zh-CN"/>
              </w:rPr>
            </w:pPr>
            <w:r w:rsidRPr="00E94789">
              <w:rPr>
                <w:rFonts w:eastAsia="Times New Roman" w:cstheme="minorHAnsi"/>
                <w:b/>
                <w:bCs/>
                <w:color w:val="000000"/>
                <w:lang w:val="fr-FR" w:eastAsia="zh-CN"/>
              </w:rPr>
              <w:t>Lieu</w:t>
            </w:r>
          </w:p>
        </w:tc>
        <w:tc>
          <w:tcPr>
            <w:tcW w:w="3538" w:type="pct"/>
            <w:vAlign w:val="center"/>
          </w:tcPr>
          <w:p w14:paraId="4412A724" w14:textId="458CB214" w:rsidR="00BA5891" w:rsidRPr="00E94789" w:rsidRDefault="00730173" w:rsidP="00BA5891">
            <w:pPr>
              <w:rPr>
                <w:rFonts w:cstheme="minorHAnsi"/>
                <w:b/>
                <w:iCs/>
                <w:lang w:val="fr-FR"/>
              </w:rPr>
            </w:pPr>
            <w:r w:rsidRPr="00730173">
              <w:rPr>
                <w:rFonts w:ascii="Times New Roman" w:eastAsia="MS Mincho" w:hAnsi="Times New Roman" w:cs="Times New Roman"/>
                <w:lang w:val="fr-FR" w:eastAsia="en-GB"/>
              </w:rPr>
              <w:t>Multiples (provinces de mise en œuvre de la riposte</w:t>
            </w:r>
            <w:r w:rsidR="00BF3CBB">
              <w:rPr>
                <w:rFonts w:ascii="Times New Roman" w:eastAsia="MS Mincho" w:hAnsi="Times New Roman" w:cs="Times New Roman"/>
                <w:lang w:val="fr-FR" w:eastAsia="en-GB"/>
              </w:rPr>
              <w:t>)</w:t>
            </w:r>
          </w:p>
        </w:tc>
      </w:tr>
      <w:tr w:rsidR="00BA5891" w:rsidRPr="00E94789" w14:paraId="429421F7" w14:textId="77777777" w:rsidTr="00E55DAC">
        <w:trPr>
          <w:trHeight w:val="325"/>
        </w:trPr>
        <w:tc>
          <w:tcPr>
            <w:tcW w:w="1462" w:type="pct"/>
            <w:vAlign w:val="center"/>
            <w:hideMark/>
          </w:tcPr>
          <w:p w14:paraId="77A9C5E4" w14:textId="77777777" w:rsidR="00BA5891" w:rsidRPr="00E94789" w:rsidRDefault="00BA5891" w:rsidP="00BA5891">
            <w:pPr>
              <w:ind w:left="360" w:hanging="360"/>
              <w:jc w:val="both"/>
              <w:rPr>
                <w:rFonts w:eastAsia="Times New Roman" w:cstheme="minorHAnsi"/>
                <w:b/>
                <w:bCs/>
                <w:color w:val="000000"/>
                <w:lang w:val="fr-FR" w:eastAsia="zh-CN"/>
              </w:rPr>
            </w:pPr>
            <w:r w:rsidRPr="00E94789">
              <w:rPr>
                <w:rFonts w:eastAsia="Times New Roman" w:cstheme="minorHAnsi"/>
                <w:b/>
                <w:bCs/>
                <w:color w:val="000000"/>
                <w:lang w:val="fr-FR" w:eastAsia="zh-CN"/>
              </w:rPr>
              <w:t xml:space="preserve">Durée </w:t>
            </w:r>
          </w:p>
        </w:tc>
        <w:tc>
          <w:tcPr>
            <w:tcW w:w="3538" w:type="pct"/>
            <w:vAlign w:val="center"/>
          </w:tcPr>
          <w:p w14:paraId="4719C47F" w14:textId="78420C6B" w:rsidR="00BA5891" w:rsidRPr="00E94789" w:rsidRDefault="003C293A" w:rsidP="00BA5891">
            <w:pPr>
              <w:spacing w:after="120"/>
              <w:ind w:left="360" w:hanging="360"/>
              <w:rPr>
                <w:rFonts w:cstheme="minorHAnsi"/>
                <w:i/>
                <w:highlight w:val="yellow"/>
                <w:lang w:val="fr-FR"/>
              </w:rPr>
            </w:pPr>
            <w:r>
              <w:rPr>
                <w:rFonts w:cstheme="minorHAnsi"/>
                <w:lang w:val="fr-FR"/>
              </w:rPr>
              <w:t xml:space="preserve">A </w:t>
            </w:r>
            <w:r w:rsidR="00133F7F">
              <w:rPr>
                <w:rFonts w:cstheme="minorHAnsi"/>
                <w:lang w:val="fr-FR"/>
              </w:rPr>
              <w:t>déterminée</w:t>
            </w:r>
          </w:p>
        </w:tc>
      </w:tr>
      <w:tr w:rsidR="00BA5891" w:rsidRPr="00E94789" w14:paraId="1E174BE4" w14:textId="77777777" w:rsidTr="00E55DAC">
        <w:trPr>
          <w:trHeight w:val="336"/>
        </w:trPr>
        <w:tc>
          <w:tcPr>
            <w:tcW w:w="1462" w:type="pct"/>
            <w:vAlign w:val="center"/>
            <w:hideMark/>
          </w:tcPr>
          <w:p w14:paraId="73AA349B" w14:textId="2C69B213" w:rsidR="00BA5891" w:rsidRPr="00E94789" w:rsidRDefault="00BA5891" w:rsidP="00BA5891">
            <w:pPr>
              <w:rPr>
                <w:rFonts w:eastAsia="Times New Roman" w:cstheme="minorHAnsi"/>
                <w:b/>
                <w:bCs/>
                <w:color w:val="000000"/>
                <w:lang w:val="fr-FR" w:eastAsia="zh-CN"/>
              </w:rPr>
            </w:pPr>
            <w:r w:rsidRPr="00E94789">
              <w:rPr>
                <w:rFonts w:eastAsia="Times New Roman" w:cstheme="minorHAnsi"/>
                <w:b/>
                <w:bCs/>
                <w:color w:val="000000"/>
                <w:lang w:val="fr-FR" w:eastAsia="zh-CN"/>
              </w:rPr>
              <w:t>Gestionnaire du contrat/ Section</w:t>
            </w:r>
          </w:p>
        </w:tc>
        <w:tc>
          <w:tcPr>
            <w:tcW w:w="3538" w:type="pct"/>
            <w:vAlign w:val="center"/>
          </w:tcPr>
          <w:p w14:paraId="63B1264D" w14:textId="7EF70000" w:rsidR="00BA5891" w:rsidRPr="00E94789" w:rsidRDefault="00730173" w:rsidP="00BA5891">
            <w:pPr>
              <w:spacing w:after="120"/>
              <w:ind w:left="360" w:hanging="360"/>
              <w:rPr>
                <w:rFonts w:cstheme="minorHAnsi"/>
                <w:b/>
                <w:iCs/>
                <w:lang w:val="en-US"/>
              </w:rPr>
            </w:pPr>
            <w:proofErr w:type="gramStart"/>
            <w:r>
              <w:rPr>
                <w:rFonts w:ascii="Times New Roman" w:eastAsia="Times New Roman" w:hAnsi="Times New Roman" w:cs="Times New Roman"/>
                <w:color w:val="000000"/>
              </w:rPr>
              <w:t xml:space="preserve">Section </w:t>
            </w:r>
            <w:r w:rsidR="00C13572">
              <w:rPr>
                <w:rFonts w:ascii="Times New Roman" w:eastAsia="Times New Roman" w:hAnsi="Times New Roman" w:cs="Times New Roman"/>
                <w:color w:val="000000"/>
              </w:rPr>
              <w:t xml:space="preserve"> SBC</w:t>
            </w:r>
            <w:proofErr w:type="gramEnd"/>
            <w:r w:rsidR="00C13572">
              <w:rPr>
                <w:rFonts w:ascii="Times New Roman" w:eastAsia="Times New Roman" w:hAnsi="Times New Roman" w:cs="Times New Roman"/>
                <w:color w:val="000000"/>
              </w:rPr>
              <w:t xml:space="preserve"> </w:t>
            </w:r>
          </w:p>
        </w:tc>
      </w:tr>
    </w:tbl>
    <w:p w14:paraId="58FF0469" w14:textId="77777777" w:rsidR="003B46DC" w:rsidRPr="00E94789" w:rsidRDefault="003B46DC" w:rsidP="000734C6">
      <w:pPr>
        <w:pStyle w:val="NoSpacing"/>
        <w:rPr>
          <w:rFonts w:cstheme="minorHAnsi"/>
          <w:lang w:val="fr-FR"/>
        </w:rPr>
      </w:pPr>
    </w:p>
    <w:tbl>
      <w:tblPr>
        <w:tblW w:w="100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4"/>
        <w:gridCol w:w="8345"/>
      </w:tblGrid>
      <w:tr w:rsidR="000F4257" w:rsidRPr="00E94789" w14:paraId="6E065134" w14:textId="77777777" w:rsidTr="00E55DAC">
        <w:trPr>
          <w:trHeight w:val="585"/>
          <w:tblCellSpacing w:w="15" w:type="dxa"/>
        </w:trPr>
        <w:tc>
          <w:tcPr>
            <w:tcW w:w="1747"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AA64A65" w14:textId="77777777" w:rsidR="000F4257" w:rsidRPr="006518A0" w:rsidRDefault="000F4257" w:rsidP="0028525E">
            <w:pPr>
              <w:adjustRightInd w:val="0"/>
              <w:snapToGrid w:val="0"/>
              <w:spacing w:before="120" w:after="120" w:line="240" w:lineRule="auto"/>
              <w:ind w:left="142"/>
              <w:rPr>
                <w:rFonts w:eastAsia="Times New Roman" w:cstheme="minorHAnsi"/>
                <w:b/>
                <w:color w:val="000000"/>
                <w:sz w:val="24"/>
                <w:szCs w:val="24"/>
                <w:lang w:val="en-US"/>
              </w:rPr>
            </w:pPr>
            <w:r w:rsidRPr="006518A0">
              <w:rPr>
                <w:rFonts w:eastAsia="Times New Roman" w:cstheme="minorHAnsi"/>
                <w:b/>
                <w:bCs/>
                <w:color w:val="000000"/>
                <w:sz w:val="24"/>
                <w:szCs w:val="24"/>
                <w:lang w:val="en-US"/>
              </w:rPr>
              <w:t>Section</w:t>
            </w:r>
          </w:p>
        </w:tc>
        <w:tc>
          <w:tcPr>
            <w:tcW w:w="8235"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880BE03" w14:textId="77777777" w:rsidR="000F4257" w:rsidRPr="006518A0" w:rsidRDefault="008F34F4" w:rsidP="0066544E">
            <w:pPr>
              <w:adjustRightInd w:val="0"/>
              <w:snapToGrid w:val="0"/>
              <w:spacing w:before="120" w:after="120" w:line="240" w:lineRule="auto"/>
              <w:jc w:val="center"/>
              <w:rPr>
                <w:rFonts w:eastAsia="Times New Roman" w:cstheme="minorHAnsi"/>
                <w:b/>
                <w:color w:val="000000"/>
                <w:sz w:val="24"/>
                <w:szCs w:val="24"/>
                <w:lang w:val="en-US"/>
              </w:rPr>
            </w:pPr>
            <w:proofErr w:type="spellStart"/>
            <w:r w:rsidRPr="006518A0">
              <w:rPr>
                <w:rFonts w:eastAsia="Times New Roman" w:cstheme="minorHAnsi"/>
                <w:b/>
                <w:bCs/>
                <w:color w:val="000000"/>
                <w:sz w:val="24"/>
                <w:szCs w:val="24"/>
                <w:lang w:val="en-US"/>
              </w:rPr>
              <w:t>Contenu</w:t>
            </w:r>
            <w:proofErr w:type="spellEnd"/>
          </w:p>
        </w:tc>
      </w:tr>
      <w:tr w:rsidR="00BA5891" w:rsidRPr="00E55DAC" w14:paraId="44F5517D" w14:textId="77777777" w:rsidTr="00E55DAC">
        <w:trPr>
          <w:tblCellSpacing w:w="15" w:type="dxa"/>
        </w:trPr>
        <w:tc>
          <w:tcPr>
            <w:tcW w:w="1747" w:type="dxa"/>
            <w:tcBorders>
              <w:top w:val="outset" w:sz="6" w:space="0" w:color="auto"/>
              <w:left w:val="outset" w:sz="6" w:space="0" w:color="auto"/>
              <w:bottom w:val="outset" w:sz="6" w:space="0" w:color="auto"/>
              <w:right w:val="outset" w:sz="6" w:space="0" w:color="auto"/>
            </w:tcBorders>
            <w:hideMark/>
          </w:tcPr>
          <w:p w14:paraId="0366291C" w14:textId="77777777" w:rsidR="00BA5891" w:rsidRPr="00840FA4" w:rsidRDefault="00BA5891" w:rsidP="00BA5891">
            <w:pPr>
              <w:adjustRightInd w:val="0"/>
              <w:snapToGrid w:val="0"/>
              <w:spacing w:after="0" w:line="240" w:lineRule="auto"/>
              <w:ind w:left="142"/>
              <w:rPr>
                <w:rFonts w:eastAsia="Times New Roman" w:cstheme="minorHAnsi"/>
                <w:b/>
                <w:color w:val="000000"/>
                <w:sz w:val="24"/>
                <w:szCs w:val="24"/>
                <w:lang w:val="en-US"/>
              </w:rPr>
            </w:pPr>
            <w:r w:rsidRPr="00840FA4">
              <w:rPr>
                <w:rFonts w:eastAsia="Times New Roman" w:cstheme="minorHAnsi"/>
                <w:b/>
                <w:color w:val="000000"/>
                <w:sz w:val="24"/>
                <w:szCs w:val="24"/>
                <w:lang w:val="en-US"/>
              </w:rPr>
              <w:t>Contexte</w:t>
            </w:r>
          </w:p>
        </w:tc>
        <w:tc>
          <w:tcPr>
            <w:tcW w:w="8235" w:type="dxa"/>
            <w:tcBorders>
              <w:top w:val="outset" w:sz="6" w:space="0" w:color="auto"/>
              <w:left w:val="outset" w:sz="6" w:space="0" w:color="auto"/>
              <w:bottom w:val="outset" w:sz="6" w:space="0" w:color="auto"/>
              <w:right w:val="outset" w:sz="6" w:space="0" w:color="auto"/>
            </w:tcBorders>
            <w:hideMark/>
          </w:tcPr>
          <w:p w14:paraId="740ED032" w14:textId="77777777" w:rsidR="003412D7" w:rsidRPr="00E94789" w:rsidRDefault="003412D7" w:rsidP="003412D7">
            <w:pPr>
              <w:ind w:left="360"/>
              <w:jc w:val="both"/>
              <w:rPr>
                <w:rFonts w:cstheme="minorHAnsi"/>
                <w:lang w:val="fr-FR"/>
              </w:rPr>
            </w:pPr>
            <w:r w:rsidRPr="00E94789">
              <w:rPr>
                <w:rFonts w:cstheme="minorHAnsi"/>
                <w:lang w:val="fr-FR"/>
              </w:rPr>
              <w:t>La République Démocratique du Congo (RDC), avec une superficie de plus 2 345 000 Km2 est l’un des pays les plus vaste en Afrique. Sa population en 2021 est estimée à 115 955 375 habitants dont les enfants de 0 à 11 mois sont estimés à 4 638 215 et ceux de moins de 5 ans à 21 915 566. Sur le plan administratif, le pays comprend 26 Provinces dont chacune renferme une Division provinciale de la Santé. 519 Zones de santé, 9 134 Aires de santé et 19 283 formations sanitaires se trouvent dans ces 26 Provinces.</w:t>
            </w:r>
          </w:p>
          <w:p w14:paraId="7756061F" w14:textId="77777777" w:rsidR="003412D7" w:rsidRPr="00E94789" w:rsidRDefault="003412D7" w:rsidP="003412D7">
            <w:pPr>
              <w:ind w:left="360"/>
              <w:jc w:val="both"/>
              <w:rPr>
                <w:rFonts w:cstheme="minorHAnsi"/>
                <w:lang w:val="fr-FR"/>
              </w:rPr>
            </w:pPr>
            <w:r w:rsidRPr="00E94789">
              <w:rPr>
                <w:rFonts w:cstheme="minorHAnsi"/>
                <w:lang w:val="fr-FR"/>
              </w:rPr>
              <w:t xml:space="preserve">Malgré les progrès réalisés au cours de la dernière décennie, la situation des enfants et des femmes en République démocratique du Congo (RDC) reste précaire. </w:t>
            </w:r>
          </w:p>
          <w:p w14:paraId="3A35CC1F" w14:textId="77777777" w:rsidR="003412D7" w:rsidRPr="00E94789" w:rsidRDefault="003412D7" w:rsidP="003412D7">
            <w:pPr>
              <w:ind w:left="360"/>
              <w:jc w:val="both"/>
              <w:rPr>
                <w:rFonts w:cstheme="minorHAnsi"/>
                <w:lang w:val="fr-FR"/>
              </w:rPr>
            </w:pPr>
            <w:r w:rsidRPr="00E94789">
              <w:rPr>
                <w:rFonts w:cstheme="minorHAnsi"/>
                <w:lang w:val="fr-FR"/>
              </w:rPr>
              <w:t>Sur le plan de la santé</w:t>
            </w:r>
            <w:r w:rsidRPr="00E94789">
              <w:rPr>
                <w:rFonts w:cstheme="minorHAnsi"/>
                <w:lang w:val="fr-FR" w:eastAsia="ja-JP"/>
              </w:rPr>
              <w:t xml:space="preserve">, par exemple, la </w:t>
            </w:r>
            <w:r w:rsidRPr="00E94789">
              <w:rPr>
                <w:rFonts w:cstheme="minorHAnsi"/>
                <w:lang w:val="fr-FR"/>
              </w:rPr>
              <w:t xml:space="preserve">RDC fait régulièrement face à plusieurs épidémies, notamment celles de la maladie </w:t>
            </w:r>
            <w:r>
              <w:rPr>
                <w:rFonts w:cstheme="minorHAnsi"/>
                <w:lang w:val="fr-FR"/>
              </w:rPr>
              <w:t>à</w:t>
            </w:r>
            <w:r w:rsidRPr="00E94789">
              <w:rPr>
                <w:rFonts w:cstheme="minorHAnsi"/>
                <w:lang w:val="fr-FR"/>
              </w:rPr>
              <w:t xml:space="preserve"> virus Ebola, de COVID-19, de la Polio, de la Rougeole et de la Fièvre jaune etc. Certaines de ces maladies sont, pourtant, des maladies évitables par la vaccination et dont les campagnes de vaccination de masse ont été organisées ou sont en train d’être organisées pour les juguler. </w:t>
            </w:r>
          </w:p>
          <w:p w14:paraId="3CE49AA7" w14:textId="09D958B7" w:rsidR="003412D7" w:rsidRDefault="003412D7" w:rsidP="003412D7">
            <w:pPr>
              <w:ind w:left="360"/>
              <w:jc w:val="both"/>
              <w:rPr>
                <w:rFonts w:cstheme="minorHAnsi"/>
                <w:lang w:val="fr-FR"/>
              </w:rPr>
            </w:pPr>
            <w:r w:rsidRPr="00E94789">
              <w:rPr>
                <w:rFonts w:cstheme="minorHAnsi"/>
                <w:lang w:val="fr-FR"/>
              </w:rPr>
              <w:t>En 2022, le pays a enregistré 64 cas confirmés de Polio (cVDPV2), sont concernées les provinces du Maniema avec 56 cas, Nord Kivu 2 cas, Sud Kivu 4 cas, Tanganyika 2 cas et Haut Katanga 1 cas (EVN)</w:t>
            </w:r>
            <w:r>
              <w:rPr>
                <w:rFonts w:cstheme="minorHAnsi"/>
                <w:lang w:val="fr-FR"/>
              </w:rPr>
              <w:t>.</w:t>
            </w:r>
          </w:p>
          <w:p w14:paraId="4630CCDC" w14:textId="79E2150E" w:rsidR="003412D7" w:rsidRDefault="003412D7" w:rsidP="003412D7">
            <w:pPr>
              <w:ind w:left="360"/>
              <w:jc w:val="both"/>
              <w:rPr>
                <w:rFonts w:cstheme="minorHAnsi"/>
                <w:lang w:val="fr-FR"/>
              </w:rPr>
            </w:pPr>
            <w:r w:rsidRPr="00E94789">
              <w:rPr>
                <w:rFonts w:cstheme="minorHAnsi"/>
                <w:lang w:val="fr-FR"/>
              </w:rPr>
              <w:t>Selon le PEV national, via le DHIS2(2020), la couverture vaccinale nationale en Penta 1 est de 100% contre 94% en Penta 3 montants un taux de perdition de 6%. Celle du BCG et de VAA est identique (88%) et loin des objectifs nationaux. La moyenne des enfants non vaccinés est de 16% et 32% respectivement</w:t>
            </w:r>
            <w:r w:rsidRPr="00E94789">
              <w:rPr>
                <w:rFonts w:eastAsia="Times New Roman" w:cstheme="minorHAnsi"/>
                <w:lang w:val="fr-FR" w:eastAsia="fr-FR"/>
              </w:rPr>
              <w:t xml:space="preserve"> </w:t>
            </w:r>
            <w:r w:rsidRPr="00E94789">
              <w:rPr>
                <w:rFonts w:cstheme="minorHAnsi"/>
                <w:lang w:val="fr-FR"/>
              </w:rPr>
              <w:t xml:space="preserve">pour le Penta 1 et le VAR avec probablement 636 014 enfants non vaccinés au Penta et 1 272 029 enfants manqués au VAR à l’échelle du pays. </w:t>
            </w:r>
          </w:p>
          <w:p w14:paraId="714EB677" w14:textId="4B55CB06" w:rsidR="00D858E2" w:rsidRPr="00E94789" w:rsidRDefault="00D858E2" w:rsidP="003412D7">
            <w:pPr>
              <w:ind w:left="360"/>
              <w:jc w:val="both"/>
              <w:rPr>
                <w:rFonts w:cstheme="minorHAnsi"/>
                <w:lang w:val="fr-FR"/>
              </w:rPr>
            </w:pPr>
            <w:r w:rsidRPr="00840FA4">
              <w:rPr>
                <w:rFonts w:ascii="Times New Roman" w:hAnsi="Times New Roman" w:cs="Times New Roman"/>
                <w:sz w:val="24"/>
                <w:szCs w:val="24"/>
                <w:lang w:val="fr-FR"/>
              </w:rPr>
              <w:t xml:space="preserve">Dans le but d’apporter une réponse adéquate aux nouveaux foyers épidémiques n’ayant pas encore bénéficié de riposte vaccinale et conformément aux procédures opérationnelles standards (SOPs), le pays en collaboration avec les différents </w:t>
            </w:r>
            <w:r w:rsidRPr="00840FA4">
              <w:rPr>
                <w:rFonts w:ascii="Times New Roman" w:hAnsi="Times New Roman" w:cs="Times New Roman"/>
                <w:sz w:val="24"/>
                <w:szCs w:val="24"/>
                <w:lang w:val="fr-FR"/>
              </w:rPr>
              <w:lastRenderedPageBreak/>
              <w:t xml:space="preserve">partenaires envisage d’organiser </w:t>
            </w:r>
            <w:r>
              <w:rPr>
                <w:rFonts w:ascii="Times New Roman" w:hAnsi="Times New Roman" w:cs="Times New Roman"/>
                <w:sz w:val="24"/>
                <w:szCs w:val="24"/>
                <w:lang w:val="fr-FR"/>
              </w:rPr>
              <w:t xml:space="preserve">des </w:t>
            </w:r>
            <w:r w:rsidRPr="00840FA4">
              <w:rPr>
                <w:rFonts w:ascii="Times New Roman" w:hAnsi="Times New Roman" w:cs="Times New Roman"/>
                <w:sz w:val="24"/>
                <w:szCs w:val="24"/>
                <w:lang w:val="fr-FR"/>
              </w:rPr>
              <w:t>riposte</w:t>
            </w:r>
            <w:r>
              <w:rPr>
                <w:rFonts w:ascii="Times New Roman" w:hAnsi="Times New Roman" w:cs="Times New Roman"/>
                <w:sz w:val="24"/>
                <w:szCs w:val="24"/>
                <w:lang w:val="fr-FR"/>
              </w:rPr>
              <w:t>s</w:t>
            </w:r>
            <w:r w:rsidRPr="00840FA4">
              <w:rPr>
                <w:rFonts w:ascii="Times New Roman" w:hAnsi="Times New Roman" w:cs="Times New Roman"/>
                <w:sz w:val="24"/>
                <w:szCs w:val="24"/>
                <w:lang w:val="fr-FR"/>
              </w:rPr>
              <w:t xml:space="preserve"> vaccinale</w:t>
            </w:r>
            <w:r>
              <w:rPr>
                <w:rFonts w:ascii="Times New Roman" w:hAnsi="Times New Roman" w:cs="Times New Roman"/>
                <w:sz w:val="24"/>
                <w:szCs w:val="24"/>
                <w:lang w:val="fr-FR"/>
              </w:rPr>
              <w:t>s</w:t>
            </w:r>
            <w:r w:rsidRPr="00840FA4">
              <w:rPr>
                <w:rFonts w:ascii="Times New Roman" w:hAnsi="Times New Roman" w:cs="Times New Roman"/>
                <w:sz w:val="24"/>
                <w:szCs w:val="24"/>
                <w:lang w:val="fr-FR"/>
              </w:rPr>
              <w:t xml:space="preserve"> de deux passages dans les</w:t>
            </w:r>
            <w:r>
              <w:rPr>
                <w:rFonts w:ascii="Times New Roman" w:hAnsi="Times New Roman" w:cs="Times New Roman"/>
                <w:sz w:val="24"/>
                <w:szCs w:val="24"/>
                <w:lang w:val="fr-FR"/>
              </w:rPr>
              <w:t xml:space="preserve"> </w:t>
            </w:r>
            <w:r w:rsidRPr="00840FA4">
              <w:rPr>
                <w:rFonts w:ascii="Times New Roman" w:hAnsi="Times New Roman" w:cs="Times New Roman"/>
                <w:sz w:val="24"/>
                <w:szCs w:val="24"/>
                <w:lang w:val="fr-FR"/>
              </w:rPr>
              <w:t>provinces à risque</w:t>
            </w:r>
            <w:r>
              <w:rPr>
                <w:rFonts w:ascii="Times New Roman" w:hAnsi="Times New Roman" w:cs="Times New Roman"/>
                <w:sz w:val="24"/>
                <w:szCs w:val="24"/>
                <w:lang w:val="fr-FR"/>
              </w:rPr>
              <w:t xml:space="preserve"> durant l’année 202</w:t>
            </w:r>
          </w:p>
          <w:p w14:paraId="33F4E648" w14:textId="77777777" w:rsidR="00D858E2" w:rsidRPr="00E94789" w:rsidRDefault="00D858E2" w:rsidP="00D858E2">
            <w:pPr>
              <w:ind w:left="360"/>
              <w:jc w:val="both"/>
              <w:rPr>
                <w:rFonts w:cstheme="minorHAnsi"/>
                <w:lang w:val="fr-FR"/>
              </w:rPr>
            </w:pPr>
            <w:r w:rsidRPr="00E94789">
              <w:rPr>
                <w:rFonts w:cstheme="minorHAnsi"/>
                <w:lang w:val="fr-FR"/>
              </w:rPr>
              <w:t xml:space="preserve">De manière générale, les principaux défis de l’offre et de la demande de vaccination liés à la vaccination tant en routine qu’en campagnes sont la persistance d’un grand nombre d’enfants non vaccinés, la faible qualité des données de vaccination, la faible disponibilité des vaccins, la faible demande de la vaccination, la survenue des épidémies (poliomyélite, rougeole, fièvre jaune, COVID 19 …) au même moment. Surtout dans le contexte de Covid-19, les rumeurs et les désinformations circulent à travers plusieurs canaux touchant non seulement la vaccination contre la pandémie mais aussi toutes les autres maladies évitables par la vaccination. </w:t>
            </w:r>
          </w:p>
          <w:p w14:paraId="56959EF9" w14:textId="77777777" w:rsidR="00D858E2" w:rsidRDefault="00D858E2" w:rsidP="00D858E2">
            <w:pPr>
              <w:ind w:left="360"/>
              <w:jc w:val="both"/>
              <w:rPr>
                <w:rFonts w:cstheme="minorHAnsi"/>
                <w:lang w:val="fr-FR"/>
              </w:rPr>
            </w:pPr>
            <w:r w:rsidRPr="00E94789">
              <w:rPr>
                <w:rFonts w:cstheme="minorHAnsi"/>
                <w:lang w:val="fr-FR"/>
              </w:rPr>
              <w:t xml:space="preserve">La précarité de la situation des femmes et des enfants est aussi étroitement liée au faible niveau d’adoption des pratiques familiales, qui aurait dû favoriser une meilleure survie, une meilleure éducation et une meilleure protection des enfants, mais aussi au faible niveau d’utilisation par les familles des services sociaux de base et à l’existence/persistance de perceptions, de croyances et de normes sociales défavorables. Il est donc important d’influencer ces normes sociales et d’améliorer les connaissances, les attitudes, les croyances et les comportements liés à la santé, à l’éducation et à la protection. </w:t>
            </w:r>
          </w:p>
          <w:p w14:paraId="45009491" w14:textId="77777777" w:rsidR="00D858E2" w:rsidRDefault="00D858E2" w:rsidP="00D858E2">
            <w:pPr>
              <w:ind w:left="360"/>
              <w:jc w:val="both"/>
              <w:rPr>
                <w:rFonts w:cstheme="minorHAnsi"/>
                <w:lang w:val="fr-FR"/>
              </w:rPr>
            </w:pPr>
            <w:r w:rsidRPr="00E94789">
              <w:rPr>
                <w:rFonts w:cstheme="minorHAnsi"/>
                <w:lang w:val="fr-FR"/>
              </w:rPr>
              <w:t>C’est dans cette perceptive que la section SBS a mis à jour sa stratégie, qui est notamment basée sur l’engagement communautaire, les médias, y compris la radio communautaire et l’engagement numérique et U-Report.</w:t>
            </w:r>
          </w:p>
          <w:p w14:paraId="761C8055" w14:textId="13A7F228" w:rsidR="00D858E2" w:rsidRDefault="00D858E2" w:rsidP="00D858E2">
            <w:pPr>
              <w:ind w:left="360"/>
              <w:jc w:val="both"/>
              <w:rPr>
                <w:rFonts w:cstheme="minorHAnsi"/>
                <w:lang w:val="fr-FR"/>
              </w:rPr>
            </w:pPr>
            <w:r>
              <w:rPr>
                <w:rFonts w:cstheme="minorHAnsi"/>
                <w:lang w:val="fr-FR"/>
              </w:rPr>
              <w:t xml:space="preserve">Face </w:t>
            </w:r>
            <w:r w:rsidR="00DE604A">
              <w:rPr>
                <w:rFonts w:cstheme="minorHAnsi"/>
                <w:lang w:val="fr-FR"/>
              </w:rPr>
              <w:t>à la</w:t>
            </w:r>
            <w:r>
              <w:rPr>
                <w:rFonts w:cstheme="minorHAnsi"/>
                <w:lang w:val="fr-FR"/>
              </w:rPr>
              <w:t xml:space="preserve"> situation décrite ci-haut, il est donc nécessaire de déployer des consultants SBC afin d’appuyer</w:t>
            </w:r>
            <w:r w:rsidR="00DE604A" w:rsidRPr="00E94789">
              <w:rPr>
                <w:rFonts w:cstheme="minorHAnsi"/>
                <w:lang w:val="fr-FR"/>
              </w:rPr>
              <w:t xml:space="preserve"> </w:t>
            </w:r>
            <w:r>
              <w:rPr>
                <w:rFonts w:cstheme="minorHAnsi"/>
                <w:lang w:val="fr-FR"/>
              </w:rPr>
              <w:t xml:space="preserve">les </w:t>
            </w:r>
            <w:r w:rsidR="00DE604A">
              <w:rPr>
                <w:rFonts w:cstheme="minorHAnsi"/>
                <w:lang w:val="fr-FR"/>
              </w:rPr>
              <w:t>interventions liées</w:t>
            </w:r>
            <w:r>
              <w:rPr>
                <w:rFonts w:cstheme="minorHAnsi"/>
                <w:lang w:val="fr-FR"/>
              </w:rPr>
              <w:t xml:space="preserve"> à la promotion des pratiques familiales essentielles, à l’amélioration de la demande et acceptation de la vaccination </w:t>
            </w:r>
            <w:proofErr w:type="gramStart"/>
            <w:r w:rsidR="00DE604A">
              <w:rPr>
                <w:rFonts w:cstheme="minorHAnsi"/>
                <w:lang w:val="fr-FR"/>
              </w:rPr>
              <w:t xml:space="preserve">et  </w:t>
            </w:r>
            <w:r>
              <w:rPr>
                <w:rFonts w:cstheme="minorHAnsi"/>
                <w:lang w:val="fr-FR"/>
              </w:rPr>
              <w:t>l’engagement</w:t>
            </w:r>
            <w:proofErr w:type="gramEnd"/>
            <w:r>
              <w:rPr>
                <w:rFonts w:cstheme="minorHAnsi"/>
                <w:lang w:val="fr-FR"/>
              </w:rPr>
              <w:t xml:space="preserve"> communautaire.</w:t>
            </w:r>
          </w:p>
          <w:p w14:paraId="4B838377" w14:textId="01720D5A" w:rsidR="00D858E2" w:rsidRPr="00D858E2" w:rsidRDefault="00D858E2" w:rsidP="00D858E2">
            <w:pPr>
              <w:ind w:left="360"/>
              <w:jc w:val="both"/>
              <w:rPr>
                <w:rFonts w:cstheme="minorHAnsi"/>
                <w:lang w:val="fr-FR"/>
              </w:rPr>
            </w:pPr>
            <w:r w:rsidRPr="00DE604A">
              <w:rPr>
                <w:rFonts w:cstheme="minorHAnsi"/>
                <w:lang w:val="fr-FR"/>
              </w:rPr>
              <w:t>C’est dans cette optique que ce roster est mis en place pour un deploiement à temps de nos appuis sur le terrain.</w:t>
            </w:r>
          </w:p>
          <w:p w14:paraId="722D12A2" w14:textId="6C3162F1" w:rsidR="003412D7" w:rsidRPr="00E94789" w:rsidRDefault="00D858E2" w:rsidP="003412D7">
            <w:pPr>
              <w:ind w:left="360"/>
              <w:jc w:val="both"/>
              <w:rPr>
                <w:rFonts w:cstheme="minorHAnsi"/>
                <w:lang w:val="fr-FR"/>
              </w:rPr>
            </w:pPr>
            <w:r>
              <w:rPr>
                <w:rFonts w:cstheme="minorHAnsi"/>
                <w:lang w:val="fr-FR"/>
              </w:rPr>
              <w:t xml:space="preserve"> </w:t>
            </w:r>
          </w:p>
          <w:p w14:paraId="05C2D4BE" w14:textId="77777777" w:rsidR="003C293A" w:rsidRPr="001C77B9" w:rsidRDefault="003C293A" w:rsidP="00840FA4">
            <w:pPr>
              <w:jc w:val="both"/>
              <w:rPr>
                <w:rFonts w:ascii="Times New Roman" w:hAnsi="Times New Roman" w:cs="Times New Roman"/>
                <w:sz w:val="24"/>
                <w:szCs w:val="24"/>
                <w:lang w:val="fr-FR"/>
              </w:rPr>
            </w:pPr>
          </w:p>
          <w:p w14:paraId="2BFDDC33" w14:textId="68ED961B" w:rsidR="00F907C5" w:rsidRPr="00840FA4" w:rsidRDefault="00F907C5" w:rsidP="00133F7F">
            <w:pPr>
              <w:jc w:val="both"/>
              <w:rPr>
                <w:rFonts w:eastAsia="MS Mincho" w:cstheme="minorHAnsi"/>
                <w:sz w:val="24"/>
                <w:szCs w:val="24"/>
                <w:lang w:val="fr-FR" w:eastAsia="ja-JP"/>
              </w:rPr>
            </w:pPr>
          </w:p>
        </w:tc>
      </w:tr>
      <w:tr w:rsidR="00FF4A81" w:rsidRPr="00E55DAC" w14:paraId="1C7BB75B" w14:textId="77777777" w:rsidTr="00E55DAC">
        <w:trPr>
          <w:trHeight w:val="1755"/>
          <w:tblCellSpacing w:w="15" w:type="dxa"/>
        </w:trPr>
        <w:tc>
          <w:tcPr>
            <w:tcW w:w="1747" w:type="dxa"/>
            <w:tcBorders>
              <w:top w:val="outset" w:sz="6" w:space="0" w:color="auto"/>
              <w:left w:val="outset" w:sz="6" w:space="0" w:color="auto"/>
              <w:bottom w:val="outset" w:sz="6" w:space="0" w:color="auto"/>
              <w:right w:val="outset" w:sz="6" w:space="0" w:color="auto"/>
            </w:tcBorders>
            <w:hideMark/>
          </w:tcPr>
          <w:p w14:paraId="33F1B117" w14:textId="132DEC13" w:rsidR="00FF4A81" w:rsidRPr="00DF5510" w:rsidRDefault="0092255D" w:rsidP="00FF4A81">
            <w:pPr>
              <w:adjustRightInd w:val="0"/>
              <w:snapToGrid w:val="0"/>
              <w:spacing w:after="0" w:line="240" w:lineRule="auto"/>
              <w:ind w:left="142"/>
              <w:rPr>
                <w:rFonts w:eastAsia="Times New Roman" w:cstheme="minorHAnsi"/>
                <w:b/>
                <w:color w:val="000000"/>
                <w:sz w:val="24"/>
                <w:szCs w:val="24"/>
                <w:lang w:val="fr-FR"/>
              </w:rPr>
            </w:pPr>
            <w:r>
              <w:rPr>
                <w:rFonts w:eastAsia="Times New Roman" w:cstheme="minorHAnsi"/>
                <w:b/>
                <w:color w:val="000000"/>
                <w:sz w:val="24"/>
                <w:szCs w:val="24"/>
                <w:lang w:val="fr-FR"/>
              </w:rPr>
              <w:lastRenderedPageBreak/>
              <w:t xml:space="preserve"> </w:t>
            </w:r>
            <w:r w:rsidR="00FF4A81" w:rsidRPr="00DF5510">
              <w:rPr>
                <w:rFonts w:eastAsia="Times New Roman" w:cstheme="minorHAnsi"/>
                <w:b/>
                <w:color w:val="000000"/>
                <w:sz w:val="24"/>
                <w:szCs w:val="24"/>
                <w:lang w:val="fr-FR"/>
              </w:rPr>
              <w:t>Description de la mission</w:t>
            </w:r>
            <w:r w:rsidR="00DF5510">
              <w:rPr>
                <w:rFonts w:eastAsia="Times New Roman" w:cstheme="minorHAnsi"/>
                <w:b/>
                <w:color w:val="000000"/>
                <w:sz w:val="24"/>
                <w:szCs w:val="24"/>
                <w:lang w:val="fr-FR"/>
              </w:rPr>
              <w:t xml:space="preserve"> et résultats attendus</w:t>
            </w:r>
            <w:r w:rsidR="00DF5510" w:rsidRPr="00DF5510">
              <w:rPr>
                <w:rFonts w:eastAsia="Times New Roman" w:cstheme="minorHAnsi"/>
                <w:b/>
                <w:color w:val="000000"/>
                <w:sz w:val="24"/>
                <w:szCs w:val="24"/>
                <w:lang w:val="fr-FR"/>
              </w:rPr>
              <w:t xml:space="preserve"> </w:t>
            </w:r>
          </w:p>
        </w:tc>
        <w:tc>
          <w:tcPr>
            <w:tcW w:w="8235" w:type="dxa"/>
            <w:tcBorders>
              <w:top w:val="outset" w:sz="6" w:space="0" w:color="auto"/>
              <w:left w:val="outset" w:sz="6" w:space="0" w:color="auto"/>
              <w:bottom w:val="outset" w:sz="6" w:space="0" w:color="auto"/>
              <w:right w:val="outset" w:sz="6" w:space="0" w:color="auto"/>
            </w:tcBorders>
            <w:hideMark/>
          </w:tcPr>
          <w:p w14:paraId="0A5CF6FD" w14:textId="37A8F4ED" w:rsidR="00DF5510" w:rsidRPr="00D61C5C" w:rsidRDefault="00DF5510" w:rsidP="00DF5510">
            <w:pPr>
              <w:jc w:val="both"/>
              <w:rPr>
                <w:rFonts w:eastAsia="Times New Roman" w:cstheme="minorHAnsi"/>
                <w:b/>
                <w:bCs/>
                <w:lang w:val="fr-FR" w:eastAsia="fr-FR"/>
              </w:rPr>
            </w:pPr>
            <w:r w:rsidRPr="00D61C5C">
              <w:rPr>
                <w:rFonts w:eastAsia="Times New Roman" w:cstheme="minorHAnsi"/>
                <w:b/>
                <w:bCs/>
                <w:lang w:val="fr-FR" w:eastAsia="fr-FR"/>
              </w:rPr>
              <w:t>Taches des consultants SB</w:t>
            </w:r>
            <w:r w:rsidR="00D168AA">
              <w:rPr>
                <w:rFonts w:eastAsia="Times New Roman" w:cstheme="minorHAnsi"/>
                <w:b/>
                <w:bCs/>
                <w:lang w:val="fr-FR" w:eastAsia="fr-FR"/>
              </w:rPr>
              <w:t>C</w:t>
            </w:r>
            <w:r w:rsidRPr="00D61C5C">
              <w:rPr>
                <w:rFonts w:eastAsia="Times New Roman" w:cstheme="minorHAnsi"/>
                <w:b/>
                <w:bCs/>
                <w:lang w:val="fr-FR" w:eastAsia="fr-FR"/>
              </w:rPr>
              <w:t xml:space="preserve">  :</w:t>
            </w:r>
          </w:p>
          <w:p w14:paraId="2B7C0BCC" w14:textId="19813FB4" w:rsidR="00DF5510" w:rsidRPr="006C2425" w:rsidRDefault="00DF5510" w:rsidP="00DF5510">
            <w:pPr>
              <w:pStyle w:val="ListParagraph"/>
              <w:numPr>
                <w:ilvl w:val="0"/>
                <w:numId w:val="44"/>
              </w:numPr>
              <w:spacing w:after="0" w:line="240" w:lineRule="auto"/>
              <w:jc w:val="both"/>
              <w:rPr>
                <w:rFonts w:eastAsia="Times New Roman" w:cstheme="minorHAnsi"/>
                <w:b/>
                <w:i/>
                <w:lang w:val="fr-FR" w:eastAsia="fr-FR"/>
              </w:rPr>
            </w:pPr>
            <w:r w:rsidRPr="006C2425">
              <w:rPr>
                <w:rFonts w:eastAsia="Times New Roman" w:cstheme="minorHAnsi"/>
                <w:lang w:val="fr-FR" w:eastAsia="fr-FR"/>
              </w:rPr>
              <w:t>Appuyer le plaidoyer auprès des personnes influentes</w:t>
            </w:r>
            <w:r>
              <w:rPr>
                <w:rFonts w:eastAsia="Times New Roman" w:cstheme="minorHAnsi"/>
                <w:lang w:val="fr-FR" w:eastAsia="fr-FR"/>
              </w:rPr>
              <w:t>, notamment les a</w:t>
            </w:r>
            <w:r w:rsidRPr="006C2425">
              <w:rPr>
                <w:rFonts w:eastAsia="Times New Roman" w:cstheme="minorHAnsi"/>
                <w:lang w:val="fr-FR" w:eastAsia="fr-FR"/>
              </w:rPr>
              <w:t xml:space="preserve">utorités politico-administratives, </w:t>
            </w:r>
            <w:r>
              <w:rPr>
                <w:rFonts w:eastAsia="Times New Roman" w:cstheme="minorHAnsi"/>
                <w:lang w:val="fr-FR" w:eastAsia="fr-FR"/>
              </w:rPr>
              <w:t xml:space="preserve">les </w:t>
            </w:r>
            <w:r w:rsidRPr="006C2425">
              <w:rPr>
                <w:rFonts w:eastAsia="Times New Roman" w:cstheme="minorHAnsi"/>
                <w:lang w:val="fr-FR" w:eastAsia="fr-FR"/>
              </w:rPr>
              <w:t>leaders religieux, traditionnels et d’opinion</w:t>
            </w:r>
            <w:r>
              <w:rPr>
                <w:rFonts w:eastAsia="Times New Roman" w:cstheme="minorHAnsi"/>
                <w:lang w:val="fr-FR" w:eastAsia="fr-FR"/>
              </w:rPr>
              <w:t xml:space="preserve"> ainsi que les influenceurs locaux en vue de </w:t>
            </w:r>
            <w:r w:rsidRPr="006C2425">
              <w:rPr>
                <w:rFonts w:eastAsia="Times New Roman" w:cstheme="minorHAnsi"/>
                <w:lang w:val="fr-FR" w:eastAsia="fr-FR"/>
              </w:rPr>
              <w:t>leur implication et engagement dans l</w:t>
            </w:r>
            <w:r w:rsidR="001D6B58">
              <w:rPr>
                <w:rFonts w:eastAsia="Times New Roman" w:cstheme="minorHAnsi"/>
                <w:lang w:val="fr-FR" w:eastAsia="fr-FR"/>
              </w:rPr>
              <w:t>es interventions de l’UNICEF, notamment l</w:t>
            </w:r>
            <w:r w:rsidRPr="006C2425">
              <w:rPr>
                <w:rFonts w:eastAsia="Times New Roman" w:cstheme="minorHAnsi"/>
                <w:lang w:val="fr-FR" w:eastAsia="fr-FR"/>
              </w:rPr>
              <w:t>a vaccination </w:t>
            </w:r>
            <w:r w:rsidR="001D6B58">
              <w:rPr>
                <w:rFonts w:eastAsia="Times New Roman" w:cstheme="minorHAnsi"/>
                <w:lang w:val="fr-FR" w:eastAsia="fr-FR"/>
              </w:rPr>
              <w:t xml:space="preserve">de routine, les campagnes de masse, </w:t>
            </w:r>
            <w:r>
              <w:rPr>
                <w:rFonts w:eastAsia="Times New Roman" w:cstheme="minorHAnsi"/>
                <w:lang w:val="fr-FR" w:eastAsia="fr-FR"/>
              </w:rPr>
              <w:t xml:space="preserve"> la promotion des pratiques familiales essentielles (PFE)</w:t>
            </w:r>
            <w:r w:rsidR="001D6B58">
              <w:rPr>
                <w:rFonts w:eastAsia="Times New Roman" w:cstheme="minorHAnsi"/>
                <w:lang w:val="fr-FR" w:eastAsia="fr-FR"/>
              </w:rPr>
              <w:t xml:space="preserve"> ainsi que les réponses aux épidémies et autres urgences. </w:t>
            </w:r>
          </w:p>
          <w:p w14:paraId="4704B6D9" w14:textId="77777777" w:rsidR="001D6B58"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6C2425">
              <w:rPr>
                <w:rFonts w:eastAsia="Times New Roman" w:cstheme="minorHAnsi"/>
                <w:lang w:val="fr-FR" w:eastAsia="fr-FR"/>
              </w:rPr>
              <w:t xml:space="preserve">Appuyer la </w:t>
            </w:r>
            <w:r>
              <w:rPr>
                <w:rFonts w:eastAsia="Times New Roman" w:cstheme="minorHAnsi"/>
                <w:lang w:val="fr-FR" w:eastAsia="fr-FR"/>
              </w:rPr>
              <w:t xml:space="preserve">coordination, la planification, la mise en œuvre, le suivi et l’évaluation des interventions SBC </w:t>
            </w:r>
            <w:r w:rsidRPr="006C2425">
              <w:rPr>
                <w:rFonts w:eastAsia="Times New Roman" w:cstheme="minorHAnsi"/>
                <w:lang w:val="fr-FR" w:eastAsia="fr-FR"/>
              </w:rPr>
              <w:t xml:space="preserve">pour soutenir </w:t>
            </w:r>
            <w:r w:rsidR="001D6B58" w:rsidRPr="006C2425">
              <w:rPr>
                <w:rFonts w:eastAsia="Times New Roman" w:cstheme="minorHAnsi"/>
                <w:lang w:val="fr-FR" w:eastAsia="fr-FR"/>
              </w:rPr>
              <w:t>l</w:t>
            </w:r>
            <w:r w:rsidR="001D6B58">
              <w:rPr>
                <w:rFonts w:eastAsia="Times New Roman" w:cstheme="minorHAnsi"/>
                <w:lang w:val="fr-FR" w:eastAsia="fr-FR"/>
              </w:rPr>
              <w:t xml:space="preserve">es interventions de l’UNICEF, </w:t>
            </w:r>
          </w:p>
          <w:p w14:paraId="34E018F1" w14:textId="77777777" w:rsidR="00DF5510"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6C2425">
              <w:rPr>
                <w:rFonts w:eastAsia="Times New Roman" w:cstheme="minorHAnsi"/>
                <w:lang w:val="fr-FR" w:eastAsia="fr-FR"/>
              </w:rPr>
              <w:t>Appuyer la fonctionnalité des commissions/Task Force communication provinciale</w:t>
            </w:r>
          </w:p>
          <w:p w14:paraId="14299D56" w14:textId="506087FC" w:rsidR="00DF5510"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6C2425">
              <w:rPr>
                <w:rFonts w:eastAsia="Times New Roman" w:cstheme="minorHAnsi"/>
                <w:lang w:val="fr-FR" w:eastAsia="fr-FR"/>
              </w:rPr>
              <w:lastRenderedPageBreak/>
              <w:t xml:space="preserve">Appuyer le renforcement des capacités de tous les acteurs impliqués </w:t>
            </w:r>
            <w:r w:rsidR="001D6B58">
              <w:rPr>
                <w:rFonts w:eastAsia="Times New Roman" w:cstheme="minorHAnsi"/>
                <w:lang w:val="fr-FR" w:eastAsia="fr-FR"/>
              </w:rPr>
              <w:t>dans l</w:t>
            </w:r>
            <w:r w:rsidR="001D6B58" w:rsidRPr="006C2425">
              <w:rPr>
                <w:rFonts w:eastAsia="Times New Roman" w:cstheme="minorHAnsi"/>
                <w:lang w:val="fr-FR" w:eastAsia="fr-FR"/>
              </w:rPr>
              <w:t>a vaccination </w:t>
            </w:r>
            <w:r w:rsidR="001D6B58">
              <w:rPr>
                <w:rFonts w:eastAsia="Times New Roman" w:cstheme="minorHAnsi"/>
                <w:lang w:val="fr-FR" w:eastAsia="fr-FR"/>
              </w:rPr>
              <w:t>de routine, les campagnes de masse,  la promotion des pratiques familiales essentielles (PFE) ainsi que les réponses aux épidémies et autres urgences</w:t>
            </w:r>
            <w:r>
              <w:rPr>
                <w:rFonts w:eastAsia="Times New Roman" w:cstheme="minorHAnsi"/>
                <w:lang w:val="fr-FR" w:eastAsia="fr-FR"/>
              </w:rPr>
              <w:t xml:space="preserve"> à tous les niveaux </w:t>
            </w:r>
            <w:r w:rsidRPr="006C2425">
              <w:rPr>
                <w:rFonts w:eastAsia="Times New Roman" w:cstheme="minorHAnsi"/>
                <w:lang w:val="fr-FR" w:eastAsia="fr-FR"/>
              </w:rPr>
              <w:t>afin d’assurer la cohérence des messages</w:t>
            </w:r>
          </w:p>
          <w:p w14:paraId="224DB19B" w14:textId="04A42458" w:rsidR="00D168AA" w:rsidRPr="00D168AA" w:rsidRDefault="00D168AA" w:rsidP="00D168AA">
            <w:pPr>
              <w:pStyle w:val="ListParagraph"/>
              <w:numPr>
                <w:ilvl w:val="0"/>
                <w:numId w:val="44"/>
              </w:numPr>
              <w:spacing w:before="240" w:after="0" w:line="240" w:lineRule="auto"/>
              <w:jc w:val="both"/>
              <w:rPr>
                <w:rFonts w:eastAsia="Times New Roman" w:cstheme="minorHAnsi"/>
                <w:lang w:val="fr-FR" w:eastAsia="fr-FR"/>
              </w:rPr>
            </w:pPr>
            <w:r w:rsidRPr="006C2425">
              <w:rPr>
                <w:rFonts w:eastAsia="Times New Roman" w:cstheme="minorHAnsi"/>
                <w:lang w:val="fr-FR" w:eastAsia="fr-FR"/>
              </w:rPr>
              <w:t xml:space="preserve">Appuyer la commission « Communication » à s’assurer que toutes les </w:t>
            </w:r>
            <w:r>
              <w:rPr>
                <w:rFonts w:eastAsia="Times New Roman" w:cstheme="minorHAnsi"/>
                <w:lang w:val="fr-FR" w:eastAsia="fr-FR"/>
              </w:rPr>
              <w:t>z</w:t>
            </w:r>
            <w:r w:rsidRPr="006C2425">
              <w:rPr>
                <w:rFonts w:eastAsia="Times New Roman" w:cstheme="minorHAnsi"/>
                <w:lang w:val="fr-FR" w:eastAsia="fr-FR"/>
              </w:rPr>
              <w:t>ones de santé disposent des microplans opérationnels de communication pour soutenir l</w:t>
            </w:r>
            <w:r>
              <w:rPr>
                <w:rFonts w:eastAsia="Times New Roman" w:cstheme="minorHAnsi"/>
                <w:lang w:val="fr-FR" w:eastAsia="fr-FR"/>
              </w:rPr>
              <w:t xml:space="preserve">es interventions de l’UNICEF  : engagement communautaire, médias et influenceurs,  engagement digital et SMS, </w:t>
            </w:r>
            <w:r w:rsidRPr="00EF405B">
              <w:rPr>
                <w:rFonts w:eastAsia="Times New Roman" w:cstheme="minorHAnsi"/>
                <w:lang w:val="fr-FR" w:eastAsia="fr-FR"/>
              </w:rPr>
              <w:t xml:space="preserve">Sport et arts pour le développement et engagement du secteur privé. </w:t>
            </w:r>
            <w:r>
              <w:rPr>
                <w:rFonts w:eastAsia="Times New Roman" w:cstheme="minorHAnsi"/>
                <w:lang w:val="fr-FR" w:eastAsia="fr-FR"/>
              </w:rPr>
              <w:t xml:space="preserve"> </w:t>
            </w:r>
          </w:p>
          <w:p w14:paraId="201D7801" w14:textId="77777777" w:rsidR="001D6B58"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6C2425">
              <w:rPr>
                <w:rFonts w:eastAsia="Times New Roman" w:cstheme="minorHAnsi"/>
                <w:lang w:val="fr-FR" w:eastAsia="fr-FR"/>
              </w:rPr>
              <w:t xml:space="preserve">Mettre en place </w:t>
            </w:r>
            <w:r>
              <w:rPr>
                <w:rFonts w:eastAsia="Times New Roman" w:cstheme="minorHAnsi"/>
                <w:lang w:val="fr-FR" w:eastAsia="fr-FR"/>
              </w:rPr>
              <w:t>des</w:t>
            </w:r>
            <w:r w:rsidRPr="006C2425">
              <w:rPr>
                <w:rFonts w:eastAsia="Times New Roman" w:cstheme="minorHAnsi"/>
                <w:lang w:val="fr-FR" w:eastAsia="fr-FR"/>
              </w:rPr>
              <w:t xml:space="preserve"> mécanismes de feed-back communautaire et réponses aux préoccupations de communautés liées </w:t>
            </w:r>
            <w:r w:rsidR="001D6B58">
              <w:rPr>
                <w:rFonts w:eastAsia="Times New Roman" w:cstheme="minorHAnsi"/>
                <w:lang w:val="fr-FR" w:eastAsia="fr-FR"/>
              </w:rPr>
              <w:t>l</w:t>
            </w:r>
            <w:r w:rsidR="001D6B58" w:rsidRPr="006C2425">
              <w:rPr>
                <w:rFonts w:eastAsia="Times New Roman" w:cstheme="minorHAnsi"/>
                <w:lang w:val="fr-FR" w:eastAsia="fr-FR"/>
              </w:rPr>
              <w:t>a vaccination </w:t>
            </w:r>
            <w:r w:rsidR="001D6B58">
              <w:rPr>
                <w:rFonts w:eastAsia="Times New Roman" w:cstheme="minorHAnsi"/>
                <w:lang w:val="fr-FR" w:eastAsia="fr-FR"/>
              </w:rPr>
              <w:t>de routine, les campagnes de masse,  la promotion des pratiques familiales essentielles (PFE) ainsi que les réponses aux épidémies et autres urgences</w:t>
            </w:r>
            <w:r w:rsidR="001D6B58" w:rsidRPr="00F1006B">
              <w:rPr>
                <w:rFonts w:eastAsia="Times New Roman" w:cstheme="minorHAnsi"/>
                <w:lang w:val="fr-FR" w:eastAsia="fr-FR"/>
              </w:rPr>
              <w:t xml:space="preserve"> </w:t>
            </w:r>
          </w:p>
          <w:p w14:paraId="705E66BD" w14:textId="00D25542" w:rsidR="00DF5510"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F1006B">
              <w:rPr>
                <w:rFonts w:eastAsia="Times New Roman" w:cstheme="minorHAnsi"/>
                <w:lang w:val="fr-FR" w:eastAsia="fr-FR"/>
              </w:rPr>
              <w:t xml:space="preserve">Assurer </w:t>
            </w:r>
            <w:r w:rsidRPr="006C2425">
              <w:rPr>
                <w:rFonts w:eastAsia="Times New Roman" w:cstheme="minorHAnsi"/>
                <w:lang w:val="fr-FR" w:eastAsia="fr-FR"/>
              </w:rPr>
              <w:t>le</w:t>
            </w:r>
            <w:r>
              <w:rPr>
                <w:rFonts w:eastAsia="Times New Roman" w:cstheme="minorHAnsi"/>
                <w:lang w:val="fr-FR" w:eastAsia="fr-FR"/>
              </w:rPr>
              <w:t xml:space="preserve"> suivi des interventions SBC dans </w:t>
            </w:r>
            <w:r w:rsidRPr="006C2425">
              <w:rPr>
                <w:rFonts w:eastAsia="Times New Roman" w:cstheme="minorHAnsi"/>
                <w:lang w:val="fr-FR" w:eastAsia="fr-FR"/>
              </w:rPr>
              <w:t>l</w:t>
            </w:r>
            <w:r>
              <w:rPr>
                <w:rFonts w:eastAsia="Times New Roman" w:cstheme="minorHAnsi"/>
                <w:lang w:val="fr-FR" w:eastAsia="fr-FR"/>
              </w:rPr>
              <w:t>a province, avec accent sur les zones de santé a faible performance</w:t>
            </w:r>
          </w:p>
          <w:p w14:paraId="2D6006BC" w14:textId="716E3197" w:rsidR="001D6B58"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6C2425">
              <w:rPr>
                <w:rFonts w:eastAsia="Times New Roman" w:cstheme="minorHAnsi"/>
                <w:lang w:val="fr-FR" w:eastAsia="fr-FR"/>
              </w:rPr>
              <w:t xml:space="preserve">Partager mensuellement le tableau de bord des indicateurs de </w:t>
            </w:r>
            <w:r w:rsidR="001D6B58">
              <w:rPr>
                <w:rFonts w:eastAsia="Times New Roman" w:cstheme="minorHAnsi"/>
                <w:lang w:val="fr-FR" w:eastAsia="fr-FR"/>
              </w:rPr>
              <w:t xml:space="preserve">SBC </w:t>
            </w:r>
            <w:r w:rsidR="001D6B58" w:rsidRPr="006C2425">
              <w:rPr>
                <w:rFonts w:eastAsia="Times New Roman" w:cstheme="minorHAnsi"/>
                <w:lang w:val="fr-FR" w:eastAsia="fr-FR"/>
              </w:rPr>
              <w:t>en</w:t>
            </w:r>
            <w:r w:rsidRPr="006C2425">
              <w:rPr>
                <w:rFonts w:eastAsia="Times New Roman" w:cstheme="minorHAnsi"/>
                <w:lang w:val="fr-FR" w:eastAsia="fr-FR"/>
              </w:rPr>
              <w:t xml:space="preserve"> faveur de </w:t>
            </w:r>
            <w:proofErr w:type="gramStart"/>
            <w:r w:rsidRPr="006C2425">
              <w:rPr>
                <w:rFonts w:eastAsia="Times New Roman" w:cstheme="minorHAnsi"/>
                <w:lang w:val="fr-FR" w:eastAsia="fr-FR"/>
              </w:rPr>
              <w:t xml:space="preserve">la </w:t>
            </w:r>
            <w:r w:rsidR="001D6B58" w:rsidRPr="006C2425">
              <w:rPr>
                <w:rFonts w:eastAsia="Times New Roman" w:cstheme="minorHAnsi"/>
                <w:lang w:val="fr-FR" w:eastAsia="fr-FR"/>
              </w:rPr>
              <w:t xml:space="preserve"> vaccination</w:t>
            </w:r>
            <w:proofErr w:type="gramEnd"/>
            <w:r w:rsidR="001D6B58" w:rsidRPr="006C2425">
              <w:rPr>
                <w:rFonts w:eastAsia="Times New Roman" w:cstheme="minorHAnsi"/>
                <w:lang w:val="fr-FR" w:eastAsia="fr-FR"/>
              </w:rPr>
              <w:t> </w:t>
            </w:r>
            <w:r w:rsidR="001D6B58">
              <w:rPr>
                <w:rFonts w:eastAsia="Times New Roman" w:cstheme="minorHAnsi"/>
                <w:lang w:val="fr-FR" w:eastAsia="fr-FR"/>
              </w:rPr>
              <w:t xml:space="preserve">de routine, </w:t>
            </w:r>
            <w:r w:rsidR="007E5615">
              <w:rPr>
                <w:rFonts w:eastAsia="Times New Roman" w:cstheme="minorHAnsi"/>
                <w:lang w:val="fr-FR" w:eastAsia="fr-FR"/>
              </w:rPr>
              <w:t>d</w:t>
            </w:r>
            <w:r w:rsidR="001D6B58">
              <w:rPr>
                <w:rFonts w:eastAsia="Times New Roman" w:cstheme="minorHAnsi"/>
                <w:lang w:val="fr-FR" w:eastAsia="fr-FR"/>
              </w:rPr>
              <w:t xml:space="preserve">es campagnes de masse,  </w:t>
            </w:r>
            <w:r w:rsidR="007E5615">
              <w:rPr>
                <w:rFonts w:eastAsia="Times New Roman" w:cstheme="minorHAnsi"/>
                <w:lang w:val="fr-FR" w:eastAsia="fr-FR"/>
              </w:rPr>
              <w:t xml:space="preserve">de </w:t>
            </w:r>
            <w:r w:rsidR="001D6B58">
              <w:rPr>
                <w:rFonts w:eastAsia="Times New Roman" w:cstheme="minorHAnsi"/>
                <w:lang w:val="fr-FR" w:eastAsia="fr-FR"/>
              </w:rPr>
              <w:t xml:space="preserve">la promotion des pratiques familiales essentielles (PFE) ainsi que </w:t>
            </w:r>
            <w:r w:rsidR="007E5615">
              <w:rPr>
                <w:rFonts w:eastAsia="Times New Roman" w:cstheme="minorHAnsi"/>
                <w:lang w:val="fr-FR" w:eastAsia="fr-FR"/>
              </w:rPr>
              <w:t>d</w:t>
            </w:r>
            <w:r w:rsidR="001D6B58">
              <w:rPr>
                <w:rFonts w:eastAsia="Times New Roman" w:cstheme="minorHAnsi"/>
                <w:lang w:val="fr-FR" w:eastAsia="fr-FR"/>
              </w:rPr>
              <w:t>es réponses aux épidémies et autres urgences</w:t>
            </w:r>
            <w:r w:rsidR="001D6B58" w:rsidRPr="006C2425">
              <w:rPr>
                <w:rFonts w:eastAsia="Times New Roman" w:cstheme="minorHAnsi"/>
                <w:lang w:val="fr-FR" w:eastAsia="fr-FR"/>
              </w:rPr>
              <w:t xml:space="preserve"> </w:t>
            </w:r>
          </w:p>
          <w:p w14:paraId="1D02FB7D" w14:textId="0930BA19" w:rsidR="00DF5510"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6C2425">
              <w:rPr>
                <w:rFonts w:eastAsia="Times New Roman" w:cstheme="minorHAnsi"/>
                <w:lang w:val="fr-FR" w:eastAsia="fr-FR"/>
              </w:rPr>
              <w:t xml:space="preserve">Contribuer à la </w:t>
            </w:r>
            <w:r>
              <w:rPr>
                <w:rFonts w:eastAsia="Times New Roman" w:cstheme="minorHAnsi"/>
                <w:lang w:val="fr-FR" w:eastAsia="fr-FR"/>
              </w:rPr>
              <w:t xml:space="preserve">documentation des interventions SBC, notamment la </w:t>
            </w:r>
            <w:r w:rsidRPr="006C2425">
              <w:rPr>
                <w:rFonts w:eastAsia="Times New Roman" w:cstheme="minorHAnsi"/>
                <w:lang w:val="fr-FR" w:eastAsia="fr-FR"/>
              </w:rPr>
              <w:t>rédaction des articles, des SitRep, des notes et bulletins d’information et autres supports de documentation des interventions de la C4D en appui à la vaccination</w:t>
            </w:r>
          </w:p>
          <w:p w14:paraId="66F472E3" w14:textId="77777777" w:rsidR="00D61C5C" w:rsidRDefault="00D61C5C" w:rsidP="00D61C5C">
            <w:pPr>
              <w:pStyle w:val="ListParagraph"/>
              <w:spacing w:before="240" w:after="0" w:line="240" w:lineRule="auto"/>
              <w:jc w:val="both"/>
              <w:rPr>
                <w:rFonts w:eastAsia="Times New Roman" w:cstheme="minorHAnsi"/>
                <w:lang w:val="fr-FR" w:eastAsia="fr-FR"/>
              </w:rPr>
            </w:pPr>
          </w:p>
          <w:p w14:paraId="141996C1" w14:textId="77777777" w:rsidR="00DF5510" w:rsidRPr="00F862BD" w:rsidRDefault="00DF5510" w:rsidP="00DF5510">
            <w:pPr>
              <w:spacing w:line="240" w:lineRule="auto"/>
              <w:jc w:val="both"/>
              <w:rPr>
                <w:rFonts w:eastAsia="Times New Roman" w:cstheme="minorHAnsi"/>
                <w:b/>
                <w:lang w:eastAsia="fr-FR"/>
              </w:rPr>
            </w:pPr>
            <w:proofErr w:type="spellStart"/>
            <w:r w:rsidRPr="00F862BD">
              <w:rPr>
                <w:rFonts w:eastAsia="Times New Roman" w:cstheme="minorHAnsi"/>
                <w:b/>
                <w:lang w:eastAsia="fr-FR"/>
              </w:rPr>
              <w:t>Résultats</w:t>
            </w:r>
            <w:proofErr w:type="spellEnd"/>
            <w:r w:rsidRPr="00F862BD">
              <w:rPr>
                <w:rFonts w:eastAsia="Times New Roman" w:cstheme="minorHAnsi"/>
                <w:b/>
                <w:lang w:eastAsia="fr-FR"/>
              </w:rPr>
              <w:t xml:space="preserve"> </w:t>
            </w:r>
            <w:proofErr w:type="spellStart"/>
            <w:r w:rsidRPr="00F862BD">
              <w:rPr>
                <w:rFonts w:eastAsia="Times New Roman" w:cstheme="minorHAnsi"/>
                <w:b/>
                <w:lang w:eastAsia="fr-FR"/>
              </w:rPr>
              <w:t>attendus</w:t>
            </w:r>
            <w:proofErr w:type="spellEnd"/>
          </w:p>
          <w:p w14:paraId="62226537" w14:textId="77777777" w:rsidR="001D6B58"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025D55">
              <w:rPr>
                <w:rFonts w:eastAsia="Times New Roman" w:cstheme="minorHAnsi"/>
                <w:lang w:val="fr-FR" w:eastAsia="fr-FR"/>
              </w:rPr>
              <w:t xml:space="preserve">Les personnes influentes de la province (Autorités politico-administratives, leaders religieux, traditionnels et d’opinion, stars locales etc.)  </w:t>
            </w:r>
            <w:proofErr w:type="gramStart"/>
            <w:r w:rsidRPr="00025D55">
              <w:rPr>
                <w:rFonts w:eastAsia="Times New Roman" w:cstheme="minorHAnsi"/>
                <w:lang w:val="fr-FR" w:eastAsia="fr-FR"/>
              </w:rPr>
              <w:t>soutiennent</w:t>
            </w:r>
            <w:proofErr w:type="gramEnd"/>
            <w:r w:rsidRPr="00025D55">
              <w:rPr>
                <w:rFonts w:eastAsia="Times New Roman" w:cstheme="minorHAnsi"/>
                <w:lang w:val="fr-FR" w:eastAsia="fr-FR"/>
              </w:rPr>
              <w:t xml:space="preserve"> publiquement les activités</w:t>
            </w:r>
            <w:r w:rsidR="001D6B58">
              <w:rPr>
                <w:rFonts w:eastAsia="Times New Roman" w:cstheme="minorHAnsi"/>
                <w:lang w:val="fr-FR" w:eastAsia="fr-FR"/>
              </w:rPr>
              <w:t xml:space="preserve"> de </w:t>
            </w:r>
            <w:r w:rsidRPr="00025D55">
              <w:rPr>
                <w:rFonts w:eastAsia="Times New Roman" w:cstheme="minorHAnsi"/>
                <w:lang w:val="fr-FR" w:eastAsia="fr-FR"/>
              </w:rPr>
              <w:t xml:space="preserve"> </w:t>
            </w:r>
            <w:r w:rsidR="001D6B58">
              <w:rPr>
                <w:rFonts w:eastAsia="Times New Roman" w:cstheme="minorHAnsi"/>
                <w:lang w:val="fr-FR" w:eastAsia="fr-FR"/>
              </w:rPr>
              <w:t>l</w:t>
            </w:r>
            <w:r w:rsidR="001D6B58" w:rsidRPr="006C2425">
              <w:rPr>
                <w:rFonts w:eastAsia="Times New Roman" w:cstheme="minorHAnsi"/>
                <w:lang w:val="fr-FR" w:eastAsia="fr-FR"/>
              </w:rPr>
              <w:t>a vaccination </w:t>
            </w:r>
            <w:r w:rsidR="001D6B58">
              <w:rPr>
                <w:rFonts w:eastAsia="Times New Roman" w:cstheme="minorHAnsi"/>
                <w:lang w:val="fr-FR" w:eastAsia="fr-FR"/>
              </w:rPr>
              <w:t>de routine, les campagnes de masse,  la promotion des pratiques familiales essentielles (PFE) ainsi que les réponses aux épidémies et autres urgences</w:t>
            </w:r>
            <w:r w:rsidR="001D6B58" w:rsidRPr="00025D55">
              <w:rPr>
                <w:rFonts w:eastAsia="Times New Roman" w:cstheme="minorHAnsi"/>
                <w:lang w:val="fr-FR" w:eastAsia="fr-FR"/>
              </w:rPr>
              <w:t xml:space="preserve"> </w:t>
            </w:r>
          </w:p>
          <w:p w14:paraId="75D45DDD" w14:textId="6E59E464" w:rsidR="001D6B58"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025D55">
              <w:rPr>
                <w:rFonts w:eastAsia="Times New Roman" w:cstheme="minorHAnsi"/>
                <w:lang w:val="fr-FR" w:eastAsia="fr-FR"/>
              </w:rPr>
              <w:t>La coordination, la planification, la mise en œuvre, le suivi et l’évaluation des interventions SBC sont assurées en vue de soutenir l'acceptation et la demande de la vaccination</w:t>
            </w:r>
            <w:r w:rsidR="001D6B58">
              <w:rPr>
                <w:rFonts w:eastAsia="Times New Roman" w:cstheme="minorHAnsi"/>
                <w:lang w:val="fr-FR" w:eastAsia="fr-FR"/>
              </w:rPr>
              <w:t xml:space="preserve">, </w:t>
            </w:r>
            <w:r w:rsidRPr="00025D55">
              <w:rPr>
                <w:rFonts w:eastAsia="Times New Roman" w:cstheme="minorHAnsi"/>
                <w:lang w:val="fr-FR" w:eastAsia="fr-FR"/>
              </w:rPr>
              <w:t xml:space="preserve"> </w:t>
            </w:r>
            <w:r w:rsidR="00FB4CC3">
              <w:rPr>
                <w:rFonts w:eastAsia="Times New Roman" w:cstheme="minorHAnsi"/>
                <w:lang w:val="fr-FR" w:eastAsia="fr-FR"/>
              </w:rPr>
              <w:t>d</w:t>
            </w:r>
            <w:r w:rsidR="001D6B58">
              <w:rPr>
                <w:rFonts w:eastAsia="Times New Roman" w:cstheme="minorHAnsi"/>
                <w:lang w:val="fr-FR" w:eastAsia="fr-FR"/>
              </w:rPr>
              <w:t xml:space="preserve">es campagnes de masse,  </w:t>
            </w:r>
            <w:r w:rsidR="00FB4CC3">
              <w:rPr>
                <w:rFonts w:eastAsia="Times New Roman" w:cstheme="minorHAnsi"/>
                <w:lang w:val="fr-FR" w:eastAsia="fr-FR"/>
              </w:rPr>
              <w:t xml:space="preserve">de </w:t>
            </w:r>
            <w:r w:rsidR="001D6B58">
              <w:rPr>
                <w:rFonts w:eastAsia="Times New Roman" w:cstheme="minorHAnsi"/>
                <w:lang w:val="fr-FR" w:eastAsia="fr-FR"/>
              </w:rPr>
              <w:t xml:space="preserve">la promotion des pratiques familiales essentielles (PFE) ainsi que </w:t>
            </w:r>
            <w:r w:rsidR="00FB4CC3">
              <w:rPr>
                <w:rFonts w:eastAsia="Times New Roman" w:cstheme="minorHAnsi"/>
                <w:lang w:val="fr-FR" w:eastAsia="fr-FR"/>
              </w:rPr>
              <w:t>d</w:t>
            </w:r>
            <w:r w:rsidR="001D6B58">
              <w:rPr>
                <w:rFonts w:eastAsia="Times New Roman" w:cstheme="minorHAnsi"/>
                <w:lang w:val="fr-FR" w:eastAsia="fr-FR"/>
              </w:rPr>
              <w:t>es réponses aux épidémies et autres urgences</w:t>
            </w:r>
            <w:r w:rsidR="001D6B58" w:rsidRPr="00025D55">
              <w:rPr>
                <w:rFonts w:eastAsia="Times New Roman" w:cstheme="minorHAnsi"/>
                <w:lang w:val="fr-FR" w:eastAsia="fr-FR"/>
              </w:rPr>
              <w:t xml:space="preserve"> </w:t>
            </w:r>
          </w:p>
          <w:p w14:paraId="5F1FCCC5" w14:textId="6181FC3B" w:rsidR="00DF5510" w:rsidRPr="00025D55"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025D55">
              <w:rPr>
                <w:rFonts w:eastAsia="Times New Roman" w:cstheme="minorHAnsi"/>
                <w:lang w:val="fr-FR" w:eastAsia="fr-FR"/>
              </w:rPr>
              <w:t xml:space="preserve">Les zones de </w:t>
            </w:r>
            <w:r w:rsidR="00FB4CC3" w:rsidRPr="00025D55">
              <w:rPr>
                <w:rFonts w:eastAsia="Times New Roman" w:cstheme="minorHAnsi"/>
                <w:lang w:val="fr-FR" w:eastAsia="fr-FR"/>
              </w:rPr>
              <w:t>sant</w:t>
            </w:r>
            <w:r w:rsidR="00FB4CC3">
              <w:rPr>
                <w:rFonts w:eastAsia="Times New Roman" w:cstheme="minorHAnsi"/>
                <w:lang w:val="fr-FR" w:eastAsia="fr-FR"/>
              </w:rPr>
              <w:t>é</w:t>
            </w:r>
            <w:r w:rsidRPr="00025D55">
              <w:rPr>
                <w:rFonts w:eastAsia="Times New Roman" w:cstheme="minorHAnsi"/>
                <w:lang w:val="fr-FR" w:eastAsia="fr-FR"/>
              </w:rPr>
              <w:t>, en particulier ce</w:t>
            </w:r>
            <w:r w:rsidR="00FB4CC3">
              <w:rPr>
                <w:rFonts w:eastAsia="Times New Roman" w:cstheme="minorHAnsi"/>
                <w:lang w:val="fr-FR" w:eastAsia="fr-FR"/>
              </w:rPr>
              <w:t>lles</w:t>
            </w:r>
            <w:r w:rsidRPr="00025D55">
              <w:rPr>
                <w:rFonts w:eastAsia="Times New Roman" w:cstheme="minorHAnsi"/>
                <w:lang w:val="fr-FR" w:eastAsia="fr-FR"/>
              </w:rPr>
              <w:t xml:space="preserve"> à faible performance disposent des microplans opérationnels de communication qui prennent en compte les axes stratégiques SBC de l’UNICEF : engagement communautaire, médias et influenceurs,  engagement digital et SMS, Sport et arts pour le développement et engagement du secteur privé.  </w:t>
            </w:r>
          </w:p>
          <w:p w14:paraId="61FF8ECF" w14:textId="6B99B37B" w:rsidR="00DF5510" w:rsidRPr="00025D55"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025D55">
              <w:rPr>
                <w:rFonts w:eastAsia="Times New Roman" w:cstheme="minorHAnsi"/>
                <w:lang w:val="fr-FR" w:eastAsia="fr-FR"/>
              </w:rPr>
              <w:t>Les Task Force communication provinciales sont fonctionnelles</w:t>
            </w:r>
            <w:r w:rsidR="001D6B58">
              <w:rPr>
                <w:rFonts w:eastAsia="Times New Roman" w:cstheme="minorHAnsi"/>
                <w:lang w:val="fr-FR" w:eastAsia="fr-FR"/>
              </w:rPr>
              <w:t xml:space="preserve"> </w:t>
            </w:r>
          </w:p>
          <w:p w14:paraId="241694F6" w14:textId="248F10B3" w:rsidR="00DF5510" w:rsidRPr="00F15657" w:rsidRDefault="00DF5510" w:rsidP="00F15657">
            <w:pPr>
              <w:pStyle w:val="ListParagraph"/>
              <w:numPr>
                <w:ilvl w:val="0"/>
                <w:numId w:val="44"/>
              </w:numPr>
              <w:spacing w:before="240" w:after="0" w:line="240" w:lineRule="auto"/>
              <w:jc w:val="both"/>
              <w:rPr>
                <w:rFonts w:eastAsia="Times New Roman" w:cstheme="minorHAnsi"/>
                <w:lang w:val="fr-FR" w:eastAsia="fr-FR"/>
              </w:rPr>
            </w:pPr>
            <w:r w:rsidRPr="00025D55">
              <w:rPr>
                <w:rFonts w:eastAsia="Times New Roman" w:cstheme="minorHAnsi"/>
                <w:lang w:val="fr-FR" w:eastAsia="fr-FR"/>
              </w:rPr>
              <w:t xml:space="preserve">Les capacités de tous les acteurs impliqués dans </w:t>
            </w:r>
            <w:r w:rsidR="00F15657">
              <w:rPr>
                <w:rFonts w:eastAsia="Times New Roman" w:cstheme="minorHAnsi"/>
                <w:lang w:val="fr-FR" w:eastAsia="fr-FR"/>
              </w:rPr>
              <w:t>l</w:t>
            </w:r>
            <w:r w:rsidR="00F15657" w:rsidRPr="006C2425">
              <w:rPr>
                <w:rFonts w:eastAsia="Times New Roman" w:cstheme="minorHAnsi"/>
                <w:lang w:val="fr-FR" w:eastAsia="fr-FR"/>
              </w:rPr>
              <w:t>a vaccination </w:t>
            </w:r>
            <w:r w:rsidR="00F15657">
              <w:rPr>
                <w:rFonts w:eastAsia="Times New Roman" w:cstheme="minorHAnsi"/>
                <w:lang w:val="fr-FR" w:eastAsia="fr-FR"/>
              </w:rPr>
              <w:t>de routine, les campagnes de masse,  la promotion des pratiques familiales essentielles (PFE) ainsi que les réponses aux épidémies et autres urgences</w:t>
            </w:r>
            <w:r w:rsidR="00F15657" w:rsidRPr="00025D55">
              <w:rPr>
                <w:rFonts w:eastAsia="Times New Roman" w:cstheme="minorHAnsi"/>
                <w:lang w:val="fr-FR" w:eastAsia="fr-FR"/>
              </w:rPr>
              <w:t xml:space="preserve"> </w:t>
            </w:r>
            <w:r w:rsidRPr="00F15657">
              <w:rPr>
                <w:rFonts w:eastAsia="Times New Roman" w:cstheme="minorHAnsi"/>
                <w:lang w:val="fr-FR" w:eastAsia="fr-FR"/>
              </w:rPr>
              <w:t>à tous les niveaux sont renforcées afin d’assurer la cohérence des messages</w:t>
            </w:r>
          </w:p>
          <w:p w14:paraId="19B44257" w14:textId="77777777" w:rsidR="00F15657" w:rsidRDefault="00DF5510" w:rsidP="00F15657">
            <w:pPr>
              <w:pStyle w:val="ListParagraph"/>
              <w:numPr>
                <w:ilvl w:val="0"/>
                <w:numId w:val="44"/>
              </w:numPr>
              <w:spacing w:before="240" w:after="0" w:line="240" w:lineRule="auto"/>
              <w:jc w:val="both"/>
              <w:rPr>
                <w:rFonts w:eastAsia="Times New Roman" w:cstheme="minorHAnsi"/>
                <w:lang w:val="fr-FR" w:eastAsia="fr-FR"/>
              </w:rPr>
            </w:pPr>
            <w:r w:rsidRPr="00025D55">
              <w:rPr>
                <w:rFonts w:eastAsia="Times New Roman" w:cstheme="minorHAnsi"/>
                <w:lang w:val="fr-FR" w:eastAsia="fr-FR"/>
              </w:rPr>
              <w:t xml:space="preserve">Des mécanismes de feed-back communautaire sont mis en place dans la province afin de répondre aux préoccupations de communautés liées </w:t>
            </w:r>
            <w:r w:rsidR="00F15657">
              <w:rPr>
                <w:rFonts w:eastAsia="Times New Roman" w:cstheme="minorHAnsi"/>
                <w:lang w:val="fr-FR" w:eastAsia="fr-FR"/>
              </w:rPr>
              <w:t>l</w:t>
            </w:r>
            <w:r w:rsidR="00F15657" w:rsidRPr="006C2425">
              <w:rPr>
                <w:rFonts w:eastAsia="Times New Roman" w:cstheme="minorHAnsi"/>
                <w:lang w:val="fr-FR" w:eastAsia="fr-FR"/>
              </w:rPr>
              <w:t>a vaccination </w:t>
            </w:r>
            <w:r w:rsidR="00F15657">
              <w:rPr>
                <w:rFonts w:eastAsia="Times New Roman" w:cstheme="minorHAnsi"/>
                <w:lang w:val="fr-FR" w:eastAsia="fr-FR"/>
              </w:rPr>
              <w:t>de routine, les campagnes de masse,  la promotion des pratiques familiales essentielles (PFE) ainsi que les réponses aux épidémies et autres urgences</w:t>
            </w:r>
            <w:r w:rsidR="00F15657" w:rsidRPr="00025D55">
              <w:rPr>
                <w:rFonts w:eastAsia="Times New Roman" w:cstheme="minorHAnsi"/>
                <w:lang w:val="fr-FR" w:eastAsia="fr-FR"/>
              </w:rPr>
              <w:t xml:space="preserve"> </w:t>
            </w:r>
          </w:p>
          <w:p w14:paraId="5F16D536" w14:textId="77777777" w:rsidR="00FB4CC3"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025D55">
              <w:rPr>
                <w:rFonts w:eastAsia="Times New Roman" w:cstheme="minorHAnsi"/>
                <w:lang w:val="fr-FR" w:eastAsia="fr-FR"/>
              </w:rPr>
              <w:t xml:space="preserve">Les interventions SBC dans la province, notamment dans les zones de santé </w:t>
            </w:r>
            <w:r w:rsidR="00F15657">
              <w:rPr>
                <w:rFonts w:eastAsia="Times New Roman" w:cstheme="minorHAnsi"/>
                <w:lang w:val="fr-FR" w:eastAsia="fr-FR"/>
              </w:rPr>
              <w:t>à</w:t>
            </w:r>
            <w:r w:rsidRPr="00025D55">
              <w:rPr>
                <w:rFonts w:eastAsia="Times New Roman" w:cstheme="minorHAnsi"/>
                <w:lang w:val="fr-FR" w:eastAsia="fr-FR"/>
              </w:rPr>
              <w:t xml:space="preserve"> faible performance, sont suivi</w:t>
            </w:r>
            <w:r w:rsidR="00FB4CC3">
              <w:rPr>
                <w:rFonts w:eastAsia="Times New Roman" w:cstheme="minorHAnsi"/>
                <w:lang w:val="fr-FR" w:eastAsia="fr-FR"/>
              </w:rPr>
              <w:t>e</w:t>
            </w:r>
            <w:r w:rsidRPr="00025D55">
              <w:rPr>
                <w:rFonts w:eastAsia="Times New Roman" w:cstheme="minorHAnsi"/>
                <w:lang w:val="fr-FR" w:eastAsia="fr-FR"/>
              </w:rPr>
              <w:t xml:space="preserve">s </w:t>
            </w:r>
            <w:r w:rsidR="00FB4CC3" w:rsidRPr="00025D55">
              <w:rPr>
                <w:rFonts w:eastAsia="Times New Roman" w:cstheme="minorHAnsi"/>
                <w:lang w:val="fr-FR" w:eastAsia="fr-FR"/>
              </w:rPr>
              <w:t>monitoré</w:t>
            </w:r>
            <w:r w:rsidR="00FB4CC3">
              <w:rPr>
                <w:rFonts w:eastAsia="Times New Roman" w:cstheme="minorHAnsi"/>
                <w:lang w:val="fr-FR" w:eastAsia="fr-FR"/>
              </w:rPr>
              <w:t>e</w:t>
            </w:r>
            <w:r w:rsidR="00FB4CC3" w:rsidRPr="00025D55">
              <w:rPr>
                <w:rFonts w:eastAsia="Times New Roman" w:cstheme="minorHAnsi"/>
                <w:lang w:val="fr-FR" w:eastAsia="fr-FR"/>
              </w:rPr>
              <w:t>s</w:t>
            </w:r>
            <w:r w:rsidRPr="00025D55">
              <w:rPr>
                <w:rFonts w:eastAsia="Times New Roman" w:cstheme="minorHAnsi"/>
                <w:lang w:val="fr-FR" w:eastAsia="fr-FR"/>
              </w:rPr>
              <w:t xml:space="preserve"> et documenté</w:t>
            </w:r>
            <w:r w:rsidR="00FB4CC3">
              <w:rPr>
                <w:rFonts w:eastAsia="Times New Roman" w:cstheme="minorHAnsi"/>
                <w:lang w:val="fr-FR" w:eastAsia="fr-FR"/>
              </w:rPr>
              <w:t>e</w:t>
            </w:r>
            <w:r w:rsidRPr="00025D55">
              <w:rPr>
                <w:rFonts w:eastAsia="Times New Roman" w:cstheme="minorHAnsi"/>
                <w:lang w:val="fr-FR" w:eastAsia="fr-FR"/>
              </w:rPr>
              <w:t xml:space="preserve">s. </w:t>
            </w:r>
          </w:p>
          <w:p w14:paraId="3B567EA0" w14:textId="441119C8" w:rsidR="00DF5510" w:rsidRPr="00FB4CC3" w:rsidRDefault="00DF5510" w:rsidP="00DF5510">
            <w:pPr>
              <w:pStyle w:val="ListParagraph"/>
              <w:numPr>
                <w:ilvl w:val="0"/>
                <w:numId w:val="44"/>
              </w:numPr>
              <w:spacing w:before="240" w:after="0" w:line="240" w:lineRule="auto"/>
              <w:jc w:val="both"/>
              <w:rPr>
                <w:rFonts w:eastAsia="Times New Roman" w:cstheme="minorHAnsi"/>
                <w:lang w:val="fr-FR" w:eastAsia="fr-FR"/>
              </w:rPr>
            </w:pPr>
            <w:r w:rsidRPr="00FB4CC3">
              <w:rPr>
                <w:rFonts w:eastAsia="Times New Roman" w:cstheme="minorHAnsi"/>
                <w:lang w:val="fr-FR" w:eastAsia="fr-FR"/>
              </w:rPr>
              <w:t>Les indicateurs SBC sont collectés et partagés mensuellement</w:t>
            </w:r>
          </w:p>
          <w:p w14:paraId="5697E6BD" w14:textId="060B6F6D" w:rsidR="00FF4A81" w:rsidRPr="00840FA4" w:rsidRDefault="00FF4A81" w:rsidP="00FF4A81">
            <w:pPr>
              <w:spacing w:after="0" w:line="240" w:lineRule="auto"/>
              <w:jc w:val="both"/>
              <w:rPr>
                <w:rFonts w:eastAsia="Calibri" w:cstheme="minorHAnsi"/>
                <w:color w:val="000000" w:themeColor="text1"/>
                <w:sz w:val="24"/>
                <w:szCs w:val="24"/>
                <w:lang w:val="fr-FR"/>
              </w:rPr>
            </w:pPr>
          </w:p>
        </w:tc>
      </w:tr>
      <w:tr w:rsidR="000F4257" w:rsidRPr="00840FA4" w14:paraId="3B46B796" w14:textId="77777777" w:rsidTr="00E55DAC">
        <w:trPr>
          <w:tblCellSpacing w:w="15" w:type="dxa"/>
        </w:trPr>
        <w:tc>
          <w:tcPr>
            <w:tcW w:w="1747" w:type="dxa"/>
            <w:tcBorders>
              <w:top w:val="outset" w:sz="6" w:space="0" w:color="auto"/>
              <w:left w:val="outset" w:sz="6" w:space="0" w:color="auto"/>
              <w:bottom w:val="outset" w:sz="6" w:space="0" w:color="auto"/>
              <w:right w:val="outset" w:sz="6" w:space="0" w:color="auto"/>
            </w:tcBorders>
            <w:hideMark/>
          </w:tcPr>
          <w:p w14:paraId="5135D79A" w14:textId="77777777" w:rsidR="000F4257" w:rsidRPr="00840FA4" w:rsidRDefault="000F5BE2" w:rsidP="0028525E">
            <w:pPr>
              <w:adjustRightInd w:val="0"/>
              <w:snapToGrid w:val="0"/>
              <w:spacing w:after="0" w:line="240" w:lineRule="auto"/>
              <w:ind w:left="142"/>
              <w:rPr>
                <w:rFonts w:eastAsia="Times New Roman" w:cstheme="minorHAnsi"/>
                <w:b/>
                <w:color w:val="000000"/>
                <w:sz w:val="24"/>
                <w:szCs w:val="24"/>
                <w:lang w:val="en-US"/>
              </w:rPr>
            </w:pPr>
            <w:proofErr w:type="spellStart"/>
            <w:r w:rsidRPr="00840FA4">
              <w:rPr>
                <w:rFonts w:eastAsia="Times New Roman" w:cstheme="minorHAnsi"/>
                <w:b/>
                <w:color w:val="000000"/>
                <w:sz w:val="24"/>
                <w:szCs w:val="24"/>
                <w:lang w:val="en-US"/>
              </w:rPr>
              <w:lastRenderedPageBreak/>
              <w:t>Produits</w:t>
            </w:r>
            <w:proofErr w:type="spellEnd"/>
            <w:r w:rsidRPr="00840FA4">
              <w:rPr>
                <w:rFonts w:eastAsia="Times New Roman" w:cstheme="minorHAnsi"/>
                <w:b/>
                <w:color w:val="000000"/>
                <w:sz w:val="24"/>
                <w:szCs w:val="24"/>
                <w:lang w:val="en-US"/>
              </w:rPr>
              <w:t xml:space="preserve"> </w:t>
            </w:r>
            <w:proofErr w:type="spellStart"/>
            <w:r w:rsidRPr="00840FA4">
              <w:rPr>
                <w:rFonts w:eastAsia="Times New Roman" w:cstheme="minorHAnsi"/>
                <w:b/>
                <w:color w:val="000000"/>
                <w:sz w:val="24"/>
                <w:szCs w:val="24"/>
                <w:lang w:val="en-US"/>
              </w:rPr>
              <w:t>livrables</w:t>
            </w:r>
            <w:proofErr w:type="spellEnd"/>
          </w:p>
        </w:tc>
        <w:tc>
          <w:tcPr>
            <w:tcW w:w="8235" w:type="dxa"/>
            <w:tcBorders>
              <w:top w:val="outset" w:sz="6" w:space="0" w:color="auto"/>
              <w:left w:val="outset" w:sz="6" w:space="0" w:color="auto"/>
              <w:bottom w:val="outset" w:sz="6" w:space="0" w:color="auto"/>
              <w:right w:val="outset" w:sz="6" w:space="0" w:color="auto"/>
            </w:tcBorders>
            <w:hideMark/>
          </w:tcPr>
          <w:tbl>
            <w:tblPr>
              <w:tblStyle w:val="TableGrid"/>
              <w:tblW w:w="8142" w:type="dxa"/>
              <w:tblInd w:w="88" w:type="dxa"/>
              <w:tblLook w:val="04A0" w:firstRow="1" w:lastRow="0" w:firstColumn="1" w:lastColumn="0" w:noHBand="0" w:noVBand="1"/>
            </w:tblPr>
            <w:tblGrid>
              <w:gridCol w:w="8142"/>
            </w:tblGrid>
            <w:tr w:rsidR="00324D32" w:rsidRPr="00E94789" w14:paraId="69AF4213" w14:textId="77777777" w:rsidTr="00E55DAC">
              <w:tc>
                <w:tcPr>
                  <w:tcW w:w="8142" w:type="dxa"/>
                </w:tcPr>
                <w:p w14:paraId="260D5CD6" w14:textId="6BD94D6D" w:rsidR="00324D32" w:rsidRPr="00056B2E" w:rsidRDefault="00324D32" w:rsidP="00324D32">
                  <w:pPr>
                    <w:pStyle w:val="ListParagraph"/>
                    <w:numPr>
                      <w:ilvl w:val="0"/>
                      <w:numId w:val="25"/>
                    </w:numPr>
                    <w:adjustRightInd w:val="0"/>
                    <w:snapToGrid w:val="0"/>
                    <w:rPr>
                      <w:rFonts w:eastAsia="Times New Roman" w:cstheme="minorHAnsi"/>
                      <w:lang w:val="fr-FR" w:eastAsia="fr-FR"/>
                    </w:rPr>
                  </w:pPr>
                  <w:r w:rsidRPr="00056B2E">
                    <w:rPr>
                      <w:rFonts w:eastAsia="Times New Roman" w:cstheme="minorHAnsi"/>
                      <w:lang w:val="fr-FR" w:eastAsia="fr-FR"/>
                    </w:rPr>
                    <w:t>Le plan de travail du consultant est disponible</w:t>
                  </w:r>
                  <w:r>
                    <w:rPr>
                      <w:rFonts w:eastAsia="Times New Roman" w:cstheme="minorHAnsi"/>
                      <w:lang w:val="fr-FR" w:eastAsia="fr-FR"/>
                    </w:rPr>
                    <w:t xml:space="preserve">. </w:t>
                  </w:r>
                  <w:r w:rsidR="00F15657">
                    <w:rPr>
                      <w:rFonts w:eastAsia="Times New Roman" w:cstheme="minorHAnsi"/>
                      <w:lang w:val="fr-FR" w:eastAsia="fr-FR"/>
                    </w:rPr>
                    <w:t>Mois</w:t>
                  </w:r>
                  <w:r w:rsidRPr="00D009C1">
                    <w:rPr>
                      <w:rFonts w:eastAsia="Times New Roman" w:cstheme="minorHAnsi"/>
                      <w:b/>
                      <w:bCs/>
                      <w:lang w:val="fr-FR" w:eastAsia="fr-FR"/>
                    </w:rPr>
                    <w:t xml:space="preserve"> 1</w:t>
                  </w:r>
                </w:p>
              </w:tc>
            </w:tr>
            <w:tr w:rsidR="00324D32" w:rsidRPr="00F15657" w14:paraId="64639B3D" w14:textId="77777777" w:rsidTr="00E55DAC">
              <w:tc>
                <w:tcPr>
                  <w:tcW w:w="8142" w:type="dxa"/>
                </w:tcPr>
                <w:p w14:paraId="0386C5EC" w14:textId="58D0E1D6" w:rsidR="00324D32" w:rsidRPr="00025D55" w:rsidRDefault="00324D32" w:rsidP="00324D32">
                  <w:pPr>
                    <w:pStyle w:val="ListParagraph"/>
                    <w:numPr>
                      <w:ilvl w:val="0"/>
                      <w:numId w:val="25"/>
                    </w:numPr>
                    <w:adjustRightInd w:val="0"/>
                    <w:snapToGrid w:val="0"/>
                    <w:rPr>
                      <w:rFonts w:eastAsia="Times New Roman" w:cstheme="minorHAnsi"/>
                      <w:lang w:val="fr-FR" w:eastAsia="fr-FR"/>
                    </w:rPr>
                  </w:pPr>
                  <w:r w:rsidRPr="00801489">
                    <w:rPr>
                      <w:rFonts w:eastAsia="Times New Roman" w:cstheme="minorHAnsi"/>
                      <w:lang w:val="fr-FR" w:eastAsia="fr-FR"/>
                    </w:rPr>
                    <w:t>Le</w:t>
                  </w:r>
                  <w:r>
                    <w:rPr>
                      <w:rFonts w:eastAsia="Times New Roman" w:cstheme="minorHAnsi"/>
                      <w:lang w:val="fr-FR" w:eastAsia="fr-FR"/>
                    </w:rPr>
                    <w:t xml:space="preserve"> plan SBC de la province intégrant les interventions de </w:t>
                  </w:r>
                  <w:proofErr w:type="gramStart"/>
                  <w:r>
                    <w:rPr>
                      <w:rFonts w:eastAsia="Times New Roman" w:cstheme="minorHAnsi"/>
                      <w:lang w:val="fr-FR" w:eastAsia="fr-FR"/>
                    </w:rPr>
                    <w:t xml:space="preserve">routine </w:t>
                  </w:r>
                  <w:r w:rsidR="00F15657">
                    <w:rPr>
                      <w:rFonts w:eastAsia="Times New Roman" w:cstheme="minorHAnsi"/>
                      <w:lang w:val="fr-FR" w:eastAsia="fr-FR"/>
                    </w:rPr>
                    <w:t>,</w:t>
                  </w:r>
                  <w:proofErr w:type="gramEnd"/>
                  <w:r w:rsidR="00F15657">
                    <w:rPr>
                      <w:rFonts w:eastAsia="Times New Roman" w:cstheme="minorHAnsi"/>
                      <w:lang w:val="fr-FR" w:eastAsia="fr-FR"/>
                    </w:rPr>
                    <w:t xml:space="preserve"> </w:t>
                  </w:r>
                  <w:r>
                    <w:rPr>
                      <w:rFonts w:eastAsia="Times New Roman" w:cstheme="minorHAnsi"/>
                      <w:lang w:val="fr-FR" w:eastAsia="fr-FR"/>
                    </w:rPr>
                    <w:t>les campagnes</w:t>
                  </w:r>
                  <w:r w:rsidR="00F15657">
                    <w:rPr>
                      <w:rFonts w:eastAsia="Times New Roman" w:cstheme="minorHAnsi"/>
                      <w:lang w:val="fr-FR" w:eastAsia="fr-FR"/>
                    </w:rPr>
                    <w:t xml:space="preserve">, la promotion des PFE et la réponse aux urgences </w:t>
                  </w:r>
                  <w:r>
                    <w:rPr>
                      <w:rFonts w:eastAsia="Times New Roman" w:cstheme="minorHAnsi"/>
                      <w:lang w:val="fr-FR" w:eastAsia="fr-FR"/>
                    </w:rPr>
                    <w:t xml:space="preserve"> et prenant en compte les axes stratégiques SBC du bureau est disponible. </w:t>
                  </w:r>
                  <w:r w:rsidR="00FB4CC3">
                    <w:rPr>
                      <w:rFonts w:eastAsia="Times New Roman" w:cstheme="minorHAnsi"/>
                      <w:lang w:val="fr-FR" w:eastAsia="fr-FR"/>
                    </w:rPr>
                    <w:t>Mois</w:t>
                  </w:r>
                  <w:r w:rsidRPr="00056B2E">
                    <w:rPr>
                      <w:rFonts w:eastAsia="Times New Roman" w:cstheme="minorHAnsi"/>
                      <w:b/>
                      <w:bCs/>
                      <w:lang w:val="fr-FR" w:eastAsia="fr-FR"/>
                    </w:rPr>
                    <w:t xml:space="preserve"> </w:t>
                  </w:r>
                  <w:r w:rsidR="00FB4CC3">
                    <w:rPr>
                      <w:rFonts w:eastAsia="Times New Roman" w:cstheme="minorHAnsi"/>
                      <w:b/>
                      <w:bCs/>
                      <w:lang w:val="fr-FR" w:eastAsia="fr-FR"/>
                    </w:rPr>
                    <w:t>1</w:t>
                  </w:r>
                </w:p>
              </w:tc>
            </w:tr>
            <w:tr w:rsidR="00324D32" w:rsidRPr="00F15657" w14:paraId="3B864F71" w14:textId="77777777" w:rsidTr="00E55DAC">
              <w:tc>
                <w:tcPr>
                  <w:tcW w:w="8142" w:type="dxa"/>
                </w:tcPr>
                <w:p w14:paraId="5C476F51" w14:textId="11EB84DE" w:rsidR="00324D32" w:rsidRPr="00801489" w:rsidRDefault="00324D32" w:rsidP="00F15657">
                  <w:pPr>
                    <w:pStyle w:val="ListParagraph"/>
                    <w:numPr>
                      <w:ilvl w:val="0"/>
                      <w:numId w:val="25"/>
                    </w:numPr>
                    <w:spacing w:before="240"/>
                    <w:jc w:val="both"/>
                    <w:rPr>
                      <w:rFonts w:eastAsia="Times New Roman" w:cstheme="minorHAnsi"/>
                      <w:lang w:val="fr-FR" w:eastAsia="fr-FR"/>
                    </w:rPr>
                  </w:pPr>
                  <w:r w:rsidRPr="00F15657">
                    <w:rPr>
                      <w:rFonts w:eastAsia="Times New Roman" w:cstheme="minorHAnsi"/>
                      <w:lang w:val="fr-FR" w:eastAsia="fr-FR"/>
                    </w:rPr>
                    <w:t xml:space="preserve">La liste des personnes influentes de la province (Autorités politico-administratives, leaders religieux, traditionnels et d’opinion, stars locales etc.) soutenant publiquement </w:t>
                  </w:r>
                  <w:r w:rsidR="00F15657" w:rsidRPr="00F15657">
                    <w:rPr>
                      <w:rFonts w:eastAsia="Times New Roman" w:cstheme="minorHAnsi"/>
                      <w:lang w:val="fr-FR" w:eastAsia="fr-FR"/>
                    </w:rPr>
                    <w:t xml:space="preserve">la vaccination de routine, les campagnes de masse,  la promotion des pratiques familiales essentielles (PFE) </w:t>
                  </w:r>
                  <w:r w:rsidR="00F15657">
                    <w:rPr>
                      <w:rFonts w:eastAsia="Times New Roman" w:cstheme="minorHAnsi"/>
                      <w:lang w:val="fr-FR" w:eastAsia="fr-FR"/>
                    </w:rPr>
                    <w:t xml:space="preserve"> et </w:t>
                  </w:r>
                  <w:r w:rsidR="00F15657" w:rsidRPr="00F15657">
                    <w:rPr>
                      <w:rFonts w:eastAsia="Times New Roman" w:cstheme="minorHAnsi"/>
                      <w:lang w:val="fr-FR" w:eastAsia="fr-FR"/>
                    </w:rPr>
                    <w:t xml:space="preserve"> que les réponses aux épidémies</w:t>
                  </w:r>
                  <w:r w:rsidR="00F15657">
                    <w:rPr>
                      <w:rFonts w:eastAsia="Times New Roman" w:cstheme="minorHAnsi"/>
                      <w:lang w:val="fr-FR" w:eastAsia="fr-FR"/>
                    </w:rPr>
                    <w:t>/</w:t>
                  </w:r>
                  <w:r w:rsidR="00F15657" w:rsidRPr="00F15657">
                    <w:rPr>
                      <w:rFonts w:eastAsia="Times New Roman" w:cstheme="minorHAnsi"/>
                      <w:lang w:val="fr-FR" w:eastAsia="fr-FR"/>
                    </w:rPr>
                    <w:t xml:space="preserve"> urgences </w:t>
                  </w:r>
                  <w:r>
                    <w:rPr>
                      <w:rFonts w:eastAsia="Times New Roman" w:cstheme="minorHAnsi"/>
                      <w:lang w:val="fr-FR" w:eastAsia="fr-FR"/>
                    </w:rPr>
                    <w:t xml:space="preserve">ainsi que la nature des actions prises par elles est disponible. </w:t>
                  </w:r>
                  <w:r w:rsidR="00FB4CC3">
                    <w:rPr>
                      <w:rFonts w:eastAsia="Times New Roman" w:cstheme="minorHAnsi"/>
                      <w:lang w:val="fr-FR" w:eastAsia="fr-FR"/>
                    </w:rPr>
                    <w:t>Mois 1</w:t>
                  </w:r>
                </w:p>
              </w:tc>
            </w:tr>
            <w:tr w:rsidR="00324D32" w:rsidRPr="00E94789" w14:paraId="35413978" w14:textId="77777777" w:rsidTr="00E55DAC">
              <w:tc>
                <w:tcPr>
                  <w:tcW w:w="8142" w:type="dxa"/>
                </w:tcPr>
                <w:p w14:paraId="2AA273CD" w14:textId="76FA57C6" w:rsidR="00324D32" w:rsidRPr="00801489" w:rsidRDefault="00324D32" w:rsidP="00324D32">
                  <w:pPr>
                    <w:pStyle w:val="ListParagraph"/>
                    <w:numPr>
                      <w:ilvl w:val="0"/>
                      <w:numId w:val="25"/>
                    </w:numPr>
                    <w:adjustRightInd w:val="0"/>
                    <w:snapToGrid w:val="0"/>
                    <w:rPr>
                      <w:rFonts w:eastAsia="Times New Roman" w:cstheme="minorHAnsi"/>
                      <w:lang w:val="fr-FR" w:eastAsia="fr-FR"/>
                    </w:rPr>
                  </w:pPr>
                  <w:r>
                    <w:rPr>
                      <w:rFonts w:eastAsia="Times New Roman" w:cstheme="minorHAnsi"/>
                      <w:lang w:val="fr-FR" w:eastAsia="fr-FR"/>
                    </w:rPr>
                    <w:t>Les microplans des zones de santé à faible performance intégrant les interventions de routine et les campagnes et prenant en compte les axes stratégiques SBC du bureau sont élaborés</w:t>
                  </w:r>
                  <w:r w:rsidRPr="00801489">
                    <w:rPr>
                      <w:rFonts w:eastAsia="Times New Roman" w:cstheme="minorHAnsi"/>
                      <w:lang w:val="fr-FR" w:eastAsia="fr-FR"/>
                    </w:rPr>
                    <w:t xml:space="preserve">. </w:t>
                  </w:r>
                  <w:r w:rsidR="00FB4CC3">
                    <w:rPr>
                      <w:rFonts w:eastAsia="Times New Roman" w:cstheme="minorHAnsi"/>
                      <w:lang w:val="fr-FR" w:eastAsia="fr-FR"/>
                    </w:rPr>
                    <w:t>Mois 2</w:t>
                  </w:r>
                </w:p>
              </w:tc>
            </w:tr>
            <w:tr w:rsidR="00324D32" w:rsidRPr="00E94789" w14:paraId="04DDF129" w14:textId="77777777" w:rsidTr="00E55DAC">
              <w:tc>
                <w:tcPr>
                  <w:tcW w:w="8142" w:type="dxa"/>
                </w:tcPr>
                <w:p w14:paraId="22467AB3" w14:textId="77777777" w:rsidR="00324D32" w:rsidRDefault="00324D32" w:rsidP="00324D32">
                  <w:pPr>
                    <w:pStyle w:val="ListParagraph"/>
                    <w:numPr>
                      <w:ilvl w:val="0"/>
                      <w:numId w:val="25"/>
                    </w:numPr>
                    <w:adjustRightInd w:val="0"/>
                    <w:snapToGrid w:val="0"/>
                    <w:rPr>
                      <w:rFonts w:eastAsia="Times New Roman" w:cstheme="minorHAnsi"/>
                      <w:lang w:val="fr-FR" w:eastAsia="fr-FR"/>
                    </w:rPr>
                  </w:pPr>
                  <w:r>
                    <w:rPr>
                      <w:rFonts w:eastAsia="Times New Roman" w:cstheme="minorHAnsi"/>
                      <w:lang w:val="fr-FR" w:eastAsia="fr-FR"/>
                    </w:rPr>
                    <w:t xml:space="preserve">Les rapports de supervision ainsi que les plans de redressement des activités SBC sont disponibles. </w:t>
                  </w:r>
                  <w:r w:rsidRPr="00056B2E">
                    <w:rPr>
                      <w:rFonts w:eastAsia="Times New Roman" w:cstheme="minorHAnsi"/>
                      <w:b/>
                      <w:bCs/>
                      <w:lang w:val="fr-FR" w:eastAsia="fr-FR"/>
                    </w:rPr>
                    <w:t>Après chaque mission de terrain</w:t>
                  </w:r>
                  <w:r>
                    <w:rPr>
                      <w:rFonts w:eastAsia="Times New Roman" w:cstheme="minorHAnsi"/>
                      <w:lang w:val="fr-FR" w:eastAsia="fr-FR"/>
                    </w:rPr>
                    <w:t xml:space="preserve">. </w:t>
                  </w:r>
                </w:p>
              </w:tc>
            </w:tr>
            <w:tr w:rsidR="00324D32" w:rsidRPr="00E94789" w14:paraId="7B0D50D4" w14:textId="77777777" w:rsidTr="00E55DAC">
              <w:tc>
                <w:tcPr>
                  <w:tcW w:w="8142" w:type="dxa"/>
                </w:tcPr>
                <w:p w14:paraId="517953FC" w14:textId="77777777" w:rsidR="00324D32" w:rsidRPr="00C56BC5" w:rsidRDefault="00324D32" w:rsidP="00324D32">
                  <w:pPr>
                    <w:numPr>
                      <w:ilvl w:val="0"/>
                      <w:numId w:val="25"/>
                    </w:numPr>
                    <w:autoSpaceDE w:val="0"/>
                    <w:autoSpaceDN w:val="0"/>
                    <w:adjustRightInd w:val="0"/>
                    <w:jc w:val="both"/>
                    <w:rPr>
                      <w:rFonts w:cstheme="minorHAnsi"/>
                      <w:b/>
                      <w:bCs/>
                      <w:lang w:val="fr-FR"/>
                    </w:rPr>
                  </w:pPr>
                  <w:r w:rsidRPr="00801489">
                    <w:rPr>
                      <w:rFonts w:eastAsia="Times New Roman" w:cstheme="minorHAnsi"/>
                      <w:lang w:val="fr-FR" w:eastAsia="fr-FR"/>
                    </w:rPr>
                    <w:t>Le</w:t>
                  </w:r>
                  <w:r>
                    <w:rPr>
                      <w:rFonts w:eastAsia="Times New Roman" w:cstheme="minorHAnsi"/>
                      <w:lang w:val="fr-FR" w:eastAsia="fr-FR"/>
                    </w:rPr>
                    <w:t xml:space="preserve"> rapport mensuel </w:t>
                  </w:r>
                  <w:r w:rsidRPr="00056B2E">
                    <w:rPr>
                      <w:rFonts w:eastAsia="Times New Roman" w:cstheme="minorHAnsi"/>
                      <w:lang w:val="fr-FR" w:eastAsia="fr-FR"/>
                    </w:rPr>
                    <w:t>avec une analyse détaillée d</w:t>
                  </w:r>
                  <w:r>
                    <w:rPr>
                      <w:rFonts w:eastAsia="Times New Roman" w:cstheme="minorHAnsi"/>
                      <w:lang w:val="fr-FR" w:eastAsia="fr-FR"/>
                    </w:rPr>
                    <w:t>’activités réalisées, d</w:t>
                  </w:r>
                  <w:r w:rsidRPr="00056B2E">
                    <w:rPr>
                      <w:rFonts w:eastAsia="Times New Roman" w:cstheme="minorHAnsi"/>
                      <w:lang w:val="fr-FR" w:eastAsia="fr-FR"/>
                    </w:rPr>
                    <w:t xml:space="preserve">es forces, des défis et des opportunités ainsi qu’une analyse rigoureuse et chiffrée de l’évolution des indicateurs </w:t>
                  </w:r>
                  <w:r>
                    <w:rPr>
                      <w:rFonts w:eastAsia="Times New Roman" w:cstheme="minorHAnsi"/>
                      <w:lang w:val="fr-FR" w:eastAsia="fr-FR"/>
                    </w:rPr>
                    <w:t xml:space="preserve">SBC en routine et lors des campagnes est produits et partagé. </w:t>
                  </w:r>
                  <w:r w:rsidRPr="00C56BC5">
                    <w:rPr>
                      <w:rFonts w:eastAsia="Times New Roman" w:cstheme="minorHAnsi"/>
                      <w:b/>
                      <w:bCs/>
                      <w:lang w:val="fr-FR" w:eastAsia="fr-FR"/>
                    </w:rPr>
                    <w:t>Mensuellement</w:t>
                  </w:r>
                  <w:r w:rsidRPr="00C56BC5">
                    <w:rPr>
                      <w:rFonts w:cstheme="minorHAnsi"/>
                      <w:b/>
                      <w:bCs/>
                      <w:lang w:val="fr-FR"/>
                    </w:rPr>
                    <w:t xml:space="preserve">.  </w:t>
                  </w:r>
                </w:p>
                <w:p w14:paraId="3697DD30" w14:textId="77777777" w:rsidR="00324D32" w:rsidRPr="00E94789" w:rsidRDefault="00324D32" w:rsidP="00324D32">
                  <w:pPr>
                    <w:adjustRightInd w:val="0"/>
                    <w:snapToGrid w:val="0"/>
                    <w:rPr>
                      <w:rFonts w:eastAsia="Times New Roman" w:cstheme="minorHAnsi"/>
                      <w:lang w:val="fr-FR"/>
                    </w:rPr>
                  </w:pPr>
                </w:p>
              </w:tc>
            </w:tr>
            <w:tr w:rsidR="00324D32" w:rsidRPr="00E94789" w14:paraId="3DD61CA6" w14:textId="77777777" w:rsidTr="00E55DAC">
              <w:tc>
                <w:tcPr>
                  <w:tcW w:w="8142" w:type="dxa"/>
                </w:tcPr>
                <w:p w14:paraId="48E2BF6A" w14:textId="77777777" w:rsidR="00324D32" w:rsidRPr="00056B2E" w:rsidRDefault="00324D32" w:rsidP="00324D32">
                  <w:pPr>
                    <w:pStyle w:val="ListParagraph"/>
                    <w:numPr>
                      <w:ilvl w:val="0"/>
                      <w:numId w:val="25"/>
                    </w:numPr>
                    <w:jc w:val="both"/>
                    <w:rPr>
                      <w:rFonts w:eastAsia="Times New Roman" w:cstheme="minorHAnsi"/>
                      <w:lang w:val="fr-FR"/>
                    </w:rPr>
                  </w:pPr>
                  <w:r w:rsidRPr="00056B2E">
                    <w:rPr>
                      <w:rFonts w:eastAsia="Times New Roman" w:cstheme="minorHAnsi"/>
                      <w:lang w:val="fr-FR" w:eastAsia="fr-FR"/>
                    </w:rPr>
                    <w:t>Le rapport final de la consultation, avec une analyse détaillée d’activités</w:t>
                  </w:r>
                  <w:r>
                    <w:rPr>
                      <w:rFonts w:eastAsia="Times New Roman" w:cstheme="minorHAnsi"/>
                      <w:lang w:val="fr-FR" w:eastAsia="fr-FR"/>
                    </w:rPr>
                    <w:t xml:space="preserve"> réalisées, </w:t>
                  </w:r>
                  <w:r w:rsidRPr="00056B2E">
                    <w:rPr>
                      <w:rFonts w:eastAsia="Times New Roman" w:cstheme="minorHAnsi"/>
                      <w:lang w:val="fr-FR" w:eastAsia="fr-FR"/>
                    </w:rPr>
                    <w:t>des forces, des défis et des opportunités ainsi qu’une analyse rigoureuse et chiffrée de l’évolution des indicateurs SBC en routine et lors des campagnes est élaboré et partagé</w:t>
                  </w:r>
                  <w:r w:rsidRPr="00056B2E">
                    <w:rPr>
                      <w:rFonts w:cstheme="minorHAnsi"/>
                      <w:lang w:val="fr-FR"/>
                    </w:rPr>
                    <w:t xml:space="preserve">.  </w:t>
                  </w:r>
                  <w:r w:rsidRPr="00616C89">
                    <w:rPr>
                      <w:rFonts w:eastAsia="Times New Roman" w:cstheme="minorHAnsi"/>
                      <w:b/>
                      <w:bCs/>
                      <w:lang w:val="fr-FR" w:eastAsia="fr-FR"/>
                    </w:rPr>
                    <w:t>A la fin d</w:t>
                  </w:r>
                  <w:r>
                    <w:rPr>
                      <w:rFonts w:eastAsia="Times New Roman" w:cstheme="minorHAnsi"/>
                      <w:b/>
                      <w:bCs/>
                      <w:lang w:val="fr-FR" w:eastAsia="fr-FR"/>
                    </w:rPr>
                    <w:t>e la consultation</w:t>
                  </w:r>
                </w:p>
              </w:tc>
            </w:tr>
          </w:tbl>
          <w:p w14:paraId="199D1BF8" w14:textId="53ABA1DA" w:rsidR="000F4257" w:rsidRPr="00840FA4" w:rsidRDefault="000F4257" w:rsidP="000F5BE2">
            <w:pPr>
              <w:adjustRightInd w:val="0"/>
              <w:snapToGrid w:val="0"/>
              <w:spacing w:after="0" w:line="240" w:lineRule="auto"/>
              <w:ind w:left="88"/>
              <w:rPr>
                <w:rFonts w:eastAsia="Times New Roman" w:cstheme="minorHAnsi"/>
                <w:color w:val="000000"/>
                <w:sz w:val="24"/>
                <w:szCs w:val="24"/>
                <w:lang w:val="fr-FR"/>
              </w:rPr>
            </w:pPr>
          </w:p>
        </w:tc>
      </w:tr>
      <w:tr w:rsidR="00C86910" w:rsidRPr="00E55DAC" w14:paraId="293515F5" w14:textId="77777777" w:rsidTr="00E55DAC">
        <w:trPr>
          <w:tblCellSpacing w:w="15" w:type="dxa"/>
        </w:trPr>
        <w:tc>
          <w:tcPr>
            <w:tcW w:w="1747" w:type="dxa"/>
            <w:tcBorders>
              <w:top w:val="outset" w:sz="6" w:space="0" w:color="auto"/>
              <w:left w:val="outset" w:sz="6" w:space="0" w:color="auto"/>
              <w:bottom w:val="outset" w:sz="6" w:space="0" w:color="auto"/>
              <w:right w:val="outset" w:sz="6" w:space="0" w:color="auto"/>
            </w:tcBorders>
            <w:hideMark/>
          </w:tcPr>
          <w:p w14:paraId="22FDBBB4" w14:textId="77777777" w:rsidR="00C86910" w:rsidRPr="00840FA4" w:rsidRDefault="00475D53" w:rsidP="000211AB">
            <w:pPr>
              <w:adjustRightInd w:val="0"/>
              <w:snapToGrid w:val="0"/>
              <w:spacing w:after="0" w:line="240" w:lineRule="auto"/>
              <w:ind w:left="142"/>
              <w:rPr>
                <w:rFonts w:eastAsia="Times New Roman" w:cstheme="minorHAnsi"/>
                <w:b/>
                <w:color w:val="000000"/>
                <w:sz w:val="24"/>
                <w:szCs w:val="24"/>
                <w:lang w:val="fr-FR"/>
              </w:rPr>
            </w:pPr>
            <w:r w:rsidRPr="00840FA4">
              <w:rPr>
                <w:rFonts w:eastAsia="Times New Roman" w:cstheme="minorHAnsi"/>
                <w:b/>
                <w:color w:val="000000"/>
                <w:sz w:val="24"/>
                <w:szCs w:val="24"/>
                <w:lang w:val="fr-FR"/>
              </w:rPr>
              <w:t>Exigences en matière de rapports</w:t>
            </w:r>
          </w:p>
        </w:tc>
        <w:tc>
          <w:tcPr>
            <w:tcW w:w="8235" w:type="dxa"/>
            <w:tcBorders>
              <w:top w:val="outset" w:sz="6" w:space="0" w:color="auto"/>
              <w:left w:val="outset" w:sz="6" w:space="0" w:color="auto"/>
              <w:bottom w:val="outset" w:sz="6" w:space="0" w:color="auto"/>
              <w:right w:val="outset" w:sz="6" w:space="0" w:color="auto"/>
            </w:tcBorders>
            <w:hideMark/>
          </w:tcPr>
          <w:p w14:paraId="1C4BF650" w14:textId="282EA49A" w:rsidR="00C86910" w:rsidRPr="00840FA4" w:rsidRDefault="00FF4A81" w:rsidP="00F15657">
            <w:pPr>
              <w:autoSpaceDE w:val="0"/>
              <w:autoSpaceDN w:val="0"/>
              <w:adjustRightInd w:val="0"/>
              <w:spacing w:after="0" w:line="240" w:lineRule="auto"/>
              <w:jc w:val="both"/>
              <w:rPr>
                <w:rFonts w:cstheme="minorHAnsi"/>
                <w:color w:val="000000" w:themeColor="text1"/>
                <w:sz w:val="24"/>
                <w:szCs w:val="24"/>
                <w:lang w:val="fr-FR"/>
              </w:rPr>
            </w:pPr>
            <w:r w:rsidRPr="00F15657">
              <w:rPr>
                <w:rFonts w:eastAsia="Times New Roman" w:cstheme="minorHAnsi"/>
                <w:lang w:val="fr-FR" w:eastAsia="fr-FR"/>
              </w:rPr>
              <w:t xml:space="preserve">Le Consultant national </w:t>
            </w:r>
            <w:r w:rsidR="00F15657" w:rsidRPr="00F15657">
              <w:rPr>
                <w:rFonts w:eastAsia="Times New Roman" w:cstheme="minorHAnsi"/>
                <w:lang w:val="fr-FR" w:eastAsia="fr-FR"/>
              </w:rPr>
              <w:t>sera placé</w:t>
            </w:r>
            <w:r w:rsidRPr="00F15657">
              <w:rPr>
                <w:rFonts w:eastAsia="Times New Roman" w:cstheme="minorHAnsi"/>
                <w:lang w:val="fr-FR" w:eastAsia="fr-FR"/>
              </w:rPr>
              <w:t xml:space="preserve"> </w:t>
            </w:r>
            <w:proofErr w:type="gramStart"/>
            <w:r w:rsidRPr="00F15657">
              <w:rPr>
                <w:rFonts w:eastAsia="Times New Roman" w:cstheme="minorHAnsi"/>
                <w:lang w:val="fr-FR" w:eastAsia="fr-FR"/>
              </w:rPr>
              <w:t xml:space="preserve">sous </w:t>
            </w:r>
            <w:r w:rsidR="00F15657" w:rsidRPr="00F15657">
              <w:rPr>
                <w:rFonts w:eastAsia="Times New Roman" w:cstheme="minorHAnsi"/>
                <w:lang w:val="fr-FR" w:eastAsia="fr-FR"/>
              </w:rPr>
              <w:t xml:space="preserve"> la</w:t>
            </w:r>
            <w:proofErr w:type="gramEnd"/>
            <w:r w:rsidR="00F15657" w:rsidRPr="00F15657">
              <w:rPr>
                <w:rFonts w:eastAsia="Times New Roman" w:cstheme="minorHAnsi"/>
                <w:lang w:val="fr-FR" w:eastAsia="fr-FR"/>
              </w:rPr>
              <w:t xml:space="preserve"> supervision directe du spécialiste en Communication pour le Développement(C4D) et engagement communautaire du Bureau de terrain, et la supervision générale du Chef de section C4D/SBC assisté par le SBC Manager.</w:t>
            </w:r>
          </w:p>
        </w:tc>
      </w:tr>
      <w:tr w:rsidR="000F4257" w:rsidRPr="00E55DAC" w14:paraId="00D6D41E" w14:textId="77777777" w:rsidTr="00E55DAC">
        <w:trPr>
          <w:tblCellSpacing w:w="15" w:type="dxa"/>
        </w:trPr>
        <w:tc>
          <w:tcPr>
            <w:tcW w:w="1747" w:type="dxa"/>
            <w:tcBorders>
              <w:top w:val="outset" w:sz="6" w:space="0" w:color="auto"/>
              <w:left w:val="outset" w:sz="6" w:space="0" w:color="auto"/>
              <w:bottom w:val="outset" w:sz="6" w:space="0" w:color="auto"/>
              <w:right w:val="outset" w:sz="6" w:space="0" w:color="auto"/>
            </w:tcBorders>
            <w:hideMark/>
          </w:tcPr>
          <w:p w14:paraId="74982900" w14:textId="77777777" w:rsidR="000F4257" w:rsidRPr="00840FA4" w:rsidRDefault="00475D53" w:rsidP="0028525E">
            <w:pPr>
              <w:adjustRightInd w:val="0"/>
              <w:snapToGrid w:val="0"/>
              <w:spacing w:after="0" w:line="240" w:lineRule="auto"/>
              <w:ind w:left="142"/>
              <w:rPr>
                <w:rFonts w:eastAsia="Times New Roman" w:cstheme="minorHAnsi"/>
                <w:b/>
                <w:color w:val="000000"/>
                <w:sz w:val="24"/>
                <w:szCs w:val="24"/>
                <w:lang w:val="en-US"/>
              </w:rPr>
            </w:pPr>
            <w:r w:rsidRPr="00840FA4">
              <w:rPr>
                <w:rFonts w:eastAsia="Times New Roman" w:cstheme="minorHAnsi"/>
                <w:b/>
                <w:color w:val="000000"/>
                <w:sz w:val="24"/>
                <w:szCs w:val="24"/>
                <w:lang w:val="en-US"/>
              </w:rPr>
              <w:t>Lieu et Durée</w:t>
            </w:r>
          </w:p>
        </w:tc>
        <w:tc>
          <w:tcPr>
            <w:tcW w:w="8235" w:type="dxa"/>
            <w:tcBorders>
              <w:top w:val="outset" w:sz="6" w:space="0" w:color="auto"/>
              <w:left w:val="outset" w:sz="6" w:space="0" w:color="auto"/>
              <w:bottom w:val="outset" w:sz="6" w:space="0" w:color="auto"/>
              <w:right w:val="outset" w:sz="6" w:space="0" w:color="auto"/>
            </w:tcBorders>
            <w:hideMark/>
          </w:tcPr>
          <w:p w14:paraId="6C89E303" w14:textId="39055DAE" w:rsidR="001B3EC9" w:rsidRPr="00F15657" w:rsidRDefault="00FF4A81" w:rsidP="00FF4A81">
            <w:pPr>
              <w:autoSpaceDE w:val="0"/>
              <w:autoSpaceDN w:val="0"/>
              <w:adjustRightInd w:val="0"/>
              <w:spacing w:after="0" w:line="240" w:lineRule="auto"/>
              <w:rPr>
                <w:rFonts w:eastAsia="Times New Roman" w:cstheme="minorHAnsi"/>
                <w:lang w:val="fr-FR" w:eastAsia="fr-FR"/>
              </w:rPr>
            </w:pPr>
            <w:r w:rsidRPr="00F15657">
              <w:rPr>
                <w:rFonts w:eastAsia="Times New Roman" w:cstheme="minorHAnsi"/>
                <w:lang w:val="fr-FR" w:eastAsia="fr-FR"/>
              </w:rPr>
              <w:t xml:space="preserve">La consultation se déroulera </w:t>
            </w:r>
            <w:r w:rsidR="00133F7F" w:rsidRPr="00F15657">
              <w:rPr>
                <w:rFonts w:eastAsia="Times New Roman" w:cstheme="minorHAnsi"/>
                <w:lang w:val="fr-FR" w:eastAsia="fr-FR"/>
              </w:rPr>
              <w:t xml:space="preserve">dans les lieux </w:t>
            </w:r>
            <w:r w:rsidR="00F15657">
              <w:rPr>
                <w:rFonts w:eastAsia="Times New Roman" w:cstheme="minorHAnsi"/>
                <w:lang w:val="fr-FR" w:eastAsia="fr-FR"/>
              </w:rPr>
              <w:t>où</w:t>
            </w:r>
            <w:r w:rsidR="00F15657" w:rsidRPr="00F15657">
              <w:rPr>
                <w:rFonts w:eastAsia="Times New Roman" w:cstheme="minorHAnsi"/>
                <w:lang w:val="fr-FR" w:eastAsia="fr-FR"/>
              </w:rPr>
              <w:t xml:space="preserve"> des interventions de SBC appuyé</w:t>
            </w:r>
            <w:r w:rsidR="00F15657">
              <w:rPr>
                <w:rFonts w:eastAsia="Times New Roman" w:cstheme="minorHAnsi"/>
                <w:lang w:val="fr-FR" w:eastAsia="fr-FR"/>
              </w:rPr>
              <w:t>e</w:t>
            </w:r>
            <w:r w:rsidR="00F15657" w:rsidRPr="00F15657">
              <w:rPr>
                <w:rFonts w:eastAsia="Times New Roman" w:cstheme="minorHAnsi"/>
                <w:lang w:val="fr-FR" w:eastAsia="fr-FR"/>
              </w:rPr>
              <w:t xml:space="preserve">s par UNICEF sont mises en œuvre. </w:t>
            </w:r>
          </w:p>
        </w:tc>
      </w:tr>
      <w:tr w:rsidR="00324D32" w:rsidRPr="00E55DAC" w14:paraId="29B7916F" w14:textId="77777777" w:rsidTr="00E55DAC">
        <w:trPr>
          <w:tblCellSpacing w:w="15" w:type="dxa"/>
        </w:trPr>
        <w:tc>
          <w:tcPr>
            <w:tcW w:w="1747" w:type="dxa"/>
            <w:tcBorders>
              <w:top w:val="outset" w:sz="6" w:space="0" w:color="auto"/>
              <w:left w:val="outset" w:sz="6" w:space="0" w:color="auto"/>
              <w:bottom w:val="outset" w:sz="6" w:space="0" w:color="auto"/>
              <w:right w:val="outset" w:sz="6" w:space="0" w:color="auto"/>
            </w:tcBorders>
            <w:hideMark/>
          </w:tcPr>
          <w:p w14:paraId="4C943746" w14:textId="77777777" w:rsidR="00324D32" w:rsidRPr="00840FA4" w:rsidRDefault="00324D32" w:rsidP="00324D32">
            <w:pPr>
              <w:adjustRightInd w:val="0"/>
              <w:snapToGrid w:val="0"/>
              <w:spacing w:after="0" w:line="240" w:lineRule="auto"/>
              <w:ind w:left="142"/>
              <w:rPr>
                <w:rFonts w:eastAsia="Times New Roman" w:cstheme="minorHAnsi"/>
                <w:b/>
                <w:color w:val="000000"/>
                <w:sz w:val="24"/>
                <w:szCs w:val="24"/>
                <w:lang w:val="en-US"/>
              </w:rPr>
            </w:pPr>
            <w:proofErr w:type="spellStart"/>
            <w:r w:rsidRPr="00840FA4">
              <w:rPr>
                <w:rFonts w:eastAsia="Times New Roman" w:cstheme="minorHAnsi"/>
                <w:b/>
                <w:color w:val="000000"/>
                <w:sz w:val="24"/>
                <w:szCs w:val="24"/>
                <w:lang w:val="en-US"/>
              </w:rPr>
              <w:t>Expérience</w:t>
            </w:r>
            <w:proofErr w:type="spellEnd"/>
            <w:r w:rsidRPr="00840FA4">
              <w:rPr>
                <w:rFonts w:eastAsia="Times New Roman" w:cstheme="minorHAnsi"/>
                <w:b/>
                <w:color w:val="000000"/>
                <w:sz w:val="24"/>
                <w:szCs w:val="24"/>
                <w:lang w:val="en-US"/>
              </w:rPr>
              <w:t xml:space="preserve"> </w:t>
            </w:r>
            <w:proofErr w:type="spellStart"/>
            <w:r w:rsidRPr="00840FA4">
              <w:rPr>
                <w:rFonts w:eastAsia="Times New Roman" w:cstheme="minorHAnsi"/>
                <w:b/>
                <w:color w:val="000000"/>
                <w:sz w:val="24"/>
                <w:szCs w:val="24"/>
                <w:lang w:val="en-US"/>
              </w:rPr>
              <w:t>professionnelle</w:t>
            </w:r>
            <w:proofErr w:type="spellEnd"/>
            <w:r w:rsidRPr="00840FA4">
              <w:rPr>
                <w:rFonts w:eastAsia="Times New Roman" w:cstheme="minorHAnsi"/>
                <w:b/>
                <w:color w:val="000000"/>
                <w:sz w:val="24"/>
                <w:szCs w:val="24"/>
                <w:lang w:val="en-US"/>
              </w:rPr>
              <w:t xml:space="preserve"> </w:t>
            </w:r>
            <w:proofErr w:type="spellStart"/>
            <w:r w:rsidRPr="00840FA4">
              <w:rPr>
                <w:rFonts w:eastAsia="Times New Roman" w:cstheme="minorHAnsi"/>
                <w:b/>
                <w:color w:val="000000"/>
                <w:sz w:val="24"/>
                <w:szCs w:val="24"/>
                <w:lang w:val="en-US"/>
              </w:rPr>
              <w:t>requise</w:t>
            </w:r>
            <w:proofErr w:type="spellEnd"/>
          </w:p>
        </w:tc>
        <w:tc>
          <w:tcPr>
            <w:tcW w:w="8235" w:type="dxa"/>
            <w:tcBorders>
              <w:top w:val="outset" w:sz="6" w:space="0" w:color="auto"/>
              <w:left w:val="outset" w:sz="6" w:space="0" w:color="auto"/>
              <w:bottom w:val="outset" w:sz="6" w:space="0" w:color="auto"/>
              <w:right w:val="outset" w:sz="6" w:space="0" w:color="auto"/>
            </w:tcBorders>
            <w:hideMark/>
          </w:tcPr>
          <w:p w14:paraId="170C0E25" w14:textId="77777777" w:rsidR="00324D32" w:rsidRPr="00F15657" w:rsidRDefault="00324D32" w:rsidP="00324D32">
            <w:pPr>
              <w:pStyle w:val="Default"/>
              <w:jc w:val="both"/>
              <w:rPr>
                <w:rFonts w:asciiTheme="minorHAnsi" w:eastAsia="Times New Roman" w:hAnsiTheme="minorHAnsi" w:cstheme="minorHAnsi"/>
                <w:color w:val="auto"/>
                <w:sz w:val="22"/>
                <w:szCs w:val="22"/>
                <w:bdr w:val="none" w:sz="0" w:space="0" w:color="auto"/>
                <w:lang w:val="fr-FR" w:eastAsia="fr-FR"/>
              </w:rPr>
            </w:pPr>
            <w:r w:rsidRPr="00F15657">
              <w:rPr>
                <w:rFonts w:asciiTheme="minorHAnsi" w:eastAsia="Times New Roman" w:hAnsiTheme="minorHAnsi" w:cstheme="minorHAnsi"/>
                <w:color w:val="auto"/>
                <w:sz w:val="22"/>
                <w:szCs w:val="22"/>
                <w:bdr w:val="none" w:sz="0" w:space="0" w:color="auto"/>
                <w:lang w:val="fr-FR" w:eastAsia="fr-FR"/>
              </w:rPr>
              <w:t>Les consultants doivent avoir les compétences et qualifications suivantes :</w:t>
            </w:r>
          </w:p>
          <w:p w14:paraId="1FEDDF5C" w14:textId="77777777" w:rsidR="00324D32" w:rsidRPr="00095512"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095512">
              <w:rPr>
                <w:rFonts w:eastAsia="Times New Roman" w:cstheme="minorHAnsi"/>
                <w:lang w:val="fr-FR" w:eastAsia="fr-FR"/>
              </w:rPr>
              <w:t xml:space="preserve">Être de nationalité congolaise </w:t>
            </w:r>
          </w:p>
          <w:p w14:paraId="039E9974" w14:textId="6FE5546D" w:rsidR="00324D32" w:rsidRPr="00095512"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095512">
              <w:rPr>
                <w:rFonts w:eastAsia="Times New Roman" w:cstheme="minorHAnsi"/>
                <w:lang w:val="fr-FR" w:eastAsia="fr-FR"/>
              </w:rPr>
              <w:t xml:space="preserve">Avoir un diplôme universitaire </w:t>
            </w:r>
            <w:r w:rsidR="00FB4CC3">
              <w:rPr>
                <w:rFonts w:eastAsia="Times New Roman" w:cstheme="minorHAnsi"/>
                <w:lang w:val="fr-FR" w:eastAsia="fr-FR"/>
              </w:rPr>
              <w:t>de Master</w:t>
            </w:r>
            <w:r w:rsidRPr="00095512">
              <w:rPr>
                <w:rFonts w:eastAsia="Times New Roman" w:cstheme="minorHAnsi"/>
                <w:lang w:val="fr-FR" w:eastAsia="fr-FR"/>
              </w:rPr>
              <w:t xml:space="preserve"> (Bac+</w:t>
            </w:r>
            <w:r w:rsidR="00FB4CC3">
              <w:rPr>
                <w:rFonts w:eastAsia="Times New Roman" w:cstheme="minorHAnsi"/>
                <w:lang w:val="fr-FR" w:eastAsia="fr-FR"/>
              </w:rPr>
              <w:t>5</w:t>
            </w:r>
            <w:r w:rsidRPr="00095512">
              <w:rPr>
                <w:rFonts w:eastAsia="Times New Roman" w:cstheme="minorHAnsi"/>
                <w:lang w:val="fr-FR" w:eastAsia="fr-FR"/>
              </w:rPr>
              <w:t>) en communications,</w:t>
            </w:r>
            <w:r>
              <w:rPr>
                <w:rFonts w:eastAsia="Times New Roman" w:cstheme="minorHAnsi"/>
                <w:lang w:val="fr-FR" w:eastAsia="fr-FR"/>
              </w:rPr>
              <w:t xml:space="preserve"> </w:t>
            </w:r>
            <w:r w:rsidRPr="00095512">
              <w:rPr>
                <w:rFonts w:eastAsia="Times New Roman" w:cstheme="minorHAnsi"/>
                <w:lang w:val="fr-FR" w:eastAsia="fr-FR"/>
              </w:rPr>
              <w:t>santé publique, sciences sociales/comportementales</w:t>
            </w:r>
            <w:r>
              <w:rPr>
                <w:rFonts w:eastAsia="Times New Roman" w:cstheme="minorHAnsi"/>
                <w:lang w:val="fr-FR" w:eastAsia="fr-FR"/>
              </w:rPr>
              <w:t xml:space="preserve"> </w:t>
            </w:r>
            <w:r w:rsidRPr="00095512">
              <w:rPr>
                <w:rFonts w:eastAsia="Times New Roman" w:cstheme="minorHAnsi"/>
                <w:lang w:val="fr-FR" w:eastAsia="fr-FR"/>
              </w:rPr>
              <w:t>(sociologie, anthropologie, psychologie, éducation</w:t>
            </w:r>
            <w:r>
              <w:rPr>
                <w:rFonts w:eastAsia="Times New Roman" w:cstheme="minorHAnsi"/>
                <w:lang w:val="fr-FR" w:eastAsia="fr-FR"/>
              </w:rPr>
              <w:t>…</w:t>
            </w:r>
            <w:r w:rsidRPr="00095512">
              <w:rPr>
                <w:rFonts w:eastAsia="Times New Roman" w:cstheme="minorHAnsi"/>
                <w:lang w:val="fr-FR" w:eastAsia="fr-FR"/>
              </w:rPr>
              <w:t xml:space="preserve">), avec un accent sur la planification stratégique de la </w:t>
            </w:r>
            <w:r>
              <w:rPr>
                <w:rFonts w:eastAsia="Times New Roman" w:cstheme="minorHAnsi"/>
                <w:lang w:val="fr-FR" w:eastAsia="fr-FR"/>
              </w:rPr>
              <w:t>SBC</w:t>
            </w:r>
            <w:r w:rsidRPr="00095512">
              <w:rPr>
                <w:rFonts w:eastAsia="Times New Roman" w:cstheme="minorHAnsi"/>
                <w:lang w:val="fr-FR" w:eastAsia="fr-FR"/>
              </w:rPr>
              <w:t>, la mobilisation sociale, la communication participative et la recherche.</w:t>
            </w:r>
          </w:p>
          <w:p w14:paraId="7671A020" w14:textId="389CCA72" w:rsidR="00324D32" w:rsidRPr="00095512"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095512">
              <w:rPr>
                <w:rFonts w:eastAsia="Times New Roman" w:cstheme="minorHAnsi"/>
                <w:lang w:val="fr-FR" w:eastAsia="fr-FR"/>
              </w:rPr>
              <w:t xml:space="preserve">Au moins </w:t>
            </w:r>
            <w:r w:rsidR="008D1B36">
              <w:rPr>
                <w:rFonts w:eastAsia="Times New Roman" w:cstheme="minorHAnsi"/>
                <w:lang w:val="fr-FR" w:eastAsia="fr-FR"/>
              </w:rPr>
              <w:t>cinq</w:t>
            </w:r>
            <w:r w:rsidRPr="00095512">
              <w:rPr>
                <w:rFonts w:eastAsia="Times New Roman" w:cstheme="minorHAnsi"/>
                <w:lang w:val="fr-FR" w:eastAsia="fr-FR"/>
              </w:rPr>
              <w:t xml:space="preserve"> (</w:t>
            </w:r>
            <w:r w:rsidR="008D1B36">
              <w:rPr>
                <w:rFonts w:eastAsia="Times New Roman" w:cstheme="minorHAnsi"/>
                <w:lang w:val="fr-FR" w:eastAsia="fr-FR"/>
              </w:rPr>
              <w:t>5</w:t>
            </w:r>
            <w:r w:rsidRPr="00095512">
              <w:rPr>
                <w:rFonts w:eastAsia="Times New Roman" w:cstheme="minorHAnsi"/>
                <w:lang w:val="fr-FR" w:eastAsia="fr-FR"/>
              </w:rPr>
              <w:t>) ans d'expérience professionnelle progressive et pertinente dans l'élaboration, la planification et la gestion de programmes de développement social, dont plusieurs années dans des pays en développement, avec une expérience pratique dans l'adaptation et l'application des processus de planification de la communication à des programmes spécifiques.</w:t>
            </w:r>
          </w:p>
          <w:p w14:paraId="0018D32E" w14:textId="7A249FBD" w:rsidR="00324D32" w:rsidRPr="00095512"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095512">
              <w:rPr>
                <w:rFonts w:eastAsia="Times New Roman" w:cstheme="minorHAnsi"/>
                <w:lang w:val="fr-FR" w:eastAsia="fr-FR"/>
              </w:rPr>
              <w:t xml:space="preserve">Expérience dans la promotion de la </w:t>
            </w:r>
            <w:r w:rsidR="00916837" w:rsidRPr="00095512">
              <w:rPr>
                <w:rFonts w:eastAsia="Times New Roman" w:cstheme="minorHAnsi"/>
                <w:lang w:val="fr-FR" w:eastAsia="fr-FR"/>
              </w:rPr>
              <w:t xml:space="preserve">vaccination </w:t>
            </w:r>
            <w:r w:rsidR="00916837">
              <w:rPr>
                <w:rFonts w:eastAsia="Times New Roman" w:cstheme="minorHAnsi"/>
                <w:lang w:val="fr-FR" w:eastAsia="fr-FR"/>
              </w:rPr>
              <w:t>et</w:t>
            </w:r>
            <w:r w:rsidR="007C1706">
              <w:rPr>
                <w:rFonts w:eastAsia="Times New Roman" w:cstheme="minorHAnsi"/>
                <w:lang w:val="fr-FR" w:eastAsia="fr-FR"/>
              </w:rPr>
              <w:t xml:space="preserve"> des PFE ainsi que </w:t>
            </w:r>
            <w:r w:rsidRPr="00095512">
              <w:rPr>
                <w:rFonts w:eastAsia="Times New Roman" w:cstheme="minorHAnsi"/>
                <w:lang w:val="fr-FR" w:eastAsia="fr-FR"/>
              </w:rPr>
              <w:t>dans l</w:t>
            </w:r>
            <w:r w:rsidR="007C1706">
              <w:rPr>
                <w:rFonts w:eastAsia="Times New Roman" w:cstheme="minorHAnsi"/>
                <w:lang w:val="fr-FR" w:eastAsia="fr-FR"/>
              </w:rPr>
              <w:t xml:space="preserve">’engagement communautaire et   communication de risque en </w:t>
            </w:r>
            <w:r w:rsidRPr="00095512">
              <w:rPr>
                <w:rFonts w:eastAsia="Times New Roman" w:cstheme="minorHAnsi"/>
                <w:lang w:val="fr-FR" w:eastAsia="fr-FR"/>
              </w:rPr>
              <w:t>contexte des épidémies et pandémie.</w:t>
            </w:r>
          </w:p>
          <w:p w14:paraId="2E34E40B" w14:textId="77777777" w:rsidR="00324D32"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095512">
              <w:rPr>
                <w:rFonts w:eastAsia="Times New Roman" w:cstheme="minorHAnsi"/>
                <w:lang w:val="fr-FR" w:eastAsia="fr-FR"/>
              </w:rPr>
              <w:t>Avoir une très bonne connaissance des langues locales de la province d’intervention.</w:t>
            </w:r>
          </w:p>
          <w:p w14:paraId="3E1D4573" w14:textId="6A1117F5" w:rsidR="00324D32"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2E03F5">
              <w:rPr>
                <w:rFonts w:eastAsia="Times New Roman" w:cstheme="minorHAnsi"/>
                <w:lang w:val="fr-FR" w:eastAsia="fr-FR"/>
              </w:rPr>
              <w:t>Maîtriser l’outil informatique, notamment des logiciels Excel, Word et PowerPoint.</w:t>
            </w:r>
          </w:p>
          <w:p w14:paraId="2CD10D6A" w14:textId="58CEE2BC" w:rsidR="00916837" w:rsidRPr="002E03F5" w:rsidRDefault="00916837" w:rsidP="00324D32">
            <w:pPr>
              <w:pStyle w:val="ListParagraph"/>
              <w:numPr>
                <w:ilvl w:val="0"/>
                <w:numId w:val="44"/>
              </w:numPr>
              <w:spacing w:before="240" w:after="0" w:line="240" w:lineRule="auto"/>
              <w:ind w:left="360"/>
              <w:jc w:val="both"/>
              <w:rPr>
                <w:rFonts w:eastAsia="Times New Roman" w:cstheme="minorHAnsi"/>
                <w:lang w:val="fr-FR" w:eastAsia="fr-FR"/>
              </w:rPr>
            </w:pPr>
            <w:r>
              <w:rPr>
                <w:rFonts w:eastAsia="Times New Roman" w:cstheme="minorHAnsi"/>
                <w:lang w:val="fr-FR" w:eastAsia="fr-FR"/>
              </w:rPr>
              <w:t xml:space="preserve">Pour les anciens nationaux ayant </w:t>
            </w:r>
            <w:r w:rsidR="00D323DB">
              <w:rPr>
                <w:rFonts w:eastAsia="Times New Roman" w:cstheme="minorHAnsi"/>
                <w:lang w:val="fr-FR" w:eastAsia="fr-FR"/>
              </w:rPr>
              <w:t>travaillé</w:t>
            </w:r>
            <w:r>
              <w:rPr>
                <w:rFonts w:eastAsia="Times New Roman" w:cstheme="minorHAnsi"/>
                <w:lang w:val="fr-FR" w:eastAsia="fr-FR"/>
              </w:rPr>
              <w:t xml:space="preserve"> avec UNICEF, une agence des Nations Unies ou encore une agence de gestion des ressources humaines, fournir une </w:t>
            </w:r>
            <w:r w:rsidR="00D323DB">
              <w:rPr>
                <w:rFonts w:eastAsia="Times New Roman" w:cstheme="minorHAnsi"/>
                <w:lang w:val="fr-FR" w:eastAsia="fr-FR"/>
              </w:rPr>
              <w:t>évaluation</w:t>
            </w:r>
            <w:r>
              <w:rPr>
                <w:rFonts w:eastAsia="Times New Roman" w:cstheme="minorHAnsi"/>
                <w:lang w:val="fr-FR" w:eastAsia="fr-FR"/>
              </w:rPr>
              <w:t xml:space="preserve"> positive pour les 3 </w:t>
            </w:r>
            <w:r w:rsidR="00D323DB">
              <w:rPr>
                <w:rFonts w:eastAsia="Times New Roman" w:cstheme="minorHAnsi"/>
                <w:lang w:val="fr-FR" w:eastAsia="fr-FR"/>
              </w:rPr>
              <w:t>dernières</w:t>
            </w:r>
            <w:r>
              <w:rPr>
                <w:rFonts w:eastAsia="Times New Roman" w:cstheme="minorHAnsi"/>
                <w:lang w:val="fr-FR" w:eastAsia="fr-FR"/>
              </w:rPr>
              <w:t xml:space="preserve"> consultations.</w:t>
            </w:r>
          </w:p>
          <w:p w14:paraId="479AF2E4" w14:textId="60A2C5F3" w:rsidR="00324D32" w:rsidRPr="00F15657" w:rsidRDefault="00324D32" w:rsidP="00324D32">
            <w:pPr>
              <w:widowControl w:val="0"/>
              <w:autoSpaceDE w:val="0"/>
              <w:autoSpaceDN w:val="0"/>
              <w:adjustRightInd w:val="0"/>
              <w:spacing w:line="240" w:lineRule="auto"/>
              <w:jc w:val="both"/>
              <w:rPr>
                <w:rFonts w:eastAsia="Times New Roman" w:cstheme="minorHAnsi"/>
                <w:lang w:val="fr-FR" w:eastAsia="fr-FR"/>
              </w:rPr>
            </w:pPr>
            <w:r w:rsidRPr="00F15657">
              <w:rPr>
                <w:rFonts w:eastAsia="Times New Roman" w:cstheme="minorHAnsi"/>
                <w:lang w:val="fr-FR" w:eastAsia="fr-FR"/>
              </w:rPr>
              <w:lastRenderedPageBreak/>
              <w:t>Les consultants doivent avoir les aptitudes suivantes :</w:t>
            </w:r>
          </w:p>
          <w:p w14:paraId="1E64E7DA" w14:textId="77777777" w:rsidR="00324D32" w:rsidRPr="00A13A2D"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A13A2D">
              <w:rPr>
                <w:rFonts w:eastAsia="Times New Roman" w:cstheme="minorHAnsi"/>
                <w:lang w:val="fr-FR" w:eastAsia="fr-FR"/>
              </w:rPr>
              <w:t>Avoir une très bonne capacité de rédaction de document</w:t>
            </w:r>
          </w:p>
          <w:p w14:paraId="201F5390" w14:textId="77777777" w:rsidR="00324D32" w:rsidRPr="00A13A2D"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A13A2D">
              <w:rPr>
                <w:rFonts w:eastAsia="Times New Roman" w:cstheme="minorHAnsi"/>
                <w:lang w:val="fr-FR" w:eastAsia="fr-FR"/>
              </w:rPr>
              <w:t>Savoir entretenir de bonnes relations avec tous les partenaires</w:t>
            </w:r>
          </w:p>
          <w:p w14:paraId="6CD58C15" w14:textId="77777777" w:rsidR="00324D32" w:rsidRPr="00A13A2D"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A13A2D">
              <w:rPr>
                <w:rFonts w:eastAsia="Times New Roman" w:cstheme="minorHAnsi"/>
                <w:lang w:val="fr-FR" w:eastAsia="fr-FR"/>
              </w:rPr>
              <w:t>Avoir l'esprit d'équipe</w:t>
            </w:r>
          </w:p>
          <w:p w14:paraId="576BFA7D" w14:textId="77777777" w:rsidR="00324D32" w:rsidRPr="00A13A2D"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A13A2D">
              <w:rPr>
                <w:rFonts w:eastAsia="Times New Roman" w:cstheme="minorHAnsi"/>
                <w:lang w:val="fr-FR" w:eastAsia="fr-FR"/>
              </w:rPr>
              <w:t>Avoir la capacité de communicateur et de formateur</w:t>
            </w:r>
          </w:p>
          <w:p w14:paraId="647566CC" w14:textId="77777777" w:rsidR="00324D32" w:rsidRPr="00A13A2D" w:rsidRDefault="00324D32" w:rsidP="00324D32">
            <w:pPr>
              <w:pStyle w:val="ListParagraph"/>
              <w:numPr>
                <w:ilvl w:val="0"/>
                <w:numId w:val="44"/>
              </w:numPr>
              <w:spacing w:before="240" w:after="0" w:line="240" w:lineRule="auto"/>
              <w:ind w:left="360"/>
              <w:jc w:val="both"/>
              <w:rPr>
                <w:rFonts w:eastAsia="Times New Roman" w:cstheme="minorHAnsi"/>
                <w:lang w:val="fr-FR" w:eastAsia="fr-FR"/>
              </w:rPr>
            </w:pPr>
            <w:r w:rsidRPr="00A13A2D">
              <w:rPr>
                <w:rFonts w:eastAsia="Times New Roman" w:cstheme="minorHAnsi"/>
                <w:lang w:val="fr-FR" w:eastAsia="fr-FR"/>
              </w:rPr>
              <w:t>Avoir une maîtrise du français et la connaissance de l'anglais serait appréciée.</w:t>
            </w:r>
          </w:p>
          <w:p w14:paraId="2E62E6B9" w14:textId="77777777" w:rsidR="00D323DB" w:rsidRDefault="00324D32" w:rsidP="00D323DB">
            <w:pPr>
              <w:pStyle w:val="ListParagraph"/>
              <w:numPr>
                <w:ilvl w:val="0"/>
                <w:numId w:val="44"/>
              </w:numPr>
              <w:spacing w:before="240" w:after="0" w:line="240" w:lineRule="auto"/>
              <w:ind w:left="360"/>
              <w:jc w:val="both"/>
              <w:rPr>
                <w:rFonts w:eastAsia="Times New Roman" w:cstheme="minorHAnsi"/>
                <w:lang w:val="fr-FR" w:eastAsia="fr-FR"/>
              </w:rPr>
            </w:pPr>
            <w:r w:rsidRPr="00A13A2D">
              <w:rPr>
                <w:rFonts w:eastAsia="Times New Roman" w:cstheme="minorHAnsi"/>
                <w:lang w:val="fr-FR" w:eastAsia="fr-FR"/>
              </w:rPr>
              <w:t xml:space="preserve">Être proactif, alerte et utiliser les données pour alerter des problèmes possibles </w:t>
            </w:r>
          </w:p>
          <w:p w14:paraId="7ADA7496" w14:textId="4CB09C24" w:rsidR="00324D32" w:rsidRPr="00D323DB" w:rsidRDefault="00324D32" w:rsidP="00D323DB">
            <w:pPr>
              <w:pStyle w:val="ListParagraph"/>
              <w:numPr>
                <w:ilvl w:val="0"/>
                <w:numId w:val="44"/>
              </w:numPr>
              <w:spacing w:before="240" w:after="0" w:line="240" w:lineRule="auto"/>
              <w:ind w:left="360"/>
              <w:jc w:val="both"/>
              <w:rPr>
                <w:rFonts w:eastAsia="Times New Roman" w:cstheme="minorHAnsi"/>
                <w:lang w:val="fr-FR" w:eastAsia="fr-FR"/>
              </w:rPr>
            </w:pPr>
            <w:r w:rsidRPr="00D323DB">
              <w:rPr>
                <w:rFonts w:eastAsia="Times New Roman" w:cstheme="minorHAnsi"/>
                <w:lang w:val="fr-FR" w:eastAsia="fr-FR"/>
              </w:rPr>
              <w:t>Avoir la capacité de travailler dans un environnement international et multiculturel</w:t>
            </w:r>
          </w:p>
        </w:tc>
      </w:tr>
      <w:tr w:rsidR="00D323DB" w:rsidRPr="00E55DAC" w14:paraId="75EAC06A" w14:textId="77777777" w:rsidTr="00E55DAC">
        <w:trPr>
          <w:trHeight w:val="709"/>
          <w:tblCellSpacing w:w="15" w:type="dxa"/>
        </w:trPr>
        <w:tc>
          <w:tcPr>
            <w:tcW w:w="1747" w:type="dxa"/>
            <w:tcBorders>
              <w:top w:val="outset" w:sz="6" w:space="0" w:color="auto"/>
              <w:left w:val="outset" w:sz="6" w:space="0" w:color="auto"/>
              <w:bottom w:val="outset" w:sz="6" w:space="0" w:color="auto"/>
              <w:right w:val="outset" w:sz="6" w:space="0" w:color="auto"/>
            </w:tcBorders>
          </w:tcPr>
          <w:p w14:paraId="334B88E4" w14:textId="72525559" w:rsidR="00D323DB" w:rsidRPr="00840FA4" w:rsidRDefault="00D323DB" w:rsidP="00D52DAD">
            <w:pPr>
              <w:adjustRightInd w:val="0"/>
              <w:snapToGrid w:val="0"/>
              <w:spacing w:after="0" w:line="240" w:lineRule="auto"/>
              <w:ind w:left="142"/>
              <w:rPr>
                <w:rFonts w:eastAsia="Times New Roman" w:cstheme="minorHAnsi"/>
                <w:b/>
                <w:color w:val="000000"/>
                <w:sz w:val="24"/>
                <w:szCs w:val="24"/>
                <w:lang w:val="en-US"/>
              </w:rPr>
            </w:pPr>
            <w:r w:rsidRPr="00E94789">
              <w:rPr>
                <w:rFonts w:eastAsia="Times New Roman" w:cstheme="minorHAnsi"/>
                <w:b/>
                <w:color w:val="000000"/>
                <w:lang w:val="fr-FR"/>
              </w:rPr>
              <w:lastRenderedPageBreak/>
              <w:t>Processus et méthodes d'évaluation</w:t>
            </w:r>
          </w:p>
        </w:tc>
        <w:tc>
          <w:tcPr>
            <w:tcW w:w="8235" w:type="dxa"/>
            <w:tcBorders>
              <w:top w:val="outset" w:sz="6" w:space="0" w:color="auto"/>
              <w:left w:val="outset" w:sz="6" w:space="0" w:color="auto"/>
              <w:bottom w:val="outset" w:sz="6" w:space="0" w:color="auto"/>
              <w:right w:val="outset" w:sz="6" w:space="0" w:color="auto"/>
            </w:tcBorders>
          </w:tcPr>
          <w:p w14:paraId="7D5E4D75" w14:textId="702E7C8F" w:rsidR="00D323DB" w:rsidRDefault="00D323DB" w:rsidP="00D31AF3">
            <w:pPr>
              <w:autoSpaceDE w:val="0"/>
              <w:autoSpaceDN w:val="0"/>
              <w:adjustRightInd w:val="0"/>
              <w:spacing w:after="0" w:line="240" w:lineRule="auto"/>
              <w:jc w:val="both"/>
              <w:rPr>
                <w:rFonts w:cstheme="minorHAnsi"/>
                <w:lang w:val="fr-FR"/>
              </w:rPr>
            </w:pPr>
            <w:r>
              <w:rPr>
                <w:rFonts w:cstheme="minorHAnsi"/>
                <w:lang w:val="fr-FR"/>
              </w:rPr>
              <w:t xml:space="preserve"> Le recrutement des candidats au roster sera fait de 2 manières ci-après :</w:t>
            </w:r>
          </w:p>
          <w:p w14:paraId="27EB0EA6" w14:textId="77777777" w:rsidR="00D323DB" w:rsidRDefault="00D323DB" w:rsidP="00D323DB">
            <w:pPr>
              <w:pStyle w:val="ListParagraph"/>
              <w:numPr>
                <w:ilvl w:val="0"/>
                <w:numId w:val="45"/>
              </w:numPr>
              <w:autoSpaceDE w:val="0"/>
              <w:autoSpaceDN w:val="0"/>
              <w:adjustRightInd w:val="0"/>
              <w:spacing w:after="0" w:line="240" w:lineRule="auto"/>
              <w:jc w:val="both"/>
              <w:rPr>
                <w:rFonts w:cstheme="minorHAnsi"/>
                <w:lang w:val="fr-FR"/>
              </w:rPr>
            </w:pPr>
            <w:r>
              <w:rPr>
                <w:rFonts w:cstheme="minorHAnsi"/>
                <w:lang w:val="fr-FR"/>
              </w:rPr>
              <w:t xml:space="preserve">Pour les anciens consultants ayant travaille avec UNICEF ou une agence de gestion des RH recrutée par UNICEF, il sera procédé </w:t>
            </w:r>
            <w:proofErr w:type="gramStart"/>
            <w:r>
              <w:rPr>
                <w:rFonts w:cstheme="minorHAnsi"/>
                <w:lang w:val="fr-FR"/>
              </w:rPr>
              <w:t>a</w:t>
            </w:r>
            <w:proofErr w:type="gramEnd"/>
            <w:r>
              <w:rPr>
                <w:rFonts w:cstheme="minorHAnsi"/>
                <w:lang w:val="fr-FR"/>
              </w:rPr>
              <w:t xml:space="preserve"> la prise de la base de données des consultants existante.</w:t>
            </w:r>
          </w:p>
          <w:p w14:paraId="3CC6B631" w14:textId="77777777" w:rsidR="00D323DB" w:rsidRDefault="00D323DB" w:rsidP="00D323DB">
            <w:pPr>
              <w:pStyle w:val="ListParagraph"/>
              <w:numPr>
                <w:ilvl w:val="0"/>
                <w:numId w:val="45"/>
              </w:numPr>
              <w:autoSpaceDE w:val="0"/>
              <w:autoSpaceDN w:val="0"/>
              <w:adjustRightInd w:val="0"/>
              <w:spacing w:after="0" w:line="240" w:lineRule="auto"/>
              <w:jc w:val="both"/>
              <w:rPr>
                <w:rFonts w:cstheme="minorHAnsi"/>
                <w:lang w:val="fr-FR"/>
              </w:rPr>
            </w:pPr>
            <w:r>
              <w:rPr>
                <w:rFonts w:cstheme="minorHAnsi"/>
                <w:lang w:val="fr-FR"/>
              </w:rPr>
              <w:t xml:space="preserve">Pour les autres candidats, un appel </w:t>
            </w:r>
            <w:proofErr w:type="spellStart"/>
            <w:r>
              <w:rPr>
                <w:rFonts w:cstheme="minorHAnsi"/>
                <w:lang w:val="fr-FR"/>
              </w:rPr>
              <w:t>a</w:t>
            </w:r>
            <w:proofErr w:type="spellEnd"/>
            <w:r>
              <w:rPr>
                <w:rFonts w:cstheme="minorHAnsi"/>
                <w:lang w:val="fr-FR"/>
              </w:rPr>
              <w:t xml:space="preserve"> candidature sera lancé. </w:t>
            </w:r>
          </w:p>
          <w:p w14:paraId="73CF61E0" w14:textId="7EED9996" w:rsidR="00D323DB" w:rsidRPr="00D323DB" w:rsidRDefault="00D323DB" w:rsidP="00D323DB">
            <w:pPr>
              <w:autoSpaceDE w:val="0"/>
              <w:autoSpaceDN w:val="0"/>
              <w:adjustRightInd w:val="0"/>
              <w:spacing w:after="0" w:line="240" w:lineRule="auto"/>
              <w:jc w:val="both"/>
              <w:rPr>
                <w:rFonts w:cstheme="minorHAnsi"/>
                <w:lang w:val="fr-FR"/>
              </w:rPr>
            </w:pPr>
            <w:r>
              <w:rPr>
                <w:rFonts w:cstheme="minorHAnsi"/>
                <w:lang w:val="fr-FR"/>
              </w:rPr>
              <w:t xml:space="preserve">Dans les deux cas, il sera procédé </w:t>
            </w:r>
            <w:proofErr w:type="gramStart"/>
            <w:r>
              <w:rPr>
                <w:rFonts w:cstheme="minorHAnsi"/>
                <w:lang w:val="fr-FR"/>
              </w:rPr>
              <w:t>a</w:t>
            </w:r>
            <w:proofErr w:type="gramEnd"/>
            <w:r>
              <w:rPr>
                <w:rFonts w:cstheme="minorHAnsi"/>
                <w:lang w:val="fr-FR"/>
              </w:rPr>
              <w:t xml:space="preserve"> un Desk Review pour identifier les candidats a retenir. </w:t>
            </w:r>
          </w:p>
        </w:tc>
      </w:tr>
    </w:tbl>
    <w:p w14:paraId="3E95E5B5" w14:textId="77777777" w:rsidR="005174BD" w:rsidRPr="00840FA4" w:rsidRDefault="005174BD" w:rsidP="0028525E">
      <w:pPr>
        <w:adjustRightInd w:val="0"/>
        <w:snapToGrid w:val="0"/>
        <w:spacing w:after="0" w:line="240" w:lineRule="auto"/>
        <w:rPr>
          <w:rFonts w:eastAsia="Times New Roman" w:cstheme="minorHAnsi"/>
          <w:b/>
          <w:color w:val="000000"/>
          <w:sz w:val="24"/>
          <w:szCs w:val="24"/>
          <w:lang w:val="fr-FR"/>
        </w:rPr>
      </w:pPr>
    </w:p>
    <w:p w14:paraId="179A37A2" w14:textId="6024E8A1" w:rsidR="003764F0" w:rsidRPr="00840FA4" w:rsidRDefault="003764F0" w:rsidP="0028525E">
      <w:pPr>
        <w:adjustRightInd w:val="0"/>
        <w:snapToGrid w:val="0"/>
        <w:spacing w:after="0" w:line="240" w:lineRule="auto"/>
        <w:rPr>
          <w:rFonts w:eastAsia="Times New Roman" w:cstheme="minorHAnsi"/>
          <w:b/>
          <w:color w:val="000000"/>
          <w:sz w:val="24"/>
          <w:szCs w:val="24"/>
          <w:lang w:val="fr-FR"/>
        </w:rPr>
      </w:pPr>
      <w:r w:rsidRPr="00840FA4">
        <w:rPr>
          <w:rFonts w:eastAsia="Times New Roman" w:cstheme="minorHAnsi"/>
          <w:b/>
          <w:color w:val="000000"/>
          <w:sz w:val="24"/>
          <w:szCs w:val="24"/>
          <w:lang w:val="fr-FR"/>
        </w:rPr>
        <w:t xml:space="preserve">Projet inclus dans le Supply Plan : </w:t>
      </w:r>
      <w:r w:rsidRPr="00840FA4">
        <w:rPr>
          <w:rFonts w:eastAsia="Times New Roman" w:cstheme="minorHAnsi"/>
          <w:b/>
          <w:color w:val="000000"/>
          <w:sz w:val="24"/>
          <w:szCs w:val="24"/>
          <w:lang w:val="fr-FR"/>
        </w:rPr>
        <w:tab/>
      </w:r>
      <w:r w:rsidRPr="00133F7F">
        <w:rPr>
          <w:rFonts w:eastAsia="Times New Roman" w:cstheme="minorHAnsi"/>
          <w:b/>
          <w:color w:val="000000"/>
          <w:sz w:val="24"/>
          <w:szCs w:val="24"/>
          <w:lang w:val="fr-FR"/>
        </w:rPr>
        <w:t>YES</w:t>
      </w:r>
      <w:r w:rsidRPr="00840FA4">
        <w:rPr>
          <w:rFonts w:eastAsia="Times New Roman" w:cstheme="minorHAnsi"/>
          <w:b/>
          <w:color w:val="000000"/>
          <w:sz w:val="24"/>
          <w:szCs w:val="24"/>
          <w:lang w:val="fr-FR"/>
        </w:rPr>
        <w:t xml:space="preserve">   /   NO</w:t>
      </w:r>
    </w:p>
    <w:p w14:paraId="02FD5A88" w14:textId="77777777" w:rsidR="005C0CEB" w:rsidRPr="00840FA4" w:rsidRDefault="005C0CEB" w:rsidP="0028525E">
      <w:pPr>
        <w:adjustRightInd w:val="0"/>
        <w:snapToGrid w:val="0"/>
        <w:spacing w:after="0" w:line="240" w:lineRule="auto"/>
        <w:rPr>
          <w:rFonts w:eastAsia="Times New Roman" w:cstheme="minorHAnsi"/>
          <w:b/>
          <w:color w:val="000000"/>
          <w:sz w:val="24"/>
          <w:szCs w:val="24"/>
          <w:lang w:val="fr-FR"/>
        </w:rPr>
      </w:pPr>
    </w:p>
    <w:p w14:paraId="12550464" w14:textId="77777777" w:rsidR="005174BD" w:rsidRPr="00840FA4" w:rsidRDefault="005174BD" w:rsidP="0028525E">
      <w:pPr>
        <w:adjustRightInd w:val="0"/>
        <w:snapToGrid w:val="0"/>
        <w:spacing w:after="0" w:line="240" w:lineRule="auto"/>
        <w:rPr>
          <w:rFonts w:eastAsia="Times New Roman" w:cstheme="minorHAnsi"/>
          <w:b/>
          <w:color w:val="000000"/>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4540"/>
      </w:tblGrid>
      <w:tr w:rsidR="005C0CEB" w:rsidRPr="00840FA4" w14:paraId="373A5519" w14:textId="77777777" w:rsidTr="00D763DA">
        <w:tc>
          <w:tcPr>
            <w:tcW w:w="5651" w:type="dxa"/>
          </w:tcPr>
          <w:p w14:paraId="4CDF1776" w14:textId="6D0EB484" w:rsidR="005C0CEB" w:rsidRPr="00840FA4" w:rsidRDefault="005C0CEB" w:rsidP="00D763DA">
            <w:pPr>
              <w:spacing w:after="20"/>
              <w:rPr>
                <w:rFonts w:eastAsia="Times New Roman" w:cs="Times New Roman"/>
                <w:b/>
                <w:color w:val="000000"/>
                <w:sz w:val="24"/>
                <w:szCs w:val="24"/>
              </w:rPr>
            </w:pPr>
            <w:r w:rsidRPr="00840FA4">
              <w:rPr>
                <w:rFonts w:eastAsia="Times New Roman" w:cs="Times New Roman"/>
                <w:b/>
                <w:color w:val="000000"/>
                <w:sz w:val="24"/>
                <w:szCs w:val="24"/>
              </w:rPr>
              <w:t xml:space="preserve">PREPARED BY:  </w:t>
            </w:r>
            <w:r w:rsidR="00DF5510">
              <w:rPr>
                <w:rFonts w:eastAsia="Times New Roman" w:cs="Times New Roman"/>
                <w:b/>
                <w:color w:val="000000"/>
                <w:sz w:val="24"/>
                <w:szCs w:val="24"/>
              </w:rPr>
              <w:t>……………………</w:t>
            </w:r>
            <w:proofErr w:type="gramStart"/>
            <w:r w:rsidR="00DF5510">
              <w:rPr>
                <w:rFonts w:eastAsia="Times New Roman" w:cs="Times New Roman"/>
                <w:b/>
                <w:color w:val="000000"/>
                <w:sz w:val="24"/>
                <w:szCs w:val="24"/>
              </w:rPr>
              <w:t>…..</w:t>
            </w:r>
            <w:proofErr w:type="gramEnd"/>
            <w:r w:rsidRPr="00840FA4">
              <w:rPr>
                <w:rFonts w:eastAsia="Times New Roman" w:cs="Times New Roman"/>
                <w:b/>
                <w:color w:val="000000"/>
                <w:sz w:val="24"/>
                <w:szCs w:val="24"/>
              </w:rPr>
              <w:t xml:space="preserve"> </w:t>
            </w:r>
            <w:r w:rsidRPr="00840FA4">
              <w:rPr>
                <w:rFonts w:eastAsia="Times New Roman" w:cs="Times New Roman"/>
                <w:bCs/>
                <w:color w:val="000000"/>
                <w:sz w:val="24"/>
                <w:szCs w:val="24"/>
              </w:rPr>
              <w:t>Project coordinator</w:t>
            </w:r>
          </w:p>
          <w:p w14:paraId="2593F039" w14:textId="77777777" w:rsidR="005C0CEB" w:rsidRPr="00840FA4" w:rsidRDefault="005C0CEB" w:rsidP="00D763DA">
            <w:pPr>
              <w:spacing w:after="20"/>
              <w:ind w:left="1440"/>
              <w:rPr>
                <w:rFonts w:eastAsia="Times New Roman" w:cs="Times New Roman"/>
                <w:color w:val="000000"/>
                <w:sz w:val="24"/>
                <w:szCs w:val="24"/>
              </w:rPr>
            </w:pPr>
          </w:p>
          <w:p w14:paraId="377372D4" w14:textId="77777777" w:rsidR="005C0CEB" w:rsidRPr="00840FA4" w:rsidRDefault="005C0CEB" w:rsidP="00D763DA">
            <w:pPr>
              <w:spacing w:after="20"/>
              <w:ind w:left="1440"/>
              <w:rPr>
                <w:rFonts w:ascii="Times New Roman" w:eastAsia="Times New Roman" w:hAnsi="Times New Roman" w:cs="Times New Roman"/>
                <w:b/>
                <w:color w:val="000000"/>
                <w:sz w:val="24"/>
                <w:szCs w:val="24"/>
              </w:rPr>
            </w:pPr>
          </w:p>
        </w:tc>
        <w:tc>
          <w:tcPr>
            <w:tcW w:w="4815" w:type="dxa"/>
          </w:tcPr>
          <w:p w14:paraId="63090ABA" w14:textId="77777777" w:rsidR="005C0CEB" w:rsidRPr="00840FA4" w:rsidRDefault="005C0CEB" w:rsidP="00D763DA">
            <w:pPr>
              <w:spacing w:after="20"/>
              <w:rPr>
                <w:rFonts w:eastAsia="Times New Roman" w:cs="Times New Roman"/>
                <w:bCs/>
                <w:color w:val="000000"/>
                <w:sz w:val="24"/>
                <w:szCs w:val="24"/>
                <w:lang w:val="en-US"/>
              </w:rPr>
            </w:pPr>
            <w:r w:rsidRPr="00840FA4">
              <w:rPr>
                <w:rFonts w:eastAsia="Times New Roman" w:cs="Times New Roman"/>
                <w:b/>
                <w:color w:val="000000"/>
                <w:sz w:val="24"/>
                <w:szCs w:val="24"/>
                <w:lang w:val="en-US"/>
              </w:rPr>
              <w:t>REVIEWED BY:</w:t>
            </w:r>
            <w:r w:rsidRPr="00840FA4">
              <w:rPr>
                <w:rFonts w:ascii="Arial" w:hAnsi="Arial" w:cs="Arial"/>
                <w:b/>
                <w:bCs/>
                <w:sz w:val="24"/>
                <w:szCs w:val="24"/>
                <w:lang w:val="en-US"/>
              </w:rPr>
              <w:t xml:space="preserve"> Seynabou Diallo</w:t>
            </w:r>
            <w:r w:rsidRPr="00840FA4">
              <w:rPr>
                <w:rFonts w:eastAsia="Times New Roman" w:cs="Times New Roman"/>
                <w:b/>
                <w:color w:val="000000"/>
                <w:sz w:val="24"/>
                <w:szCs w:val="24"/>
                <w:lang w:val="en-US"/>
              </w:rPr>
              <w:t xml:space="preserve">, </w:t>
            </w:r>
            <w:r w:rsidRPr="00840FA4">
              <w:rPr>
                <w:rFonts w:eastAsia="Times New Roman" w:cs="Times New Roman"/>
                <w:bCs/>
                <w:color w:val="000000"/>
                <w:sz w:val="24"/>
                <w:szCs w:val="24"/>
                <w:lang w:val="en-US"/>
              </w:rPr>
              <w:t xml:space="preserve">Chief of Human Resources </w:t>
            </w:r>
          </w:p>
          <w:p w14:paraId="6CED67FF" w14:textId="77777777" w:rsidR="005C0CEB" w:rsidRPr="00840FA4" w:rsidRDefault="005C0CEB" w:rsidP="00D763DA">
            <w:pPr>
              <w:spacing w:after="20"/>
              <w:ind w:left="1332"/>
              <w:rPr>
                <w:rFonts w:eastAsia="Times New Roman" w:cs="Times New Roman"/>
                <w:color w:val="000000"/>
                <w:sz w:val="24"/>
                <w:szCs w:val="24"/>
                <w:lang w:val="en-US"/>
              </w:rPr>
            </w:pPr>
          </w:p>
          <w:p w14:paraId="6ABB8716" w14:textId="77777777" w:rsidR="005C0CEB" w:rsidRPr="00840FA4" w:rsidRDefault="005C0CEB" w:rsidP="00D763DA">
            <w:pPr>
              <w:spacing w:after="20"/>
              <w:ind w:left="1332"/>
              <w:rPr>
                <w:rFonts w:ascii="Times New Roman" w:eastAsia="Times New Roman" w:hAnsi="Times New Roman" w:cs="Times New Roman"/>
                <w:b/>
                <w:color w:val="000000"/>
                <w:sz w:val="24"/>
                <w:szCs w:val="24"/>
              </w:rPr>
            </w:pPr>
          </w:p>
        </w:tc>
      </w:tr>
      <w:tr w:rsidR="005C0CEB" w:rsidRPr="00840FA4" w14:paraId="261327CE" w14:textId="77777777" w:rsidTr="00D763DA">
        <w:tc>
          <w:tcPr>
            <w:tcW w:w="5651" w:type="dxa"/>
          </w:tcPr>
          <w:p w14:paraId="53DF6E75" w14:textId="4474F919" w:rsidR="005C0CEB" w:rsidRPr="00840FA4" w:rsidRDefault="005C0CEB" w:rsidP="00D763DA">
            <w:pPr>
              <w:spacing w:after="20"/>
              <w:rPr>
                <w:rFonts w:eastAsia="Times New Roman" w:cs="Times New Roman"/>
                <w:b/>
                <w:color w:val="000000"/>
                <w:sz w:val="24"/>
                <w:szCs w:val="24"/>
                <w:lang w:val="en-US"/>
              </w:rPr>
            </w:pPr>
            <w:r w:rsidRPr="00840FA4">
              <w:rPr>
                <w:rFonts w:eastAsia="Times New Roman" w:cs="Times New Roman"/>
                <w:b/>
                <w:color w:val="000000"/>
                <w:sz w:val="24"/>
                <w:szCs w:val="24"/>
                <w:lang w:val="en-US"/>
              </w:rPr>
              <w:t xml:space="preserve">ENDORSED BY:  </w:t>
            </w:r>
            <w:r w:rsidR="00DF5510">
              <w:rPr>
                <w:rFonts w:eastAsia="Times New Roman" w:cs="Times New Roman"/>
                <w:b/>
                <w:color w:val="000000"/>
                <w:sz w:val="24"/>
                <w:szCs w:val="24"/>
                <w:lang w:val="en-US"/>
              </w:rPr>
              <w:t xml:space="preserve">Sophie </w:t>
            </w:r>
            <w:proofErr w:type="gramStart"/>
            <w:r w:rsidR="00DF5510">
              <w:rPr>
                <w:rFonts w:eastAsia="Times New Roman" w:cs="Times New Roman"/>
                <w:b/>
                <w:color w:val="000000"/>
                <w:sz w:val="24"/>
                <w:szCs w:val="24"/>
                <w:lang w:val="en-US"/>
              </w:rPr>
              <w:t xml:space="preserve">Chavanel </w:t>
            </w:r>
            <w:r w:rsidR="00A35BAF">
              <w:rPr>
                <w:rFonts w:eastAsia="Times New Roman" w:cs="Times New Roman"/>
                <w:b/>
                <w:color w:val="000000"/>
                <w:sz w:val="24"/>
                <w:szCs w:val="24"/>
                <w:lang w:val="en-US"/>
              </w:rPr>
              <w:t xml:space="preserve"> </w:t>
            </w:r>
            <w:r w:rsidRPr="00840FA4">
              <w:rPr>
                <w:rFonts w:eastAsia="Times New Roman" w:cs="Times New Roman"/>
                <w:bCs/>
                <w:color w:val="000000"/>
                <w:sz w:val="24"/>
                <w:szCs w:val="24"/>
                <w:lang w:val="en-US"/>
              </w:rPr>
              <w:t>Chief</w:t>
            </w:r>
            <w:proofErr w:type="gramEnd"/>
            <w:r w:rsidRPr="00840FA4">
              <w:rPr>
                <w:rFonts w:eastAsia="Times New Roman" w:cs="Times New Roman"/>
                <w:bCs/>
                <w:color w:val="000000"/>
                <w:sz w:val="24"/>
                <w:szCs w:val="24"/>
                <w:lang w:val="en-US"/>
              </w:rPr>
              <w:t xml:space="preserve"> of </w:t>
            </w:r>
            <w:r w:rsidR="00DF5510">
              <w:rPr>
                <w:rFonts w:eastAsia="Times New Roman" w:cs="Times New Roman"/>
                <w:bCs/>
                <w:color w:val="000000"/>
                <w:sz w:val="24"/>
                <w:szCs w:val="24"/>
                <w:lang w:val="en-US"/>
              </w:rPr>
              <w:t xml:space="preserve">SBC </w:t>
            </w:r>
            <w:r w:rsidRPr="00840FA4">
              <w:rPr>
                <w:rFonts w:eastAsia="Times New Roman" w:cs="Times New Roman"/>
                <w:bCs/>
                <w:color w:val="000000"/>
                <w:sz w:val="24"/>
                <w:szCs w:val="24"/>
                <w:lang w:val="en-US"/>
              </w:rPr>
              <w:t>section</w:t>
            </w:r>
            <w:r w:rsidRPr="00840FA4">
              <w:rPr>
                <w:rFonts w:eastAsia="Times New Roman" w:cs="Times New Roman"/>
                <w:b/>
                <w:color w:val="000000"/>
                <w:sz w:val="24"/>
                <w:szCs w:val="24"/>
                <w:lang w:val="en-US"/>
              </w:rPr>
              <w:t xml:space="preserve"> </w:t>
            </w:r>
            <w:r w:rsidRPr="00840FA4">
              <w:rPr>
                <w:rFonts w:eastAsia="Times New Roman" w:cs="Times New Roman"/>
                <w:bCs/>
                <w:color w:val="000000"/>
                <w:sz w:val="24"/>
                <w:szCs w:val="24"/>
                <w:lang w:val="en-US"/>
              </w:rPr>
              <w:t xml:space="preserve"> </w:t>
            </w:r>
          </w:p>
          <w:p w14:paraId="3D9D5832" w14:textId="77777777" w:rsidR="005C0CEB" w:rsidRPr="00840FA4" w:rsidRDefault="005C0CEB" w:rsidP="00D763DA">
            <w:pPr>
              <w:spacing w:after="20"/>
              <w:ind w:left="1440"/>
              <w:rPr>
                <w:rFonts w:eastAsia="Times New Roman" w:cs="Times New Roman"/>
                <w:color w:val="000000"/>
                <w:sz w:val="24"/>
                <w:szCs w:val="24"/>
              </w:rPr>
            </w:pPr>
          </w:p>
          <w:p w14:paraId="584D39E6" w14:textId="77777777" w:rsidR="005C0CEB" w:rsidRPr="00840FA4" w:rsidRDefault="005C0CEB" w:rsidP="00D763DA">
            <w:pPr>
              <w:spacing w:after="20"/>
              <w:ind w:left="1440"/>
              <w:rPr>
                <w:rFonts w:ascii="Times New Roman" w:eastAsia="Times New Roman" w:hAnsi="Times New Roman" w:cs="Times New Roman"/>
                <w:b/>
                <w:color w:val="000000"/>
                <w:sz w:val="24"/>
                <w:szCs w:val="24"/>
              </w:rPr>
            </w:pPr>
          </w:p>
        </w:tc>
        <w:tc>
          <w:tcPr>
            <w:tcW w:w="4815" w:type="dxa"/>
          </w:tcPr>
          <w:p w14:paraId="25B30E30" w14:textId="77777777" w:rsidR="005C0CEB" w:rsidRPr="00840FA4" w:rsidRDefault="005C0CEB" w:rsidP="00D763DA">
            <w:pPr>
              <w:spacing w:after="20"/>
              <w:rPr>
                <w:rFonts w:eastAsia="Times New Roman" w:cs="Times New Roman"/>
                <w:bCs/>
                <w:color w:val="000000"/>
                <w:sz w:val="24"/>
                <w:szCs w:val="24"/>
              </w:rPr>
            </w:pPr>
            <w:r w:rsidRPr="00840FA4">
              <w:rPr>
                <w:rFonts w:eastAsia="Times New Roman" w:cs="Times New Roman"/>
                <w:b/>
                <w:color w:val="000000"/>
                <w:sz w:val="24"/>
                <w:szCs w:val="24"/>
              </w:rPr>
              <w:t xml:space="preserve">APPROVED BY: Katya MARINO, </w:t>
            </w:r>
            <w:r w:rsidRPr="00840FA4">
              <w:rPr>
                <w:rFonts w:eastAsia="Times New Roman" w:cs="Times New Roman"/>
                <w:bCs/>
                <w:color w:val="000000"/>
                <w:sz w:val="24"/>
                <w:szCs w:val="24"/>
              </w:rPr>
              <w:t>Deputy Representative</w:t>
            </w:r>
          </w:p>
          <w:p w14:paraId="613414E9" w14:textId="77777777" w:rsidR="005C0CEB" w:rsidRPr="00840FA4" w:rsidRDefault="005C0CEB" w:rsidP="00D763DA">
            <w:pPr>
              <w:spacing w:after="20"/>
              <w:ind w:left="1422"/>
              <w:rPr>
                <w:rFonts w:ascii="Times New Roman" w:eastAsia="Times New Roman" w:hAnsi="Times New Roman" w:cs="Times New Roman"/>
                <w:b/>
                <w:color w:val="000000"/>
                <w:sz w:val="24"/>
                <w:szCs w:val="24"/>
              </w:rPr>
            </w:pPr>
          </w:p>
        </w:tc>
      </w:tr>
    </w:tbl>
    <w:p w14:paraId="58A615A6" w14:textId="77777777" w:rsidR="005174BD" w:rsidRPr="005C0CEB" w:rsidRDefault="005174BD" w:rsidP="0028525E">
      <w:pPr>
        <w:adjustRightInd w:val="0"/>
        <w:snapToGrid w:val="0"/>
        <w:spacing w:after="0" w:line="240" w:lineRule="auto"/>
        <w:rPr>
          <w:rFonts w:eastAsia="Times New Roman" w:cstheme="minorHAnsi"/>
          <w:b/>
          <w:color w:val="000000"/>
        </w:rPr>
      </w:pPr>
    </w:p>
    <w:p w14:paraId="0351C0E1" w14:textId="563204F9" w:rsidR="00873720" w:rsidRPr="00615AD0" w:rsidRDefault="00873720" w:rsidP="00AA39C0">
      <w:pPr>
        <w:pStyle w:val="ListParagraph"/>
        <w:adjustRightInd w:val="0"/>
        <w:snapToGrid w:val="0"/>
        <w:spacing w:after="0" w:line="240" w:lineRule="auto"/>
        <w:ind w:left="2160"/>
        <w:rPr>
          <w:rFonts w:eastAsia="Times New Roman" w:cstheme="minorHAnsi"/>
          <w:color w:val="000000"/>
          <w:sz w:val="20"/>
          <w:szCs w:val="20"/>
          <w:lang w:val="en-US"/>
        </w:rPr>
      </w:pPr>
    </w:p>
    <w:sectPr w:rsidR="00873720" w:rsidRPr="00615AD0" w:rsidSect="00D31AF3">
      <w:headerReference w:type="default" r:id="rId11"/>
      <w:pgSz w:w="11900" w:h="16836"/>
      <w:pgMar w:top="426" w:right="1040" w:bottom="1440" w:left="100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5355" w14:textId="77777777" w:rsidR="00A02443" w:rsidRDefault="00A02443" w:rsidP="000A31FD">
      <w:pPr>
        <w:spacing w:after="0" w:line="240" w:lineRule="auto"/>
      </w:pPr>
      <w:r>
        <w:separator/>
      </w:r>
    </w:p>
  </w:endnote>
  <w:endnote w:type="continuationSeparator" w:id="0">
    <w:p w14:paraId="57C6E1F3" w14:textId="77777777" w:rsidR="00A02443" w:rsidRDefault="00A02443" w:rsidP="000A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tka Subheading">
    <w:panose1 w:val="02000505000000020004"/>
    <w:charset w:val="00"/>
    <w:family w:val="auto"/>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D1CA" w14:textId="77777777" w:rsidR="00A02443" w:rsidRDefault="00A02443" w:rsidP="000A31FD">
      <w:pPr>
        <w:spacing w:after="0" w:line="240" w:lineRule="auto"/>
      </w:pPr>
      <w:r>
        <w:separator/>
      </w:r>
    </w:p>
  </w:footnote>
  <w:footnote w:type="continuationSeparator" w:id="0">
    <w:p w14:paraId="461900EA" w14:textId="77777777" w:rsidR="00A02443" w:rsidRDefault="00A02443" w:rsidP="000A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0B9D" w14:textId="77777777" w:rsidR="00B856EE" w:rsidRDefault="00B856EE" w:rsidP="00B234E9">
    <w:pPr>
      <w:pStyle w:val="Header"/>
      <w:rPr>
        <w:color w:val="00B0F0"/>
        <w:sz w:val="32"/>
        <w:szCs w:val="32"/>
      </w:rPr>
    </w:pPr>
  </w:p>
  <w:p w14:paraId="084D9FC6" w14:textId="77777777" w:rsidR="00B856EE" w:rsidRDefault="00B856EE" w:rsidP="00B234E9">
    <w:pPr>
      <w:pStyle w:val="Header"/>
      <w:rPr>
        <w:color w:val="00B0F0"/>
        <w:sz w:val="32"/>
        <w:szCs w:val="32"/>
      </w:rPr>
    </w:pPr>
  </w:p>
  <w:p w14:paraId="383A2748" w14:textId="417388A3" w:rsidR="00B234E9" w:rsidRPr="00AA39C0" w:rsidRDefault="00B234E9" w:rsidP="00B234E9">
    <w:pPr>
      <w:pStyle w:val="Header"/>
      <w:rPr>
        <w:color w:val="00B0F0"/>
        <w:sz w:val="32"/>
        <w:szCs w:val="32"/>
        <w:lang w:val="fr-FR"/>
      </w:rPr>
    </w:pPr>
    <w:r w:rsidRPr="00AA39C0">
      <w:rPr>
        <w:color w:val="00B0F0"/>
        <w:sz w:val="32"/>
        <w:szCs w:val="32"/>
        <w:lang w:val="fr-FR"/>
      </w:rPr>
      <w:t xml:space="preserve">UNICEF </w:t>
    </w:r>
    <w:r w:rsidR="000444E9" w:rsidRPr="00AA39C0">
      <w:rPr>
        <w:color w:val="00B0F0"/>
        <w:sz w:val="32"/>
        <w:szCs w:val="32"/>
        <w:lang w:val="fr-FR"/>
      </w:rPr>
      <w:t>RDC</w:t>
    </w:r>
  </w:p>
  <w:p w14:paraId="2A01C16F" w14:textId="74619250" w:rsidR="00B234E9" w:rsidRPr="00AA39C0" w:rsidRDefault="00B234E9" w:rsidP="006015F6">
    <w:pPr>
      <w:pStyle w:val="Header"/>
      <w:jc w:val="center"/>
      <w:rPr>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770"/>
    <w:multiLevelType w:val="hybridMultilevel"/>
    <w:tmpl w:val="19CAB01E"/>
    <w:lvl w:ilvl="0" w:tplc="08090001">
      <w:start w:val="1"/>
      <w:numFmt w:val="bullet"/>
      <w:lvlText w:val=""/>
      <w:lvlJc w:val="left"/>
      <w:pPr>
        <w:ind w:left="-92" w:hanging="360"/>
      </w:pPr>
      <w:rPr>
        <w:rFonts w:ascii="Symbol" w:hAnsi="Symbol" w:hint="default"/>
      </w:rPr>
    </w:lvl>
    <w:lvl w:ilvl="1" w:tplc="08090003" w:tentative="1">
      <w:start w:val="1"/>
      <w:numFmt w:val="bullet"/>
      <w:lvlText w:val="o"/>
      <w:lvlJc w:val="left"/>
      <w:pPr>
        <w:ind w:left="628" w:hanging="360"/>
      </w:pPr>
      <w:rPr>
        <w:rFonts w:ascii="Courier New" w:hAnsi="Courier New" w:cs="Courier New" w:hint="default"/>
      </w:rPr>
    </w:lvl>
    <w:lvl w:ilvl="2" w:tplc="08090005" w:tentative="1">
      <w:start w:val="1"/>
      <w:numFmt w:val="bullet"/>
      <w:lvlText w:val=""/>
      <w:lvlJc w:val="left"/>
      <w:pPr>
        <w:ind w:left="1348" w:hanging="360"/>
      </w:pPr>
      <w:rPr>
        <w:rFonts w:ascii="Wingdings" w:hAnsi="Wingdings" w:hint="default"/>
      </w:rPr>
    </w:lvl>
    <w:lvl w:ilvl="3" w:tplc="08090001" w:tentative="1">
      <w:start w:val="1"/>
      <w:numFmt w:val="bullet"/>
      <w:lvlText w:val=""/>
      <w:lvlJc w:val="left"/>
      <w:pPr>
        <w:ind w:left="2068" w:hanging="360"/>
      </w:pPr>
      <w:rPr>
        <w:rFonts w:ascii="Symbol" w:hAnsi="Symbol" w:hint="default"/>
      </w:rPr>
    </w:lvl>
    <w:lvl w:ilvl="4" w:tplc="08090003" w:tentative="1">
      <w:start w:val="1"/>
      <w:numFmt w:val="bullet"/>
      <w:lvlText w:val="o"/>
      <w:lvlJc w:val="left"/>
      <w:pPr>
        <w:ind w:left="2788" w:hanging="360"/>
      </w:pPr>
      <w:rPr>
        <w:rFonts w:ascii="Courier New" w:hAnsi="Courier New" w:cs="Courier New" w:hint="default"/>
      </w:rPr>
    </w:lvl>
    <w:lvl w:ilvl="5" w:tplc="08090005" w:tentative="1">
      <w:start w:val="1"/>
      <w:numFmt w:val="bullet"/>
      <w:lvlText w:val=""/>
      <w:lvlJc w:val="left"/>
      <w:pPr>
        <w:ind w:left="3508" w:hanging="360"/>
      </w:pPr>
      <w:rPr>
        <w:rFonts w:ascii="Wingdings" w:hAnsi="Wingdings" w:hint="default"/>
      </w:rPr>
    </w:lvl>
    <w:lvl w:ilvl="6" w:tplc="08090001" w:tentative="1">
      <w:start w:val="1"/>
      <w:numFmt w:val="bullet"/>
      <w:lvlText w:val=""/>
      <w:lvlJc w:val="left"/>
      <w:pPr>
        <w:ind w:left="4228" w:hanging="360"/>
      </w:pPr>
      <w:rPr>
        <w:rFonts w:ascii="Symbol" w:hAnsi="Symbol" w:hint="default"/>
      </w:rPr>
    </w:lvl>
    <w:lvl w:ilvl="7" w:tplc="08090003" w:tentative="1">
      <w:start w:val="1"/>
      <w:numFmt w:val="bullet"/>
      <w:lvlText w:val="o"/>
      <w:lvlJc w:val="left"/>
      <w:pPr>
        <w:ind w:left="4948" w:hanging="360"/>
      </w:pPr>
      <w:rPr>
        <w:rFonts w:ascii="Courier New" w:hAnsi="Courier New" w:cs="Courier New" w:hint="default"/>
      </w:rPr>
    </w:lvl>
    <w:lvl w:ilvl="8" w:tplc="08090005" w:tentative="1">
      <w:start w:val="1"/>
      <w:numFmt w:val="bullet"/>
      <w:lvlText w:val=""/>
      <w:lvlJc w:val="left"/>
      <w:pPr>
        <w:ind w:left="5668" w:hanging="360"/>
      </w:pPr>
      <w:rPr>
        <w:rFonts w:ascii="Wingdings" w:hAnsi="Wingdings" w:hint="default"/>
      </w:rPr>
    </w:lvl>
  </w:abstractNum>
  <w:abstractNum w:abstractNumId="1" w15:restartNumberingAfterBreak="0">
    <w:nsid w:val="016F2850"/>
    <w:multiLevelType w:val="hybridMultilevel"/>
    <w:tmpl w:val="DE5881B2"/>
    <w:lvl w:ilvl="0" w:tplc="40626FCC">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61450"/>
    <w:multiLevelType w:val="hybridMultilevel"/>
    <w:tmpl w:val="08D2D1E2"/>
    <w:lvl w:ilvl="0" w:tplc="40626FCC">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01629"/>
    <w:multiLevelType w:val="hybridMultilevel"/>
    <w:tmpl w:val="972A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D7E93"/>
    <w:multiLevelType w:val="hybridMultilevel"/>
    <w:tmpl w:val="DB445DB8"/>
    <w:lvl w:ilvl="0" w:tplc="1E74CD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90207"/>
    <w:multiLevelType w:val="hybridMultilevel"/>
    <w:tmpl w:val="C69AA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423291"/>
    <w:multiLevelType w:val="hybridMultilevel"/>
    <w:tmpl w:val="51EE764A"/>
    <w:lvl w:ilvl="0" w:tplc="40626FCC">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A57D36"/>
    <w:multiLevelType w:val="multilevel"/>
    <w:tmpl w:val="8B6C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E0AD3"/>
    <w:multiLevelType w:val="hybridMultilevel"/>
    <w:tmpl w:val="E9645D02"/>
    <w:lvl w:ilvl="0" w:tplc="0409000F">
      <w:start w:val="1"/>
      <w:numFmt w:val="decimal"/>
      <w:lvlText w:val="%1."/>
      <w:lvlJc w:val="left"/>
      <w:pPr>
        <w:ind w:left="808" w:hanging="360"/>
      </w:pPr>
      <w:rPr>
        <w:rFont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9" w15:restartNumberingAfterBreak="0">
    <w:nsid w:val="1AAA328D"/>
    <w:multiLevelType w:val="hybridMultilevel"/>
    <w:tmpl w:val="74E4C6E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B314F8D"/>
    <w:multiLevelType w:val="hybridMultilevel"/>
    <w:tmpl w:val="4036C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C9044C"/>
    <w:multiLevelType w:val="hybridMultilevel"/>
    <w:tmpl w:val="79F64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14356C"/>
    <w:multiLevelType w:val="hybridMultilevel"/>
    <w:tmpl w:val="82E03FDC"/>
    <w:lvl w:ilvl="0" w:tplc="A01AA3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113C8"/>
    <w:multiLevelType w:val="hybridMultilevel"/>
    <w:tmpl w:val="3886B5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CAB449F"/>
    <w:multiLevelType w:val="hybridMultilevel"/>
    <w:tmpl w:val="AF90A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6E41D6"/>
    <w:multiLevelType w:val="hybridMultilevel"/>
    <w:tmpl w:val="D6E80EEA"/>
    <w:lvl w:ilvl="0" w:tplc="88187400">
      <w:numFmt w:val="bullet"/>
      <w:lvlText w:val="-"/>
      <w:lvlJc w:val="left"/>
      <w:pPr>
        <w:ind w:left="540" w:hanging="360"/>
      </w:pPr>
      <w:rPr>
        <w:rFonts w:ascii="Calibri" w:eastAsiaTheme="minorHAnsi" w:hAnsi="Calibri" w:cs="Times New Roman"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34E03D85"/>
    <w:multiLevelType w:val="hybridMultilevel"/>
    <w:tmpl w:val="557E3992"/>
    <w:lvl w:ilvl="0" w:tplc="46FECDA2">
      <w:start w:val="1"/>
      <w:numFmt w:val="decimal"/>
      <w:lvlText w:val="%1."/>
      <w:lvlJc w:val="left"/>
      <w:pPr>
        <w:ind w:left="360" w:hanging="360"/>
      </w:pPr>
      <w:rPr>
        <w:rFonts w:ascii="Calibri" w:eastAsiaTheme="minorEastAsia" w:hAnsi="Calibri"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744B"/>
    <w:multiLevelType w:val="hybridMultilevel"/>
    <w:tmpl w:val="8A88F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7D096D"/>
    <w:multiLevelType w:val="hybridMultilevel"/>
    <w:tmpl w:val="BC464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8F4902"/>
    <w:multiLevelType w:val="multilevel"/>
    <w:tmpl w:val="4626AE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730F3"/>
    <w:multiLevelType w:val="hybridMultilevel"/>
    <w:tmpl w:val="A746C97C"/>
    <w:lvl w:ilvl="0" w:tplc="256AD2C6">
      <w:start w:val="1"/>
      <w:numFmt w:val="bullet"/>
      <w:lvlText w:val="-"/>
      <w:lvlJc w:val="left"/>
      <w:pPr>
        <w:ind w:left="720" w:hanging="360"/>
      </w:pPr>
      <w:rPr>
        <w:rFonts w:ascii="Calibri" w:eastAsiaTheme="minorEastAsia"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C2017"/>
    <w:multiLevelType w:val="hybridMultilevel"/>
    <w:tmpl w:val="64C0B33A"/>
    <w:lvl w:ilvl="0" w:tplc="46FECDA2">
      <w:start w:val="1"/>
      <w:numFmt w:val="decimal"/>
      <w:lvlText w:val="%1."/>
      <w:lvlJc w:val="left"/>
      <w:pPr>
        <w:ind w:left="360" w:hanging="360"/>
      </w:pPr>
      <w:rPr>
        <w:rFonts w:ascii="Calibri" w:eastAsiaTheme="minorEastAsia" w:hAnsi="Calibri" w:cs="Courier Ne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36C2D"/>
    <w:multiLevelType w:val="multilevel"/>
    <w:tmpl w:val="82B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04BD0"/>
    <w:multiLevelType w:val="hybridMultilevel"/>
    <w:tmpl w:val="435A588A"/>
    <w:lvl w:ilvl="0" w:tplc="40626FCC">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C53B3C"/>
    <w:multiLevelType w:val="hybridMultilevel"/>
    <w:tmpl w:val="D424FF10"/>
    <w:lvl w:ilvl="0" w:tplc="04090019">
      <w:start w:val="1"/>
      <w:numFmt w:val="lowerLetter"/>
      <w:lvlText w:val="%1."/>
      <w:lvlJc w:val="left"/>
      <w:pPr>
        <w:ind w:left="540"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3FAD13C9"/>
    <w:multiLevelType w:val="hybridMultilevel"/>
    <w:tmpl w:val="7A1E35D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6" w15:restartNumberingAfterBreak="0">
    <w:nsid w:val="41201C1E"/>
    <w:multiLevelType w:val="multilevel"/>
    <w:tmpl w:val="A848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5096C"/>
    <w:multiLevelType w:val="hybridMultilevel"/>
    <w:tmpl w:val="68B2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5317D"/>
    <w:multiLevelType w:val="hybridMultilevel"/>
    <w:tmpl w:val="98D6DFEE"/>
    <w:lvl w:ilvl="0" w:tplc="40626FCC">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AE7DE0"/>
    <w:multiLevelType w:val="hybridMultilevel"/>
    <w:tmpl w:val="93968558"/>
    <w:lvl w:ilvl="0" w:tplc="88187400">
      <w:numFmt w:val="bullet"/>
      <w:lvlText w:val="-"/>
      <w:lvlJc w:val="left"/>
      <w:pPr>
        <w:ind w:left="720" w:hanging="360"/>
      </w:pPr>
      <w:rPr>
        <w:rFonts w:ascii="Calibri" w:eastAsiaTheme="minorHAnsi" w:hAnsi="Calibri"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C26314"/>
    <w:multiLevelType w:val="hybridMultilevel"/>
    <w:tmpl w:val="642C5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7F5B6A"/>
    <w:multiLevelType w:val="hybridMultilevel"/>
    <w:tmpl w:val="94E6C08E"/>
    <w:lvl w:ilvl="0" w:tplc="1AD0EC82">
      <w:numFmt w:val="bullet"/>
      <w:lvlText w:val="-"/>
      <w:lvlJc w:val="left"/>
      <w:pPr>
        <w:ind w:left="1170" w:hanging="360"/>
      </w:pPr>
      <w:rPr>
        <w:rFonts w:ascii="Calibri" w:eastAsia="Calibri" w:hAnsi="Calibri"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CA5B7D"/>
    <w:multiLevelType w:val="multilevel"/>
    <w:tmpl w:val="C6845A96"/>
    <w:lvl w:ilvl="0">
      <w:start w:val="1"/>
      <w:numFmt w:val="decimal"/>
      <w:lvlText w:val="%1."/>
      <w:lvlJc w:val="left"/>
      <w:pPr>
        <w:ind w:left="810" w:hanging="720"/>
      </w:pPr>
      <w:rPr>
        <w:rFonts w:hint="default"/>
      </w:rPr>
    </w:lvl>
    <w:lvl w:ilvl="1">
      <w:start w:val="1"/>
      <w:numFmt w:val="decimal"/>
      <w:isLgl/>
      <w:lvlText w:val="%1.%2"/>
      <w:lvlJc w:val="left"/>
      <w:pPr>
        <w:ind w:left="450" w:hanging="360"/>
      </w:pPr>
      <w:rPr>
        <w:rFonts w:hint="default"/>
        <w:u w:val="none"/>
      </w:rPr>
    </w:lvl>
    <w:lvl w:ilvl="2">
      <w:start w:val="1"/>
      <w:numFmt w:val="decimal"/>
      <w:isLgl/>
      <w:lvlText w:val="%1.%2.%3"/>
      <w:lvlJc w:val="left"/>
      <w:pPr>
        <w:ind w:left="810" w:hanging="720"/>
      </w:pPr>
      <w:rPr>
        <w:rFonts w:hint="default"/>
        <w:u w:val="none"/>
      </w:rPr>
    </w:lvl>
    <w:lvl w:ilvl="3">
      <w:start w:val="1"/>
      <w:numFmt w:val="decimal"/>
      <w:isLgl/>
      <w:lvlText w:val="%1.%2.%3.%4"/>
      <w:lvlJc w:val="left"/>
      <w:pPr>
        <w:ind w:left="1170" w:hanging="1080"/>
      </w:pPr>
      <w:rPr>
        <w:rFonts w:hint="default"/>
        <w:u w:val="none"/>
      </w:rPr>
    </w:lvl>
    <w:lvl w:ilvl="4">
      <w:start w:val="1"/>
      <w:numFmt w:val="decimal"/>
      <w:isLgl/>
      <w:lvlText w:val="%1.%2.%3.%4.%5"/>
      <w:lvlJc w:val="left"/>
      <w:pPr>
        <w:ind w:left="1170" w:hanging="1080"/>
      </w:pPr>
      <w:rPr>
        <w:rFonts w:hint="default"/>
        <w:u w:val="none"/>
      </w:rPr>
    </w:lvl>
    <w:lvl w:ilvl="5">
      <w:start w:val="1"/>
      <w:numFmt w:val="decimal"/>
      <w:isLgl/>
      <w:lvlText w:val="%1.%2.%3.%4.%5.%6"/>
      <w:lvlJc w:val="left"/>
      <w:pPr>
        <w:ind w:left="1530" w:hanging="1440"/>
      </w:pPr>
      <w:rPr>
        <w:rFonts w:hint="default"/>
        <w:u w:val="none"/>
      </w:rPr>
    </w:lvl>
    <w:lvl w:ilvl="6">
      <w:start w:val="1"/>
      <w:numFmt w:val="decimal"/>
      <w:isLgl/>
      <w:lvlText w:val="%1.%2.%3.%4.%5.%6.%7"/>
      <w:lvlJc w:val="left"/>
      <w:pPr>
        <w:ind w:left="1530" w:hanging="1440"/>
      </w:pPr>
      <w:rPr>
        <w:rFonts w:hint="default"/>
        <w:u w:val="none"/>
      </w:rPr>
    </w:lvl>
    <w:lvl w:ilvl="7">
      <w:start w:val="1"/>
      <w:numFmt w:val="decimal"/>
      <w:isLgl/>
      <w:lvlText w:val="%1.%2.%3.%4.%5.%6.%7.%8"/>
      <w:lvlJc w:val="left"/>
      <w:pPr>
        <w:ind w:left="1890" w:hanging="1800"/>
      </w:pPr>
      <w:rPr>
        <w:rFonts w:hint="default"/>
        <w:u w:val="none"/>
      </w:rPr>
    </w:lvl>
    <w:lvl w:ilvl="8">
      <w:start w:val="1"/>
      <w:numFmt w:val="decimal"/>
      <w:isLgl/>
      <w:lvlText w:val="%1.%2.%3.%4.%5.%6.%7.%8.%9"/>
      <w:lvlJc w:val="left"/>
      <w:pPr>
        <w:ind w:left="1890" w:hanging="1800"/>
      </w:pPr>
      <w:rPr>
        <w:rFonts w:hint="default"/>
        <w:u w:val="none"/>
      </w:rPr>
    </w:lvl>
  </w:abstractNum>
  <w:abstractNum w:abstractNumId="33" w15:restartNumberingAfterBreak="0">
    <w:nsid w:val="5AA12D12"/>
    <w:multiLevelType w:val="hybridMultilevel"/>
    <w:tmpl w:val="E6CCE3F8"/>
    <w:lvl w:ilvl="0" w:tplc="2FD4619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B71F55"/>
    <w:multiLevelType w:val="hybridMultilevel"/>
    <w:tmpl w:val="8BA80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0A5AEF"/>
    <w:multiLevelType w:val="hybridMultilevel"/>
    <w:tmpl w:val="6CE8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13871"/>
    <w:multiLevelType w:val="hybridMultilevel"/>
    <w:tmpl w:val="F3E063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64297A"/>
    <w:multiLevelType w:val="hybridMultilevel"/>
    <w:tmpl w:val="E4506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57276E"/>
    <w:multiLevelType w:val="hybridMultilevel"/>
    <w:tmpl w:val="B21C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0E66BF"/>
    <w:multiLevelType w:val="hybridMultilevel"/>
    <w:tmpl w:val="F7BA5084"/>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40" w15:restartNumberingAfterBreak="0">
    <w:nsid w:val="7707064E"/>
    <w:multiLevelType w:val="hybridMultilevel"/>
    <w:tmpl w:val="EB76B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348AA"/>
    <w:multiLevelType w:val="hybridMultilevel"/>
    <w:tmpl w:val="C5C842DA"/>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42" w15:restartNumberingAfterBreak="0">
    <w:nsid w:val="7E8A4D42"/>
    <w:multiLevelType w:val="hybridMultilevel"/>
    <w:tmpl w:val="29EE1D64"/>
    <w:lvl w:ilvl="0" w:tplc="40626FCC">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9E2EBD"/>
    <w:multiLevelType w:val="hybridMultilevel"/>
    <w:tmpl w:val="6CF2D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D45CB"/>
    <w:multiLevelType w:val="hybridMultilevel"/>
    <w:tmpl w:val="95822096"/>
    <w:lvl w:ilvl="0" w:tplc="AB627320">
      <w:start w:val="1"/>
      <w:numFmt w:val="bullet"/>
      <w:lvlText w:val="-"/>
      <w:lvlJc w:val="center"/>
      <w:pPr>
        <w:ind w:left="873" w:hanging="360"/>
      </w:pPr>
      <w:rPr>
        <w:rFonts w:ascii="Sitka Subheading" w:hAnsi="Sitka Subheading"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abstractNumId w:val="10"/>
  </w:num>
  <w:num w:numId="2">
    <w:abstractNumId w:val="34"/>
  </w:num>
  <w:num w:numId="3">
    <w:abstractNumId w:val="3"/>
  </w:num>
  <w:num w:numId="4">
    <w:abstractNumId w:val="30"/>
  </w:num>
  <w:num w:numId="5">
    <w:abstractNumId w:val="38"/>
  </w:num>
  <w:num w:numId="6">
    <w:abstractNumId w:val="25"/>
  </w:num>
  <w:num w:numId="7">
    <w:abstractNumId w:val="8"/>
  </w:num>
  <w:num w:numId="8">
    <w:abstractNumId w:val="39"/>
  </w:num>
  <w:num w:numId="9">
    <w:abstractNumId w:val="37"/>
  </w:num>
  <w:num w:numId="10">
    <w:abstractNumId w:val="41"/>
  </w:num>
  <w:num w:numId="11">
    <w:abstractNumId w:val="14"/>
  </w:num>
  <w:num w:numId="12">
    <w:abstractNumId w:val="18"/>
  </w:num>
  <w:num w:numId="13">
    <w:abstractNumId w:val="0"/>
  </w:num>
  <w:num w:numId="14">
    <w:abstractNumId w:val="44"/>
  </w:num>
  <w:num w:numId="15">
    <w:abstractNumId w:val="12"/>
  </w:num>
  <w:num w:numId="16">
    <w:abstractNumId w:val="40"/>
  </w:num>
  <w:num w:numId="17">
    <w:abstractNumId w:val="27"/>
  </w:num>
  <w:num w:numId="18">
    <w:abstractNumId w:val="31"/>
  </w:num>
  <w:num w:numId="19">
    <w:abstractNumId w:val="21"/>
  </w:num>
  <w:num w:numId="20">
    <w:abstractNumId w:val="20"/>
  </w:num>
  <w:num w:numId="21">
    <w:abstractNumId w:val="4"/>
  </w:num>
  <w:num w:numId="22">
    <w:abstractNumId w:val="24"/>
  </w:num>
  <w:num w:numId="23">
    <w:abstractNumId w:val="9"/>
  </w:num>
  <w:num w:numId="24">
    <w:abstractNumId w:val="15"/>
  </w:num>
  <w:num w:numId="25">
    <w:abstractNumId w:val="16"/>
  </w:num>
  <w:num w:numId="26">
    <w:abstractNumId w:val="32"/>
  </w:num>
  <w:num w:numId="27">
    <w:abstractNumId w:val="43"/>
  </w:num>
  <w:num w:numId="28">
    <w:abstractNumId w:val="23"/>
  </w:num>
  <w:num w:numId="29">
    <w:abstractNumId w:val="6"/>
  </w:num>
  <w:num w:numId="30">
    <w:abstractNumId w:val="2"/>
  </w:num>
  <w:num w:numId="31">
    <w:abstractNumId w:val="28"/>
  </w:num>
  <w:num w:numId="32">
    <w:abstractNumId w:val="42"/>
  </w:num>
  <w:num w:numId="33">
    <w:abstractNumId w:val="1"/>
  </w:num>
  <w:num w:numId="34">
    <w:abstractNumId w:val="13"/>
  </w:num>
  <w:num w:numId="35">
    <w:abstractNumId w:val="11"/>
  </w:num>
  <w:num w:numId="36">
    <w:abstractNumId w:val="36"/>
  </w:num>
  <w:num w:numId="37">
    <w:abstractNumId w:val="17"/>
  </w:num>
  <w:num w:numId="38">
    <w:abstractNumId w:val="5"/>
  </w:num>
  <w:num w:numId="39">
    <w:abstractNumId w:val="22"/>
  </w:num>
  <w:num w:numId="40">
    <w:abstractNumId w:val="7"/>
  </w:num>
  <w:num w:numId="41">
    <w:abstractNumId w:val="26"/>
  </w:num>
  <w:num w:numId="42">
    <w:abstractNumId w:val="19"/>
  </w:num>
  <w:num w:numId="43">
    <w:abstractNumId w:val="33"/>
  </w:num>
  <w:num w:numId="44">
    <w:abstractNumId w:val="2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57"/>
    <w:rsid w:val="00005795"/>
    <w:rsid w:val="000130A6"/>
    <w:rsid w:val="00013576"/>
    <w:rsid w:val="00013E0B"/>
    <w:rsid w:val="00020060"/>
    <w:rsid w:val="000425A2"/>
    <w:rsid w:val="000444E9"/>
    <w:rsid w:val="0006195A"/>
    <w:rsid w:val="0006298F"/>
    <w:rsid w:val="000734C6"/>
    <w:rsid w:val="00081D9C"/>
    <w:rsid w:val="00097396"/>
    <w:rsid w:val="000A31FD"/>
    <w:rsid w:val="000B4ED0"/>
    <w:rsid w:val="000C19F5"/>
    <w:rsid w:val="000C2AAF"/>
    <w:rsid w:val="000E052C"/>
    <w:rsid w:val="000E1B57"/>
    <w:rsid w:val="000E2BD9"/>
    <w:rsid w:val="000E71AB"/>
    <w:rsid w:val="000F08D4"/>
    <w:rsid w:val="000F4257"/>
    <w:rsid w:val="000F5BE2"/>
    <w:rsid w:val="000F76FD"/>
    <w:rsid w:val="001213C4"/>
    <w:rsid w:val="00123B9D"/>
    <w:rsid w:val="00126113"/>
    <w:rsid w:val="001339DA"/>
    <w:rsid w:val="00133F7F"/>
    <w:rsid w:val="00135A34"/>
    <w:rsid w:val="00153EC6"/>
    <w:rsid w:val="0015501D"/>
    <w:rsid w:val="00163045"/>
    <w:rsid w:val="0017655D"/>
    <w:rsid w:val="00186926"/>
    <w:rsid w:val="00195844"/>
    <w:rsid w:val="001B3EC9"/>
    <w:rsid w:val="001C77B9"/>
    <w:rsid w:val="001D17AB"/>
    <w:rsid w:val="001D49B4"/>
    <w:rsid w:val="001D6B58"/>
    <w:rsid w:val="001D7094"/>
    <w:rsid w:val="001E394C"/>
    <w:rsid w:val="001F1ABE"/>
    <w:rsid w:val="001F7598"/>
    <w:rsid w:val="00200136"/>
    <w:rsid w:val="00214CAC"/>
    <w:rsid w:val="002335C1"/>
    <w:rsid w:val="00235DFF"/>
    <w:rsid w:val="00246E23"/>
    <w:rsid w:val="0024752D"/>
    <w:rsid w:val="00251A57"/>
    <w:rsid w:val="00252E7E"/>
    <w:rsid w:val="002823AF"/>
    <w:rsid w:val="0028525E"/>
    <w:rsid w:val="00291EC9"/>
    <w:rsid w:val="002B378F"/>
    <w:rsid w:val="002B54BA"/>
    <w:rsid w:val="002B566B"/>
    <w:rsid w:val="002F5906"/>
    <w:rsid w:val="003214BC"/>
    <w:rsid w:val="0032369C"/>
    <w:rsid w:val="003236DB"/>
    <w:rsid w:val="003246DD"/>
    <w:rsid w:val="00324D32"/>
    <w:rsid w:val="0033149C"/>
    <w:rsid w:val="00334189"/>
    <w:rsid w:val="003345F9"/>
    <w:rsid w:val="00337C52"/>
    <w:rsid w:val="003412D7"/>
    <w:rsid w:val="00371624"/>
    <w:rsid w:val="00374F0B"/>
    <w:rsid w:val="003764F0"/>
    <w:rsid w:val="00384B9C"/>
    <w:rsid w:val="00386E9F"/>
    <w:rsid w:val="003B46DC"/>
    <w:rsid w:val="003B7449"/>
    <w:rsid w:val="003C293A"/>
    <w:rsid w:val="003D18D0"/>
    <w:rsid w:val="003E28BC"/>
    <w:rsid w:val="003E6638"/>
    <w:rsid w:val="003F0696"/>
    <w:rsid w:val="004067AE"/>
    <w:rsid w:val="004219C7"/>
    <w:rsid w:val="0044699A"/>
    <w:rsid w:val="00475D53"/>
    <w:rsid w:val="00477F83"/>
    <w:rsid w:val="0049124C"/>
    <w:rsid w:val="004A75D8"/>
    <w:rsid w:val="004B283F"/>
    <w:rsid w:val="004C7CCD"/>
    <w:rsid w:val="004D421A"/>
    <w:rsid w:val="004D7563"/>
    <w:rsid w:val="00515A17"/>
    <w:rsid w:val="005174BD"/>
    <w:rsid w:val="005232A6"/>
    <w:rsid w:val="00536DA0"/>
    <w:rsid w:val="00541E1E"/>
    <w:rsid w:val="005450CF"/>
    <w:rsid w:val="00554831"/>
    <w:rsid w:val="005646BC"/>
    <w:rsid w:val="00566105"/>
    <w:rsid w:val="005661D9"/>
    <w:rsid w:val="005700F5"/>
    <w:rsid w:val="00572C25"/>
    <w:rsid w:val="00584846"/>
    <w:rsid w:val="005849AE"/>
    <w:rsid w:val="005906C4"/>
    <w:rsid w:val="00596247"/>
    <w:rsid w:val="005A7D7C"/>
    <w:rsid w:val="005B0721"/>
    <w:rsid w:val="005C0CEB"/>
    <w:rsid w:val="005D0FDA"/>
    <w:rsid w:val="005D672E"/>
    <w:rsid w:val="005E14D1"/>
    <w:rsid w:val="005E4C4A"/>
    <w:rsid w:val="005E5E92"/>
    <w:rsid w:val="005F6B7B"/>
    <w:rsid w:val="006015F6"/>
    <w:rsid w:val="00606114"/>
    <w:rsid w:val="00615AD0"/>
    <w:rsid w:val="006177FD"/>
    <w:rsid w:val="0062269B"/>
    <w:rsid w:val="00627143"/>
    <w:rsid w:val="00631179"/>
    <w:rsid w:val="006340F6"/>
    <w:rsid w:val="006407FE"/>
    <w:rsid w:val="00642E7E"/>
    <w:rsid w:val="0065103A"/>
    <w:rsid w:val="006518A0"/>
    <w:rsid w:val="00660307"/>
    <w:rsid w:val="0066544E"/>
    <w:rsid w:val="00687AD9"/>
    <w:rsid w:val="0069550E"/>
    <w:rsid w:val="00697A08"/>
    <w:rsid w:val="006B2A99"/>
    <w:rsid w:val="006B2BBA"/>
    <w:rsid w:val="006C4C48"/>
    <w:rsid w:val="006C644F"/>
    <w:rsid w:val="006D75D3"/>
    <w:rsid w:val="006F6CC9"/>
    <w:rsid w:val="00701EE9"/>
    <w:rsid w:val="0071415E"/>
    <w:rsid w:val="00721592"/>
    <w:rsid w:val="00730173"/>
    <w:rsid w:val="007309B2"/>
    <w:rsid w:val="00730F9C"/>
    <w:rsid w:val="00734D02"/>
    <w:rsid w:val="00737719"/>
    <w:rsid w:val="00746066"/>
    <w:rsid w:val="00755972"/>
    <w:rsid w:val="007625E3"/>
    <w:rsid w:val="00791189"/>
    <w:rsid w:val="007928F3"/>
    <w:rsid w:val="00795081"/>
    <w:rsid w:val="007A0E45"/>
    <w:rsid w:val="007B68E7"/>
    <w:rsid w:val="007C1706"/>
    <w:rsid w:val="007D3E39"/>
    <w:rsid w:val="007D50A7"/>
    <w:rsid w:val="007D59E9"/>
    <w:rsid w:val="007D7347"/>
    <w:rsid w:val="007E29EA"/>
    <w:rsid w:val="007E5615"/>
    <w:rsid w:val="007E6D26"/>
    <w:rsid w:val="007E733C"/>
    <w:rsid w:val="007F087A"/>
    <w:rsid w:val="007F4FE1"/>
    <w:rsid w:val="00833416"/>
    <w:rsid w:val="008365D2"/>
    <w:rsid w:val="00840FA4"/>
    <w:rsid w:val="00854D66"/>
    <w:rsid w:val="00873720"/>
    <w:rsid w:val="00883004"/>
    <w:rsid w:val="008A4BFB"/>
    <w:rsid w:val="008A75F1"/>
    <w:rsid w:val="008C5461"/>
    <w:rsid w:val="008D0984"/>
    <w:rsid w:val="008D153E"/>
    <w:rsid w:val="008D1B36"/>
    <w:rsid w:val="008D2EC4"/>
    <w:rsid w:val="008D53C8"/>
    <w:rsid w:val="008E4F54"/>
    <w:rsid w:val="008F0D09"/>
    <w:rsid w:val="008F34F4"/>
    <w:rsid w:val="00916837"/>
    <w:rsid w:val="0092255D"/>
    <w:rsid w:val="009400A9"/>
    <w:rsid w:val="0094082A"/>
    <w:rsid w:val="0094283F"/>
    <w:rsid w:val="00956C5A"/>
    <w:rsid w:val="00980771"/>
    <w:rsid w:val="009830E2"/>
    <w:rsid w:val="00987E48"/>
    <w:rsid w:val="009A04D6"/>
    <w:rsid w:val="009B50ED"/>
    <w:rsid w:val="009C53A6"/>
    <w:rsid w:val="009D56C0"/>
    <w:rsid w:val="009F45AA"/>
    <w:rsid w:val="009F5EF0"/>
    <w:rsid w:val="009F7CC1"/>
    <w:rsid w:val="00A02443"/>
    <w:rsid w:val="00A05F36"/>
    <w:rsid w:val="00A10291"/>
    <w:rsid w:val="00A13927"/>
    <w:rsid w:val="00A174C7"/>
    <w:rsid w:val="00A17746"/>
    <w:rsid w:val="00A263FF"/>
    <w:rsid w:val="00A34567"/>
    <w:rsid w:val="00A34A00"/>
    <w:rsid w:val="00A35BAF"/>
    <w:rsid w:val="00A61A72"/>
    <w:rsid w:val="00A66EB1"/>
    <w:rsid w:val="00A76927"/>
    <w:rsid w:val="00A842E3"/>
    <w:rsid w:val="00A8438C"/>
    <w:rsid w:val="00A92E4D"/>
    <w:rsid w:val="00A949E0"/>
    <w:rsid w:val="00AA39C0"/>
    <w:rsid w:val="00AB1D73"/>
    <w:rsid w:val="00AB3D9C"/>
    <w:rsid w:val="00AC09B2"/>
    <w:rsid w:val="00AC4858"/>
    <w:rsid w:val="00AC4930"/>
    <w:rsid w:val="00AD55CE"/>
    <w:rsid w:val="00AE003D"/>
    <w:rsid w:val="00AE374A"/>
    <w:rsid w:val="00AE7A13"/>
    <w:rsid w:val="00AF5472"/>
    <w:rsid w:val="00B00ABD"/>
    <w:rsid w:val="00B1030F"/>
    <w:rsid w:val="00B10CC3"/>
    <w:rsid w:val="00B1728D"/>
    <w:rsid w:val="00B21636"/>
    <w:rsid w:val="00B234E9"/>
    <w:rsid w:val="00B25B28"/>
    <w:rsid w:val="00B34464"/>
    <w:rsid w:val="00B565D8"/>
    <w:rsid w:val="00B574FC"/>
    <w:rsid w:val="00B67D92"/>
    <w:rsid w:val="00B709BB"/>
    <w:rsid w:val="00B814C1"/>
    <w:rsid w:val="00B856EE"/>
    <w:rsid w:val="00B90B82"/>
    <w:rsid w:val="00B90DED"/>
    <w:rsid w:val="00B942B4"/>
    <w:rsid w:val="00B964E0"/>
    <w:rsid w:val="00BA299D"/>
    <w:rsid w:val="00BA5891"/>
    <w:rsid w:val="00BB5C02"/>
    <w:rsid w:val="00BF2C42"/>
    <w:rsid w:val="00BF3CBB"/>
    <w:rsid w:val="00C04D08"/>
    <w:rsid w:val="00C05640"/>
    <w:rsid w:val="00C12DBA"/>
    <w:rsid w:val="00C13572"/>
    <w:rsid w:val="00C252D8"/>
    <w:rsid w:val="00C3015A"/>
    <w:rsid w:val="00C3146B"/>
    <w:rsid w:val="00C31522"/>
    <w:rsid w:val="00C52B02"/>
    <w:rsid w:val="00C53CCE"/>
    <w:rsid w:val="00C8167F"/>
    <w:rsid w:val="00C86910"/>
    <w:rsid w:val="00CA6354"/>
    <w:rsid w:val="00CB568E"/>
    <w:rsid w:val="00CB7AA4"/>
    <w:rsid w:val="00CF42A7"/>
    <w:rsid w:val="00CF520A"/>
    <w:rsid w:val="00D168AA"/>
    <w:rsid w:val="00D31AF3"/>
    <w:rsid w:val="00D323DB"/>
    <w:rsid w:val="00D332AE"/>
    <w:rsid w:val="00D37181"/>
    <w:rsid w:val="00D4502D"/>
    <w:rsid w:val="00D45E67"/>
    <w:rsid w:val="00D4733E"/>
    <w:rsid w:val="00D61C5C"/>
    <w:rsid w:val="00D72468"/>
    <w:rsid w:val="00D81578"/>
    <w:rsid w:val="00D824FD"/>
    <w:rsid w:val="00D858E2"/>
    <w:rsid w:val="00D934CF"/>
    <w:rsid w:val="00DB5753"/>
    <w:rsid w:val="00DD55CB"/>
    <w:rsid w:val="00DD6170"/>
    <w:rsid w:val="00DE604A"/>
    <w:rsid w:val="00DF5510"/>
    <w:rsid w:val="00E04DF0"/>
    <w:rsid w:val="00E1492D"/>
    <w:rsid w:val="00E23519"/>
    <w:rsid w:val="00E46B8C"/>
    <w:rsid w:val="00E55DAC"/>
    <w:rsid w:val="00E771E2"/>
    <w:rsid w:val="00E7720C"/>
    <w:rsid w:val="00E846F3"/>
    <w:rsid w:val="00E84EA3"/>
    <w:rsid w:val="00E94789"/>
    <w:rsid w:val="00EA4AEE"/>
    <w:rsid w:val="00ED1A23"/>
    <w:rsid w:val="00F00369"/>
    <w:rsid w:val="00F0555B"/>
    <w:rsid w:val="00F15657"/>
    <w:rsid w:val="00F17BB5"/>
    <w:rsid w:val="00F36C8A"/>
    <w:rsid w:val="00F44B06"/>
    <w:rsid w:val="00F8438D"/>
    <w:rsid w:val="00F907C5"/>
    <w:rsid w:val="00F908B7"/>
    <w:rsid w:val="00F92A23"/>
    <w:rsid w:val="00FA49A9"/>
    <w:rsid w:val="00FB4CC3"/>
    <w:rsid w:val="00FC3935"/>
    <w:rsid w:val="00FE7A99"/>
    <w:rsid w:val="00FF140B"/>
    <w:rsid w:val="00FF2591"/>
    <w:rsid w:val="00FF4A81"/>
    <w:rsid w:val="00FF66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6879"/>
  <w15:docId w15:val="{4763B785-394D-4E41-A26F-7DECA0B9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1FD"/>
  </w:style>
  <w:style w:type="paragraph" w:styleId="Footer">
    <w:name w:val="footer"/>
    <w:basedOn w:val="Normal"/>
    <w:link w:val="FooterChar"/>
    <w:uiPriority w:val="99"/>
    <w:unhideWhenUsed/>
    <w:rsid w:val="000A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1FD"/>
  </w:style>
  <w:style w:type="character" w:styleId="Hyperlink">
    <w:name w:val="Hyperlink"/>
    <w:basedOn w:val="DefaultParagraphFont"/>
    <w:uiPriority w:val="99"/>
    <w:semiHidden/>
    <w:unhideWhenUsed/>
    <w:rsid w:val="005D0FDA"/>
    <w:rPr>
      <w:strike w:val="0"/>
      <w:dstrike w:val="0"/>
      <w:color w:val="336699"/>
      <w:u w:val="none"/>
      <w:effect w:val="none"/>
    </w:rPr>
  </w:style>
  <w:style w:type="paragraph" w:styleId="NormalWeb">
    <w:name w:val="Normal (Web)"/>
    <w:basedOn w:val="Normal"/>
    <w:uiPriority w:val="99"/>
    <w:semiHidden/>
    <w:unhideWhenUsed/>
    <w:rsid w:val="005D0FDA"/>
    <w:pPr>
      <w:spacing w:before="100" w:beforeAutospacing="1" w:after="100" w:afterAutospacing="1" w:line="312" w:lineRule="auto"/>
    </w:pPr>
    <w:rPr>
      <w:rFonts w:ascii="Trebuchet MS" w:eastAsia="Times New Roman" w:hAnsi="Trebuchet MS" w:cs="Times New Roman"/>
      <w:sz w:val="20"/>
      <w:szCs w:val="20"/>
      <w:lang w:val="en-US"/>
    </w:rPr>
  </w:style>
  <w:style w:type="character" w:styleId="Strong">
    <w:name w:val="Strong"/>
    <w:basedOn w:val="DefaultParagraphFont"/>
    <w:uiPriority w:val="22"/>
    <w:qFormat/>
    <w:rsid w:val="005D0FDA"/>
    <w:rPr>
      <w:b/>
      <w:bCs/>
    </w:rPr>
  </w:style>
  <w:style w:type="paragraph" w:styleId="ListParagraph">
    <w:name w:val="List Paragraph"/>
    <w:aliases w:val="References,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5E14D1"/>
    <w:pPr>
      <w:ind w:left="720"/>
      <w:contextualSpacing/>
    </w:pPr>
  </w:style>
  <w:style w:type="paragraph" w:styleId="BalloonText">
    <w:name w:val="Balloon Text"/>
    <w:basedOn w:val="Normal"/>
    <w:link w:val="BalloonTextChar"/>
    <w:unhideWhenUsed/>
    <w:rsid w:val="008D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153E"/>
    <w:rPr>
      <w:rFonts w:ascii="Tahoma" w:hAnsi="Tahoma" w:cs="Tahoma"/>
      <w:sz w:val="16"/>
      <w:szCs w:val="16"/>
    </w:rPr>
  </w:style>
  <w:style w:type="character" w:customStyle="1" w:styleId="s1">
    <w:name w:val="s1"/>
    <w:basedOn w:val="DefaultParagraphFont"/>
    <w:rsid w:val="00334189"/>
    <w:rPr>
      <w:rFonts w:ascii="Verdana" w:hAnsi="Verdana" w:hint="default"/>
      <w:color w:val="000000"/>
      <w:sz w:val="19"/>
      <w:szCs w:val="19"/>
    </w:rPr>
  </w:style>
  <w:style w:type="character" w:styleId="CommentReference">
    <w:name w:val="annotation reference"/>
    <w:basedOn w:val="DefaultParagraphFont"/>
    <w:uiPriority w:val="99"/>
    <w:semiHidden/>
    <w:unhideWhenUsed/>
    <w:rsid w:val="004219C7"/>
    <w:rPr>
      <w:sz w:val="16"/>
      <w:szCs w:val="16"/>
    </w:rPr>
  </w:style>
  <w:style w:type="paragraph" w:styleId="CommentText">
    <w:name w:val="annotation text"/>
    <w:basedOn w:val="Normal"/>
    <w:link w:val="CommentTextChar"/>
    <w:uiPriority w:val="99"/>
    <w:unhideWhenUsed/>
    <w:rsid w:val="004219C7"/>
    <w:pPr>
      <w:spacing w:line="240" w:lineRule="auto"/>
    </w:pPr>
    <w:rPr>
      <w:sz w:val="20"/>
      <w:szCs w:val="20"/>
    </w:rPr>
  </w:style>
  <w:style w:type="character" w:customStyle="1" w:styleId="CommentTextChar">
    <w:name w:val="Comment Text Char"/>
    <w:basedOn w:val="DefaultParagraphFont"/>
    <w:link w:val="CommentText"/>
    <w:uiPriority w:val="99"/>
    <w:rsid w:val="004219C7"/>
    <w:rPr>
      <w:sz w:val="20"/>
      <w:szCs w:val="20"/>
    </w:rPr>
  </w:style>
  <w:style w:type="paragraph" w:styleId="CommentSubject">
    <w:name w:val="annotation subject"/>
    <w:basedOn w:val="CommentText"/>
    <w:next w:val="CommentText"/>
    <w:link w:val="CommentSubjectChar"/>
    <w:uiPriority w:val="99"/>
    <w:semiHidden/>
    <w:unhideWhenUsed/>
    <w:rsid w:val="004219C7"/>
    <w:rPr>
      <w:b/>
      <w:bCs/>
    </w:rPr>
  </w:style>
  <w:style w:type="character" w:customStyle="1" w:styleId="CommentSubjectChar">
    <w:name w:val="Comment Subject Char"/>
    <w:basedOn w:val="CommentTextChar"/>
    <w:link w:val="CommentSubject"/>
    <w:uiPriority w:val="99"/>
    <w:semiHidden/>
    <w:rsid w:val="004219C7"/>
    <w:rPr>
      <w:b/>
      <w:bCs/>
      <w:sz w:val="20"/>
      <w:szCs w:val="20"/>
    </w:rPr>
  </w:style>
  <w:style w:type="paragraph" w:styleId="NoSpacing">
    <w:name w:val="No Spacing"/>
    <w:uiPriority w:val="1"/>
    <w:qFormat/>
    <w:rsid w:val="000734C6"/>
    <w:pPr>
      <w:spacing w:after="0" w:line="240" w:lineRule="auto"/>
    </w:pPr>
  </w:style>
  <w:style w:type="table" w:styleId="TableGrid">
    <w:name w:val="Table Grid"/>
    <w:basedOn w:val="TableNormal"/>
    <w:uiPriority w:val="39"/>
    <w:rsid w:val="005174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B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B46DC"/>
    <w:rPr>
      <w:rFonts w:ascii="Courier New" w:eastAsia="Times New Roman" w:hAnsi="Courier New" w:cs="Courier New"/>
      <w:sz w:val="20"/>
      <w:szCs w:val="20"/>
      <w:lang w:val="en-US" w:eastAsia="en-US"/>
    </w:rPr>
  </w:style>
  <w:style w:type="character" w:customStyle="1" w:styleId="ListParagraphChar">
    <w:name w:val="List Paragraph Char"/>
    <w:aliases w:val="References Char,Bullet List Char,FooterText Char,List Paragraph1 Char,Colorful List Accent 1 Char,numbered Char,Paragraphe de liste1 Char,列出段落 Char,列出段落1 Char,Bulletr List Paragraph Char,List Paragraph2 Char,List Paragraph21 Char"/>
    <w:link w:val="ListParagraph"/>
    <w:uiPriority w:val="34"/>
    <w:qFormat/>
    <w:locked/>
    <w:rsid w:val="003B46DC"/>
  </w:style>
  <w:style w:type="paragraph" w:customStyle="1" w:styleId="Default">
    <w:name w:val="Default"/>
    <w:rsid w:val="000B4ED0"/>
    <w:pPr>
      <w:autoSpaceDE w:val="0"/>
      <w:autoSpaceDN w:val="0"/>
      <w:adjustRightInd w:val="0"/>
      <w:spacing w:after="0" w:line="240" w:lineRule="auto"/>
    </w:pPr>
    <w:rPr>
      <w:rFonts w:ascii="Times New Roman" w:eastAsia="Arial Unicode MS" w:hAnsi="Times New Roman" w:cs="Times New Roman"/>
      <w:color w:val="000000"/>
      <w:sz w:val="24"/>
      <w:szCs w:val="24"/>
      <w:bdr w:val="nil"/>
      <w:lang w:val="en-US" w:eastAsia="en-US"/>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Char"/>
    <w:basedOn w:val="Normal"/>
    <w:link w:val="FootnoteTextChar"/>
    <w:rsid w:val="008A75F1"/>
    <w:pPr>
      <w:spacing w:after="0" w:line="240" w:lineRule="auto"/>
    </w:pPr>
    <w:rPr>
      <w:rFonts w:ascii="Times New Roman" w:eastAsia="MS Mincho" w:hAnsi="Times New Roman" w:cs="Times New Roman"/>
      <w:sz w:val="20"/>
      <w:szCs w:val="20"/>
      <w:lang w:val="fr-FR" w:eastAsia="en-US"/>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rsid w:val="008A75F1"/>
    <w:rPr>
      <w:rFonts w:ascii="Times New Roman" w:eastAsia="MS Mincho" w:hAnsi="Times New Roman" w:cs="Times New Roman"/>
      <w:sz w:val="20"/>
      <w:szCs w:val="20"/>
      <w:lang w:val="fr-FR" w:eastAsia="en-US"/>
    </w:rPr>
  </w:style>
  <w:style w:type="paragraph" w:styleId="BodyText">
    <w:name w:val="Body Text"/>
    <w:basedOn w:val="Normal"/>
    <w:link w:val="BodyTextChar"/>
    <w:rsid w:val="00A34A00"/>
    <w:pPr>
      <w:spacing w:after="0" w:line="240" w:lineRule="auto"/>
    </w:pPr>
    <w:rPr>
      <w:rFonts w:ascii="Times New Roman" w:eastAsia="Times New Roman" w:hAnsi="Times New Roman" w:cs="Times New Roman"/>
      <w:sz w:val="24"/>
      <w:szCs w:val="20"/>
      <w:lang w:val="fr-FR" w:eastAsia="en-US"/>
    </w:rPr>
  </w:style>
  <w:style w:type="character" w:customStyle="1" w:styleId="BodyTextChar">
    <w:name w:val="Body Text Char"/>
    <w:basedOn w:val="DefaultParagraphFont"/>
    <w:link w:val="BodyText"/>
    <w:rsid w:val="00A34A00"/>
    <w:rPr>
      <w:rFonts w:ascii="Times New Roman" w:eastAsia="Times New Roman" w:hAnsi="Times New Roman" w:cs="Times New Roman"/>
      <w:sz w:val="24"/>
      <w:szCs w:val="20"/>
      <w:lang w:val="fr-FR" w:eastAsia="en-US"/>
    </w:rPr>
  </w:style>
  <w:style w:type="paragraph" w:styleId="Revision">
    <w:name w:val="Revision"/>
    <w:hidden/>
    <w:uiPriority w:val="99"/>
    <w:semiHidden/>
    <w:rsid w:val="003D1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751">
      <w:bodyDiv w:val="1"/>
      <w:marLeft w:val="0"/>
      <w:marRight w:val="0"/>
      <w:marTop w:val="0"/>
      <w:marBottom w:val="0"/>
      <w:divBdr>
        <w:top w:val="none" w:sz="0" w:space="0" w:color="auto"/>
        <w:left w:val="none" w:sz="0" w:space="0" w:color="auto"/>
        <w:bottom w:val="none" w:sz="0" w:space="0" w:color="auto"/>
        <w:right w:val="none" w:sz="0" w:space="0" w:color="auto"/>
      </w:divBdr>
    </w:div>
    <w:div w:id="301622965">
      <w:bodyDiv w:val="1"/>
      <w:marLeft w:val="0"/>
      <w:marRight w:val="0"/>
      <w:marTop w:val="0"/>
      <w:marBottom w:val="0"/>
      <w:divBdr>
        <w:top w:val="none" w:sz="0" w:space="0" w:color="auto"/>
        <w:left w:val="none" w:sz="0" w:space="0" w:color="auto"/>
        <w:bottom w:val="none" w:sz="0" w:space="0" w:color="auto"/>
        <w:right w:val="none" w:sz="0" w:space="0" w:color="auto"/>
      </w:divBdr>
    </w:div>
    <w:div w:id="338196949">
      <w:bodyDiv w:val="1"/>
      <w:marLeft w:val="0"/>
      <w:marRight w:val="0"/>
      <w:marTop w:val="0"/>
      <w:marBottom w:val="0"/>
      <w:divBdr>
        <w:top w:val="none" w:sz="0" w:space="0" w:color="auto"/>
        <w:left w:val="none" w:sz="0" w:space="0" w:color="auto"/>
        <w:bottom w:val="none" w:sz="0" w:space="0" w:color="auto"/>
        <w:right w:val="none" w:sz="0" w:space="0" w:color="auto"/>
      </w:divBdr>
    </w:div>
    <w:div w:id="693457942">
      <w:bodyDiv w:val="1"/>
      <w:marLeft w:val="0"/>
      <w:marRight w:val="0"/>
      <w:marTop w:val="0"/>
      <w:marBottom w:val="0"/>
      <w:divBdr>
        <w:top w:val="none" w:sz="0" w:space="0" w:color="auto"/>
        <w:left w:val="none" w:sz="0" w:space="0" w:color="auto"/>
        <w:bottom w:val="none" w:sz="0" w:space="0" w:color="auto"/>
        <w:right w:val="none" w:sz="0" w:space="0" w:color="auto"/>
      </w:divBdr>
    </w:div>
    <w:div w:id="1091394643">
      <w:bodyDiv w:val="1"/>
      <w:marLeft w:val="0"/>
      <w:marRight w:val="0"/>
      <w:marTop w:val="0"/>
      <w:marBottom w:val="0"/>
      <w:divBdr>
        <w:top w:val="none" w:sz="0" w:space="0" w:color="auto"/>
        <w:left w:val="none" w:sz="0" w:space="0" w:color="auto"/>
        <w:bottom w:val="none" w:sz="0" w:space="0" w:color="auto"/>
        <w:right w:val="none" w:sz="0" w:space="0" w:color="auto"/>
      </w:divBdr>
    </w:div>
    <w:div w:id="1419445429">
      <w:bodyDiv w:val="1"/>
      <w:marLeft w:val="0"/>
      <w:marRight w:val="0"/>
      <w:marTop w:val="0"/>
      <w:marBottom w:val="0"/>
      <w:divBdr>
        <w:top w:val="none" w:sz="0" w:space="0" w:color="auto"/>
        <w:left w:val="none" w:sz="0" w:space="0" w:color="auto"/>
        <w:bottom w:val="none" w:sz="0" w:space="0" w:color="auto"/>
        <w:right w:val="none" w:sz="0" w:space="0" w:color="auto"/>
      </w:divBdr>
    </w:div>
    <w:div w:id="19508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E7A3627EF04D9D8A3048B3B70F28" ma:contentTypeVersion="11" ma:contentTypeDescription="Create a new document." ma:contentTypeScope="" ma:versionID="e580306a79864c63bf9d2dd97328668e">
  <xsd:schema xmlns:xsd="http://www.w3.org/2001/XMLSchema" xmlns:xs="http://www.w3.org/2001/XMLSchema" xmlns:p="http://schemas.microsoft.com/office/2006/metadata/properties" xmlns:ns3="f20672bf-7cba-4c80-8b07-d98646ff26c1" xmlns:ns4="32c8fdd3-5c07-4c9f-8aac-7f81fff7af4d" targetNamespace="http://schemas.microsoft.com/office/2006/metadata/properties" ma:root="true" ma:fieldsID="69d234b4690800ed3a80835c5284f760" ns3:_="" ns4:_="">
    <xsd:import namespace="f20672bf-7cba-4c80-8b07-d98646ff26c1"/>
    <xsd:import namespace="32c8fdd3-5c07-4c9f-8aac-7f81fff7a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672bf-7cba-4c80-8b07-d98646ff26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8fdd3-5c07-4c9f-8aac-7f81fff7af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D733F-23FF-4EFB-BFA0-9DE3F04A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672bf-7cba-4c80-8b07-d98646ff26c1"/>
    <ds:schemaRef ds:uri="32c8fdd3-5c07-4c9f-8aac-7f81fff7a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915C5-592A-4394-98F4-9067B625B027}">
  <ds:schemaRefs>
    <ds:schemaRef ds:uri="http://schemas.openxmlformats.org/officeDocument/2006/bibliography"/>
  </ds:schemaRefs>
</ds:datastoreItem>
</file>

<file path=customXml/itemProps3.xml><?xml version="1.0" encoding="utf-8"?>
<ds:datastoreItem xmlns:ds="http://schemas.openxmlformats.org/officeDocument/2006/customXml" ds:itemID="{88334F51-5B63-404A-99A4-8BE4EB1B0974}">
  <ds:schemaRefs>
    <ds:schemaRef ds:uri="http://schemas.microsoft.com/sharepoint/v3/contenttype/forms"/>
  </ds:schemaRefs>
</ds:datastoreItem>
</file>

<file path=customXml/itemProps4.xml><?xml version="1.0" encoding="utf-8"?>
<ds:datastoreItem xmlns:ds="http://schemas.openxmlformats.org/officeDocument/2006/customXml" ds:itemID="{6412610D-CCBE-4C33-B9B2-5A4904EA0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1962</Words>
  <Characters>11184</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Benche</dc:creator>
  <cp:lastModifiedBy>Mirabelle De Souza</cp:lastModifiedBy>
  <cp:revision>2</cp:revision>
  <cp:lastPrinted>2013-10-25T09:22:00Z</cp:lastPrinted>
  <dcterms:created xsi:type="dcterms:W3CDTF">2022-12-04T13:32:00Z</dcterms:created>
  <dcterms:modified xsi:type="dcterms:W3CDTF">2022-12-04T13:32:00Z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0x010100B1B5E7A3627EF04D9D8A3048B3B70F28</vt:lpwstr>
  </property>
  <property fmtid="{D5CDD505-2E9C-101B-9397-08002B2CF9AE}" pid="3" name="TaxKeyword">
    <vt:lpwstr/>
  </property>
  <property fmtid="{D5CDD505-2E9C-101B-9397-08002B2CF9AE}" pid="4" name="Topic">
    <vt:lpwstr>7;#n/a|62fe7219-0ec3-42ac-964d-70ae5d8291bb</vt:lpwstr>
  </property>
  <property fmtid="{D5CDD505-2E9C-101B-9397-08002B2CF9AE}" pid="5" name="OfficeDivision">
    <vt:lpwstr/>
  </property>
  <property fmtid="{D5CDD505-2E9C-101B-9397-08002B2CF9AE}" pid="6" name="DocumentType">
    <vt:lpwstr>3;#Internal guidelines, SOPs, forms, and templates|940dfb61-e99e-4087-9cbb-c77da189fd6f</vt:lpwstr>
  </property>
  <property fmtid="{D5CDD505-2E9C-101B-9397-08002B2CF9AE}" pid="7" name="GeographicScope">
    <vt:lpwstr/>
  </property>
</Properties>
</file>