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00"/>
        <w:gridCol w:w="4410"/>
        <w:gridCol w:w="1260"/>
        <w:gridCol w:w="1800"/>
      </w:tblGrid>
      <w:tr w:rsidR="00F14C7D" w:rsidRPr="0054592E" w14:paraId="7DB5EDCF" w14:textId="77777777" w:rsidTr="009862FD">
        <w:trPr>
          <w:trHeight w:val="171"/>
        </w:trPr>
        <w:tc>
          <w:tcPr>
            <w:tcW w:w="11070" w:type="dxa"/>
            <w:gridSpan w:val="4"/>
            <w:tcBorders>
              <w:bottom w:val="nil"/>
            </w:tcBorders>
            <w:shd w:val="clear" w:color="auto" w:fill="auto"/>
            <w:noWrap/>
            <w:hideMark/>
          </w:tcPr>
          <w:p w14:paraId="5BFC6B86" w14:textId="77777777" w:rsidR="00F14C7D" w:rsidRPr="0054592E" w:rsidRDefault="00F14C7D" w:rsidP="000B41F8">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9862FD" w:rsidRPr="007613B3" w14:paraId="1E75DA04" w14:textId="77777777" w:rsidTr="009862FD">
        <w:trPr>
          <w:trHeight w:val="82"/>
        </w:trPr>
        <w:tc>
          <w:tcPr>
            <w:tcW w:w="3600" w:type="dxa"/>
            <w:tcBorders>
              <w:top w:val="nil"/>
              <w:left w:val="single" w:sz="4" w:space="0" w:color="auto"/>
              <w:bottom w:val="single" w:sz="8" w:space="0" w:color="6D6D6D"/>
              <w:right w:val="nil"/>
            </w:tcBorders>
            <w:shd w:val="clear" w:color="auto" w:fill="auto"/>
            <w:noWrap/>
          </w:tcPr>
          <w:p w14:paraId="47712140" w14:textId="77777777" w:rsidR="00F14C7D" w:rsidRPr="007613B3" w:rsidRDefault="00F14C7D" w:rsidP="000B41F8">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4410" w:type="dxa"/>
            <w:tcBorders>
              <w:top w:val="nil"/>
              <w:left w:val="nil"/>
              <w:bottom w:val="single" w:sz="8" w:space="0" w:color="6D6D6D"/>
              <w:right w:val="nil"/>
            </w:tcBorders>
            <w:shd w:val="clear" w:color="auto" w:fill="auto"/>
          </w:tcPr>
          <w:p w14:paraId="5A156240" w14:textId="77777777" w:rsidR="00F14C7D" w:rsidRPr="007613B3" w:rsidRDefault="00F14C7D" w:rsidP="000B41F8">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260" w:type="dxa"/>
            <w:tcBorders>
              <w:top w:val="nil"/>
              <w:left w:val="nil"/>
              <w:bottom w:val="single" w:sz="8" w:space="0" w:color="6D6D6D"/>
              <w:right w:val="nil"/>
            </w:tcBorders>
            <w:shd w:val="clear" w:color="auto" w:fill="auto"/>
          </w:tcPr>
          <w:p w14:paraId="01670E77" w14:textId="77777777" w:rsidR="00F14C7D" w:rsidRPr="007613B3" w:rsidRDefault="00F14C7D" w:rsidP="000B41F8">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800" w:type="dxa"/>
            <w:tcBorders>
              <w:top w:val="nil"/>
              <w:left w:val="nil"/>
              <w:bottom w:val="single" w:sz="8" w:space="0" w:color="6D6D6D"/>
              <w:right w:val="single" w:sz="4" w:space="0" w:color="auto"/>
            </w:tcBorders>
            <w:shd w:val="clear" w:color="auto" w:fill="auto"/>
          </w:tcPr>
          <w:p w14:paraId="69A29D35" w14:textId="77777777" w:rsidR="00F14C7D" w:rsidRPr="007613B3" w:rsidRDefault="00F14C7D" w:rsidP="000B41F8">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9862FD" w:rsidRPr="007613B3" w14:paraId="72A58779" w14:textId="77777777" w:rsidTr="009862FD">
        <w:trPr>
          <w:trHeight w:val="628"/>
        </w:trPr>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2A398FA4" w14:textId="77777777" w:rsidR="00F14C7D" w:rsidRPr="009D4CBE" w:rsidRDefault="00F14C7D" w:rsidP="000B41F8">
            <w:pPr>
              <w:ind w:left="12" w:hanging="12"/>
              <w:rPr>
                <w:rFonts w:ascii="Calibri" w:eastAsia="Arial Unicode MS" w:hAnsi="Calibri" w:cs="Calibri"/>
                <w:color w:val="auto"/>
                <w:lang w:val="fr-FR"/>
              </w:rPr>
            </w:pPr>
            <w:r w:rsidRPr="0019021A">
              <w:rPr>
                <w:rFonts w:ascii="Calibri" w:eastAsia="Arial Unicode MS" w:hAnsi="Calibri" w:cs="Calibri"/>
                <w:color w:val="auto"/>
                <w:lang w:val="fr-FR"/>
              </w:rPr>
              <w:t>Proposer un plan de réalisation de la mission</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D48454A" w14:textId="77777777" w:rsidR="00F14C7D" w:rsidRPr="009D4CBE" w:rsidRDefault="00F14C7D" w:rsidP="000B41F8">
            <w:pPr>
              <w:ind w:left="12" w:hanging="12"/>
              <w:rPr>
                <w:rFonts w:ascii="Calibri" w:eastAsia="Arial Unicode MS" w:hAnsi="Calibri" w:cs="Calibri"/>
                <w:color w:val="auto"/>
                <w:lang w:val="fr-FR"/>
              </w:rPr>
            </w:pPr>
            <w:r w:rsidRPr="00D13EFA">
              <w:rPr>
                <w:rFonts w:asciiTheme="minorHAnsi" w:eastAsia="Calibri" w:hAnsiTheme="minorHAnsi" w:cstheme="minorHAnsi"/>
                <w:b/>
                <w:bCs/>
                <w:lang w:val="fr-FR"/>
              </w:rPr>
              <w:t>Livrable 1</w:t>
            </w:r>
            <w:r w:rsidRPr="00626AD7">
              <w:rPr>
                <w:rFonts w:asciiTheme="minorHAnsi" w:eastAsia="Calibri" w:hAnsiTheme="minorHAnsi" w:cstheme="minorHAnsi"/>
                <w:lang w:val="fr-FR"/>
              </w:rPr>
              <w:t xml:space="preserve"> : </w:t>
            </w:r>
            <w:r w:rsidRPr="0019021A">
              <w:rPr>
                <w:rFonts w:ascii="Calibri" w:eastAsia="Arial Unicode MS" w:hAnsi="Calibri" w:cs="Calibri"/>
                <w:color w:val="auto"/>
                <w:lang w:val="fr-FR"/>
              </w:rPr>
              <w:t>plan de réalisation de la mission décliné en chronogramme d’activités mensuel.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97295C" w14:textId="77777777" w:rsidR="00F14C7D" w:rsidRPr="002941F8" w:rsidRDefault="00F14C7D" w:rsidP="000B41F8">
            <w:pPr>
              <w:jc w:val="center"/>
              <w:rPr>
                <w:rFonts w:ascii="Calibri" w:eastAsia="Arial Unicode MS" w:hAnsi="Calibri" w:cs="Calibri"/>
                <w:color w:val="auto"/>
                <w:lang w:val="fr-FR"/>
              </w:rPr>
            </w:pPr>
            <w:r w:rsidRPr="002941F8">
              <w:rPr>
                <w:rFonts w:ascii="Calibri" w:eastAsia="Arial Unicode MS" w:hAnsi="Calibri" w:cs="Calibri"/>
                <w:color w:val="auto"/>
                <w:lang w:val="fr-FR"/>
              </w:rPr>
              <w:t xml:space="preserve">08 JUILLET 2022 </w:t>
            </w:r>
          </w:p>
          <w:p w14:paraId="3A1A8377" w14:textId="77777777" w:rsidR="00F14C7D" w:rsidRPr="00273D55" w:rsidRDefault="00F14C7D" w:rsidP="000B41F8">
            <w:pPr>
              <w:spacing w:before="60" w:after="60" w:line="240" w:lineRule="auto"/>
              <w:rPr>
                <w:rFonts w:ascii="Calibri" w:eastAsia="Arial Unicode MS" w:hAnsi="Calibri" w:cs="Calibri"/>
                <w:color w:val="auto"/>
                <w:highlight w:val="green"/>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26324C4A" w14:textId="77777777" w:rsidR="00F14C7D" w:rsidRPr="007613B3" w:rsidRDefault="00F14C7D" w:rsidP="000B41F8">
            <w:pPr>
              <w:spacing w:before="60" w:after="60"/>
              <w:rPr>
                <w:rFonts w:ascii="Calibri" w:eastAsia="Arial Unicode MS" w:hAnsi="Calibri" w:cs="Calibri"/>
                <w:color w:val="auto"/>
                <w:lang w:val="en-AU"/>
              </w:rPr>
            </w:pPr>
          </w:p>
        </w:tc>
      </w:tr>
      <w:tr w:rsidR="009862FD" w:rsidRPr="007613B3" w14:paraId="366FB2E3" w14:textId="77777777" w:rsidTr="009862FD">
        <w:trPr>
          <w:trHeight w:val="343"/>
        </w:trPr>
        <w:tc>
          <w:tcPr>
            <w:tcW w:w="3600" w:type="dxa"/>
            <w:vMerge w:val="restart"/>
            <w:tcBorders>
              <w:top w:val="single" w:sz="4" w:space="0" w:color="auto"/>
              <w:left w:val="single" w:sz="4" w:space="0" w:color="auto"/>
              <w:right w:val="single" w:sz="4" w:space="0" w:color="auto"/>
            </w:tcBorders>
            <w:shd w:val="clear" w:color="auto" w:fill="auto"/>
            <w:noWrap/>
          </w:tcPr>
          <w:p w14:paraId="534B2FEE" w14:textId="77777777" w:rsidR="00F14C7D" w:rsidRPr="007C40D6" w:rsidRDefault="00F14C7D" w:rsidP="000B41F8">
            <w:pPr>
              <w:numPr>
                <w:ilvl w:val="0"/>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Appuyer techniquement l’équipe de l’ANSSP pour :</w:t>
            </w:r>
          </w:p>
          <w:p w14:paraId="067AAAC9" w14:textId="77777777" w:rsidR="00F14C7D" w:rsidRPr="007C40D6" w:rsidRDefault="00F14C7D" w:rsidP="000B41F8">
            <w:pPr>
              <w:numPr>
                <w:ilvl w:val="1"/>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La réalisation de l’inventaire des matériels de la chaîne du froid, de la consolidation du plan logistique et l’élaboration des plans de distribution des équipements de la chaîne du froid, des vaccins, des outils de gestion et de communication et des intrants ;</w:t>
            </w:r>
          </w:p>
          <w:p w14:paraId="2AF69505" w14:textId="77777777" w:rsidR="00F14C7D" w:rsidRPr="007C40D6" w:rsidRDefault="00F14C7D" w:rsidP="000B41F8">
            <w:pPr>
              <w:spacing w:line="360" w:lineRule="auto"/>
              <w:ind w:left="450"/>
              <w:contextualSpacing/>
              <w:jc w:val="both"/>
              <w:rPr>
                <w:rFonts w:ascii="Calibri" w:eastAsia="Arial Unicode MS" w:hAnsi="Calibri" w:cs="Calibri"/>
                <w:color w:val="auto"/>
                <w:lang w:val="fr-FR"/>
              </w:rPr>
            </w:pPr>
          </w:p>
          <w:p w14:paraId="50BFBCE7" w14:textId="77777777" w:rsidR="00F14C7D" w:rsidRPr="007C40D6" w:rsidRDefault="00F14C7D" w:rsidP="000B41F8">
            <w:pPr>
              <w:numPr>
                <w:ilvl w:val="1"/>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La mise à jour des outils de la vaccination contre COVI-19 et la formation des acteurs dans le domaine de la gestion des vaccins et intrants ;</w:t>
            </w:r>
          </w:p>
          <w:p w14:paraId="66BECCD2"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40C48B80" w14:textId="77777777" w:rsidR="00F14C7D" w:rsidRPr="007C40D6" w:rsidRDefault="00F14C7D" w:rsidP="000B41F8">
            <w:pPr>
              <w:numPr>
                <w:ilvl w:val="1"/>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La compilation des données et l’élaboration des rapports sur l’utilisation des vaccins et les fiches de destruction des déchets ;</w:t>
            </w:r>
          </w:p>
          <w:p w14:paraId="4F2886F7"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60CE86EC" w14:textId="77777777" w:rsidR="00F14C7D" w:rsidRPr="007C40D6" w:rsidRDefault="00F14C7D" w:rsidP="000B41F8">
            <w:pPr>
              <w:numPr>
                <w:ilvl w:val="1"/>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Assurer le stockage adéquat des vaccins et des produits consommables à chaque niveau de la chaîne d’approvisionnement ;</w:t>
            </w:r>
          </w:p>
          <w:p w14:paraId="6E1AF9BA"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1BEB474A" w14:textId="77777777" w:rsidR="00F14C7D" w:rsidRPr="007C40D6" w:rsidRDefault="00F14C7D" w:rsidP="000B41F8">
            <w:pPr>
              <w:numPr>
                <w:ilvl w:val="1"/>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L’élaboration des rapports sur les stocks de vaccins lors de la soumission de demandes de vaccins supplémentaires ;</w:t>
            </w:r>
          </w:p>
          <w:p w14:paraId="2C1A98F5"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136AB5E4" w14:textId="77777777" w:rsidR="00F14C7D" w:rsidRPr="007C40D6" w:rsidRDefault="00F14C7D" w:rsidP="000B41F8">
            <w:pPr>
              <w:numPr>
                <w:ilvl w:val="1"/>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 xml:space="preserve">Coordonner avec les partenaires afin de mettre en œuvre les solutions logistiques appropriées pour assurer la </w:t>
            </w:r>
            <w:r w:rsidRPr="007C40D6">
              <w:rPr>
                <w:rFonts w:ascii="Calibri" w:eastAsia="Arial Unicode MS" w:hAnsi="Calibri" w:cs="Calibri"/>
                <w:color w:val="auto"/>
                <w:lang w:val="fr-FR"/>
              </w:rPr>
              <w:lastRenderedPageBreak/>
              <w:t>disponibilité des vaccins dans les zones difficiles à atteindre ;</w:t>
            </w:r>
          </w:p>
          <w:p w14:paraId="7FD098DB"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00851022" w14:textId="77777777" w:rsidR="00F14C7D" w:rsidRPr="007C40D6" w:rsidRDefault="00F14C7D" w:rsidP="000B41F8">
            <w:pPr>
              <w:numPr>
                <w:ilvl w:val="1"/>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Appuyer le pays pour la mise à jour de façon régulière de tous les outils de gestion (rapport de réception des vaccins, SMT et autres) ;</w:t>
            </w:r>
          </w:p>
          <w:p w14:paraId="0BC8A486"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2B5C56B0" w14:textId="77777777" w:rsidR="00F14C7D" w:rsidRPr="007C40D6" w:rsidRDefault="00F14C7D" w:rsidP="000B41F8">
            <w:pPr>
              <w:spacing w:line="360" w:lineRule="auto"/>
              <w:ind w:left="90"/>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Fournir des rapports fréquents et réguliers sur tous les aspects de la gestion des vaccins, de la logistique de la chaîne du froid ;</w:t>
            </w:r>
          </w:p>
          <w:p w14:paraId="10767126" w14:textId="77777777" w:rsidR="00F14C7D" w:rsidRPr="007C40D6" w:rsidRDefault="00F14C7D" w:rsidP="000B41F8">
            <w:pPr>
              <w:pStyle w:val="ListParagraph"/>
              <w:spacing w:line="360" w:lineRule="auto"/>
              <w:rPr>
                <w:rFonts w:ascii="Calibri" w:eastAsia="Arial Unicode MS" w:hAnsi="Calibri" w:cs="Calibri"/>
                <w:color w:val="auto"/>
                <w:lang w:val="fr-FR"/>
              </w:rPr>
            </w:pPr>
          </w:p>
          <w:p w14:paraId="2ADF7A69" w14:textId="77777777" w:rsidR="00F14C7D" w:rsidRPr="007C40D6" w:rsidRDefault="00F14C7D" w:rsidP="000B41F8">
            <w:pPr>
              <w:spacing w:line="360" w:lineRule="auto"/>
              <w:ind w:left="630"/>
              <w:contextualSpacing/>
              <w:jc w:val="both"/>
              <w:rPr>
                <w:rFonts w:ascii="Calibri" w:eastAsia="Arial Unicode MS" w:hAnsi="Calibri" w:cs="Calibri"/>
                <w:color w:val="auto"/>
                <w:lang w:val="fr-FR"/>
              </w:rPr>
            </w:pPr>
          </w:p>
          <w:p w14:paraId="5A67E7CC" w14:textId="77777777" w:rsidR="00F14C7D" w:rsidRPr="007C40D6" w:rsidRDefault="00F14C7D" w:rsidP="000B41F8">
            <w:pPr>
              <w:numPr>
                <w:ilvl w:val="0"/>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Faire le suivi des stocks des vaccins et intrants de vaccination contre COVID-19 et ceux de routine ;</w:t>
            </w:r>
          </w:p>
          <w:p w14:paraId="5F34508A"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7502B4F7"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03E56B15" w14:textId="77777777" w:rsidR="00F14C7D" w:rsidRPr="007C40D6" w:rsidRDefault="00F14C7D" w:rsidP="000B41F8">
            <w:pPr>
              <w:numPr>
                <w:ilvl w:val="0"/>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Suivre l’évolution des indicateurs de gestion des stocks, des équipements et intrants de lutte contre COVID 19 ;</w:t>
            </w:r>
          </w:p>
          <w:p w14:paraId="1349C824"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108FD9CF"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79A38DAC" w14:textId="77777777" w:rsidR="00F14C7D" w:rsidRPr="007C40D6" w:rsidRDefault="00F14C7D" w:rsidP="000B41F8">
            <w:pPr>
              <w:numPr>
                <w:ilvl w:val="0"/>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Exécuter d’autres taches selon les besoins de la Direction de la Vaccination et Logistique (DVL)</w:t>
            </w:r>
          </w:p>
          <w:p w14:paraId="127EF786" w14:textId="77777777" w:rsidR="00F14C7D" w:rsidRPr="007C40D6" w:rsidRDefault="00F14C7D" w:rsidP="000B41F8">
            <w:pPr>
              <w:numPr>
                <w:ilvl w:val="0"/>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 xml:space="preserve">Soutenir les équipes d’évaluation de la vaccination contre COVID-19 en leur fournissant des informations sur la gestion des vaccins, la logistique et la chaîne du froid. </w:t>
            </w:r>
          </w:p>
          <w:p w14:paraId="2BEA82DB"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5EAAE7B8" w14:textId="77777777" w:rsidR="00F14C7D" w:rsidRPr="007C40D6" w:rsidRDefault="00F14C7D" w:rsidP="000B41F8">
            <w:pPr>
              <w:spacing w:line="360" w:lineRule="auto"/>
              <w:contextualSpacing/>
              <w:jc w:val="both"/>
              <w:rPr>
                <w:rFonts w:ascii="Calibri" w:eastAsia="Arial Unicode MS" w:hAnsi="Calibri" w:cs="Calibri"/>
                <w:color w:val="auto"/>
                <w:lang w:val="fr-FR"/>
              </w:rPr>
            </w:pPr>
          </w:p>
          <w:p w14:paraId="5D8867B7" w14:textId="77777777" w:rsidR="00F14C7D" w:rsidRPr="007C40D6" w:rsidRDefault="00F14C7D" w:rsidP="000B41F8">
            <w:pPr>
              <w:numPr>
                <w:ilvl w:val="0"/>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 xml:space="preserve">Entreprendre d’autres tâches et responsabilités, à la demande des </w:t>
            </w:r>
            <w:r w:rsidRPr="007C40D6">
              <w:rPr>
                <w:rFonts w:ascii="Calibri" w:eastAsia="Arial Unicode MS" w:hAnsi="Calibri" w:cs="Calibri"/>
                <w:color w:val="auto"/>
                <w:lang w:val="fr-FR"/>
              </w:rPr>
              <w:lastRenderedPageBreak/>
              <w:t>responsables de bureaux de pays ou de bureaux régionaux et d’autres partenaires, afin de contribuer au succès de la vaccination contre COVID-19.</w:t>
            </w:r>
          </w:p>
          <w:p w14:paraId="54FFCA92" w14:textId="77777777" w:rsidR="00F14C7D" w:rsidRDefault="00F14C7D" w:rsidP="000B41F8">
            <w:pPr>
              <w:spacing w:line="360" w:lineRule="auto"/>
              <w:contextualSpacing/>
              <w:jc w:val="both"/>
              <w:rPr>
                <w:rFonts w:asciiTheme="minorHAnsi" w:eastAsia="Calibri" w:hAnsiTheme="minorHAnsi" w:cstheme="minorHAnsi"/>
                <w:lang w:val="fr-FR"/>
              </w:rPr>
            </w:pPr>
          </w:p>
          <w:p w14:paraId="740B1CE0" w14:textId="77777777" w:rsidR="00F14C7D" w:rsidRPr="00A97CD0" w:rsidRDefault="00F14C7D" w:rsidP="000B41F8">
            <w:pPr>
              <w:spacing w:line="360" w:lineRule="auto"/>
              <w:contextualSpacing/>
              <w:jc w:val="both"/>
              <w:rPr>
                <w:rFonts w:asciiTheme="minorHAnsi" w:eastAsia="Calibri" w:hAnsiTheme="minorHAnsi" w:cstheme="minorHAnsi"/>
                <w:lang w:val="fr-FR"/>
              </w:rPr>
            </w:pPr>
          </w:p>
          <w:p w14:paraId="695FB568" w14:textId="77777777" w:rsidR="00F14C7D" w:rsidRDefault="00F14C7D" w:rsidP="000B41F8">
            <w:pPr>
              <w:numPr>
                <w:ilvl w:val="0"/>
                <w:numId w:val="26"/>
              </w:numPr>
              <w:spacing w:line="360" w:lineRule="auto"/>
              <w:contextualSpacing/>
              <w:jc w:val="both"/>
              <w:rPr>
                <w:rFonts w:asciiTheme="minorHAnsi" w:eastAsia="Calibri" w:hAnsiTheme="minorHAnsi" w:cstheme="minorHAnsi"/>
                <w:lang w:val="fr-FR"/>
              </w:rPr>
            </w:pPr>
            <w:r w:rsidRPr="00A97CD0">
              <w:rPr>
                <w:rFonts w:asciiTheme="minorHAnsi" w:eastAsia="Calibri" w:hAnsiTheme="minorHAnsi" w:cstheme="minorHAnsi"/>
                <w:lang w:val="fr-FR"/>
              </w:rPr>
              <w:t>Contribuer à la rédaction des SITREPS et des bulletins ;</w:t>
            </w:r>
          </w:p>
          <w:p w14:paraId="17BF56B0" w14:textId="77777777" w:rsidR="00F14C7D" w:rsidRDefault="00F14C7D" w:rsidP="000B41F8">
            <w:pPr>
              <w:spacing w:line="360" w:lineRule="auto"/>
              <w:contextualSpacing/>
              <w:jc w:val="both"/>
              <w:rPr>
                <w:rFonts w:asciiTheme="minorHAnsi" w:eastAsia="Calibri" w:hAnsiTheme="minorHAnsi" w:cstheme="minorHAnsi"/>
                <w:lang w:val="fr-FR"/>
              </w:rPr>
            </w:pPr>
          </w:p>
          <w:p w14:paraId="226D53BD" w14:textId="77777777" w:rsidR="00F14C7D" w:rsidRPr="00A97CD0" w:rsidRDefault="00F14C7D" w:rsidP="000B41F8">
            <w:pPr>
              <w:spacing w:line="360" w:lineRule="auto"/>
              <w:contextualSpacing/>
              <w:jc w:val="both"/>
              <w:rPr>
                <w:rFonts w:asciiTheme="minorHAnsi" w:eastAsia="Calibri" w:hAnsiTheme="minorHAnsi" w:cstheme="minorHAnsi"/>
                <w:lang w:val="fr-FR"/>
              </w:rPr>
            </w:pPr>
          </w:p>
          <w:p w14:paraId="57323D2B" w14:textId="77777777" w:rsidR="00F14C7D" w:rsidRDefault="00F14C7D" w:rsidP="000B41F8">
            <w:pPr>
              <w:numPr>
                <w:ilvl w:val="0"/>
                <w:numId w:val="26"/>
              </w:numPr>
              <w:spacing w:line="360" w:lineRule="auto"/>
              <w:contextualSpacing/>
              <w:jc w:val="both"/>
              <w:rPr>
                <w:rFonts w:asciiTheme="minorHAnsi" w:eastAsia="Calibri" w:hAnsiTheme="minorHAnsi" w:cstheme="minorHAnsi"/>
                <w:lang w:val="fr-FR"/>
              </w:rPr>
            </w:pPr>
            <w:r w:rsidRPr="00A97CD0">
              <w:rPr>
                <w:rFonts w:asciiTheme="minorHAnsi" w:eastAsia="Calibri" w:hAnsiTheme="minorHAnsi" w:cstheme="minorHAnsi"/>
                <w:lang w:val="fr-FR"/>
              </w:rPr>
              <w:t>Préparez des rapports selon les exigences des différentes initiatives en appui à la vaccination contre COVID-19</w:t>
            </w:r>
            <w:r>
              <w:rPr>
                <w:rFonts w:asciiTheme="minorHAnsi" w:eastAsia="Calibri" w:hAnsiTheme="minorHAnsi" w:cstheme="minorHAnsi"/>
                <w:lang w:val="fr-FR"/>
              </w:rPr>
              <w:t> ;</w:t>
            </w:r>
          </w:p>
          <w:p w14:paraId="3D618DB6" w14:textId="77777777" w:rsidR="00F14C7D" w:rsidRDefault="00F14C7D" w:rsidP="000B41F8">
            <w:pPr>
              <w:spacing w:line="360" w:lineRule="auto"/>
              <w:contextualSpacing/>
              <w:jc w:val="both"/>
              <w:rPr>
                <w:rFonts w:asciiTheme="minorHAnsi" w:eastAsia="Calibri" w:hAnsiTheme="minorHAnsi" w:cstheme="minorHAnsi"/>
                <w:lang w:val="fr-FR"/>
              </w:rPr>
            </w:pPr>
          </w:p>
          <w:p w14:paraId="628658F4" w14:textId="77777777" w:rsidR="00F14C7D" w:rsidRPr="00A97CD0" w:rsidRDefault="00F14C7D" w:rsidP="000B41F8">
            <w:pPr>
              <w:spacing w:line="360" w:lineRule="auto"/>
              <w:contextualSpacing/>
              <w:jc w:val="both"/>
              <w:rPr>
                <w:rFonts w:asciiTheme="minorHAnsi" w:eastAsia="Calibri" w:hAnsiTheme="minorHAnsi" w:cstheme="minorHAnsi"/>
                <w:lang w:val="fr-FR"/>
              </w:rPr>
            </w:pPr>
          </w:p>
          <w:p w14:paraId="570F80AD" w14:textId="77777777" w:rsidR="00F14C7D" w:rsidRPr="00922632" w:rsidRDefault="00F14C7D" w:rsidP="000B41F8">
            <w:pPr>
              <w:ind w:left="12" w:hanging="12"/>
              <w:rPr>
                <w:rFonts w:ascii="Calibri" w:eastAsia="Arial Unicode MS" w:hAnsi="Calibri" w:cs="Calibri"/>
                <w:color w:val="auto"/>
                <w:lang w:val="fr-FR"/>
              </w:rPr>
            </w:pPr>
            <w:r w:rsidRPr="00A97CD0">
              <w:rPr>
                <w:rFonts w:asciiTheme="minorHAnsi" w:eastAsia="Calibri" w:hAnsiTheme="minorHAnsi" w:cstheme="minorHAnsi"/>
                <w:lang w:val="fr-FR"/>
              </w:rPr>
              <w:t>Soutenir globalement les équipes du pays dans le cadre des activités de COVAX facility</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8C8463E" w14:textId="77777777" w:rsidR="00F14C7D" w:rsidRPr="00030973" w:rsidRDefault="00F14C7D" w:rsidP="000B41F8">
            <w:pPr>
              <w:jc w:val="both"/>
              <w:rPr>
                <w:rFonts w:ascii="Calibri" w:eastAsia="Arial Unicode MS" w:hAnsi="Calibri" w:cs="Calibri"/>
                <w:color w:val="auto"/>
                <w:lang w:val="fr-FR"/>
              </w:rPr>
            </w:pPr>
            <w:r w:rsidRPr="00030973">
              <w:rPr>
                <w:rFonts w:ascii="Calibri" w:eastAsia="Arial Unicode MS" w:hAnsi="Calibri" w:cs="Calibri"/>
                <w:b/>
                <w:bCs/>
                <w:color w:val="auto"/>
                <w:lang w:val="fr-FR"/>
              </w:rPr>
              <w:lastRenderedPageBreak/>
              <w:t>Livrable 2</w:t>
            </w:r>
            <w:r w:rsidRPr="00030973">
              <w:rPr>
                <w:rFonts w:ascii="Calibri" w:eastAsia="Arial Unicode MS" w:hAnsi="Calibri" w:cs="Calibri"/>
                <w:color w:val="auto"/>
                <w:lang w:val="fr-FR"/>
              </w:rPr>
              <w:t> : Rapports d’activités (un rapport mensuel et quatre rapports hebdomadaires) prenant en compte les éléments ci-après :</w:t>
            </w:r>
          </w:p>
          <w:p w14:paraId="063B6064" w14:textId="77777777" w:rsidR="00F14C7D" w:rsidRPr="00030973" w:rsidRDefault="00F14C7D" w:rsidP="000B41F8">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t>Rapport de soutien au partenaire pour planifier, recevoir, stocker, distribuer et consommer efficacement les vaccins COVID-19 ;</w:t>
            </w:r>
          </w:p>
          <w:p w14:paraId="2EED81B8" w14:textId="77777777" w:rsidR="00F14C7D" w:rsidRPr="00030973" w:rsidRDefault="00F14C7D" w:rsidP="000B41F8">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t>Cartographie des flux de données et des outils d'inventaire des vaccins, et préparation de plans d'amélioration/expansion ;</w:t>
            </w:r>
          </w:p>
          <w:p w14:paraId="68963BD2" w14:textId="77777777" w:rsidR="00F14C7D" w:rsidRPr="00030973" w:rsidRDefault="00F14C7D" w:rsidP="000B41F8">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t>Point du fonctionnement des centres de vaccination contre le COVID-19 dans le pays ;</w:t>
            </w:r>
          </w:p>
          <w:p w14:paraId="6681C82B" w14:textId="77777777" w:rsidR="00F14C7D" w:rsidRPr="00030973" w:rsidRDefault="00F14C7D" w:rsidP="000B41F8">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t>Quatre rapports hebdomadaires de mise en œuvre de la vaccination contre le COVID-19 dans le pays avec des données actualisées sur les stocks, dates de péremption, pertes et défis opérationnels, une analyse des données de consommation et de gestion des vaccins pour chaque niveau et les indicateurs de performance de gestion logistique ;</w:t>
            </w:r>
          </w:p>
          <w:p w14:paraId="1BE91482" w14:textId="77777777" w:rsidR="00F14C7D" w:rsidRPr="00922632" w:rsidRDefault="00F14C7D" w:rsidP="000B41F8">
            <w:pPr>
              <w:rPr>
                <w:rFonts w:ascii="Calibri" w:eastAsia="Arial Unicode MS" w:hAnsi="Calibri" w:cs="Calibri"/>
                <w:color w:val="auto"/>
                <w:lang w:val="fr-FR"/>
              </w:rPr>
            </w:pPr>
            <w:r w:rsidRPr="00030973">
              <w:rPr>
                <w:rFonts w:ascii="Calibri" w:eastAsia="Arial Unicode MS" w:hAnsi="Calibri" w:cs="Calibri"/>
                <w:color w:val="auto"/>
                <w:lang w:val="fr-FR"/>
              </w:rPr>
              <w:t>Toutes autres activités menées, les réussites et les enseignements tirés.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C46E81" w14:textId="77777777" w:rsidR="00F14C7D" w:rsidRPr="00273D55" w:rsidRDefault="00F14C7D" w:rsidP="000B41F8">
            <w:pPr>
              <w:spacing w:before="60" w:after="60" w:line="240" w:lineRule="auto"/>
              <w:rPr>
                <w:rFonts w:ascii="Calibri" w:eastAsia="Arial Unicode MS" w:hAnsi="Calibri" w:cs="Calibri"/>
                <w:color w:val="auto"/>
                <w:highlight w:val="green"/>
                <w:lang w:val="en-AU"/>
              </w:rPr>
            </w:pPr>
            <w:r w:rsidRPr="00AA7D47">
              <w:rPr>
                <w:rFonts w:ascii="Calibri" w:eastAsia="Arial Unicode MS" w:hAnsi="Calibri" w:cs="Calibri"/>
                <w:color w:val="auto"/>
                <w:lang w:val="fr-FR"/>
              </w:rPr>
              <w:t>31 JUILLET 2022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2D42FC" w14:textId="6B00FA8E" w:rsidR="00F14C7D" w:rsidRPr="0073454A" w:rsidRDefault="00F14C7D" w:rsidP="000B41F8">
            <w:pPr>
              <w:jc w:val="both"/>
              <w:rPr>
                <w:rFonts w:ascii="Calibri" w:eastAsia="Arial Unicode MS" w:hAnsi="Calibri" w:cs="Calibri"/>
                <w:color w:val="auto"/>
                <w:lang w:val="fr-FR"/>
              </w:rPr>
            </w:pPr>
          </w:p>
        </w:tc>
      </w:tr>
      <w:tr w:rsidR="009862FD" w:rsidRPr="007613B3" w14:paraId="1A05D2D8" w14:textId="77777777" w:rsidTr="009862FD">
        <w:trPr>
          <w:trHeight w:val="368"/>
        </w:trPr>
        <w:tc>
          <w:tcPr>
            <w:tcW w:w="3600" w:type="dxa"/>
            <w:vMerge/>
            <w:tcBorders>
              <w:left w:val="single" w:sz="4" w:space="0" w:color="auto"/>
              <w:right w:val="single" w:sz="4" w:space="0" w:color="auto"/>
            </w:tcBorders>
            <w:shd w:val="clear" w:color="auto" w:fill="auto"/>
            <w:noWrap/>
          </w:tcPr>
          <w:p w14:paraId="762E7352" w14:textId="77777777" w:rsidR="00F14C7D" w:rsidRPr="007613B3" w:rsidRDefault="00F14C7D" w:rsidP="000B41F8">
            <w:pPr>
              <w:ind w:left="12" w:hanging="12"/>
              <w:rPr>
                <w:rFonts w:ascii="Calibri" w:eastAsia="Arial Unicode MS" w:hAnsi="Calibri" w:cs="Calibri"/>
                <w:color w:val="auto"/>
                <w:lang w:val="en-A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F0B0E37" w14:textId="77777777" w:rsidR="00F14C7D" w:rsidRPr="007E7996" w:rsidRDefault="00F14C7D" w:rsidP="000B41F8">
            <w:pPr>
              <w:jc w:val="both"/>
              <w:rPr>
                <w:rFonts w:ascii="Calibri" w:eastAsia="Arial Unicode MS" w:hAnsi="Calibri" w:cs="Calibri"/>
                <w:color w:val="auto"/>
                <w:lang w:val="fr-FR"/>
              </w:rPr>
            </w:pPr>
            <w:r w:rsidRPr="007E7996">
              <w:rPr>
                <w:rFonts w:ascii="Calibri" w:eastAsia="Arial Unicode MS" w:hAnsi="Calibri" w:cs="Calibri"/>
                <w:b/>
                <w:bCs/>
                <w:color w:val="auto"/>
                <w:lang w:val="fr-FR"/>
              </w:rPr>
              <w:t>Livrable 3</w:t>
            </w:r>
            <w:r w:rsidRPr="007E7996">
              <w:rPr>
                <w:rFonts w:ascii="Calibri" w:eastAsia="Arial Unicode MS" w:hAnsi="Calibri" w:cs="Calibri"/>
                <w:color w:val="auto"/>
                <w:lang w:val="fr-FR"/>
              </w:rPr>
              <w:t> : Rapports d’activités (un rapport mensuel et quatre rapports hebdomadaires) prenant en compte les éléments ci-après :</w:t>
            </w:r>
          </w:p>
          <w:p w14:paraId="162D56E2"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 xml:space="preserve">Point sur l’évaluation du système de suivi et les outils utilisés pour le COVID-19 et </w:t>
            </w:r>
            <w:proofErr w:type="gramStart"/>
            <w:r w:rsidRPr="007E7996">
              <w:rPr>
                <w:rFonts w:ascii="Calibri" w:eastAsia="Arial Unicode MS" w:hAnsi="Calibri" w:cs="Calibri"/>
                <w:color w:val="auto"/>
                <w:lang w:val="fr-FR"/>
              </w:rPr>
              <w:t>la</w:t>
            </w:r>
            <w:proofErr w:type="gramEnd"/>
            <w:r w:rsidRPr="007E7996">
              <w:rPr>
                <w:rFonts w:ascii="Calibri" w:eastAsia="Arial Unicode MS" w:hAnsi="Calibri" w:cs="Calibri"/>
                <w:color w:val="auto"/>
                <w:lang w:val="fr-FR"/>
              </w:rPr>
              <w:t xml:space="preserve"> Routine/Prise de décision quant à leur utilisation et/ou expansion ;</w:t>
            </w:r>
          </w:p>
          <w:p w14:paraId="646ADC2A"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Point du suivi de l’approvisionnement du pays en vaccins, intrants de vaccination contre le COVID-19, équipements de Chaine Du Froid ;</w:t>
            </w:r>
          </w:p>
          <w:p w14:paraId="728D1CB5"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Déploiement des PONs, guides et outils pertinents ;</w:t>
            </w:r>
          </w:p>
          <w:p w14:paraId="2A9349B6"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Quatre rapports hebdomadaires de mise en œuvre de la vaccination contre le COVID-19 dans le pays avec des données actualisées sur les stocks, dates de péremption, pertes et défis opérationnels, une analyse des données de consommation et de gestion des vaccins pour chaque niveau et les indicateurs de performance de gestion logistique ;</w:t>
            </w:r>
          </w:p>
          <w:p w14:paraId="6F7F8BA1" w14:textId="77777777" w:rsidR="00F14C7D" w:rsidRPr="008C3478" w:rsidRDefault="00F14C7D" w:rsidP="000B41F8">
            <w:pPr>
              <w:rPr>
                <w:rFonts w:ascii="Calibri" w:eastAsia="Arial Unicode MS" w:hAnsi="Calibri" w:cs="Calibri"/>
                <w:color w:val="auto"/>
                <w:lang w:val="fr-FR"/>
              </w:rPr>
            </w:pPr>
            <w:r w:rsidRPr="007E7996">
              <w:rPr>
                <w:rFonts w:ascii="Calibri" w:eastAsia="Arial Unicode MS" w:hAnsi="Calibri" w:cs="Calibri"/>
                <w:color w:val="auto"/>
                <w:lang w:val="fr-FR"/>
              </w:rPr>
              <w:lastRenderedPageBreak/>
              <w:t>Toutes autres activités menées, les réussites et les enseignements tirés.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1C8864" w14:textId="77777777" w:rsidR="00F14C7D" w:rsidRPr="007613B3" w:rsidRDefault="00F14C7D" w:rsidP="000B41F8">
            <w:pPr>
              <w:spacing w:before="60" w:after="60" w:line="240" w:lineRule="auto"/>
              <w:rPr>
                <w:rFonts w:ascii="Calibri" w:eastAsia="Arial Unicode MS" w:hAnsi="Calibri" w:cs="Calibri"/>
                <w:color w:val="auto"/>
                <w:lang w:val="en-AU"/>
              </w:rPr>
            </w:pPr>
            <w:r w:rsidRPr="005C19A4">
              <w:rPr>
                <w:rFonts w:ascii="Calibri" w:eastAsia="Arial Unicode MS" w:hAnsi="Calibri" w:cs="Calibri"/>
                <w:color w:val="auto"/>
                <w:lang w:val="fr-FR"/>
              </w:rPr>
              <w:lastRenderedPageBreak/>
              <w:t>31 AOUT 2022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1E0080" w14:textId="77777777" w:rsidR="00F14C7D" w:rsidRPr="007613B3" w:rsidRDefault="00F14C7D" w:rsidP="000B41F8">
            <w:pPr>
              <w:spacing w:before="60" w:after="60"/>
              <w:rPr>
                <w:rFonts w:ascii="Calibri" w:eastAsia="Arial Unicode MS" w:hAnsi="Calibri" w:cs="Calibri"/>
                <w:color w:val="auto"/>
                <w:lang w:val="en-AU"/>
              </w:rPr>
            </w:pPr>
          </w:p>
        </w:tc>
      </w:tr>
      <w:tr w:rsidR="009862FD" w:rsidRPr="007613B3" w14:paraId="56A19E70" w14:textId="77777777" w:rsidTr="009862FD">
        <w:trPr>
          <w:trHeight w:val="368"/>
        </w:trPr>
        <w:tc>
          <w:tcPr>
            <w:tcW w:w="3600" w:type="dxa"/>
            <w:vMerge/>
            <w:tcBorders>
              <w:left w:val="single" w:sz="4" w:space="0" w:color="auto"/>
              <w:right w:val="single" w:sz="4" w:space="0" w:color="auto"/>
            </w:tcBorders>
            <w:shd w:val="clear" w:color="auto" w:fill="auto"/>
            <w:noWrap/>
          </w:tcPr>
          <w:p w14:paraId="6C765F9D" w14:textId="77777777" w:rsidR="00F14C7D" w:rsidRPr="007613B3" w:rsidRDefault="00F14C7D" w:rsidP="000B41F8">
            <w:pPr>
              <w:ind w:left="12" w:hanging="12"/>
              <w:rPr>
                <w:rFonts w:ascii="Calibri" w:eastAsia="Arial Unicode MS" w:hAnsi="Calibri" w:cs="Calibri"/>
                <w:color w:val="auto"/>
                <w:lang w:val="en-A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43F0C9F" w14:textId="77777777" w:rsidR="00F14C7D" w:rsidRPr="007E7996" w:rsidRDefault="00F14C7D" w:rsidP="000B41F8">
            <w:pPr>
              <w:jc w:val="both"/>
              <w:rPr>
                <w:rFonts w:ascii="Calibri" w:eastAsia="Arial Unicode MS" w:hAnsi="Calibri" w:cs="Calibri"/>
                <w:color w:val="auto"/>
                <w:lang w:val="fr-FR"/>
              </w:rPr>
            </w:pPr>
            <w:r w:rsidRPr="0025455C">
              <w:rPr>
                <w:rFonts w:asciiTheme="minorHAnsi" w:eastAsia="Calibri" w:hAnsiTheme="minorHAnsi" w:cstheme="minorHAnsi"/>
                <w:b/>
                <w:bCs/>
                <w:lang w:val="fr-FR"/>
              </w:rPr>
              <w:t>Livrable 4</w:t>
            </w:r>
            <w:r w:rsidRPr="00A97CD0">
              <w:rPr>
                <w:rFonts w:asciiTheme="minorHAnsi" w:eastAsia="Calibri" w:hAnsiTheme="minorHAnsi" w:cstheme="minorHAnsi"/>
                <w:lang w:val="fr-FR"/>
              </w:rPr>
              <w:t xml:space="preserve"> : </w:t>
            </w:r>
            <w:r w:rsidRPr="007E7996">
              <w:rPr>
                <w:rFonts w:ascii="Calibri" w:eastAsia="Arial Unicode MS" w:hAnsi="Calibri" w:cs="Calibri"/>
                <w:color w:val="auto"/>
                <w:lang w:val="fr-FR"/>
              </w:rPr>
              <w:t>Rapports d’activités prenant en compte les éléments ci-après :</w:t>
            </w:r>
          </w:p>
          <w:p w14:paraId="51D3DBBE" w14:textId="77777777" w:rsidR="00F14C7D" w:rsidRPr="005123CB" w:rsidRDefault="00F14C7D" w:rsidP="000B41F8">
            <w:pPr>
              <w:numPr>
                <w:ilvl w:val="0"/>
                <w:numId w:val="27"/>
              </w:numPr>
              <w:spacing w:line="240" w:lineRule="auto"/>
              <w:ind w:left="720"/>
              <w:jc w:val="both"/>
              <w:rPr>
                <w:rFonts w:ascii="Calibri" w:eastAsia="Arial Unicode MS" w:hAnsi="Calibri" w:cs="Calibri"/>
                <w:color w:val="auto"/>
                <w:lang w:val="fr-FR"/>
              </w:rPr>
            </w:pPr>
            <w:r w:rsidRPr="00030973">
              <w:rPr>
                <w:rFonts w:ascii="Calibri" w:eastAsia="Arial Unicode MS" w:hAnsi="Calibri" w:cs="Calibri"/>
                <w:color w:val="auto"/>
                <w:lang w:val="fr-FR"/>
              </w:rPr>
              <w:t>Rapport de soutien au partenaire pour planifier, recevoir, stocker, distribuer et consommer efficacement les vaccins COVID-19 ;</w:t>
            </w:r>
          </w:p>
          <w:p w14:paraId="47A1F9C4"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Point sur l’identification des personnes ressources et des besoins en matériel et équipements des dépôts en rapport avec le déploiement de l’outil SMT ;</w:t>
            </w:r>
          </w:p>
          <w:p w14:paraId="2BF7A3B4"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Point du suivi de l’approvisionnement du pays en vaccins, intrants de vaccination contre le COVID-19 et équipement de Chaine Du Froid ;</w:t>
            </w:r>
          </w:p>
          <w:p w14:paraId="564FFF84"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 xml:space="preserve">Quatre rapports hebdomadaires de mise en œuvre de la vaccination contre le COVID-19 dans le pays avec des données actualisées sur les stocks, dates de péremption, pertes et défis opérationnels, une analyse des données de consommation et de gestion des vaccins pour chaque niveau et les indicateurs de performance de gestion logistique ; </w:t>
            </w:r>
          </w:p>
          <w:p w14:paraId="560A3D99" w14:textId="77777777" w:rsidR="00F14C7D" w:rsidRPr="00BB79B4" w:rsidRDefault="00F14C7D" w:rsidP="000B41F8">
            <w:pPr>
              <w:ind w:left="12" w:hanging="12"/>
              <w:rPr>
                <w:rFonts w:asciiTheme="minorHAnsi" w:eastAsia="Calibri" w:hAnsiTheme="minorHAnsi" w:cstheme="minorHAnsi"/>
                <w:lang w:val="fr-FR"/>
              </w:rPr>
            </w:pPr>
            <w:r w:rsidRPr="007E7996">
              <w:rPr>
                <w:rFonts w:ascii="Calibri" w:eastAsia="Arial Unicode MS" w:hAnsi="Calibri" w:cs="Calibri"/>
                <w:color w:val="auto"/>
                <w:lang w:val="fr-FR"/>
              </w:rPr>
              <w:t>Toutes autres activités menées, les réussites et les enseignements tirés.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E9FDD5" w14:textId="77777777" w:rsidR="00F14C7D" w:rsidRPr="007613B3" w:rsidRDefault="00F14C7D" w:rsidP="000B41F8">
            <w:pPr>
              <w:spacing w:before="60" w:after="60" w:line="240" w:lineRule="auto"/>
              <w:rPr>
                <w:rFonts w:ascii="Calibri" w:eastAsia="Arial Unicode MS" w:hAnsi="Calibri" w:cs="Calibri"/>
                <w:color w:val="auto"/>
                <w:lang w:val="en-AU"/>
              </w:rPr>
            </w:pPr>
            <w:r w:rsidRPr="00BC3722">
              <w:rPr>
                <w:rFonts w:ascii="Calibri" w:eastAsia="Arial Unicode MS" w:hAnsi="Calibri" w:cs="Calibri"/>
                <w:color w:val="auto"/>
                <w:lang w:val="fr-FR"/>
              </w:rPr>
              <w:t>30 SEPTEMBRE 2022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67A13E" w14:textId="13DF9C5C" w:rsidR="00F14C7D" w:rsidRPr="007613B3" w:rsidRDefault="00F14C7D" w:rsidP="005D0DF4">
            <w:pPr>
              <w:jc w:val="both"/>
              <w:rPr>
                <w:rFonts w:ascii="Calibri" w:eastAsia="Arial Unicode MS" w:hAnsi="Calibri" w:cs="Calibri"/>
                <w:color w:val="auto"/>
                <w:lang w:val="en-AU"/>
              </w:rPr>
            </w:pPr>
          </w:p>
        </w:tc>
      </w:tr>
      <w:tr w:rsidR="009862FD" w:rsidRPr="007613B3" w14:paraId="15D26393" w14:textId="77777777" w:rsidTr="009862FD">
        <w:trPr>
          <w:trHeight w:val="368"/>
        </w:trPr>
        <w:tc>
          <w:tcPr>
            <w:tcW w:w="3600" w:type="dxa"/>
            <w:vMerge/>
            <w:tcBorders>
              <w:left w:val="single" w:sz="4" w:space="0" w:color="auto"/>
              <w:right w:val="single" w:sz="4" w:space="0" w:color="auto"/>
            </w:tcBorders>
            <w:shd w:val="clear" w:color="auto" w:fill="auto"/>
            <w:noWrap/>
          </w:tcPr>
          <w:p w14:paraId="11482381" w14:textId="77777777" w:rsidR="00F14C7D" w:rsidRPr="007613B3" w:rsidRDefault="00F14C7D" w:rsidP="000B41F8">
            <w:pPr>
              <w:ind w:left="12" w:hanging="12"/>
              <w:rPr>
                <w:rFonts w:ascii="Calibri" w:eastAsia="Arial Unicode MS" w:hAnsi="Calibri" w:cs="Calibri"/>
                <w:color w:val="auto"/>
                <w:lang w:val="en-A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786C629" w14:textId="77777777" w:rsidR="00F14C7D" w:rsidRPr="007E7996" w:rsidRDefault="00F14C7D" w:rsidP="000B41F8">
            <w:pPr>
              <w:jc w:val="both"/>
              <w:rPr>
                <w:rFonts w:ascii="Calibri" w:eastAsia="Arial Unicode MS" w:hAnsi="Calibri" w:cs="Calibri"/>
                <w:color w:val="auto"/>
                <w:lang w:val="fr-FR"/>
              </w:rPr>
            </w:pPr>
            <w:r w:rsidRPr="007E7996">
              <w:rPr>
                <w:rFonts w:ascii="Calibri" w:eastAsia="Arial Unicode MS" w:hAnsi="Calibri" w:cs="Calibri"/>
                <w:b/>
                <w:bCs/>
                <w:color w:val="auto"/>
                <w:lang w:val="fr-FR"/>
              </w:rPr>
              <w:t>Livrable 5</w:t>
            </w:r>
            <w:r w:rsidRPr="007E7996">
              <w:rPr>
                <w:rFonts w:ascii="Calibri" w:eastAsia="Arial Unicode MS" w:hAnsi="Calibri" w:cs="Calibri"/>
                <w:color w:val="auto"/>
                <w:lang w:val="fr-FR"/>
              </w:rPr>
              <w:t> : Rapports d’activités prenant en compte les éléments ci-après :</w:t>
            </w:r>
          </w:p>
          <w:p w14:paraId="286CD283"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Tableau de bord (sur le plan logistique vaccinal) de progrès de mise en œuvre des initiatives de vaccination contre le COVID-19 dans le pays ;</w:t>
            </w:r>
          </w:p>
          <w:p w14:paraId="71D4A73B" w14:textId="77777777" w:rsidR="00F14C7D"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Point du suivi de l’approvisionnement du pays en vaccins et intrants de vaccination contre le COVID-19 et équipements de Chaine Du Froid ;</w:t>
            </w:r>
          </w:p>
          <w:p w14:paraId="062072C1"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Point sur les acquisitions et installation des équipements de la chaine de froid ;</w:t>
            </w:r>
          </w:p>
          <w:p w14:paraId="25DF1461"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 xml:space="preserve">Quatre rapports hebdomadaires de mise en œuvre de la vaccination contre le COVID-19 dans le pays avec des données actualisées sur les stocks, dates de péremption, pertes et défis opérationnels, une analyse des données de consommation et de gestion des vaccins pour chaque niveau et les indicateurs de performance de gestion logistique ; </w:t>
            </w:r>
          </w:p>
          <w:p w14:paraId="7A1DA4E7" w14:textId="77777777" w:rsidR="00F14C7D" w:rsidRPr="00AF660F" w:rsidRDefault="00F14C7D" w:rsidP="000B41F8">
            <w:pPr>
              <w:ind w:left="12" w:hanging="12"/>
              <w:rPr>
                <w:rFonts w:ascii="Calibri" w:eastAsia="Arial Unicode MS" w:hAnsi="Calibri" w:cs="Calibri"/>
                <w:color w:val="auto"/>
                <w:lang w:val="fr-FR"/>
              </w:rPr>
            </w:pPr>
            <w:r w:rsidRPr="007E7996">
              <w:rPr>
                <w:rFonts w:ascii="Calibri" w:eastAsia="Arial Unicode MS" w:hAnsi="Calibri" w:cs="Calibri"/>
                <w:color w:val="auto"/>
                <w:lang w:val="fr-FR"/>
              </w:rPr>
              <w:t>Toutes autres activités menées, les réussites et les enseignements tirés.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4C1FB0" w14:textId="0E27EF55" w:rsidR="00F14C7D" w:rsidRPr="007613B3" w:rsidRDefault="00F14C7D" w:rsidP="000B41F8">
            <w:pPr>
              <w:spacing w:before="60" w:after="60" w:line="240" w:lineRule="auto"/>
              <w:rPr>
                <w:rFonts w:ascii="Calibri" w:eastAsia="Arial Unicode MS" w:hAnsi="Calibri" w:cs="Calibri"/>
                <w:color w:val="auto"/>
                <w:lang w:val="en-AU"/>
              </w:rPr>
            </w:pPr>
            <w:r w:rsidRPr="009C7B8F">
              <w:rPr>
                <w:rFonts w:ascii="Calibri" w:eastAsia="Arial Unicode MS" w:hAnsi="Calibri" w:cs="Calibri"/>
                <w:color w:val="auto"/>
                <w:lang w:val="fr-FR"/>
              </w:rPr>
              <w:t>31 OCTOBRE</w:t>
            </w:r>
            <w:r w:rsidR="00FE7384">
              <w:rPr>
                <w:rFonts w:ascii="Calibri" w:eastAsia="Arial Unicode MS" w:hAnsi="Calibri" w:cs="Calibri"/>
                <w:color w:val="auto"/>
                <w:lang w:val="fr-FR"/>
              </w:rPr>
              <w:t xml:space="preserve"> </w:t>
            </w:r>
            <w:r w:rsidRPr="009C7B8F">
              <w:rPr>
                <w:rFonts w:ascii="Calibri" w:eastAsia="Arial Unicode MS" w:hAnsi="Calibri" w:cs="Calibri"/>
                <w:color w:val="auto"/>
                <w:lang w:val="fr-FR"/>
              </w:rPr>
              <w:t>2022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23AC18" w14:textId="77777777" w:rsidR="00F14C7D" w:rsidRPr="00A97CD0" w:rsidRDefault="00F14C7D" w:rsidP="000B41F8">
            <w:pPr>
              <w:jc w:val="both"/>
              <w:rPr>
                <w:rFonts w:asciiTheme="minorHAnsi" w:hAnsiTheme="minorHAnsi" w:cstheme="minorHAnsi"/>
                <w:caps/>
                <w:lang w:val="fr-FR"/>
              </w:rPr>
            </w:pPr>
          </w:p>
          <w:p w14:paraId="0A8DBA30" w14:textId="77777777" w:rsidR="00F14C7D" w:rsidRPr="00A97CD0" w:rsidRDefault="00F14C7D" w:rsidP="000B41F8">
            <w:pPr>
              <w:jc w:val="both"/>
              <w:rPr>
                <w:rFonts w:asciiTheme="minorHAnsi" w:hAnsiTheme="minorHAnsi" w:cstheme="minorHAnsi"/>
                <w:caps/>
                <w:lang w:val="fr-FR"/>
              </w:rPr>
            </w:pPr>
          </w:p>
          <w:p w14:paraId="7A2C7005" w14:textId="77777777" w:rsidR="00F14C7D" w:rsidRPr="007613B3" w:rsidRDefault="00F14C7D" w:rsidP="000B41F8">
            <w:pPr>
              <w:spacing w:before="60" w:after="60"/>
              <w:rPr>
                <w:rFonts w:ascii="Calibri" w:eastAsia="Arial Unicode MS" w:hAnsi="Calibri" w:cs="Calibri"/>
                <w:color w:val="auto"/>
                <w:lang w:val="en-AU"/>
              </w:rPr>
            </w:pPr>
          </w:p>
        </w:tc>
      </w:tr>
      <w:tr w:rsidR="009862FD" w:rsidRPr="007613B3" w14:paraId="08983797" w14:textId="77777777" w:rsidTr="009862FD">
        <w:trPr>
          <w:trHeight w:val="368"/>
        </w:trPr>
        <w:tc>
          <w:tcPr>
            <w:tcW w:w="3600" w:type="dxa"/>
            <w:vMerge/>
            <w:tcBorders>
              <w:left w:val="single" w:sz="4" w:space="0" w:color="auto"/>
              <w:right w:val="single" w:sz="4" w:space="0" w:color="auto"/>
            </w:tcBorders>
            <w:shd w:val="clear" w:color="auto" w:fill="auto"/>
            <w:noWrap/>
          </w:tcPr>
          <w:p w14:paraId="4342BB05" w14:textId="77777777" w:rsidR="00F14C7D" w:rsidRPr="007613B3" w:rsidRDefault="00F14C7D" w:rsidP="000B41F8">
            <w:pPr>
              <w:ind w:left="12" w:hanging="12"/>
              <w:rPr>
                <w:rFonts w:ascii="Calibri" w:eastAsia="Arial Unicode MS" w:hAnsi="Calibri" w:cs="Calibri"/>
                <w:color w:val="auto"/>
                <w:lang w:val="en-A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20D86A1" w14:textId="77777777" w:rsidR="00F14C7D" w:rsidRPr="007E7996" w:rsidRDefault="00F14C7D" w:rsidP="000B41F8">
            <w:pPr>
              <w:jc w:val="both"/>
              <w:rPr>
                <w:rFonts w:ascii="Calibri" w:eastAsia="Arial Unicode MS" w:hAnsi="Calibri" w:cs="Calibri"/>
                <w:color w:val="auto"/>
                <w:lang w:val="fr-FR"/>
              </w:rPr>
            </w:pPr>
            <w:r w:rsidRPr="00A97CD0">
              <w:rPr>
                <w:rFonts w:asciiTheme="minorHAnsi" w:eastAsia="Calibri" w:hAnsiTheme="minorHAnsi" w:cstheme="minorHAnsi"/>
                <w:b/>
                <w:bCs/>
                <w:lang w:val="fr-FR"/>
              </w:rPr>
              <w:t>Livrable 6</w:t>
            </w:r>
            <w:r w:rsidRPr="00A97CD0">
              <w:rPr>
                <w:rFonts w:asciiTheme="minorHAnsi" w:eastAsia="Calibri" w:hAnsiTheme="minorHAnsi" w:cstheme="minorHAnsi"/>
                <w:lang w:val="fr-FR"/>
              </w:rPr>
              <w:t xml:space="preserve"> : </w:t>
            </w:r>
            <w:r w:rsidRPr="007E7996">
              <w:rPr>
                <w:rFonts w:ascii="Calibri" w:eastAsia="Arial Unicode MS" w:hAnsi="Calibri" w:cs="Calibri"/>
                <w:color w:val="auto"/>
                <w:lang w:val="fr-FR"/>
              </w:rPr>
              <w:t>Rapports d’activités prenant en compte les éléments ci-après :</w:t>
            </w:r>
          </w:p>
          <w:p w14:paraId="0BF2CA33"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lastRenderedPageBreak/>
              <w:t xml:space="preserve">Point sur le suivi de la MEO des recommandations </w:t>
            </w:r>
            <w:r>
              <w:rPr>
                <w:rFonts w:ascii="Calibri" w:eastAsia="Arial Unicode MS" w:hAnsi="Calibri" w:cs="Calibri"/>
                <w:color w:val="auto"/>
                <w:lang w:val="fr-FR"/>
              </w:rPr>
              <w:t>de la e</w:t>
            </w:r>
            <w:r w:rsidRPr="007E7996">
              <w:rPr>
                <w:rFonts w:ascii="Calibri" w:eastAsia="Arial Unicode MS" w:hAnsi="Calibri" w:cs="Calibri"/>
                <w:color w:val="auto"/>
                <w:lang w:val="fr-FR"/>
              </w:rPr>
              <w:t>GEV ;</w:t>
            </w:r>
          </w:p>
          <w:p w14:paraId="7C43B5CE"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Point du suivi de l’approvisionnement du pays en vaccins et intrants de vaccination contre le COVID-19 et équipements de Chaine Du Froid ;</w:t>
            </w:r>
          </w:p>
          <w:p w14:paraId="4CA29147"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Pr>
                <w:rFonts w:ascii="Calibri" w:eastAsia="Arial Unicode MS" w:hAnsi="Calibri" w:cs="Calibri"/>
                <w:color w:val="auto"/>
                <w:lang w:val="fr-FR"/>
              </w:rPr>
              <w:t>Renforcement des capacités</w:t>
            </w:r>
            <w:r w:rsidRPr="007E7996">
              <w:rPr>
                <w:rFonts w:ascii="Calibri" w:eastAsia="Arial Unicode MS" w:hAnsi="Calibri" w:cs="Calibri"/>
                <w:color w:val="auto"/>
                <w:lang w:val="fr-FR"/>
              </w:rPr>
              <w:t xml:space="preserve"> des personnes ressources des dépôts à l’utilisation de l’outil SMT ;</w:t>
            </w:r>
          </w:p>
          <w:p w14:paraId="13AC2AEF"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 xml:space="preserve">Quatre rapports hebdomadaires de mise en œuvre de la vaccination contre le COVID-19 dans le pays avec des données actualisées sur les stocks, dates de péremption, pertes et défis opérationnels, une analyse des données de consommation et de gestion des vaccins pour chaque niveau et les indicateurs de performance de gestion logistique ; </w:t>
            </w:r>
          </w:p>
          <w:p w14:paraId="4EF7DA01" w14:textId="77777777" w:rsidR="00F14C7D" w:rsidRPr="00887D8D" w:rsidRDefault="00F14C7D" w:rsidP="000B41F8">
            <w:pPr>
              <w:ind w:left="12" w:hanging="12"/>
              <w:rPr>
                <w:rFonts w:ascii="Calibri" w:eastAsia="Arial Unicode MS" w:hAnsi="Calibri" w:cs="Calibri"/>
                <w:color w:val="auto"/>
                <w:lang w:val="fr-FR"/>
              </w:rPr>
            </w:pPr>
            <w:r w:rsidRPr="007E7996">
              <w:rPr>
                <w:rFonts w:ascii="Calibri" w:eastAsia="Arial Unicode MS" w:hAnsi="Calibri" w:cs="Calibri"/>
                <w:color w:val="auto"/>
                <w:lang w:val="fr-FR"/>
              </w:rPr>
              <w:t>Toutes autres activités menées, les réussites et les enseignements tirés.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7347A2" w14:textId="77777777" w:rsidR="00F14C7D" w:rsidRPr="0073454A" w:rsidRDefault="00F14C7D" w:rsidP="000B41F8">
            <w:pPr>
              <w:jc w:val="both"/>
              <w:rPr>
                <w:rFonts w:ascii="Calibri" w:eastAsia="Arial Unicode MS" w:hAnsi="Calibri" w:cs="Calibri"/>
                <w:color w:val="auto"/>
                <w:lang w:val="fr-FR"/>
              </w:rPr>
            </w:pPr>
            <w:r w:rsidRPr="00333AEC">
              <w:rPr>
                <w:rFonts w:ascii="Calibri" w:eastAsia="Arial Unicode MS" w:hAnsi="Calibri" w:cs="Calibri"/>
                <w:color w:val="auto"/>
                <w:lang w:val="fr-FR"/>
              </w:rPr>
              <w:lastRenderedPageBreak/>
              <w:t>30 NOVEMBRE2022</w:t>
            </w:r>
          </w:p>
          <w:p w14:paraId="028FE194" w14:textId="77777777" w:rsidR="00F14C7D" w:rsidRPr="007613B3" w:rsidRDefault="00F14C7D" w:rsidP="000B41F8">
            <w:pPr>
              <w:spacing w:before="60" w:after="60" w:line="240" w:lineRule="auto"/>
              <w:rPr>
                <w:rFonts w:ascii="Calibri" w:eastAsia="Arial Unicode MS" w:hAnsi="Calibri" w:cs="Calibri"/>
                <w:color w:val="auto"/>
                <w:lang w:val="en-A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80D7EF" w14:textId="77777777" w:rsidR="00F14C7D" w:rsidRPr="00A97CD0" w:rsidRDefault="00F14C7D" w:rsidP="000B41F8">
            <w:pPr>
              <w:jc w:val="both"/>
              <w:rPr>
                <w:rFonts w:asciiTheme="minorHAnsi" w:hAnsiTheme="minorHAnsi" w:cstheme="minorHAnsi"/>
                <w:caps/>
                <w:lang w:val="fr-FR"/>
              </w:rPr>
            </w:pPr>
          </w:p>
          <w:p w14:paraId="66E8B5ED" w14:textId="77777777" w:rsidR="00F14C7D" w:rsidRPr="007613B3" w:rsidRDefault="00F14C7D" w:rsidP="000B41F8">
            <w:pPr>
              <w:spacing w:before="60" w:after="60"/>
              <w:rPr>
                <w:rFonts w:ascii="Calibri" w:eastAsia="Arial Unicode MS" w:hAnsi="Calibri" w:cs="Calibri"/>
                <w:color w:val="auto"/>
                <w:lang w:val="en-AU"/>
              </w:rPr>
            </w:pPr>
          </w:p>
        </w:tc>
      </w:tr>
      <w:tr w:rsidR="009862FD" w:rsidRPr="007613B3" w14:paraId="4BD1CA50" w14:textId="77777777" w:rsidTr="009862FD">
        <w:trPr>
          <w:trHeight w:val="368"/>
        </w:trPr>
        <w:tc>
          <w:tcPr>
            <w:tcW w:w="3600" w:type="dxa"/>
            <w:vMerge/>
            <w:tcBorders>
              <w:left w:val="single" w:sz="4" w:space="0" w:color="auto"/>
              <w:right w:val="single" w:sz="4" w:space="0" w:color="auto"/>
            </w:tcBorders>
            <w:shd w:val="clear" w:color="auto" w:fill="auto"/>
            <w:noWrap/>
          </w:tcPr>
          <w:p w14:paraId="5299644F" w14:textId="77777777" w:rsidR="00F14C7D" w:rsidRPr="007613B3" w:rsidRDefault="00F14C7D" w:rsidP="000B41F8">
            <w:pPr>
              <w:ind w:left="12" w:hanging="12"/>
              <w:rPr>
                <w:rFonts w:ascii="Calibri" w:eastAsia="Arial Unicode MS" w:hAnsi="Calibri" w:cs="Calibri"/>
                <w:color w:val="auto"/>
                <w:lang w:val="en-A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1AA1D56" w14:textId="77777777" w:rsidR="00F14C7D" w:rsidRPr="007E7996" w:rsidRDefault="00F14C7D" w:rsidP="000B41F8">
            <w:pPr>
              <w:jc w:val="both"/>
              <w:rPr>
                <w:rFonts w:ascii="Calibri" w:eastAsia="Arial Unicode MS" w:hAnsi="Calibri" w:cs="Calibri"/>
                <w:color w:val="auto"/>
                <w:lang w:val="fr-FR"/>
              </w:rPr>
            </w:pPr>
            <w:r w:rsidRPr="007E7996">
              <w:rPr>
                <w:rFonts w:ascii="Calibri" w:eastAsia="Arial Unicode MS" w:hAnsi="Calibri" w:cs="Calibri"/>
                <w:b/>
                <w:bCs/>
                <w:color w:val="auto"/>
                <w:lang w:val="fr-FR"/>
              </w:rPr>
              <w:t>Livrable 7</w:t>
            </w:r>
            <w:r w:rsidRPr="007E7996">
              <w:rPr>
                <w:rFonts w:ascii="Calibri" w:eastAsia="Arial Unicode MS" w:hAnsi="Calibri" w:cs="Calibri"/>
                <w:color w:val="auto"/>
                <w:lang w:val="fr-FR"/>
              </w:rPr>
              <w:t> : Rapports d’activités prenant en compte les éléments ci-après :</w:t>
            </w:r>
          </w:p>
          <w:p w14:paraId="563468FF" w14:textId="77777777" w:rsidR="00F14C7D" w:rsidRPr="005913F8"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 xml:space="preserve">Point sur le suivi de la MEO des recommandations </w:t>
            </w:r>
            <w:r>
              <w:rPr>
                <w:rFonts w:ascii="Calibri" w:eastAsia="Arial Unicode MS" w:hAnsi="Calibri" w:cs="Calibri"/>
                <w:color w:val="auto"/>
                <w:lang w:val="fr-FR"/>
              </w:rPr>
              <w:t>de la e</w:t>
            </w:r>
            <w:r w:rsidRPr="007E7996">
              <w:rPr>
                <w:rFonts w:ascii="Calibri" w:eastAsia="Arial Unicode MS" w:hAnsi="Calibri" w:cs="Calibri"/>
                <w:color w:val="auto"/>
                <w:lang w:val="fr-FR"/>
              </w:rPr>
              <w:t>GEV ;</w:t>
            </w:r>
          </w:p>
          <w:p w14:paraId="33ACE909"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Point du suivi de l’approvisionnement du pays en vaccins et intrants de vaccination contre le COVID-19 et équipements de Chaine Du Froid ;</w:t>
            </w:r>
          </w:p>
          <w:p w14:paraId="0B74D56A"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Déploiement du SMT dans les dépôts ;</w:t>
            </w:r>
          </w:p>
          <w:p w14:paraId="1C2C0081"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Quatre rapports hebdomadaires de mise en œuvre de la vaccination contre le COVID-19 dans le pays avec des données actualisées sur les stocks, dates de péremption, pertes et défis opérationnels, une analyse des données de consommation et de gestion des vaccins pour chaque niveau et les indicateurs de performance de gestion logistique ;</w:t>
            </w:r>
          </w:p>
          <w:p w14:paraId="5F1C02CB" w14:textId="77777777" w:rsidR="00F14C7D" w:rsidRPr="00627536" w:rsidRDefault="00F14C7D" w:rsidP="000B41F8">
            <w:pPr>
              <w:ind w:left="12" w:hanging="12"/>
              <w:rPr>
                <w:rFonts w:ascii="Calibri" w:eastAsia="Arial Unicode MS" w:hAnsi="Calibri" w:cs="Calibri"/>
                <w:color w:val="auto"/>
                <w:lang w:val="fr-FR"/>
              </w:rPr>
            </w:pPr>
            <w:r w:rsidRPr="007E7996">
              <w:rPr>
                <w:rFonts w:ascii="Calibri" w:eastAsia="Arial Unicode MS" w:hAnsi="Calibri" w:cs="Calibri"/>
                <w:color w:val="auto"/>
                <w:lang w:val="fr-FR"/>
              </w:rPr>
              <w:t>Toutes autres activités menées, les réussites et les enseignements tirés.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A40CD9" w14:textId="77777777" w:rsidR="00F14C7D" w:rsidRPr="0073454A" w:rsidRDefault="00F14C7D" w:rsidP="000B41F8">
            <w:pPr>
              <w:jc w:val="both"/>
              <w:rPr>
                <w:rFonts w:ascii="Calibri" w:eastAsia="Arial Unicode MS" w:hAnsi="Calibri" w:cs="Calibri"/>
                <w:color w:val="auto"/>
                <w:lang w:val="fr-FR"/>
              </w:rPr>
            </w:pPr>
            <w:r w:rsidRPr="00D23C97">
              <w:rPr>
                <w:rFonts w:ascii="Calibri" w:eastAsia="Arial Unicode MS" w:hAnsi="Calibri" w:cs="Calibri"/>
                <w:color w:val="auto"/>
                <w:lang w:val="fr-FR"/>
              </w:rPr>
              <w:t>31 DECEMBRE 2022</w:t>
            </w:r>
          </w:p>
          <w:p w14:paraId="408DB846" w14:textId="77777777" w:rsidR="00F14C7D" w:rsidRPr="007613B3" w:rsidRDefault="00F14C7D" w:rsidP="000B41F8">
            <w:pPr>
              <w:spacing w:before="60" w:after="60" w:line="240" w:lineRule="auto"/>
              <w:rPr>
                <w:rFonts w:ascii="Calibri" w:eastAsia="Arial Unicode MS" w:hAnsi="Calibri" w:cs="Calibri"/>
                <w:color w:val="auto"/>
                <w:lang w:val="en-A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C7C4B3" w14:textId="77777777" w:rsidR="00F14C7D" w:rsidRPr="007613B3" w:rsidRDefault="00F14C7D" w:rsidP="005D0DF4">
            <w:pPr>
              <w:jc w:val="both"/>
              <w:rPr>
                <w:rFonts w:ascii="Calibri" w:eastAsia="Arial Unicode MS" w:hAnsi="Calibri" w:cs="Calibri"/>
                <w:color w:val="auto"/>
                <w:lang w:val="en-AU"/>
              </w:rPr>
            </w:pPr>
          </w:p>
        </w:tc>
      </w:tr>
      <w:tr w:rsidR="009862FD" w:rsidRPr="007613B3" w14:paraId="570CE91C" w14:textId="77777777" w:rsidTr="009862FD">
        <w:trPr>
          <w:trHeight w:val="368"/>
        </w:trPr>
        <w:tc>
          <w:tcPr>
            <w:tcW w:w="3600" w:type="dxa"/>
            <w:vMerge/>
            <w:tcBorders>
              <w:left w:val="single" w:sz="4" w:space="0" w:color="auto"/>
              <w:right w:val="single" w:sz="4" w:space="0" w:color="auto"/>
            </w:tcBorders>
            <w:shd w:val="clear" w:color="auto" w:fill="auto"/>
            <w:noWrap/>
          </w:tcPr>
          <w:p w14:paraId="4A4B3D3F" w14:textId="77777777" w:rsidR="00F14C7D" w:rsidRPr="007613B3" w:rsidRDefault="00F14C7D" w:rsidP="000B41F8">
            <w:pPr>
              <w:ind w:left="12" w:hanging="12"/>
              <w:rPr>
                <w:rFonts w:ascii="Calibri" w:eastAsia="Arial Unicode MS" w:hAnsi="Calibri" w:cs="Calibri"/>
                <w:color w:val="auto"/>
                <w:lang w:val="en-A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3798017" w14:textId="77777777" w:rsidR="00F14C7D" w:rsidRPr="007E7996" w:rsidRDefault="00F14C7D" w:rsidP="000B41F8">
            <w:pPr>
              <w:jc w:val="both"/>
              <w:rPr>
                <w:rFonts w:ascii="Calibri" w:eastAsia="Arial Unicode MS" w:hAnsi="Calibri" w:cs="Calibri"/>
                <w:color w:val="auto"/>
                <w:lang w:val="fr-FR"/>
              </w:rPr>
            </w:pPr>
            <w:r w:rsidRPr="00A97CD0">
              <w:rPr>
                <w:rFonts w:asciiTheme="minorHAnsi" w:eastAsia="Calibri" w:hAnsiTheme="minorHAnsi" w:cstheme="minorHAnsi"/>
                <w:b/>
                <w:bCs/>
                <w:lang w:val="fr-FR"/>
              </w:rPr>
              <w:t>Livrable 8</w:t>
            </w:r>
            <w:r w:rsidRPr="00A97CD0">
              <w:rPr>
                <w:rFonts w:asciiTheme="minorHAnsi" w:eastAsia="Calibri" w:hAnsiTheme="minorHAnsi" w:cstheme="minorHAnsi"/>
                <w:lang w:val="fr-FR"/>
              </w:rPr>
              <w:t xml:space="preserve"> : </w:t>
            </w:r>
            <w:r w:rsidRPr="007E7996">
              <w:rPr>
                <w:rFonts w:ascii="Calibri" w:eastAsia="Arial Unicode MS" w:hAnsi="Calibri" w:cs="Calibri"/>
                <w:color w:val="auto"/>
                <w:lang w:val="fr-FR"/>
              </w:rPr>
              <w:t>Rapports d’activités prenant en compte les éléments ci-après :</w:t>
            </w:r>
          </w:p>
          <w:p w14:paraId="2733C2E8"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 xml:space="preserve">Point sur le suivi de la MEO des recommandations </w:t>
            </w:r>
            <w:r>
              <w:rPr>
                <w:rFonts w:ascii="Calibri" w:eastAsia="Arial Unicode MS" w:hAnsi="Calibri" w:cs="Calibri"/>
                <w:color w:val="auto"/>
                <w:lang w:val="fr-FR"/>
              </w:rPr>
              <w:t>de la e</w:t>
            </w:r>
            <w:r w:rsidRPr="007E7996">
              <w:rPr>
                <w:rFonts w:ascii="Calibri" w:eastAsia="Arial Unicode MS" w:hAnsi="Calibri" w:cs="Calibri"/>
                <w:color w:val="auto"/>
                <w:lang w:val="fr-FR"/>
              </w:rPr>
              <w:t>GEV ;</w:t>
            </w:r>
          </w:p>
          <w:p w14:paraId="07C8FBE0" w14:textId="77777777" w:rsidR="00F14C7D"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Point du suivi de l’approvisionnement du pays en vaccins et intrants de vaccination contre le COVID-19 et équipements de Chaine Du Froid ;</w:t>
            </w:r>
          </w:p>
          <w:p w14:paraId="44737FB1"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Rapport des installations et de déploiement des équipements de Chaine du Froid acquis dans le cadre des différentes initiatives</w:t>
            </w:r>
            <w:r>
              <w:rPr>
                <w:rFonts w:ascii="Calibri" w:eastAsia="Arial Unicode MS" w:hAnsi="Calibri" w:cs="Calibri"/>
                <w:color w:val="auto"/>
                <w:lang w:val="fr-FR"/>
              </w:rPr>
              <w:t> ;</w:t>
            </w:r>
            <w:r w:rsidRPr="00DA61F7">
              <w:rPr>
                <w:rFonts w:ascii="Calibri" w:eastAsia="Arial Unicode MS" w:hAnsi="Calibri" w:cs="Calibri"/>
                <w:color w:val="auto"/>
                <w:lang w:val="fr-FR"/>
              </w:rPr>
              <w:t> </w:t>
            </w:r>
          </w:p>
          <w:p w14:paraId="1DF66F70"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lastRenderedPageBreak/>
              <w:t>Point sur le suivi de l’utilisation du SMT dans les dépôts ;</w:t>
            </w:r>
          </w:p>
          <w:p w14:paraId="121DCFC4"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 xml:space="preserve">Quatre rapports hebdomadaires de mise en œuvre de la vaccination contre le COVID-19 dans le pays avec des données actualisées sur les stocks, dates de péremption, pertes et défis opérationnels, une analyse des données de consommation et de gestion des vaccins pour chaque niveau et les indicateurs de performance de gestion logistique ; </w:t>
            </w:r>
          </w:p>
          <w:p w14:paraId="1CB84EE6" w14:textId="77777777" w:rsidR="00F14C7D" w:rsidRPr="00FA117E" w:rsidRDefault="00F14C7D" w:rsidP="000B41F8">
            <w:pPr>
              <w:ind w:left="12" w:hanging="12"/>
              <w:rPr>
                <w:rFonts w:ascii="Calibri" w:eastAsia="Arial Unicode MS" w:hAnsi="Calibri" w:cs="Calibri"/>
                <w:color w:val="auto"/>
                <w:lang w:val="fr-FR"/>
              </w:rPr>
            </w:pPr>
            <w:r w:rsidRPr="007E7996">
              <w:rPr>
                <w:rFonts w:ascii="Calibri" w:eastAsia="Arial Unicode MS" w:hAnsi="Calibri" w:cs="Calibri"/>
                <w:color w:val="auto"/>
                <w:lang w:val="fr-FR"/>
              </w:rPr>
              <w:t>Toutes autres activités menées, les réussites et les enseignements tirés.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B785F9" w14:textId="06E38C52" w:rsidR="00F14C7D" w:rsidRDefault="00F14C7D" w:rsidP="000B41F8">
            <w:pPr>
              <w:jc w:val="both"/>
              <w:rPr>
                <w:rFonts w:asciiTheme="minorHAnsi" w:hAnsiTheme="minorHAnsi" w:cstheme="minorHAnsi"/>
                <w:caps/>
                <w:lang w:val="fr-FR"/>
              </w:rPr>
            </w:pPr>
            <w:r w:rsidRPr="007E3025">
              <w:rPr>
                <w:rFonts w:asciiTheme="minorHAnsi" w:hAnsiTheme="minorHAnsi" w:cstheme="minorHAnsi"/>
                <w:caps/>
                <w:lang w:val="fr-FR"/>
              </w:rPr>
              <w:lastRenderedPageBreak/>
              <w:t>3</w:t>
            </w:r>
            <w:r w:rsidRPr="007E3025">
              <w:rPr>
                <w:rFonts w:ascii="Calibri" w:eastAsia="Arial Unicode MS" w:hAnsi="Calibri" w:cs="Calibri"/>
                <w:color w:val="auto"/>
                <w:lang w:val="fr-FR"/>
              </w:rPr>
              <w:t>1 JANVIER 202</w:t>
            </w:r>
            <w:r w:rsidR="006C6719">
              <w:rPr>
                <w:rFonts w:ascii="Calibri" w:eastAsia="Arial Unicode MS" w:hAnsi="Calibri" w:cs="Calibri"/>
                <w:color w:val="auto"/>
                <w:lang w:val="fr-FR"/>
              </w:rPr>
              <w:t>3</w:t>
            </w:r>
          </w:p>
          <w:p w14:paraId="4C9B990B" w14:textId="77777777" w:rsidR="00F14C7D" w:rsidRPr="007613B3" w:rsidRDefault="00F14C7D" w:rsidP="000B41F8">
            <w:pPr>
              <w:spacing w:before="60" w:after="60" w:line="240" w:lineRule="auto"/>
              <w:jc w:val="center"/>
              <w:rPr>
                <w:rFonts w:ascii="Calibri" w:eastAsia="Arial Unicode MS" w:hAnsi="Calibri" w:cs="Calibri"/>
                <w:color w:val="auto"/>
                <w:lang w:val="en-A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16AC38" w14:textId="77777777" w:rsidR="00F14C7D" w:rsidRPr="00A97CD0" w:rsidRDefault="00F14C7D" w:rsidP="000B41F8">
            <w:pPr>
              <w:jc w:val="both"/>
              <w:rPr>
                <w:rFonts w:asciiTheme="minorHAnsi" w:hAnsiTheme="minorHAnsi" w:cstheme="minorHAnsi"/>
                <w:caps/>
                <w:lang w:val="fr-FR"/>
              </w:rPr>
            </w:pPr>
          </w:p>
          <w:p w14:paraId="78D9CFFC" w14:textId="77777777" w:rsidR="00F14C7D" w:rsidRPr="007613B3" w:rsidRDefault="00F14C7D" w:rsidP="000B41F8">
            <w:pPr>
              <w:spacing w:before="60" w:after="60"/>
              <w:jc w:val="center"/>
              <w:rPr>
                <w:rFonts w:ascii="Calibri" w:eastAsia="Arial Unicode MS" w:hAnsi="Calibri" w:cs="Calibri"/>
                <w:color w:val="auto"/>
                <w:lang w:val="en-AU"/>
              </w:rPr>
            </w:pPr>
          </w:p>
        </w:tc>
      </w:tr>
      <w:tr w:rsidR="009862FD" w:rsidRPr="007613B3" w14:paraId="694D039F" w14:textId="77777777" w:rsidTr="009862FD">
        <w:trPr>
          <w:trHeight w:val="368"/>
        </w:trPr>
        <w:tc>
          <w:tcPr>
            <w:tcW w:w="3600" w:type="dxa"/>
            <w:vMerge/>
            <w:tcBorders>
              <w:left w:val="single" w:sz="4" w:space="0" w:color="auto"/>
              <w:right w:val="single" w:sz="4" w:space="0" w:color="auto"/>
            </w:tcBorders>
            <w:shd w:val="clear" w:color="auto" w:fill="auto"/>
            <w:noWrap/>
          </w:tcPr>
          <w:p w14:paraId="2557CD09" w14:textId="77777777" w:rsidR="00F14C7D" w:rsidRPr="007613B3" w:rsidRDefault="00F14C7D" w:rsidP="000B41F8">
            <w:pPr>
              <w:ind w:left="12" w:hanging="12"/>
              <w:rPr>
                <w:rFonts w:ascii="Calibri" w:eastAsia="Arial Unicode MS" w:hAnsi="Calibri" w:cs="Calibri"/>
                <w:color w:val="auto"/>
                <w:lang w:val="en-A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461A165" w14:textId="77777777" w:rsidR="00F14C7D" w:rsidRPr="007E7996" w:rsidRDefault="00F14C7D" w:rsidP="000B41F8">
            <w:pPr>
              <w:jc w:val="both"/>
              <w:rPr>
                <w:rFonts w:ascii="Calibri" w:eastAsia="Arial Unicode MS" w:hAnsi="Calibri" w:cs="Calibri"/>
                <w:color w:val="auto"/>
                <w:lang w:val="fr-FR"/>
              </w:rPr>
            </w:pPr>
            <w:r w:rsidRPr="007E7996">
              <w:rPr>
                <w:rFonts w:ascii="Calibri" w:eastAsia="Arial Unicode MS" w:hAnsi="Calibri" w:cs="Calibri"/>
                <w:b/>
                <w:bCs/>
                <w:color w:val="auto"/>
                <w:lang w:val="fr-FR"/>
              </w:rPr>
              <w:t>Livrable 9</w:t>
            </w:r>
            <w:r w:rsidRPr="007E7996">
              <w:rPr>
                <w:rFonts w:ascii="Calibri" w:eastAsia="Arial Unicode MS" w:hAnsi="Calibri" w:cs="Calibri"/>
                <w:color w:val="auto"/>
                <w:lang w:val="fr-FR"/>
              </w:rPr>
              <w:t> : Rapports d’activités prenant en compte les éléments ci-après :</w:t>
            </w:r>
          </w:p>
          <w:p w14:paraId="20797257"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 xml:space="preserve">Point sur le suivi de la MEO des recommandations </w:t>
            </w:r>
            <w:r>
              <w:rPr>
                <w:rFonts w:ascii="Calibri" w:eastAsia="Arial Unicode MS" w:hAnsi="Calibri" w:cs="Calibri"/>
                <w:color w:val="auto"/>
                <w:lang w:val="fr-FR"/>
              </w:rPr>
              <w:t>de la e</w:t>
            </w:r>
            <w:r w:rsidRPr="007E7996">
              <w:rPr>
                <w:rFonts w:ascii="Calibri" w:eastAsia="Arial Unicode MS" w:hAnsi="Calibri" w:cs="Calibri"/>
                <w:color w:val="auto"/>
                <w:lang w:val="fr-FR"/>
              </w:rPr>
              <w:t>GEV ;</w:t>
            </w:r>
          </w:p>
          <w:p w14:paraId="6E24347E" w14:textId="77777777" w:rsidR="00F14C7D"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Point du suivi de l’approvisionnement du pays en vaccins et intrants de vaccination contre le COVID-19 et équipements de Chaine Du Froid ;</w:t>
            </w:r>
          </w:p>
          <w:p w14:paraId="7DFEAB26"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Rapport des installations et de déploiement des équipements de Chaine du Froid acquis dans le cadre des différentes initiatives</w:t>
            </w:r>
            <w:r>
              <w:rPr>
                <w:rFonts w:ascii="Calibri" w:eastAsia="Arial Unicode MS" w:hAnsi="Calibri" w:cs="Calibri"/>
                <w:color w:val="auto"/>
                <w:lang w:val="fr-FR"/>
              </w:rPr>
              <w:t> ;</w:t>
            </w:r>
          </w:p>
          <w:p w14:paraId="2DF8C7DE"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Point sur le suivi de l’utilisation du SMT dans les dépôts ;</w:t>
            </w:r>
          </w:p>
          <w:p w14:paraId="3C185B40" w14:textId="77777777" w:rsidR="00F14C7D" w:rsidRPr="007E7996"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Quatre rapports hebdomadaires de mise en œuvre de la vaccination contre le COVID-19 dans le pays avec des données actualisées sur les stocks, dates de péremption, pertes et défis opérationnels, une analyse des données de consommation et de gestion des vaccins pour chaque niveau et les indicateurs de performance de gestion logistique ;</w:t>
            </w:r>
          </w:p>
          <w:p w14:paraId="0D718AA8" w14:textId="77777777" w:rsidR="00F14C7D" w:rsidRPr="008E1C01" w:rsidRDefault="00F14C7D" w:rsidP="000B41F8">
            <w:pPr>
              <w:ind w:left="12" w:hanging="12"/>
              <w:rPr>
                <w:rFonts w:ascii="Calibri" w:eastAsia="Arial Unicode MS" w:hAnsi="Calibri" w:cs="Calibri"/>
                <w:color w:val="auto"/>
                <w:lang w:val="fr-FR"/>
              </w:rPr>
            </w:pPr>
            <w:r w:rsidRPr="007E7996">
              <w:rPr>
                <w:rFonts w:ascii="Calibri" w:eastAsia="Arial Unicode MS" w:hAnsi="Calibri" w:cs="Calibri"/>
                <w:color w:val="auto"/>
                <w:lang w:val="fr-FR"/>
              </w:rPr>
              <w:t>Toutes autres activités menées, les réussites et les enseignements tirés.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E111CB" w14:textId="05CEBF95" w:rsidR="00F14C7D" w:rsidRPr="0073454A" w:rsidRDefault="00F14C7D" w:rsidP="000B41F8">
            <w:pPr>
              <w:jc w:val="both"/>
              <w:rPr>
                <w:rFonts w:ascii="Calibri" w:eastAsia="Arial Unicode MS" w:hAnsi="Calibri" w:cs="Calibri"/>
                <w:color w:val="auto"/>
                <w:lang w:val="fr-FR"/>
              </w:rPr>
            </w:pPr>
            <w:r w:rsidRPr="00511736">
              <w:rPr>
                <w:rFonts w:ascii="Calibri" w:eastAsia="Arial Unicode MS" w:hAnsi="Calibri" w:cs="Calibri"/>
                <w:color w:val="auto"/>
                <w:lang w:val="fr-FR"/>
              </w:rPr>
              <w:t>28 FEVRIER 202</w:t>
            </w:r>
            <w:r w:rsidR="006C6719">
              <w:rPr>
                <w:rFonts w:ascii="Calibri" w:eastAsia="Arial Unicode MS" w:hAnsi="Calibri" w:cs="Calibri"/>
                <w:color w:val="auto"/>
                <w:lang w:val="fr-FR"/>
              </w:rPr>
              <w:t>3</w:t>
            </w:r>
          </w:p>
          <w:p w14:paraId="70746C83" w14:textId="77777777" w:rsidR="00F14C7D" w:rsidRPr="007613B3" w:rsidRDefault="00F14C7D" w:rsidP="000B41F8">
            <w:pPr>
              <w:spacing w:before="60" w:after="60" w:line="240" w:lineRule="auto"/>
              <w:jc w:val="center"/>
              <w:rPr>
                <w:rFonts w:ascii="Calibri" w:eastAsia="Arial Unicode MS" w:hAnsi="Calibri" w:cs="Calibri"/>
                <w:color w:val="auto"/>
                <w:lang w:val="en-A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3556BB" w14:textId="77777777" w:rsidR="00F14C7D" w:rsidRPr="0073454A" w:rsidRDefault="00F14C7D" w:rsidP="005D0DF4">
            <w:pPr>
              <w:jc w:val="both"/>
              <w:rPr>
                <w:rFonts w:ascii="Calibri" w:eastAsia="Arial Unicode MS" w:hAnsi="Calibri" w:cs="Calibri"/>
                <w:color w:val="auto"/>
                <w:lang w:val="fr-FR"/>
              </w:rPr>
            </w:pPr>
          </w:p>
        </w:tc>
      </w:tr>
      <w:tr w:rsidR="009862FD" w:rsidRPr="007613B3" w14:paraId="6B1C6F6F" w14:textId="77777777" w:rsidTr="009862FD">
        <w:trPr>
          <w:trHeight w:val="368"/>
        </w:trPr>
        <w:tc>
          <w:tcPr>
            <w:tcW w:w="3600" w:type="dxa"/>
            <w:vMerge/>
            <w:tcBorders>
              <w:left w:val="single" w:sz="4" w:space="0" w:color="auto"/>
              <w:right w:val="single" w:sz="4" w:space="0" w:color="auto"/>
            </w:tcBorders>
            <w:shd w:val="clear" w:color="auto" w:fill="auto"/>
            <w:noWrap/>
          </w:tcPr>
          <w:p w14:paraId="4A90D3BC" w14:textId="77777777" w:rsidR="00F14C7D" w:rsidRPr="007613B3" w:rsidRDefault="00F14C7D" w:rsidP="000B41F8">
            <w:pPr>
              <w:ind w:left="12" w:hanging="12"/>
              <w:rPr>
                <w:rFonts w:ascii="Calibri" w:eastAsia="Arial Unicode MS" w:hAnsi="Calibri" w:cs="Calibri"/>
                <w:color w:val="auto"/>
                <w:lang w:val="en-A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117BF7F" w14:textId="77777777" w:rsidR="00F14C7D" w:rsidRPr="00DA61F7" w:rsidRDefault="00F14C7D" w:rsidP="000B41F8">
            <w:pPr>
              <w:jc w:val="both"/>
              <w:rPr>
                <w:rFonts w:ascii="Calibri" w:eastAsia="Arial Unicode MS" w:hAnsi="Calibri" w:cs="Calibri"/>
                <w:color w:val="auto"/>
                <w:lang w:val="fr-FR"/>
              </w:rPr>
            </w:pPr>
            <w:r w:rsidRPr="00A97CD0">
              <w:rPr>
                <w:rFonts w:asciiTheme="minorHAnsi" w:eastAsia="Calibri" w:hAnsiTheme="minorHAnsi" w:cstheme="minorHAnsi"/>
                <w:b/>
                <w:bCs/>
                <w:lang w:val="fr-FR"/>
              </w:rPr>
              <w:t>Livrable 10</w:t>
            </w:r>
            <w:r w:rsidRPr="00A97CD0">
              <w:rPr>
                <w:rFonts w:asciiTheme="minorHAnsi" w:eastAsia="Calibri" w:hAnsiTheme="minorHAnsi" w:cstheme="minorHAnsi"/>
                <w:lang w:val="fr-FR"/>
              </w:rPr>
              <w:t xml:space="preserve"> : </w:t>
            </w:r>
            <w:r w:rsidRPr="00DA61F7">
              <w:rPr>
                <w:rFonts w:ascii="Calibri" w:eastAsia="Arial Unicode MS" w:hAnsi="Calibri" w:cs="Calibri"/>
                <w:color w:val="auto"/>
                <w:lang w:val="fr-FR"/>
              </w:rPr>
              <w:t>Rapports d’activités prenant en compte les éléments ci-après :</w:t>
            </w:r>
          </w:p>
          <w:p w14:paraId="771A29B3" w14:textId="77777777" w:rsidR="00F14C7D" w:rsidRPr="005913F8" w:rsidRDefault="00F14C7D" w:rsidP="000B41F8">
            <w:pPr>
              <w:numPr>
                <w:ilvl w:val="0"/>
                <w:numId w:val="27"/>
              </w:numPr>
              <w:spacing w:line="240" w:lineRule="auto"/>
              <w:ind w:left="720"/>
              <w:jc w:val="both"/>
              <w:rPr>
                <w:rFonts w:ascii="Calibri" w:eastAsia="Arial Unicode MS" w:hAnsi="Calibri" w:cs="Calibri"/>
                <w:color w:val="auto"/>
                <w:lang w:val="fr-FR"/>
              </w:rPr>
            </w:pPr>
            <w:r w:rsidRPr="007E7996">
              <w:rPr>
                <w:rFonts w:ascii="Calibri" w:eastAsia="Arial Unicode MS" w:hAnsi="Calibri" w:cs="Calibri"/>
                <w:color w:val="auto"/>
                <w:lang w:val="fr-FR"/>
              </w:rPr>
              <w:t xml:space="preserve">Point sur le suivi de la MEO des recommandations </w:t>
            </w:r>
            <w:r>
              <w:rPr>
                <w:rFonts w:ascii="Calibri" w:eastAsia="Arial Unicode MS" w:hAnsi="Calibri" w:cs="Calibri"/>
                <w:color w:val="auto"/>
                <w:lang w:val="fr-FR"/>
              </w:rPr>
              <w:t>de la e</w:t>
            </w:r>
            <w:r w:rsidRPr="007E7996">
              <w:rPr>
                <w:rFonts w:ascii="Calibri" w:eastAsia="Arial Unicode MS" w:hAnsi="Calibri" w:cs="Calibri"/>
                <w:color w:val="auto"/>
                <w:lang w:val="fr-FR"/>
              </w:rPr>
              <w:t>GEV ;</w:t>
            </w:r>
          </w:p>
          <w:p w14:paraId="41BEAB91" w14:textId="77777777" w:rsidR="00F14C7D" w:rsidRDefault="00F14C7D" w:rsidP="000B41F8">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Point du suivi de l’approvisionnement du pays en vaccins et intrants de vaccination contre le COVID-19 et équipements de Chaine Du Froid ;</w:t>
            </w:r>
          </w:p>
          <w:p w14:paraId="4AC8B71C" w14:textId="77777777" w:rsidR="00F14C7D" w:rsidRPr="00DA61F7" w:rsidRDefault="00F14C7D" w:rsidP="000B41F8">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Rapport des installations et de déploiement des équipements de Chaine du Froid acquis dans le cadre des différentes initiatives</w:t>
            </w:r>
            <w:r>
              <w:rPr>
                <w:rFonts w:ascii="Calibri" w:eastAsia="Arial Unicode MS" w:hAnsi="Calibri" w:cs="Calibri"/>
                <w:color w:val="auto"/>
                <w:lang w:val="fr-FR"/>
              </w:rPr>
              <w:t> ;</w:t>
            </w:r>
          </w:p>
          <w:p w14:paraId="11259A6C" w14:textId="77777777" w:rsidR="00F14C7D" w:rsidRPr="00DA61F7" w:rsidRDefault="00F14C7D" w:rsidP="000B41F8">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Point sur le suivi de l’utilisation du SMT dans les dépôts ;</w:t>
            </w:r>
          </w:p>
          <w:p w14:paraId="6AA1CE44" w14:textId="77777777" w:rsidR="00F14C7D" w:rsidRPr="00DA61F7" w:rsidRDefault="00F14C7D" w:rsidP="000B41F8">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lastRenderedPageBreak/>
              <w:t xml:space="preserve">Quatre rapports hebdomadaires de mise en œuvre de la vaccination contre le COVID-19 dans le pays avec des données actualisées sur les stocks, dates de péremption, pertes et défis opérationnels, une analyse des données de consommation et de gestion des vaccins pour chaque niveau et les indicateurs de performance de gestion logistique ; </w:t>
            </w:r>
          </w:p>
          <w:p w14:paraId="5C72E6E9" w14:textId="77777777" w:rsidR="00F14C7D" w:rsidRDefault="00F14C7D" w:rsidP="000B41F8">
            <w:pPr>
              <w:ind w:left="12" w:hanging="12"/>
              <w:rPr>
                <w:rFonts w:ascii="Calibri" w:eastAsia="Arial Unicode MS" w:hAnsi="Calibri" w:cs="Calibri"/>
                <w:color w:val="auto"/>
                <w:lang w:val="fr-FR"/>
              </w:rPr>
            </w:pPr>
            <w:r w:rsidRPr="00DA61F7">
              <w:rPr>
                <w:rFonts w:ascii="Calibri" w:eastAsia="Arial Unicode MS" w:hAnsi="Calibri" w:cs="Calibri"/>
                <w:color w:val="auto"/>
                <w:lang w:val="fr-FR"/>
              </w:rPr>
              <w:t>Toutes autres activités menées, les réussites et les enseignements tirés.</w:t>
            </w:r>
          </w:p>
          <w:p w14:paraId="3F115B2D" w14:textId="77777777" w:rsidR="00F14C7D" w:rsidRDefault="00F14C7D" w:rsidP="000B41F8">
            <w:pPr>
              <w:ind w:left="12" w:hanging="12"/>
              <w:rPr>
                <w:rFonts w:ascii="Calibri" w:eastAsia="Arial Unicode MS" w:hAnsi="Calibri" w:cs="Calibri"/>
                <w:color w:val="auto"/>
                <w:lang w:val="fr-FR"/>
              </w:rPr>
            </w:pPr>
          </w:p>
          <w:p w14:paraId="17E3A1B8" w14:textId="77777777" w:rsidR="00F14C7D" w:rsidRPr="00DA61F7" w:rsidRDefault="00F14C7D" w:rsidP="000B41F8">
            <w:pPr>
              <w:suppressAutoHyphens/>
              <w:spacing w:after="120"/>
              <w:jc w:val="both"/>
              <w:rPr>
                <w:rFonts w:ascii="Calibri" w:eastAsia="Arial Unicode MS" w:hAnsi="Calibri" w:cs="Calibri"/>
                <w:color w:val="auto"/>
                <w:lang w:val="fr-FR"/>
              </w:rPr>
            </w:pPr>
            <w:r w:rsidRPr="00A97CD0">
              <w:rPr>
                <w:rFonts w:asciiTheme="minorHAnsi" w:eastAsia="Calibri" w:hAnsiTheme="minorHAnsi" w:cstheme="minorHAnsi"/>
                <w:b/>
                <w:bCs/>
                <w:lang w:val="fr-FR"/>
              </w:rPr>
              <w:t>Livrable 1</w:t>
            </w:r>
            <w:r>
              <w:rPr>
                <w:rFonts w:asciiTheme="minorHAnsi" w:eastAsia="Calibri" w:hAnsiTheme="minorHAnsi" w:cstheme="minorHAnsi"/>
                <w:b/>
                <w:bCs/>
                <w:lang w:val="fr-FR"/>
              </w:rPr>
              <w:t>1</w:t>
            </w:r>
            <w:r w:rsidRPr="00A97CD0">
              <w:rPr>
                <w:rFonts w:asciiTheme="minorHAnsi" w:eastAsia="Calibri" w:hAnsiTheme="minorHAnsi" w:cstheme="minorHAnsi"/>
                <w:lang w:val="fr-FR"/>
              </w:rPr>
              <w:t xml:space="preserve"> : </w:t>
            </w:r>
            <w:r w:rsidRPr="00DA61F7">
              <w:rPr>
                <w:rFonts w:ascii="Calibri" w:eastAsia="Arial Unicode MS" w:hAnsi="Calibri" w:cs="Calibri"/>
                <w:color w:val="auto"/>
                <w:lang w:val="fr-FR"/>
              </w:rPr>
              <w:t>Rapport final de mission disponible, les progrès obtenus grâce à l’appui ;</w:t>
            </w:r>
          </w:p>
          <w:p w14:paraId="12BFD78E" w14:textId="77777777" w:rsidR="00F14C7D" w:rsidRPr="00DA61F7" w:rsidRDefault="00F14C7D" w:rsidP="000B41F8">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Les leçons apprises ;</w:t>
            </w:r>
          </w:p>
          <w:p w14:paraId="64BD0F8A" w14:textId="77777777" w:rsidR="00F14C7D" w:rsidRPr="00DA61F7" w:rsidRDefault="00F14C7D" w:rsidP="000B41F8">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Les outils et tous les documents proposés ;</w:t>
            </w:r>
          </w:p>
          <w:p w14:paraId="440A20BC" w14:textId="77777777" w:rsidR="00F14C7D" w:rsidRPr="00DA61F7" w:rsidRDefault="00F14C7D" w:rsidP="000B41F8">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Les recommandations et les prochaines étapes ;</w:t>
            </w:r>
          </w:p>
          <w:p w14:paraId="5396B2F3" w14:textId="77777777" w:rsidR="00F14C7D" w:rsidRPr="00DA61F7" w:rsidRDefault="00F14C7D" w:rsidP="000B41F8">
            <w:pPr>
              <w:numPr>
                <w:ilvl w:val="0"/>
                <w:numId w:val="27"/>
              </w:numPr>
              <w:spacing w:line="240" w:lineRule="auto"/>
              <w:ind w:left="720"/>
              <w:jc w:val="both"/>
              <w:rPr>
                <w:rFonts w:ascii="Calibri" w:eastAsia="Arial Unicode MS" w:hAnsi="Calibri" w:cs="Calibri"/>
                <w:color w:val="auto"/>
                <w:lang w:val="fr-FR"/>
              </w:rPr>
            </w:pPr>
            <w:r w:rsidRPr="00DA61F7">
              <w:rPr>
                <w:rFonts w:ascii="Calibri" w:eastAsia="Arial Unicode MS" w:hAnsi="Calibri" w:cs="Calibri"/>
                <w:color w:val="auto"/>
                <w:lang w:val="fr-FR"/>
              </w:rPr>
              <w:t>Les annexes : tous les supports nécessaires (fiches de gestion de stock, PV de destruction des déchets, rapports de réception des vaccins, plan de déploiement opérationnel) sont signés par le Directeur de la Vaccination et de la logistique et scannés y compris le SMT sont récupérés et transmis à l’UNICEF Bureau pays.</w:t>
            </w:r>
          </w:p>
          <w:p w14:paraId="575BE845" w14:textId="77777777" w:rsidR="00F14C7D" w:rsidRPr="008E1C01" w:rsidRDefault="00F14C7D" w:rsidP="000B41F8">
            <w:pPr>
              <w:ind w:left="12" w:hanging="12"/>
              <w:rPr>
                <w:rFonts w:ascii="Calibri" w:eastAsia="Arial Unicode MS" w:hAnsi="Calibri" w:cs="Calibri"/>
                <w:color w:val="auto"/>
                <w:lang w:val="fr-FR"/>
              </w:rPr>
            </w:pPr>
            <w:r w:rsidRPr="00DA61F7">
              <w:rPr>
                <w:rFonts w:ascii="Calibri" w:eastAsia="Arial Unicode MS" w:hAnsi="Calibri" w:cs="Calibri"/>
                <w:color w:val="auto"/>
                <w:lang w:val="fr-FR"/>
              </w:rPr>
              <w:t xml:space="preserve">Présentation Power Point sur </w:t>
            </w:r>
            <w:proofErr w:type="gramStart"/>
            <w:r w:rsidRPr="00DA61F7">
              <w:rPr>
                <w:rFonts w:ascii="Calibri" w:eastAsia="Arial Unicode MS" w:hAnsi="Calibri" w:cs="Calibri"/>
                <w:color w:val="auto"/>
                <w:lang w:val="fr-FR"/>
              </w:rPr>
              <w:t>le debriefing</w:t>
            </w:r>
            <w:proofErr w:type="gramEnd"/>
            <w:r w:rsidRPr="00DA61F7">
              <w:rPr>
                <w:rFonts w:ascii="Calibri" w:eastAsia="Arial Unicode MS" w:hAnsi="Calibri" w:cs="Calibri"/>
                <w:color w:val="auto"/>
                <w:lang w:val="fr-FR"/>
              </w:rPr>
              <w:t xml:space="preserve"> global de la mission.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EA90A8" w14:textId="5E863F3C" w:rsidR="00F14C7D" w:rsidRPr="007613B3" w:rsidRDefault="00F14C7D" w:rsidP="000B41F8">
            <w:pPr>
              <w:spacing w:before="60" w:after="60" w:line="240" w:lineRule="auto"/>
              <w:jc w:val="center"/>
              <w:rPr>
                <w:rFonts w:ascii="Calibri" w:eastAsia="Arial Unicode MS" w:hAnsi="Calibri" w:cs="Calibri"/>
                <w:color w:val="auto"/>
                <w:lang w:val="en-AU"/>
              </w:rPr>
            </w:pPr>
            <w:r>
              <w:rPr>
                <w:rFonts w:ascii="Calibri" w:eastAsia="Arial Unicode MS" w:hAnsi="Calibri" w:cs="Calibri"/>
                <w:color w:val="auto"/>
                <w:lang w:val="fr-FR"/>
              </w:rPr>
              <w:lastRenderedPageBreak/>
              <w:t>15</w:t>
            </w:r>
            <w:r w:rsidRPr="00AE4435">
              <w:rPr>
                <w:rFonts w:ascii="Calibri" w:eastAsia="Arial Unicode MS" w:hAnsi="Calibri" w:cs="Calibri"/>
                <w:color w:val="auto"/>
                <w:lang w:val="fr-FR"/>
              </w:rPr>
              <w:t xml:space="preserve"> </w:t>
            </w:r>
            <w:r>
              <w:rPr>
                <w:rFonts w:ascii="Calibri" w:eastAsia="Arial Unicode MS" w:hAnsi="Calibri" w:cs="Calibri"/>
                <w:color w:val="auto"/>
                <w:lang w:val="fr-FR"/>
              </w:rPr>
              <w:t xml:space="preserve">AVRIL </w:t>
            </w:r>
            <w:r w:rsidRPr="00AE4435">
              <w:rPr>
                <w:rFonts w:ascii="Calibri" w:eastAsia="Arial Unicode MS" w:hAnsi="Calibri" w:cs="Calibri"/>
                <w:color w:val="auto"/>
                <w:lang w:val="fr-FR"/>
              </w:rPr>
              <w:t>202</w:t>
            </w:r>
            <w:r w:rsidR="006C6719">
              <w:rPr>
                <w:rFonts w:ascii="Calibri" w:eastAsia="Arial Unicode MS" w:hAnsi="Calibri" w:cs="Calibri"/>
                <w:color w:val="auto"/>
                <w:lang w:val="fr-FR"/>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DA55D7" w14:textId="77777777" w:rsidR="00F14C7D" w:rsidRPr="008270DA" w:rsidRDefault="00F14C7D" w:rsidP="000B41F8">
            <w:pPr>
              <w:jc w:val="both"/>
              <w:rPr>
                <w:rFonts w:ascii="Calibri" w:eastAsia="Arial Unicode MS" w:hAnsi="Calibri" w:cs="Calibri"/>
                <w:color w:val="auto"/>
                <w:lang w:val="fr-FR"/>
              </w:rPr>
            </w:pPr>
          </w:p>
          <w:p w14:paraId="741BD738" w14:textId="77777777" w:rsidR="00F14C7D" w:rsidRPr="008270DA" w:rsidRDefault="00F14C7D" w:rsidP="000B41F8">
            <w:pPr>
              <w:spacing w:before="60" w:after="60"/>
              <w:jc w:val="center"/>
              <w:rPr>
                <w:rFonts w:ascii="Calibri" w:eastAsia="Arial Unicode MS" w:hAnsi="Calibri" w:cs="Calibri"/>
                <w:color w:val="auto"/>
                <w:lang w:val="fr-FR"/>
              </w:rPr>
            </w:pPr>
          </w:p>
        </w:tc>
      </w:tr>
    </w:tbl>
    <w:p w14:paraId="0E24A3B3" w14:textId="6F1ACB11" w:rsidR="007613B3" w:rsidRDefault="007613B3">
      <w:pPr>
        <w:jc w:val="center"/>
        <w:rPr>
          <w:rFonts w:ascii="Calibri" w:hAnsi="Calibri" w:cs="Calibri"/>
          <w:b/>
          <w:bCs/>
          <w:sz w:val="24"/>
          <w:szCs w:val="24"/>
          <w:u w:val="single"/>
        </w:rPr>
      </w:pPr>
    </w:p>
    <w:p w14:paraId="729C3CF3" w14:textId="77777777" w:rsidR="00887D8D" w:rsidRPr="007613B3" w:rsidRDefault="00887D8D" w:rsidP="00C34C2B">
      <w:pPr>
        <w:spacing w:before="120" w:after="200"/>
        <w:rPr>
          <w:rFonts w:ascii="Calibri" w:eastAsia="Arial Unicode MS" w:hAnsi="Calibri" w:cs="Calibri"/>
        </w:rPr>
      </w:pPr>
    </w:p>
    <w:sectPr w:rsidR="00887D8D" w:rsidRPr="007613B3" w:rsidSect="003C4672">
      <w:headerReference w:type="default" r:id="rId11"/>
      <w:footerReference w:type="default" r:id="rId12"/>
      <w:headerReference w:type="first" r:id="rId13"/>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CD345" w14:textId="77777777" w:rsidR="001D61AA" w:rsidRDefault="001D61AA" w:rsidP="000C3710">
      <w:r>
        <w:separator/>
      </w:r>
    </w:p>
  </w:endnote>
  <w:endnote w:type="continuationSeparator" w:id="0">
    <w:p w14:paraId="7174FBAB" w14:textId="77777777" w:rsidR="001D61AA" w:rsidRDefault="001D61AA"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7F01E" w14:textId="77777777" w:rsidR="001D61AA" w:rsidRDefault="001D61AA" w:rsidP="000C3710">
      <w:r>
        <w:separator/>
      </w:r>
    </w:p>
  </w:footnote>
  <w:footnote w:type="continuationSeparator" w:id="0">
    <w:p w14:paraId="497EB29D" w14:textId="77777777" w:rsidR="001D61AA" w:rsidRDefault="001D61A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9B8913"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F014F5"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CF5FDF"/>
    <w:multiLevelType w:val="hybridMultilevel"/>
    <w:tmpl w:val="8FE4C4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1708C"/>
    <w:multiLevelType w:val="hybridMultilevel"/>
    <w:tmpl w:val="EC76146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514B7"/>
    <w:multiLevelType w:val="hybridMultilevel"/>
    <w:tmpl w:val="D95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79C198E"/>
    <w:multiLevelType w:val="hybridMultilevel"/>
    <w:tmpl w:val="37D66B86"/>
    <w:lvl w:ilvl="0" w:tplc="D2EAF20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D38E2"/>
    <w:multiLevelType w:val="hybridMultilevel"/>
    <w:tmpl w:val="EBE0A3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A78E3"/>
    <w:multiLevelType w:val="hybridMultilevel"/>
    <w:tmpl w:val="C2B08BA4"/>
    <w:lvl w:ilvl="0" w:tplc="B020673A">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B0CB5"/>
    <w:multiLevelType w:val="hybridMultilevel"/>
    <w:tmpl w:val="508204DE"/>
    <w:lvl w:ilvl="0" w:tplc="BF7EDC56">
      <w:start w:val="7"/>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F74F34"/>
    <w:multiLevelType w:val="hybridMultilevel"/>
    <w:tmpl w:val="ADA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937FF"/>
    <w:multiLevelType w:val="hybridMultilevel"/>
    <w:tmpl w:val="D8640A0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8"/>
  </w:num>
  <w:num w:numId="2">
    <w:abstractNumId w:val="24"/>
  </w:num>
  <w:num w:numId="3">
    <w:abstractNumId w:val="16"/>
  </w:num>
  <w:num w:numId="4">
    <w:abstractNumId w:val="14"/>
  </w:num>
  <w:num w:numId="5">
    <w:abstractNumId w:val="12"/>
  </w:num>
  <w:num w:numId="6">
    <w:abstractNumId w:val="17"/>
  </w:num>
  <w:num w:numId="7">
    <w:abstractNumId w:val="25"/>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30"/>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9"/>
  </w:num>
  <w:num w:numId="26">
    <w:abstractNumId w:val="32"/>
  </w:num>
  <w:num w:numId="27">
    <w:abstractNumId w:val="26"/>
  </w:num>
  <w:num w:numId="28">
    <w:abstractNumId w:val="13"/>
  </w:num>
  <w:num w:numId="29">
    <w:abstractNumId w:val="29"/>
  </w:num>
  <w:num w:numId="30">
    <w:abstractNumId w:val="23"/>
  </w:num>
  <w:num w:numId="31">
    <w:abstractNumId w:val="20"/>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2025"/>
    <w:rsid w:val="00007E4A"/>
    <w:rsid w:val="00010747"/>
    <w:rsid w:val="000121D0"/>
    <w:rsid w:val="000241D1"/>
    <w:rsid w:val="00025F29"/>
    <w:rsid w:val="00030834"/>
    <w:rsid w:val="00030973"/>
    <w:rsid w:val="00030CC0"/>
    <w:rsid w:val="00030F0E"/>
    <w:rsid w:val="000310DE"/>
    <w:rsid w:val="00031A48"/>
    <w:rsid w:val="00035408"/>
    <w:rsid w:val="000415E9"/>
    <w:rsid w:val="0004433C"/>
    <w:rsid w:val="00056A18"/>
    <w:rsid w:val="000576DC"/>
    <w:rsid w:val="000620DC"/>
    <w:rsid w:val="000642CC"/>
    <w:rsid w:val="00066CAF"/>
    <w:rsid w:val="00076437"/>
    <w:rsid w:val="00092AFA"/>
    <w:rsid w:val="00096574"/>
    <w:rsid w:val="000A7045"/>
    <w:rsid w:val="000B41F8"/>
    <w:rsid w:val="000B5829"/>
    <w:rsid w:val="000C3710"/>
    <w:rsid w:val="000C58D8"/>
    <w:rsid w:val="000C61F2"/>
    <w:rsid w:val="000D2BE7"/>
    <w:rsid w:val="000D6CA1"/>
    <w:rsid w:val="000E1755"/>
    <w:rsid w:val="000E3253"/>
    <w:rsid w:val="000E414F"/>
    <w:rsid w:val="000E4D76"/>
    <w:rsid w:val="000E747B"/>
    <w:rsid w:val="000F54BE"/>
    <w:rsid w:val="000F6440"/>
    <w:rsid w:val="00107B7A"/>
    <w:rsid w:val="00112DEE"/>
    <w:rsid w:val="0011391D"/>
    <w:rsid w:val="001265DA"/>
    <w:rsid w:val="00134FFD"/>
    <w:rsid w:val="001462D7"/>
    <w:rsid w:val="001555CD"/>
    <w:rsid w:val="0015757A"/>
    <w:rsid w:val="001637C2"/>
    <w:rsid w:val="00164C95"/>
    <w:rsid w:val="00164FA7"/>
    <w:rsid w:val="00165C9B"/>
    <w:rsid w:val="00175E9C"/>
    <w:rsid w:val="00176711"/>
    <w:rsid w:val="00182C1C"/>
    <w:rsid w:val="00183FA9"/>
    <w:rsid w:val="00186E13"/>
    <w:rsid w:val="00186E17"/>
    <w:rsid w:val="0019021A"/>
    <w:rsid w:val="0019350E"/>
    <w:rsid w:val="00193644"/>
    <w:rsid w:val="0019705C"/>
    <w:rsid w:val="001A210D"/>
    <w:rsid w:val="001A4B63"/>
    <w:rsid w:val="001B190C"/>
    <w:rsid w:val="001B5D66"/>
    <w:rsid w:val="001C05E7"/>
    <w:rsid w:val="001D61AA"/>
    <w:rsid w:val="001E112E"/>
    <w:rsid w:val="001E4159"/>
    <w:rsid w:val="001E7405"/>
    <w:rsid w:val="001F651F"/>
    <w:rsid w:val="00204249"/>
    <w:rsid w:val="00205CBF"/>
    <w:rsid w:val="002072D5"/>
    <w:rsid w:val="00207562"/>
    <w:rsid w:val="0020792F"/>
    <w:rsid w:val="002118CC"/>
    <w:rsid w:val="00213A86"/>
    <w:rsid w:val="00215E5E"/>
    <w:rsid w:val="0022123C"/>
    <w:rsid w:val="00222F56"/>
    <w:rsid w:val="002269D9"/>
    <w:rsid w:val="00234AD4"/>
    <w:rsid w:val="00237583"/>
    <w:rsid w:val="002460BE"/>
    <w:rsid w:val="00247353"/>
    <w:rsid w:val="0025455C"/>
    <w:rsid w:val="00257BD7"/>
    <w:rsid w:val="00261CE5"/>
    <w:rsid w:val="002659AE"/>
    <w:rsid w:val="0026644B"/>
    <w:rsid w:val="00273D55"/>
    <w:rsid w:val="0028261B"/>
    <w:rsid w:val="00283C65"/>
    <w:rsid w:val="00285811"/>
    <w:rsid w:val="00293255"/>
    <w:rsid w:val="002941F8"/>
    <w:rsid w:val="002952E4"/>
    <w:rsid w:val="002A3D0D"/>
    <w:rsid w:val="002A3FF6"/>
    <w:rsid w:val="002A4921"/>
    <w:rsid w:val="002A643E"/>
    <w:rsid w:val="002B2A26"/>
    <w:rsid w:val="002B2C54"/>
    <w:rsid w:val="002B2C60"/>
    <w:rsid w:val="002B6832"/>
    <w:rsid w:val="002B7143"/>
    <w:rsid w:val="002B7647"/>
    <w:rsid w:val="002B7E57"/>
    <w:rsid w:val="002C5AA6"/>
    <w:rsid w:val="002D0C54"/>
    <w:rsid w:val="002D16CD"/>
    <w:rsid w:val="002D38E9"/>
    <w:rsid w:val="002D4DEF"/>
    <w:rsid w:val="002D62E4"/>
    <w:rsid w:val="002D7D3A"/>
    <w:rsid w:val="002E1F77"/>
    <w:rsid w:val="002E443D"/>
    <w:rsid w:val="002F2367"/>
    <w:rsid w:val="002F3B52"/>
    <w:rsid w:val="002F5A54"/>
    <w:rsid w:val="00301CB1"/>
    <w:rsid w:val="00304772"/>
    <w:rsid w:val="00306E1E"/>
    <w:rsid w:val="003117C2"/>
    <w:rsid w:val="00315B3B"/>
    <w:rsid w:val="00320886"/>
    <w:rsid w:val="0032151B"/>
    <w:rsid w:val="0032305C"/>
    <w:rsid w:val="00332D04"/>
    <w:rsid w:val="00333223"/>
    <w:rsid w:val="00333AEC"/>
    <w:rsid w:val="00333B69"/>
    <w:rsid w:val="00335731"/>
    <w:rsid w:val="00335D1E"/>
    <w:rsid w:val="00337154"/>
    <w:rsid w:val="0034354C"/>
    <w:rsid w:val="00344A3B"/>
    <w:rsid w:val="00353547"/>
    <w:rsid w:val="00357C65"/>
    <w:rsid w:val="00361834"/>
    <w:rsid w:val="00362D9F"/>
    <w:rsid w:val="003655B8"/>
    <w:rsid w:val="0037152D"/>
    <w:rsid w:val="00372E4B"/>
    <w:rsid w:val="00373453"/>
    <w:rsid w:val="0037425C"/>
    <w:rsid w:val="00375C14"/>
    <w:rsid w:val="00377BF5"/>
    <w:rsid w:val="00377E69"/>
    <w:rsid w:val="00380CBB"/>
    <w:rsid w:val="0038200F"/>
    <w:rsid w:val="00385741"/>
    <w:rsid w:val="00396BF0"/>
    <w:rsid w:val="003A00B6"/>
    <w:rsid w:val="003A38DC"/>
    <w:rsid w:val="003A6F1A"/>
    <w:rsid w:val="003B2FFB"/>
    <w:rsid w:val="003B3F83"/>
    <w:rsid w:val="003B52AA"/>
    <w:rsid w:val="003B7251"/>
    <w:rsid w:val="003C1313"/>
    <w:rsid w:val="003C1BC1"/>
    <w:rsid w:val="003C4672"/>
    <w:rsid w:val="003C48FF"/>
    <w:rsid w:val="003C76D1"/>
    <w:rsid w:val="003C7877"/>
    <w:rsid w:val="003D0370"/>
    <w:rsid w:val="003D04D3"/>
    <w:rsid w:val="003D0F6C"/>
    <w:rsid w:val="003D2BCF"/>
    <w:rsid w:val="003D42F1"/>
    <w:rsid w:val="003D72EF"/>
    <w:rsid w:val="003E0BE2"/>
    <w:rsid w:val="003E376F"/>
    <w:rsid w:val="003E4220"/>
    <w:rsid w:val="003E7E75"/>
    <w:rsid w:val="003F5F3A"/>
    <w:rsid w:val="0040048E"/>
    <w:rsid w:val="00407258"/>
    <w:rsid w:val="00407853"/>
    <w:rsid w:val="00411F46"/>
    <w:rsid w:val="00413B40"/>
    <w:rsid w:val="004160E9"/>
    <w:rsid w:val="00416141"/>
    <w:rsid w:val="0041679B"/>
    <w:rsid w:val="00422305"/>
    <w:rsid w:val="00435AB0"/>
    <w:rsid w:val="0043646D"/>
    <w:rsid w:val="00437638"/>
    <w:rsid w:val="004429D6"/>
    <w:rsid w:val="00445CFF"/>
    <w:rsid w:val="00470DB8"/>
    <w:rsid w:val="00472BBD"/>
    <w:rsid w:val="004809D8"/>
    <w:rsid w:val="00481D11"/>
    <w:rsid w:val="00481F01"/>
    <w:rsid w:val="00486571"/>
    <w:rsid w:val="00491699"/>
    <w:rsid w:val="004A64C8"/>
    <w:rsid w:val="004A6CA6"/>
    <w:rsid w:val="004B276A"/>
    <w:rsid w:val="004C583E"/>
    <w:rsid w:val="004D08C1"/>
    <w:rsid w:val="004D2245"/>
    <w:rsid w:val="004D5D35"/>
    <w:rsid w:val="004E2D0B"/>
    <w:rsid w:val="004E67BE"/>
    <w:rsid w:val="004E704C"/>
    <w:rsid w:val="004F1A27"/>
    <w:rsid w:val="00500C9E"/>
    <w:rsid w:val="005032F9"/>
    <w:rsid w:val="005075C6"/>
    <w:rsid w:val="00511736"/>
    <w:rsid w:val="00511A6E"/>
    <w:rsid w:val="005123CB"/>
    <w:rsid w:val="00512FF3"/>
    <w:rsid w:val="00523923"/>
    <w:rsid w:val="005246DC"/>
    <w:rsid w:val="005356FF"/>
    <w:rsid w:val="00544027"/>
    <w:rsid w:val="00544A89"/>
    <w:rsid w:val="0054592E"/>
    <w:rsid w:val="005468E0"/>
    <w:rsid w:val="00560841"/>
    <w:rsid w:val="00571B17"/>
    <w:rsid w:val="0057205C"/>
    <w:rsid w:val="00581FF0"/>
    <w:rsid w:val="00591246"/>
    <w:rsid w:val="005913F8"/>
    <w:rsid w:val="0059671E"/>
    <w:rsid w:val="005A643C"/>
    <w:rsid w:val="005B3739"/>
    <w:rsid w:val="005C19A4"/>
    <w:rsid w:val="005C70C5"/>
    <w:rsid w:val="005D0BBF"/>
    <w:rsid w:val="005D0DF4"/>
    <w:rsid w:val="005E629A"/>
    <w:rsid w:val="005E6FE1"/>
    <w:rsid w:val="005F1835"/>
    <w:rsid w:val="005F3AFC"/>
    <w:rsid w:val="006007DA"/>
    <w:rsid w:val="00611BEC"/>
    <w:rsid w:val="006172C9"/>
    <w:rsid w:val="00621835"/>
    <w:rsid w:val="00626681"/>
    <w:rsid w:val="00627536"/>
    <w:rsid w:val="006320CF"/>
    <w:rsid w:val="00632D59"/>
    <w:rsid w:val="00647CB5"/>
    <w:rsid w:val="00653E0C"/>
    <w:rsid w:val="006579B7"/>
    <w:rsid w:val="00661BE1"/>
    <w:rsid w:val="0066421E"/>
    <w:rsid w:val="006642C4"/>
    <w:rsid w:val="00665BE4"/>
    <w:rsid w:val="00670408"/>
    <w:rsid w:val="00674FCB"/>
    <w:rsid w:val="006752DE"/>
    <w:rsid w:val="0068655C"/>
    <w:rsid w:val="006907A6"/>
    <w:rsid w:val="006921D1"/>
    <w:rsid w:val="006968C1"/>
    <w:rsid w:val="006A5CFB"/>
    <w:rsid w:val="006B4298"/>
    <w:rsid w:val="006B7F68"/>
    <w:rsid w:val="006C5703"/>
    <w:rsid w:val="006C6719"/>
    <w:rsid w:val="006C688F"/>
    <w:rsid w:val="006C7D5A"/>
    <w:rsid w:val="006D1BD7"/>
    <w:rsid w:val="006D6C69"/>
    <w:rsid w:val="006E3053"/>
    <w:rsid w:val="006E3839"/>
    <w:rsid w:val="006F3357"/>
    <w:rsid w:val="007001DA"/>
    <w:rsid w:val="007013BE"/>
    <w:rsid w:val="0070263C"/>
    <w:rsid w:val="00703ED5"/>
    <w:rsid w:val="00711C06"/>
    <w:rsid w:val="0071297F"/>
    <w:rsid w:val="00725BAA"/>
    <w:rsid w:val="007325F1"/>
    <w:rsid w:val="00734508"/>
    <w:rsid w:val="0073454A"/>
    <w:rsid w:val="00737532"/>
    <w:rsid w:val="00744060"/>
    <w:rsid w:val="00744D3A"/>
    <w:rsid w:val="00746FD9"/>
    <w:rsid w:val="0075490C"/>
    <w:rsid w:val="00755A84"/>
    <w:rsid w:val="00756755"/>
    <w:rsid w:val="007613B3"/>
    <w:rsid w:val="00772264"/>
    <w:rsid w:val="00773A76"/>
    <w:rsid w:val="00774438"/>
    <w:rsid w:val="0077665A"/>
    <w:rsid w:val="007826F8"/>
    <w:rsid w:val="007878AD"/>
    <w:rsid w:val="00791119"/>
    <w:rsid w:val="007A4E6B"/>
    <w:rsid w:val="007A537D"/>
    <w:rsid w:val="007B2C71"/>
    <w:rsid w:val="007B482F"/>
    <w:rsid w:val="007B6BF8"/>
    <w:rsid w:val="007C2A22"/>
    <w:rsid w:val="007C40D6"/>
    <w:rsid w:val="007C5616"/>
    <w:rsid w:val="007C6B27"/>
    <w:rsid w:val="007C7F78"/>
    <w:rsid w:val="007D5968"/>
    <w:rsid w:val="007D7750"/>
    <w:rsid w:val="007E3025"/>
    <w:rsid w:val="007E73F5"/>
    <w:rsid w:val="007E7996"/>
    <w:rsid w:val="007F0F35"/>
    <w:rsid w:val="007F3D12"/>
    <w:rsid w:val="007F3DD2"/>
    <w:rsid w:val="007F5EEF"/>
    <w:rsid w:val="007F7630"/>
    <w:rsid w:val="00801C3E"/>
    <w:rsid w:val="0080603F"/>
    <w:rsid w:val="00806AF3"/>
    <w:rsid w:val="00812FFA"/>
    <w:rsid w:val="008131CD"/>
    <w:rsid w:val="00813D3A"/>
    <w:rsid w:val="008157D3"/>
    <w:rsid w:val="00817ED4"/>
    <w:rsid w:val="00820D38"/>
    <w:rsid w:val="008270DA"/>
    <w:rsid w:val="00830DFD"/>
    <w:rsid w:val="00835233"/>
    <w:rsid w:val="00845125"/>
    <w:rsid w:val="00861563"/>
    <w:rsid w:val="00873C12"/>
    <w:rsid w:val="008753B1"/>
    <w:rsid w:val="00883D70"/>
    <w:rsid w:val="00884F21"/>
    <w:rsid w:val="00887D8D"/>
    <w:rsid w:val="00892A1D"/>
    <w:rsid w:val="008949CC"/>
    <w:rsid w:val="00894E03"/>
    <w:rsid w:val="00896876"/>
    <w:rsid w:val="008A2821"/>
    <w:rsid w:val="008B0A0B"/>
    <w:rsid w:val="008B3BDE"/>
    <w:rsid w:val="008C3478"/>
    <w:rsid w:val="008C5626"/>
    <w:rsid w:val="008C5761"/>
    <w:rsid w:val="008D79DD"/>
    <w:rsid w:val="008E1C01"/>
    <w:rsid w:val="008E375E"/>
    <w:rsid w:val="008E4D68"/>
    <w:rsid w:val="008E600B"/>
    <w:rsid w:val="008F0467"/>
    <w:rsid w:val="0090065A"/>
    <w:rsid w:val="0090081A"/>
    <w:rsid w:val="009011FD"/>
    <w:rsid w:val="00901680"/>
    <w:rsid w:val="00902708"/>
    <w:rsid w:val="009038ED"/>
    <w:rsid w:val="00903E9D"/>
    <w:rsid w:val="009042EC"/>
    <w:rsid w:val="00905953"/>
    <w:rsid w:val="00906E2A"/>
    <w:rsid w:val="009129CB"/>
    <w:rsid w:val="0091382D"/>
    <w:rsid w:val="00916DA9"/>
    <w:rsid w:val="00916F4E"/>
    <w:rsid w:val="009203FF"/>
    <w:rsid w:val="00922632"/>
    <w:rsid w:val="00922852"/>
    <w:rsid w:val="009247BD"/>
    <w:rsid w:val="00926B27"/>
    <w:rsid w:val="00935C36"/>
    <w:rsid w:val="009362D5"/>
    <w:rsid w:val="00940721"/>
    <w:rsid w:val="009512AC"/>
    <w:rsid w:val="00951FFF"/>
    <w:rsid w:val="0095309F"/>
    <w:rsid w:val="00960715"/>
    <w:rsid w:val="0096249B"/>
    <w:rsid w:val="00962F0B"/>
    <w:rsid w:val="009637FF"/>
    <w:rsid w:val="00963C52"/>
    <w:rsid w:val="009657AF"/>
    <w:rsid w:val="00965FCF"/>
    <w:rsid w:val="00970353"/>
    <w:rsid w:val="00970EBD"/>
    <w:rsid w:val="0097186C"/>
    <w:rsid w:val="009736A5"/>
    <w:rsid w:val="009749F9"/>
    <w:rsid w:val="00975173"/>
    <w:rsid w:val="00975550"/>
    <w:rsid w:val="00982874"/>
    <w:rsid w:val="009862FD"/>
    <w:rsid w:val="00990DA1"/>
    <w:rsid w:val="00992E90"/>
    <w:rsid w:val="009A1C63"/>
    <w:rsid w:val="009A5A59"/>
    <w:rsid w:val="009B2702"/>
    <w:rsid w:val="009B3C84"/>
    <w:rsid w:val="009B6BAC"/>
    <w:rsid w:val="009C3B90"/>
    <w:rsid w:val="009C48D5"/>
    <w:rsid w:val="009C7B8F"/>
    <w:rsid w:val="009D1423"/>
    <w:rsid w:val="009D4CBE"/>
    <w:rsid w:val="009D5ED5"/>
    <w:rsid w:val="009E758D"/>
    <w:rsid w:val="009E7A0B"/>
    <w:rsid w:val="00A0375D"/>
    <w:rsid w:val="00A070CB"/>
    <w:rsid w:val="00A11FA1"/>
    <w:rsid w:val="00A15D12"/>
    <w:rsid w:val="00A2032D"/>
    <w:rsid w:val="00A24983"/>
    <w:rsid w:val="00A3477D"/>
    <w:rsid w:val="00A3559C"/>
    <w:rsid w:val="00A56EC7"/>
    <w:rsid w:val="00A6029D"/>
    <w:rsid w:val="00A71AB3"/>
    <w:rsid w:val="00A73543"/>
    <w:rsid w:val="00A765F0"/>
    <w:rsid w:val="00A7722C"/>
    <w:rsid w:val="00A779FA"/>
    <w:rsid w:val="00A80C16"/>
    <w:rsid w:val="00A8354D"/>
    <w:rsid w:val="00A85059"/>
    <w:rsid w:val="00A85634"/>
    <w:rsid w:val="00A86EA8"/>
    <w:rsid w:val="00A86F86"/>
    <w:rsid w:val="00A94248"/>
    <w:rsid w:val="00A96366"/>
    <w:rsid w:val="00AA7D47"/>
    <w:rsid w:val="00AC083A"/>
    <w:rsid w:val="00AC7668"/>
    <w:rsid w:val="00AC78AC"/>
    <w:rsid w:val="00AD1BC0"/>
    <w:rsid w:val="00AD4CE6"/>
    <w:rsid w:val="00AD7421"/>
    <w:rsid w:val="00AE113E"/>
    <w:rsid w:val="00AE4435"/>
    <w:rsid w:val="00AE48C4"/>
    <w:rsid w:val="00AF077A"/>
    <w:rsid w:val="00AF1895"/>
    <w:rsid w:val="00AF3B0E"/>
    <w:rsid w:val="00AF660F"/>
    <w:rsid w:val="00AF7DE5"/>
    <w:rsid w:val="00B0241D"/>
    <w:rsid w:val="00B02636"/>
    <w:rsid w:val="00B03883"/>
    <w:rsid w:val="00B05ABF"/>
    <w:rsid w:val="00B10F59"/>
    <w:rsid w:val="00B14BE6"/>
    <w:rsid w:val="00B179E6"/>
    <w:rsid w:val="00B22FF0"/>
    <w:rsid w:val="00B25923"/>
    <w:rsid w:val="00B27C8F"/>
    <w:rsid w:val="00B31F18"/>
    <w:rsid w:val="00B35723"/>
    <w:rsid w:val="00B37562"/>
    <w:rsid w:val="00B4127F"/>
    <w:rsid w:val="00B415E7"/>
    <w:rsid w:val="00B512CF"/>
    <w:rsid w:val="00B53DA8"/>
    <w:rsid w:val="00B54229"/>
    <w:rsid w:val="00B63042"/>
    <w:rsid w:val="00B63E76"/>
    <w:rsid w:val="00B642E3"/>
    <w:rsid w:val="00B66403"/>
    <w:rsid w:val="00B66698"/>
    <w:rsid w:val="00B677D8"/>
    <w:rsid w:val="00B814B7"/>
    <w:rsid w:val="00B81D04"/>
    <w:rsid w:val="00B84938"/>
    <w:rsid w:val="00B87A5B"/>
    <w:rsid w:val="00B969B9"/>
    <w:rsid w:val="00B96CAE"/>
    <w:rsid w:val="00BA2BAF"/>
    <w:rsid w:val="00BA7FA7"/>
    <w:rsid w:val="00BB1006"/>
    <w:rsid w:val="00BB1110"/>
    <w:rsid w:val="00BB4A6F"/>
    <w:rsid w:val="00BB79B4"/>
    <w:rsid w:val="00BC0092"/>
    <w:rsid w:val="00BC06E9"/>
    <w:rsid w:val="00BC3722"/>
    <w:rsid w:val="00BC7624"/>
    <w:rsid w:val="00BD4B04"/>
    <w:rsid w:val="00BF1922"/>
    <w:rsid w:val="00BF605F"/>
    <w:rsid w:val="00C046B2"/>
    <w:rsid w:val="00C07AF0"/>
    <w:rsid w:val="00C2497A"/>
    <w:rsid w:val="00C25DC0"/>
    <w:rsid w:val="00C34C2B"/>
    <w:rsid w:val="00C401E7"/>
    <w:rsid w:val="00C448ED"/>
    <w:rsid w:val="00C47DF1"/>
    <w:rsid w:val="00C62EFB"/>
    <w:rsid w:val="00C67879"/>
    <w:rsid w:val="00C756A2"/>
    <w:rsid w:val="00C77B32"/>
    <w:rsid w:val="00C9040C"/>
    <w:rsid w:val="00C92726"/>
    <w:rsid w:val="00C938E3"/>
    <w:rsid w:val="00C972F8"/>
    <w:rsid w:val="00CA2AFE"/>
    <w:rsid w:val="00CA5074"/>
    <w:rsid w:val="00CA5E93"/>
    <w:rsid w:val="00CB3A47"/>
    <w:rsid w:val="00CB4184"/>
    <w:rsid w:val="00CC320F"/>
    <w:rsid w:val="00CC35BC"/>
    <w:rsid w:val="00CC6D4C"/>
    <w:rsid w:val="00CD3149"/>
    <w:rsid w:val="00CD3E5C"/>
    <w:rsid w:val="00CD6CFB"/>
    <w:rsid w:val="00CD7A9C"/>
    <w:rsid w:val="00CE46A7"/>
    <w:rsid w:val="00CE769B"/>
    <w:rsid w:val="00CF23FC"/>
    <w:rsid w:val="00D03797"/>
    <w:rsid w:val="00D042EF"/>
    <w:rsid w:val="00D05933"/>
    <w:rsid w:val="00D1284C"/>
    <w:rsid w:val="00D17977"/>
    <w:rsid w:val="00D23C97"/>
    <w:rsid w:val="00D24E21"/>
    <w:rsid w:val="00D26336"/>
    <w:rsid w:val="00D3303B"/>
    <w:rsid w:val="00D35998"/>
    <w:rsid w:val="00D40E90"/>
    <w:rsid w:val="00D415FB"/>
    <w:rsid w:val="00D42B3E"/>
    <w:rsid w:val="00D460BE"/>
    <w:rsid w:val="00D5258E"/>
    <w:rsid w:val="00D541BC"/>
    <w:rsid w:val="00D61A9A"/>
    <w:rsid w:val="00D64897"/>
    <w:rsid w:val="00D67207"/>
    <w:rsid w:val="00D675C4"/>
    <w:rsid w:val="00D72E5E"/>
    <w:rsid w:val="00D80E58"/>
    <w:rsid w:val="00D84097"/>
    <w:rsid w:val="00D8530E"/>
    <w:rsid w:val="00D86D91"/>
    <w:rsid w:val="00D92AE1"/>
    <w:rsid w:val="00DA61F7"/>
    <w:rsid w:val="00DB6549"/>
    <w:rsid w:val="00DC286E"/>
    <w:rsid w:val="00DC364D"/>
    <w:rsid w:val="00DC51AB"/>
    <w:rsid w:val="00DE40E3"/>
    <w:rsid w:val="00E00B53"/>
    <w:rsid w:val="00E033EA"/>
    <w:rsid w:val="00E10F4B"/>
    <w:rsid w:val="00E13740"/>
    <w:rsid w:val="00E169C9"/>
    <w:rsid w:val="00E2153C"/>
    <w:rsid w:val="00E21F4E"/>
    <w:rsid w:val="00E24709"/>
    <w:rsid w:val="00E42A80"/>
    <w:rsid w:val="00E5163F"/>
    <w:rsid w:val="00E526F1"/>
    <w:rsid w:val="00E5318A"/>
    <w:rsid w:val="00E53CA6"/>
    <w:rsid w:val="00E54A5D"/>
    <w:rsid w:val="00E55B2F"/>
    <w:rsid w:val="00E612AA"/>
    <w:rsid w:val="00E61D56"/>
    <w:rsid w:val="00E630F3"/>
    <w:rsid w:val="00E654DC"/>
    <w:rsid w:val="00E671B1"/>
    <w:rsid w:val="00E70198"/>
    <w:rsid w:val="00E714D4"/>
    <w:rsid w:val="00E75D74"/>
    <w:rsid w:val="00E82A93"/>
    <w:rsid w:val="00E841E6"/>
    <w:rsid w:val="00E90BF0"/>
    <w:rsid w:val="00E96DE9"/>
    <w:rsid w:val="00E96F6A"/>
    <w:rsid w:val="00E97529"/>
    <w:rsid w:val="00EA2C0B"/>
    <w:rsid w:val="00EA579D"/>
    <w:rsid w:val="00EA6D4D"/>
    <w:rsid w:val="00EA7F5C"/>
    <w:rsid w:val="00EB76A6"/>
    <w:rsid w:val="00EC5E3A"/>
    <w:rsid w:val="00ED5945"/>
    <w:rsid w:val="00ED5F62"/>
    <w:rsid w:val="00EE1C4F"/>
    <w:rsid w:val="00EE3A60"/>
    <w:rsid w:val="00EE7747"/>
    <w:rsid w:val="00EF5A83"/>
    <w:rsid w:val="00F027D0"/>
    <w:rsid w:val="00F14C7D"/>
    <w:rsid w:val="00F2296D"/>
    <w:rsid w:val="00F2300E"/>
    <w:rsid w:val="00F24528"/>
    <w:rsid w:val="00F246C3"/>
    <w:rsid w:val="00F31886"/>
    <w:rsid w:val="00F32637"/>
    <w:rsid w:val="00F349B0"/>
    <w:rsid w:val="00F35E74"/>
    <w:rsid w:val="00F37027"/>
    <w:rsid w:val="00F44A44"/>
    <w:rsid w:val="00F509A4"/>
    <w:rsid w:val="00F51795"/>
    <w:rsid w:val="00F55269"/>
    <w:rsid w:val="00F7484C"/>
    <w:rsid w:val="00F834BF"/>
    <w:rsid w:val="00F8439C"/>
    <w:rsid w:val="00F87E85"/>
    <w:rsid w:val="00F90618"/>
    <w:rsid w:val="00F97B64"/>
    <w:rsid w:val="00FA117E"/>
    <w:rsid w:val="00FA55CB"/>
    <w:rsid w:val="00FA606D"/>
    <w:rsid w:val="00FB6F21"/>
    <w:rsid w:val="00FC0E72"/>
    <w:rsid w:val="00FC1ABD"/>
    <w:rsid w:val="00FC34E4"/>
    <w:rsid w:val="00FE1530"/>
    <w:rsid w:val="00FE3848"/>
    <w:rsid w:val="00FE3E76"/>
    <w:rsid w:val="00FE46C7"/>
    <w:rsid w:val="00FE7384"/>
    <w:rsid w:val="00FF3BE8"/>
    <w:rsid w:val="00FF4260"/>
    <w:rsid w:val="00FF5470"/>
    <w:rsid w:val="00FF68D3"/>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42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References,Title Style 1,Numbered List Paragraph,lp1,r2,Paragraphe 2,Colorful List - Accent 12,List Paragraph (numbered (a)),List Bullet-OpsManual,List_Paragraph,Multilevel para_II,List Paragraph1,MC Paragraphe Liste,Premier"/>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References Char,Title Style 1 Char,Numbered List Paragraph Char,lp1 Char,r2 Char,Paragraphe 2 Char,Colorful List - Accent 12 Char,List Paragraph (numbered (a)) Char,List Bullet-OpsManual Char,List_Paragraph Char"/>
    <w:link w:val="ListParagraph"/>
    <w:uiPriority w:val="34"/>
    <w:qFormat/>
    <w:locked/>
    <w:rsid w:val="00922632"/>
    <w:rPr>
      <w:rFonts w:ascii="Arial" w:eastAsia="MS PGothic" w:hAnsi="Arial"/>
      <w:color w:val="000000"/>
    </w:rPr>
  </w:style>
  <w:style w:type="character" w:styleId="CommentReference">
    <w:name w:val="annotation reference"/>
    <w:basedOn w:val="DefaultParagraphFont"/>
    <w:semiHidden/>
    <w:unhideWhenUsed/>
    <w:rsid w:val="007C40D6"/>
    <w:rPr>
      <w:sz w:val="16"/>
      <w:szCs w:val="16"/>
    </w:rPr>
  </w:style>
  <w:style w:type="paragraph" w:styleId="CommentSubject">
    <w:name w:val="annotation subject"/>
    <w:basedOn w:val="CommentText"/>
    <w:next w:val="CommentText"/>
    <w:link w:val="CommentSubjectChar"/>
    <w:semiHidden/>
    <w:unhideWhenUsed/>
    <w:rsid w:val="007C40D6"/>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C40D6"/>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B3DE3A6FCD04893F2932C00FF0282" ma:contentTypeVersion="13" ma:contentTypeDescription="Create a new document." ma:contentTypeScope="" ma:versionID="c2b14730fcbb55aa747a24f3c89b7aef">
  <xsd:schema xmlns:xsd="http://www.w3.org/2001/XMLSchema" xmlns:xs="http://www.w3.org/2001/XMLSchema" xmlns:p="http://schemas.microsoft.com/office/2006/metadata/properties" xmlns:ns3="5ffd985c-0f27-4291-9cd8-ef19f82aec6e" xmlns:ns4="1cab0d39-ec71-4c63-b50d-6a664434c04c" targetNamespace="http://schemas.microsoft.com/office/2006/metadata/properties" ma:root="true" ma:fieldsID="0b3c60ed9757dcfdfcedddb8a099aa5d" ns3:_="" ns4:_="">
    <xsd:import namespace="5ffd985c-0f27-4291-9cd8-ef19f82aec6e"/>
    <xsd:import namespace="1cab0d39-ec71-4c63-b50d-6a664434c0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d985c-0f27-4291-9cd8-ef19f82ae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b0d39-ec71-4c63-b50d-6a664434c0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cab0d39-ec71-4c63-b50d-6a664434c04c">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documentManagement>
</p:properties>
</file>

<file path=customXml/itemProps1.xml><?xml version="1.0" encoding="utf-8"?>
<ds:datastoreItem xmlns:ds="http://schemas.openxmlformats.org/officeDocument/2006/customXml" ds:itemID="{2E94AE74-F70E-4B52-A487-BBC68D33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d985c-0f27-4291-9cd8-ef19f82aec6e"/>
    <ds:schemaRef ds:uri="1cab0d39-ec71-4c63-b50d-6a66443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1cab0d39-ec71-4c63-b50d-6a664434c04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5</Pages>
  <Words>1734</Words>
  <Characters>9194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Terms of Reference</vt:lpstr>
    </vt:vector>
  </TitlesOfParts>
  <Company>UNICEF</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Amany Faustin Yao</dc:creator>
  <cp:keywords>Consultant ; Terms of reference</cp:keywords>
  <dc:description/>
  <cp:lastModifiedBy>Evy Diakiese</cp:lastModifiedBy>
  <cp:revision>2</cp:revision>
  <cp:lastPrinted>2017-01-06T22:20:00Z</cp:lastPrinted>
  <dcterms:created xsi:type="dcterms:W3CDTF">2022-06-07T16:51:00Z</dcterms:created>
  <dcterms:modified xsi:type="dcterms:W3CDTF">2022-06-07T16:51:00Z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0x0101001F1B3DE3A6FCD04893F2932C00FF0282</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