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14:paraId="40F338F1" w14:textId="77777777" w:rsidTr="78C0108F">
        <w:trPr>
          <w:cantSplit/>
          <w:trHeight w:val="1485"/>
        </w:trPr>
        <w:tc>
          <w:tcPr>
            <w:tcW w:w="1458" w:type="dxa"/>
            <w:shd w:val="clear" w:color="auto" w:fill="FFFFFF" w:themeFill="background1"/>
            <w:vAlign w:val="center"/>
          </w:tcPr>
          <w:p w14:paraId="5597CA4A" w14:textId="77777777" w:rsidR="00B466A4" w:rsidRPr="00C87D05" w:rsidRDefault="000E0266" w:rsidP="78C0108F">
            <w:pPr>
              <w:jc w:val="center"/>
              <w:rPr>
                <w:b/>
                <w:bCs/>
                <w:color w:val="FF0000"/>
                <w:sz w:val="22"/>
                <w:szCs w:val="22"/>
              </w:rPr>
            </w:pPr>
            <w:r>
              <w:rPr>
                <w:noProof/>
              </w:rPr>
              <w:drawing>
                <wp:inline distT="0" distB="0" distL="0" distR="0" wp14:anchorId="54E6448C" wp14:editId="1343AAD0">
                  <wp:extent cx="725356" cy="817842"/>
                  <wp:effectExtent l="0" t="0" r="0" b="1905"/>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733584" cy="827119"/>
                          </a:xfrm>
                          <a:prstGeom prst="rect">
                            <a:avLst/>
                          </a:prstGeom>
                        </pic:spPr>
                      </pic:pic>
                    </a:graphicData>
                  </a:graphic>
                </wp:inline>
              </w:drawing>
            </w:r>
          </w:p>
        </w:tc>
        <w:tc>
          <w:tcPr>
            <w:tcW w:w="7047" w:type="dxa"/>
            <w:shd w:val="clear" w:color="auto" w:fill="FFFFFF" w:themeFill="background1"/>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6527F99E" w14:textId="77777777" w:rsidR="00B466A4" w:rsidRDefault="00B466A4" w:rsidP="00B466A4">
            <w:pPr>
              <w:jc w:val="center"/>
              <w:rPr>
                <w:b/>
                <w:sz w:val="22"/>
              </w:rPr>
            </w:pPr>
            <w:r>
              <w:rPr>
                <w:b/>
                <w:sz w:val="22"/>
              </w:rPr>
              <w:t>UNITED NATIONS CHILDREN’S FUND</w:t>
            </w:r>
          </w:p>
          <w:p w14:paraId="49A01AF5" w14:textId="77777777" w:rsidR="00B466A4" w:rsidRDefault="00B466A4" w:rsidP="00B466A4">
            <w:pPr>
              <w:jc w:val="center"/>
              <w:rPr>
                <w:b/>
                <w:sz w:val="22"/>
              </w:rPr>
            </w:pPr>
            <w:r>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8"/>
        <w:gridCol w:w="4312"/>
      </w:tblGrid>
      <w:tr w:rsidR="00B466A4" w14:paraId="5D81A3E1" w14:textId="77777777" w:rsidTr="45A5E76B">
        <w:tc>
          <w:tcPr>
            <w:tcW w:w="8856" w:type="dxa"/>
            <w:gridSpan w:val="2"/>
            <w:shd w:val="clear" w:color="auto" w:fill="E0E0E0"/>
          </w:tcPr>
          <w:p w14:paraId="1626B4CA" w14:textId="77777777" w:rsidR="00B466A4" w:rsidRDefault="00B466A4"/>
          <w:p w14:paraId="2050F988" w14:textId="4F90D08A" w:rsidR="00B466A4" w:rsidRDefault="00B466A4" w:rsidP="45A5E76B">
            <w:pPr>
              <w:rPr>
                <w:b/>
                <w:bCs/>
                <w:sz w:val="24"/>
              </w:rPr>
            </w:pPr>
            <w:r w:rsidRPr="45A5E76B">
              <w:rPr>
                <w:b/>
                <w:bCs/>
                <w:sz w:val="24"/>
              </w:rPr>
              <w:t>I. Post Information</w:t>
            </w:r>
          </w:p>
        </w:tc>
      </w:tr>
      <w:tr w:rsidR="00B466A4" w14:paraId="6FE0F83B" w14:textId="77777777" w:rsidTr="45A5E76B">
        <w:tc>
          <w:tcPr>
            <w:tcW w:w="4428" w:type="dxa"/>
          </w:tcPr>
          <w:p w14:paraId="5178E7E6" w14:textId="77777777" w:rsidR="00B466A4" w:rsidRDefault="00B466A4"/>
          <w:p w14:paraId="26653162" w14:textId="64DE4902" w:rsidR="00B466A4" w:rsidRPr="00A23AD1" w:rsidRDefault="00B466A4" w:rsidP="746555A5">
            <w:pPr>
              <w:rPr>
                <w:rFonts w:cs="Arial"/>
                <w:b/>
                <w:bCs/>
              </w:rPr>
            </w:pPr>
            <w:r w:rsidRPr="746555A5">
              <w:rPr>
                <w:rFonts w:cs="Arial"/>
              </w:rPr>
              <w:t xml:space="preserve">Job Title: </w:t>
            </w:r>
            <w:r w:rsidR="00985986" w:rsidRPr="746555A5">
              <w:rPr>
                <w:rFonts w:cs="Arial"/>
                <w:b/>
                <w:bCs/>
              </w:rPr>
              <w:t>Immunization Specialist</w:t>
            </w:r>
            <w:r w:rsidR="13AE59EF" w:rsidRPr="746555A5">
              <w:rPr>
                <w:rFonts w:cs="Arial"/>
                <w:b/>
                <w:bCs/>
              </w:rPr>
              <w:t xml:space="preserve"> – </w:t>
            </w:r>
            <w:r w:rsidR="0084277C" w:rsidRPr="746555A5">
              <w:rPr>
                <w:rFonts w:cs="Arial"/>
                <w:b/>
                <w:bCs/>
              </w:rPr>
              <w:t>Pandemic Preparedness and Response</w:t>
            </w:r>
          </w:p>
          <w:p w14:paraId="741E2F1A" w14:textId="429AE141" w:rsidR="000507DA" w:rsidRPr="002B222A" w:rsidRDefault="00FD6775" w:rsidP="00B466A4">
            <w:pPr>
              <w:rPr>
                <w:b/>
                <w:bCs/>
              </w:rPr>
            </w:pPr>
            <w:r>
              <w:t xml:space="preserve">UNICEF Supervisor Title/ Level: </w:t>
            </w:r>
            <w:r w:rsidR="00E52CBE" w:rsidRPr="00733418">
              <w:rPr>
                <w:b/>
                <w:bCs/>
              </w:rPr>
              <w:t>Senior</w:t>
            </w:r>
            <w:r w:rsidR="00E52CBE">
              <w:t xml:space="preserve"> </w:t>
            </w:r>
            <w:r w:rsidR="002B222A" w:rsidRPr="002B222A">
              <w:rPr>
                <w:b/>
                <w:bCs/>
              </w:rPr>
              <w:t>Advis</w:t>
            </w:r>
            <w:r w:rsidR="00D9142E">
              <w:rPr>
                <w:b/>
                <w:bCs/>
              </w:rPr>
              <w:t>e</w:t>
            </w:r>
            <w:r w:rsidR="002B222A" w:rsidRPr="002B222A">
              <w:rPr>
                <w:b/>
                <w:bCs/>
              </w:rPr>
              <w:t>r</w:t>
            </w:r>
            <w:r w:rsidR="00733418">
              <w:rPr>
                <w:b/>
                <w:bCs/>
              </w:rPr>
              <w:t xml:space="preserve"> Hea</w:t>
            </w:r>
            <w:r w:rsidR="00D9142E">
              <w:rPr>
                <w:b/>
                <w:bCs/>
              </w:rPr>
              <w:t>lth</w:t>
            </w:r>
            <w:r w:rsidR="002B222A">
              <w:rPr>
                <w:b/>
                <w:bCs/>
              </w:rPr>
              <w:t>, P5</w:t>
            </w:r>
            <w:r w:rsidR="00455BB4">
              <w:rPr>
                <w:b/>
                <w:bCs/>
              </w:rPr>
              <w:t>, Post#41607</w:t>
            </w:r>
          </w:p>
          <w:p w14:paraId="4624C0DD" w14:textId="6757E6C1" w:rsidR="000A112F" w:rsidRPr="005B4263" w:rsidRDefault="00B466A4" w:rsidP="000A112F">
            <w:pPr>
              <w:shd w:val="clear" w:color="auto" w:fill="FFFFFF"/>
              <w:rPr>
                <w:b/>
                <w:bCs/>
              </w:rPr>
            </w:pPr>
            <w:r>
              <w:t xml:space="preserve">Organizational Unit: </w:t>
            </w:r>
            <w:r w:rsidR="00D9142E">
              <w:rPr>
                <w:b/>
                <w:bCs/>
              </w:rPr>
              <w:t xml:space="preserve">Immunization Section, </w:t>
            </w:r>
            <w:r w:rsidR="005B5936" w:rsidRPr="005B5936">
              <w:rPr>
                <w:b/>
                <w:bCs/>
              </w:rPr>
              <w:t xml:space="preserve">PG-Health-Immunization, O/P </w:t>
            </w:r>
            <w:r w:rsidR="005B5936">
              <w:rPr>
                <w:b/>
                <w:bCs/>
              </w:rPr>
              <w:t xml:space="preserve">Nairobi, </w:t>
            </w:r>
            <w:r w:rsidR="00455BB4">
              <w:rPr>
                <w:b/>
                <w:bCs/>
              </w:rPr>
              <w:t xml:space="preserve">Org.ID: </w:t>
            </w:r>
            <w:r w:rsidR="005B5936">
              <w:rPr>
                <w:b/>
                <w:bCs/>
              </w:rPr>
              <w:t>2453</w:t>
            </w:r>
          </w:p>
          <w:p w14:paraId="4BC343C4" w14:textId="39B2F14E" w:rsidR="00B466A4" w:rsidRPr="00FD6775" w:rsidRDefault="00B466A4" w:rsidP="00C5029E">
            <w:r w:rsidRPr="00FD6775">
              <w:t xml:space="preserve">Post Location: </w:t>
            </w:r>
            <w:r w:rsidR="005B5936" w:rsidRPr="005B5936">
              <w:rPr>
                <w:b/>
                <w:bCs/>
              </w:rPr>
              <w:t>Nairobi, Kenya</w:t>
            </w:r>
          </w:p>
        </w:tc>
        <w:tc>
          <w:tcPr>
            <w:tcW w:w="4428" w:type="dxa"/>
          </w:tcPr>
          <w:p w14:paraId="1D0B94FD" w14:textId="6EB76CE7" w:rsidR="00B466A4" w:rsidRPr="00FD6775" w:rsidRDefault="00B466A4"/>
          <w:p w14:paraId="605F7F21" w14:textId="590CE285" w:rsidR="00B466A4" w:rsidRPr="00D810B2" w:rsidRDefault="00DB46E8" w:rsidP="00B466A4">
            <w:pPr>
              <w:rPr>
                <w:b/>
              </w:rPr>
            </w:pPr>
            <w:r>
              <w:t>Job Level:</w:t>
            </w:r>
            <w:r w:rsidR="00FD6775">
              <w:t xml:space="preserve"> </w:t>
            </w:r>
            <w:r w:rsidR="00FD6775" w:rsidRPr="003F1D5F">
              <w:rPr>
                <w:b/>
                <w:bCs/>
              </w:rPr>
              <w:t>P</w:t>
            </w:r>
            <w:r w:rsidR="00E52CBE">
              <w:rPr>
                <w:b/>
                <w:bCs/>
              </w:rPr>
              <w:t>4</w:t>
            </w:r>
            <w:r w:rsidR="006A14EF">
              <w:rPr>
                <w:b/>
                <w:bCs/>
              </w:rPr>
              <w:t xml:space="preserve"> (TA)</w:t>
            </w:r>
          </w:p>
          <w:p w14:paraId="4A9D114B" w14:textId="2005BC21" w:rsidR="00B466A4" w:rsidRDefault="00B466A4">
            <w:r>
              <w:t xml:space="preserve">Job Profile No.: </w:t>
            </w:r>
          </w:p>
          <w:p w14:paraId="06AD5134" w14:textId="68E79519" w:rsidR="00B466A4" w:rsidRDefault="00B466A4">
            <w:r>
              <w:t>CCOG Code:</w:t>
            </w:r>
          </w:p>
          <w:p w14:paraId="4210DB08" w14:textId="7BD1F9B9" w:rsidR="00B466A4" w:rsidRDefault="00B466A4">
            <w:r>
              <w:t>Functional Code:</w:t>
            </w:r>
          </w:p>
          <w:p w14:paraId="1BAFA304" w14:textId="07810DD9" w:rsidR="00B466A4" w:rsidRDefault="00B466A4" w:rsidP="00B466A4">
            <w:pPr>
              <w:rPr>
                <w:color w:val="FF0000"/>
              </w:rPr>
            </w:pPr>
            <w:r>
              <w:t>Job Classification Level:</w:t>
            </w:r>
            <w:r w:rsidR="003F1D5F">
              <w:t xml:space="preserve"> </w:t>
            </w:r>
            <w:r w:rsidR="003F1D5F" w:rsidRPr="003F1D5F">
              <w:rPr>
                <w:b/>
                <w:bCs/>
              </w:rPr>
              <w:t>P</w:t>
            </w:r>
            <w:r w:rsidR="00D9142E">
              <w:rPr>
                <w:b/>
                <w:bCs/>
              </w:rPr>
              <w:t>4</w:t>
            </w:r>
          </w:p>
          <w:p w14:paraId="3C0D9384" w14:textId="77777777" w:rsidR="00B466A4" w:rsidRDefault="00B466A4" w:rsidP="00B466A4"/>
        </w:tc>
      </w:tr>
    </w:tbl>
    <w:p w14:paraId="249FE200" w14:textId="43E11FAB"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B24BAD1" w14:textId="77777777" w:rsidTr="45A5E76B">
        <w:tc>
          <w:tcPr>
            <w:tcW w:w="8856" w:type="dxa"/>
            <w:tcBorders>
              <w:bottom w:val="single" w:sz="4" w:space="0" w:color="auto"/>
            </w:tcBorders>
            <w:shd w:val="clear" w:color="auto" w:fill="E0E0E0"/>
          </w:tcPr>
          <w:p w14:paraId="24ADE980" w14:textId="77777777" w:rsidR="00B466A4" w:rsidRDefault="00B466A4">
            <w:pPr>
              <w:pStyle w:val="Heading1"/>
            </w:pPr>
          </w:p>
          <w:p w14:paraId="3DE2A6C5" w14:textId="2231878F" w:rsidR="00B466A4" w:rsidRDefault="00B466A4">
            <w:pPr>
              <w:pStyle w:val="Heading1"/>
            </w:pPr>
            <w:r>
              <w:t xml:space="preserve">II. </w:t>
            </w:r>
            <w:r w:rsidR="0097359A">
              <w:t>Strategic office context and p</w:t>
            </w:r>
            <w:r>
              <w:t>urpose for the job</w:t>
            </w:r>
          </w:p>
        </w:tc>
      </w:tr>
      <w:tr w:rsidR="00B466A4" w14:paraId="15B702F1" w14:textId="77777777" w:rsidTr="45A5E76B">
        <w:tc>
          <w:tcPr>
            <w:tcW w:w="8856" w:type="dxa"/>
          </w:tcPr>
          <w:p w14:paraId="5D7A85F5" w14:textId="3A2DB10A" w:rsidR="00B466A4" w:rsidRPr="009A5A1E" w:rsidRDefault="00B466A4" w:rsidP="008B73EA">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4071F2ED" w14:textId="0D62799F" w:rsidR="00B466A4" w:rsidRDefault="00B466A4" w:rsidP="009316DD">
            <w:pPr>
              <w:rPr>
                <w:rFonts w:cs="Arial"/>
                <w:szCs w:val="26"/>
              </w:rPr>
            </w:pPr>
          </w:p>
          <w:p w14:paraId="23E5C17F" w14:textId="5B3A7781" w:rsidR="00242658" w:rsidRDefault="00837015" w:rsidP="009316DD">
            <w:pPr>
              <w:rPr>
                <w:rFonts w:cs="Arial"/>
                <w:szCs w:val="26"/>
              </w:rPr>
            </w:pPr>
            <w:r w:rsidRPr="00837015">
              <w:rPr>
                <w:rFonts w:cs="Arial"/>
                <w:b/>
                <w:szCs w:val="26"/>
                <w:u w:val="single"/>
              </w:rPr>
              <w:t>Job organizational context:</w:t>
            </w:r>
            <w:r w:rsidR="00905BF1">
              <w:rPr>
                <w:rFonts w:cs="Arial"/>
                <w:szCs w:val="26"/>
              </w:rPr>
              <w:t xml:space="preserve"> </w:t>
            </w:r>
          </w:p>
          <w:p w14:paraId="26F645DE" w14:textId="77777777" w:rsidR="00633240" w:rsidRDefault="00633240" w:rsidP="009316DD">
            <w:pPr>
              <w:widowControl w:val="0"/>
              <w:autoSpaceDE w:val="0"/>
              <w:autoSpaceDN w:val="0"/>
              <w:adjustRightInd w:val="0"/>
              <w:rPr>
                <w:b/>
              </w:rPr>
            </w:pPr>
          </w:p>
          <w:p w14:paraId="05689002" w14:textId="7561DD3A" w:rsidR="00DC4A55" w:rsidRDefault="005E7438" w:rsidP="00962EA4">
            <w:pPr>
              <w:jc w:val="both"/>
            </w:pPr>
            <w:r>
              <w:t xml:space="preserve">COVID-19 pandemic has shown the need to be better prepared in many fronts including diagnostics, therapeutics, and vaccination to </w:t>
            </w:r>
            <w:r w:rsidR="4EA507E5">
              <w:t>respond to the challenges of an outbreak/epidemic/pandemic adequately and comprehensively</w:t>
            </w:r>
            <w:r>
              <w:t xml:space="preserve">. This is in the realm of global health security so that unknown situations can be identified and confirmed on time and information can be shared </w:t>
            </w:r>
            <w:r w:rsidR="441D0D51">
              <w:t>in</w:t>
            </w:r>
            <w:r>
              <w:t xml:space="preserve"> time for the global community to </w:t>
            </w:r>
            <w:r w:rsidR="51BD7FFF">
              <w:t>act appropriately</w:t>
            </w:r>
            <w:r>
              <w:t xml:space="preserve"> and contain the situation. Disease outbreaks are a leading cause of global health </w:t>
            </w:r>
            <w:r w:rsidR="56BC23B3">
              <w:t>threats</w:t>
            </w:r>
            <w:r>
              <w:t xml:space="preserve">, and the backsliding resulting from the impact of the pandemic has led to the situation of large or disruptive outbreaks being </w:t>
            </w:r>
            <w:r w:rsidR="7B0FD76D">
              <w:t>seen recently</w:t>
            </w:r>
            <w:r>
              <w:t xml:space="preserve">. Outbreaks of polio, measles, meningitis, yellow fever, </w:t>
            </w:r>
            <w:r w:rsidR="7C8A2A2A">
              <w:t>Marburg,</w:t>
            </w:r>
            <w:r>
              <w:t xml:space="preserve"> and diphtheria have been </w:t>
            </w:r>
            <w:r w:rsidR="022DD131">
              <w:t>seen recently</w:t>
            </w:r>
            <w:r>
              <w:t>, and only time will tell when outbreaks of unknown “X” disease will be reported. The situation is compounded by many other external factors that include population migration from conflict and other causes, climate change that is already disrupting lives and livelihoods in some communities and urbanization with resultant urban slums and their attendant inequities in access to services. The experiences gained from responding to COVID-19 should be fully explored to build our resiliency for pandemic prevention, preparedness and response including in humanitarian settings. UNICEF is leveraging its experiences with the implementation of COVID-19 non-pharmaceutical measures that was inter-sectoral, as well as the roll-out of COVID-19 vaccines from procurement to delivery to the last mile, including in humanitarian settings.</w:t>
            </w:r>
          </w:p>
          <w:p w14:paraId="5FE87079" w14:textId="77777777" w:rsidR="006A14EF" w:rsidRDefault="006A14EF" w:rsidP="009316DD"/>
          <w:p w14:paraId="4705BF5D" w14:textId="0E1F85BF" w:rsidR="00B466A4" w:rsidRDefault="00B466A4" w:rsidP="009316DD">
            <w:pPr>
              <w:rPr>
                <w:u w:val="single"/>
              </w:rPr>
            </w:pPr>
            <w:r w:rsidRPr="00DC15B7">
              <w:rPr>
                <w:b/>
                <w:u w:val="single"/>
              </w:rPr>
              <w:t>Purpose for the job</w:t>
            </w:r>
            <w:r w:rsidR="00353FE3">
              <w:rPr>
                <w:u w:val="single"/>
              </w:rPr>
              <w:t>:</w:t>
            </w:r>
          </w:p>
          <w:p w14:paraId="256034E1" w14:textId="77777777" w:rsidR="00811A56" w:rsidRDefault="00811A56" w:rsidP="009316DD">
            <w:pPr>
              <w:rPr>
                <w:szCs w:val="20"/>
              </w:rPr>
            </w:pPr>
            <w:bookmarkStart w:id="0" w:name="_Hlk160662105"/>
          </w:p>
          <w:p w14:paraId="3F465247" w14:textId="6AEDE4D8" w:rsidR="006C7E72" w:rsidRPr="005A73FF" w:rsidRDefault="006C7E72" w:rsidP="009316DD">
            <w:r>
              <w:t xml:space="preserve">The </w:t>
            </w:r>
            <w:r w:rsidR="00B35BE7">
              <w:t>Immunization Specialist</w:t>
            </w:r>
            <w:r w:rsidR="738727E1">
              <w:t xml:space="preserve"> – Pandemic Preparedness and Response</w:t>
            </w:r>
            <w:r w:rsidR="00B35BE7">
              <w:t xml:space="preserve"> will </w:t>
            </w:r>
            <w:r>
              <w:t xml:space="preserve">i) </w:t>
            </w:r>
            <w:r w:rsidR="006466C8">
              <w:t xml:space="preserve">ensure </w:t>
            </w:r>
            <w:r>
              <w:t>efficient mobilization of UNICEF’s capabilities in a vaccine-related response, ii) complement the XVAX Network with UNICEF’s expertise, networks, and capabilities in the vaccine sector, iii) strengthen programmatic areas observed as key bottlenecks during the COVID-19 pandemic, and iv) create links to and synergies with the broader MCM ecosystem</w:t>
            </w:r>
          </w:p>
          <w:p w14:paraId="69640772" w14:textId="77777777" w:rsidR="006C7E72" w:rsidRDefault="006C7E72" w:rsidP="009316DD"/>
          <w:p w14:paraId="5914493D" w14:textId="75B19D2E" w:rsidR="00157003" w:rsidRPr="008446AC" w:rsidRDefault="0001015A" w:rsidP="4D325F54">
            <w:pPr>
              <w:rPr>
                <w:rFonts w:cs="Arial"/>
              </w:rPr>
            </w:pPr>
            <w:r w:rsidRPr="5B5B2CAE">
              <w:rPr>
                <w:rFonts w:cs="Arial"/>
              </w:rPr>
              <w:t xml:space="preserve">The </w:t>
            </w:r>
            <w:r w:rsidR="006466C8" w:rsidRPr="5B5B2CAE">
              <w:rPr>
                <w:rFonts w:cs="Arial"/>
              </w:rPr>
              <w:t>Immunization Specialist</w:t>
            </w:r>
            <w:r w:rsidR="5EE5316E" w:rsidRPr="5B5B2CAE">
              <w:rPr>
                <w:rFonts w:cs="Arial"/>
              </w:rPr>
              <w:t xml:space="preserve"> – </w:t>
            </w:r>
            <w:r w:rsidR="007D1880" w:rsidRPr="5B5B2CAE">
              <w:rPr>
                <w:rFonts w:cs="Arial"/>
              </w:rPr>
              <w:t>Pandemic</w:t>
            </w:r>
            <w:r w:rsidR="5EE5316E" w:rsidRPr="5B5B2CAE">
              <w:rPr>
                <w:rFonts w:cs="Arial"/>
              </w:rPr>
              <w:t xml:space="preserve"> </w:t>
            </w:r>
            <w:r w:rsidR="007D1880" w:rsidRPr="5B5B2CAE">
              <w:rPr>
                <w:rFonts w:cs="Arial"/>
              </w:rPr>
              <w:t>Preparedness and Response</w:t>
            </w:r>
            <w:r w:rsidR="006C7E72" w:rsidRPr="5B5B2CAE">
              <w:rPr>
                <w:rFonts w:cs="Arial"/>
              </w:rPr>
              <w:t xml:space="preserve"> </w:t>
            </w:r>
            <w:r w:rsidR="006466C8" w:rsidRPr="5B5B2CAE">
              <w:rPr>
                <w:rFonts w:cs="Arial"/>
              </w:rPr>
              <w:t>will</w:t>
            </w:r>
            <w:r w:rsidR="006C7E72" w:rsidRPr="5B5B2CAE">
              <w:rPr>
                <w:rFonts w:cs="Arial"/>
                <w:color w:val="000000" w:themeColor="text1"/>
              </w:rPr>
              <w:t xml:space="preserve"> have an overall coordination role</w:t>
            </w:r>
            <w:r w:rsidR="005A73FF" w:rsidRPr="5B5B2CAE">
              <w:rPr>
                <w:rFonts w:cs="Arial"/>
                <w:color w:val="000000" w:themeColor="text1"/>
              </w:rPr>
              <w:t xml:space="preserve"> within UNICEF</w:t>
            </w:r>
            <w:r w:rsidR="006C7E72" w:rsidRPr="5B5B2CAE">
              <w:rPr>
                <w:rFonts w:cs="Arial"/>
                <w:color w:val="000000" w:themeColor="text1"/>
              </w:rPr>
              <w:t xml:space="preserve"> for vaccine-related programmatic activities. The incumbent will reach across different UNICEF immunization teams to coordinate and activate expertise and resources in the case of an outbreak response, including coordination with the </w:t>
            </w:r>
            <w:r w:rsidR="00AF41AD" w:rsidRPr="5B5B2CAE">
              <w:rPr>
                <w:rFonts w:cs="Arial"/>
                <w:color w:val="000000" w:themeColor="text1"/>
              </w:rPr>
              <w:t>broader XVAX-Network partners.</w:t>
            </w:r>
          </w:p>
          <w:bookmarkEnd w:id="0"/>
          <w:p w14:paraId="28A3245E" w14:textId="059E70D5" w:rsidR="00C00C9F" w:rsidRDefault="00C00C9F" w:rsidP="008E20E6">
            <w:pPr>
              <w:jc w:val="both"/>
            </w:pPr>
          </w:p>
        </w:tc>
      </w:tr>
    </w:tbl>
    <w:p w14:paraId="6361AD0C"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713E79CA" w14:textId="77777777" w:rsidTr="532EF4A2">
        <w:tc>
          <w:tcPr>
            <w:tcW w:w="8630" w:type="dxa"/>
            <w:shd w:val="clear" w:color="auto" w:fill="E0E0E0"/>
          </w:tcPr>
          <w:p w14:paraId="353894B4" w14:textId="77777777" w:rsidR="00B466A4" w:rsidRDefault="00B466A4">
            <w:pPr>
              <w:rPr>
                <w:b/>
                <w:bCs/>
                <w:sz w:val="24"/>
              </w:rPr>
            </w:pPr>
          </w:p>
          <w:p w14:paraId="5C16C989" w14:textId="71CE3551" w:rsidR="00B466A4" w:rsidRDefault="00B466A4" w:rsidP="532EF4A2">
            <w:pPr>
              <w:pStyle w:val="Heading1"/>
              <w:rPr>
                <w:i/>
                <w:iCs/>
                <w:sz w:val="22"/>
                <w:szCs w:val="22"/>
              </w:rPr>
            </w:pPr>
            <w:r>
              <w:t>III. Key function</w:t>
            </w:r>
            <w:r w:rsidR="004015C5">
              <w:t>s</w:t>
            </w:r>
            <w:r>
              <w:t>, accountabi</w:t>
            </w:r>
            <w:r w:rsidR="00DC4A55">
              <w:t>lities</w:t>
            </w:r>
            <w:r w:rsidR="7BDC9E7B">
              <w:t>,</w:t>
            </w:r>
            <w:r w:rsidR="3743D041">
              <w:t xml:space="preserve"> and related duties/tasks:</w:t>
            </w:r>
          </w:p>
        </w:tc>
      </w:tr>
      <w:tr w:rsidR="00B466A4" w14:paraId="3E7B7818" w14:textId="77777777" w:rsidTr="532EF4A2">
        <w:tc>
          <w:tcPr>
            <w:tcW w:w="8630" w:type="dxa"/>
          </w:tcPr>
          <w:p w14:paraId="04D31F3E" w14:textId="591CC1AA" w:rsidR="00B466A4" w:rsidRPr="00BC0F7D" w:rsidRDefault="00B466A4">
            <w:pPr>
              <w:rPr>
                <w:szCs w:val="20"/>
              </w:rPr>
            </w:pPr>
          </w:p>
          <w:p w14:paraId="13AAB2A2" w14:textId="1EF575BF" w:rsidR="009D050B" w:rsidRPr="00BC0F7D" w:rsidRDefault="00D14AF9" w:rsidP="00682649">
            <w:pPr>
              <w:pStyle w:val="Default"/>
              <w:numPr>
                <w:ilvl w:val="0"/>
                <w:numId w:val="25"/>
              </w:numPr>
              <w:rPr>
                <w:b/>
                <w:bCs/>
                <w:sz w:val="20"/>
                <w:szCs w:val="20"/>
              </w:rPr>
            </w:pPr>
            <w:r>
              <w:rPr>
                <w:b/>
                <w:bCs/>
                <w:sz w:val="20"/>
                <w:szCs w:val="20"/>
              </w:rPr>
              <w:t>C</w:t>
            </w:r>
            <w:r w:rsidR="00655E52" w:rsidRPr="00655E52">
              <w:rPr>
                <w:b/>
                <w:bCs/>
                <w:sz w:val="20"/>
                <w:szCs w:val="20"/>
              </w:rPr>
              <w:t>oordination and engagement on XVAX-Network related work</w:t>
            </w:r>
            <w:r w:rsidR="00655E52">
              <w:rPr>
                <w:b/>
                <w:bCs/>
                <w:sz w:val="20"/>
                <w:szCs w:val="20"/>
              </w:rPr>
              <w:t xml:space="preserve"> with </w:t>
            </w:r>
            <w:r w:rsidR="009942B3">
              <w:rPr>
                <w:b/>
                <w:bCs/>
                <w:sz w:val="20"/>
                <w:szCs w:val="20"/>
              </w:rPr>
              <w:t xml:space="preserve">external immunization stakeholders and </w:t>
            </w:r>
            <w:r w:rsidR="00655E52">
              <w:rPr>
                <w:b/>
                <w:bCs/>
                <w:sz w:val="20"/>
                <w:szCs w:val="20"/>
              </w:rPr>
              <w:t xml:space="preserve">other </w:t>
            </w:r>
            <w:r>
              <w:rPr>
                <w:b/>
                <w:bCs/>
                <w:sz w:val="20"/>
                <w:szCs w:val="20"/>
              </w:rPr>
              <w:t>UNICEF HQ</w:t>
            </w:r>
            <w:r w:rsidR="00655E52">
              <w:rPr>
                <w:b/>
                <w:bCs/>
                <w:sz w:val="20"/>
                <w:szCs w:val="20"/>
              </w:rPr>
              <w:t xml:space="preserve"> teams</w:t>
            </w:r>
            <w:r w:rsidR="00655E52" w:rsidRPr="00655E52">
              <w:rPr>
                <w:b/>
                <w:bCs/>
                <w:sz w:val="20"/>
                <w:szCs w:val="20"/>
              </w:rPr>
              <w:t>.</w:t>
            </w:r>
          </w:p>
          <w:p w14:paraId="34B65016" w14:textId="3A0287CE" w:rsidR="00A94C51" w:rsidRDefault="00FE32C6" w:rsidP="00682649">
            <w:pPr>
              <w:pStyle w:val="Default"/>
              <w:numPr>
                <w:ilvl w:val="0"/>
                <w:numId w:val="25"/>
              </w:numPr>
              <w:rPr>
                <w:b/>
                <w:bCs/>
                <w:sz w:val="20"/>
                <w:szCs w:val="20"/>
              </w:rPr>
            </w:pPr>
            <w:r>
              <w:rPr>
                <w:b/>
                <w:bCs/>
                <w:sz w:val="20"/>
                <w:szCs w:val="20"/>
              </w:rPr>
              <w:t>D</w:t>
            </w:r>
            <w:r w:rsidR="00655E52">
              <w:rPr>
                <w:b/>
                <w:bCs/>
                <w:sz w:val="20"/>
                <w:szCs w:val="20"/>
              </w:rPr>
              <w:t xml:space="preserve">evelopment of </w:t>
            </w:r>
            <w:r w:rsidR="00A2082E">
              <w:rPr>
                <w:b/>
                <w:bCs/>
                <w:sz w:val="20"/>
                <w:szCs w:val="20"/>
              </w:rPr>
              <w:t xml:space="preserve">specific components of </w:t>
            </w:r>
            <w:r w:rsidR="00655E52">
              <w:rPr>
                <w:b/>
                <w:bCs/>
                <w:sz w:val="20"/>
                <w:szCs w:val="20"/>
              </w:rPr>
              <w:t>the</w:t>
            </w:r>
            <w:r w:rsidR="00655E52" w:rsidRPr="00655E52">
              <w:rPr>
                <w:b/>
                <w:bCs/>
                <w:sz w:val="20"/>
                <w:szCs w:val="20"/>
              </w:rPr>
              <w:t xml:space="preserve"> pandemic response Playbook and the identification of </w:t>
            </w:r>
            <w:r w:rsidR="00655E52">
              <w:rPr>
                <w:b/>
                <w:bCs/>
                <w:sz w:val="20"/>
                <w:szCs w:val="20"/>
              </w:rPr>
              <w:t xml:space="preserve">the </w:t>
            </w:r>
            <w:r w:rsidR="00655E52" w:rsidRPr="00655E52">
              <w:rPr>
                <w:b/>
                <w:bCs/>
                <w:sz w:val="20"/>
                <w:szCs w:val="20"/>
              </w:rPr>
              <w:t>critical interventions required</w:t>
            </w:r>
            <w:r w:rsidR="00655E52">
              <w:rPr>
                <w:b/>
                <w:bCs/>
                <w:sz w:val="20"/>
                <w:szCs w:val="20"/>
              </w:rPr>
              <w:t xml:space="preserve"> from day zero.</w:t>
            </w:r>
          </w:p>
          <w:p w14:paraId="566D52C5" w14:textId="77777777" w:rsidR="001711D3" w:rsidRDefault="001711D3" w:rsidP="00682649">
            <w:pPr>
              <w:pStyle w:val="Default"/>
              <w:numPr>
                <w:ilvl w:val="0"/>
                <w:numId w:val="25"/>
              </w:numPr>
              <w:rPr>
                <w:b/>
                <w:bCs/>
                <w:sz w:val="20"/>
                <w:szCs w:val="20"/>
              </w:rPr>
            </w:pPr>
            <w:r>
              <w:rPr>
                <w:b/>
                <w:bCs/>
                <w:sz w:val="20"/>
                <w:szCs w:val="20"/>
              </w:rPr>
              <w:t>K</w:t>
            </w:r>
            <w:r w:rsidRPr="00BC0F7D">
              <w:rPr>
                <w:b/>
                <w:bCs/>
                <w:sz w:val="20"/>
                <w:szCs w:val="20"/>
              </w:rPr>
              <w:t>nowledge management</w:t>
            </w:r>
            <w:r>
              <w:rPr>
                <w:b/>
                <w:bCs/>
                <w:sz w:val="20"/>
                <w:szCs w:val="20"/>
              </w:rPr>
              <w:t>,</w:t>
            </w:r>
            <w:r w:rsidRPr="00BC0F7D">
              <w:rPr>
                <w:b/>
                <w:bCs/>
                <w:sz w:val="20"/>
                <w:szCs w:val="20"/>
              </w:rPr>
              <w:t xml:space="preserve"> capacity building </w:t>
            </w:r>
            <w:r>
              <w:rPr>
                <w:b/>
                <w:bCs/>
                <w:sz w:val="20"/>
                <w:szCs w:val="20"/>
              </w:rPr>
              <w:t>and innovation</w:t>
            </w:r>
            <w:r w:rsidRPr="00BC0F7D">
              <w:rPr>
                <w:b/>
                <w:bCs/>
                <w:sz w:val="20"/>
                <w:szCs w:val="20"/>
              </w:rPr>
              <w:t xml:space="preserve"> </w:t>
            </w:r>
          </w:p>
          <w:p w14:paraId="643EA316" w14:textId="558BF7DB" w:rsidR="009B02F0" w:rsidRPr="001711D3" w:rsidRDefault="009D050B" w:rsidP="001711D3">
            <w:pPr>
              <w:pStyle w:val="Default"/>
              <w:numPr>
                <w:ilvl w:val="0"/>
                <w:numId w:val="25"/>
              </w:numPr>
              <w:rPr>
                <w:b/>
                <w:bCs/>
                <w:sz w:val="20"/>
                <w:szCs w:val="20"/>
              </w:rPr>
            </w:pPr>
            <w:r w:rsidRPr="00BC0F7D">
              <w:rPr>
                <w:b/>
                <w:bCs/>
                <w:sz w:val="20"/>
                <w:szCs w:val="20"/>
              </w:rPr>
              <w:t xml:space="preserve">Advocacy, networking and partnership building </w:t>
            </w:r>
            <w:r w:rsidR="00655E52">
              <w:rPr>
                <w:b/>
                <w:bCs/>
                <w:sz w:val="20"/>
                <w:szCs w:val="20"/>
              </w:rPr>
              <w:t>with key partners in the XVAX-Network</w:t>
            </w:r>
          </w:p>
          <w:tbl>
            <w:tblPr>
              <w:tblW w:w="8520" w:type="dxa"/>
              <w:tblBorders>
                <w:top w:val="nil"/>
                <w:left w:val="nil"/>
                <w:bottom w:val="nil"/>
                <w:right w:val="nil"/>
              </w:tblBorders>
              <w:tblLook w:val="0000" w:firstRow="0" w:lastRow="0" w:firstColumn="0" w:lastColumn="0" w:noHBand="0" w:noVBand="0"/>
            </w:tblPr>
            <w:tblGrid>
              <w:gridCol w:w="8520"/>
            </w:tblGrid>
            <w:tr w:rsidR="009B02F0" w:rsidRPr="00BC0F7D" w14:paraId="1E465791" w14:textId="77777777" w:rsidTr="00BC0F7D">
              <w:trPr>
                <w:trHeight w:val="55"/>
              </w:trPr>
              <w:tc>
                <w:tcPr>
                  <w:tcW w:w="8520" w:type="dxa"/>
                </w:tcPr>
                <w:p w14:paraId="7C5D31A4" w14:textId="77220362" w:rsidR="00032906" w:rsidRPr="00BC0F7D" w:rsidRDefault="00032906" w:rsidP="00032906">
                  <w:pPr>
                    <w:pStyle w:val="Default"/>
                    <w:rPr>
                      <w:sz w:val="20"/>
                      <w:szCs w:val="20"/>
                    </w:rPr>
                  </w:pPr>
                </w:p>
              </w:tc>
            </w:tr>
          </w:tbl>
          <w:p w14:paraId="2F5A83B5" w14:textId="564E7DDD" w:rsidR="00D435E8" w:rsidRPr="00E96557" w:rsidRDefault="00D435E8" w:rsidP="00D435E8">
            <w:pPr>
              <w:rPr>
                <w:b/>
              </w:rPr>
            </w:pPr>
          </w:p>
        </w:tc>
      </w:tr>
      <w:tr w:rsidR="00BC0F7D" w14:paraId="54CAB500" w14:textId="77777777" w:rsidTr="532EF4A2">
        <w:tc>
          <w:tcPr>
            <w:tcW w:w="8630" w:type="dxa"/>
          </w:tcPr>
          <w:p w14:paraId="7F8EABC5" w14:textId="14862B03" w:rsidR="00BC0F7D" w:rsidRPr="00B57424" w:rsidRDefault="004171EF" w:rsidP="00682649">
            <w:pPr>
              <w:pStyle w:val="Default"/>
              <w:numPr>
                <w:ilvl w:val="0"/>
                <w:numId w:val="26"/>
              </w:numPr>
              <w:rPr>
                <w:sz w:val="20"/>
                <w:szCs w:val="20"/>
              </w:rPr>
            </w:pPr>
            <w:r>
              <w:rPr>
                <w:b/>
                <w:bCs/>
                <w:sz w:val="20"/>
                <w:szCs w:val="20"/>
              </w:rPr>
              <w:t>C</w:t>
            </w:r>
            <w:r w:rsidR="00C863C4" w:rsidRPr="00655E52">
              <w:rPr>
                <w:b/>
                <w:bCs/>
                <w:sz w:val="20"/>
                <w:szCs w:val="20"/>
              </w:rPr>
              <w:t>oordination and engagement on XVAX-Network related work</w:t>
            </w:r>
            <w:r w:rsidR="00C863C4">
              <w:rPr>
                <w:b/>
                <w:bCs/>
                <w:sz w:val="20"/>
                <w:szCs w:val="20"/>
              </w:rPr>
              <w:t xml:space="preserve"> with </w:t>
            </w:r>
            <w:r w:rsidR="00FF7E07">
              <w:rPr>
                <w:b/>
                <w:bCs/>
                <w:sz w:val="20"/>
                <w:szCs w:val="20"/>
              </w:rPr>
              <w:t xml:space="preserve">external immunization stakeholders and </w:t>
            </w:r>
            <w:r w:rsidR="00C863C4">
              <w:rPr>
                <w:b/>
                <w:bCs/>
                <w:sz w:val="20"/>
                <w:szCs w:val="20"/>
              </w:rPr>
              <w:t xml:space="preserve">other </w:t>
            </w:r>
            <w:r w:rsidR="00FF7E07">
              <w:rPr>
                <w:b/>
                <w:bCs/>
                <w:sz w:val="20"/>
                <w:szCs w:val="20"/>
              </w:rPr>
              <w:t xml:space="preserve">UNICEF HQ </w:t>
            </w:r>
            <w:r w:rsidR="00C863C4">
              <w:rPr>
                <w:b/>
                <w:bCs/>
                <w:sz w:val="20"/>
                <w:szCs w:val="20"/>
              </w:rPr>
              <w:t>teams</w:t>
            </w:r>
          </w:p>
          <w:p w14:paraId="39D6CE69" w14:textId="77777777" w:rsidR="000104ED" w:rsidRDefault="000104ED" w:rsidP="000104ED">
            <w:pPr>
              <w:pStyle w:val="Default"/>
              <w:rPr>
                <w:sz w:val="20"/>
                <w:szCs w:val="20"/>
              </w:rPr>
            </w:pPr>
          </w:p>
          <w:p w14:paraId="1071D6B6" w14:textId="388EBF74" w:rsidR="000104ED" w:rsidRDefault="000104ED" w:rsidP="004A5497">
            <w:pPr>
              <w:pStyle w:val="Default"/>
              <w:numPr>
                <w:ilvl w:val="0"/>
                <w:numId w:val="27"/>
              </w:numPr>
              <w:rPr>
                <w:sz w:val="20"/>
                <w:szCs w:val="20"/>
              </w:rPr>
            </w:pPr>
            <w:r w:rsidRPr="000104ED">
              <w:rPr>
                <w:sz w:val="20"/>
                <w:szCs w:val="20"/>
              </w:rPr>
              <w:t xml:space="preserve">Coordinating activities and communications </w:t>
            </w:r>
            <w:r>
              <w:rPr>
                <w:sz w:val="20"/>
                <w:szCs w:val="20"/>
              </w:rPr>
              <w:t>within the UNICEF PG teams as well as between the teams and the broader XVAX-N</w:t>
            </w:r>
            <w:r w:rsidRPr="000104ED">
              <w:rPr>
                <w:sz w:val="20"/>
                <w:szCs w:val="20"/>
              </w:rPr>
              <w:t>etwork members</w:t>
            </w:r>
            <w:r>
              <w:rPr>
                <w:sz w:val="20"/>
                <w:szCs w:val="20"/>
              </w:rPr>
              <w:t xml:space="preserve"> to facilitate evidence-based collaboration and more efficient use of resources.</w:t>
            </w:r>
          </w:p>
          <w:p w14:paraId="36903292" w14:textId="5DDB592A" w:rsidR="000104ED" w:rsidRDefault="000104ED" w:rsidP="004A5497">
            <w:pPr>
              <w:pStyle w:val="Default"/>
              <w:numPr>
                <w:ilvl w:val="0"/>
                <w:numId w:val="27"/>
              </w:numPr>
              <w:rPr>
                <w:sz w:val="20"/>
                <w:szCs w:val="20"/>
              </w:rPr>
            </w:pPr>
            <w:r w:rsidRPr="000104ED">
              <w:rPr>
                <w:sz w:val="20"/>
                <w:szCs w:val="20"/>
              </w:rPr>
              <w:t>Facilitating engagement and collaboration among stakeholders</w:t>
            </w:r>
            <w:r>
              <w:rPr>
                <w:sz w:val="20"/>
                <w:szCs w:val="20"/>
              </w:rPr>
              <w:t xml:space="preserve"> as may be determined in the course of the XVAX-Network focus in prevention, preparedness and response to pandemics/epidemics/outbreaks.</w:t>
            </w:r>
          </w:p>
          <w:p w14:paraId="56676997" w14:textId="58E6AA33" w:rsidR="000104ED" w:rsidRDefault="000104ED" w:rsidP="004A5497">
            <w:pPr>
              <w:pStyle w:val="Default"/>
              <w:numPr>
                <w:ilvl w:val="0"/>
                <w:numId w:val="27"/>
              </w:numPr>
              <w:rPr>
                <w:sz w:val="20"/>
                <w:szCs w:val="20"/>
              </w:rPr>
            </w:pPr>
            <w:r w:rsidRPr="000104ED">
              <w:rPr>
                <w:sz w:val="20"/>
                <w:szCs w:val="20"/>
              </w:rPr>
              <w:t>Providing technical support and guidance to network members</w:t>
            </w:r>
            <w:r w:rsidR="00FA5B2B">
              <w:rPr>
                <w:sz w:val="20"/>
                <w:szCs w:val="20"/>
              </w:rPr>
              <w:t xml:space="preserve"> so as to enhance the capacity and capability of the XVAX-Network to respond to the “X” event from day zero. This will be based on the lessons learned from COVID-19 pandemic response, but also from response to other public health emergencies of international concern.</w:t>
            </w:r>
          </w:p>
          <w:p w14:paraId="6BBE5DBB" w14:textId="61D54879" w:rsidR="00FA5B2B" w:rsidRDefault="00FA5B2B" w:rsidP="004A5497">
            <w:pPr>
              <w:pStyle w:val="Default"/>
              <w:numPr>
                <w:ilvl w:val="0"/>
                <w:numId w:val="27"/>
              </w:numPr>
              <w:rPr>
                <w:sz w:val="20"/>
                <w:szCs w:val="20"/>
              </w:rPr>
            </w:pPr>
            <w:r w:rsidRPr="00FA5B2B">
              <w:rPr>
                <w:sz w:val="20"/>
                <w:szCs w:val="20"/>
              </w:rPr>
              <w:t>Organizing webinars, meetings, and other events to share knowledge and best practices</w:t>
            </w:r>
            <w:r>
              <w:rPr>
                <w:sz w:val="20"/>
                <w:szCs w:val="20"/>
              </w:rPr>
              <w:t xml:space="preserve"> to aimed at building critical capacities at regional and country levels.</w:t>
            </w:r>
          </w:p>
          <w:p w14:paraId="12624033" w14:textId="1E3D402A" w:rsidR="00FA5B2B" w:rsidRDefault="00FA5B2B" w:rsidP="004A5497">
            <w:pPr>
              <w:pStyle w:val="Default"/>
              <w:numPr>
                <w:ilvl w:val="0"/>
                <w:numId w:val="27"/>
              </w:numPr>
              <w:rPr>
                <w:sz w:val="20"/>
                <w:szCs w:val="20"/>
              </w:rPr>
            </w:pPr>
            <w:r w:rsidRPr="00FA5B2B">
              <w:rPr>
                <w:sz w:val="20"/>
                <w:szCs w:val="20"/>
              </w:rPr>
              <w:t>Identifying and addressing gaps and challenges in vaccine access and uptake</w:t>
            </w:r>
            <w:r>
              <w:rPr>
                <w:sz w:val="20"/>
                <w:szCs w:val="20"/>
              </w:rPr>
              <w:t xml:space="preserve"> including in humanitarian settings for all populations of concern that include refugees, asylum seekers, those living in non-government administered areas, </w:t>
            </w:r>
            <w:r w:rsidR="000060B0">
              <w:rPr>
                <w:sz w:val="20"/>
                <w:szCs w:val="20"/>
              </w:rPr>
              <w:t>and all special population groups such as prisoners, among others.</w:t>
            </w:r>
          </w:p>
          <w:p w14:paraId="795F80DD" w14:textId="318C6133" w:rsidR="000060B0" w:rsidRDefault="000060B0" w:rsidP="004A5497">
            <w:pPr>
              <w:pStyle w:val="Default"/>
              <w:numPr>
                <w:ilvl w:val="0"/>
                <w:numId w:val="27"/>
              </w:numPr>
              <w:rPr>
                <w:sz w:val="20"/>
                <w:szCs w:val="20"/>
              </w:rPr>
            </w:pPr>
            <w:r w:rsidRPr="000060B0">
              <w:rPr>
                <w:sz w:val="20"/>
                <w:szCs w:val="20"/>
              </w:rPr>
              <w:t>Developing and implementing strategies to improve vaccine equity and coverage</w:t>
            </w:r>
            <w:r>
              <w:rPr>
                <w:sz w:val="20"/>
                <w:szCs w:val="20"/>
              </w:rPr>
              <w:t xml:space="preserve"> for all population groups.</w:t>
            </w:r>
          </w:p>
          <w:p w14:paraId="78A20390" w14:textId="240AB4E5" w:rsidR="005946AD" w:rsidRPr="000060B0" w:rsidRDefault="000060B0" w:rsidP="000060B0">
            <w:pPr>
              <w:pStyle w:val="Default"/>
              <w:numPr>
                <w:ilvl w:val="0"/>
                <w:numId w:val="27"/>
              </w:numPr>
              <w:rPr>
                <w:sz w:val="20"/>
                <w:szCs w:val="20"/>
              </w:rPr>
            </w:pPr>
            <w:r w:rsidRPr="000060B0">
              <w:rPr>
                <w:sz w:val="20"/>
                <w:szCs w:val="20"/>
              </w:rPr>
              <w:t xml:space="preserve">Representing </w:t>
            </w:r>
            <w:r>
              <w:rPr>
                <w:sz w:val="20"/>
                <w:szCs w:val="20"/>
              </w:rPr>
              <w:t xml:space="preserve">UNICEF at </w:t>
            </w:r>
            <w:r w:rsidRPr="000060B0">
              <w:rPr>
                <w:sz w:val="20"/>
                <w:szCs w:val="20"/>
              </w:rPr>
              <w:t xml:space="preserve">the XVAX-Network </w:t>
            </w:r>
            <w:r>
              <w:rPr>
                <w:sz w:val="20"/>
                <w:szCs w:val="20"/>
              </w:rPr>
              <w:t>and other</w:t>
            </w:r>
            <w:r w:rsidRPr="000060B0">
              <w:rPr>
                <w:sz w:val="20"/>
                <w:szCs w:val="20"/>
              </w:rPr>
              <w:t xml:space="preserve"> relevant global and regional forums</w:t>
            </w:r>
            <w:r w:rsidR="00133902" w:rsidRPr="000060B0">
              <w:rPr>
                <w:szCs w:val="20"/>
              </w:rPr>
              <w:t xml:space="preserve"> </w:t>
            </w:r>
          </w:p>
          <w:p w14:paraId="16D06BF8" w14:textId="2A10CD11" w:rsidR="00BC0F7D" w:rsidRPr="00B57424" w:rsidRDefault="00BC0F7D" w:rsidP="00682649">
            <w:pPr>
              <w:rPr>
                <w:szCs w:val="20"/>
              </w:rPr>
            </w:pPr>
            <w:r w:rsidRPr="00B57424">
              <w:rPr>
                <w:szCs w:val="20"/>
              </w:rPr>
              <w:t> </w:t>
            </w:r>
          </w:p>
        </w:tc>
      </w:tr>
      <w:tr w:rsidR="00BC0F7D" w14:paraId="7A8C7F4F" w14:textId="77777777" w:rsidTr="532EF4A2">
        <w:tc>
          <w:tcPr>
            <w:tcW w:w="8630" w:type="dxa"/>
          </w:tcPr>
          <w:p w14:paraId="3DF22BAF" w14:textId="7735D122" w:rsidR="00BC0F7D" w:rsidRPr="0036422E" w:rsidRDefault="00A23AD1" w:rsidP="002D680C">
            <w:pPr>
              <w:pStyle w:val="Default"/>
              <w:keepNext/>
              <w:numPr>
                <w:ilvl w:val="0"/>
                <w:numId w:val="26"/>
              </w:numPr>
              <w:rPr>
                <w:b/>
                <w:bCs/>
                <w:sz w:val="20"/>
                <w:szCs w:val="20"/>
              </w:rPr>
            </w:pPr>
            <w:r>
              <w:rPr>
                <w:b/>
                <w:bCs/>
                <w:sz w:val="20"/>
                <w:szCs w:val="20"/>
              </w:rPr>
              <w:lastRenderedPageBreak/>
              <w:t>D</w:t>
            </w:r>
            <w:r w:rsidR="00674D57">
              <w:rPr>
                <w:b/>
                <w:bCs/>
                <w:sz w:val="20"/>
                <w:szCs w:val="20"/>
              </w:rPr>
              <w:t>evelopment of</w:t>
            </w:r>
            <w:r>
              <w:rPr>
                <w:b/>
                <w:bCs/>
                <w:sz w:val="20"/>
                <w:szCs w:val="20"/>
              </w:rPr>
              <w:t xml:space="preserve"> specific components of</w:t>
            </w:r>
            <w:r w:rsidR="00674D57">
              <w:rPr>
                <w:b/>
                <w:bCs/>
                <w:sz w:val="20"/>
                <w:szCs w:val="20"/>
              </w:rPr>
              <w:t xml:space="preserve"> the</w:t>
            </w:r>
            <w:r w:rsidR="00674D57" w:rsidRPr="00655E52">
              <w:rPr>
                <w:b/>
                <w:bCs/>
                <w:sz w:val="20"/>
                <w:szCs w:val="20"/>
              </w:rPr>
              <w:t xml:space="preserve"> pandemic response Playbook and the identification of </w:t>
            </w:r>
            <w:r w:rsidR="00674D57">
              <w:rPr>
                <w:b/>
                <w:bCs/>
                <w:sz w:val="20"/>
                <w:szCs w:val="20"/>
              </w:rPr>
              <w:t xml:space="preserve">the </w:t>
            </w:r>
            <w:r w:rsidR="00674D57" w:rsidRPr="00655E52">
              <w:rPr>
                <w:b/>
                <w:bCs/>
                <w:sz w:val="20"/>
                <w:szCs w:val="20"/>
              </w:rPr>
              <w:t>critical interventions required</w:t>
            </w:r>
            <w:r w:rsidR="00674D57">
              <w:rPr>
                <w:b/>
                <w:bCs/>
                <w:sz w:val="20"/>
                <w:szCs w:val="20"/>
              </w:rPr>
              <w:t xml:space="preserve"> from day zero.</w:t>
            </w:r>
            <w:r w:rsidR="007A4217" w:rsidRPr="0036422E">
              <w:rPr>
                <w:b/>
                <w:bCs/>
                <w:sz w:val="20"/>
                <w:szCs w:val="20"/>
              </w:rPr>
              <w:t xml:space="preserve"> </w:t>
            </w:r>
          </w:p>
          <w:p w14:paraId="43F2A17C" w14:textId="77777777" w:rsidR="00BC0F7D" w:rsidRPr="0036422E" w:rsidRDefault="00BC0F7D" w:rsidP="00BC0F7D">
            <w:pPr>
              <w:jc w:val="both"/>
              <w:rPr>
                <w:szCs w:val="20"/>
              </w:rPr>
            </w:pPr>
          </w:p>
          <w:p w14:paraId="227195CC" w14:textId="00E3A13D" w:rsidR="00BC0F7D" w:rsidRPr="0036422E" w:rsidRDefault="009A6C2B" w:rsidP="00B31819">
            <w:pPr>
              <w:pStyle w:val="Default"/>
              <w:ind w:left="360"/>
              <w:rPr>
                <w:b/>
                <w:bCs/>
                <w:sz w:val="20"/>
                <w:szCs w:val="20"/>
              </w:rPr>
            </w:pPr>
            <w:r>
              <w:rPr>
                <w:sz w:val="20"/>
                <w:szCs w:val="20"/>
              </w:rPr>
              <w:t>Ensure t</w:t>
            </w:r>
            <w:r w:rsidR="00674D57">
              <w:rPr>
                <w:sz w:val="20"/>
                <w:szCs w:val="20"/>
              </w:rPr>
              <w:t>he development of</w:t>
            </w:r>
            <w:r>
              <w:rPr>
                <w:sz w:val="20"/>
                <w:szCs w:val="20"/>
              </w:rPr>
              <w:t xml:space="preserve"> specific components of</w:t>
            </w:r>
            <w:r w:rsidR="00674D57">
              <w:rPr>
                <w:sz w:val="20"/>
                <w:szCs w:val="20"/>
              </w:rPr>
              <w:t xml:space="preserve"> the pandemic response</w:t>
            </w:r>
            <w:r>
              <w:rPr>
                <w:sz w:val="20"/>
                <w:szCs w:val="20"/>
              </w:rPr>
              <w:t xml:space="preserve"> in collaboration with WHO, Gavi secretariat and other key stakeholders. The</w:t>
            </w:r>
            <w:r w:rsidR="00674D57">
              <w:rPr>
                <w:sz w:val="20"/>
                <w:szCs w:val="20"/>
              </w:rPr>
              <w:t xml:space="preserve"> playbook  is one of the key </w:t>
            </w:r>
            <w:r>
              <w:rPr>
                <w:sz w:val="20"/>
                <w:szCs w:val="20"/>
              </w:rPr>
              <w:t xml:space="preserve">outputs </w:t>
            </w:r>
            <w:r w:rsidR="00674D57">
              <w:rPr>
                <w:sz w:val="20"/>
                <w:szCs w:val="20"/>
              </w:rPr>
              <w:t xml:space="preserve">of the XVAX-Network intended to guide key strategies and activities that need to be undertaken within the first 100 days of a pandemic. These activities are preparatory to the deployment of vaccines and/or other countermeasures as may be determined with the start of the “X” event that is necessitating the response. </w:t>
            </w:r>
          </w:p>
        </w:tc>
      </w:tr>
      <w:tr w:rsidR="00F877C8" w14:paraId="70953372" w14:textId="77777777" w:rsidTr="532EF4A2">
        <w:tc>
          <w:tcPr>
            <w:tcW w:w="8630" w:type="dxa"/>
          </w:tcPr>
          <w:p w14:paraId="186A995D" w14:textId="77777777" w:rsidR="00F877C8" w:rsidRPr="001D4E60" w:rsidRDefault="001711D3" w:rsidP="008B73EA">
            <w:pPr>
              <w:pStyle w:val="Default"/>
              <w:numPr>
                <w:ilvl w:val="0"/>
                <w:numId w:val="26"/>
              </w:numPr>
              <w:jc w:val="both"/>
              <w:rPr>
                <w:color w:val="auto"/>
                <w:sz w:val="20"/>
                <w:szCs w:val="20"/>
              </w:rPr>
            </w:pPr>
            <w:r w:rsidRPr="001D4E60">
              <w:rPr>
                <w:b/>
                <w:bCs/>
                <w:sz w:val="20"/>
                <w:szCs w:val="20"/>
              </w:rPr>
              <w:t xml:space="preserve">Knowledge management, capacity building and innovation </w:t>
            </w:r>
          </w:p>
          <w:p w14:paraId="1BA50BF6" w14:textId="77777777" w:rsidR="001711D3" w:rsidRPr="001D4E60" w:rsidRDefault="001711D3" w:rsidP="008B73EA">
            <w:pPr>
              <w:pStyle w:val="Default"/>
              <w:jc w:val="both"/>
              <w:rPr>
                <w:sz w:val="20"/>
                <w:szCs w:val="20"/>
              </w:rPr>
            </w:pPr>
          </w:p>
          <w:p w14:paraId="49CF9C72" w14:textId="5F0E7AD2" w:rsidR="007B73E3" w:rsidRDefault="00231349" w:rsidP="008B73EA">
            <w:pPr>
              <w:pStyle w:val="Default"/>
              <w:numPr>
                <w:ilvl w:val="0"/>
                <w:numId w:val="27"/>
              </w:numPr>
              <w:jc w:val="both"/>
              <w:rPr>
                <w:sz w:val="20"/>
                <w:szCs w:val="20"/>
              </w:rPr>
            </w:pPr>
            <w:r w:rsidRPr="001D4E60">
              <w:rPr>
                <w:sz w:val="20"/>
                <w:szCs w:val="20"/>
              </w:rPr>
              <w:t xml:space="preserve">Contribute to establishing and maintaining a </w:t>
            </w:r>
            <w:r w:rsidRPr="001D4E60">
              <w:rPr>
                <w:b/>
                <w:bCs/>
                <w:sz w:val="20"/>
                <w:szCs w:val="20"/>
              </w:rPr>
              <w:t xml:space="preserve">comprehensive and updated evidence base on </w:t>
            </w:r>
            <w:r w:rsidR="00674D57">
              <w:rPr>
                <w:b/>
                <w:bCs/>
                <w:sz w:val="20"/>
                <w:szCs w:val="20"/>
              </w:rPr>
              <w:t>“X” event</w:t>
            </w:r>
            <w:r w:rsidRPr="001D4E60">
              <w:rPr>
                <w:b/>
                <w:bCs/>
                <w:sz w:val="20"/>
                <w:szCs w:val="20"/>
              </w:rPr>
              <w:t xml:space="preserve"> </w:t>
            </w:r>
            <w:r w:rsidRPr="001D4E60">
              <w:rPr>
                <w:sz w:val="20"/>
                <w:szCs w:val="20"/>
              </w:rPr>
              <w:t xml:space="preserve">as </w:t>
            </w:r>
            <w:r w:rsidR="00674D57">
              <w:rPr>
                <w:sz w:val="20"/>
                <w:szCs w:val="20"/>
              </w:rPr>
              <w:t xml:space="preserve">the situation unfolds. Active engagement within the network, especially with WHO on technical guidance development, will be done by the incumbent. </w:t>
            </w:r>
            <w:r w:rsidR="007B73E3">
              <w:rPr>
                <w:sz w:val="20"/>
                <w:szCs w:val="20"/>
              </w:rPr>
              <w:t xml:space="preserve">Maintain the information in readily accessible formats for use by </w:t>
            </w:r>
            <w:r w:rsidR="00E24B06">
              <w:rPr>
                <w:sz w:val="20"/>
                <w:szCs w:val="20"/>
              </w:rPr>
              <w:t>CEPI, WHO</w:t>
            </w:r>
            <w:r w:rsidR="007B73E3">
              <w:rPr>
                <w:sz w:val="20"/>
                <w:szCs w:val="20"/>
              </w:rPr>
              <w:t>, UNICEF and key stakeholders during coordination, strategic and technical discussions.</w:t>
            </w:r>
          </w:p>
          <w:p w14:paraId="695D48DC" w14:textId="787CC8EA" w:rsidR="005252DC" w:rsidRDefault="00E24B06" w:rsidP="008B73EA">
            <w:pPr>
              <w:pStyle w:val="Default"/>
              <w:numPr>
                <w:ilvl w:val="0"/>
                <w:numId w:val="27"/>
              </w:numPr>
              <w:jc w:val="both"/>
              <w:rPr>
                <w:sz w:val="20"/>
                <w:szCs w:val="20"/>
              </w:rPr>
            </w:pPr>
            <w:r>
              <w:rPr>
                <w:sz w:val="20"/>
                <w:szCs w:val="20"/>
              </w:rPr>
              <w:t xml:space="preserve">Support countries in </w:t>
            </w:r>
            <w:r w:rsidRPr="00E24B06">
              <w:rPr>
                <w:b/>
                <w:bCs/>
                <w:sz w:val="20"/>
                <w:szCs w:val="20"/>
              </w:rPr>
              <w:t>developing deployment and vaccination plans</w:t>
            </w:r>
            <w:r>
              <w:rPr>
                <w:sz w:val="20"/>
                <w:szCs w:val="20"/>
              </w:rPr>
              <w:t xml:space="preserve"> in collaboration with all stakeholders.</w:t>
            </w:r>
          </w:p>
          <w:p w14:paraId="2A90DC70" w14:textId="1FD3AADB" w:rsidR="00D0071D" w:rsidRDefault="005E3C21" w:rsidP="008B73EA">
            <w:pPr>
              <w:pStyle w:val="Default"/>
              <w:numPr>
                <w:ilvl w:val="0"/>
                <w:numId w:val="27"/>
              </w:numPr>
              <w:jc w:val="both"/>
              <w:rPr>
                <w:sz w:val="20"/>
                <w:szCs w:val="20"/>
              </w:rPr>
            </w:pPr>
            <w:r>
              <w:rPr>
                <w:sz w:val="20"/>
                <w:szCs w:val="20"/>
              </w:rPr>
              <w:t xml:space="preserve">Analyse </w:t>
            </w:r>
            <w:r w:rsidRPr="002D2DDC">
              <w:rPr>
                <w:b/>
                <w:bCs/>
                <w:sz w:val="20"/>
                <w:szCs w:val="20"/>
              </w:rPr>
              <w:t>socio-behavioural data</w:t>
            </w:r>
            <w:r>
              <w:rPr>
                <w:sz w:val="20"/>
                <w:szCs w:val="20"/>
              </w:rPr>
              <w:t xml:space="preserve"> with a view to inform the design and strengthen the implementation of </w:t>
            </w:r>
            <w:r w:rsidR="002D2DDC">
              <w:rPr>
                <w:sz w:val="20"/>
                <w:szCs w:val="20"/>
              </w:rPr>
              <w:t>demand generation</w:t>
            </w:r>
            <w:r w:rsidR="00E24B06">
              <w:rPr>
                <w:sz w:val="20"/>
                <w:szCs w:val="20"/>
              </w:rPr>
              <w:t xml:space="preserve">, risk communication </w:t>
            </w:r>
            <w:r>
              <w:rPr>
                <w:sz w:val="20"/>
                <w:szCs w:val="20"/>
              </w:rPr>
              <w:t xml:space="preserve">and community engagement </w:t>
            </w:r>
            <w:r w:rsidR="00F57E5F">
              <w:rPr>
                <w:sz w:val="20"/>
                <w:szCs w:val="20"/>
              </w:rPr>
              <w:t xml:space="preserve">(RCCE) </w:t>
            </w:r>
            <w:r w:rsidR="002D2DDC">
              <w:rPr>
                <w:sz w:val="20"/>
                <w:szCs w:val="20"/>
              </w:rPr>
              <w:t>approaches.</w:t>
            </w:r>
          </w:p>
          <w:p w14:paraId="7D8EF68B" w14:textId="5FED096F" w:rsidR="005535E7" w:rsidRPr="006A14EF" w:rsidRDefault="00E24B06" w:rsidP="008B73EA">
            <w:pPr>
              <w:pStyle w:val="Default"/>
              <w:numPr>
                <w:ilvl w:val="0"/>
                <w:numId w:val="27"/>
              </w:numPr>
              <w:jc w:val="both"/>
              <w:rPr>
                <w:sz w:val="20"/>
                <w:szCs w:val="20"/>
              </w:rPr>
            </w:pPr>
            <w:r>
              <w:rPr>
                <w:sz w:val="20"/>
                <w:szCs w:val="20"/>
              </w:rPr>
              <w:t xml:space="preserve">Engage </w:t>
            </w:r>
            <w:r w:rsidR="001D4E60" w:rsidRPr="001D4E60">
              <w:rPr>
                <w:sz w:val="20"/>
                <w:szCs w:val="20"/>
              </w:rPr>
              <w:t>with UNICEF HQ Health Section</w:t>
            </w:r>
            <w:r>
              <w:rPr>
                <w:sz w:val="20"/>
                <w:szCs w:val="20"/>
              </w:rPr>
              <w:t xml:space="preserve"> and EmOPs,</w:t>
            </w:r>
            <w:r w:rsidR="001D4E60" w:rsidRPr="001D4E60">
              <w:rPr>
                <w:sz w:val="20"/>
                <w:szCs w:val="20"/>
              </w:rPr>
              <w:t xml:space="preserve"> Supply Division, </w:t>
            </w:r>
            <w:r>
              <w:rPr>
                <w:sz w:val="20"/>
                <w:szCs w:val="20"/>
              </w:rPr>
              <w:t xml:space="preserve">all </w:t>
            </w:r>
            <w:r w:rsidR="001D4E60" w:rsidRPr="001D4E60">
              <w:rPr>
                <w:sz w:val="20"/>
                <w:szCs w:val="20"/>
              </w:rPr>
              <w:t>UNICEF Regional Offices</w:t>
            </w:r>
            <w:r>
              <w:rPr>
                <w:sz w:val="20"/>
                <w:szCs w:val="20"/>
              </w:rPr>
              <w:t xml:space="preserve"> and collaboratively</w:t>
            </w:r>
            <w:r w:rsidR="004B6248" w:rsidRPr="007B73E3">
              <w:rPr>
                <w:sz w:val="20"/>
                <w:szCs w:val="20"/>
              </w:rPr>
              <w:t xml:space="preserve"> plan and implement </w:t>
            </w:r>
            <w:r w:rsidR="004B6248" w:rsidRPr="00637C44">
              <w:rPr>
                <w:b/>
                <w:bCs/>
                <w:sz w:val="20"/>
                <w:szCs w:val="20"/>
              </w:rPr>
              <w:t>capacity building</w:t>
            </w:r>
            <w:r w:rsidR="004B6248" w:rsidRPr="007B73E3">
              <w:rPr>
                <w:sz w:val="20"/>
                <w:szCs w:val="20"/>
              </w:rPr>
              <w:t xml:space="preserve"> </w:t>
            </w:r>
            <w:r w:rsidR="00637C44">
              <w:rPr>
                <w:sz w:val="20"/>
                <w:szCs w:val="20"/>
              </w:rPr>
              <w:t xml:space="preserve">approaches </w:t>
            </w:r>
            <w:r w:rsidR="00F57E5F">
              <w:rPr>
                <w:sz w:val="20"/>
                <w:szCs w:val="20"/>
              </w:rPr>
              <w:t>for countries</w:t>
            </w:r>
            <w:r w:rsidR="00637C44">
              <w:rPr>
                <w:sz w:val="20"/>
                <w:szCs w:val="20"/>
              </w:rPr>
              <w:t xml:space="preserve"> with focus on sustainable financing, im</w:t>
            </w:r>
            <w:r w:rsidR="001D4E60" w:rsidRPr="001D4E60">
              <w:rPr>
                <w:sz w:val="20"/>
                <w:szCs w:val="20"/>
              </w:rPr>
              <w:t>munization supply chain</w:t>
            </w:r>
            <w:r w:rsidR="00F57E5F">
              <w:rPr>
                <w:sz w:val="20"/>
                <w:szCs w:val="20"/>
              </w:rPr>
              <w:t>, RCCE</w:t>
            </w:r>
            <w:r w:rsidR="001D4E60" w:rsidRPr="001D4E60">
              <w:rPr>
                <w:sz w:val="20"/>
                <w:szCs w:val="20"/>
              </w:rPr>
              <w:t xml:space="preserve"> and demand generation</w:t>
            </w:r>
            <w:r w:rsidR="00637C44">
              <w:rPr>
                <w:sz w:val="20"/>
                <w:szCs w:val="20"/>
              </w:rPr>
              <w:t>.</w:t>
            </w:r>
          </w:p>
        </w:tc>
      </w:tr>
      <w:tr w:rsidR="00BC0F7D" w14:paraId="26970090" w14:textId="77777777" w:rsidTr="532EF4A2">
        <w:tc>
          <w:tcPr>
            <w:tcW w:w="8630" w:type="dxa"/>
          </w:tcPr>
          <w:p w14:paraId="2D0C652E" w14:textId="218BD9E6" w:rsidR="001711D3" w:rsidRDefault="000171CD" w:rsidP="008B73EA">
            <w:pPr>
              <w:pStyle w:val="Default"/>
              <w:numPr>
                <w:ilvl w:val="0"/>
                <w:numId w:val="26"/>
              </w:numPr>
              <w:jc w:val="both"/>
              <w:rPr>
                <w:b/>
                <w:bCs/>
                <w:sz w:val="20"/>
                <w:szCs w:val="20"/>
              </w:rPr>
            </w:pPr>
            <w:r w:rsidRPr="00BC0F7D">
              <w:rPr>
                <w:b/>
                <w:bCs/>
                <w:sz w:val="20"/>
                <w:szCs w:val="20"/>
              </w:rPr>
              <w:t>Advocacy, networking and partnership building</w:t>
            </w:r>
            <w:r w:rsidR="001711D3" w:rsidRPr="00BC0F7D">
              <w:rPr>
                <w:b/>
                <w:bCs/>
                <w:sz w:val="20"/>
                <w:szCs w:val="20"/>
              </w:rPr>
              <w:t xml:space="preserve"> </w:t>
            </w:r>
            <w:r w:rsidR="003662FD">
              <w:rPr>
                <w:b/>
                <w:bCs/>
                <w:sz w:val="20"/>
                <w:szCs w:val="20"/>
              </w:rPr>
              <w:t>for the XVAX mechanism</w:t>
            </w:r>
          </w:p>
          <w:p w14:paraId="78587531" w14:textId="77777777" w:rsidR="00856DC4" w:rsidRPr="0036422E" w:rsidRDefault="00856DC4" w:rsidP="008B73EA">
            <w:pPr>
              <w:pStyle w:val="Default"/>
              <w:jc w:val="both"/>
              <w:rPr>
                <w:color w:val="auto"/>
                <w:sz w:val="20"/>
                <w:szCs w:val="20"/>
              </w:rPr>
            </w:pPr>
          </w:p>
          <w:p w14:paraId="30A48B6F" w14:textId="12D32A10" w:rsidR="003662FD" w:rsidRDefault="003662FD" w:rsidP="008B73EA">
            <w:pPr>
              <w:pStyle w:val="Default"/>
              <w:numPr>
                <w:ilvl w:val="0"/>
                <w:numId w:val="27"/>
              </w:numPr>
              <w:jc w:val="both"/>
              <w:rPr>
                <w:sz w:val="20"/>
                <w:szCs w:val="20"/>
              </w:rPr>
            </w:pPr>
            <w:r w:rsidRPr="003662FD">
              <w:rPr>
                <w:sz w:val="20"/>
                <w:szCs w:val="20"/>
              </w:rPr>
              <w:t xml:space="preserve">Building and maintaining </w:t>
            </w:r>
            <w:r w:rsidR="00F8397B">
              <w:rPr>
                <w:sz w:val="20"/>
                <w:szCs w:val="20"/>
              </w:rPr>
              <w:t>partner</w:t>
            </w:r>
            <w:r w:rsidRPr="003662FD">
              <w:rPr>
                <w:sz w:val="20"/>
                <w:szCs w:val="20"/>
              </w:rPr>
              <w:t>ships with key stakeholders</w:t>
            </w:r>
            <w:r w:rsidR="00F8397B">
              <w:rPr>
                <w:sz w:val="20"/>
                <w:szCs w:val="20"/>
              </w:rPr>
              <w:t xml:space="preserve"> working on pandemic prevention, preparedness and response</w:t>
            </w:r>
            <w:r w:rsidRPr="003662FD">
              <w:rPr>
                <w:sz w:val="20"/>
                <w:szCs w:val="20"/>
              </w:rPr>
              <w:t>, including global health organizations, governments, NGOs, and private sector entities</w:t>
            </w:r>
          </w:p>
          <w:p w14:paraId="34AB3B52" w14:textId="791F3DE3" w:rsidR="003662FD" w:rsidRDefault="003662FD" w:rsidP="008B73EA">
            <w:pPr>
              <w:pStyle w:val="Default"/>
              <w:numPr>
                <w:ilvl w:val="0"/>
                <w:numId w:val="27"/>
              </w:numPr>
              <w:jc w:val="both"/>
              <w:rPr>
                <w:sz w:val="20"/>
                <w:szCs w:val="20"/>
              </w:rPr>
            </w:pPr>
            <w:r w:rsidRPr="003662FD">
              <w:rPr>
                <w:sz w:val="20"/>
                <w:szCs w:val="20"/>
              </w:rPr>
              <w:t>Advocating for policies and practices that support vaccine equity, access, and uptake</w:t>
            </w:r>
            <w:r>
              <w:rPr>
                <w:sz w:val="20"/>
                <w:szCs w:val="20"/>
              </w:rPr>
              <w:t xml:space="preserve"> including within populations of concern and in humanitarian settings in collaboration with implementing partners.</w:t>
            </w:r>
          </w:p>
          <w:p w14:paraId="7728AB4A" w14:textId="19FF5A9D" w:rsidR="003662FD" w:rsidRDefault="003662FD" w:rsidP="008B73EA">
            <w:pPr>
              <w:pStyle w:val="Default"/>
              <w:numPr>
                <w:ilvl w:val="0"/>
                <w:numId w:val="27"/>
              </w:numPr>
              <w:jc w:val="both"/>
              <w:rPr>
                <w:sz w:val="20"/>
                <w:szCs w:val="20"/>
              </w:rPr>
            </w:pPr>
            <w:r w:rsidRPr="003662FD">
              <w:rPr>
                <w:sz w:val="20"/>
                <w:szCs w:val="20"/>
              </w:rPr>
              <w:t>Promoting the XVAX-Network's work and achievements through social media, publications, and other channels</w:t>
            </w:r>
            <w:r>
              <w:rPr>
                <w:sz w:val="20"/>
                <w:szCs w:val="20"/>
              </w:rPr>
              <w:t>.</w:t>
            </w:r>
            <w:r w:rsidR="00F8397B">
              <w:rPr>
                <w:sz w:val="20"/>
                <w:szCs w:val="20"/>
              </w:rPr>
              <w:t xml:space="preserve"> This requires d</w:t>
            </w:r>
            <w:r w:rsidR="00F8397B" w:rsidRPr="003662FD">
              <w:rPr>
                <w:sz w:val="20"/>
                <w:szCs w:val="20"/>
              </w:rPr>
              <w:t>eveloping and disseminating advocacy materials, such as policy briefs, infographics, and social media posts</w:t>
            </w:r>
          </w:p>
          <w:p w14:paraId="2E53BD69" w14:textId="6596AE5B" w:rsidR="00F8397B" w:rsidRPr="00F8397B" w:rsidRDefault="003662FD" w:rsidP="008B73EA">
            <w:pPr>
              <w:pStyle w:val="Default"/>
              <w:numPr>
                <w:ilvl w:val="0"/>
                <w:numId w:val="27"/>
              </w:numPr>
              <w:jc w:val="both"/>
              <w:rPr>
                <w:sz w:val="20"/>
                <w:szCs w:val="20"/>
              </w:rPr>
            </w:pPr>
            <w:r w:rsidRPr="00F8397B">
              <w:rPr>
                <w:sz w:val="20"/>
                <w:szCs w:val="20"/>
              </w:rPr>
              <w:t>Organizing and participating in conferences, webinars, and other events to raise awareness and build support for the XVAX-Network's work</w:t>
            </w:r>
            <w:r w:rsidR="00F8397B">
              <w:rPr>
                <w:sz w:val="20"/>
                <w:szCs w:val="20"/>
              </w:rPr>
              <w:t>.</w:t>
            </w:r>
          </w:p>
          <w:p w14:paraId="00655494" w14:textId="2B81047A" w:rsidR="003662FD" w:rsidRPr="003662FD" w:rsidRDefault="003662FD" w:rsidP="008B73EA">
            <w:pPr>
              <w:pStyle w:val="Default"/>
              <w:numPr>
                <w:ilvl w:val="0"/>
                <w:numId w:val="27"/>
              </w:numPr>
              <w:jc w:val="both"/>
              <w:rPr>
                <w:sz w:val="20"/>
                <w:szCs w:val="20"/>
              </w:rPr>
            </w:pPr>
            <w:r w:rsidRPr="003662FD">
              <w:rPr>
                <w:sz w:val="20"/>
                <w:szCs w:val="20"/>
              </w:rPr>
              <w:t>Building and maintaining a network of champions and ambassadors to support the XVAX-Network's advocacy efforts</w:t>
            </w:r>
          </w:p>
          <w:p w14:paraId="668376C6" w14:textId="77777777" w:rsidR="00856DC4" w:rsidRDefault="003662FD" w:rsidP="008B73EA">
            <w:pPr>
              <w:numPr>
                <w:ilvl w:val="0"/>
                <w:numId w:val="27"/>
              </w:numPr>
              <w:jc w:val="both"/>
              <w:rPr>
                <w:szCs w:val="20"/>
              </w:rPr>
            </w:pPr>
            <w:r w:rsidRPr="003662FD">
              <w:rPr>
                <w:szCs w:val="20"/>
              </w:rPr>
              <w:t>Collaborating with other global health networks and organizations to amplify the XVAX-Network's message and impact.</w:t>
            </w:r>
          </w:p>
          <w:p w14:paraId="7CA37A47" w14:textId="547D1257" w:rsidR="002D680C" w:rsidRPr="0036422E" w:rsidRDefault="002D680C" w:rsidP="008B73EA">
            <w:pPr>
              <w:jc w:val="both"/>
              <w:rPr>
                <w:szCs w:val="20"/>
              </w:rPr>
            </w:pPr>
          </w:p>
        </w:tc>
      </w:tr>
    </w:tbl>
    <w:p w14:paraId="6025FD6D"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8A0FB51" w14:textId="77777777">
        <w:tc>
          <w:tcPr>
            <w:tcW w:w="8856" w:type="dxa"/>
            <w:tcBorders>
              <w:bottom w:val="single" w:sz="4" w:space="0" w:color="auto"/>
            </w:tcBorders>
            <w:shd w:val="clear" w:color="auto" w:fill="E0E0E0"/>
          </w:tcPr>
          <w:p w14:paraId="1C1009F9" w14:textId="77777777" w:rsidR="00B466A4" w:rsidRDefault="00B466A4">
            <w:pPr>
              <w:pStyle w:val="Heading1"/>
            </w:pPr>
          </w:p>
          <w:p w14:paraId="01EF6922" w14:textId="440593F9" w:rsidR="00B466A4" w:rsidRDefault="00B466A4" w:rsidP="007902F0">
            <w:pPr>
              <w:pStyle w:val="Heading1"/>
              <w:rPr>
                <w:b w:val="0"/>
                <w:bCs w:val="0"/>
                <w:i/>
                <w:iCs/>
                <w:sz w:val="18"/>
              </w:rPr>
            </w:pPr>
            <w:r>
              <w:t xml:space="preserve">IV. Impact of Results </w:t>
            </w:r>
          </w:p>
        </w:tc>
      </w:tr>
      <w:tr w:rsidR="00B466A4" w14:paraId="7F84FBDE" w14:textId="77777777">
        <w:tc>
          <w:tcPr>
            <w:tcW w:w="8856" w:type="dxa"/>
          </w:tcPr>
          <w:p w14:paraId="32D63496" w14:textId="77777777" w:rsidR="00B466A4" w:rsidRPr="007902F0" w:rsidRDefault="00B466A4" w:rsidP="00B466A4">
            <w:pPr>
              <w:jc w:val="both"/>
              <w:rPr>
                <w:color w:val="FF0000"/>
              </w:rPr>
            </w:pPr>
          </w:p>
          <w:p w14:paraId="6E857AD9" w14:textId="006A89B6" w:rsidR="002217E9" w:rsidRDefault="002217E9" w:rsidP="002217E9">
            <w:r>
              <w:t>The ability of incumbe</w:t>
            </w:r>
            <w:r w:rsidR="00455BB4">
              <w:t>nt</w:t>
            </w:r>
            <w:r>
              <w:t xml:space="preserve"> to provide expert and authoritative advisory services to </w:t>
            </w:r>
            <w:r w:rsidR="00F8397B">
              <w:t>UNICEF</w:t>
            </w:r>
            <w:r>
              <w:t xml:space="preserve"> and other key partners will result in increased </w:t>
            </w:r>
            <w:r w:rsidR="00F8397B">
              <w:t xml:space="preserve">ability of the XVAX-Network partnership to develop the capacity to provide the necessary guidance on what </w:t>
            </w:r>
            <w:r w:rsidR="00D54BE7">
              <w:t>activities need to the set in motion from day zero of a pandemic or other related events of global public health significance</w:t>
            </w:r>
            <w:r>
              <w:t xml:space="preserve">. This is very critical considering the </w:t>
            </w:r>
            <w:r w:rsidR="00D54BE7">
              <w:t>experices of the global community in responding to COVID-19 pandemic, especially the challenges and uncertainties faced in the early days of the pandemic</w:t>
            </w:r>
            <w:r>
              <w:t>.</w:t>
            </w:r>
          </w:p>
          <w:p w14:paraId="11C6D1A5" w14:textId="77777777" w:rsidR="002217E9" w:rsidRDefault="002217E9" w:rsidP="002217E9"/>
          <w:p w14:paraId="30A11FAF" w14:textId="1BCEF92B" w:rsidR="002217E9" w:rsidRDefault="002217E9" w:rsidP="002217E9">
            <w:r>
              <w:t>It will also contribute to maintaining and enhancing the credibility and ability of UNICEF to continue to provide programme services to protect the rights of children, and to promote greater social equality to</w:t>
            </w:r>
            <w:r w:rsidR="006441CC">
              <w:t xml:space="preserve"> </w:t>
            </w:r>
            <w:r>
              <w:t>enable them to survive, develop and reach their full potential in society.</w:t>
            </w:r>
          </w:p>
          <w:p w14:paraId="0D61E46E" w14:textId="77777777" w:rsidR="00661408" w:rsidRPr="007902F0" w:rsidRDefault="00661408" w:rsidP="008E20E6">
            <w:pPr>
              <w:autoSpaceDE w:val="0"/>
              <w:autoSpaceDN w:val="0"/>
              <w:jc w:val="both"/>
              <w:rPr>
                <w:color w:val="FF0000"/>
              </w:rPr>
            </w:pPr>
          </w:p>
        </w:tc>
      </w:tr>
    </w:tbl>
    <w:p w14:paraId="679628ED" w14:textId="77777777" w:rsidR="0009761E" w:rsidRDefault="0009761E"/>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7902F0" w:rsidRPr="007902F0" w14:paraId="6C187D8B" w14:textId="77777777" w:rsidTr="00CC4F16">
        <w:tc>
          <w:tcPr>
            <w:tcW w:w="8635" w:type="dxa"/>
            <w:shd w:val="clear" w:color="auto" w:fill="E0E0E0"/>
          </w:tcPr>
          <w:p w14:paraId="429EF1B7" w14:textId="614E58D7" w:rsidR="007902F0" w:rsidRPr="007902F0" w:rsidRDefault="007902F0" w:rsidP="007902F0"/>
          <w:p w14:paraId="0F804984" w14:textId="77777777" w:rsidR="00CC4F16" w:rsidRDefault="007902F0" w:rsidP="007902F0">
            <w:pPr>
              <w:rPr>
                <w:b/>
                <w:bCs/>
                <w:sz w:val="24"/>
              </w:rPr>
            </w:pPr>
            <w:r w:rsidRPr="00CC4F16">
              <w:rPr>
                <w:b/>
                <w:bCs/>
                <w:sz w:val="24"/>
              </w:rPr>
              <w:t>V. Competencies and level of proficiency required</w:t>
            </w:r>
          </w:p>
          <w:p w14:paraId="6B60653B" w14:textId="1E1AF06A" w:rsidR="007902F0" w:rsidRPr="00345F9E" w:rsidRDefault="00CC4F16" w:rsidP="007902F0">
            <w:pPr>
              <w:rPr>
                <w:bCs/>
                <w:szCs w:val="20"/>
              </w:rPr>
            </w:pPr>
            <w:r w:rsidRPr="00514497">
              <w:rPr>
                <w:bCs/>
                <w:szCs w:val="20"/>
              </w:rPr>
              <w:t>(Competency Framework)</w:t>
            </w:r>
          </w:p>
        </w:tc>
      </w:tr>
      <w:tr w:rsidR="00EE0B04" w:rsidRPr="007902F0" w14:paraId="785FDDAD" w14:textId="77777777" w:rsidTr="00061DF6">
        <w:trPr>
          <w:cantSplit/>
          <w:trHeight w:val="353"/>
        </w:trPr>
        <w:tc>
          <w:tcPr>
            <w:tcW w:w="8635" w:type="dxa"/>
          </w:tcPr>
          <w:p w14:paraId="479634BA" w14:textId="77777777" w:rsidR="00EE0B04" w:rsidRPr="000D079F" w:rsidRDefault="00EE0B04" w:rsidP="00DE11DA">
            <w:pPr>
              <w:jc w:val="both"/>
              <w:rPr>
                <w:b/>
                <w:bCs/>
                <w:u w:val="single"/>
              </w:rPr>
            </w:pPr>
            <w:r w:rsidRPr="000D079F">
              <w:rPr>
                <w:b/>
                <w:bCs/>
                <w:u w:val="single"/>
              </w:rPr>
              <w:t xml:space="preserve">Core Values </w:t>
            </w:r>
          </w:p>
          <w:p w14:paraId="68719E3B" w14:textId="77777777" w:rsidR="00EE0B04" w:rsidRDefault="00EE0B04" w:rsidP="00DE11DA">
            <w:pPr>
              <w:numPr>
                <w:ilvl w:val="0"/>
                <w:numId w:val="15"/>
              </w:numPr>
              <w:spacing w:before="100" w:beforeAutospacing="1" w:after="100" w:afterAutospacing="1"/>
              <w:ind w:left="427"/>
              <w:rPr>
                <w:rFonts w:ascii="Calibri" w:hAnsi="Calibri"/>
                <w:color w:val="000000"/>
                <w:szCs w:val="22"/>
              </w:rPr>
            </w:pPr>
            <w:r>
              <w:rPr>
                <w:rFonts w:cs="Arial"/>
                <w:color w:val="000000"/>
                <w:szCs w:val="20"/>
              </w:rPr>
              <w:t>Care</w:t>
            </w:r>
            <w:r>
              <w:rPr>
                <w:rFonts w:cs="Arial"/>
                <w:bCs/>
                <w:color w:val="000000"/>
                <w:szCs w:val="20"/>
              </w:rPr>
              <w:t xml:space="preserve"> </w:t>
            </w:r>
            <w:r>
              <w:rPr>
                <w:rFonts w:cs="Arial"/>
                <w:color w:val="000000"/>
                <w:szCs w:val="20"/>
                <w:lang w:val="en-GB"/>
              </w:rPr>
              <w:t> </w:t>
            </w:r>
          </w:p>
          <w:p w14:paraId="69D03564" w14:textId="77777777" w:rsidR="00EE0B04" w:rsidRDefault="00EE0B04" w:rsidP="00DE11DA">
            <w:pPr>
              <w:numPr>
                <w:ilvl w:val="0"/>
                <w:numId w:val="15"/>
              </w:numPr>
              <w:spacing w:before="100" w:beforeAutospacing="1" w:after="100" w:afterAutospacing="1"/>
              <w:ind w:left="427"/>
              <w:rPr>
                <w:color w:val="000000"/>
              </w:rPr>
            </w:pPr>
            <w:r>
              <w:rPr>
                <w:rFonts w:cs="Arial"/>
                <w:color w:val="000000"/>
                <w:szCs w:val="20"/>
              </w:rPr>
              <w:t>Respect</w:t>
            </w:r>
            <w:r>
              <w:rPr>
                <w:rFonts w:cs="Arial"/>
                <w:bCs/>
                <w:color w:val="000000"/>
                <w:szCs w:val="20"/>
                <w:lang w:val="en-GB"/>
              </w:rPr>
              <w:t> </w:t>
            </w:r>
          </w:p>
          <w:p w14:paraId="739D361C" w14:textId="77777777" w:rsidR="00EE0B04" w:rsidRDefault="00EE0B04" w:rsidP="00DE11DA">
            <w:pPr>
              <w:numPr>
                <w:ilvl w:val="0"/>
                <w:numId w:val="15"/>
              </w:numPr>
              <w:spacing w:before="100" w:beforeAutospacing="1" w:after="100" w:afterAutospacing="1"/>
              <w:ind w:left="427"/>
              <w:rPr>
                <w:color w:val="000000"/>
              </w:rPr>
            </w:pPr>
            <w:r>
              <w:rPr>
                <w:rFonts w:cs="Arial"/>
                <w:color w:val="000000"/>
                <w:szCs w:val="20"/>
              </w:rPr>
              <w:t>Integrity</w:t>
            </w:r>
            <w:r>
              <w:rPr>
                <w:rFonts w:cs="Arial"/>
                <w:bCs/>
                <w:color w:val="000000"/>
                <w:szCs w:val="20"/>
                <w:lang w:val="en-GB"/>
              </w:rPr>
              <w:t> </w:t>
            </w:r>
          </w:p>
          <w:p w14:paraId="7131C8E1" w14:textId="77777777" w:rsidR="00EE0B04" w:rsidRPr="00AD36FE" w:rsidRDefault="00EE0B04" w:rsidP="00DE11DA">
            <w:pPr>
              <w:numPr>
                <w:ilvl w:val="0"/>
                <w:numId w:val="15"/>
              </w:numPr>
              <w:spacing w:before="100" w:beforeAutospacing="1" w:after="100" w:afterAutospacing="1"/>
              <w:ind w:left="427"/>
              <w:jc w:val="both"/>
              <w:rPr>
                <w:bCs/>
              </w:rPr>
            </w:pPr>
            <w:r w:rsidRPr="00AD36FE">
              <w:rPr>
                <w:rFonts w:cs="Arial"/>
                <w:color w:val="000000"/>
                <w:szCs w:val="20"/>
              </w:rPr>
              <w:t>Trust</w:t>
            </w:r>
          </w:p>
          <w:p w14:paraId="1DF4518F" w14:textId="77777777" w:rsidR="00EE0B04" w:rsidRPr="00AD36FE" w:rsidRDefault="00EE0B04" w:rsidP="00DE11DA">
            <w:pPr>
              <w:numPr>
                <w:ilvl w:val="0"/>
                <w:numId w:val="15"/>
              </w:numPr>
              <w:spacing w:before="100" w:beforeAutospacing="1" w:after="100" w:afterAutospacing="1"/>
              <w:ind w:left="427"/>
              <w:jc w:val="both"/>
              <w:rPr>
                <w:bCs/>
              </w:rPr>
            </w:pPr>
            <w:r w:rsidRPr="00AD36FE">
              <w:rPr>
                <w:rFonts w:cs="Arial"/>
                <w:color w:val="000000"/>
                <w:szCs w:val="20"/>
              </w:rPr>
              <w:t>Accountability</w:t>
            </w:r>
            <w:r w:rsidRPr="00AD36FE">
              <w:rPr>
                <w:rFonts w:cs="Arial"/>
                <w:bCs/>
                <w:color w:val="000000"/>
                <w:szCs w:val="20"/>
                <w:lang w:val="en-GB"/>
              </w:rPr>
              <w:t> </w:t>
            </w:r>
          </w:p>
          <w:p w14:paraId="40E98B21" w14:textId="77777777" w:rsidR="00EE0B04" w:rsidRDefault="00EE0B04" w:rsidP="00514497">
            <w:pPr>
              <w:jc w:val="both"/>
              <w:rPr>
                <w:rFonts w:ascii="Calibri" w:hAnsi="Calibri"/>
                <w:color w:val="000000"/>
                <w:szCs w:val="22"/>
              </w:rPr>
            </w:pPr>
            <w:r w:rsidRPr="000D079F">
              <w:rPr>
                <w:b/>
                <w:bCs/>
                <w:u w:val="single"/>
              </w:rPr>
              <w:t>Core competencies</w:t>
            </w:r>
          </w:p>
          <w:p w14:paraId="5A8B42F5" w14:textId="77777777" w:rsidR="00EE0B04" w:rsidRDefault="00EE0B04" w:rsidP="00DE11DA">
            <w:pPr>
              <w:numPr>
                <w:ilvl w:val="0"/>
                <w:numId w:val="15"/>
              </w:numPr>
              <w:spacing w:before="100" w:beforeAutospacing="1" w:after="100" w:afterAutospacing="1"/>
              <w:ind w:left="427"/>
              <w:rPr>
                <w:color w:val="000000"/>
              </w:rPr>
            </w:pPr>
            <w:r>
              <w:rPr>
                <w:rFonts w:cs="Arial"/>
                <w:color w:val="000000"/>
                <w:szCs w:val="20"/>
              </w:rPr>
              <w:t>Demonstrates Self Awareness and Ethical Awareness (2) </w:t>
            </w:r>
          </w:p>
          <w:p w14:paraId="2B94A645" w14:textId="77777777" w:rsidR="00EE0B04" w:rsidRDefault="00EE0B04" w:rsidP="00DE11DA">
            <w:pPr>
              <w:numPr>
                <w:ilvl w:val="0"/>
                <w:numId w:val="15"/>
              </w:numPr>
              <w:spacing w:before="100" w:beforeAutospacing="1" w:after="100" w:afterAutospacing="1"/>
              <w:ind w:left="427"/>
              <w:rPr>
                <w:color w:val="000000"/>
              </w:rPr>
            </w:pPr>
            <w:r>
              <w:rPr>
                <w:rFonts w:cs="Arial"/>
                <w:color w:val="000000"/>
                <w:szCs w:val="20"/>
              </w:rPr>
              <w:t>Works Collaboratively with others (2) </w:t>
            </w:r>
          </w:p>
          <w:p w14:paraId="00BB62D0" w14:textId="77777777" w:rsidR="00EE0B04" w:rsidRDefault="00EE0B04" w:rsidP="00DE11DA">
            <w:pPr>
              <w:numPr>
                <w:ilvl w:val="0"/>
                <w:numId w:val="15"/>
              </w:numPr>
              <w:spacing w:before="100" w:beforeAutospacing="1" w:after="100" w:afterAutospacing="1"/>
              <w:ind w:left="427"/>
              <w:rPr>
                <w:color w:val="000000"/>
              </w:rPr>
            </w:pPr>
            <w:r>
              <w:rPr>
                <w:rFonts w:cs="Arial"/>
                <w:color w:val="000000"/>
                <w:szCs w:val="20"/>
              </w:rPr>
              <w:t>Builds and Maintains Partnerships (2) </w:t>
            </w:r>
          </w:p>
          <w:p w14:paraId="2FCA6C74" w14:textId="77777777" w:rsidR="00EE0B04" w:rsidRDefault="00EE0B04" w:rsidP="00DE11DA">
            <w:pPr>
              <w:numPr>
                <w:ilvl w:val="0"/>
                <w:numId w:val="15"/>
              </w:numPr>
              <w:spacing w:before="100" w:beforeAutospacing="1" w:after="100" w:afterAutospacing="1"/>
              <w:ind w:left="427"/>
              <w:rPr>
                <w:color w:val="000000"/>
              </w:rPr>
            </w:pPr>
            <w:r>
              <w:rPr>
                <w:rFonts w:cs="Arial"/>
                <w:color w:val="000000"/>
                <w:szCs w:val="20"/>
              </w:rPr>
              <w:t>Innovates and Embraces Change (2) </w:t>
            </w:r>
          </w:p>
          <w:p w14:paraId="03AF5C09" w14:textId="77777777" w:rsidR="00EE0B04" w:rsidRDefault="00EE0B04" w:rsidP="00DE11DA">
            <w:pPr>
              <w:numPr>
                <w:ilvl w:val="0"/>
                <w:numId w:val="15"/>
              </w:numPr>
              <w:spacing w:before="100" w:beforeAutospacing="1" w:after="100" w:afterAutospacing="1"/>
              <w:ind w:left="427"/>
              <w:rPr>
                <w:color w:val="000000"/>
              </w:rPr>
            </w:pPr>
            <w:r>
              <w:rPr>
                <w:rFonts w:cs="Arial"/>
                <w:color w:val="000000"/>
                <w:szCs w:val="20"/>
              </w:rPr>
              <w:t>Thinks and Acts Strategically (2) </w:t>
            </w:r>
          </w:p>
          <w:p w14:paraId="796A8598" w14:textId="77777777" w:rsidR="00EE0B04" w:rsidRPr="00DE11DA" w:rsidRDefault="00EE0B04" w:rsidP="00DE11DA">
            <w:pPr>
              <w:numPr>
                <w:ilvl w:val="0"/>
                <w:numId w:val="15"/>
              </w:numPr>
              <w:spacing w:before="100" w:beforeAutospacing="1" w:after="100" w:afterAutospacing="1"/>
              <w:ind w:left="427"/>
              <w:rPr>
                <w:color w:val="000000"/>
              </w:rPr>
            </w:pPr>
            <w:r>
              <w:rPr>
                <w:rFonts w:cs="Arial"/>
                <w:color w:val="000000"/>
                <w:szCs w:val="20"/>
              </w:rPr>
              <w:t>Drives to achieve impactful results (2)</w:t>
            </w:r>
          </w:p>
          <w:p w14:paraId="6456FE1F" w14:textId="3CDB91CD" w:rsidR="00EE0B04" w:rsidRPr="00EE0B04" w:rsidRDefault="00EE0B04" w:rsidP="007902F0">
            <w:pPr>
              <w:numPr>
                <w:ilvl w:val="0"/>
                <w:numId w:val="15"/>
              </w:numPr>
              <w:spacing w:before="100" w:beforeAutospacing="1" w:after="100" w:afterAutospacing="1"/>
              <w:ind w:left="427"/>
              <w:rPr>
                <w:color w:val="000000"/>
              </w:rPr>
            </w:pPr>
            <w:r>
              <w:rPr>
                <w:rFonts w:cs="Arial"/>
                <w:color w:val="000000"/>
                <w:szCs w:val="20"/>
              </w:rPr>
              <w:t>M</w:t>
            </w:r>
            <w:r w:rsidRPr="00D6232F">
              <w:rPr>
                <w:rFonts w:cs="Arial"/>
                <w:color w:val="000000"/>
                <w:szCs w:val="20"/>
              </w:rPr>
              <w:t>anages ambiguity and complexity (</w:t>
            </w:r>
            <w:r>
              <w:rPr>
                <w:rFonts w:cs="Arial"/>
                <w:color w:val="000000"/>
                <w:szCs w:val="20"/>
              </w:rPr>
              <w:t>2)</w:t>
            </w:r>
          </w:p>
        </w:tc>
      </w:tr>
    </w:tbl>
    <w:p w14:paraId="55BF6A90"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705"/>
        <w:gridCol w:w="6925"/>
      </w:tblGrid>
      <w:tr w:rsidR="00B466A4" w14:paraId="4F912812" w14:textId="77777777" w:rsidTr="3E6CFC8C">
        <w:tc>
          <w:tcPr>
            <w:tcW w:w="8630" w:type="dxa"/>
            <w:gridSpan w:val="2"/>
            <w:shd w:val="clear" w:color="auto" w:fill="E0E0E0"/>
          </w:tcPr>
          <w:p w14:paraId="15CA7ADE" w14:textId="77777777" w:rsidR="00B466A4" w:rsidRDefault="00B466A4">
            <w:pPr>
              <w:rPr>
                <w:b/>
                <w:bCs/>
                <w:sz w:val="24"/>
              </w:rPr>
            </w:pPr>
          </w:p>
          <w:p w14:paraId="6EE7D988" w14:textId="10485A59" w:rsidR="00B466A4" w:rsidRDefault="00B466A4" w:rsidP="3E6CFC8C">
            <w:pPr>
              <w:rPr>
                <w:b/>
                <w:bCs/>
                <w:sz w:val="24"/>
              </w:rPr>
            </w:pPr>
            <w:r w:rsidRPr="3E6CFC8C">
              <w:rPr>
                <w:b/>
                <w:bCs/>
                <w:sz w:val="24"/>
              </w:rPr>
              <w:t>VI. Recruitment Qualifications</w:t>
            </w:r>
          </w:p>
        </w:tc>
      </w:tr>
      <w:tr w:rsidR="00B466A4" w14:paraId="0E1036F3" w14:textId="77777777" w:rsidTr="3E6CFC8C">
        <w:trPr>
          <w:trHeight w:val="230"/>
        </w:trPr>
        <w:tc>
          <w:tcPr>
            <w:tcW w:w="1705" w:type="dxa"/>
            <w:tcBorders>
              <w:bottom w:val="single" w:sz="4" w:space="0" w:color="auto"/>
            </w:tcBorders>
          </w:tcPr>
          <w:p w14:paraId="0EBB2983" w14:textId="77777777" w:rsidR="00B466A4" w:rsidRDefault="00B466A4"/>
          <w:p w14:paraId="3D343A71" w14:textId="77777777" w:rsidR="00B466A4" w:rsidRDefault="00B466A4">
            <w:r>
              <w:t>Education:</w:t>
            </w:r>
          </w:p>
        </w:tc>
        <w:tc>
          <w:tcPr>
            <w:tcW w:w="6925" w:type="dxa"/>
            <w:tcBorders>
              <w:bottom w:val="single" w:sz="4" w:space="0" w:color="auto"/>
            </w:tcBorders>
          </w:tcPr>
          <w:p w14:paraId="41C3C2AD" w14:textId="4799D86A" w:rsidR="002217E9" w:rsidRDefault="002217E9" w:rsidP="4D37A4B7">
            <w:pPr>
              <w:pStyle w:val="Default"/>
              <w:rPr>
                <w:sz w:val="20"/>
                <w:szCs w:val="20"/>
              </w:rPr>
            </w:pPr>
            <w:r w:rsidRPr="4D37A4B7">
              <w:rPr>
                <w:sz w:val="20"/>
                <w:szCs w:val="20"/>
              </w:rPr>
              <w:t>A medical or advanced university degree in one of the following fields is required: public health, health research, global/international health, health policy and/or management, environmental health sciences, biostatistics, socio-medical, health education, epidemiology or another relevant technical field.</w:t>
            </w:r>
          </w:p>
        </w:tc>
      </w:tr>
      <w:tr w:rsidR="00B466A4" w14:paraId="359B1E1B" w14:textId="77777777" w:rsidTr="3E6CFC8C">
        <w:trPr>
          <w:trHeight w:val="230"/>
        </w:trPr>
        <w:tc>
          <w:tcPr>
            <w:tcW w:w="1705" w:type="dxa"/>
            <w:tcBorders>
              <w:bottom w:val="single" w:sz="4" w:space="0" w:color="auto"/>
            </w:tcBorders>
          </w:tcPr>
          <w:p w14:paraId="1F18C26D" w14:textId="77777777" w:rsidR="00B466A4" w:rsidRDefault="00B466A4"/>
          <w:p w14:paraId="13E78147" w14:textId="77777777" w:rsidR="00B466A4" w:rsidRDefault="00B466A4">
            <w:r>
              <w:t>Experience:</w:t>
            </w:r>
          </w:p>
        </w:tc>
        <w:tc>
          <w:tcPr>
            <w:tcW w:w="6925" w:type="dxa"/>
            <w:tcBorders>
              <w:bottom w:val="single" w:sz="4" w:space="0" w:color="auto"/>
            </w:tcBorders>
          </w:tcPr>
          <w:p w14:paraId="3E0FD25D" w14:textId="1A904D06" w:rsidR="002217E9" w:rsidRDefault="002217E9" w:rsidP="002217E9">
            <w:pPr>
              <w:jc w:val="both"/>
            </w:pPr>
            <w:r>
              <w:t xml:space="preserve">A minimum of </w:t>
            </w:r>
            <w:r w:rsidR="00BA7E6F">
              <w:t>eight</w:t>
            </w:r>
            <w:r w:rsidRPr="00940C0C">
              <w:t xml:space="preserve"> years of professional experience in one or more of the following areas</w:t>
            </w:r>
            <w:r>
              <w:t>, at the international level,</w:t>
            </w:r>
            <w:r w:rsidRPr="00940C0C">
              <w:t xml:space="preserve"> is required:</w:t>
            </w:r>
            <w:r>
              <w:t xml:space="preserve"> public health planning and management, </w:t>
            </w:r>
            <w:r w:rsidR="00D7217C">
              <w:t>immunization</w:t>
            </w:r>
            <w:r>
              <w:t>, or health emergency/humanitarian preparedness</w:t>
            </w:r>
            <w:r w:rsidR="00AF2FA4">
              <w:t xml:space="preserve"> and response</w:t>
            </w:r>
            <w:r>
              <w:t xml:space="preserve">.  </w:t>
            </w:r>
          </w:p>
          <w:p w14:paraId="000612BB" w14:textId="77777777" w:rsidR="002217E9" w:rsidRDefault="002217E9" w:rsidP="002217E9">
            <w:pPr>
              <w:jc w:val="both"/>
            </w:pPr>
          </w:p>
          <w:p w14:paraId="0409345A" w14:textId="5B9EE1F0" w:rsidR="002217E9" w:rsidRDefault="002217E9" w:rsidP="002217E9">
            <w:pPr>
              <w:jc w:val="both"/>
            </w:pPr>
            <w:r>
              <w:t xml:space="preserve">Experience working </w:t>
            </w:r>
            <w:r w:rsidR="0080664C">
              <w:t xml:space="preserve">on </w:t>
            </w:r>
            <w:r w:rsidR="002D680C">
              <w:t>emergencies and outbreak response</w:t>
            </w:r>
            <w:r>
              <w:t xml:space="preserve"> </w:t>
            </w:r>
            <w:r w:rsidR="002D680C">
              <w:t>are</w:t>
            </w:r>
            <w:r>
              <w:t xml:space="preserve"> considered a</w:t>
            </w:r>
            <w:r w:rsidR="002D680C">
              <w:t>s</w:t>
            </w:r>
            <w:r>
              <w:t xml:space="preserve"> asset</w:t>
            </w:r>
            <w:r w:rsidR="002D680C">
              <w:t>s</w:t>
            </w:r>
            <w:r>
              <w:t>.</w:t>
            </w:r>
          </w:p>
          <w:p w14:paraId="702A1ECF" w14:textId="77777777" w:rsidR="002217E9" w:rsidRDefault="002217E9" w:rsidP="002217E9">
            <w:pPr>
              <w:jc w:val="both"/>
            </w:pPr>
          </w:p>
          <w:p w14:paraId="35F2906B" w14:textId="1B13C638" w:rsidR="00661408" w:rsidRDefault="002217E9" w:rsidP="002217E9">
            <w:pPr>
              <w:jc w:val="both"/>
            </w:pPr>
            <w:r>
              <w:t>Relevant experience in a UN system agency or organization is considered an asset.</w:t>
            </w:r>
          </w:p>
        </w:tc>
      </w:tr>
      <w:tr w:rsidR="00B466A4" w:rsidRPr="00482327" w14:paraId="5F24902B" w14:textId="77777777" w:rsidTr="3E6CFC8C">
        <w:trPr>
          <w:trHeight w:val="557"/>
        </w:trPr>
        <w:tc>
          <w:tcPr>
            <w:tcW w:w="1705" w:type="dxa"/>
            <w:tcBorders>
              <w:bottom w:val="single" w:sz="4" w:space="0" w:color="auto"/>
            </w:tcBorders>
          </w:tcPr>
          <w:p w14:paraId="1ADEC55B" w14:textId="77777777" w:rsidR="00B466A4" w:rsidRDefault="00B466A4"/>
          <w:p w14:paraId="6F45FBD6" w14:textId="77777777" w:rsidR="00B466A4" w:rsidRDefault="00B466A4">
            <w:r>
              <w:t>Language Requirements:</w:t>
            </w:r>
          </w:p>
        </w:tc>
        <w:tc>
          <w:tcPr>
            <w:tcW w:w="6925" w:type="dxa"/>
            <w:tcBorders>
              <w:bottom w:val="single" w:sz="4" w:space="0" w:color="auto"/>
            </w:tcBorders>
          </w:tcPr>
          <w:p w14:paraId="6ADB4164" w14:textId="77777777" w:rsidR="00B466A4" w:rsidRDefault="00B466A4"/>
          <w:p w14:paraId="7BA10B8E" w14:textId="62A78275" w:rsidR="00B502C7" w:rsidRDefault="002217E9" w:rsidP="002217E9">
            <w:pPr>
              <w:rPr>
                <w:rFonts w:cs="Arial"/>
                <w:szCs w:val="20"/>
              </w:rPr>
            </w:pPr>
            <w:r w:rsidRPr="0069598A">
              <w:rPr>
                <w:rFonts w:cs="Arial"/>
                <w:szCs w:val="20"/>
              </w:rPr>
              <w:t xml:space="preserve">Fluency in English is required. </w:t>
            </w:r>
          </w:p>
          <w:p w14:paraId="388007B8" w14:textId="77777777" w:rsidR="00B502C7" w:rsidRDefault="00B502C7" w:rsidP="002217E9">
            <w:pPr>
              <w:rPr>
                <w:rFonts w:cs="Arial"/>
                <w:szCs w:val="20"/>
              </w:rPr>
            </w:pPr>
          </w:p>
          <w:p w14:paraId="786894E2" w14:textId="19E902B5" w:rsidR="00B466A4" w:rsidRPr="00482327" w:rsidRDefault="002217E9" w:rsidP="002217E9">
            <w:r w:rsidRPr="0069598A">
              <w:rPr>
                <w:rFonts w:cs="Arial"/>
                <w:szCs w:val="20"/>
              </w:rPr>
              <w:t>Knowledge of an</w:t>
            </w:r>
            <w:r w:rsidR="00D54BE7">
              <w:rPr>
                <w:rFonts w:cs="Arial"/>
                <w:szCs w:val="20"/>
              </w:rPr>
              <w:t xml:space="preserve">y </w:t>
            </w:r>
            <w:r w:rsidRPr="0069598A">
              <w:rPr>
                <w:rFonts w:cs="Arial"/>
                <w:szCs w:val="20"/>
              </w:rPr>
              <w:t>other official UN language</w:t>
            </w:r>
            <w:r w:rsidR="00B502C7">
              <w:rPr>
                <w:rFonts w:cs="Arial"/>
                <w:szCs w:val="20"/>
              </w:rPr>
              <w:t xml:space="preserve"> </w:t>
            </w:r>
            <w:r w:rsidRPr="0069598A">
              <w:rPr>
                <w:rFonts w:cs="Arial"/>
                <w:szCs w:val="20"/>
              </w:rPr>
              <w:t>is an asset.</w:t>
            </w:r>
          </w:p>
        </w:tc>
      </w:tr>
    </w:tbl>
    <w:p w14:paraId="2C938888" w14:textId="794E95F7" w:rsidR="007C4953" w:rsidRDefault="007C4953"/>
    <w:p w14:paraId="24BBD4FA" w14:textId="77777777" w:rsidR="0009761E" w:rsidRDefault="0009761E"/>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8B91" w14:textId="77777777" w:rsidR="0059785A" w:rsidRDefault="0059785A" w:rsidP="00C972F7">
      <w:r>
        <w:separator/>
      </w:r>
    </w:p>
  </w:endnote>
  <w:endnote w:type="continuationSeparator" w:id="0">
    <w:p w14:paraId="67987C6E" w14:textId="77777777" w:rsidR="0059785A" w:rsidRDefault="0059785A" w:rsidP="00C972F7">
      <w:r>
        <w:continuationSeparator/>
      </w:r>
    </w:p>
  </w:endnote>
  <w:endnote w:type="continuationNotice" w:id="1">
    <w:p w14:paraId="3E326195" w14:textId="77777777" w:rsidR="0059785A" w:rsidRDefault="00597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A7C7" w14:textId="77777777" w:rsidR="0059785A" w:rsidRDefault="0059785A" w:rsidP="00C972F7">
      <w:r>
        <w:separator/>
      </w:r>
    </w:p>
  </w:footnote>
  <w:footnote w:type="continuationSeparator" w:id="0">
    <w:p w14:paraId="5E42B2BC" w14:textId="77777777" w:rsidR="0059785A" w:rsidRDefault="0059785A" w:rsidP="00C972F7">
      <w:r>
        <w:continuationSeparator/>
      </w:r>
    </w:p>
  </w:footnote>
  <w:footnote w:type="continuationNotice" w:id="1">
    <w:p w14:paraId="1D2965F3" w14:textId="77777777" w:rsidR="0059785A" w:rsidRDefault="005978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1552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51C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DC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F5351"/>
    <w:multiLevelType w:val="hybridMultilevel"/>
    <w:tmpl w:val="37365AB6"/>
    <w:lvl w:ilvl="0" w:tplc="9516FFA6">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210082F4">
      <w:numFmt w:val="bullet"/>
      <w:lvlText w:val="•"/>
      <w:lvlJc w:val="left"/>
      <w:pPr>
        <w:ind w:left="1681" w:hanging="360"/>
      </w:pPr>
      <w:rPr>
        <w:lang w:val="en-US" w:eastAsia="en-US" w:bidi="ar-SA"/>
      </w:rPr>
    </w:lvl>
    <w:lvl w:ilvl="2" w:tplc="43662034">
      <w:numFmt w:val="bullet"/>
      <w:lvlText w:val="•"/>
      <w:lvlJc w:val="left"/>
      <w:pPr>
        <w:ind w:left="2543" w:hanging="360"/>
      </w:pPr>
      <w:rPr>
        <w:lang w:val="en-US" w:eastAsia="en-US" w:bidi="ar-SA"/>
      </w:rPr>
    </w:lvl>
    <w:lvl w:ilvl="3" w:tplc="D152E32E">
      <w:numFmt w:val="bullet"/>
      <w:lvlText w:val="•"/>
      <w:lvlJc w:val="left"/>
      <w:pPr>
        <w:ind w:left="3405" w:hanging="360"/>
      </w:pPr>
      <w:rPr>
        <w:lang w:val="en-US" w:eastAsia="en-US" w:bidi="ar-SA"/>
      </w:rPr>
    </w:lvl>
    <w:lvl w:ilvl="4" w:tplc="0A3E3E22">
      <w:numFmt w:val="bullet"/>
      <w:lvlText w:val="•"/>
      <w:lvlJc w:val="left"/>
      <w:pPr>
        <w:ind w:left="4267" w:hanging="360"/>
      </w:pPr>
      <w:rPr>
        <w:lang w:val="en-US" w:eastAsia="en-US" w:bidi="ar-SA"/>
      </w:rPr>
    </w:lvl>
    <w:lvl w:ilvl="5" w:tplc="2CC4D616">
      <w:numFmt w:val="bullet"/>
      <w:lvlText w:val="•"/>
      <w:lvlJc w:val="left"/>
      <w:pPr>
        <w:ind w:left="5129" w:hanging="360"/>
      </w:pPr>
      <w:rPr>
        <w:lang w:val="en-US" w:eastAsia="en-US" w:bidi="ar-SA"/>
      </w:rPr>
    </w:lvl>
    <w:lvl w:ilvl="6" w:tplc="B630FBF0">
      <w:numFmt w:val="bullet"/>
      <w:lvlText w:val="•"/>
      <w:lvlJc w:val="left"/>
      <w:pPr>
        <w:ind w:left="5990" w:hanging="360"/>
      </w:pPr>
      <w:rPr>
        <w:lang w:val="en-US" w:eastAsia="en-US" w:bidi="ar-SA"/>
      </w:rPr>
    </w:lvl>
    <w:lvl w:ilvl="7" w:tplc="DD1AC4E8">
      <w:numFmt w:val="bullet"/>
      <w:lvlText w:val="•"/>
      <w:lvlJc w:val="left"/>
      <w:pPr>
        <w:ind w:left="6852" w:hanging="360"/>
      </w:pPr>
      <w:rPr>
        <w:lang w:val="en-US" w:eastAsia="en-US" w:bidi="ar-SA"/>
      </w:rPr>
    </w:lvl>
    <w:lvl w:ilvl="8" w:tplc="705ABF12">
      <w:numFmt w:val="bullet"/>
      <w:lvlText w:val="•"/>
      <w:lvlJc w:val="left"/>
      <w:pPr>
        <w:ind w:left="7714" w:hanging="360"/>
      </w:pPr>
      <w:rPr>
        <w:lang w:val="en-US" w:eastAsia="en-US" w:bidi="ar-SA"/>
      </w:rPr>
    </w:lvl>
  </w:abstractNum>
  <w:abstractNum w:abstractNumId="9"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6401B"/>
    <w:multiLevelType w:val="hybridMultilevel"/>
    <w:tmpl w:val="2E42F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76348"/>
    <w:multiLevelType w:val="hybridMultilevel"/>
    <w:tmpl w:val="CC321A8E"/>
    <w:lvl w:ilvl="0" w:tplc="8960C9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6AE2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E1E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154C3"/>
    <w:multiLevelType w:val="multilevel"/>
    <w:tmpl w:val="0CC2B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C74EAE"/>
    <w:multiLevelType w:val="hybridMultilevel"/>
    <w:tmpl w:val="9C6C5B3C"/>
    <w:lvl w:ilvl="0" w:tplc="4492E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454F4"/>
    <w:multiLevelType w:val="hybridMultilevel"/>
    <w:tmpl w:val="DE6426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3F748F"/>
    <w:multiLevelType w:val="hybridMultilevel"/>
    <w:tmpl w:val="BC08F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77440"/>
    <w:multiLevelType w:val="hybridMultilevel"/>
    <w:tmpl w:val="FD08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75EB5"/>
    <w:multiLevelType w:val="hybridMultilevel"/>
    <w:tmpl w:val="165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7589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940901">
    <w:abstractNumId w:val="3"/>
  </w:num>
  <w:num w:numId="3" w16cid:durableId="678654762">
    <w:abstractNumId w:val="16"/>
  </w:num>
  <w:num w:numId="4" w16cid:durableId="1665156913">
    <w:abstractNumId w:val="31"/>
  </w:num>
  <w:num w:numId="5" w16cid:durableId="1841457335">
    <w:abstractNumId w:val="22"/>
  </w:num>
  <w:num w:numId="6" w16cid:durableId="1876850103">
    <w:abstractNumId w:val="28"/>
  </w:num>
  <w:num w:numId="7" w16cid:durableId="1306931131">
    <w:abstractNumId w:val="27"/>
  </w:num>
  <w:num w:numId="8" w16cid:durableId="1684896626">
    <w:abstractNumId w:val="29"/>
  </w:num>
  <w:num w:numId="9" w16cid:durableId="551044602">
    <w:abstractNumId w:val="23"/>
  </w:num>
  <w:num w:numId="10" w16cid:durableId="1231187811">
    <w:abstractNumId w:val="6"/>
  </w:num>
  <w:num w:numId="11" w16cid:durableId="101926057">
    <w:abstractNumId w:val="4"/>
  </w:num>
  <w:num w:numId="12" w16cid:durableId="976570253">
    <w:abstractNumId w:val="9"/>
  </w:num>
  <w:num w:numId="13" w16cid:durableId="863784370">
    <w:abstractNumId w:val="12"/>
  </w:num>
  <w:num w:numId="14" w16cid:durableId="1829708509">
    <w:abstractNumId w:val="20"/>
  </w:num>
  <w:num w:numId="15" w16cid:durableId="1037436426">
    <w:abstractNumId w:val="7"/>
  </w:num>
  <w:num w:numId="16" w16cid:durableId="1453094612">
    <w:abstractNumId w:val="2"/>
  </w:num>
  <w:num w:numId="17" w16cid:durableId="1807308614">
    <w:abstractNumId w:val="19"/>
  </w:num>
  <w:num w:numId="18" w16cid:durableId="1384599949">
    <w:abstractNumId w:val="25"/>
  </w:num>
  <w:num w:numId="19" w16cid:durableId="1610698597">
    <w:abstractNumId w:val="18"/>
  </w:num>
  <w:num w:numId="20" w16cid:durableId="1145852092">
    <w:abstractNumId w:val="8"/>
  </w:num>
  <w:num w:numId="21" w16cid:durableId="692850095">
    <w:abstractNumId w:val="21"/>
  </w:num>
  <w:num w:numId="22" w16cid:durableId="996612363">
    <w:abstractNumId w:val="24"/>
  </w:num>
  <w:num w:numId="23" w16cid:durableId="6505260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9083279">
    <w:abstractNumId w:val="30"/>
  </w:num>
  <w:num w:numId="25" w16cid:durableId="877550763">
    <w:abstractNumId w:val="26"/>
  </w:num>
  <w:num w:numId="26" w16cid:durableId="1101098503">
    <w:abstractNumId w:val="13"/>
  </w:num>
  <w:num w:numId="27" w16cid:durableId="2033341122">
    <w:abstractNumId w:val="10"/>
  </w:num>
  <w:num w:numId="28" w16cid:durableId="657198504">
    <w:abstractNumId w:val="15"/>
  </w:num>
  <w:num w:numId="29" w16cid:durableId="1723214113">
    <w:abstractNumId w:val="32"/>
  </w:num>
  <w:num w:numId="30" w16cid:durableId="1936017225">
    <w:abstractNumId w:val="14"/>
  </w:num>
  <w:num w:numId="31" w16cid:durableId="370229337">
    <w:abstractNumId w:val="1"/>
  </w:num>
  <w:num w:numId="32" w16cid:durableId="860972329">
    <w:abstractNumId w:val="5"/>
  </w:num>
  <w:num w:numId="33" w16cid:durableId="7683534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5318"/>
    <w:rsid w:val="000060B0"/>
    <w:rsid w:val="0001015A"/>
    <w:rsid w:val="000104ED"/>
    <w:rsid w:val="000171CD"/>
    <w:rsid w:val="00032906"/>
    <w:rsid w:val="00033FF2"/>
    <w:rsid w:val="000345A2"/>
    <w:rsid w:val="000442D2"/>
    <w:rsid w:val="000501DF"/>
    <w:rsid w:val="000507DA"/>
    <w:rsid w:val="00067167"/>
    <w:rsid w:val="00092608"/>
    <w:rsid w:val="000930F6"/>
    <w:rsid w:val="0009761E"/>
    <w:rsid w:val="000A112F"/>
    <w:rsid w:val="000A2F76"/>
    <w:rsid w:val="000A3A21"/>
    <w:rsid w:val="000D3D56"/>
    <w:rsid w:val="000D7F77"/>
    <w:rsid w:val="000E0266"/>
    <w:rsid w:val="000E075B"/>
    <w:rsid w:val="000E2899"/>
    <w:rsid w:val="000E4AFD"/>
    <w:rsid w:val="000F7F75"/>
    <w:rsid w:val="00100D4E"/>
    <w:rsid w:val="001111C6"/>
    <w:rsid w:val="00122C7A"/>
    <w:rsid w:val="00133902"/>
    <w:rsid w:val="00136BA3"/>
    <w:rsid w:val="00141369"/>
    <w:rsid w:val="00157003"/>
    <w:rsid w:val="001711D3"/>
    <w:rsid w:val="00196589"/>
    <w:rsid w:val="001A4EBA"/>
    <w:rsid w:val="001B7365"/>
    <w:rsid w:val="001C6205"/>
    <w:rsid w:val="001C7360"/>
    <w:rsid w:val="001D4E60"/>
    <w:rsid w:val="001D6213"/>
    <w:rsid w:val="001F118A"/>
    <w:rsid w:val="00220FDF"/>
    <w:rsid w:val="002217E9"/>
    <w:rsid w:val="00222F68"/>
    <w:rsid w:val="00223E02"/>
    <w:rsid w:val="00231349"/>
    <w:rsid w:val="002327DA"/>
    <w:rsid w:val="002355FF"/>
    <w:rsid w:val="00242658"/>
    <w:rsid w:val="00246CB8"/>
    <w:rsid w:val="002A0502"/>
    <w:rsid w:val="002B0F07"/>
    <w:rsid w:val="002B222A"/>
    <w:rsid w:val="002B2630"/>
    <w:rsid w:val="002C4C3F"/>
    <w:rsid w:val="002D2DDC"/>
    <w:rsid w:val="002D680C"/>
    <w:rsid w:val="002E45B2"/>
    <w:rsid w:val="002E692D"/>
    <w:rsid w:val="00303ABB"/>
    <w:rsid w:val="0033709C"/>
    <w:rsid w:val="00345C98"/>
    <w:rsid w:val="00345F9E"/>
    <w:rsid w:val="00346A8F"/>
    <w:rsid w:val="00353FE3"/>
    <w:rsid w:val="003549FA"/>
    <w:rsid w:val="00355B6D"/>
    <w:rsid w:val="003573C8"/>
    <w:rsid w:val="0036422E"/>
    <w:rsid w:val="00364D01"/>
    <w:rsid w:val="003662FD"/>
    <w:rsid w:val="003833D6"/>
    <w:rsid w:val="00387A1F"/>
    <w:rsid w:val="003A3100"/>
    <w:rsid w:val="003A6A11"/>
    <w:rsid w:val="003C5E69"/>
    <w:rsid w:val="003C6FAA"/>
    <w:rsid w:val="003D5F37"/>
    <w:rsid w:val="003E642E"/>
    <w:rsid w:val="003F1D5F"/>
    <w:rsid w:val="004015C5"/>
    <w:rsid w:val="004171EF"/>
    <w:rsid w:val="00417262"/>
    <w:rsid w:val="004201A6"/>
    <w:rsid w:val="004214C7"/>
    <w:rsid w:val="00424B18"/>
    <w:rsid w:val="0042653E"/>
    <w:rsid w:val="004327DB"/>
    <w:rsid w:val="00455BB4"/>
    <w:rsid w:val="00461781"/>
    <w:rsid w:val="00461D95"/>
    <w:rsid w:val="00470280"/>
    <w:rsid w:val="0047081A"/>
    <w:rsid w:val="00474762"/>
    <w:rsid w:val="00493E4F"/>
    <w:rsid w:val="00497B22"/>
    <w:rsid w:val="004A5497"/>
    <w:rsid w:val="004B6248"/>
    <w:rsid w:val="004E20AC"/>
    <w:rsid w:val="004E70CB"/>
    <w:rsid w:val="004F6FDF"/>
    <w:rsid w:val="00514497"/>
    <w:rsid w:val="00520320"/>
    <w:rsid w:val="005252DC"/>
    <w:rsid w:val="005354D4"/>
    <w:rsid w:val="005535E7"/>
    <w:rsid w:val="00557768"/>
    <w:rsid w:val="00594300"/>
    <w:rsid w:val="005946AD"/>
    <w:rsid w:val="0059785A"/>
    <w:rsid w:val="005A1A2D"/>
    <w:rsid w:val="005A259F"/>
    <w:rsid w:val="005A5AC6"/>
    <w:rsid w:val="005A73FF"/>
    <w:rsid w:val="005B4263"/>
    <w:rsid w:val="005B5936"/>
    <w:rsid w:val="005C696A"/>
    <w:rsid w:val="005C758E"/>
    <w:rsid w:val="005E3C21"/>
    <w:rsid w:val="005E7438"/>
    <w:rsid w:val="0060042C"/>
    <w:rsid w:val="00611662"/>
    <w:rsid w:val="00630854"/>
    <w:rsid w:val="00631FAC"/>
    <w:rsid w:val="00633240"/>
    <w:rsid w:val="00634FC8"/>
    <w:rsid w:val="00637C44"/>
    <w:rsid w:val="00643F20"/>
    <w:rsid w:val="006441CC"/>
    <w:rsid w:val="006466C8"/>
    <w:rsid w:val="00655E52"/>
    <w:rsid w:val="00661408"/>
    <w:rsid w:val="00674D57"/>
    <w:rsid w:val="00682649"/>
    <w:rsid w:val="00692362"/>
    <w:rsid w:val="00695607"/>
    <w:rsid w:val="00696D24"/>
    <w:rsid w:val="006A14EF"/>
    <w:rsid w:val="006A4550"/>
    <w:rsid w:val="006A509B"/>
    <w:rsid w:val="006C55CF"/>
    <w:rsid w:val="006C63A4"/>
    <w:rsid w:val="006C7E72"/>
    <w:rsid w:val="006E1E8C"/>
    <w:rsid w:val="006E434E"/>
    <w:rsid w:val="006E5AB3"/>
    <w:rsid w:val="006F3FF9"/>
    <w:rsid w:val="006F67CE"/>
    <w:rsid w:val="0070526F"/>
    <w:rsid w:val="00716EB6"/>
    <w:rsid w:val="00733418"/>
    <w:rsid w:val="007335AD"/>
    <w:rsid w:val="007353AE"/>
    <w:rsid w:val="00736200"/>
    <w:rsid w:val="00771269"/>
    <w:rsid w:val="0077221D"/>
    <w:rsid w:val="007841D7"/>
    <w:rsid w:val="007902F0"/>
    <w:rsid w:val="007A272B"/>
    <w:rsid w:val="007A4217"/>
    <w:rsid w:val="007B19BB"/>
    <w:rsid w:val="007B22F1"/>
    <w:rsid w:val="007B6EFA"/>
    <w:rsid w:val="007B73E3"/>
    <w:rsid w:val="007C25FB"/>
    <w:rsid w:val="007C4953"/>
    <w:rsid w:val="007D1880"/>
    <w:rsid w:val="007D35F8"/>
    <w:rsid w:val="007F7D10"/>
    <w:rsid w:val="0080664C"/>
    <w:rsid w:val="00811A56"/>
    <w:rsid w:val="0081641D"/>
    <w:rsid w:val="00817DDE"/>
    <w:rsid w:val="00837015"/>
    <w:rsid w:val="0084277C"/>
    <w:rsid w:val="0084301A"/>
    <w:rsid w:val="008446AC"/>
    <w:rsid w:val="00856DC4"/>
    <w:rsid w:val="008730B8"/>
    <w:rsid w:val="008766D7"/>
    <w:rsid w:val="008766F3"/>
    <w:rsid w:val="008776B5"/>
    <w:rsid w:val="008A1D1B"/>
    <w:rsid w:val="008A56BC"/>
    <w:rsid w:val="008B73EA"/>
    <w:rsid w:val="008C7215"/>
    <w:rsid w:val="008D3CDB"/>
    <w:rsid w:val="008D41EB"/>
    <w:rsid w:val="008D6CB1"/>
    <w:rsid w:val="008E20E6"/>
    <w:rsid w:val="008F425E"/>
    <w:rsid w:val="008F5E0E"/>
    <w:rsid w:val="00900CCD"/>
    <w:rsid w:val="009015FE"/>
    <w:rsid w:val="0090190F"/>
    <w:rsid w:val="00903BB7"/>
    <w:rsid w:val="00905247"/>
    <w:rsid w:val="00905BF1"/>
    <w:rsid w:val="00911904"/>
    <w:rsid w:val="0091405A"/>
    <w:rsid w:val="00916C03"/>
    <w:rsid w:val="009316DD"/>
    <w:rsid w:val="0095372F"/>
    <w:rsid w:val="00960DF9"/>
    <w:rsid w:val="00962EA4"/>
    <w:rsid w:val="0097359A"/>
    <w:rsid w:val="00985986"/>
    <w:rsid w:val="009942B3"/>
    <w:rsid w:val="00995A80"/>
    <w:rsid w:val="009A44C1"/>
    <w:rsid w:val="009A6C2B"/>
    <w:rsid w:val="009B02F0"/>
    <w:rsid w:val="009C137A"/>
    <w:rsid w:val="009D050B"/>
    <w:rsid w:val="00A2082E"/>
    <w:rsid w:val="00A21E51"/>
    <w:rsid w:val="00A23AD1"/>
    <w:rsid w:val="00A326AA"/>
    <w:rsid w:val="00A3581C"/>
    <w:rsid w:val="00A4051D"/>
    <w:rsid w:val="00A43914"/>
    <w:rsid w:val="00A45032"/>
    <w:rsid w:val="00A5292E"/>
    <w:rsid w:val="00A564CC"/>
    <w:rsid w:val="00A7664B"/>
    <w:rsid w:val="00A77959"/>
    <w:rsid w:val="00A94C51"/>
    <w:rsid w:val="00AA2660"/>
    <w:rsid w:val="00AB26AD"/>
    <w:rsid w:val="00AC0B61"/>
    <w:rsid w:val="00AC0FE7"/>
    <w:rsid w:val="00AD2544"/>
    <w:rsid w:val="00AF04E2"/>
    <w:rsid w:val="00AF2FA4"/>
    <w:rsid w:val="00AF41AD"/>
    <w:rsid w:val="00AF527E"/>
    <w:rsid w:val="00AF55A0"/>
    <w:rsid w:val="00AF5DAC"/>
    <w:rsid w:val="00AF7DA8"/>
    <w:rsid w:val="00B033E4"/>
    <w:rsid w:val="00B04F2D"/>
    <w:rsid w:val="00B102CB"/>
    <w:rsid w:val="00B31819"/>
    <w:rsid w:val="00B34FD1"/>
    <w:rsid w:val="00B35BE7"/>
    <w:rsid w:val="00B36F69"/>
    <w:rsid w:val="00B466A4"/>
    <w:rsid w:val="00B502C7"/>
    <w:rsid w:val="00B57424"/>
    <w:rsid w:val="00B6170E"/>
    <w:rsid w:val="00B71E4D"/>
    <w:rsid w:val="00B81A40"/>
    <w:rsid w:val="00BA02C9"/>
    <w:rsid w:val="00BA0732"/>
    <w:rsid w:val="00BA21E2"/>
    <w:rsid w:val="00BA44AF"/>
    <w:rsid w:val="00BA6F8C"/>
    <w:rsid w:val="00BA7E6F"/>
    <w:rsid w:val="00BC0F7D"/>
    <w:rsid w:val="00BC5222"/>
    <w:rsid w:val="00BC63AD"/>
    <w:rsid w:val="00BD2128"/>
    <w:rsid w:val="00BE098E"/>
    <w:rsid w:val="00BE292B"/>
    <w:rsid w:val="00BE2990"/>
    <w:rsid w:val="00BF624E"/>
    <w:rsid w:val="00C00C9F"/>
    <w:rsid w:val="00C20393"/>
    <w:rsid w:val="00C366C0"/>
    <w:rsid w:val="00C5029E"/>
    <w:rsid w:val="00C56467"/>
    <w:rsid w:val="00C57B0E"/>
    <w:rsid w:val="00C6023E"/>
    <w:rsid w:val="00C70CEB"/>
    <w:rsid w:val="00C73B61"/>
    <w:rsid w:val="00C863C4"/>
    <w:rsid w:val="00C972F7"/>
    <w:rsid w:val="00CA16AF"/>
    <w:rsid w:val="00CC4F16"/>
    <w:rsid w:val="00CC507D"/>
    <w:rsid w:val="00CE7C9A"/>
    <w:rsid w:val="00CF32A9"/>
    <w:rsid w:val="00CF5DE4"/>
    <w:rsid w:val="00D0071D"/>
    <w:rsid w:val="00D00A47"/>
    <w:rsid w:val="00D03D01"/>
    <w:rsid w:val="00D14AF9"/>
    <w:rsid w:val="00D27027"/>
    <w:rsid w:val="00D405E8"/>
    <w:rsid w:val="00D435E8"/>
    <w:rsid w:val="00D54BE7"/>
    <w:rsid w:val="00D573C6"/>
    <w:rsid w:val="00D64F42"/>
    <w:rsid w:val="00D70CDB"/>
    <w:rsid w:val="00D71BF8"/>
    <w:rsid w:val="00D7217C"/>
    <w:rsid w:val="00D8286B"/>
    <w:rsid w:val="00D82F50"/>
    <w:rsid w:val="00D84974"/>
    <w:rsid w:val="00D9142E"/>
    <w:rsid w:val="00D97728"/>
    <w:rsid w:val="00DA5D88"/>
    <w:rsid w:val="00DB0B3C"/>
    <w:rsid w:val="00DB46E8"/>
    <w:rsid w:val="00DB4936"/>
    <w:rsid w:val="00DB5934"/>
    <w:rsid w:val="00DB59B8"/>
    <w:rsid w:val="00DB5EDC"/>
    <w:rsid w:val="00DB5F4F"/>
    <w:rsid w:val="00DC2579"/>
    <w:rsid w:val="00DC2E87"/>
    <w:rsid w:val="00DC4A55"/>
    <w:rsid w:val="00DD4015"/>
    <w:rsid w:val="00DD4CF8"/>
    <w:rsid w:val="00DE11DA"/>
    <w:rsid w:val="00DF30F4"/>
    <w:rsid w:val="00E007A5"/>
    <w:rsid w:val="00E02DB3"/>
    <w:rsid w:val="00E073DC"/>
    <w:rsid w:val="00E11012"/>
    <w:rsid w:val="00E14139"/>
    <w:rsid w:val="00E158E0"/>
    <w:rsid w:val="00E24B06"/>
    <w:rsid w:val="00E27A38"/>
    <w:rsid w:val="00E30414"/>
    <w:rsid w:val="00E377AF"/>
    <w:rsid w:val="00E419E0"/>
    <w:rsid w:val="00E45021"/>
    <w:rsid w:val="00E52CBE"/>
    <w:rsid w:val="00E76F54"/>
    <w:rsid w:val="00E83C63"/>
    <w:rsid w:val="00E91E14"/>
    <w:rsid w:val="00EA2FD6"/>
    <w:rsid w:val="00EC259A"/>
    <w:rsid w:val="00EC7799"/>
    <w:rsid w:val="00ED07DC"/>
    <w:rsid w:val="00ED4CBD"/>
    <w:rsid w:val="00EE0B04"/>
    <w:rsid w:val="00EE3B85"/>
    <w:rsid w:val="00EF389A"/>
    <w:rsid w:val="00EF6307"/>
    <w:rsid w:val="00F02CDC"/>
    <w:rsid w:val="00F13287"/>
    <w:rsid w:val="00F30B49"/>
    <w:rsid w:val="00F34F58"/>
    <w:rsid w:val="00F4361D"/>
    <w:rsid w:val="00F46893"/>
    <w:rsid w:val="00F47E71"/>
    <w:rsid w:val="00F57E5F"/>
    <w:rsid w:val="00F6196E"/>
    <w:rsid w:val="00F64A5B"/>
    <w:rsid w:val="00F707A5"/>
    <w:rsid w:val="00F803AA"/>
    <w:rsid w:val="00F81A7F"/>
    <w:rsid w:val="00F8397B"/>
    <w:rsid w:val="00F83DC9"/>
    <w:rsid w:val="00F8533D"/>
    <w:rsid w:val="00F877C8"/>
    <w:rsid w:val="00FA177F"/>
    <w:rsid w:val="00FA4C64"/>
    <w:rsid w:val="00FA5B2B"/>
    <w:rsid w:val="00FB4755"/>
    <w:rsid w:val="00FC05CD"/>
    <w:rsid w:val="00FC3409"/>
    <w:rsid w:val="00FC3C06"/>
    <w:rsid w:val="00FD4667"/>
    <w:rsid w:val="00FD5B28"/>
    <w:rsid w:val="00FD6775"/>
    <w:rsid w:val="00FE32C6"/>
    <w:rsid w:val="00FF7E07"/>
    <w:rsid w:val="022DD131"/>
    <w:rsid w:val="0E8F2FC4"/>
    <w:rsid w:val="0FB7E3E0"/>
    <w:rsid w:val="129003D1"/>
    <w:rsid w:val="13AE59EF"/>
    <w:rsid w:val="1962B697"/>
    <w:rsid w:val="2840903E"/>
    <w:rsid w:val="29469B18"/>
    <w:rsid w:val="2DA17C72"/>
    <w:rsid w:val="306C1BB1"/>
    <w:rsid w:val="313EDF34"/>
    <w:rsid w:val="3743D041"/>
    <w:rsid w:val="3B5103F0"/>
    <w:rsid w:val="3D600A85"/>
    <w:rsid w:val="3E6CFC8C"/>
    <w:rsid w:val="40DF29ED"/>
    <w:rsid w:val="429D4959"/>
    <w:rsid w:val="441D0D51"/>
    <w:rsid w:val="45A5E76B"/>
    <w:rsid w:val="49D69C9A"/>
    <w:rsid w:val="4D325F54"/>
    <w:rsid w:val="4D37A4B7"/>
    <w:rsid w:val="4E0E0505"/>
    <w:rsid w:val="4EA507E5"/>
    <w:rsid w:val="51BD7FFF"/>
    <w:rsid w:val="532EF4A2"/>
    <w:rsid w:val="56BC23B3"/>
    <w:rsid w:val="5A0669EB"/>
    <w:rsid w:val="5B5B2CAE"/>
    <w:rsid w:val="5EE5316E"/>
    <w:rsid w:val="674343C9"/>
    <w:rsid w:val="6FC6813D"/>
    <w:rsid w:val="73606C17"/>
    <w:rsid w:val="738727E1"/>
    <w:rsid w:val="746555A5"/>
    <w:rsid w:val="76D702E4"/>
    <w:rsid w:val="78C0108F"/>
    <w:rsid w:val="7B0FD76D"/>
    <w:rsid w:val="7BDC9E7B"/>
    <w:rsid w:val="7C8A2A2A"/>
    <w:rsid w:val="7D7CF3E5"/>
    <w:rsid w:val="7F8910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0B6929C4-710C-4BF3-8B5A-E3B708BF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ui-provider">
    <w:name w:val="ui-provider"/>
    <w:basedOn w:val="DefaultParagraphFont"/>
    <w:rsid w:val="00FD6775"/>
  </w:style>
  <w:style w:type="paragraph" w:customStyle="1" w:styleId="TableParagraph">
    <w:name w:val="Table Paragraph"/>
    <w:basedOn w:val="Normal"/>
    <w:uiPriority w:val="1"/>
    <w:qFormat/>
    <w:rsid w:val="00E419E0"/>
    <w:pPr>
      <w:widowControl w:val="0"/>
      <w:autoSpaceDE w:val="0"/>
      <w:autoSpaceDN w:val="0"/>
    </w:pPr>
    <w:rPr>
      <w:rFonts w:eastAsia="Arial" w:cs="Arial"/>
      <w:sz w:val="22"/>
      <w:szCs w:val="22"/>
    </w:rPr>
  </w:style>
  <w:style w:type="paragraph" w:styleId="Revision">
    <w:name w:val="Revision"/>
    <w:hidden/>
    <w:uiPriority w:val="99"/>
    <w:semiHidden/>
    <w:rsid w:val="00837015"/>
    <w:rPr>
      <w:rFonts w:ascii="Arial" w:hAnsi="Arial"/>
      <w:szCs w:val="24"/>
    </w:rPr>
  </w:style>
  <w:style w:type="paragraph" w:styleId="NormalWeb">
    <w:name w:val="Normal (Web)"/>
    <w:basedOn w:val="Normal"/>
    <w:uiPriority w:val="99"/>
    <w:unhideWhenUsed/>
    <w:rsid w:val="006E1E8C"/>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uiPriority w:val="99"/>
    <w:semiHidden/>
    <w:rsid w:val="006E1E8C"/>
    <w:rPr>
      <w:rFonts w:ascii="Calibri" w:eastAsiaTheme="minorHAnsi" w:hAnsi="Calibri" w:cs="Calibri"/>
      <w:sz w:val="22"/>
      <w:szCs w:val="22"/>
    </w:rPr>
  </w:style>
  <w:style w:type="paragraph" w:customStyle="1" w:styleId="paragraph">
    <w:name w:val="paragraph"/>
    <w:basedOn w:val="Normal"/>
    <w:rsid w:val="00BD212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D2128"/>
  </w:style>
  <w:style w:type="character" w:customStyle="1" w:styleId="eop">
    <w:name w:val="eop"/>
    <w:basedOn w:val="DefaultParagraphFont"/>
    <w:rsid w:val="00BD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9056">
      <w:bodyDiv w:val="1"/>
      <w:marLeft w:val="0"/>
      <w:marRight w:val="0"/>
      <w:marTop w:val="0"/>
      <w:marBottom w:val="0"/>
      <w:divBdr>
        <w:top w:val="none" w:sz="0" w:space="0" w:color="auto"/>
        <w:left w:val="none" w:sz="0" w:space="0" w:color="auto"/>
        <w:bottom w:val="none" w:sz="0" w:space="0" w:color="auto"/>
        <w:right w:val="none" w:sz="0" w:space="0" w:color="auto"/>
      </w:divBdr>
      <w:divsChild>
        <w:div w:id="790783571">
          <w:marLeft w:val="0"/>
          <w:marRight w:val="0"/>
          <w:marTop w:val="0"/>
          <w:marBottom w:val="0"/>
          <w:divBdr>
            <w:top w:val="none" w:sz="0" w:space="0" w:color="auto"/>
            <w:left w:val="none" w:sz="0" w:space="0" w:color="auto"/>
            <w:bottom w:val="none" w:sz="0" w:space="0" w:color="auto"/>
            <w:right w:val="none" w:sz="0" w:space="0" w:color="auto"/>
          </w:divBdr>
        </w:div>
        <w:div w:id="678194657">
          <w:marLeft w:val="0"/>
          <w:marRight w:val="0"/>
          <w:marTop w:val="0"/>
          <w:marBottom w:val="0"/>
          <w:divBdr>
            <w:top w:val="none" w:sz="0" w:space="0" w:color="auto"/>
            <w:left w:val="none" w:sz="0" w:space="0" w:color="auto"/>
            <w:bottom w:val="none" w:sz="0" w:space="0" w:color="auto"/>
            <w:right w:val="none" w:sz="0" w:space="0" w:color="auto"/>
          </w:divBdr>
        </w:div>
        <w:div w:id="75131005">
          <w:marLeft w:val="0"/>
          <w:marRight w:val="0"/>
          <w:marTop w:val="0"/>
          <w:marBottom w:val="0"/>
          <w:divBdr>
            <w:top w:val="none" w:sz="0" w:space="0" w:color="auto"/>
            <w:left w:val="none" w:sz="0" w:space="0" w:color="auto"/>
            <w:bottom w:val="none" w:sz="0" w:space="0" w:color="auto"/>
            <w:right w:val="none" w:sz="0" w:space="0" w:color="auto"/>
          </w:divBdr>
        </w:div>
      </w:divsChild>
    </w:div>
    <w:div w:id="612827569">
      <w:bodyDiv w:val="1"/>
      <w:marLeft w:val="0"/>
      <w:marRight w:val="0"/>
      <w:marTop w:val="0"/>
      <w:marBottom w:val="0"/>
      <w:divBdr>
        <w:top w:val="none" w:sz="0" w:space="0" w:color="auto"/>
        <w:left w:val="none" w:sz="0" w:space="0" w:color="auto"/>
        <w:bottom w:val="none" w:sz="0" w:space="0" w:color="auto"/>
        <w:right w:val="none" w:sz="0" w:space="0" w:color="auto"/>
      </w:divBdr>
    </w:div>
    <w:div w:id="801730631">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155294994">
      <w:bodyDiv w:val="1"/>
      <w:marLeft w:val="0"/>
      <w:marRight w:val="0"/>
      <w:marTop w:val="0"/>
      <w:marBottom w:val="0"/>
      <w:divBdr>
        <w:top w:val="none" w:sz="0" w:space="0" w:color="auto"/>
        <w:left w:val="none" w:sz="0" w:space="0" w:color="auto"/>
        <w:bottom w:val="none" w:sz="0" w:space="0" w:color="auto"/>
        <w:right w:val="none" w:sz="0" w:space="0" w:color="auto"/>
      </w:divBdr>
    </w:div>
    <w:div w:id="1274171476">
      <w:bodyDiv w:val="1"/>
      <w:marLeft w:val="0"/>
      <w:marRight w:val="0"/>
      <w:marTop w:val="0"/>
      <w:marBottom w:val="0"/>
      <w:divBdr>
        <w:top w:val="none" w:sz="0" w:space="0" w:color="auto"/>
        <w:left w:val="none" w:sz="0" w:space="0" w:color="auto"/>
        <w:bottom w:val="none" w:sz="0" w:space="0" w:color="auto"/>
        <w:right w:val="none" w:sz="0" w:space="0" w:color="auto"/>
      </w:divBdr>
    </w:div>
    <w:div w:id="1966420479">
      <w:bodyDiv w:val="1"/>
      <w:marLeft w:val="0"/>
      <w:marRight w:val="0"/>
      <w:marTop w:val="0"/>
      <w:marBottom w:val="0"/>
      <w:divBdr>
        <w:top w:val="none" w:sz="0" w:space="0" w:color="auto"/>
        <w:left w:val="none" w:sz="0" w:space="0" w:color="auto"/>
        <w:bottom w:val="none" w:sz="0" w:space="0" w:color="auto"/>
        <w:right w:val="none" w:sz="0" w:space="0" w:color="auto"/>
      </w:divBdr>
    </w:div>
    <w:div w:id="2117089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Programme Division-456D</TermName>
          <TermId xmlns="http://schemas.microsoft.com/office/infopath/2007/PartnerControls">b599cc08-53d0-4ecf-afce-40bdcdf910e2</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SemaphoreItemMetadata xmlns="019c041d-a973-4555-b9ba-0bf58f80738a" xsi:nil="true"/>
    <TaxKeywordTaxHTField xmlns="019c041d-a973-4555-b9ba-0bf58f80738a">
      <Terms xmlns="http://schemas.microsoft.com/office/infopath/2007/PartnerControls"/>
    </TaxKeywordTaxHTField>
    <WrittenBy xmlns="ca283e0b-db31-4043-a2ef-b80661bf084a">
      <UserInfo>
        <DisplayName/>
        <AccountId xsi:nil="true"/>
        <AccountType/>
      </UserInfo>
    </Written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A7A2781E73E124B9F294E4C3991A6D7" ma:contentTypeVersion="50" ma:contentTypeDescription="Create a new document." ma:contentTypeScope="" ma:versionID="b156b8445393eff30131f1b2a3957204">
  <xsd:schema xmlns:xsd="http://www.w3.org/2001/XMLSchema" xmlns:xs="http://www.w3.org/2001/XMLSchema" xmlns:p="http://schemas.microsoft.com/office/2006/metadata/properties" xmlns:ns1="http://schemas.microsoft.com/sharepoint/v3" xmlns:ns2="ca283e0b-db31-4043-a2ef-b80661bf084a" xmlns:ns3="http://schemas.microsoft.com/sharepoint.v3" xmlns:ns4="019c041d-a973-4555-b9ba-0bf58f80738a" xmlns:ns5="206b71f5-da88-4113-8907-0a6a196e3014" xmlns:ns6="http://schemas.microsoft.com/sharepoint/v4" targetNamespace="http://schemas.microsoft.com/office/2006/metadata/properties" ma:root="true" ma:fieldsID="d2105afa38b93a9a046c765d8417a696" ns1:_="" ns2:_="" ns3:_="" ns4:_="" ns5:_="" ns6:_="">
    <xsd:import namespace="http://schemas.microsoft.com/sharepoint/v3"/>
    <xsd:import namespace="ca283e0b-db31-4043-a2ef-b80661bf084a"/>
    <xsd:import namespace="http://schemas.microsoft.com/sharepoint.v3"/>
    <xsd:import namespace="019c041d-a973-4555-b9ba-0bf58f80738a"/>
    <xsd:import namespace="206b71f5-da88-4113-8907-0a6a196e301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TaxKeywordTaxHTField" minOccurs="0"/>
                <xsd:element ref="ns5:MediaServiceMetadata" minOccurs="0"/>
                <xsd:element ref="ns4:SharedWithUsers" minOccurs="0"/>
                <xsd:element ref="ns4:SharedWithDetails" minOccurs="0"/>
                <xsd:element ref="ns1:_vti_ItemHoldRecordStatus" minOccurs="0"/>
                <xsd:element ref="ns6:IconOverlay" minOccurs="0"/>
                <xsd:element ref="ns5:MediaServiceFastMetadata" minOccurs="0"/>
                <xsd:element ref="ns1:_vti_ItemDeclaredRecord" minOccurs="0"/>
                <xsd:element ref="ns4:SemaphoreItem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element name="_vti_ItemDeclaredRecord" ma:index="38"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3;#Programme Division-456D|b599cc08-53d0-4ecf-afce-40bdcdf910e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fbbe8aa-9397-4140-b537-22bf0c6abab4}" ma:internalName="TaxCatchAllLabel" ma:readOnly="true" ma:showField="CatchAllDataLabel" ma:web="019c041d-a973-4555-b9ba-0bf58f80738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5fbbe8aa-9397-4140-b537-22bf0c6abab4}" ma:internalName="TaxCatchAll" ma:showField="CatchAllData" ma:web="019c041d-a973-4555-b9ba-0bf58f80738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c041d-a973-4555-b9ba-0bf58f80738a" elementFormDefault="qualified">
    <xsd:import namespace="http://schemas.microsoft.com/office/2006/documentManagement/types"/>
    <xsd:import namespace="http://schemas.microsoft.com/office/infopath/2007/PartnerControls"/>
    <xsd:element name="TaxKeywordTaxHTField" ma:index="3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emaphoreItemMetadata" ma:index="3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b71f5-da88-4113-8907-0a6a196e301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MediaServiceAutoTags" ma:index="43" nillable="true" ma:displayName="Tags" ma:internalName="MediaServiceAutoTags"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Location" ma:index="46" nillable="true" ma:displayName="Location" ma:internalName="MediaServiceLocation"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LengthInSeconds" ma:index="48" nillable="true" ma:displayName="MediaLengthInSeconds" ma:hidden="true" ma:internalName="MediaLengthInSeconds" ma:readOnly="true">
      <xsd:simpleType>
        <xsd:restriction base="dms:Unknow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41A5A6D-E807-4485-B22E-E802F6397CE0}">
  <ds:schemaRefs>
    <ds:schemaRef ds:uri="Microsoft.SharePoint.Taxonomy.ContentTypeSync"/>
  </ds:schemaRefs>
</ds:datastoreItem>
</file>

<file path=customXml/itemProps2.xml><?xml version="1.0" encoding="utf-8"?>
<ds:datastoreItem xmlns:ds="http://schemas.openxmlformats.org/officeDocument/2006/customXml" ds:itemID="{1E0B1721-1028-4C68-A6AA-52E19ADB294F}">
  <ds:schemaRefs>
    <ds:schemaRef ds:uri="http://schemas.microsoft.com/office/2006/metadata/customXsn"/>
  </ds:schemaRefs>
</ds:datastoreItem>
</file>

<file path=customXml/itemProps3.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019c041d-a973-4555-b9ba-0bf58f80738a"/>
  </ds:schemaRefs>
</ds:datastoreItem>
</file>

<file path=customXml/itemProps4.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5.xml><?xml version="1.0" encoding="utf-8"?>
<ds:datastoreItem xmlns:ds="http://schemas.openxmlformats.org/officeDocument/2006/customXml" ds:itemID="{D70F3D17-B570-47E2-816E-70C8E22E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019c041d-a973-4555-b9ba-0bf58f80738a"/>
    <ds:schemaRef ds:uri="206b71f5-da88-4113-8907-0a6a196e30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61E2B6-DD46-4820-90D8-0CD962B34BE7}">
  <ds:schemaRefs>
    <ds:schemaRef ds:uri="http://schemas.openxmlformats.org/officeDocument/2006/bibliography"/>
  </ds:schemaRefs>
</ds:datastoreItem>
</file>

<file path=customXml/itemProps7.xml><?xml version="1.0" encoding="utf-8"?>
<ds:datastoreItem xmlns:ds="http://schemas.openxmlformats.org/officeDocument/2006/customXml" ds:itemID="{0DD2A6FB-075F-463F-85FC-F0B71EB5BC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1659</Words>
  <Characters>9457</Characters>
  <Application>Microsoft Office Word</Application>
  <DocSecurity>0</DocSecurity>
  <Lines>78</Lines>
  <Paragraphs>22</Paragraphs>
  <ScaleCrop>false</ScaleCrop>
  <Company>UNDP</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cp:lastModifiedBy>Khalil ur Rehman Tahir</cp:lastModifiedBy>
  <cp:revision>3</cp:revision>
  <cp:lastPrinted>2018-10-12T18:08:00Z</cp:lastPrinted>
  <dcterms:created xsi:type="dcterms:W3CDTF">2024-08-01T13:09:00Z</dcterms:created>
  <dcterms:modified xsi:type="dcterms:W3CDTF">2024-08-01T13:10:00Z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0x0101009BA85F8052A6DA4FA3E31FF9F74C697000AA7A2781E73E124B9F294E4C3991A6D7</vt:lpwstr>
  </property>
  <property fmtid="{D5CDD505-2E9C-101B-9397-08002B2CF9AE}" pid="24" name="_dlc_DocIdItemGuid">
    <vt:lpwstr>8849ce99-356e-40a9-a421-ca110876d051</vt:lpwstr>
  </property>
  <property fmtid="{D5CDD505-2E9C-101B-9397-08002B2CF9AE}" pid="25" name="SystemDTAC">
    <vt:lpwstr/>
  </property>
  <property fmtid="{D5CDD505-2E9C-101B-9397-08002B2CF9AE}" pid="26" name="TaxKeyword">
    <vt:lpwstr/>
  </property>
  <property fmtid="{D5CDD505-2E9C-101B-9397-08002B2CF9AE}" pid="27" name="Topic">
    <vt:lpwstr/>
  </property>
  <property fmtid="{D5CDD505-2E9C-101B-9397-08002B2CF9AE}" pid="28" name="OfficeDivision">
    <vt:lpwstr>3;#Programme Division-456D|b599cc08-53d0-4ecf-afce-40bdcdf910e2</vt:lpwstr>
  </property>
  <property fmtid="{D5CDD505-2E9C-101B-9397-08002B2CF9AE}" pid="29" name="CriticalForLongTermRetention">
    <vt:lpwstr/>
  </property>
  <property fmtid="{D5CDD505-2E9C-101B-9397-08002B2CF9AE}" pid="30" name="DocumentType">
    <vt:lpwstr/>
  </property>
  <property fmtid="{D5CDD505-2E9C-101B-9397-08002B2CF9AE}" pid="31" name="GeographicScope">
    <vt:lpwstr/>
  </property>
  <property fmtid="{D5CDD505-2E9C-101B-9397-08002B2CF9AE}" pid="32" name="MediaServiceImageTags">
    <vt:lpwstr/>
  </property>
</Properties>
</file>