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D833" w14:textId="21A73215" w:rsidR="00192BE0" w:rsidRDefault="00E22C2A" w:rsidP="00CF4A6B">
      <w:pPr>
        <w:tabs>
          <w:tab w:val="center" w:pos="4680"/>
          <w:tab w:val="right" w:pos="9360"/>
        </w:tabs>
        <w:spacing w:line="240" w:lineRule="auto"/>
        <w:jc w:val="center"/>
        <w:rPr>
          <w:rFonts w:asciiTheme="minorHAnsi" w:hAnsiTheme="minorHAnsi" w:cstheme="minorHAnsi"/>
        </w:rPr>
      </w:pPr>
      <w:r>
        <w:rPr>
          <w:noProof/>
        </w:rPr>
        <w:drawing>
          <wp:anchor distT="0" distB="0" distL="114300" distR="114300" simplePos="0" relativeHeight="251659264" behindDoc="0" locked="0" layoutInCell="1" allowOverlap="1" wp14:anchorId="25EF484D" wp14:editId="66D12C29">
            <wp:simplePos x="0" y="0"/>
            <wp:positionH relativeFrom="margin">
              <wp:posOffset>1729699</wp:posOffset>
            </wp:positionH>
            <wp:positionV relativeFrom="paragraph">
              <wp:posOffset>170260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p>
    <w:p w14:paraId="2C0B405F" w14:textId="371E54C7" w:rsidR="00CF4A6B" w:rsidRPr="008E6EEC" w:rsidRDefault="00CF4A6B" w:rsidP="00CF4A6B">
      <w:pPr>
        <w:tabs>
          <w:tab w:val="center" w:pos="4680"/>
          <w:tab w:val="right" w:pos="9360"/>
        </w:tabs>
        <w:spacing w:line="240" w:lineRule="auto"/>
        <w:jc w:val="center"/>
        <w:rPr>
          <w:rFonts w:asciiTheme="minorHAnsi" w:eastAsia="Times New Roman" w:hAnsiTheme="minorHAnsi" w:cstheme="minorHAnsi"/>
          <w:b/>
          <w:color w:val="0099FF"/>
        </w:rPr>
      </w:pPr>
      <w:r w:rsidRPr="008E6EEC">
        <w:rPr>
          <w:rFonts w:asciiTheme="minorHAnsi" w:hAnsiTheme="minorHAnsi" w:cstheme="minorHAnsi"/>
        </w:rPr>
        <w:t xml:space="preserve">     </w:t>
      </w:r>
    </w:p>
    <w:p w14:paraId="46B139BA" w14:textId="77777777" w:rsidR="00E741F9" w:rsidRDefault="00E741F9" w:rsidP="00E22C2A">
      <w:pPr>
        <w:spacing w:line="240" w:lineRule="auto"/>
        <w:rPr>
          <w:rFonts w:asciiTheme="minorHAnsi" w:hAnsiTheme="minorHAnsi" w:cstheme="minorHAnsi"/>
          <w:b/>
        </w:rPr>
      </w:pPr>
    </w:p>
    <w:p w14:paraId="18007DC6" w14:textId="77777777" w:rsidR="00E741F9" w:rsidRDefault="00E741F9" w:rsidP="00CF4A6B">
      <w:pPr>
        <w:spacing w:line="240" w:lineRule="auto"/>
        <w:jc w:val="center"/>
        <w:rPr>
          <w:rFonts w:asciiTheme="minorHAnsi" w:hAnsiTheme="minorHAnsi" w:cstheme="minorHAnsi"/>
          <w:b/>
        </w:rPr>
      </w:pPr>
    </w:p>
    <w:p w14:paraId="65E5C94D" w14:textId="77777777" w:rsidR="00E741F9" w:rsidRDefault="00E741F9" w:rsidP="00CF4A6B">
      <w:pPr>
        <w:spacing w:line="240" w:lineRule="auto"/>
        <w:jc w:val="center"/>
        <w:rPr>
          <w:rFonts w:asciiTheme="minorHAnsi" w:hAnsiTheme="minorHAnsi" w:cstheme="minorHAnsi"/>
          <w:b/>
        </w:rPr>
      </w:pPr>
    </w:p>
    <w:p w14:paraId="3B688DE7" w14:textId="77777777" w:rsidR="00CF4A6B" w:rsidRPr="008E6EEC" w:rsidRDefault="002065DD" w:rsidP="00CF4A6B">
      <w:pPr>
        <w:spacing w:line="240" w:lineRule="auto"/>
        <w:jc w:val="center"/>
        <w:rPr>
          <w:rFonts w:asciiTheme="minorHAnsi" w:hAnsiTheme="minorHAnsi" w:cstheme="minorHAnsi"/>
          <w:b/>
        </w:rPr>
      </w:pPr>
      <w:r w:rsidRPr="008E6EEC">
        <w:rPr>
          <w:rFonts w:asciiTheme="minorHAnsi" w:hAnsiTheme="minorHAnsi" w:cstheme="minorHAnsi"/>
          <w:b/>
        </w:rPr>
        <w:t>TERMS OF REFERENCE FOR INDIVIDUAL CONSULTANTS AND CONTRACTORS</w:t>
      </w:r>
    </w:p>
    <w:p w14:paraId="3518A538" w14:textId="77777777" w:rsidR="00CF4A6B" w:rsidRPr="008E6EEC" w:rsidRDefault="00CF4A6B" w:rsidP="00CF4A6B">
      <w:pPr>
        <w:spacing w:line="240" w:lineRule="auto"/>
        <w:jc w:val="center"/>
        <w:rPr>
          <w:rFonts w:asciiTheme="minorHAnsi" w:hAnsiTheme="minorHAnsi" w:cstheme="minorHAnsi"/>
          <w:b/>
        </w:rPr>
      </w:pPr>
    </w:p>
    <w:p w14:paraId="0D872811" w14:textId="77777777" w:rsidR="002065DD" w:rsidRPr="008E6EEC" w:rsidRDefault="002065DD" w:rsidP="00CF4A6B">
      <w:pPr>
        <w:spacing w:after="120"/>
        <w:rPr>
          <w:rFonts w:asciiTheme="minorHAnsi" w:hAnsiTheme="minorHAnsi" w:cstheme="minorHAnsi"/>
          <w:b/>
        </w:rPr>
      </w:pPr>
    </w:p>
    <w:p w14:paraId="1518DC09" w14:textId="5492D1B6" w:rsidR="00CF4A6B" w:rsidRPr="008E6EEC" w:rsidRDefault="00CF4A6B" w:rsidP="00CF4A6B">
      <w:pPr>
        <w:spacing w:after="120"/>
        <w:rPr>
          <w:rFonts w:asciiTheme="minorHAnsi" w:hAnsiTheme="minorHAnsi" w:cstheme="minorHAnsi"/>
          <w:b/>
        </w:rPr>
      </w:pPr>
      <w:r w:rsidRPr="008E6EEC">
        <w:rPr>
          <w:rFonts w:asciiTheme="minorHAnsi" w:hAnsiTheme="minorHAnsi" w:cstheme="minorHAnsi"/>
          <w:b/>
        </w:rPr>
        <w:t xml:space="preserve">Title: </w:t>
      </w:r>
      <w:r w:rsidR="00FB1C45" w:rsidRPr="006C4E8C">
        <w:rPr>
          <w:rFonts w:ascii="Calibri" w:hAnsi="Calibri" w:cs="Calibri"/>
          <w:b/>
          <w:bCs/>
        </w:rPr>
        <w:t xml:space="preserve">“Consultancy to provide Technical Assistance to </w:t>
      </w:r>
      <w:r w:rsidR="00FB1C45">
        <w:rPr>
          <w:rFonts w:ascii="Calibri" w:hAnsi="Calibri" w:cs="Calibri"/>
          <w:b/>
          <w:bCs/>
        </w:rPr>
        <w:t xml:space="preserve">the Government of Tajikistan (relevant </w:t>
      </w:r>
      <w:r w:rsidR="006D4886">
        <w:rPr>
          <w:rFonts w:ascii="Calibri" w:hAnsi="Calibri" w:cs="Calibri"/>
          <w:b/>
          <w:bCs/>
        </w:rPr>
        <w:t xml:space="preserve">Ministries) </w:t>
      </w:r>
      <w:r w:rsidR="006D4886" w:rsidRPr="006C4E8C">
        <w:rPr>
          <w:rFonts w:ascii="Calibri" w:hAnsi="Calibri" w:cs="Calibri"/>
          <w:b/>
          <w:bCs/>
        </w:rPr>
        <w:t>on</w:t>
      </w:r>
      <w:r w:rsidR="00FB1C45">
        <w:rPr>
          <w:rFonts w:ascii="Calibri" w:hAnsi="Calibri" w:cs="Calibri"/>
          <w:b/>
          <w:bCs/>
        </w:rPr>
        <w:t xml:space="preserve"> carrying out Joint Sector Review by using WASH Bottleneck Analysis tool (WASH-BAT)</w:t>
      </w:r>
      <w:r w:rsidR="00FB1C45" w:rsidRPr="006C4E8C">
        <w:rPr>
          <w:rFonts w:ascii="Calibri" w:hAnsi="Calibri" w:cs="Calibri"/>
          <w:b/>
          <w:bCs/>
        </w:rPr>
        <w:t>”</w:t>
      </w:r>
    </w:p>
    <w:p w14:paraId="75BE0029" w14:textId="77777777" w:rsidR="00066D04" w:rsidRPr="008E6EEC" w:rsidRDefault="00066D04" w:rsidP="00CF4A6B">
      <w:pPr>
        <w:spacing w:line="240" w:lineRule="auto"/>
        <w:jc w:val="both"/>
        <w:rPr>
          <w:rFonts w:asciiTheme="minorHAnsi" w:hAnsiTheme="minorHAnsi" w:cstheme="minorHAnsi"/>
          <w:b/>
          <w:color w:val="000000" w:themeColor="text1"/>
        </w:rPr>
      </w:pPr>
    </w:p>
    <w:p w14:paraId="15191C42" w14:textId="77777777" w:rsidR="00F014F9" w:rsidRPr="008E6EEC" w:rsidRDefault="00F014F9" w:rsidP="00884A3E">
      <w:pPr>
        <w:spacing w:line="240" w:lineRule="auto"/>
        <w:jc w:val="both"/>
        <w:rPr>
          <w:rFonts w:asciiTheme="minorHAnsi" w:hAnsiTheme="minorHAnsi" w:cstheme="minorHAnsi"/>
          <w:b/>
          <w:color w:val="000000" w:themeColor="text1"/>
          <w:lang w:val="en-AU"/>
        </w:rPr>
      </w:pPr>
    </w:p>
    <w:p w14:paraId="7F5DD116" w14:textId="77777777" w:rsidR="00884A3E" w:rsidRPr="008E6EEC" w:rsidRDefault="00884A3E" w:rsidP="00884A3E">
      <w:pPr>
        <w:spacing w:line="240" w:lineRule="auto"/>
        <w:jc w:val="both"/>
        <w:rPr>
          <w:rFonts w:asciiTheme="minorHAnsi" w:hAnsiTheme="minorHAnsi" w:cstheme="minorHAnsi"/>
          <w:b/>
          <w:color w:val="000000" w:themeColor="text1"/>
          <w:lang w:val="en-AU"/>
        </w:rPr>
      </w:pPr>
      <w:r w:rsidRPr="00884A3E">
        <w:rPr>
          <w:rFonts w:asciiTheme="minorHAnsi" w:hAnsiTheme="minorHAnsi" w:cstheme="minorHAnsi"/>
          <w:b/>
          <w:color w:val="000000" w:themeColor="text1"/>
          <w:lang w:val="en-AU"/>
        </w:rPr>
        <w:t>Type of engagement</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Included in Annual</w:t>
      </w:r>
      <w:r w:rsidR="00D34C45" w:rsidRPr="008E6EEC">
        <w:rPr>
          <w:rFonts w:asciiTheme="minorHAnsi" w:hAnsiTheme="minorHAnsi" w:cstheme="minorHAnsi"/>
          <w:b/>
          <w:color w:val="000000" w:themeColor="text1"/>
          <w:lang w:val="en-AU"/>
        </w:rPr>
        <w:t xml:space="preserve"> </w:t>
      </w:r>
      <w:r w:rsidR="00FF321E" w:rsidRPr="008E6EEC">
        <w:rPr>
          <w:rFonts w:asciiTheme="minorHAnsi" w:hAnsiTheme="minorHAnsi" w:cstheme="minorHAnsi"/>
          <w:b/>
          <w:color w:val="000000" w:themeColor="text1"/>
          <w:lang w:val="en-AU"/>
        </w:rPr>
        <w:t>Workplan:</w:t>
      </w:r>
    </w:p>
    <w:p w14:paraId="4D2B3346"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0D5AEF0E" w14:textId="77777777" w:rsidR="00884A3E" w:rsidRPr="008E6EEC" w:rsidRDefault="00242577" w:rsidP="00884A3E">
      <w:pPr>
        <w:spacing w:line="240" w:lineRule="auto"/>
        <w:jc w:val="both"/>
        <w:rPr>
          <w:rFonts w:asciiTheme="minorHAnsi" w:hAnsiTheme="minorHAnsi" w:cstheme="minorHAnsi"/>
          <w:b/>
          <w:color w:val="000000" w:themeColor="text1"/>
          <w:lang w:val="en-A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Pr>
          <w:rFonts w:asciiTheme="minorHAnsi" w:hAnsiTheme="minorHAnsi" w:cstheme="minorHAnsi"/>
          <w:b/>
          <w:color w:val="000000" w:themeColor="text1"/>
          <w:lang w:val="en-AU"/>
        </w:rPr>
        <w:instrText xml:space="preserve"> FORMCHECKBOX </w:instrText>
      </w:r>
      <w:r w:rsidR="00B44EE0">
        <w:rPr>
          <w:rFonts w:asciiTheme="minorHAnsi" w:hAnsiTheme="minorHAnsi" w:cstheme="minorHAnsi"/>
          <w:b/>
          <w:color w:val="000000" w:themeColor="text1"/>
          <w:lang w:val="en-AU"/>
        </w:rPr>
      </w:r>
      <w:r w:rsidR="00B44EE0">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00884A3E" w:rsidRPr="00884A3E">
        <w:rPr>
          <w:rFonts w:asciiTheme="minorHAnsi" w:hAnsiTheme="minorHAnsi" w:cstheme="minorHAnsi"/>
          <w:b/>
          <w:color w:val="000000" w:themeColor="text1"/>
          <w:lang w:val="en-AU"/>
        </w:rPr>
        <w:t xml:space="preserve"> </w:t>
      </w:r>
      <w:proofErr w:type="gramStart"/>
      <w:r w:rsidR="00884A3E" w:rsidRPr="00884A3E">
        <w:rPr>
          <w:rFonts w:asciiTheme="minorHAnsi" w:hAnsiTheme="minorHAnsi" w:cstheme="minorHAnsi"/>
          <w:b/>
          <w:color w:val="000000" w:themeColor="text1"/>
          <w:lang w:val="en-AU"/>
        </w:rPr>
        <w:t xml:space="preserve">Consultant  </w:t>
      </w:r>
      <w:r w:rsidR="00FF321E" w:rsidRPr="008E6EEC">
        <w:rPr>
          <w:rFonts w:asciiTheme="minorHAnsi" w:hAnsiTheme="minorHAnsi" w:cstheme="minorHAnsi"/>
          <w:b/>
          <w:color w:val="000000" w:themeColor="text1"/>
          <w:lang w:val="en-AU"/>
        </w:rPr>
        <w:tab/>
      </w:r>
      <w:proofErr w:type="gramEnd"/>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12784E">
        <w:rPr>
          <w:rFonts w:asciiTheme="minorHAnsi" w:hAnsiTheme="minorHAnsi" w:cstheme="minorHAnsi"/>
          <w:b/>
          <w:color w:val="000000" w:themeColor="text1"/>
          <w:lang w:val="en-AU"/>
        </w:rPr>
        <w:instrText xml:space="preserve"> FORMCHECKBOX </w:instrText>
      </w:r>
      <w:r w:rsidR="00B44EE0">
        <w:rPr>
          <w:rFonts w:asciiTheme="minorHAnsi" w:hAnsiTheme="minorHAnsi" w:cstheme="minorHAnsi"/>
          <w:b/>
          <w:color w:val="000000" w:themeColor="text1"/>
          <w:lang w:val="en-AU"/>
        </w:rPr>
      </w:r>
      <w:r w:rsidR="00B44EE0">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Yes</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p>
    <w:p w14:paraId="7491B1C4"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145DA990" w14:textId="77777777" w:rsidR="00884A3E" w:rsidRPr="00242577" w:rsidRDefault="00884A3E" w:rsidP="00884A3E">
      <w:pPr>
        <w:spacing w:line="240" w:lineRule="auto"/>
        <w:jc w:val="both"/>
        <w:rPr>
          <w:rFonts w:asciiTheme="minorHAnsi" w:hAnsiTheme="minorHAnsi" w:cstheme="minorHAnsi"/>
          <w:b/>
          <w:color w:val="000000" w:themeColor="text1"/>
          <w:lang w:val="en-US"/>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1" w:name="Check12"/>
      <w:r w:rsidRPr="008E6EEC">
        <w:rPr>
          <w:rFonts w:asciiTheme="minorHAnsi" w:hAnsiTheme="minorHAnsi" w:cstheme="minorHAnsi"/>
          <w:b/>
          <w:color w:val="000000" w:themeColor="text1"/>
          <w:lang w:val="en-AU"/>
        </w:rPr>
        <w:instrText xml:space="preserve"> FORMCHECKBOX </w:instrText>
      </w:r>
      <w:r w:rsidR="00B44EE0">
        <w:rPr>
          <w:rFonts w:asciiTheme="minorHAnsi" w:hAnsiTheme="minorHAnsi" w:cstheme="minorHAnsi"/>
          <w:b/>
          <w:color w:val="000000" w:themeColor="text1"/>
          <w:lang w:val="en-AU"/>
        </w:rPr>
      </w:r>
      <w:r w:rsidR="00B44EE0">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1"/>
      <w:r w:rsidRPr="008E6EEC">
        <w:rPr>
          <w:rFonts w:asciiTheme="minorHAnsi" w:hAnsiTheme="minorHAnsi" w:cstheme="minorHAnsi"/>
          <w:b/>
          <w:color w:val="000000" w:themeColor="text1"/>
          <w:lang w:val="en-AU"/>
        </w:rPr>
        <w:t xml:space="preserve"> Individual Contractor</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bookmarkStart w:id="2" w:name="Check9"/>
      <w:r w:rsidR="0012784E">
        <w:rPr>
          <w:rFonts w:asciiTheme="minorHAnsi" w:hAnsiTheme="minorHAnsi" w:cstheme="minorHAnsi"/>
          <w:b/>
          <w:color w:val="000000" w:themeColor="text1"/>
          <w:lang w:val="en-AU"/>
        </w:rPr>
        <w:instrText xml:space="preserve"> FORMCHECKBOX </w:instrText>
      </w:r>
      <w:r w:rsidR="00B44EE0">
        <w:rPr>
          <w:rFonts w:asciiTheme="minorHAnsi" w:hAnsiTheme="minorHAnsi" w:cstheme="minorHAnsi"/>
          <w:b/>
          <w:color w:val="000000" w:themeColor="text1"/>
          <w:lang w:val="en-AU"/>
        </w:rPr>
      </w:r>
      <w:r w:rsidR="00B44EE0">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bookmarkEnd w:id="2"/>
      <w:r w:rsidR="00FF321E" w:rsidRPr="008E6EEC">
        <w:rPr>
          <w:rFonts w:asciiTheme="minorHAnsi" w:hAnsiTheme="minorHAnsi" w:cstheme="minorHAnsi"/>
          <w:b/>
          <w:color w:val="000000" w:themeColor="text1"/>
          <w:lang w:val="en-AU"/>
        </w:rPr>
        <w:t xml:space="preserve"> No, please </w:t>
      </w:r>
      <w:proofErr w:type="gramStart"/>
      <w:r w:rsidR="00FF321E" w:rsidRPr="008E6EEC">
        <w:rPr>
          <w:rFonts w:asciiTheme="minorHAnsi" w:hAnsiTheme="minorHAnsi" w:cstheme="minorHAnsi"/>
          <w:b/>
          <w:color w:val="000000" w:themeColor="text1"/>
          <w:lang w:val="en-AU"/>
        </w:rPr>
        <w:t>justify:</w:t>
      </w:r>
      <w:proofErr w:type="gramEnd"/>
      <w:r w:rsidR="00242577" w:rsidRPr="00242577">
        <w:rPr>
          <w:rFonts w:asciiTheme="minorHAnsi" w:hAnsiTheme="minorHAnsi" w:cstheme="minorHAnsi"/>
          <w:b/>
          <w:color w:val="000000" w:themeColor="text1"/>
          <w:lang w:val="en-US"/>
        </w:rPr>
        <w:t xml:space="preserve"> </w:t>
      </w:r>
      <w:r w:rsidR="00242577">
        <w:rPr>
          <w:rFonts w:asciiTheme="minorHAnsi" w:hAnsiTheme="minorHAnsi" w:cstheme="minorHAnsi"/>
          <w:b/>
          <w:color w:val="000000" w:themeColor="text1"/>
          <w:lang w:val="en-US"/>
        </w:rPr>
        <w:t>will be included</w:t>
      </w:r>
    </w:p>
    <w:p w14:paraId="683EA871" w14:textId="77777777" w:rsidR="00884A3E" w:rsidRPr="008E6EEC" w:rsidRDefault="00884A3E" w:rsidP="00CF4A6B">
      <w:pPr>
        <w:spacing w:line="240" w:lineRule="auto"/>
        <w:jc w:val="both"/>
        <w:rPr>
          <w:rFonts w:asciiTheme="minorHAnsi" w:hAnsiTheme="minorHAnsi" w:cstheme="minorHAnsi"/>
          <w:b/>
          <w:color w:val="000000" w:themeColor="text1"/>
        </w:rPr>
      </w:pPr>
    </w:p>
    <w:p w14:paraId="46D0DA8E" w14:textId="77777777" w:rsidR="00D640BC" w:rsidRPr="008E6EEC" w:rsidRDefault="00D640BC" w:rsidP="00CF4A6B">
      <w:pPr>
        <w:spacing w:line="240" w:lineRule="auto"/>
        <w:jc w:val="both"/>
        <w:rPr>
          <w:rFonts w:asciiTheme="minorHAnsi" w:hAnsiTheme="minorHAnsi" w:cstheme="minorHAnsi"/>
          <w:b/>
          <w:color w:val="000000" w:themeColor="text1"/>
        </w:rPr>
      </w:pPr>
    </w:p>
    <w:p w14:paraId="555D5BD1" w14:textId="045A868F" w:rsidR="00D640BC" w:rsidRPr="008E6EEC" w:rsidRDefault="00D640BC" w:rsidP="00D640BC">
      <w:pPr>
        <w:spacing w:line="240" w:lineRule="auto"/>
        <w:jc w:val="both"/>
        <w:rPr>
          <w:rFonts w:asciiTheme="minorHAnsi" w:hAnsiTheme="minorHAnsi" w:cstheme="minorHAnsi"/>
          <w:b/>
          <w:color w:val="000000" w:themeColor="text1"/>
          <w:lang w:val="en-AU"/>
        </w:rPr>
      </w:pPr>
      <w:r w:rsidRPr="008E6EEC">
        <w:rPr>
          <w:rFonts w:asciiTheme="minorHAnsi" w:hAnsiTheme="minorHAnsi" w:cstheme="minorHAnsi"/>
          <w:b/>
          <w:color w:val="000000" w:themeColor="text1"/>
        </w:rPr>
        <w:t xml:space="preserve">Consultant sourcing: </w:t>
      </w:r>
      <w:r w:rsidR="0012784E">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12784E">
        <w:rPr>
          <w:rFonts w:asciiTheme="minorHAnsi" w:hAnsiTheme="minorHAnsi" w:cstheme="minorHAnsi"/>
          <w:b/>
          <w:color w:val="000000" w:themeColor="text1"/>
          <w:lang w:val="en-AU"/>
        </w:rPr>
        <w:instrText xml:space="preserve"> FORMCHECKBOX </w:instrText>
      </w:r>
      <w:r w:rsidR="00B44EE0">
        <w:rPr>
          <w:rFonts w:asciiTheme="minorHAnsi" w:hAnsiTheme="minorHAnsi" w:cstheme="minorHAnsi"/>
          <w:b/>
          <w:color w:val="000000" w:themeColor="text1"/>
          <w:lang w:val="en-AU"/>
        </w:rPr>
      </w:r>
      <w:r w:rsidR="00B44EE0">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National  </w:t>
      </w:r>
      <w:r w:rsidR="00A666DF">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A666DF">
        <w:rPr>
          <w:rFonts w:asciiTheme="minorHAnsi" w:hAnsiTheme="minorHAnsi" w:cstheme="minorHAnsi"/>
          <w:b/>
          <w:color w:val="000000" w:themeColor="text1"/>
          <w:lang w:val="en-AU"/>
        </w:rPr>
        <w:instrText xml:space="preserve"> FORMCHECKBOX </w:instrText>
      </w:r>
      <w:r w:rsidR="00B44EE0">
        <w:rPr>
          <w:rFonts w:asciiTheme="minorHAnsi" w:hAnsiTheme="minorHAnsi" w:cstheme="minorHAnsi"/>
          <w:b/>
          <w:color w:val="000000" w:themeColor="text1"/>
          <w:lang w:val="en-AU"/>
        </w:rPr>
      </w:r>
      <w:r w:rsidR="00B44EE0">
        <w:rPr>
          <w:rFonts w:asciiTheme="minorHAnsi" w:hAnsiTheme="minorHAnsi" w:cstheme="minorHAnsi"/>
          <w:b/>
          <w:color w:val="000000" w:themeColor="text1"/>
          <w:lang w:val="en-AU"/>
        </w:rPr>
        <w:fldChar w:fldCharType="separate"/>
      </w:r>
      <w:r w:rsidR="00A666DF">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International </w:t>
      </w:r>
      <w:r w:rsidR="00A666DF">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A666DF">
        <w:rPr>
          <w:rFonts w:asciiTheme="minorHAnsi" w:hAnsiTheme="minorHAnsi" w:cstheme="minorHAnsi"/>
          <w:b/>
          <w:color w:val="000000" w:themeColor="text1"/>
          <w:lang w:val="en-AU"/>
        </w:rPr>
        <w:instrText xml:space="preserve"> FORMCHECKBOX </w:instrText>
      </w:r>
      <w:r w:rsidR="00B44EE0">
        <w:rPr>
          <w:rFonts w:asciiTheme="minorHAnsi" w:hAnsiTheme="minorHAnsi" w:cstheme="minorHAnsi"/>
          <w:b/>
          <w:color w:val="000000" w:themeColor="text1"/>
          <w:lang w:val="en-AU"/>
        </w:rPr>
      </w:r>
      <w:r w:rsidR="00B44EE0">
        <w:rPr>
          <w:rFonts w:asciiTheme="minorHAnsi" w:hAnsiTheme="minorHAnsi" w:cstheme="minorHAnsi"/>
          <w:b/>
          <w:color w:val="000000" w:themeColor="text1"/>
          <w:lang w:val="en-AU"/>
        </w:rPr>
        <w:fldChar w:fldCharType="separate"/>
      </w:r>
      <w:r w:rsidR="00A666DF">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Both</w:t>
      </w:r>
    </w:p>
    <w:p w14:paraId="79983FC8" w14:textId="77777777" w:rsidR="00D640BC" w:rsidRPr="008E6EEC" w:rsidRDefault="00D640BC" w:rsidP="00CF4A6B">
      <w:pPr>
        <w:spacing w:line="240" w:lineRule="auto"/>
        <w:jc w:val="both"/>
        <w:rPr>
          <w:rFonts w:asciiTheme="minorHAnsi" w:hAnsiTheme="minorHAnsi" w:cstheme="minorHAnsi"/>
          <w:b/>
          <w:color w:val="000000" w:themeColor="text1"/>
        </w:rPr>
      </w:pPr>
    </w:p>
    <w:p w14:paraId="60D3DA35" w14:textId="77777777" w:rsidR="00F014F9" w:rsidRPr="008E6EEC" w:rsidRDefault="00F014F9" w:rsidP="00CF4A6B">
      <w:pPr>
        <w:spacing w:line="240" w:lineRule="auto"/>
        <w:jc w:val="both"/>
        <w:rPr>
          <w:rFonts w:asciiTheme="minorHAnsi" w:hAnsiTheme="minorHAnsi" w:cstheme="minorHAnsi"/>
          <w:b/>
          <w:color w:val="000000" w:themeColor="text1"/>
        </w:rPr>
      </w:pPr>
    </w:p>
    <w:p w14:paraId="3A671B84" w14:textId="77777777" w:rsidR="00CF4A6B" w:rsidRPr="008E6EEC" w:rsidRDefault="00F014F9" w:rsidP="00CF4A6B">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rPr>
        <w:t>DUTY STATION</w:t>
      </w:r>
      <w:r w:rsidR="00CF4A6B" w:rsidRPr="008E6EEC">
        <w:rPr>
          <w:rFonts w:asciiTheme="minorHAnsi" w:hAnsiTheme="minorHAnsi" w:cstheme="minorHAnsi"/>
          <w:b/>
          <w:color w:val="000000" w:themeColor="text1"/>
        </w:rPr>
        <w:t>/DURATION:</w:t>
      </w:r>
    </w:p>
    <w:p w14:paraId="20975EE3" w14:textId="77777777" w:rsidR="00FE2BB5" w:rsidRPr="008E6EEC" w:rsidRDefault="00FE2BB5" w:rsidP="00CF4A6B">
      <w:pPr>
        <w:spacing w:line="240" w:lineRule="auto"/>
        <w:jc w:val="both"/>
        <w:rPr>
          <w:rFonts w:asciiTheme="minorHAnsi" w:hAnsiTheme="minorHAnsi" w:cstheme="minorHAnsi"/>
          <w:b/>
          <w:color w:val="4472C4" w:themeColor="accent1"/>
        </w:rPr>
      </w:pPr>
    </w:p>
    <w:p w14:paraId="6A1FEC53" w14:textId="602075DC" w:rsidR="00B80FE3" w:rsidRPr="008E6EEC" w:rsidRDefault="005C097A" w:rsidP="00B80FE3">
      <w:pPr>
        <w:pStyle w:val="DefaultText"/>
        <w:jc w:val="both"/>
        <w:rPr>
          <w:rFonts w:asciiTheme="minorHAnsi" w:hAnsiTheme="minorHAnsi" w:cstheme="minorHAnsi"/>
          <w:sz w:val="22"/>
          <w:szCs w:val="22"/>
          <w:lang w:val="en-US"/>
        </w:rPr>
      </w:pPr>
      <w:r w:rsidRPr="008E6EEC">
        <w:rPr>
          <w:rFonts w:asciiTheme="minorHAnsi" w:hAnsiTheme="minorHAnsi" w:cstheme="minorHAnsi"/>
          <w:i/>
          <w:sz w:val="22"/>
          <w:szCs w:val="22"/>
          <w:u w:val="single"/>
        </w:rPr>
        <w:t>Estimated d</w:t>
      </w:r>
      <w:r w:rsidR="00CF4A6B" w:rsidRPr="008E6EEC">
        <w:rPr>
          <w:rFonts w:asciiTheme="minorHAnsi" w:hAnsiTheme="minorHAnsi" w:cstheme="minorHAnsi"/>
          <w:i/>
          <w:sz w:val="22"/>
          <w:szCs w:val="22"/>
          <w:u w:val="single"/>
        </w:rPr>
        <w:t>uration</w:t>
      </w:r>
      <w:r w:rsidR="00CF4A6B" w:rsidRPr="008E6EEC">
        <w:rPr>
          <w:rFonts w:asciiTheme="minorHAnsi" w:hAnsiTheme="minorHAnsi" w:cstheme="minorHAnsi"/>
          <w:i/>
          <w:sz w:val="22"/>
          <w:szCs w:val="22"/>
        </w:rPr>
        <w:t xml:space="preserve">:  </w:t>
      </w:r>
      <w:r w:rsidR="00F766D9">
        <w:rPr>
          <w:rFonts w:asciiTheme="minorHAnsi" w:hAnsiTheme="minorHAnsi" w:cstheme="minorHAnsi"/>
          <w:i/>
          <w:sz w:val="22"/>
          <w:szCs w:val="22"/>
        </w:rPr>
        <w:t>5</w:t>
      </w:r>
      <w:r w:rsidR="00333A00">
        <w:rPr>
          <w:rFonts w:asciiTheme="minorHAnsi" w:hAnsiTheme="minorHAnsi" w:cstheme="minorHAnsi"/>
          <w:i/>
          <w:sz w:val="22"/>
          <w:szCs w:val="22"/>
        </w:rPr>
        <w:t>5</w:t>
      </w:r>
      <w:r w:rsidR="00BE136F">
        <w:rPr>
          <w:rFonts w:asciiTheme="minorHAnsi" w:hAnsiTheme="minorHAnsi" w:cstheme="minorHAnsi"/>
          <w:i/>
          <w:sz w:val="22"/>
          <w:szCs w:val="22"/>
        </w:rPr>
        <w:t xml:space="preserve"> </w:t>
      </w:r>
      <w:r w:rsidR="00242577" w:rsidRPr="00242577">
        <w:rPr>
          <w:rFonts w:asciiTheme="minorHAnsi" w:hAnsiTheme="minorHAnsi" w:cstheme="minorHAnsi"/>
          <w:i/>
          <w:sz w:val="22"/>
          <w:szCs w:val="22"/>
        </w:rPr>
        <w:t xml:space="preserve">working days within </w:t>
      </w:r>
      <w:r w:rsidR="001C441B">
        <w:rPr>
          <w:rFonts w:asciiTheme="minorHAnsi" w:hAnsiTheme="minorHAnsi" w:cstheme="minorHAnsi"/>
          <w:i/>
          <w:sz w:val="22"/>
          <w:szCs w:val="22"/>
        </w:rPr>
        <w:t>5</w:t>
      </w:r>
      <w:r w:rsidR="00242577" w:rsidRPr="00242577">
        <w:rPr>
          <w:rFonts w:asciiTheme="minorHAnsi" w:hAnsiTheme="minorHAnsi" w:cstheme="minorHAnsi"/>
          <w:i/>
          <w:sz w:val="22"/>
          <w:szCs w:val="22"/>
        </w:rPr>
        <w:t xml:space="preserve"> months</w:t>
      </w:r>
      <w:r w:rsidR="00242577">
        <w:rPr>
          <w:rFonts w:asciiTheme="minorHAnsi" w:hAnsiTheme="minorHAnsi" w:cstheme="minorHAnsi"/>
          <w:i/>
          <w:sz w:val="22"/>
          <w:szCs w:val="22"/>
        </w:rPr>
        <w:t xml:space="preserve"> (</w:t>
      </w:r>
      <w:r w:rsidR="000D49A2">
        <w:rPr>
          <w:rFonts w:asciiTheme="minorHAnsi" w:hAnsiTheme="minorHAnsi" w:cstheme="minorHAnsi"/>
          <w:i/>
          <w:sz w:val="22"/>
          <w:szCs w:val="22"/>
        </w:rPr>
        <w:t>Sep</w:t>
      </w:r>
      <w:r w:rsidR="001C441B">
        <w:rPr>
          <w:rFonts w:asciiTheme="minorHAnsi" w:hAnsiTheme="minorHAnsi" w:cstheme="minorHAnsi"/>
          <w:i/>
          <w:sz w:val="22"/>
          <w:szCs w:val="22"/>
        </w:rPr>
        <w:t>tember 2021</w:t>
      </w:r>
      <w:r w:rsidR="00242577">
        <w:rPr>
          <w:rFonts w:asciiTheme="minorHAnsi" w:hAnsiTheme="minorHAnsi" w:cstheme="minorHAnsi"/>
          <w:i/>
          <w:sz w:val="22"/>
          <w:szCs w:val="22"/>
        </w:rPr>
        <w:t xml:space="preserve"> – </w:t>
      </w:r>
      <w:r w:rsidR="001C441B">
        <w:rPr>
          <w:rFonts w:asciiTheme="minorHAnsi" w:hAnsiTheme="minorHAnsi" w:cstheme="minorHAnsi"/>
          <w:i/>
          <w:sz w:val="22"/>
          <w:szCs w:val="22"/>
        </w:rPr>
        <w:t>January</w:t>
      </w:r>
      <w:r w:rsidR="00242577">
        <w:rPr>
          <w:rFonts w:asciiTheme="minorHAnsi" w:hAnsiTheme="minorHAnsi" w:cstheme="minorHAnsi"/>
          <w:i/>
          <w:sz w:val="22"/>
          <w:szCs w:val="22"/>
        </w:rPr>
        <w:t xml:space="preserve"> 202</w:t>
      </w:r>
      <w:r w:rsidR="001C441B">
        <w:rPr>
          <w:rFonts w:asciiTheme="minorHAnsi" w:hAnsiTheme="minorHAnsi" w:cstheme="minorHAnsi"/>
          <w:i/>
          <w:sz w:val="22"/>
          <w:szCs w:val="22"/>
        </w:rPr>
        <w:t>2</w:t>
      </w:r>
      <w:r w:rsidR="00242577">
        <w:rPr>
          <w:rFonts w:asciiTheme="minorHAnsi" w:hAnsiTheme="minorHAnsi" w:cstheme="minorHAnsi"/>
          <w:i/>
          <w:sz w:val="22"/>
          <w:szCs w:val="22"/>
        </w:rPr>
        <w:t>)</w:t>
      </w:r>
    </w:p>
    <w:p w14:paraId="65BA1F64" w14:textId="77777777" w:rsidR="00CF4A6B" w:rsidRPr="000D49A2" w:rsidRDefault="00CF4A6B" w:rsidP="00CF4A6B">
      <w:pPr>
        <w:spacing w:line="240" w:lineRule="auto"/>
        <w:jc w:val="both"/>
        <w:rPr>
          <w:rFonts w:asciiTheme="minorHAnsi" w:hAnsiTheme="minorHAnsi" w:cstheme="minorHAnsi"/>
          <w:i/>
          <w:u w:val="single"/>
          <w:lang w:val="en-US"/>
        </w:rPr>
      </w:pPr>
    </w:p>
    <w:p w14:paraId="3053271B" w14:textId="77777777" w:rsidR="00CF4A6B" w:rsidRPr="008E6EEC" w:rsidRDefault="00356864" w:rsidP="00CF4A6B">
      <w:pPr>
        <w:spacing w:line="240" w:lineRule="auto"/>
        <w:jc w:val="both"/>
        <w:rPr>
          <w:rFonts w:asciiTheme="minorHAnsi" w:hAnsiTheme="minorHAnsi" w:cstheme="minorHAnsi"/>
          <w:i/>
        </w:rPr>
      </w:pPr>
      <w:r w:rsidRPr="008E6EEC">
        <w:rPr>
          <w:rFonts w:asciiTheme="minorHAnsi" w:hAnsiTheme="minorHAnsi" w:cstheme="minorHAnsi"/>
          <w:i/>
          <w:u w:val="single"/>
        </w:rPr>
        <w:t>Duty station</w:t>
      </w:r>
      <w:r w:rsidR="00CF4A6B" w:rsidRPr="008E6EEC">
        <w:rPr>
          <w:rFonts w:asciiTheme="minorHAnsi" w:hAnsiTheme="minorHAnsi" w:cstheme="minorHAnsi"/>
          <w:i/>
        </w:rPr>
        <w:t xml:space="preserve">: </w:t>
      </w:r>
      <w:r w:rsidR="00242577">
        <w:rPr>
          <w:rFonts w:asciiTheme="minorHAnsi" w:hAnsiTheme="minorHAnsi" w:cstheme="minorHAnsi"/>
          <w:i/>
        </w:rPr>
        <w:t>Dushanbe, Tajikistan</w:t>
      </w:r>
    </w:p>
    <w:p w14:paraId="0110003E" w14:textId="77777777" w:rsidR="00356864" w:rsidRPr="008E6EEC" w:rsidRDefault="00356864" w:rsidP="00CF4A6B">
      <w:pPr>
        <w:spacing w:line="240" w:lineRule="auto"/>
        <w:jc w:val="both"/>
        <w:rPr>
          <w:rFonts w:asciiTheme="minorHAnsi" w:hAnsiTheme="minorHAnsi" w:cstheme="minorHAnsi"/>
          <w:i/>
        </w:rPr>
      </w:pPr>
    </w:p>
    <w:p w14:paraId="5DE5FE4C" w14:textId="6C6764AE"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On-site working days:  </w:t>
      </w:r>
      <w:r w:rsidR="00F766D9">
        <w:rPr>
          <w:rFonts w:asciiTheme="minorHAnsi" w:hAnsiTheme="minorHAnsi" w:cstheme="minorHAnsi"/>
          <w:i/>
        </w:rPr>
        <w:t>5</w:t>
      </w:r>
      <w:r w:rsidR="00333A00">
        <w:rPr>
          <w:rFonts w:asciiTheme="minorHAnsi" w:hAnsiTheme="minorHAnsi" w:cstheme="minorHAnsi"/>
          <w:i/>
        </w:rPr>
        <w:t>5</w:t>
      </w:r>
      <w:r w:rsidR="00242577">
        <w:rPr>
          <w:rFonts w:asciiTheme="minorHAnsi" w:hAnsiTheme="minorHAnsi" w:cstheme="minorHAnsi"/>
          <w:i/>
        </w:rPr>
        <w:t xml:space="preserve"> w/ds</w:t>
      </w:r>
    </w:p>
    <w:p w14:paraId="5B599728" w14:textId="77777777" w:rsidR="00CF4A6B" w:rsidRPr="008E6EEC" w:rsidRDefault="00CF4A6B" w:rsidP="00CF4A6B">
      <w:pPr>
        <w:spacing w:line="240" w:lineRule="auto"/>
        <w:jc w:val="both"/>
        <w:rPr>
          <w:rFonts w:asciiTheme="minorHAnsi" w:hAnsiTheme="minorHAnsi" w:cstheme="minorHAnsi"/>
          <w:i/>
        </w:rPr>
      </w:pPr>
    </w:p>
    <w:p w14:paraId="1708ADE7" w14:textId="77777777"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Off-site working days: </w:t>
      </w:r>
      <w:r w:rsidR="00242577">
        <w:rPr>
          <w:rFonts w:asciiTheme="minorHAnsi" w:hAnsiTheme="minorHAnsi" w:cstheme="minorHAnsi"/>
          <w:i/>
        </w:rPr>
        <w:t>n/a</w:t>
      </w:r>
    </w:p>
    <w:p w14:paraId="43043EA0" w14:textId="77777777" w:rsidR="00CF4A6B" w:rsidRPr="008E6EEC" w:rsidRDefault="00CF4A6B" w:rsidP="00CF4A6B">
      <w:pPr>
        <w:spacing w:line="240" w:lineRule="auto"/>
        <w:jc w:val="both"/>
        <w:rPr>
          <w:rFonts w:asciiTheme="minorHAnsi" w:hAnsiTheme="minorHAnsi" w:cstheme="minorHAnsi"/>
          <w:i/>
        </w:rPr>
      </w:pPr>
    </w:p>
    <w:p w14:paraId="14E35373" w14:textId="77777777" w:rsidR="00CF4A6B" w:rsidRPr="008E6EEC" w:rsidRDefault="009A1305" w:rsidP="00CF4A6B">
      <w:pPr>
        <w:spacing w:line="240" w:lineRule="auto"/>
        <w:jc w:val="both"/>
        <w:rPr>
          <w:rFonts w:asciiTheme="minorHAnsi" w:hAnsiTheme="minorHAnsi" w:cstheme="minorHAnsi"/>
          <w:u w:val="single"/>
        </w:rPr>
      </w:pPr>
      <w:r w:rsidRPr="008E6EEC">
        <w:rPr>
          <w:rFonts w:asciiTheme="minorHAnsi" w:hAnsiTheme="minorHAnsi" w:cstheme="minorHAnsi"/>
          <w:i/>
          <w:u w:val="single"/>
        </w:rPr>
        <w:t>Supervisor</w:t>
      </w:r>
      <w:r w:rsidR="00CF4A6B" w:rsidRPr="008E6EEC">
        <w:rPr>
          <w:rFonts w:asciiTheme="minorHAnsi" w:hAnsiTheme="minorHAnsi" w:cstheme="minorHAnsi"/>
          <w:i/>
          <w:u w:val="single"/>
        </w:rPr>
        <w:t>:</w:t>
      </w:r>
      <w:r w:rsidR="00242577">
        <w:rPr>
          <w:rFonts w:asciiTheme="minorHAnsi" w:hAnsiTheme="minorHAnsi" w:cstheme="minorHAnsi"/>
          <w:i/>
          <w:u w:val="single"/>
        </w:rPr>
        <w:t xml:space="preserve"> </w:t>
      </w:r>
      <w:r w:rsidR="00242577" w:rsidRPr="00242577">
        <w:rPr>
          <w:rFonts w:asciiTheme="minorHAnsi" w:hAnsiTheme="minorHAnsi" w:cstheme="minorHAnsi"/>
          <w:i/>
        </w:rPr>
        <w:t>WASH Specialist (IP), UNICEF Tajikistan</w:t>
      </w:r>
    </w:p>
    <w:p w14:paraId="700515A7" w14:textId="77777777" w:rsidR="00CF4A6B" w:rsidRPr="008E6EEC" w:rsidRDefault="00CF4A6B" w:rsidP="00CF4A6B">
      <w:pPr>
        <w:spacing w:line="240" w:lineRule="auto"/>
        <w:jc w:val="both"/>
        <w:rPr>
          <w:rFonts w:asciiTheme="minorHAnsi" w:hAnsiTheme="minorHAnsi" w:cstheme="minorHAnsi"/>
        </w:rPr>
      </w:pPr>
    </w:p>
    <w:p w14:paraId="0E1C8E53" w14:textId="77777777" w:rsidR="00CF4A6B" w:rsidRPr="008E6EEC" w:rsidRDefault="00CF4A6B" w:rsidP="00CF4A6B">
      <w:pPr>
        <w:jc w:val="both"/>
        <w:rPr>
          <w:rFonts w:asciiTheme="minorHAnsi" w:hAnsiTheme="minorHAnsi" w:cstheme="minorHAnsi"/>
          <w:i/>
        </w:rPr>
      </w:pPr>
      <w:r w:rsidRPr="008E6EEC">
        <w:rPr>
          <w:rFonts w:asciiTheme="minorHAnsi" w:hAnsiTheme="minorHAnsi" w:cstheme="minorHAnsi"/>
          <w:i/>
          <w:u w:val="single"/>
        </w:rPr>
        <w:t>Reporting to</w:t>
      </w:r>
      <w:r w:rsidRPr="008E6EEC">
        <w:rPr>
          <w:rFonts w:asciiTheme="minorHAnsi" w:hAnsiTheme="minorHAnsi" w:cstheme="minorHAnsi"/>
          <w:i/>
        </w:rPr>
        <w:t xml:space="preserve">: </w:t>
      </w:r>
      <w:r w:rsidR="00242577" w:rsidRPr="00242577">
        <w:rPr>
          <w:rFonts w:asciiTheme="minorHAnsi" w:hAnsiTheme="minorHAnsi" w:cstheme="minorHAnsi"/>
          <w:i/>
        </w:rPr>
        <w:t>WASH Specialist (IP), UNICEF Tajikistan</w:t>
      </w:r>
    </w:p>
    <w:p w14:paraId="788CB3EE" w14:textId="65461A0E" w:rsidR="00CF4A6B" w:rsidRDefault="00CF4A6B" w:rsidP="00CF4A6B">
      <w:pPr>
        <w:spacing w:line="240" w:lineRule="auto"/>
        <w:jc w:val="both"/>
        <w:rPr>
          <w:rFonts w:asciiTheme="minorHAnsi" w:hAnsiTheme="minorHAnsi" w:cstheme="minorHAnsi"/>
          <w:i/>
        </w:rPr>
      </w:pPr>
    </w:p>
    <w:p w14:paraId="4D627B67" w14:textId="77777777" w:rsidR="00E22C2A" w:rsidRPr="008E6EEC" w:rsidRDefault="00E22C2A" w:rsidP="00CF4A6B">
      <w:pPr>
        <w:spacing w:line="240" w:lineRule="auto"/>
        <w:jc w:val="both"/>
        <w:rPr>
          <w:rFonts w:asciiTheme="minorHAnsi" w:hAnsiTheme="minorHAnsi" w:cstheme="minorHAnsi"/>
          <w:i/>
        </w:rPr>
      </w:pPr>
    </w:p>
    <w:p w14:paraId="48DFB0FD" w14:textId="77777777" w:rsidR="00CF4A6B" w:rsidRPr="008E6EEC" w:rsidRDefault="00CF4A6B" w:rsidP="00CF4A6B">
      <w:pPr>
        <w:spacing w:line="240" w:lineRule="auto"/>
        <w:jc w:val="both"/>
        <w:rPr>
          <w:rFonts w:asciiTheme="minorHAnsi" w:hAnsiTheme="minorHAnsi" w:cstheme="minorHAnsi"/>
          <w:b/>
          <w:color w:val="4472C4" w:themeColor="accent1"/>
        </w:rPr>
      </w:pPr>
      <w:r w:rsidRPr="008E6EEC">
        <w:rPr>
          <w:rFonts w:asciiTheme="minorHAnsi" w:hAnsiTheme="minorHAnsi" w:cstheme="minorHAnsi"/>
          <w:b/>
          <w:color w:val="4472C4" w:themeColor="accent1"/>
        </w:rPr>
        <w:t>BACKGROUND:</w:t>
      </w:r>
    </w:p>
    <w:p w14:paraId="4895B9BE" w14:textId="77777777" w:rsidR="007010DF" w:rsidRPr="008E6EEC" w:rsidRDefault="007010DF" w:rsidP="007010DF">
      <w:pPr>
        <w:pStyle w:val="ListParagraph"/>
        <w:spacing w:line="240" w:lineRule="auto"/>
        <w:ind w:left="0"/>
        <w:contextualSpacing w:val="0"/>
        <w:jc w:val="both"/>
        <w:outlineLvl w:val="0"/>
        <w:rPr>
          <w:rFonts w:asciiTheme="minorHAnsi" w:hAnsiTheme="minorHAnsi" w:cstheme="minorHAnsi"/>
          <w:b/>
          <w:color w:val="4472C4" w:themeColor="accent1"/>
        </w:rPr>
      </w:pPr>
    </w:p>
    <w:p w14:paraId="33039414" w14:textId="77777777" w:rsidR="008B75C4" w:rsidRPr="008B75C4" w:rsidRDefault="008B75C4" w:rsidP="00F1649B">
      <w:pPr>
        <w:spacing w:line="240" w:lineRule="auto"/>
        <w:jc w:val="both"/>
        <w:rPr>
          <w:rFonts w:ascii="Calibri" w:hAnsi="Calibri" w:cs="Calibri"/>
        </w:rPr>
      </w:pPr>
      <w:r w:rsidRPr="008B75C4">
        <w:rPr>
          <w:rFonts w:ascii="Calibri" w:hAnsi="Calibri" w:cs="Calibri"/>
        </w:rPr>
        <w:t>Key WASH indicators for Tajikistan remains less than optimal. Tajikistan is a member of the High-Level Panel on Water launched by the World Bank and the United Nations and has announced its commitment to the Sustainable Development Goal (SDG-6) to “Ensure availability and sustainable management of water and sanitation for all”. Tajikistan also committed to achievement of the SDGs and recognized the access to WASH in schools and health facilities as important favourable conditions for sustainable development in its National Development Strategy 2030, National Water Sector Strategy (2020 – 2030) and Water and Sanitation Plans and National Programme for Children that are in the process of development and endorsement.</w:t>
      </w:r>
    </w:p>
    <w:p w14:paraId="2B5485E1" w14:textId="77777777" w:rsidR="008B75C4" w:rsidRPr="008B75C4" w:rsidRDefault="008B75C4" w:rsidP="00F1649B">
      <w:pPr>
        <w:spacing w:line="240" w:lineRule="auto"/>
        <w:jc w:val="both"/>
        <w:rPr>
          <w:rFonts w:ascii="Calibri" w:hAnsi="Calibri" w:cs="Calibri"/>
        </w:rPr>
      </w:pPr>
    </w:p>
    <w:p w14:paraId="0C694646" w14:textId="77777777" w:rsidR="0012784E" w:rsidRPr="0012784E" w:rsidRDefault="0012784E" w:rsidP="00F1649B">
      <w:pPr>
        <w:spacing w:line="240" w:lineRule="auto"/>
        <w:jc w:val="both"/>
        <w:rPr>
          <w:rFonts w:asciiTheme="minorHAnsi" w:hAnsiTheme="minorHAnsi" w:cstheme="minorHAnsi"/>
        </w:rPr>
      </w:pPr>
      <w:r w:rsidRPr="0012784E">
        <w:rPr>
          <w:rFonts w:asciiTheme="minorHAnsi" w:hAnsiTheme="minorHAnsi" w:cstheme="minorHAnsi"/>
        </w:rPr>
        <w:lastRenderedPageBreak/>
        <w:t xml:space="preserve">According to WHO-UNICEF Joint Monitoring Programme (JMP) 2017 report, only 47.9% of people nationally in Tajikistan have access to safely managed drinking water services (improved source located at premises, available when needed, and free from microbiological and priority chemical contamination). Similarly, at national level, access to drinking water has improved from 51.2 (2001) to 81 percent (2017). For urban setting figures vary between 87 (safely managed water) to 96.2 percent (improved/basic water), with periodical upward and downward trends. Same sources report figures varying between 36 (safely managed water) and 75.6 percent (improved/basic water) for rural settlements. </w:t>
      </w:r>
    </w:p>
    <w:p w14:paraId="3DB9A25A" w14:textId="77777777" w:rsidR="0012784E" w:rsidRPr="008B75C4" w:rsidRDefault="0012784E" w:rsidP="00F1649B">
      <w:pPr>
        <w:autoSpaceDE w:val="0"/>
        <w:autoSpaceDN w:val="0"/>
        <w:adjustRightInd w:val="0"/>
        <w:spacing w:line="240" w:lineRule="auto"/>
        <w:contextualSpacing/>
        <w:jc w:val="both"/>
        <w:rPr>
          <w:rFonts w:ascii="Calibri" w:hAnsi="Calibri" w:cs="Calibri"/>
        </w:rPr>
      </w:pPr>
    </w:p>
    <w:p w14:paraId="15963602" w14:textId="7714E842" w:rsidR="008B75C4" w:rsidRPr="008B75C4" w:rsidRDefault="008B75C4" w:rsidP="00F1649B">
      <w:pPr>
        <w:spacing w:line="240" w:lineRule="auto"/>
        <w:jc w:val="both"/>
        <w:rPr>
          <w:rFonts w:ascii="Calibri" w:hAnsi="Calibri" w:cs="Calibri"/>
          <w:bCs/>
          <w:lang w:val="en-US"/>
        </w:rPr>
      </w:pPr>
      <w:r w:rsidRPr="008B75C4">
        <w:rPr>
          <w:rFonts w:ascii="Calibri" w:hAnsi="Calibri" w:cs="Calibri"/>
          <w:bCs/>
          <w:lang w:val="en-US"/>
        </w:rPr>
        <w:t xml:space="preserve">There is significant gap of access to WASH in HCFs. </w:t>
      </w:r>
      <w:bookmarkStart w:id="3" w:name="_Hlk51484602"/>
      <w:r w:rsidRPr="008B75C4">
        <w:rPr>
          <w:rFonts w:ascii="Calibri" w:hAnsi="Calibri" w:cs="Calibri"/>
          <w:bCs/>
          <w:lang w:val="en-US"/>
        </w:rPr>
        <w:t>Referring to the WHO-UNICEF JMP data available for 2020, only 24.1% of the HCFs have basic access to drinking water supply. The data is missing on access to sanitation, hygiene, waste management and cleaning environment.</w:t>
      </w:r>
      <w:bookmarkEnd w:id="3"/>
      <w:r w:rsidRPr="008B75C4">
        <w:rPr>
          <w:rFonts w:ascii="Calibri" w:hAnsi="Calibri" w:cs="Calibri"/>
          <w:bCs/>
          <w:lang w:val="en-US"/>
        </w:rPr>
        <w:t xml:space="preserve"> According to UNCEF Tajikistan, as of 2020, out of 73 maternities / maternity departments within Central District Hospitals (CDHs – secondary level HCFs), 47 facilities (65%) do not meet the required WASH standards. Most challenging situation with access to WASH is in </w:t>
      </w:r>
      <w:r w:rsidR="00166779">
        <w:rPr>
          <w:rFonts w:ascii="Calibri" w:hAnsi="Calibri" w:cs="Calibri"/>
          <w:bCs/>
          <w:lang w:val="en-US"/>
        </w:rPr>
        <w:t xml:space="preserve">up to </w:t>
      </w:r>
      <w:r w:rsidRPr="008B75C4">
        <w:rPr>
          <w:rFonts w:ascii="Calibri" w:hAnsi="Calibri" w:cs="Calibri"/>
          <w:bCs/>
          <w:lang w:val="en-US"/>
        </w:rPr>
        <w:t>3,</w:t>
      </w:r>
      <w:r w:rsidR="00166779">
        <w:rPr>
          <w:rFonts w:ascii="Calibri" w:hAnsi="Calibri" w:cs="Calibri"/>
          <w:bCs/>
          <w:lang w:val="en-US"/>
        </w:rPr>
        <w:t>0</w:t>
      </w:r>
      <w:r w:rsidRPr="008B75C4">
        <w:rPr>
          <w:rFonts w:ascii="Calibri" w:hAnsi="Calibri" w:cs="Calibri"/>
          <w:bCs/>
          <w:lang w:val="en-US"/>
        </w:rPr>
        <w:t>00 rural medical centers (primary health care level). Up to 80% of these facilities have limited or no access to WASH services. Consumables that are key to effective IPC such as soap, hand sanitizers and chlorine are not always available.</w:t>
      </w:r>
    </w:p>
    <w:p w14:paraId="75B51513" w14:textId="77777777" w:rsidR="008B75C4" w:rsidRPr="008B75C4" w:rsidRDefault="008B75C4" w:rsidP="00F1649B">
      <w:pPr>
        <w:spacing w:line="240" w:lineRule="auto"/>
        <w:jc w:val="both"/>
        <w:rPr>
          <w:rFonts w:ascii="Calibri" w:hAnsi="Calibri" w:cs="Calibri"/>
        </w:rPr>
      </w:pPr>
    </w:p>
    <w:p w14:paraId="3EF6778F" w14:textId="29A463F4" w:rsidR="008B75C4" w:rsidRPr="008B75C4" w:rsidRDefault="008B75C4" w:rsidP="00F1649B">
      <w:pPr>
        <w:spacing w:line="240" w:lineRule="auto"/>
        <w:jc w:val="both"/>
        <w:rPr>
          <w:rFonts w:ascii="Calibri" w:hAnsi="Calibri" w:cs="Calibri"/>
        </w:rPr>
      </w:pPr>
      <w:r w:rsidRPr="008B75C4">
        <w:rPr>
          <w:rFonts w:ascii="Calibri" w:hAnsi="Calibri" w:cs="Calibri"/>
          <w:lang w:val="en-US"/>
        </w:rPr>
        <w:t>On the other hand according to the JMP data</w:t>
      </w:r>
      <w:r w:rsidRPr="008B75C4">
        <w:rPr>
          <w:rFonts w:ascii="Calibri" w:hAnsi="Calibri" w:cs="Calibri"/>
          <w:vertAlign w:val="superscript"/>
          <w:lang w:val="en-US"/>
        </w:rPr>
        <w:footnoteReference w:id="1"/>
      </w:r>
      <w:r w:rsidRPr="008B75C4">
        <w:rPr>
          <w:rFonts w:ascii="Calibri" w:hAnsi="Calibri" w:cs="Calibri"/>
          <w:lang w:val="en-US"/>
        </w:rPr>
        <w:t xml:space="preserve"> available for WASH in schools indicate that 79% of schools across the country have access to a functioning water supply system, 47% of schools have access to improved sanitation and only 26% of schools have water and soap available in designated handwashing areas near toilets. Large disparities exist in terms of pre-school institutions as well. 48% of urban pre-school institutions have permanent centralized </w:t>
      </w:r>
      <w:proofErr w:type="gramStart"/>
      <w:r w:rsidRPr="008B75C4">
        <w:rPr>
          <w:rFonts w:ascii="Calibri" w:hAnsi="Calibri" w:cs="Calibri"/>
          <w:lang w:val="en-US"/>
        </w:rPr>
        <w:t>cold water</w:t>
      </w:r>
      <w:proofErr w:type="gramEnd"/>
      <w:r w:rsidRPr="008B75C4">
        <w:rPr>
          <w:rFonts w:ascii="Calibri" w:hAnsi="Calibri" w:cs="Calibri"/>
          <w:lang w:val="en-US"/>
        </w:rPr>
        <w:t xml:space="preserve"> supply against 17% of rural pre-school institutions. A functioning central sewerage system is available only in 7% of kindergartens and early childhood development centers located in rural areas, and in 41% of kindergartens/early childhood development centers in cities.</w:t>
      </w:r>
    </w:p>
    <w:p w14:paraId="105573F5" w14:textId="77777777" w:rsidR="008B75C4" w:rsidRPr="008B75C4" w:rsidRDefault="008B75C4" w:rsidP="00F1649B">
      <w:pPr>
        <w:spacing w:line="240" w:lineRule="auto"/>
        <w:jc w:val="both"/>
        <w:rPr>
          <w:rFonts w:ascii="Calibri" w:hAnsi="Calibri" w:cs="Calibri"/>
        </w:rPr>
      </w:pPr>
    </w:p>
    <w:p w14:paraId="394E2AA9" w14:textId="77777777" w:rsidR="008B75C4" w:rsidRPr="008B75C4" w:rsidRDefault="008B75C4" w:rsidP="00F1649B">
      <w:pPr>
        <w:spacing w:line="240" w:lineRule="auto"/>
        <w:jc w:val="both"/>
        <w:rPr>
          <w:rFonts w:ascii="Calibri" w:hAnsi="Calibri" w:cs="Calibri"/>
          <w:lang w:val="en-US"/>
        </w:rPr>
      </w:pPr>
      <w:r w:rsidRPr="008B75C4">
        <w:rPr>
          <w:rFonts w:ascii="Calibri" w:hAnsi="Calibri" w:cs="Calibri"/>
          <w:bCs/>
        </w:rPr>
        <w:t>Tajikistan still facing challenges on increasing expenditures on health that has impacted negatively on the quality of health care nationwide. Problems facing the health care system include obsolete infrastructure and equipment, poor accountability at the HCF level on the application of approved standards and protocols, and inadequate capacity of health care workers to provide quality care.</w:t>
      </w:r>
      <w:r w:rsidRPr="008B75C4">
        <w:rPr>
          <w:rFonts w:ascii="Calibri" w:hAnsi="Calibri" w:cs="Calibri"/>
          <w:lang w:val="en-US"/>
        </w:rPr>
        <w:t xml:space="preserve"> The issues are similar for </w:t>
      </w:r>
      <w:proofErr w:type="spellStart"/>
      <w:r w:rsidRPr="008B75C4">
        <w:rPr>
          <w:rFonts w:ascii="Calibri" w:hAnsi="Calibri" w:cs="Calibri"/>
          <w:lang w:val="en-US"/>
        </w:rPr>
        <w:t>for</w:t>
      </w:r>
      <w:proofErr w:type="spellEnd"/>
      <w:r w:rsidRPr="008B75C4">
        <w:rPr>
          <w:rFonts w:ascii="Calibri" w:hAnsi="Calibri" w:cs="Calibri"/>
          <w:lang w:val="en-US"/>
        </w:rPr>
        <w:t xml:space="preserve"> allocation of budget for WASH in schools which creates a big challenge of operations and maintenance of WASH facilities in institutions</w:t>
      </w:r>
    </w:p>
    <w:p w14:paraId="06C77921" w14:textId="77777777" w:rsidR="008B75C4" w:rsidRPr="008B75C4" w:rsidRDefault="008B75C4" w:rsidP="008B75C4">
      <w:pPr>
        <w:jc w:val="both"/>
        <w:rPr>
          <w:rFonts w:ascii="Calibri" w:hAnsi="Calibri" w:cs="Calibri"/>
          <w:lang w:val="en-US"/>
        </w:rPr>
      </w:pPr>
    </w:p>
    <w:p w14:paraId="335A7197" w14:textId="03639808" w:rsidR="00906CC8" w:rsidRPr="00906CC8" w:rsidRDefault="00906CC8" w:rsidP="00FB1C45">
      <w:pPr>
        <w:shd w:val="clear" w:color="auto" w:fill="FFFFFF"/>
        <w:spacing w:line="240" w:lineRule="auto"/>
        <w:jc w:val="both"/>
        <w:rPr>
          <w:rFonts w:asciiTheme="minorHAnsi" w:eastAsia="Times New Roman" w:hAnsiTheme="minorHAnsi" w:cstheme="minorHAnsi"/>
          <w:color w:val="auto"/>
          <w:lang w:val="en-US"/>
        </w:rPr>
      </w:pPr>
      <w:r w:rsidRPr="00906CC8">
        <w:rPr>
          <w:rFonts w:asciiTheme="minorHAnsi" w:eastAsia="Times New Roman" w:hAnsiTheme="minorHAnsi" w:cstheme="minorHAnsi"/>
          <w:color w:val="auto"/>
          <w:lang w:val="en-US"/>
        </w:rPr>
        <w:t>Despite progress in enabling environment interventions</w:t>
      </w:r>
      <w:r w:rsidR="00FB1C45" w:rsidRPr="00FB1C45">
        <w:rPr>
          <w:rFonts w:asciiTheme="minorHAnsi" w:eastAsia="Times New Roman" w:hAnsiTheme="minorHAnsi" w:cstheme="minorHAnsi"/>
          <w:color w:val="auto"/>
          <w:lang w:val="en-US"/>
        </w:rPr>
        <w:t xml:space="preserve"> by a number of partners, in order to have a better understanding of the key challenges at hand and </w:t>
      </w:r>
      <w:r w:rsidRPr="00906CC8">
        <w:rPr>
          <w:rFonts w:asciiTheme="minorHAnsi" w:eastAsia="Times New Roman" w:hAnsiTheme="minorHAnsi" w:cstheme="minorHAnsi"/>
          <w:color w:val="auto"/>
          <w:lang w:val="en-US"/>
        </w:rPr>
        <w:t xml:space="preserve">address </w:t>
      </w:r>
      <w:r w:rsidR="00FB1C45" w:rsidRPr="00FB1C45">
        <w:rPr>
          <w:rFonts w:asciiTheme="minorHAnsi" w:eastAsia="Times New Roman" w:hAnsiTheme="minorHAnsi" w:cstheme="minorHAnsi"/>
          <w:color w:val="auto"/>
          <w:lang w:val="en-US"/>
        </w:rPr>
        <w:t>accordingly</w:t>
      </w:r>
      <w:r w:rsidRPr="00906CC8">
        <w:rPr>
          <w:rFonts w:asciiTheme="minorHAnsi" w:eastAsia="Times New Roman" w:hAnsiTheme="minorHAnsi" w:cstheme="minorHAnsi"/>
          <w:color w:val="auto"/>
          <w:lang w:val="en-US"/>
        </w:rPr>
        <w:t xml:space="preserve">, UNICEF, under the leadership of the </w:t>
      </w:r>
      <w:r w:rsidR="00FB1C45" w:rsidRPr="00FB1C45">
        <w:rPr>
          <w:rFonts w:ascii="Calibri" w:hAnsi="Calibri" w:cs="Calibri"/>
          <w:color w:val="auto"/>
        </w:rPr>
        <w:t>Ministry of Health and Social Protection (</w:t>
      </w:r>
      <w:proofErr w:type="spellStart"/>
      <w:r w:rsidR="00FB1C45" w:rsidRPr="00FB1C45">
        <w:rPr>
          <w:rFonts w:ascii="Calibri" w:hAnsi="Calibri" w:cs="Calibri"/>
          <w:color w:val="auto"/>
        </w:rPr>
        <w:t>MoHSP</w:t>
      </w:r>
      <w:proofErr w:type="spellEnd"/>
      <w:r w:rsidR="00FB1C45" w:rsidRPr="00FB1C45">
        <w:rPr>
          <w:rFonts w:ascii="Calibri" w:hAnsi="Calibri" w:cs="Calibri"/>
          <w:color w:val="auto"/>
        </w:rPr>
        <w:t>), Ministry of Education and Science (</w:t>
      </w:r>
      <w:proofErr w:type="spellStart"/>
      <w:r w:rsidR="00FB1C45" w:rsidRPr="00FB1C45">
        <w:rPr>
          <w:rFonts w:ascii="Calibri" w:hAnsi="Calibri" w:cs="Calibri"/>
          <w:color w:val="auto"/>
        </w:rPr>
        <w:t>MoES</w:t>
      </w:r>
      <w:proofErr w:type="spellEnd"/>
      <w:r w:rsidR="00FB1C45" w:rsidRPr="00FB1C45">
        <w:rPr>
          <w:rFonts w:ascii="Calibri" w:hAnsi="Calibri" w:cs="Calibri"/>
          <w:color w:val="auto"/>
        </w:rPr>
        <w:t>), Ministry of Energy and Water Resources (</w:t>
      </w:r>
      <w:proofErr w:type="spellStart"/>
      <w:r w:rsidR="00FB1C45" w:rsidRPr="00FB1C45">
        <w:rPr>
          <w:rFonts w:ascii="Calibri" w:hAnsi="Calibri" w:cs="Calibri"/>
          <w:color w:val="auto"/>
        </w:rPr>
        <w:t>MoEWR</w:t>
      </w:r>
      <w:proofErr w:type="spellEnd"/>
      <w:r w:rsidR="00FB1C45" w:rsidRPr="00FB1C45">
        <w:rPr>
          <w:rFonts w:ascii="Calibri" w:hAnsi="Calibri" w:cs="Calibri"/>
          <w:color w:val="auto"/>
        </w:rPr>
        <w:t>) and State Unitary Enterprise –</w:t>
      </w:r>
      <w:r w:rsidR="00FB1C45" w:rsidRPr="00FB1C45">
        <w:rPr>
          <w:color w:val="auto"/>
        </w:rPr>
        <w:t xml:space="preserve"> </w:t>
      </w:r>
      <w:proofErr w:type="spellStart"/>
      <w:r w:rsidR="00FB1C45" w:rsidRPr="00FB1C45">
        <w:rPr>
          <w:rFonts w:asciiTheme="minorHAnsi" w:hAnsiTheme="minorHAnsi" w:cstheme="minorHAnsi"/>
          <w:color w:val="auto"/>
        </w:rPr>
        <w:t>Khojagii</w:t>
      </w:r>
      <w:proofErr w:type="spellEnd"/>
      <w:r w:rsidR="00FB1C45" w:rsidRPr="00FB1C45">
        <w:rPr>
          <w:rFonts w:asciiTheme="minorHAnsi" w:hAnsiTheme="minorHAnsi" w:cstheme="minorHAnsi"/>
          <w:color w:val="auto"/>
        </w:rPr>
        <w:t xml:space="preserve"> </w:t>
      </w:r>
      <w:proofErr w:type="spellStart"/>
      <w:r w:rsidR="00FB1C45" w:rsidRPr="00FB1C45">
        <w:rPr>
          <w:rFonts w:asciiTheme="minorHAnsi" w:hAnsiTheme="minorHAnsi" w:cstheme="minorHAnsi"/>
          <w:color w:val="auto"/>
        </w:rPr>
        <w:t>Manziliyu</w:t>
      </w:r>
      <w:proofErr w:type="spellEnd"/>
      <w:r w:rsidR="00FB1C45" w:rsidRPr="00FB1C45">
        <w:rPr>
          <w:rFonts w:asciiTheme="minorHAnsi" w:hAnsiTheme="minorHAnsi" w:cstheme="minorHAnsi"/>
          <w:color w:val="auto"/>
        </w:rPr>
        <w:t xml:space="preserve"> </w:t>
      </w:r>
      <w:proofErr w:type="spellStart"/>
      <w:r w:rsidR="00FB1C45" w:rsidRPr="00FB1C45">
        <w:rPr>
          <w:rFonts w:asciiTheme="minorHAnsi" w:hAnsiTheme="minorHAnsi" w:cstheme="minorHAnsi"/>
          <w:color w:val="auto"/>
        </w:rPr>
        <w:t>Kommunali</w:t>
      </w:r>
      <w:proofErr w:type="spellEnd"/>
      <w:r w:rsidR="00FB1C45" w:rsidRPr="00FB1C45">
        <w:rPr>
          <w:rFonts w:asciiTheme="minorHAnsi" w:hAnsiTheme="minorHAnsi" w:cstheme="minorHAnsi"/>
          <w:color w:val="auto"/>
        </w:rPr>
        <w:t xml:space="preserve"> (SUE-KMK) </w:t>
      </w:r>
      <w:r w:rsidRPr="00906CC8">
        <w:rPr>
          <w:rFonts w:asciiTheme="minorHAnsi" w:eastAsia="Times New Roman" w:hAnsiTheme="minorHAnsi" w:cstheme="minorHAnsi"/>
          <w:color w:val="auto"/>
          <w:lang w:val="en-US"/>
        </w:rPr>
        <w:t xml:space="preserve">will support conducting </w:t>
      </w:r>
      <w:r w:rsidR="00FB1C45" w:rsidRPr="00FB1C45">
        <w:rPr>
          <w:rFonts w:asciiTheme="minorHAnsi" w:eastAsia="Times New Roman" w:hAnsiTheme="minorHAnsi" w:cstheme="minorHAnsi"/>
          <w:color w:val="auto"/>
          <w:lang w:val="en-US"/>
        </w:rPr>
        <w:t>a WASH joint sector review using WASH</w:t>
      </w:r>
      <w:r w:rsidRPr="00906CC8">
        <w:rPr>
          <w:rFonts w:asciiTheme="minorHAnsi" w:eastAsia="Times New Roman" w:hAnsiTheme="minorHAnsi" w:cstheme="minorHAnsi"/>
          <w:color w:val="auto"/>
          <w:lang w:val="en-US"/>
        </w:rPr>
        <w:t xml:space="preserve"> bottleneck analyses</w:t>
      </w:r>
      <w:r w:rsidR="00FB1C45" w:rsidRPr="00FB1C45">
        <w:rPr>
          <w:rFonts w:asciiTheme="minorHAnsi" w:eastAsia="Times New Roman" w:hAnsiTheme="minorHAnsi" w:cstheme="minorHAnsi"/>
          <w:color w:val="auto"/>
          <w:lang w:val="en-US"/>
        </w:rPr>
        <w:t xml:space="preserve"> tool/approach</w:t>
      </w:r>
      <w:r w:rsidRPr="00906CC8">
        <w:rPr>
          <w:rFonts w:asciiTheme="minorHAnsi" w:eastAsia="Times New Roman" w:hAnsiTheme="minorHAnsi" w:cstheme="minorHAnsi"/>
          <w:color w:val="auto"/>
          <w:lang w:val="en-US"/>
        </w:rPr>
        <w:t xml:space="preserve"> to </w:t>
      </w:r>
      <w:r w:rsidR="00FB1C45" w:rsidRPr="00FB1C45">
        <w:rPr>
          <w:rFonts w:asciiTheme="minorHAnsi" w:eastAsia="Times New Roman" w:hAnsiTheme="minorHAnsi" w:cstheme="minorHAnsi"/>
          <w:color w:val="auto"/>
          <w:lang w:val="en-US"/>
        </w:rPr>
        <w:t xml:space="preserve"> identify key issues and devise mitigation strategies specifically to </w:t>
      </w:r>
      <w:r w:rsidRPr="00906CC8">
        <w:rPr>
          <w:rFonts w:asciiTheme="minorHAnsi" w:eastAsia="Times New Roman" w:hAnsiTheme="minorHAnsi" w:cstheme="minorHAnsi"/>
          <w:color w:val="auto"/>
          <w:lang w:val="en-US"/>
        </w:rPr>
        <w:t>improve coordination, planning, implementation and monitoring. Bottleneck analysis, which applies participatory, consultative approach, will serve as hands-on capacity development of the concerned government institutions both at national and sub-national level. The process will also help enhance the ongoing efforts of strengthening evidence- informed provincial</w:t>
      </w:r>
      <w:r w:rsidR="00FB1C45" w:rsidRPr="00FB1C45">
        <w:rPr>
          <w:rFonts w:asciiTheme="minorHAnsi" w:eastAsia="Times New Roman" w:hAnsiTheme="minorHAnsi" w:cstheme="minorHAnsi"/>
          <w:color w:val="auto"/>
          <w:lang w:val="en-US"/>
        </w:rPr>
        <w:t>/regional</w:t>
      </w:r>
      <w:r w:rsidRPr="00906CC8">
        <w:rPr>
          <w:rFonts w:asciiTheme="minorHAnsi" w:eastAsia="Times New Roman" w:hAnsiTheme="minorHAnsi" w:cstheme="minorHAnsi"/>
          <w:color w:val="auto"/>
          <w:lang w:val="en-US"/>
        </w:rPr>
        <w:t xml:space="preserve"> and district level planning and management.</w:t>
      </w:r>
      <w:r w:rsidR="00FB1C45" w:rsidRPr="00FB1C45">
        <w:rPr>
          <w:rFonts w:asciiTheme="minorHAnsi" w:eastAsia="Times New Roman" w:hAnsiTheme="minorHAnsi" w:cstheme="minorHAnsi"/>
          <w:color w:val="auto"/>
          <w:lang w:val="en-US"/>
        </w:rPr>
        <w:t xml:space="preserve"> </w:t>
      </w:r>
      <w:r w:rsidRPr="00906CC8">
        <w:rPr>
          <w:rFonts w:asciiTheme="minorHAnsi" w:eastAsia="Times New Roman" w:hAnsiTheme="minorHAnsi" w:cstheme="minorHAnsi"/>
          <w:color w:val="auto"/>
          <w:lang w:val="en-US"/>
        </w:rPr>
        <w:t>There is also a WASH Bottleneck Analysis Tool (BAT) which can be also applicable as appropriate. Through the assessment, key root causes are identified, measures to solve the current sector problems are discussed and consensus is reached among key stakeholders around priorities, sequencing, costs and additional budget needs, and responsibilities. The tool can be used to monitor the implementation of priority interventions</w:t>
      </w:r>
      <w:r w:rsidR="001D7BD4">
        <w:rPr>
          <w:rFonts w:asciiTheme="minorHAnsi" w:eastAsia="Times New Roman" w:hAnsiTheme="minorHAnsi" w:cstheme="minorHAnsi"/>
          <w:color w:val="auto"/>
          <w:lang w:val="en-US"/>
        </w:rPr>
        <w:t xml:space="preserve"> </w:t>
      </w:r>
      <w:r w:rsidRPr="00906CC8">
        <w:rPr>
          <w:rFonts w:asciiTheme="minorHAnsi" w:eastAsia="Times New Roman" w:hAnsiTheme="minorHAnsi" w:cstheme="minorHAnsi"/>
          <w:color w:val="auto"/>
          <w:lang w:val="en-US"/>
        </w:rPr>
        <w:t>and assess their impact once completed as well.</w:t>
      </w:r>
    </w:p>
    <w:p w14:paraId="77564F63" w14:textId="2CD47CB0" w:rsidR="008B75C4" w:rsidRDefault="008B75C4" w:rsidP="00CF4A6B">
      <w:pPr>
        <w:adjustRightInd w:val="0"/>
        <w:snapToGrid w:val="0"/>
        <w:spacing w:line="240" w:lineRule="auto"/>
        <w:jc w:val="both"/>
        <w:rPr>
          <w:rFonts w:asciiTheme="minorHAnsi" w:hAnsiTheme="minorHAnsi" w:cstheme="minorHAnsi"/>
        </w:rPr>
      </w:pPr>
    </w:p>
    <w:p w14:paraId="6EC03A63" w14:textId="77777777" w:rsidR="00E22C2A" w:rsidRPr="008E6EEC" w:rsidRDefault="00E22C2A" w:rsidP="00CF4A6B">
      <w:pPr>
        <w:adjustRightInd w:val="0"/>
        <w:snapToGrid w:val="0"/>
        <w:spacing w:line="240" w:lineRule="auto"/>
        <w:jc w:val="both"/>
        <w:rPr>
          <w:rFonts w:asciiTheme="minorHAnsi" w:hAnsiTheme="minorHAnsi" w:cstheme="minorHAnsi"/>
        </w:rPr>
      </w:pPr>
    </w:p>
    <w:p w14:paraId="45307F47" w14:textId="77777777" w:rsidR="00CF4A6B" w:rsidRPr="008E6EEC" w:rsidRDefault="00F303A1" w:rsidP="00CF4A6B">
      <w:pPr>
        <w:adjustRightInd w:val="0"/>
        <w:snapToGrid w:val="0"/>
        <w:spacing w:line="240" w:lineRule="auto"/>
        <w:jc w:val="both"/>
        <w:rPr>
          <w:rFonts w:asciiTheme="minorHAnsi" w:hAnsiTheme="minorHAnsi" w:cstheme="minorHAnsi"/>
          <w:b/>
          <w:color w:val="4472C4" w:themeColor="accent1"/>
        </w:rPr>
      </w:pPr>
      <w:r w:rsidRPr="00F303A1">
        <w:rPr>
          <w:rFonts w:asciiTheme="minorHAnsi" w:hAnsiTheme="minorHAnsi" w:cstheme="minorHAnsi"/>
          <w:b/>
          <w:color w:val="4472C4" w:themeColor="accent1"/>
        </w:rPr>
        <w:lastRenderedPageBreak/>
        <w:t>PURPOSE</w:t>
      </w:r>
      <w:r w:rsidR="00CF4A6B" w:rsidRPr="008E6EEC">
        <w:rPr>
          <w:rFonts w:asciiTheme="minorHAnsi" w:hAnsiTheme="minorHAnsi" w:cstheme="minorHAnsi"/>
          <w:b/>
          <w:color w:val="4472C4" w:themeColor="accent1"/>
        </w:rPr>
        <w:t>:</w:t>
      </w:r>
    </w:p>
    <w:p w14:paraId="708F9970" w14:textId="77777777" w:rsidR="00CF4A6B" w:rsidRPr="008E6EEC" w:rsidRDefault="00CF4A6B" w:rsidP="00CF4A6B">
      <w:pPr>
        <w:adjustRightInd w:val="0"/>
        <w:snapToGrid w:val="0"/>
        <w:spacing w:line="240" w:lineRule="auto"/>
        <w:jc w:val="both"/>
        <w:rPr>
          <w:rFonts w:asciiTheme="minorHAnsi" w:eastAsia="Calibri" w:hAnsiTheme="minorHAnsi" w:cstheme="minorHAnsi"/>
          <w:bCs/>
          <w:color w:val="auto"/>
          <w:lang w:val="fr-FR" w:eastAsia="fr-FR"/>
        </w:rPr>
      </w:pPr>
    </w:p>
    <w:p w14:paraId="4FFE44F0" w14:textId="063168C6" w:rsidR="00E83853" w:rsidRPr="00F1649B" w:rsidRDefault="008B75C4" w:rsidP="0012784E">
      <w:pPr>
        <w:spacing w:line="240" w:lineRule="auto"/>
        <w:jc w:val="both"/>
        <w:rPr>
          <w:rFonts w:ascii="Calibri" w:hAnsi="Calibri" w:cs="Calibri"/>
        </w:rPr>
      </w:pPr>
      <w:r w:rsidRPr="008B75C4">
        <w:rPr>
          <w:rFonts w:ascii="Calibri" w:hAnsi="Calibri" w:cs="Calibri"/>
        </w:rPr>
        <w:t>Under the overall oversight of the Chief, Health and Nutrition</w:t>
      </w:r>
      <w:r w:rsidR="00F1649B">
        <w:rPr>
          <w:rFonts w:ascii="Calibri" w:hAnsi="Calibri" w:cs="Calibri"/>
        </w:rPr>
        <w:t xml:space="preserve"> and</w:t>
      </w:r>
      <w:r w:rsidR="00E55320">
        <w:rPr>
          <w:rFonts w:ascii="Calibri" w:hAnsi="Calibri" w:cs="Calibri"/>
        </w:rPr>
        <w:t xml:space="preserve"> </w:t>
      </w:r>
      <w:r w:rsidRPr="008B75C4">
        <w:rPr>
          <w:rFonts w:ascii="Calibri" w:hAnsi="Calibri" w:cs="Calibri"/>
        </w:rPr>
        <w:t>direct supervision of WASH Specialist (internati</w:t>
      </w:r>
      <w:r w:rsidR="0012784E">
        <w:rPr>
          <w:rFonts w:ascii="Calibri" w:hAnsi="Calibri" w:cs="Calibri"/>
        </w:rPr>
        <w:t xml:space="preserve">onal </w:t>
      </w:r>
      <w:r w:rsidRPr="008B75C4">
        <w:rPr>
          <w:rFonts w:ascii="Calibri" w:hAnsi="Calibri" w:cs="Calibri"/>
        </w:rPr>
        <w:t>Professional), the Consultant will provide technical guidance and support to the Ministry of Health and Social Protection (</w:t>
      </w:r>
      <w:proofErr w:type="spellStart"/>
      <w:r w:rsidRPr="008B75C4">
        <w:rPr>
          <w:rFonts w:ascii="Calibri" w:hAnsi="Calibri" w:cs="Calibri"/>
        </w:rPr>
        <w:t>MoHSP</w:t>
      </w:r>
      <w:proofErr w:type="spellEnd"/>
      <w:r w:rsidRPr="008B75C4">
        <w:rPr>
          <w:rFonts w:ascii="Calibri" w:hAnsi="Calibri" w:cs="Calibri"/>
        </w:rPr>
        <w:t>)</w:t>
      </w:r>
      <w:r w:rsidR="0012784E">
        <w:rPr>
          <w:rFonts w:ascii="Calibri" w:hAnsi="Calibri" w:cs="Calibri"/>
        </w:rPr>
        <w:t xml:space="preserve">, </w:t>
      </w:r>
      <w:r w:rsidRPr="008B75C4">
        <w:rPr>
          <w:rFonts w:ascii="Calibri" w:hAnsi="Calibri" w:cs="Calibri"/>
        </w:rPr>
        <w:t>Ministry of Education and Science (</w:t>
      </w:r>
      <w:proofErr w:type="spellStart"/>
      <w:r w:rsidRPr="008B75C4">
        <w:rPr>
          <w:rFonts w:ascii="Calibri" w:hAnsi="Calibri" w:cs="Calibri"/>
        </w:rPr>
        <w:t>MoES</w:t>
      </w:r>
      <w:proofErr w:type="spellEnd"/>
      <w:r w:rsidRPr="008B75C4">
        <w:rPr>
          <w:rFonts w:ascii="Calibri" w:hAnsi="Calibri" w:cs="Calibri"/>
        </w:rPr>
        <w:t xml:space="preserve">), </w:t>
      </w:r>
      <w:r w:rsidR="0012784E">
        <w:rPr>
          <w:rFonts w:ascii="Calibri" w:hAnsi="Calibri" w:cs="Calibri"/>
        </w:rPr>
        <w:t>Ministry of Energy and Water Resources (</w:t>
      </w:r>
      <w:proofErr w:type="spellStart"/>
      <w:r w:rsidR="0012784E">
        <w:rPr>
          <w:rFonts w:ascii="Calibri" w:hAnsi="Calibri" w:cs="Calibri"/>
        </w:rPr>
        <w:t>MoEWR</w:t>
      </w:r>
      <w:proofErr w:type="spellEnd"/>
      <w:r w:rsidR="0012784E">
        <w:rPr>
          <w:rFonts w:ascii="Calibri" w:hAnsi="Calibri" w:cs="Calibri"/>
        </w:rPr>
        <w:t>) and State Unitary Enterprise –</w:t>
      </w:r>
      <w:r w:rsidR="0012784E" w:rsidRPr="0012784E">
        <w:t xml:space="preserve"> </w:t>
      </w:r>
      <w:proofErr w:type="spellStart"/>
      <w:r w:rsidR="0012784E" w:rsidRPr="0012784E">
        <w:rPr>
          <w:rFonts w:asciiTheme="minorHAnsi" w:hAnsiTheme="minorHAnsi" w:cstheme="minorHAnsi"/>
        </w:rPr>
        <w:t>Khojagii</w:t>
      </w:r>
      <w:proofErr w:type="spellEnd"/>
      <w:r w:rsidR="0012784E" w:rsidRPr="0012784E">
        <w:rPr>
          <w:rFonts w:asciiTheme="minorHAnsi" w:hAnsiTheme="minorHAnsi" w:cstheme="minorHAnsi"/>
        </w:rPr>
        <w:t xml:space="preserve"> </w:t>
      </w:r>
      <w:proofErr w:type="spellStart"/>
      <w:r w:rsidR="0012784E" w:rsidRPr="0012784E">
        <w:rPr>
          <w:rFonts w:asciiTheme="minorHAnsi" w:hAnsiTheme="minorHAnsi" w:cstheme="minorHAnsi"/>
        </w:rPr>
        <w:t>Manziliyu</w:t>
      </w:r>
      <w:proofErr w:type="spellEnd"/>
      <w:r w:rsidR="0012784E" w:rsidRPr="0012784E">
        <w:rPr>
          <w:rFonts w:asciiTheme="minorHAnsi" w:hAnsiTheme="minorHAnsi" w:cstheme="minorHAnsi"/>
        </w:rPr>
        <w:t xml:space="preserve"> </w:t>
      </w:r>
      <w:proofErr w:type="spellStart"/>
      <w:r w:rsidR="0012784E" w:rsidRPr="0012784E">
        <w:rPr>
          <w:rFonts w:asciiTheme="minorHAnsi" w:hAnsiTheme="minorHAnsi" w:cstheme="minorHAnsi"/>
        </w:rPr>
        <w:t>Kommunali</w:t>
      </w:r>
      <w:proofErr w:type="spellEnd"/>
      <w:r w:rsidR="0012784E" w:rsidRPr="0012784E">
        <w:rPr>
          <w:rFonts w:asciiTheme="minorHAnsi" w:hAnsiTheme="minorHAnsi" w:cstheme="minorHAnsi"/>
        </w:rPr>
        <w:t xml:space="preserve"> </w:t>
      </w:r>
      <w:r w:rsidR="0012784E">
        <w:rPr>
          <w:rFonts w:asciiTheme="minorHAnsi" w:hAnsiTheme="minorHAnsi" w:cstheme="minorHAnsi"/>
        </w:rPr>
        <w:t xml:space="preserve">(SUE-KMK) </w:t>
      </w:r>
      <w:r w:rsidRPr="008B75C4">
        <w:rPr>
          <w:rFonts w:ascii="Calibri" w:hAnsi="Calibri" w:cs="Calibri"/>
        </w:rPr>
        <w:t xml:space="preserve">specifically and other </w:t>
      </w:r>
      <w:r w:rsidR="0012784E">
        <w:rPr>
          <w:rFonts w:ascii="Calibri" w:hAnsi="Calibri" w:cs="Calibri"/>
        </w:rPr>
        <w:t xml:space="preserve">relevant </w:t>
      </w:r>
      <w:r w:rsidRPr="008B75C4">
        <w:rPr>
          <w:rFonts w:ascii="Calibri" w:hAnsi="Calibri" w:cs="Calibri"/>
        </w:rPr>
        <w:t xml:space="preserve">governmental counterparts </w:t>
      </w:r>
      <w:r w:rsidR="0012784E">
        <w:rPr>
          <w:rFonts w:ascii="Calibri" w:hAnsi="Calibri" w:cs="Calibri"/>
        </w:rPr>
        <w:t xml:space="preserve">by reviewing policy and regulatory environment, institutional capacities, sector financing capacity and models and </w:t>
      </w:r>
      <w:r w:rsidR="0012784E" w:rsidRPr="0012784E">
        <w:rPr>
          <w:rFonts w:asciiTheme="minorHAnsi" w:hAnsiTheme="minorHAnsi" w:cstheme="minorHAnsi"/>
          <w:color w:val="auto"/>
          <w:shd w:val="clear" w:color="auto" w:fill="FFFFFF"/>
        </w:rPr>
        <w:t>undertaking a WASH bottleneck analysis</w:t>
      </w:r>
      <w:r w:rsidR="0012784E">
        <w:rPr>
          <w:rFonts w:asciiTheme="minorHAnsi" w:hAnsiTheme="minorHAnsi" w:cstheme="minorHAnsi"/>
          <w:color w:val="auto"/>
        </w:rPr>
        <w:t>. The WASH Bottleneck analysis is expected to identify key bottlenecks within the parameters of enabling environment, supply, demand and quality and recommend key mitigation strategies and a roadmap overall for the WASH sector and mor</w:t>
      </w:r>
      <w:r w:rsidR="009A707C">
        <w:rPr>
          <w:rFonts w:asciiTheme="minorHAnsi" w:hAnsiTheme="minorHAnsi" w:cstheme="minorHAnsi"/>
          <w:color w:val="auto"/>
        </w:rPr>
        <w:t>e</w:t>
      </w:r>
      <w:r w:rsidR="0012784E">
        <w:rPr>
          <w:rFonts w:asciiTheme="minorHAnsi" w:hAnsiTheme="minorHAnsi" w:cstheme="minorHAnsi"/>
          <w:color w:val="auto"/>
        </w:rPr>
        <w:t xml:space="preserve"> specifically for WASH in Schools, WASH in HCFs, Urban WASH, Rural WASH and Humanitarian WASH</w:t>
      </w:r>
    </w:p>
    <w:p w14:paraId="68A790B7" w14:textId="5F8CC89F" w:rsidR="008B75C4" w:rsidRDefault="008B75C4" w:rsidP="00E03B83">
      <w:pPr>
        <w:spacing w:line="240" w:lineRule="auto"/>
        <w:jc w:val="both"/>
        <w:rPr>
          <w:rFonts w:asciiTheme="minorHAnsi" w:hAnsiTheme="minorHAnsi" w:cstheme="minorHAnsi"/>
        </w:rPr>
      </w:pPr>
    </w:p>
    <w:p w14:paraId="36F961E4" w14:textId="77777777" w:rsidR="00E22C2A" w:rsidRPr="008E6EEC" w:rsidRDefault="00E22C2A" w:rsidP="00E03B83">
      <w:pPr>
        <w:spacing w:line="240" w:lineRule="auto"/>
        <w:jc w:val="both"/>
        <w:rPr>
          <w:rFonts w:asciiTheme="minorHAnsi" w:hAnsiTheme="minorHAnsi" w:cstheme="minorHAnsi"/>
        </w:rPr>
      </w:pPr>
    </w:p>
    <w:p w14:paraId="7F679B09" w14:textId="77777777" w:rsidR="00CF4A6B" w:rsidRPr="008E6EEC" w:rsidRDefault="00CF4A6B" w:rsidP="00CF4A6B">
      <w:pPr>
        <w:adjustRightInd w:val="0"/>
        <w:snapToGrid w:val="0"/>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 xml:space="preserve">DESCRIPTION OF </w:t>
      </w:r>
      <w:r w:rsidR="00D00C11" w:rsidRPr="008E6EEC">
        <w:rPr>
          <w:rFonts w:asciiTheme="minorHAnsi" w:eastAsia="Times New Roman" w:hAnsiTheme="minorHAnsi" w:cstheme="minorHAnsi"/>
          <w:b/>
          <w:color w:val="4472C4" w:themeColor="accent1"/>
        </w:rPr>
        <w:t xml:space="preserve">THE </w:t>
      </w:r>
      <w:r w:rsidRPr="008E6EEC">
        <w:rPr>
          <w:rFonts w:asciiTheme="minorHAnsi" w:eastAsia="Times New Roman" w:hAnsiTheme="minorHAnsi" w:cstheme="minorHAnsi"/>
          <w:b/>
          <w:color w:val="4472C4" w:themeColor="accent1"/>
        </w:rPr>
        <w:t>ASSIGNMENT:</w:t>
      </w:r>
    </w:p>
    <w:p w14:paraId="44B3B150" w14:textId="77777777" w:rsidR="00CF4A6B" w:rsidRPr="008E6EEC" w:rsidRDefault="00CF4A6B" w:rsidP="00CF4A6B">
      <w:pPr>
        <w:jc w:val="both"/>
        <w:rPr>
          <w:rFonts w:asciiTheme="minorHAnsi" w:eastAsiaTheme="minorEastAsia" w:hAnsiTheme="minorHAnsi" w:cstheme="minorHAnsi"/>
        </w:rPr>
      </w:pPr>
    </w:p>
    <w:p w14:paraId="1334E803" w14:textId="301F07B4" w:rsidR="00704A70" w:rsidRPr="000A6266" w:rsidRDefault="0012784E" w:rsidP="00DC20CD">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sidRPr="00CF2865">
        <w:rPr>
          <w:rFonts w:asciiTheme="minorHAnsi" w:eastAsia="Times New Roman" w:hAnsiTheme="minorHAnsi" w:cstheme="minorHAnsi"/>
          <w:color w:val="auto"/>
          <w:lang w:val="en-US"/>
        </w:rPr>
        <w:t>Desk review, based on the existing relevant quantitative and qualitative data and information, as well as related key documents of the government and other key stakeholders</w:t>
      </w:r>
      <w:r w:rsidR="00662BA0" w:rsidRPr="00CF2865">
        <w:rPr>
          <w:rFonts w:asciiTheme="minorHAnsi" w:eastAsia="Times New Roman" w:hAnsiTheme="minorHAnsi" w:cstheme="minorHAnsi"/>
          <w:color w:val="auto"/>
          <w:lang w:val="en-US"/>
        </w:rPr>
        <w:t xml:space="preserve">. </w:t>
      </w:r>
      <w:r w:rsidR="00704A70">
        <w:rPr>
          <w:rFonts w:asciiTheme="minorHAnsi" w:eastAsia="Times New Roman" w:hAnsiTheme="minorHAnsi" w:cstheme="minorHAnsi"/>
          <w:color w:val="auto"/>
          <w:lang w:val="en-US"/>
        </w:rPr>
        <w:t xml:space="preserve">Define </w:t>
      </w:r>
      <w:r w:rsidR="00704A70">
        <w:rPr>
          <w:rFonts w:asciiTheme="minorHAnsi" w:hAnsiTheme="minorHAnsi" w:cstheme="minorHAnsi"/>
          <w:lang w:val="en-US"/>
        </w:rPr>
        <w:t>c</w:t>
      </w:r>
      <w:r w:rsidR="00662BA0" w:rsidRPr="00CF2865">
        <w:rPr>
          <w:rFonts w:asciiTheme="minorHAnsi" w:hAnsiTheme="minorHAnsi" w:cstheme="minorHAnsi"/>
          <w:lang w:val="en-US"/>
        </w:rPr>
        <w:t>onsultati</w:t>
      </w:r>
      <w:r w:rsidR="00704A70">
        <w:rPr>
          <w:rFonts w:asciiTheme="minorHAnsi" w:hAnsiTheme="minorHAnsi" w:cstheme="minorHAnsi"/>
          <w:lang w:val="en-US"/>
        </w:rPr>
        <w:t xml:space="preserve">ve process </w:t>
      </w:r>
      <w:proofErr w:type="gramStart"/>
      <w:r w:rsidR="00704A70">
        <w:rPr>
          <w:rFonts w:asciiTheme="minorHAnsi" w:hAnsiTheme="minorHAnsi" w:cstheme="minorHAnsi"/>
          <w:lang w:val="en-US"/>
        </w:rPr>
        <w:t xml:space="preserve">with </w:t>
      </w:r>
      <w:r w:rsidR="00662BA0" w:rsidRPr="00CF2865">
        <w:rPr>
          <w:rFonts w:asciiTheme="minorHAnsi" w:hAnsiTheme="minorHAnsi" w:cstheme="minorHAnsi"/>
          <w:lang w:val="en-US"/>
        </w:rPr>
        <w:t xml:space="preserve"> national</w:t>
      </w:r>
      <w:proofErr w:type="gramEnd"/>
      <w:r w:rsidR="00662BA0" w:rsidRPr="00CF2865">
        <w:rPr>
          <w:rFonts w:asciiTheme="minorHAnsi" w:hAnsiTheme="minorHAnsi" w:cstheme="minorHAnsi"/>
          <w:lang w:val="en-US"/>
        </w:rPr>
        <w:t xml:space="preserve"> stakeholders</w:t>
      </w:r>
      <w:r w:rsidR="00704A70">
        <w:rPr>
          <w:rFonts w:asciiTheme="minorHAnsi" w:hAnsiTheme="minorHAnsi" w:cstheme="minorHAnsi"/>
          <w:lang w:val="en-US"/>
        </w:rPr>
        <w:t>,</w:t>
      </w:r>
      <w:r w:rsidR="00662BA0" w:rsidRPr="00CF2865">
        <w:rPr>
          <w:rFonts w:asciiTheme="minorHAnsi" w:hAnsiTheme="minorHAnsi" w:cstheme="minorHAnsi"/>
          <w:lang w:val="en-US"/>
        </w:rPr>
        <w:t xml:space="preserve"> and participation </w:t>
      </w:r>
      <w:r w:rsidR="00F1649B">
        <w:rPr>
          <w:rFonts w:asciiTheme="minorHAnsi" w:hAnsiTheme="minorHAnsi" w:cstheme="minorHAnsi"/>
          <w:lang w:val="en-US"/>
        </w:rPr>
        <w:t>in</w:t>
      </w:r>
      <w:r w:rsidR="00662BA0" w:rsidRPr="00CF2865">
        <w:rPr>
          <w:rFonts w:asciiTheme="minorHAnsi" w:hAnsiTheme="minorHAnsi" w:cstheme="minorHAnsi"/>
          <w:lang w:val="en-US"/>
        </w:rPr>
        <w:t xml:space="preserve"> relevant coordination meetings within </w:t>
      </w:r>
      <w:r w:rsidR="00D02AA9">
        <w:rPr>
          <w:rFonts w:asciiTheme="minorHAnsi" w:hAnsiTheme="minorHAnsi" w:cstheme="minorHAnsi"/>
          <w:lang w:val="en-US"/>
        </w:rPr>
        <w:t xml:space="preserve">the </w:t>
      </w:r>
      <w:r w:rsidR="00662BA0" w:rsidRPr="00CF2865">
        <w:rPr>
          <w:rFonts w:asciiTheme="minorHAnsi" w:hAnsiTheme="minorHAnsi" w:cstheme="minorHAnsi"/>
          <w:lang w:val="en-US"/>
        </w:rPr>
        <w:t>D</w:t>
      </w:r>
      <w:r w:rsidR="00D02AA9">
        <w:rPr>
          <w:rFonts w:asciiTheme="minorHAnsi" w:hAnsiTheme="minorHAnsi" w:cstheme="minorHAnsi"/>
          <w:lang w:val="en-US"/>
        </w:rPr>
        <w:t xml:space="preserve">evelopment </w:t>
      </w:r>
      <w:r w:rsidR="00662BA0" w:rsidRPr="00CF2865">
        <w:rPr>
          <w:rFonts w:asciiTheme="minorHAnsi" w:hAnsiTheme="minorHAnsi" w:cstheme="minorHAnsi"/>
          <w:lang w:val="en-US"/>
        </w:rPr>
        <w:t>C</w:t>
      </w:r>
      <w:r w:rsidR="00D02AA9">
        <w:rPr>
          <w:rFonts w:asciiTheme="minorHAnsi" w:hAnsiTheme="minorHAnsi" w:cstheme="minorHAnsi"/>
          <w:lang w:val="en-US"/>
        </w:rPr>
        <w:t xml:space="preserve">oordination </w:t>
      </w:r>
      <w:r w:rsidR="00662BA0" w:rsidRPr="00CF2865">
        <w:rPr>
          <w:rFonts w:asciiTheme="minorHAnsi" w:hAnsiTheme="minorHAnsi" w:cstheme="minorHAnsi"/>
          <w:lang w:val="en-US"/>
        </w:rPr>
        <w:t>C</w:t>
      </w:r>
      <w:r w:rsidR="00D02AA9">
        <w:rPr>
          <w:rFonts w:asciiTheme="minorHAnsi" w:hAnsiTheme="minorHAnsi" w:cstheme="minorHAnsi"/>
          <w:lang w:val="en-US"/>
        </w:rPr>
        <w:t>ouncil (coordination body)</w:t>
      </w:r>
      <w:r w:rsidR="00662BA0" w:rsidRPr="00CF2865">
        <w:rPr>
          <w:rFonts w:asciiTheme="minorHAnsi" w:hAnsiTheme="minorHAnsi" w:cstheme="minorHAnsi"/>
          <w:lang w:val="en-US"/>
        </w:rPr>
        <w:t xml:space="preserve"> to present/consult on progress of work</w:t>
      </w:r>
      <w:r w:rsidR="00F1649B">
        <w:rPr>
          <w:rFonts w:asciiTheme="minorHAnsi" w:hAnsiTheme="minorHAnsi" w:cstheme="minorHAnsi"/>
          <w:lang w:val="en-US"/>
        </w:rPr>
        <w:t>.</w:t>
      </w:r>
    </w:p>
    <w:p w14:paraId="4E03D7D9" w14:textId="4FE1FFE6" w:rsidR="00685D13" w:rsidRPr="00CF2865" w:rsidRDefault="00685D13" w:rsidP="00DC20CD">
      <w:pPr>
        <w:pStyle w:val="ListParagraph"/>
        <w:numPr>
          <w:ilvl w:val="0"/>
          <w:numId w:val="3"/>
        </w:numPr>
        <w:shd w:val="clear" w:color="auto" w:fill="FFFFFF"/>
        <w:spacing w:line="240" w:lineRule="auto"/>
        <w:jc w:val="both"/>
        <w:textAlignment w:val="baseline"/>
        <w:rPr>
          <w:rFonts w:asciiTheme="minorHAnsi" w:eastAsia="Times New Roman" w:hAnsiTheme="minorHAnsi" w:cstheme="minorHAnsi"/>
          <w:color w:val="auto"/>
          <w:lang w:val="en-US"/>
        </w:rPr>
      </w:pPr>
      <w:r w:rsidRPr="00CF2865">
        <w:rPr>
          <w:rFonts w:asciiTheme="minorHAnsi" w:eastAsia="Times New Roman" w:hAnsiTheme="minorHAnsi" w:cstheme="minorHAnsi"/>
          <w:color w:val="auto"/>
          <w:lang w:val="en-US"/>
        </w:rPr>
        <w:t>Develop a workplan outlining the WASH</w:t>
      </w:r>
      <w:r w:rsidR="00FB1C45" w:rsidRPr="00CF2865">
        <w:rPr>
          <w:rFonts w:asciiTheme="minorHAnsi" w:eastAsia="Times New Roman" w:hAnsiTheme="minorHAnsi" w:cstheme="minorHAnsi"/>
          <w:color w:val="auto"/>
          <w:lang w:val="en-US"/>
        </w:rPr>
        <w:t>-</w:t>
      </w:r>
      <w:r w:rsidRPr="00CF2865">
        <w:rPr>
          <w:rFonts w:asciiTheme="minorHAnsi" w:eastAsia="Times New Roman" w:hAnsiTheme="minorHAnsi" w:cstheme="minorHAnsi"/>
          <w:color w:val="auto"/>
          <w:lang w:val="en-US"/>
        </w:rPr>
        <w:t xml:space="preserve">BAT objectives, outcome areas, activities, responsibilities, </w:t>
      </w:r>
      <w:proofErr w:type="gramStart"/>
      <w:r w:rsidRPr="00CF2865">
        <w:rPr>
          <w:rFonts w:asciiTheme="minorHAnsi" w:eastAsia="Times New Roman" w:hAnsiTheme="minorHAnsi" w:cstheme="minorHAnsi"/>
          <w:color w:val="auto"/>
          <w:lang w:val="en-US"/>
        </w:rPr>
        <w:t>timelines</w:t>
      </w:r>
      <w:proofErr w:type="gramEnd"/>
      <w:r w:rsidRPr="00CF2865">
        <w:rPr>
          <w:rFonts w:asciiTheme="minorHAnsi" w:eastAsia="Times New Roman" w:hAnsiTheme="minorHAnsi" w:cstheme="minorHAnsi"/>
          <w:color w:val="auto"/>
          <w:lang w:val="en-US"/>
        </w:rPr>
        <w:t xml:space="preserve"> and resource requirements.</w:t>
      </w:r>
    </w:p>
    <w:p w14:paraId="03595F57" w14:textId="1F840730" w:rsidR="00704A70" w:rsidRPr="00E22C2A" w:rsidRDefault="00662BA0" w:rsidP="00DC20CD">
      <w:pPr>
        <w:pStyle w:val="ListParagraph"/>
        <w:numPr>
          <w:ilvl w:val="0"/>
          <w:numId w:val="3"/>
        </w:numPr>
        <w:shd w:val="clear" w:color="auto" w:fill="FFFFFF"/>
        <w:spacing w:line="240" w:lineRule="auto"/>
        <w:textAlignment w:val="baseline"/>
        <w:rPr>
          <w:rFonts w:asciiTheme="minorHAnsi" w:hAnsiTheme="minorHAnsi" w:cstheme="minorHAnsi"/>
        </w:rPr>
      </w:pPr>
      <w:r w:rsidRPr="00CF2865">
        <w:rPr>
          <w:rFonts w:asciiTheme="minorHAnsi" w:eastAsia="Times New Roman" w:hAnsiTheme="minorHAnsi" w:cstheme="minorHAnsi"/>
          <w:color w:val="auto"/>
          <w:lang w:val="en-US"/>
        </w:rPr>
        <w:t>Review of existing WASH related policies, strategies</w:t>
      </w:r>
      <w:r w:rsidR="00704A70">
        <w:rPr>
          <w:rFonts w:asciiTheme="minorHAnsi" w:eastAsia="Times New Roman" w:hAnsiTheme="minorHAnsi" w:cstheme="minorHAnsi"/>
          <w:color w:val="auto"/>
          <w:lang w:val="en-US"/>
        </w:rPr>
        <w:t>,</w:t>
      </w:r>
      <w:r w:rsidRPr="00CF2865">
        <w:rPr>
          <w:rFonts w:asciiTheme="minorHAnsi" w:eastAsia="Times New Roman" w:hAnsiTheme="minorHAnsi" w:cstheme="minorHAnsi"/>
          <w:color w:val="auto"/>
          <w:lang w:val="en-US"/>
        </w:rPr>
        <w:t xml:space="preserve"> sector plans</w:t>
      </w:r>
      <w:r w:rsidR="00704A70">
        <w:rPr>
          <w:rFonts w:asciiTheme="minorHAnsi" w:eastAsia="Times New Roman" w:hAnsiTheme="minorHAnsi" w:cstheme="minorHAnsi"/>
          <w:color w:val="auto"/>
          <w:lang w:val="en-US"/>
        </w:rPr>
        <w:t xml:space="preserve"> and other key government commitments</w:t>
      </w:r>
      <w:r w:rsidRPr="00CF2865">
        <w:rPr>
          <w:rFonts w:asciiTheme="minorHAnsi" w:eastAsia="Times New Roman" w:hAnsiTheme="minorHAnsi" w:cstheme="minorHAnsi"/>
          <w:color w:val="auto"/>
          <w:lang w:val="en-US"/>
        </w:rPr>
        <w:t xml:space="preserve"> for its alignment with SDGs and human rights to water and sanitation, identifying gaps and key areas of improvement followed by recommendations. This will also include determining the status of WASH at national level and budget/expenditure analysis</w:t>
      </w:r>
      <w:r w:rsidR="00E22C2A">
        <w:rPr>
          <w:rFonts w:asciiTheme="minorHAnsi" w:eastAsia="Times New Roman" w:hAnsiTheme="minorHAnsi" w:cstheme="minorHAnsi"/>
          <w:color w:val="auto"/>
          <w:lang w:val="en-US"/>
        </w:rPr>
        <w:t>.</w:t>
      </w:r>
    </w:p>
    <w:p w14:paraId="4056735D" w14:textId="21CED9C9" w:rsidR="00704A70" w:rsidRPr="000A6266" w:rsidRDefault="00685D13" w:rsidP="00DC20CD">
      <w:pPr>
        <w:pStyle w:val="ListParagraph"/>
        <w:numPr>
          <w:ilvl w:val="0"/>
          <w:numId w:val="3"/>
        </w:numPr>
        <w:shd w:val="clear" w:color="auto" w:fill="FFFFFF"/>
        <w:spacing w:line="240" w:lineRule="auto"/>
        <w:jc w:val="both"/>
        <w:textAlignment w:val="baseline"/>
        <w:rPr>
          <w:rFonts w:asciiTheme="minorHAnsi" w:eastAsia="Times New Roman" w:hAnsiTheme="minorHAnsi" w:cstheme="minorHAnsi"/>
          <w:color w:val="auto"/>
          <w:lang w:val="en-US"/>
        </w:rPr>
      </w:pPr>
      <w:r w:rsidRPr="00CF2865">
        <w:rPr>
          <w:rFonts w:asciiTheme="minorHAnsi" w:eastAsia="Times New Roman" w:hAnsiTheme="minorHAnsi" w:cstheme="minorHAnsi"/>
          <w:color w:val="auto"/>
          <w:lang w:val="en-US"/>
        </w:rPr>
        <w:t xml:space="preserve">Facilitation of joint sector review at national level with help of WASH BAT and SDG-6 costing tool </w:t>
      </w:r>
      <w:r w:rsidR="00FB1C45" w:rsidRPr="00CF2865">
        <w:rPr>
          <w:rFonts w:asciiTheme="minorHAnsi" w:eastAsia="Times New Roman" w:hAnsiTheme="minorHAnsi" w:cstheme="minorHAnsi"/>
          <w:color w:val="auto"/>
          <w:lang w:val="en-US"/>
        </w:rPr>
        <w:t>including</w:t>
      </w:r>
      <w:r w:rsidRPr="00CF2865">
        <w:rPr>
          <w:rFonts w:asciiTheme="minorHAnsi" w:eastAsia="Times New Roman" w:hAnsiTheme="minorHAnsi" w:cstheme="minorHAnsi"/>
          <w:color w:val="auto"/>
          <w:lang w:val="en-US"/>
        </w:rPr>
        <w:t xml:space="preserve"> focus on WASH in schools</w:t>
      </w:r>
      <w:r w:rsidR="00FB1C45" w:rsidRPr="00CF2865">
        <w:rPr>
          <w:rFonts w:asciiTheme="minorHAnsi" w:eastAsia="Times New Roman" w:hAnsiTheme="minorHAnsi" w:cstheme="minorHAnsi"/>
          <w:color w:val="auto"/>
          <w:lang w:val="en-US"/>
        </w:rPr>
        <w:t xml:space="preserve">, </w:t>
      </w:r>
      <w:r w:rsidRPr="00CF2865">
        <w:rPr>
          <w:rFonts w:asciiTheme="minorHAnsi" w:eastAsia="Times New Roman" w:hAnsiTheme="minorHAnsi" w:cstheme="minorHAnsi"/>
          <w:color w:val="auto"/>
          <w:lang w:val="en-US"/>
        </w:rPr>
        <w:t>WASH in HCFs</w:t>
      </w:r>
      <w:r w:rsidR="00FB1C45" w:rsidRPr="00CF2865">
        <w:rPr>
          <w:rFonts w:asciiTheme="minorHAnsi" w:eastAsia="Times New Roman" w:hAnsiTheme="minorHAnsi" w:cstheme="minorHAnsi"/>
          <w:color w:val="auto"/>
          <w:lang w:val="en-US"/>
        </w:rPr>
        <w:t>, Urban WASH, Rural WASH and Humanitarian WASH</w:t>
      </w:r>
    </w:p>
    <w:p w14:paraId="78206996" w14:textId="19A493BE" w:rsidR="00685D13" w:rsidRPr="00CF2865" w:rsidRDefault="00685D13" w:rsidP="00DC20CD">
      <w:pPr>
        <w:pStyle w:val="ListParagraph"/>
        <w:numPr>
          <w:ilvl w:val="0"/>
          <w:numId w:val="3"/>
        </w:numPr>
        <w:shd w:val="clear" w:color="auto" w:fill="FFFFFF"/>
        <w:spacing w:line="240" w:lineRule="auto"/>
        <w:jc w:val="both"/>
        <w:textAlignment w:val="baseline"/>
        <w:rPr>
          <w:rFonts w:asciiTheme="minorHAnsi" w:eastAsia="Times New Roman" w:hAnsiTheme="minorHAnsi" w:cstheme="minorHAnsi"/>
          <w:color w:val="auto"/>
          <w:lang w:val="en-US"/>
        </w:rPr>
      </w:pPr>
      <w:r w:rsidRPr="00CF2865">
        <w:rPr>
          <w:rFonts w:asciiTheme="minorHAnsi" w:eastAsia="Times New Roman" w:hAnsiTheme="minorHAnsi" w:cstheme="minorHAnsi"/>
          <w:color w:val="auto"/>
          <w:lang w:val="en-US"/>
        </w:rPr>
        <w:t>Final Bottleneck Analysis Report, with a summary PowerPoint presentation, and a summary of key findings.</w:t>
      </w:r>
    </w:p>
    <w:p w14:paraId="0E7F95A8" w14:textId="77777777" w:rsidR="00685D13" w:rsidRPr="00685D13" w:rsidRDefault="00685D13" w:rsidP="00685D13">
      <w:pPr>
        <w:shd w:val="clear" w:color="auto" w:fill="FFFFFF"/>
        <w:spacing w:line="240" w:lineRule="auto"/>
        <w:ind w:left="360"/>
        <w:textAlignment w:val="baseline"/>
        <w:rPr>
          <w:rFonts w:asciiTheme="minorHAnsi" w:eastAsia="Times New Roman" w:hAnsiTheme="minorHAnsi" w:cstheme="minorHAnsi"/>
          <w:color w:val="auto"/>
          <w:lang w:val="en-US"/>
        </w:rPr>
      </w:pPr>
    </w:p>
    <w:p w14:paraId="6892DD71" w14:textId="77777777" w:rsidR="00E22C2A" w:rsidRPr="008E6EEC" w:rsidRDefault="00E22C2A" w:rsidP="00CF4A6B">
      <w:pPr>
        <w:spacing w:line="240" w:lineRule="auto"/>
        <w:jc w:val="both"/>
        <w:rPr>
          <w:rFonts w:asciiTheme="minorHAnsi" w:eastAsia="Times New Roman" w:hAnsiTheme="minorHAnsi" w:cstheme="minorHAnsi"/>
          <w:b/>
          <w:color w:val="4472C4" w:themeColor="accent1"/>
        </w:rPr>
      </w:pPr>
    </w:p>
    <w:p w14:paraId="7F78D8CB" w14:textId="77777777" w:rsidR="00CF4A6B" w:rsidRPr="008E6EEC" w:rsidRDefault="00CF4A6B" w:rsidP="00CF4A6B">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KEY DELIVERABLES</w:t>
      </w:r>
      <w:r w:rsidR="007D2263">
        <w:rPr>
          <w:rFonts w:asciiTheme="minorHAnsi" w:eastAsia="Times New Roman" w:hAnsiTheme="minorHAnsi" w:cstheme="minorHAnsi"/>
          <w:b/>
          <w:color w:val="4472C4" w:themeColor="accent1"/>
        </w:rPr>
        <w:t>/TIMEFRAME/PAYMENT SCHEDULE</w:t>
      </w:r>
      <w:r w:rsidRPr="008E6EEC">
        <w:rPr>
          <w:rFonts w:asciiTheme="minorHAnsi" w:eastAsia="Times New Roman" w:hAnsiTheme="minorHAnsi" w:cstheme="minorHAnsi"/>
          <w:b/>
          <w:color w:val="4472C4" w:themeColor="accent1"/>
        </w:rPr>
        <w:t>:</w:t>
      </w:r>
    </w:p>
    <w:p w14:paraId="5A21E1C6" w14:textId="77777777" w:rsidR="00CF4A6B" w:rsidRDefault="00CF4A6B" w:rsidP="00CF4A6B">
      <w:pPr>
        <w:pStyle w:val="DefaultText"/>
        <w:jc w:val="both"/>
        <w:rPr>
          <w:rFonts w:asciiTheme="minorHAnsi" w:hAnsiTheme="minorHAnsi" w:cstheme="minorHAnsi"/>
          <w:bCs/>
          <w:iCs/>
          <w:sz w:val="22"/>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3330"/>
        <w:gridCol w:w="1320"/>
        <w:gridCol w:w="1295"/>
      </w:tblGrid>
      <w:tr w:rsidR="00685D13" w:rsidRPr="00CE2150" w14:paraId="2DFB6B4B" w14:textId="77777777" w:rsidTr="00AD48A3">
        <w:trPr>
          <w:trHeight w:val="458"/>
          <w:jc w:val="center"/>
        </w:trPr>
        <w:tc>
          <w:tcPr>
            <w:tcW w:w="3955" w:type="dxa"/>
            <w:vAlign w:val="center"/>
          </w:tcPr>
          <w:p w14:paraId="60DF56D9" w14:textId="77777777" w:rsidR="00685D13" w:rsidRPr="00CE2150" w:rsidRDefault="00685D13" w:rsidP="00685D13">
            <w:pPr>
              <w:jc w:val="center"/>
              <w:rPr>
                <w:rFonts w:ascii="Calibri" w:hAnsi="Calibri"/>
              </w:rPr>
            </w:pPr>
            <w:r w:rsidRPr="00362E5C">
              <w:rPr>
                <w:rFonts w:asciiTheme="minorHAnsi" w:hAnsiTheme="minorHAnsi" w:cstheme="minorHAnsi"/>
                <w:b/>
              </w:rPr>
              <w:t>Tasks/Milestone</w:t>
            </w:r>
          </w:p>
        </w:tc>
        <w:tc>
          <w:tcPr>
            <w:tcW w:w="3330" w:type="dxa"/>
            <w:vAlign w:val="center"/>
          </w:tcPr>
          <w:p w14:paraId="7313AE93" w14:textId="77777777" w:rsidR="00685D13" w:rsidRPr="00CE2150" w:rsidRDefault="00685D13" w:rsidP="00685D13">
            <w:pPr>
              <w:shd w:val="clear" w:color="auto" w:fill="FFFFFF"/>
              <w:jc w:val="center"/>
              <w:rPr>
                <w:rFonts w:ascii="Calibri" w:hAnsi="Calibri"/>
                <w:b/>
              </w:rPr>
            </w:pPr>
            <w:r w:rsidRPr="00362E5C">
              <w:rPr>
                <w:rFonts w:ascii="Calibri" w:eastAsia="Arial Unicode MS" w:hAnsi="Calibri" w:cs="Calibri"/>
                <w:b/>
                <w:bCs/>
                <w:color w:val="auto"/>
                <w:lang w:val="en-AU"/>
              </w:rPr>
              <w:t>Deliverables/Outputs</w:t>
            </w:r>
          </w:p>
        </w:tc>
        <w:tc>
          <w:tcPr>
            <w:tcW w:w="1320" w:type="dxa"/>
            <w:vAlign w:val="center"/>
          </w:tcPr>
          <w:p w14:paraId="551D453F" w14:textId="77777777" w:rsidR="00685D13" w:rsidRPr="00CE2150" w:rsidRDefault="00685D13" w:rsidP="00685D13">
            <w:pPr>
              <w:shd w:val="clear" w:color="auto" w:fill="FFFFFF"/>
              <w:jc w:val="center"/>
              <w:rPr>
                <w:rFonts w:ascii="Calibri" w:hAnsi="Calibri"/>
                <w:b/>
              </w:rPr>
            </w:pPr>
            <w:r>
              <w:rPr>
                <w:rFonts w:asciiTheme="minorHAnsi" w:hAnsiTheme="minorHAnsi" w:cstheme="minorHAnsi"/>
                <w:b/>
              </w:rPr>
              <w:t>Number</w:t>
            </w:r>
            <w:r w:rsidRPr="008E6EEC">
              <w:rPr>
                <w:rFonts w:asciiTheme="minorHAnsi" w:hAnsiTheme="minorHAnsi" w:cstheme="minorHAnsi"/>
                <w:b/>
              </w:rPr>
              <w:t xml:space="preserve"> of days</w:t>
            </w:r>
          </w:p>
        </w:tc>
        <w:tc>
          <w:tcPr>
            <w:tcW w:w="1295" w:type="dxa"/>
            <w:vAlign w:val="center"/>
          </w:tcPr>
          <w:p w14:paraId="5EF667DD" w14:textId="77777777" w:rsidR="00685D13" w:rsidRPr="00CE2150" w:rsidRDefault="00685D13" w:rsidP="00685D13">
            <w:pPr>
              <w:shd w:val="clear" w:color="auto" w:fill="FFFFFF"/>
              <w:jc w:val="center"/>
              <w:rPr>
                <w:rFonts w:ascii="Calibri" w:hAnsi="Calibri"/>
                <w:b/>
              </w:rPr>
            </w:pPr>
            <w:r w:rsidRPr="008E6EEC">
              <w:rPr>
                <w:rFonts w:asciiTheme="minorHAnsi" w:hAnsiTheme="minorHAnsi" w:cstheme="minorHAnsi"/>
                <w:b/>
              </w:rPr>
              <w:t>Payment schedule</w:t>
            </w:r>
          </w:p>
        </w:tc>
      </w:tr>
      <w:tr w:rsidR="00685D13" w:rsidRPr="00224FCC" w14:paraId="2A74F384" w14:textId="77777777" w:rsidTr="00AD48A3">
        <w:trPr>
          <w:trHeight w:val="1340"/>
          <w:jc w:val="center"/>
        </w:trPr>
        <w:tc>
          <w:tcPr>
            <w:tcW w:w="3955" w:type="dxa"/>
            <w:shd w:val="clear" w:color="auto" w:fill="auto"/>
            <w:vAlign w:val="center"/>
          </w:tcPr>
          <w:p w14:paraId="0EF1390E" w14:textId="1785AFD1" w:rsidR="00CF2865" w:rsidRPr="00A4563C" w:rsidRDefault="00685D13" w:rsidP="00AD48A3">
            <w:pPr>
              <w:pStyle w:val="ListParagraph"/>
              <w:numPr>
                <w:ilvl w:val="0"/>
                <w:numId w:val="9"/>
              </w:numPr>
              <w:shd w:val="clear" w:color="auto" w:fill="FFFFFF"/>
              <w:spacing w:line="240" w:lineRule="auto"/>
              <w:textAlignment w:val="baseline"/>
              <w:rPr>
                <w:rFonts w:asciiTheme="minorHAnsi" w:hAnsiTheme="minorHAnsi" w:cstheme="minorHAnsi"/>
                <w:b/>
                <w:sz w:val="20"/>
                <w:szCs w:val="20"/>
                <w:lang w:val="en-US"/>
              </w:rPr>
            </w:pPr>
            <w:r w:rsidRPr="00A4563C">
              <w:rPr>
                <w:rFonts w:asciiTheme="minorHAnsi" w:eastAsia="Times New Roman" w:hAnsiTheme="minorHAnsi" w:cstheme="minorHAnsi"/>
                <w:b/>
                <w:color w:val="auto"/>
                <w:sz w:val="20"/>
                <w:szCs w:val="20"/>
                <w:lang w:val="en-US"/>
              </w:rPr>
              <w:t>Desk review, based on the existing relevant quantitative and qualitative data and information, as well as related key documents of the government and other key stakeholders</w:t>
            </w:r>
            <w:r w:rsidR="00662BA0" w:rsidRPr="00A4563C">
              <w:rPr>
                <w:rFonts w:asciiTheme="minorHAnsi" w:eastAsia="Times New Roman" w:hAnsiTheme="minorHAnsi" w:cstheme="minorHAnsi"/>
                <w:b/>
                <w:color w:val="auto"/>
                <w:sz w:val="20"/>
                <w:szCs w:val="20"/>
                <w:lang w:val="en-US"/>
              </w:rPr>
              <w:t xml:space="preserve">. </w:t>
            </w:r>
            <w:r w:rsidR="00662BA0" w:rsidRPr="00A4563C">
              <w:rPr>
                <w:rFonts w:asciiTheme="minorHAnsi" w:hAnsiTheme="minorHAnsi" w:cstheme="minorHAnsi"/>
                <w:b/>
                <w:sz w:val="20"/>
                <w:szCs w:val="20"/>
                <w:lang w:val="en-US"/>
              </w:rPr>
              <w:t xml:space="preserve">Consultation of national stakeholders and participation </w:t>
            </w:r>
            <w:r w:rsidR="00F1649B">
              <w:rPr>
                <w:rFonts w:asciiTheme="minorHAnsi" w:hAnsiTheme="minorHAnsi" w:cstheme="minorHAnsi"/>
                <w:b/>
                <w:sz w:val="20"/>
                <w:szCs w:val="20"/>
                <w:lang w:val="en-US"/>
              </w:rPr>
              <w:t>in</w:t>
            </w:r>
            <w:r w:rsidR="00662BA0" w:rsidRPr="00A4563C">
              <w:rPr>
                <w:rFonts w:asciiTheme="minorHAnsi" w:hAnsiTheme="minorHAnsi" w:cstheme="minorHAnsi"/>
                <w:b/>
                <w:sz w:val="20"/>
                <w:szCs w:val="20"/>
                <w:lang w:val="en-US"/>
              </w:rPr>
              <w:t xml:space="preserve"> relevant coordination meetings within D</w:t>
            </w:r>
            <w:r w:rsidR="00B74611">
              <w:rPr>
                <w:rFonts w:asciiTheme="minorHAnsi" w:hAnsiTheme="minorHAnsi" w:cstheme="minorHAnsi"/>
                <w:b/>
                <w:sz w:val="20"/>
                <w:szCs w:val="20"/>
                <w:lang w:val="en-US"/>
              </w:rPr>
              <w:t xml:space="preserve">evelopment </w:t>
            </w:r>
            <w:r w:rsidR="00662BA0" w:rsidRPr="00A4563C">
              <w:rPr>
                <w:rFonts w:asciiTheme="minorHAnsi" w:hAnsiTheme="minorHAnsi" w:cstheme="minorHAnsi"/>
                <w:b/>
                <w:sz w:val="20"/>
                <w:szCs w:val="20"/>
                <w:lang w:val="en-US"/>
              </w:rPr>
              <w:t>C</w:t>
            </w:r>
            <w:r w:rsidR="00B74611">
              <w:rPr>
                <w:rFonts w:asciiTheme="minorHAnsi" w:hAnsiTheme="minorHAnsi" w:cstheme="minorHAnsi"/>
                <w:b/>
                <w:sz w:val="20"/>
                <w:szCs w:val="20"/>
                <w:lang w:val="en-US"/>
              </w:rPr>
              <w:t xml:space="preserve">oordination </w:t>
            </w:r>
            <w:r w:rsidR="00662BA0" w:rsidRPr="00A4563C">
              <w:rPr>
                <w:rFonts w:asciiTheme="minorHAnsi" w:hAnsiTheme="minorHAnsi" w:cstheme="minorHAnsi"/>
                <w:b/>
                <w:sz w:val="20"/>
                <w:szCs w:val="20"/>
                <w:lang w:val="en-US"/>
              </w:rPr>
              <w:t>C</w:t>
            </w:r>
            <w:r w:rsidR="00B74611">
              <w:rPr>
                <w:rFonts w:asciiTheme="minorHAnsi" w:hAnsiTheme="minorHAnsi" w:cstheme="minorHAnsi"/>
                <w:b/>
                <w:sz w:val="20"/>
                <w:szCs w:val="20"/>
                <w:lang w:val="en-US"/>
              </w:rPr>
              <w:t>ouncil (develop coordination forum)</w:t>
            </w:r>
            <w:r w:rsidR="00662BA0" w:rsidRPr="00A4563C">
              <w:rPr>
                <w:rFonts w:asciiTheme="minorHAnsi" w:hAnsiTheme="minorHAnsi" w:cstheme="minorHAnsi"/>
                <w:b/>
                <w:sz w:val="20"/>
                <w:szCs w:val="20"/>
                <w:lang w:val="en-US"/>
              </w:rPr>
              <w:t xml:space="preserve"> to present/consult on progress of work</w:t>
            </w:r>
          </w:p>
          <w:p w14:paraId="79BE5492" w14:textId="77777777" w:rsidR="00CF2865" w:rsidRPr="00A4563C" w:rsidRDefault="00CF2865" w:rsidP="00CF2865">
            <w:pPr>
              <w:pStyle w:val="ListParagraph"/>
              <w:shd w:val="clear" w:color="auto" w:fill="FFFFFF"/>
              <w:spacing w:line="240" w:lineRule="auto"/>
              <w:ind w:left="360"/>
              <w:jc w:val="both"/>
              <w:textAlignment w:val="baseline"/>
              <w:rPr>
                <w:rFonts w:asciiTheme="minorHAnsi" w:hAnsiTheme="minorHAnsi" w:cstheme="minorHAnsi"/>
                <w:bCs/>
                <w:sz w:val="20"/>
                <w:szCs w:val="20"/>
                <w:lang w:val="en-US"/>
              </w:rPr>
            </w:pPr>
          </w:p>
          <w:p w14:paraId="3C655154" w14:textId="5726775F" w:rsidR="00685D13" w:rsidRPr="00A4563C" w:rsidRDefault="00685D13" w:rsidP="00DC20CD">
            <w:pPr>
              <w:pStyle w:val="ListParagraph"/>
              <w:numPr>
                <w:ilvl w:val="0"/>
                <w:numId w:val="9"/>
              </w:numPr>
              <w:shd w:val="clear" w:color="auto" w:fill="FFFFFF"/>
              <w:spacing w:line="240" w:lineRule="auto"/>
              <w:jc w:val="both"/>
              <w:textAlignment w:val="baseline"/>
              <w:rPr>
                <w:rFonts w:asciiTheme="minorHAnsi" w:hAnsiTheme="minorHAnsi" w:cstheme="minorHAnsi"/>
                <w:bCs/>
                <w:sz w:val="20"/>
                <w:szCs w:val="20"/>
                <w:lang w:val="en-US"/>
              </w:rPr>
            </w:pPr>
            <w:r w:rsidRPr="00A4563C">
              <w:rPr>
                <w:rFonts w:asciiTheme="minorHAnsi" w:hAnsiTheme="minorHAnsi" w:cstheme="minorHAnsi"/>
                <w:b/>
                <w:sz w:val="20"/>
                <w:szCs w:val="20"/>
              </w:rPr>
              <w:t>Produce inception report on how tasks will be carried out with clear timeline of each deliverable and adopted methodology</w:t>
            </w:r>
          </w:p>
        </w:tc>
        <w:tc>
          <w:tcPr>
            <w:tcW w:w="3330" w:type="dxa"/>
            <w:vAlign w:val="center"/>
          </w:tcPr>
          <w:p w14:paraId="6FDD4BFF" w14:textId="77777777" w:rsidR="00906CC8" w:rsidRPr="00A4563C" w:rsidRDefault="00906CC8" w:rsidP="00906CC8">
            <w:pPr>
              <w:spacing w:line="240" w:lineRule="auto"/>
              <w:rPr>
                <w:rFonts w:asciiTheme="minorHAnsi" w:hAnsiTheme="minorHAnsi" w:cstheme="minorHAnsi"/>
                <w:sz w:val="20"/>
                <w:szCs w:val="20"/>
              </w:rPr>
            </w:pPr>
          </w:p>
          <w:p w14:paraId="7C0255F3" w14:textId="1B979A28" w:rsidR="000D3A0F" w:rsidRPr="00AD48A3" w:rsidRDefault="00906CC8" w:rsidP="00AD48A3">
            <w:pPr>
              <w:shd w:val="clear" w:color="auto" w:fill="FFFFFF"/>
              <w:spacing w:after="270" w:line="240" w:lineRule="auto"/>
              <w:rPr>
                <w:rFonts w:asciiTheme="minorHAnsi" w:eastAsia="Times New Roman" w:hAnsiTheme="minorHAnsi" w:cstheme="minorHAnsi"/>
                <w:color w:val="333333"/>
                <w:sz w:val="20"/>
                <w:szCs w:val="20"/>
                <w:lang w:val="en-US"/>
              </w:rPr>
            </w:pPr>
            <w:r w:rsidRPr="00A4563C">
              <w:rPr>
                <w:rFonts w:asciiTheme="minorHAnsi" w:eastAsia="Times New Roman" w:hAnsiTheme="minorHAnsi" w:cstheme="minorHAnsi"/>
                <w:color w:val="333333"/>
                <w:sz w:val="20"/>
                <w:szCs w:val="20"/>
                <w:lang w:val="en-US"/>
              </w:rPr>
              <w:t>Key findings from the desk review</w:t>
            </w:r>
          </w:p>
          <w:p w14:paraId="544A7515" w14:textId="77777777" w:rsidR="000D3A0F" w:rsidRPr="00A4563C" w:rsidRDefault="000D3A0F" w:rsidP="00224FCC">
            <w:pPr>
              <w:spacing w:line="240" w:lineRule="auto"/>
              <w:rPr>
                <w:rFonts w:asciiTheme="minorHAnsi" w:hAnsiTheme="minorHAnsi" w:cstheme="minorHAnsi"/>
                <w:sz w:val="20"/>
                <w:szCs w:val="20"/>
              </w:rPr>
            </w:pPr>
          </w:p>
          <w:p w14:paraId="15EDCF0C" w14:textId="4D2B19DF" w:rsidR="00685D13" w:rsidRPr="00A4563C" w:rsidRDefault="00685D13" w:rsidP="00224FCC">
            <w:pPr>
              <w:spacing w:line="240" w:lineRule="auto"/>
              <w:rPr>
                <w:rFonts w:asciiTheme="minorHAnsi" w:hAnsiTheme="minorHAnsi" w:cstheme="minorHAnsi"/>
                <w:color w:val="auto"/>
                <w:sz w:val="20"/>
                <w:szCs w:val="20"/>
              </w:rPr>
            </w:pPr>
            <w:r w:rsidRPr="00A4563C">
              <w:rPr>
                <w:rFonts w:asciiTheme="minorHAnsi" w:hAnsiTheme="minorHAnsi" w:cstheme="minorHAnsi"/>
                <w:color w:val="auto"/>
                <w:sz w:val="20"/>
                <w:szCs w:val="20"/>
              </w:rPr>
              <w:t>Inception report covering outline, methodology</w:t>
            </w:r>
            <w:r w:rsidR="00662BA0" w:rsidRPr="00A4563C">
              <w:rPr>
                <w:rFonts w:asciiTheme="minorHAnsi" w:hAnsiTheme="minorHAnsi" w:cstheme="minorHAnsi"/>
                <w:color w:val="auto"/>
                <w:sz w:val="20"/>
                <w:szCs w:val="20"/>
              </w:rPr>
              <w:t xml:space="preserve">, resources required, workplan, timelines, </w:t>
            </w:r>
            <w:r w:rsidR="00662BA0" w:rsidRPr="00A4563C">
              <w:rPr>
                <w:rFonts w:asciiTheme="minorHAnsi" w:eastAsia="Times New Roman" w:hAnsiTheme="minorHAnsi" w:cstheme="minorHAnsi"/>
                <w:color w:val="auto"/>
                <w:sz w:val="20"/>
                <w:szCs w:val="20"/>
                <w:lang w:val="en-US"/>
              </w:rPr>
              <w:t xml:space="preserve">objectives, outcomes, activities, </w:t>
            </w:r>
            <w:r w:rsidR="00662BA0" w:rsidRPr="00A4563C">
              <w:rPr>
                <w:rFonts w:asciiTheme="minorHAnsi" w:hAnsiTheme="minorHAnsi" w:cstheme="minorHAnsi"/>
                <w:color w:val="auto"/>
                <w:sz w:val="20"/>
                <w:szCs w:val="20"/>
              </w:rPr>
              <w:t xml:space="preserve">key </w:t>
            </w:r>
            <w:proofErr w:type="gramStart"/>
            <w:r w:rsidR="00662BA0" w:rsidRPr="00A4563C">
              <w:rPr>
                <w:rFonts w:asciiTheme="minorHAnsi" w:hAnsiTheme="minorHAnsi" w:cstheme="minorHAnsi"/>
                <w:color w:val="auto"/>
                <w:sz w:val="20"/>
                <w:szCs w:val="20"/>
              </w:rPr>
              <w:t>indicators</w:t>
            </w:r>
            <w:proofErr w:type="gramEnd"/>
            <w:r w:rsidR="00662BA0" w:rsidRPr="00A4563C">
              <w:rPr>
                <w:rFonts w:asciiTheme="minorHAnsi" w:hAnsiTheme="minorHAnsi" w:cstheme="minorHAnsi"/>
                <w:color w:val="auto"/>
                <w:sz w:val="20"/>
                <w:szCs w:val="20"/>
              </w:rPr>
              <w:t xml:space="preserve"> </w:t>
            </w:r>
            <w:r w:rsidRPr="00A4563C">
              <w:rPr>
                <w:rFonts w:asciiTheme="minorHAnsi" w:hAnsiTheme="minorHAnsi" w:cstheme="minorHAnsi"/>
                <w:color w:val="auto"/>
                <w:sz w:val="20"/>
                <w:szCs w:val="20"/>
              </w:rPr>
              <w:t xml:space="preserve">and process to be followed for the </w:t>
            </w:r>
            <w:r w:rsidR="00662BA0" w:rsidRPr="00A4563C">
              <w:rPr>
                <w:rFonts w:asciiTheme="minorHAnsi" w:hAnsiTheme="minorHAnsi" w:cstheme="minorHAnsi"/>
                <w:color w:val="auto"/>
                <w:sz w:val="20"/>
                <w:szCs w:val="20"/>
              </w:rPr>
              <w:t xml:space="preserve">delivery of all parts of the assignment as outlined below. This should include the use of WASH-BAT specifically. </w:t>
            </w:r>
          </w:p>
          <w:p w14:paraId="2F43B78C" w14:textId="2BCF6D01" w:rsidR="00662BA0" w:rsidRPr="00A4563C" w:rsidRDefault="00662BA0" w:rsidP="00662BA0">
            <w:pPr>
              <w:rPr>
                <w:rFonts w:asciiTheme="minorHAnsi" w:hAnsiTheme="minorHAnsi" w:cstheme="minorHAnsi"/>
                <w:sz w:val="20"/>
                <w:szCs w:val="20"/>
              </w:rPr>
            </w:pPr>
          </w:p>
          <w:p w14:paraId="5F2CB66E" w14:textId="77777777" w:rsidR="00685D13" w:rsidRPr="00A4563C" w:rsidRDefault="00685D13" w:rsidP="00224FCC">
            <w:pPr>
              <w:shd w:val="clear" w:color="auto" w:fill="FFFFFF"/>
              <w:rPr>
                <w:rFonts w:asciiTheme="minorHAnsi" w:eastAsia="Arial Unicode MS" w:hAnsiTheme="minorHAnsi" w:cstheme="minorHAnsi"/>
                <w:b/>
                <w:bCs/>
                <w:color w:val="auto"/>
                <w:sz w:val="20"/>
                <w:szCs w:val="20"/>
                <w:lang w:val="en-AU"/>
              </w:rPr>
            </w:pPr>
          </w:p>
        </w:tc>
        <w:tc>
          <w:tcPr>
            <w:tcW w:w="1320" w:type="dxa"/>
            <w:vAlign w:val="center"/>
          </w:tcPr>
          <w:p w14:paraId="515F8735" w14:textId="5C228145" w:rsidR="00685D13" w:rsidRPr="007B2515" w:rsidRDefault="00685D13" w:rsidP="00DC20CD">
            <w:pPr>
              <w:pStyle w:val="ListParagraph"/>
              <w:numPr>
                <w:ilvl w:val="0"/>
                <w:numId w:val="10"/>
              </w:numPr>
              <w:shd w:val="clear" w:color="auto" w:fill="FFFFFF"/>
              <w:rPr>
                <w:rFonts w:asciiTheme="minorHAnsi" w:hAnsiTheme="minorHAnsi" w:cstheme="minorHAnsi"/>
                <w:bCs/>
                <w:sz w:val="20"/>
                <w:szCs w:val="20"/>
              </w:rPr>
            </w:pPr>
            <w:r w:rsidRPr="007B2515">
              <w:rPr>
                <w:rFonts w:asciiTheme="minorHAnsi" w:hAnsiTheme="minorHAnsi" w:cstheme="minorHAnsi"/>
                <w:bCs/>
                <w:sz w:val="20"/>
                <w:szCs w:val="20"/>
              </w:rPr>
              <w:t>days</w:t>
            </w:r>
          </w:p>
        </w:tc>
        <w:tc>
          <w:tcPr>
            <w:tcW w:w="1295" w:type="dxa"/>
            <w:vAlign w:val="center"/>
          </w:tcPr>
          <w:p w14:paraId="58D2CFA6" w14:textId="481BDF3F" w:rsidR="00685D13" w:rsidRPr="00A4563C" w:rsidRDefault="00A4563C" w:rsidP="00224FCC">
            <w:pPr>
              <w:shd w:val="clear" w:color="auto" w:fill="FFFFFF"/>
              <w:rPr>
                <w:rFonts w:asciiTheme="minorHAnsi" w:hAnsiTheme="minorHAnsi" w:cstheme="minorHAnsi"/>
                <w:b/>
                <w:sz w:val="20"/>
                <w:szCs w:val="20"/>
              </w:rPr>
            </w:pPr>
            <w:r w:rsidRPr="00A4563C">
              <w:rPr>
                <w:rFonts w:asciiTheme="minorHAnsi" w:hAnsiTheme="minorHAnsi" w:cstheme="minorHAnsi"/>
                <w:sz w:val="20"/>
                <w:szCs w:val="20"/>
              </w:rPr>
              <w:t>10% payment</w:t>
            </w:r>
          </w:p>
        </w:tc>
      </w:tr>
      <w:tr w:rsidR="00D02AA9" w:rsidRPr="00224FCC" w14:paraId="0E64F928" w14:textId="77777777" w:rsidTr="00AD48A3">
        <w:trPr>
          <w:trHeight w:val="1097"/>
          <w:jc w:val="center"/>
        </w:trPr>
        <w:tc>
          <w:tcPr>
            <w:tcW w:w="3955" w:type="dxa"/>
            <w:vMerge w:val="restart"/>
            <w:shd w:val="clear" w:color="auto" w:fill="auto"/>
          </w:tcPr>
          <w:p w14:paraId="20E18757" w14:textId="7EB69673" w:rsidR="00D02AA9" w:rsidRPr="00A4563C" w:rsidRDefault="00D02AA9" w:rsidP="00DC20CD">
            <w:pPr>
              <w:pStyle w:val="ListParagraph"/>
              <w:numPr>
                <w:ilvl w:val="0"/>
                <w:numId w:val="9"/>
              </w:numPr>
              <w:shd w:val="clear" w:color="auto" w:fill="FFFFFF"/>
              <w:spacing w:line="240" w:lineRule="auto"/>
              <w:textAlignment w:val="baseline"/>
              <w:rPr>
                <w:rFonts w:asciiTheme="minorHAnsi" w:hAnsiTheme="minorHAnsi" w:cstheme="minorHAnsi"/>
                <w:b/>
                <w:sz w:val="20"/>
                <w:szCs w:val="20"/>
              </w:rPr>
            </w:pPr>
            <w:r w:rsidRPr="00A4563C">
              <w:rPr>
                <w:rFonts w:asciiTheme="minorHAnsi" w:eastAsia="Times New Roman" w:hAnsiTheme="minorHAnsi" w:cstheme="minorHAnsi"/>
                <w:b/>
                <w:bCs/>
                <w:color w:val="auto"/>
                <w:sz w:val="20"/>
                <w:szCs w:val="20"/>
                <w:lang w:val="en-US"/>
              </w:rPr>
              <w:lastRenderedPageBreak/>
              <w:t xml:space="preserve">Review of existing WASH related policies, </w:t>
            </w:r>
            <w:proofErr w:type="gramStart"/>
            <w:r w:rsidRPr="00A4563C">
              <w:rPr>
                <w:rFonts w:asciiTheme="minorHAnsi" w:eastAsia="Times New Roman" w:hAnsiTheme="minorHAnsi" w:cstheme="minorHAnsi"/>
                <w:b/>
                <w:bCs/>
                <w:color w:val="auto"/>
                <w:sz w:val="20"/>
                <w:szCs w:val="20"/>
                <w:lang w:val="en-US"/>
              </w:rPr>
              <w:t>strategies</w:t>
            </w:r>
            <w:proofErr w:type="gramEnd"/>
            <w:r w:rsidRPr="00A4563C">
              <w:rPr>
                <w:rFonts w:asciiTheme="minorHAnsi" w:eastAsia="Times New Roman" w:hAnsiTheme="minorHAnsi" w:cstheme="minorHAnsi"/>
                <w:b/>
                <w:bCs/>
                <w:color w:val="auto"/>
                <w:sz w:val="20"/>
                <w:szCs w:val="20"/>
                <w:lang w:val="en-US"/>
              </w:rPr>
              <w:t xml:space="preserve"> and sector plans for its alignment with SDGs and human rights to water and sanitation, identifying gaps and key areas of improvement followed by recommendations. This will also include determining the status of WASH at national level and budget/expenditure analysis </w:t>
            </w:r>
          </w:p>
          <w:p w14:paraId="54FB4856" w14:textId="77777777" w:rsidR="00D02AA9" w:rsidRPr="00A4563C" w:rsidRDefault="00D02AA9" w:rsidP="00685D13">
            <w:pPr>
              <w:rPr>
                <w:rFonts w:asciiTheme="minorHAnsi" w:hAnsiTheme="minorHAnsi" w:cstheme="minorHAnsi"/>
                <w:b/>
                <w:sz w:val="20"/>
                <w:szCs w:val="20"/>
              </w:rPr>
            </w:pPr>
          </w:p>
          <w:p w14:paraId="3CD6B230" w14:textId="77777777" w:rsidR="00D02AA9" w:rsidRPr="00A4563C" w:rsidRDefault="00D02AA9" w:rsidP="00685D13">
            <w:pPr>
              <w:rPr>
                <w:rFonts w:asciiTheme="minorHAnsi" w:hAnsiTheme="minorHAnsi" w:cstheme="minorHAnsi"/>
                <w:b/>
                <w:sz w:val="20"/>
                <w:szCs w:val="20"/>
              </w:rPr>
            </w:pPr>
          </w:p>
          <w:p w14:paraId="4D606D82" w14:textId="4C073E16" w:rsidR="00D02AA9" w:rsidRPr="00A4563C" w:rsidRDefault="00D02AA9" w:rsidP="00685D13">
            <w:pPr>
              <w:rPr>
                <w:rFonts w:asciiTheme="minorHAnsi" w:hAnsiTheme="minorHAnsi" w:cstheme="minorHAnsi"/>
                <w:b/>
                <w:sz w:val="20"/>
                <w:szCs w:val="20"/>
              </w:rPr>
            </w:pPr>
          </w:p>
        </w:tc>
        <w:tc>
          <w:tcPr>
            <w:tcW w:w="3330" w:type="dxa"/>
          </w:tcPr>
          <w:p w14:paraId="0755FC28" w14:textId="4F3691B4" w:rsidR="00D02AA9" w:rsidRPr="00A4563C" w:rsidRDefault="00D02AA9" w:rsidP="00DC20CD">
            <w:pPr>
              <w:numPr>
                <w:ilvl w:val="1"/>
                <w:numId w:val="4"/>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Consultative meetings with UNICEF and relevant government lead department</w:t>
            </w:r>
            <w:r w:rsidR="000A6266">
              <w:rPr>
                <w:rFonts w:asciiTheme="minorHAnsi" w:hAnsiTheme="minorHAnsi" w:cstheme="minorHAnsi"/>
                <w:sz w:val="20"/>
                <w:szCs w:val="20"/>
              </w:rPr>
              <w:t>s</w:t>
            </w:r>
            <w:r w:rsidRPr="00A4563C">
              <w:rPr>
                <w:rFonts w:asciiTheme="minorHAnsi" w:hAnsiTheme="minorHAnsi" w:cstheme="minorHAnsi"/>
                <w:sz w:val="20"/>
                <w:szCs w:val="20"/>
              </w:rPr>
              <w:t xml:space="preserve"> at national level (Dushanbe) to develop a clear understanding of the assignment and tasks with sequence</w:t>
            </w:r>
          </w:p>
          <w:p w14:paraId="7873C8AA" w14:textId="23227698" w:rsidR="00D02AA9" w:rsidRPr="00E22C2A" w:rsidRDefault="00D02AA9" w:rsidP="00DC20CD">
            <w:pPr>
              <w:numPr>
                <w:ilvl w:val="1"/>
                <w:numId w:val="4"/>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Report covering outline, methodology and process to be followed for the development</w:t>
            </w:r>
          </w:p>
        </w:tc>
        <w:tc>
          <w:tcPr>
            <w:tcW w:w="1320" w:type="dxa"/>
          </w:tcPr>
          <w:p w14:paraId="0CE6100E" w14:textId="628C5EEA" w:rsidR="00D02AA9" w:rsidRPr="00A4563C" w:rsidRDefault="00D02AA9" w:rsidP="00224FCC">
            <w:pPr>
              <w:shd w:val="clear" w:color="auto" w:fill="FFFFFF"/>
              <w:jc w:val="center"/>
              <w:rPr>
                <w:rFonts w:asciiTheme="minorHAnsi" w:hAnsiTheme="minorHAnsi" w:cstheme="minorHAnsi"/>
                <w:b/>
                <w:caps/>
                <w:sz w:val="20"/>
                <w:szCs w:val="20"/>
                <w:highlight w:val="yellow"/>
              </w:rPr>
            </w:pPr>
            <w:r>
              <w:rPr>
                <w:rFonts w:asciiTheme="minorHAnsi" w:hAnsiTheme="minorHAnsi" w:cstheme="minorHAnsi"/>
                <w:sz w:val="20"/>
                <w:szCs w:val="20"/>
              </w:rPr>
              <w:t>3</w:t>
            </w:r>
            <w:r w:rsidRPr="00A4563C">
              <w:rPr>
                <w:rFonts w:asciiTheme="minorHAnsi" w:hAnsiTheme="minorHAnsi" w:cstheme="minorHAnsi"/>
                <w:sz w:val="20"/>
                <w:szCs w:val="20"/>
              </w:rPr>
              <w:t xml:space="preserve"> days</w:t>
            </w:r>
          </w:p>
        </w:tc>
        <w:tc>
          <w:tcPr>
            <w:tcW w:w="1295" w:type="dxa"/>
            <w:vMerge w:val="restart"/>
            <w:shd w:val="clear" w:color="auto" w:fill="auto"/>
          </w:tcPr>
          <w:p w14:paraId="7102AAF2" w14:textId="3809CC29" w:rsidR="00D02AA9" w:rsidRPr="00A4563C" w:rsidRDefault="00D02AA9" w:rsidP="00D02AA9">
            <w:pPr>
              <w:shd w:val="clear" w:color="auto" w:fill="FFFFFF"/>
              <w:rPr>
                <w:rFonts w:asciiTheme="minorHAnsi" w:hAnsiTheme="minorHAnsi" w:cstheme="minorHAnsi"/>
                <w:sz w:val="20"/>
                <w:szCs w:val="20"/>
                <w:highlight w:val="yellow"/>
              </w:rPr>
            </w:pPr>
            <w:r>
              <w:rPr>
                <w:rFonts w:asciiTheme="minorHAnsi" w:hAnsiTheme="minorHAnsi" w:cstheme="minorHAnsi"/>
                <w:sz w:val="20"/>
                <w:szCs w:val="20"/>
              </w:rPr>
              <w:t xml:space="preserve">40% </w:t>
            </w:r>
            <w:r w:rsidRPr="00A4563C">
              <w:rPr>
                <w:rFonts w:asciiTheme="minorHAnsi" w:hAnsiTheme="minorHAnsi" w:cstheme="minorHAnsi"/>
                <w:sz w:val="20"/>
                <w:szCs w:val="20"/>
              </w:rPr>
              <w:t>payment</w:t>
            </w:r>
          </w:p>
        </w:tc>
      </w:tr>
      <w:tr w:rsidR="00D02AA9" w:rsidRPr="00224FCC" w14:paraId="2205AC45" w14:textId="77777777" w:rsidTr="00AD48A3">
        <w:trPr>
          <w:trHeight w:val="602"/>
          <w:jc w:val="center"/>
        </w:trPr>
        <w:tc>
          <w:tcPr>
            <w:tcW w:w="3955" w:type="dxa"/>
            <w:vMerge/>
            <w:shd w:val="clear" w:color="auto" w:fill="auto"/>
          </w:tcPr>
          <w:p w14:paraId="52B73518" w14:textId="77777777" w:rsidR="00D02AA9" w:rsidRPr="00A4563C" w:rsidRDefault="00D02AA9" w:rsidP="00685D13">
            <w:pPr>
              <w:jc w:val="center"/>
              <w:rPr>
                <w:rFonts w:asciiTheme="minorHAnsi" w:hAnsiTheme="minorHAnsi" w:cstheme="minorHAnsi"/>
                <w:b/>
                <w:sz w:val="20"/>
                <w:szCs w:val="20"/>
              </w:rPr>
            </w:pPr>
          </w:p>
        </w:tc>
        <w:tc>
          <w:tcPr>
            <w:tcW w:w="3330" w:type="dxa"/>
          </w:tcPr>
          <w:p w14:paraId="0057EC38" w14:textId="07C2D3AF" w:rsidR="00D02AA9" w:rsidRPr="00A4563C" w:rsidRDefault="00D02AA9" w:rsidP="00DC20CD">
            <w:pPr>
              <w:pStyle w:val="ListParagraph"/>
              <w:numPr>
                <w:ilvl w:val="0"/>
                <w:numId w:val="7"/>
              </w:numPr>
              <w:spacing w:line="240" w:lineRule="auto"/>
              <w:jc w:val="both"/>
              <w:rPr>
                <w:rFonts w:asciiTheme="minorHAnsi" w:hAnsiTheme="minorHAnsi" w:cstheme="minorHAnsi"/>
                <w:color w:val="auto"/>
                <w:sz w:val="20"/>
                <w:szCs w:val="20"/>
              </w:rPr>
            </w:pPr>
            <w:r w:rsidRPr="00A4563C">
              <w:rPr>
                <w:rFonts w:asciiTheme="minorHAnsi" w:hAnsiTheme="minorHAnsi" w:cstheme="minorHAnsi"/>
                <w:color w:val="auto"/>
                <w:sz w:val="20"/>
                <w:szCs w:val="20"/>
              </w:rPr>
              <w:t>Review of an existing WASH related policy/strategy, facilitation of consultation with civil society, stakeholders, target groups, government departments and public representatives and identifying key recommendations</w:t>
            </w:r>
          </w:p>
          <w:p w14:paraId="530CA024" w14:textId="77777777" w:rsidR="00D02AA9" w:rsidRPr="00A4563C" w:rsidRDefault="00D02AA9" w:rsidP="00DC20CD">
            <w:pPr>
              <w:numPr>
                <w:ilvl w:val="0"/>
                <w:numId w:val="7"/>
              </w:numPr>
              <w:spacing w:line="240" w:lineRule="auto"/>
              <w:jc w:val="both"/>
              <w:rPr>
                <w:rFonts w:asciiTheme="minorHAnsi" w:hAnsiTheme="minorHAnsi" w:cstheme="minorHAnsi"/>
                <w:color w:val="auto"/>
                <w:sz w:val="20"/>
                <w:szCs w:val="20"/>
              </w:rPr>
            </w:pPr>
            <w:r w:rsidRPr="00A4563C">
              <w:rPr>
                <w:rFonts w:asciiTheme="minorHAnsi" w:hAnsiTheme="minorHAnsi" w:cstheme="minorHAnsi"/>
                <w:color w:val="auto"/>
                <w:sz w:val="20"/>
                <w:szCs w:val="20"/>
              </w:rPr>
              <w:t>WASH sector analysis and resource mapping</w:t>
            </w:r>
          </w:p>
          <w:p w14:paraId="266855ED" w14:textId="6EDE476F" w:rsidR="00D02AA9" w:rsidRPr="00A4563C" w:rsidRDefault="00D02AA9" w:rsidP="00DC20CD">
            <w:pPr>
              <w:numPr>
                <w:ilvl w:val="0"/>
                <w:numId w:val="7"/>
              </w:numPr>
              <w:spacing w:line="240" w:lineRule="auto"/>
              <w:jc w:val="both"/>
              <w:rPr>
                <w:rFonts w:asciiTheme="minorHAnsi" w:hAnsiTheme="minorHAnsi" w:cstheme="minorHAnsi"/>
                <w:color w:val="auto"/>
                <w:sz w:val="20"/>
                <w:szCs w:val="20"/>
              </w:rPr>
            </w:pPr>
            <w:r w:rsidRPr="00A4563C">
              <w:rPr>
                <w:rFonts w:asciiTheme="minorHAnsi" w:hAnsiTheme="minorHAnsi" w:cstheme="minorHAnsi"/>
                <w:color w:val="auto"/>
                <w:sz w:val="20"/>
                <w:szCs w:val="20"/>
              </w:rPr>
              <w:t xml:space="preserve">Developing and sharing of </w:t>
            </w:r>
            <w:r>
              <w:rPr>
                <w:rFonts w:asciiTheme="minorHAnsi" w:hAnsiTheme="minorHAnsi" w:cstheme="minorHAnsi"/>
                <w:color w:val="auto"/>
                <w:sz w:val="20"/>
                <w:szCs w:val="20"/>
              </w:rPr>
              <w:t xml:space="preserve">preliminary sector analysis (Status) </w:t>
            </w:r>
            <w:r w:rsidRPr="00A4563C">
              <w:rPr>
                <w:rFonts w:asciiTheme="minorHAnsi" w:hAnsiTheme="minorHAnsi" w:cstheme="minorHAnsi"/>
                <w:color w:val="auto"/>
                <w:sz w:val="20"/>
                <w:szCs w:val="20"/>
              </w:rPr>
              <w:t>report based on review of policy frameworks, available data, resources allocation, operational environment including comprehensive stakeholder’s analysis, equity in resource distribution and access to services</w:t>
            </w:r>
          </w:p>
          <w:p w14:paraId="0BB53E91" w14:textId="6AE39CCC" w:rsidR="00D02AA9" w:rsidRPr="00A4563C" w:rsidRDefault="00D02AA9" w:rsidP="00DC20CD">
            <w:pPr>
              <w:numPr>
                <w:ilvl w:val="0"/>
                <w:numId w:val="7"/>
              </w:numPr>
              <w:spacing w:line="240" w:lineRule="auto"/>
              <w:jc w:val="both"/>
              <w:rPr>
                <w:rFonts w:asciiTheme="minorHAnsi" w:hAnsiTheme="minorHAnsi" w:cstheme="minorHAnsi"/>
                <w:color w:val="auto"/>
                <w:sz w:val="20"/>
                <w:szCs w:val="20"/>
              </w:rPr>
            </w:pPr>
            <w:r w:rsidRPr="00A4563C">
              <w:rPr>
                <w:rFonts w:asciiTheme="minorHAnsi" w:hAnsiTheme="minorHAnsi" w:cstheme="minorHAnsi"/>
                <w:color w:val="auto"/>
                <w:sz w:val="20"/>
                <w:szCs w:val="20"/>
              </w:rPr>
              <w:t xml:space="preserve">Consultations with the sector partners on the findings of the </w:t>
            </w:r>
            <w:r>
              <w:rPr>
                <w:rFonts w:asciiTheme="minorHAnsi" w:hAnsiTheme="minorHAnsi" w:cstheme="minorHAnsi"/>
                <w:color w:val="auto"/>
                <w:sz w:val="20"/>
                <w:szCs w:val="20"/>
              </w:rPr>
              <w:t xml:space="preserve">resource mapping </w:t>
            </w:r>
            <w:r w:rsidRPr="00A4563C">
              <w:rPr>
                <w:rFonts w:asciiTheme="minorHAnsi" w:hAnsiTheme="minorHAnsi" w:cstheme="minorHAnsi"/>
                <w:color w:val="auto"/>
                <w:sz w:val="20"/>
                <w:szCs w:val="20"/>
              </w:rPr>
              <w:t xml:space="preserve">sector status report   </w:t>
            </w:r>
          </w:p>
          <w:p w14:paraId="5D21DDD4" w14:textId="3903395E" w:rsidR="00D02AA9" w:rsidRPr="00A4563C" w:rsidRDefault="00D02AA9" w:rsidP="00DC20CD">
            <w:pPr>
              <w:numPr>
                <w:ilvl w:val="0"/>
                <w:numId w:val="7"/>
              </w:numPr>
              <w:spacing w:line="240" w:lineRule="auto"/>
              <w:jc w:val="both"/>
              <w:rPr>
                <w:rFonts w:asciiTheme="minorHAnsi" w:hAnsiTheme="minorHAnsi" w:cstheme="minorHAnsi"/>
                <w:color w:val="auto"/>
                <w:sz w:val="20"/>
                <w:szCs w:val="20"/>
              </w:rPr>
            </w:pPr>
            <w:r w:rsidRPr="00A4563C">
              <w:rPr>
                <w:rFonts w:asciiTheme="minorHAnsi" w:hAnsiTheme="minorHAnsi" w:cstheme="minorHAnsi"/>
                <w:color w:val="auto"/>
                <w:sz w:val="20"/>
                <w:szCs w:val="20"/>
              </w:rPr>
              <w:t xml:space="preserve">Finalization of the </w:t>
            </w:r>
            <w:r>
              <w:rPr>
                <w:rFonts w:asciiTheme="minorHAnsi" w:hAnsiTheme="minorHAnsi" w:cstheme="minorHAnsi"/>
                <w:color w:val="auto"/>
                <w:sz w:val="20"/>
                <w:szCs w:val="20"/>
              </w:rPr>
              <w:t>sector analysis and resource mapping</w:t>
            </w:r>
            <w:r w:rsidRPr="00A4563C">
              <w:rPr>
                <w:rFonts w:asciiTheme="minorHAnsi" w:hAnsiTheme="minorHAnsi" w:cstheme="minorHAnsi"/>
                <w:color w:val="auto"/>
                <w:sz w:val="20"/>
                <w:szCs w:val="20"/>
              </w:rPr>
              <w:t xml:space="preserve"> report based on the comments and feedback from sector partners</w:t>
            </w:r>
          </w:p>
          <w:p w14:paraId="1FA26AE4" w14:textId="666EEB7C" w:rsidR="00D02AA9" w:rsidRPr="00A4563C" w:rsidRDefault="00D02AA9" w:rsidP="00DC20CD">
            <w:pPr>
              <w:numPr>
                <w:ilvl w:val="0"/>
                <w:numId w:val="7"/>
              </w:numPr>
              <w:spacing w:line="240" w:lineRule="auto"/>
              <w:jc w:val="both"/>
              <w:rPr>
                <w:rFonts w:asciiTheme="minorHAnsi" w:hAnsiTheme="minorHAnsi" w:cstheme="minorHAnsi"/>
                <w:color w:val="auto"/>
                <w:sz w:val="20"/>
                <w:szCs w:val="20"/>
              </w:rPr>
            </w:pPr>
            <w:r w:rsidRPr="00A4563C">
              <w:rPr>
                <w:rFonts w:asciiTheme="minorHAnsi" w:hAnsiTheme="minorHAnsi" w:cstheme="minorHAnsi"/>
                <w:color w:val="auto"/>
                <w:sz w:val="20"/>
                <w:szCs w:val="20"/>
              </w:rPr>
              <w:t>Submi</w:t>
            </w:r>
            <w:r>
              <w:rPr>
                <w:rFonts w:asciiTheme="minorHAnsi" w:hAnsiTheme="minorHAnsi" w:cstheme="minorHAnsi"/>
                <w:color w:val="auto"/>
                <w:sz w:val="20"/>
                <w:szCs w:val="20"/>
              </w:rPr>
              <w:t>ssion</w:t>
            </w:r>
            <w:r w:rsidRPr="00A4563C">
              <w:rPr>
                <w:rFonts w:asciiTheme="minorHAnsi" w:hAnsiTheme="minorHAnsi" w:cstheme="minorHAnsi"/>
                <w:color w:val="auto"/>
                <w:sz w:val="20"/>
                <w:szCs w:val="20"/>
              </w:rPr>
              <w:t xml:space="preserve"> of the finalized sector status report to relevant </w:t>
            </w:r>
            <w:r w:rsidR="001D7BD4">
              <w:rPr>
                <w:rFonts w:asciiTheme="minorHAnsi" w:hAnsiTheme="minorHAnsi" w:cstheme="minorHAnsi"/>
                <w:color w:val="auto"/>
                <w:sz w:val="20"/>
                <w:szCs w:val="20"/>
              </w:rPr>
              <w:t>n</w:t>
            </w:r>
            <w:r w:rsidRPr="00A4563C">
              <w:rPr>
                <w:rFonts w:asciiTheme="minorHAnsi" w:hAnsiTheme="minorHAnsi" w:cstheme="minorHAnsi"/>
                <w:color w:val="auto"/>
                <w:sz w:val="20"/>
                <w:szCs w:val="20"/>
              </w:rPr>
              <w:t xml:space="preserve">ational ministries </w:t>
            </w:r>
            <w:r w:rsidR="001D7BD4">
              <w:rPr>
                <w:rFonts w:asciiTheme="minorHAnsi" w:hAnsiTheme="minorHAnsi" w:cstheme="minorHAnsi"/>
                <w:color w:val="auto"/>
                <w:sz w:val="20"/>
                <w:szCs w:val="20"/>
              </w:rPr>
              <w:t>and departments</w:t>
            </w:r>
          </w:p>
        </w:tc>
        <w:tc>
          <w:tcPr>
            <w:tcW w:w="1320" w:type="dxa"/>
          </w:tcPr>
          <w:p w14:paraId="34EB74C3" w14:textId="16455EAE" w:rsidR="00D02AA9" w:rsidRPr="00166779" w:rsidRDefault="00D02AA9" w:rsidP="00166779">
            <w:pPr>
              <w:pStyle w:val="ListParagraph"/>
              <w:numPr>
                <w:ilvl w:val="0"/>
                <w:numId w:val="12"/>
              </w:numPr>
              <w:shd w:val="clear" w:color="auto" w:fill="FFFFFF"/>
              <w:rPr>
                <w:rFonts w:asciiTheme="minorHAnsi" w:hAnsiTheme="minorHAnsi" w:cstheme="minorHAnsi"/>
                <w:sz w:val="20"/>
                <w:szCs w:val="20"/>
              </w:rPr>
            </w:pPr>
            <w:r w:rsidRPr="00166779">
              <w:rPr>
                <w:rFonts w:asciiTheme="minorHAnsi" w:hAnsiTheme="minorHAnsi" w:cstheme="minorHAnsi"/>
                <w:sz w:val="20"/>
                <w:szCs w:val="20"/>
              </w:rPr>
              <w:t>days</w:t>
            </w:r>
          </w:p>
        </w:tc>
        <w:tc>
          <w:tcPr>
            <w:tcW w:w="1295" w:type="dxa"/>
            <w:vMerge/>
            <w:shd w:val="clear" w:color="auto" w:fill="auto"/>
          </w:tcPr>
          <w:p w14:paraId="47EB1EB4" w14:textId="4BE1FF3E" w:rsidR="00D02AA9" w:rsidRPr="00A4563C" w:rsidRDefault="00D02AA9" w:rsidP="00D02AA9">
            <w:pPr>
              <w:shd w:val="clear" w:color="auto" w:fill="FFFFFF"/>
              <w:rPr>
                <w:rFonts w:asciiTheme="minorHAnsi" w:hAnsiTheme="minorHAnsi" w:cstheme="minorHAnsi"/>
                <w:b/>
                <w:caps/>
                <w:sz w:val="20"/>
                <w:szCs w:val="20"/>
                <w:highlight w:val="yellow"/>
              </w:rPr>
            </w:pPr>
          </w:p>
        </w:tc>
      </w:tr>
      <w:tr w:rsidR="00D02AA9" w:rsidRPr="00224FCC" w14:paraId="58B4FCF0" w14:textId="77777777" w:rsidTr="00AD48A3">
        <w:trPr>
          <w:trHeight w:val="1385"/>
          <w:jc w:val="center"/>
        </w:trPr>
        <w:tc>
          <w:tcPr>
            <w:tcW w:w="3955" w:type="dxa"/>
            <w:vMerge/>
            <w:shd w:val="clear" w:color="auto" w:fill="auto"/>
          </w:tcPr>
          <w:p w14:paraId="4DC7A43E" w14:textId="77777777" w:rsidR="00D02AA9" w:rsidRPr="00A4563C" w:rsidRDefault="00D02AA9" w:rsidP="00662BA0">
            <w:pPr>
              <w:jc w:val="center"/>
              <w:rPr>
                <w:rFonts w:asciiTheme="minorHAnsi" w:hAnsiTheme="minorHAnsi" w:cstheme="minorHAnsi"/>
                <w:b/>
                <w:sz w:val="20"/>
                <w:szCs w:val="20"/>
              </w:rPr>
            </w:pPr>
          </w:p>
        </w:tc>
        <w:tc>
          <w:tcPr>
            <w:tcW w:w="3330" w:type="dxa"/>
          </w:tcPr>
          <w:p w14:paraId="6087328B" w14:textId="26687F97" w:rsidR="00D02AA9" w:rsidRPr="00E22C2A" w:rsidRDefault="00D02AA9" w:rsidP="00166779">
            <w:pPr>
              <w:pStyle w:val="ListParagraph"/>
              <w:numPr>
                <w:ilvl w:val="0"/>
                <w:numId w:val="11"/>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 xml:space="preserve">Conducting budget analysis at </w:t>
            </w:r>
            <w:r w:rsidR="00701D34">
              <w:rPr>
                <w:rFonts w:asciiTheme="minorHAnsi" w:hAnsiTheme="minorHAnsi" w:cstheme="minorHAnsi"/>
                <w:sz w:val="20"/>
                <w:szCs w:val="20"/>
              </w:rPr>
              <w:t>National</w:t>
            </w:r>
            <w:r w:rsidRPr="00A4563C">
              <w:rPr>
                <w:rFonts w:asciiTheme="minorHAnsi" w:hAnsiTheme="minorHAnsi" w:cstheme="minorHAnsi"/>
                <w:sz w:val="20"/>
                <w:szCs w:val="20"/>
              </w:rPr>
              <w:t xml:space="preserve"> level from</w:t>
            </w:r>
            <w:r w:rsidR="00F1649B">
              <w:rPr>
                <w:rFonts w:asciiTheme="minorHAnsi" w:hAnsiTheme="minorHAnsi" w:cstheme="minorHAnsi"/>
                <w:sz w:val="20"/>
                <w:szCs w:val="20"/>
              </w:rPr>
              <w:t xml:space="preserve"> the perspective of</w:t>
            </w:r>
            <w:r w:rsidRPr="00A4563C">
              <w:rPr>
                <w:rFonts w:asciiTheme="minorHAnsi" w:hAnsiTheme="minorHAnsi" w:cstheme="minorHAnsi"/>
                <w:sz w:val="20"/>
                <w:szCs w:val="20"/>
              </w:rPr>
              <w:t xml:space="preserve"> equity and universal access </w:t>
            </w:r>
            <w:r w:rsidR="00F1649B">
              <w:rPr>
                <w:rFonts w:asciiTheme="minorHAnsi" w:hAnsiTheme="minorHAnsi" w:cstheme="minorHAnsi"/>
                <w:sz w:val="20"/>
                <w:szCs w:val="20"/>
              </w:rPr>
              <w:t>to</w:t>
            </w:r>
            <w:r w:rsidRPr="00E22C2A">
              <w:rPr>
                <w:rFonts w:asciiTheme="minorHAnsi" w:hAnsiTheme="minorHAnsi" w:cstheme="minorHAnsi"/>
                <w:sz w:val="20"/>
                <w:szCs w:val="20"/>
              </w:rPr>
              <w:t xml:space="preserve"> safely managed WASH services including WASH in institutions</w:t>
            </w:r>
            <w:r w:rsidR="00F1649B">
              <w:rPr>
                <w:rFonts w:asciiTheme="minorHAnsi" w:hAnsiTheme="minorHAnsi" w:cstheme="minorHAnsi"/>
                <w:sz w:val="20"/>
                <w:szCs w:val="20"/>
              </w:rPr>
              <w:t>. This budget analysis should represent WASH sector overall but also specifically on WASH in HCFs and Schools.</w:t>
            </w:r>
          </w:p>
          <w:p w14:paraId="4E0A7813" w14:textId="77777777" w:rsidR="00D02AA9" w:rsidRPr="00A4563C" w:rsidRDefault="00D02AA9" w:rsidP="00166779">
            <w:pPr>
              <w:pStyle w:val="ListParagraph"/>
              <w:numPr>
                <w:ilvl w:val="0"/>
                <w:numId w:val="11"/>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Documenting budget analysis report</w:t>
            </w:r>
          </w:p>
          <w:p w14:paraId="6885B99B" w14:textId="77777777" w:rsidR="00D02AA9" w:rsidRPr="00A4563C" w:rsidRDefault="00D02AA9" w:rsidP="00166779">
            <w:pPr>
              <w:pStyle w:val="ListParagraph"/>
              <w:numPr>
                <w:ilvl w:val="0"/>
                <w:numId w:val="11"/>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Presentation of budget analysis report</w:t>
            </w:r>
          </w:p>
          <w:p w14:paraId="11C3286C" w14:textId="46C24C32" w:rsidR="00D02AA9" w:rsidRPr="00A4563C" w:rsidRDefault="00D02AA9" w:rsidP="00166779">
            <w:pPr>
              <w:pStyle w:val="ListParagraph"/>
              <w:numPr>
                <w:ilvl w:val="0"/>
                <w:numId w:val="11"/>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lastRenderedPageBreak/>
              <w:t xml:space="preserve">Conducting expenditure analysis at </w:t>
            </w:r>
            <w:r w:rsidR="00701D34">
              <w:rPr>
                <w:rFonts w:asciiTheme="minorHAnsi" w:hAnsiTheme="minorHAnsi" w:cstheme="minorHAnsi"/>
                <w:sz w:val="20"/>
                <w:szCs w:val="20"/>
              </w:rPr>
              <w:t>National</w:t>
            </w:r>
            <w:r w:rsidRPr="00A4563C">
              <w:rPr>
                <w:rFonts w:asciiTheme="minorHAnsi" w:hAnsiTheme="minorHAnsi" w:cstheme="minorHAnsi"/>
                <w:sz w:val="20"/>
                <w:szCs w:val="20"/>
              </w:rPr>
              <w:t xml:space="preserve"> level from </w:t>
            </w:r>
            <w:r w:rsidR="00F1649B">
              <w:rPr>
                <w:rFonts w:asciiTheme="minorHAnsi" w:hAnsiTheme="minorHAnsi" w:cstheme="minorHAnsi"/>
                <w:sz w:val="20"/>
                <w:szCs w:val="20"/>
              </w:rPr>
              <w:t xml:space="preserve">the perspective of </w:t>
            </w:r>
            <w:r w:rsidRPr="00A4563C">
              <w:rPr>
                <w:rFonts w:asciiTheme="minorHAnsi" w:hAnsiTheme="minorHAnsi" w:cstheme="minorHAnsi"/>
                <w:sz w:val="20"/>
                <w:szCs w:val="20"/>
              </w:rPr>
              <w:t xml:space="preserve">equity and universal access </w:t>
            </w:r>
            <w:r w:rsidR="00F1649B">
              <w:rPr>
                <w:rFonts w:asciiTheme="minorHAnsi" w:hAnsiTheme="minorHAnsi" w:cstheme="minorHAnsi"/>
                <w:sz w:val="20"/>
                <w:szCs w:val="20"/>
              </w:rPr>
              <w:t>to</w:t>
            </w:r>
            <w:r w:rsidRPr="00A4563C">
              <w:rPr>
                <w:rFonts w:asciiTheme="minorHAnsi" w:hAnsiTheme="minorHAnsi" w:cstheme="minorHAnsi"/>
                <w:sz w:val="20"/>
                <w:szCs w:val="20"/>
              </w:rPr>
              <w:t xml:space="preserve"> safely managed WASH services </w:t>
            </w:r>
          </w:p>
          <w:p w14:paraId="3A0AC5E2" w14:textId="77777777" w:rsidR="00D02AA9" w:rsidRPr="00A4563C" w:rsidRDefault="00D02AA9" w:rsidP="00166779">
            <w:pPr>
              <w:pStyle w:val="ListParagraph"/>
              <w:numPr>
                <w:ilvl w:val="0"/>
                <w:numId w:val="11"/>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Documenting budget and expenditure analysis report</w:t>
            </w:r>
          </w:p>
          <w:p w14:paraId="7EF4C9F8" w14:textId="2C50FD1B" w:rsidR="00D02AA9" w:rsidRPr="00A4563C" w:rsidRDefault="00D02AA9" w:rsidP="00166779">
            <w:pPr>
              <w:pStyle w:val="ListParagraph"/>
              <w:numPr>
                <w:ilvl w:val="0"/>
                <w:numId w:val="11"/>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Presentation of expenditure analysis report in comparison to budget allocation</w:t>
            </w:r>
          </w:p>
        </w:tc>
        <w:tc>
          <w:tcPr>
            <w:tcW w:w="1320" w:type="dxa"/>
          </w:tcPr>
          <w:p w14:paraId="0FF51B12" w14:textId="576A396E" w:rsidR="00D02AA9" w:rsidRPr="00A4563C" w:rsidRDefault="00D02AA9" w:rsidP="00662BA0">
            <w:pPr>
              <w:shd w:val="clear" w:color="auto" w:fill="FFFFFF"/>
              <w:jc w:val="center"/>
              <w:rPr>
                <w:rFonts w:asciiTheme="minorHAnsi" w:hAnsiTheme="minorHAnsi" w:cstheme="minorHAnsi"/>
                <w:sz w:val="20"/>
                <w:szCs w:val="20"/>
              </w:rPr>
            </w:pPr>
            <w:r>
              <w:rPr>
                <w:rFonts w:asciiTheme="minorHAnsi" w:hAnsiTheme="minorHAnsi" w:cstheme="minorHAnsi"/>
                <w:sz w:val="20"/>
                <w:szCs w:val="20"/>
              </w:rPr>
              <w:lastRenderedPageBreak/>
              <w:t>1</w:t>
            </w:r>
            <w:r w:rsidR="00166779">
              <w:rPr>
                <w:rFonts w:asciiTheme="minorHAnsi" w:hAnsiTheme="minorHAnsi" w:cstheme="minorHAnsi"/>
                <w:sz w:val="20"/>
                <w:szCs w:val="20"/>
              </w:rPr>
              <w:t xml:space="preserve">1 </w:t>
            </w:r>
            <w:r w:rsidRPr="00A4563C">
              <w:rPr>
                <w:rFonts w:asciiTheme="minorHAnsi" w:hAnsiTheme="minorHAnsi" w:cstheme="minorHAnsi"/>
                <w:sz w:val="20"/>
                <w:szCs w:val="20"/>
              </w:rPr>
              <w:t>Days</w:t>
            </w:r>
          </w:p>
        </w:tc>
        <w:tc>
          <w:tcPr>
            <w:tcW w:w="1295" w:type="dxa"/>
            <w:vMerge/>
            <w:shd w:val="clear" w:color="auto" w:fill="auto"/>
          </w:tcPr>
          <w:p w14:paraId="491C2B46" w14:textId="5099E297" w:rsidR="00D02AA9" w:rsidRPr="00A4563C" w:rsidRDefault="00D02AA9" w:rsidP="00D02AA9">
            <w:pPr>
              <w:shd w:val="clear" w:color="auto" w:fill="FFFFFF"/>
              <w:rPr>
                <w:rFonts w:asciiTheme="minorHAnsi" w:hAnsiTheme="minorHAnsi" w:cstheme="minorHAnsi"/>
                <w:b/>
                <w:caps/>
                <w:sz w:val="20"/>
                <w:szCs w:val="20"/>
                <w:highlight w:val="yellow"/>
              </w:rPr>
            </w:pPr>
          </w:p>
        </w:tc>
      </w:tr>
      <w:tr w:rsidR="00D02AA9" w14:paraId="380520CA" w14:textId="77777777" w:rsidTr="00AD48A3">
        <w:trPr>
          <w:trHeight w:val="593"/>
          <w:jc w:val="center"/>
        </w:trPr>
        <w:tc>
          <w:tcPr>
            <w:tcW w:w="3955" w:type="dxa"/>
            <w:vMerge w:val="restart"/>
            <w:tcBorders>
              <w:left w:val="single" w:sz="4" w:space="0" w:color="auto"/>
              <w:right w:val="single" w:sz="4" w:space="0" w:color="auto"/>
            </w:tcBorders>
          </w:tcPr>
          <w:p w14:paraId="5AD990C2" w14:textId="6B015E16" w:rsidR="00D02AA9" w:rsidRPr="00A4563C" w:rsidRDefault="00D02AA9" w:rsidP="00DC20CD">
            <w:pPr>
              <w:pStyle w:val="ListParagraph"/>
              <w:numPr>
                <w:ilvl w:val="0"/>
                <w:numId w:val="9"/>
              </w:numPr>
              <w:shd w:val="clear" w:color="auto" w:fill="FFFFFF"/>
              <w:spacing w:line="240" w:lineRule="auto"/>
              <w:jc w:val="both"/>
              <w:textAlignment w:val="baseline"/>
              <w:rPr>
                <w:rFonts w:asciiTheme="minorHAnsi" w:eastAsia="Times New Roman" w:hAnsiTheme="minorHAnsi" w:cstheme="minorHAnsi"/>
                <w:b/>
                <w:bCs/>
                <w:color w:val="auto"/>
                <w:sz w:val="20"/>
                <w:szCs w:val="20"/>
                <w:lang w:val="en-US"/>
              </w:rPr>
            </w:pPr>
            <w:r w:rsidRPr="00A4563C">
              <w:rPr>
                <w:rFonts w:asciiTheme="minorHAnsi" w:eastAsia="Times New Roman" w:hAnsiTheme="minorHAnsi" w:cstheme="minorHAnsi"/>
                <w:b/>
                <w:bCs/>
                <w:color w:val="auto"/>
                <w:sz w:val="20"/>
                <w:szCs w:val="20"/>
                <w:lang w:val="en-US"/>
              </w:rPr>
              <w:t>Facilitation of joint sector review at national level with help of WASH BAT and SDG-6 costing tool including focus on WASH in schools, WASH in HCFs, Urban WASH, Rural WASH and Humanitarian WASH</w:t>
            </w:r>
          </w:p>
          <w:p w14:paraId="06C515FF" w14:textId="34D875D4" w:rsidR="00D02AA9" w:rsidRPr="00A4563C" w:rsidRDefault="00D02AA9" w:rsidP="00D02AA9">
            <w:pPr>
              <w:pStyle w:val="ListParagraph"/>
              <w:ind w:left="360"/>
              <w:rPr>
                <w:rFonts w:asciiTheme="minorHAnsi" w:hAnsiTheme="minorHAnsi" w:cs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1E97B74" w14:textId="023CAB4D" w:rsidR="00D02AA9" w:rsidRPr="00A4563C" w:rsidRDefault="00D02AA9" w:rsidP="00DC20CD">
            <w:pPr>
              <w:numPr>
                <w:ilvl w:val="0"/>
                <w:numId w:val="5"/>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 xml:space="preserve">Preparation for WASH national JSR including literature sourcing and review, development of facilitation method and handouts for use during consultation </w:t>
            </w:r>
          </w:p>
        </w:tc>
        <w:tc>
          <w:tcPr>
            <w:tcW w:w="1320" w:type="dxa"/>
            <w:tcBorders>
              <w:top w:val="single" w:sz="4" w:space="0" w:color="auto"/>
              <w:left w:val="single" w:sz="4" w:space="0" w:color="auto"/>
              <w:bottom w:val="single" w:sz="4" w:space="0" w:color="auto"/>
              <w:right w:val="single" w:sz="4" w:space="0" w:color="auto"/>
            </w:tcBorders>
          </w:tcPr>
          <w:p w14:paraId="0531E43D" w14:textId="5451070E" w:rsidR="00D02AA9" w:rsidRPr="00A4563C" w:rsidRDefault="00333A00" w:rsidP="00D02AA9">
            <w:pPr>
              <w:spacing w:before="120" w:after="120"/>
              <w:jc w:val="center"/>
              <w:rPr>
                <w:rFonts w:asciiTheme="minorHAnsi" w:hAnsiTheme="minorHAnsi" w:cstheme="minorHAnsi"/>
                <w:sz w:val="20"/>
                <w:szCs w:val="20"/>
              </w:rPr>
            </w:pPr>
            <w:r>
              <w:rPr>
                <w:rFonts w:asciiTheme="minorHAnsi" w:hAnsiTheme="minorHAnsi" w:cstheme="minorHAnsi"/>
                <w:sz w:val="20"/>
                <w:szCs w:val="20"/>
              </w:rPr>
              <w:t>5</w:t>
            </w:r>
            <w:r w:rsidR="00D02AA9" w:rsidRPr="00A4563C">
              <w:rPr>
                <w:rFonts w:asciiTheme="minorHAnsi" w:hAnsiTheme="minorHAnsi" w:cstheme="minorHAnsi"/>
                <w:sz w:val="20"/>
                <w:szCs w:val="20"/>
              </w:rPr>
              <w:t xml:space="preserve"> days</w:t>
            </w:r>
          </w:p>
        </w:tc>
        <w:tc>
          <w:tcPr>
            <w:tcW w:w="1295" w:type="dxa"/>
            <w:vMerge w:val="restart"/>
            <w:tcBorders>
              <w:left w:val="single" w:sz="4" w:space="0" w:color="auto"/>
              <w:right w:val="single" w:sz="4" w:space="0" w:color="auto"/>
            </w:tcBorders>
          </w:tcPr>
          <w:p w14:paraId="660DBC7E" w14:textId="0E906A6B" w:rsidR="00D02AA9" w:rsidRPr="00A4563C" w:rsidRDefault="00D02AA9" w:rsidP="00D02AA9">
            <w:pPr>
              <w:rPr>
                <w:rFonts w:asciiTheme="minorHAnsi" w:hAnsiTheme="minorHAnsi" w:cstheme="minorHAnsi"/>
                <w:sz w:val="20"/>
                <w:szCs w:val="20"/>
              </w:rPr>
            </w:pPr>
            <w:r>
              <w:rPr>
                <w:rFonts w:asciiTheme="minorHAnsi" w:hAnsiTheme="minorHAnsi" w:cstheme="minorHAnsi"/>
                <w:sz w:val="20"/>
                <w:szCs w:val="20"/>
              </w:rPr>
              <w:t xml:space="preserve">50 </w:t>
            </w:r>
            <w:r w:rsidRPr="00A4563C">
              <w:rPr>
                <w:rFonts w:asciiTheme="minorHAnsi" w:hAnsiTheme="minorHAnsi" w:cstheme="minorHAnsi"/>
                <w:sz w:val="20"/>
                <w:szCs w:val="20"/>
              </w:rPr>
              <w:t>% payment</w:t>
            </w:r>
          </w:p>
        </w:tc>
      </w:tr>
      <w:tr w:rsidR="00D02AA9" w14:paraId="21EC6166" w14:textId="77777777" w:rsidTr="00AD48A3">
        <w:trPr>
          <w:trHeight w:val="485"/>
          <w:jc w:val="center"/>
        </w:trPr>
        <w:tc>
          <w:tcPr>
            <w:tcW w:w="3955" w:type="dxa"/>
            <w:vMerge/>
            <w:tcBorders>
              <w:left w:val="single" w:sz="4" w:space="0" w:color="auto"/>
              <w:right w:val="single" w:sz="4" w:space="0" w:color="auto"/>
            </w:tcBorders>
          </w:tcPr>
          <w:p w14:paraId="69E98773" w14:textId="77777777" w:rsidR="00D02AA9" w:rsidRPr="00A4563C" w:rsidRDefault="00D02AA9" w:rsidP="00DC20CD">
            <w:pPr>
              <w:pStyle w:val="ListParagraph"/>
              <w:numPr>
                <w:ilvl w:val="0"/>
                <w:numId w:val="9"/>
              </w:numPr>
              <w:rPr>
                <w:rFonts w:asciiTheme="minorHAnsi" w:hAnsiTheme="minorHAnsi" w:cstheme="minorHAnsi"/>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EFE3945" w14:textId="05EB76B7" w:rsidR="00D02AA9" w:rsidRPr="00A4563C" w:rsidRDefault="00D02AA9" w:rsidP="00DC20CD">
            <w:pPr>
              <w:numPr>
                <w:ilvl w:val="0"/>
                <w:numId w:val="5"/>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 xml:space="preserve">Conducting consultation </w:t>
            </w:r>
            <w:r w:rsidR="00F766D9">
              <w:rPr>
                <w:rFonts w:asciiTheme="minorHAnsi" w:hAnsiTheme="minorHAnsi" w:cstheme="minorHAnsi"/>
                <w:sz w:val="20"/>
                <w:szCs w:val="20"/>
              </w:rPr>
              <w:t>workshops/meetings</w:t>
            </w:r>
            <w:r w:rsidR="00F766D9" w:rsidRPr="00A4563C">
              <w:rPr>
                <w:rFonts w:asciiTheme="minorHAnsi" w:hAnsiTheme="minorHAnsi" w:cstheme="minorHAnsi"/>
                <w:sz w:val="20"/>
                <w:szCs w:val="20"/>
              </w:rPr>
              <w:t xml:space="preserve"> </w:t>
            </w:r>
            <w:r w:rsidRPr="00A4563C">
              <w:rPr>
                <w:rFonts w:asciiTheme="minorHAnsi" w:hAnsiTheme="minorHAnsi" w:cstheme="minorHAnsi"/>
                <w:sz w:val="20"/>
                <w:szCs w:val="20"/>
              </w:rPr>
              <w:t>with UNICEF</w:t>
            </w:r>
            <w:r w:rsidR="00F766D9">
              <w:rPr>
                <w:rFonts w:asciiTheme="minorHAnsi" w:hAnsiTheme="minorHAnsi" w:cstheme="minorHAnsi"/>
                <w:sz w:val="20"/>
                <w:szCs w:val="20"/>
              </w:rPr>
              <w:t>, and National</w:t>
            </w:r>
            <w:r w:rsidR="00F766D9" w:rsidRPr="00A4563C">
              <w:rPr>
                <w:rFonts w:asciiTheme="minorHAnsi" w:hAnsiTheme="minorHAnsi" w:cstheme="minorHAnsi"/>
                <w:sz w:val="20"/>
                <w:szCs w:val="20"/>
              </w:rPr>
              <w:t xml:space="preserve"> </w:t>
            </w:r>
            <w:r w:rsidRPr="00A4563C">
              <w:rPr>
                <w:rFonts w:asciiTheme="minorHAnsi" w:hAnsiTheme="minorHAnsi" w:cstheme="minorHAnsi"/>
                <w:sz w:val="20"/>
                <w:szCs w:val="20"/>
              </w:rPr>
              <w:t xml:space="preserve">government departments regarding developing clear understanding of the tasks </w:t>
            </w:r>
          </w:p>
        </w:tc>
        <w:tc>
          <w:tcPr>
            <w:tcW w:w="1320" w:type="dxa"/>
            <w:tcBorders>
              <w:top w:val="single" w:sz="4" w:space="0" w:color="auto"/>
              <w:left w:val="single" w:sz="4" w:space="0" w:color="auto"/>
              <w:bottom w:val="single" w:sz="4" w:space="0" w:color="auto"/>
              <w:right w:val="single" w:sz="4" w:space="0" w:color="auto"/>
            </w:tcBorders>
          </w:tcPr>
          <w:p w14:paraId="39E7D486" w14:textId="3535F724" w:rsidR="00D02AA9" w:rsidRPr="00A4563C" w:rsidRDefault="00F766D9" w:rsidP="00D02AA9">
            <w:pPr>
              <w:spacing w:before="120" w:after="120"/>
              <w:jc w:val="center"/>
              <w:rPr>
                <w:rFonts w:asciiTheme="minorHAnsi" w:hAnsiTheme="minorHAnsi" w:cstheme="minorHAnsi"/>
                <w:sz w:val="20"/>
                <w:szCs w:val="20"/>
              </w:rPr>
            </w:pPr>
            <w:r>
              <w:rPr>
                <w:rFonts w:asciiTheme="minorHAnsi" w:hAnsiTheme="minorHAnsi" w:cstheme="minorHAnsi"/>
                <w:sz w:val="20"/>
                <w:szCs w:val="20"/>
              </w:rPr>
              <w:t>3</w:t>
            </w:r>
            <w:r w:rsidR="00D02AA9" w:rsidRPr="00A4563C">
              <w:rPr>
                <w:rFonts w:asciiTheme="minorHAnsi" w:hAnsiTheme="minorHAnsi" w:cstheme="minorHAnsi"/>
                <w:sz w:val="20"/>
                <w:szCs w:val="20"/>
              </w:rPr>
              <w:t xml:space="preserve"> days</w:t>
            </w:r>
          </w:p>
        </w:tc>
        <w:tc>
          <w:tcPr>
            <w:tcW w:w="1295" w:type="dxa"/>
            <w:vMerge/>
            <w:tcBorders>
              <w:left w:val="single" w:sz="4" w:space="0" w:color="auto"/>
              <w:right w:val="single" w:sz="4" w:space="0" w:color="auto"/>
            </w:tcBorders>
          </w:tcPr>
          <w:p w14:paraId="0DD0E4F6" w14:textId="77777777" w:rsidR="00D02AA9" w:rsidRPr="00A4563C" w:rsidRDefault="00D02AA9" w:rsidP="00D02AA9">
            <w:pPr>
              <w:rPr>
                <w:rFonts w:asciiTheme="minorHAnsi" w:hAnsiTheme="minorHAnsi" w:cstheme="minorHAnsi"/>
                <w:sz w:val="20"/>
                <w:szCs w:val="20"/>
              </w:rPr>
            </w:pPr>
          </w:p>
        </w:tc>
      </w:tr>
      <w:tr w:rsidR="00D02AA9" w14:paraId="77C63685" w14:textId="77777777" w:rsidTr="00AD48A3">
        <w:trPr>
          <w:trHeight w:val="530"/>
          <w:jc w:val="center"/>
        </w:trPr>
        <w:tc>
          <w:tcPr>
            <w:tcW w:w="3955" w:type="dxa"/>
            <w:vMerge/>
            <w:tcBorders>
              <w:left w:val="single" w:sz="4" w:space="0" w:color="auto"/>
              <w:right w:val="single" w:sz="4" w:space="0" w:color="auto"/>
            </w:tcBorders>
            <w:hideMark/>
          </w:tcPr>
          <w:p w14:paraId="37C7B841" w14:textId="77777777" w:rsidR="00D02AA9" w:rsidRPr="00A4563C" w:rsidRDefault="00D02AA9" w:rsidP="00D02AA9">
            <w:pPr>
              <w:spacing w:before="120" w:after="120"/>
              <w:rPr>
                <w:rFonts w:asciiTheme="minorHAnsi" w:hAnsiTheme="minorHAnsi" w:cstheme="minorHAnsi"/>
                <w:sz w:val="20"/>
                <w:szCs w:val="20"/>
              </w:rPr>
            </w:pPr>
          </w:p>
        </w:tc>
        <w:tc>
          <w:tcPr>
            <w:tcW w:w="3330" w:type="dxa"/>
            <w:tcBorders>
              <w:top w:val="single" w:sz="4" w:space="0" w:color="auto"/>
              <w:left w:val="single" w:sz="4" w:space="0" w:color="auto"/>
              <w:bottom w:val="single" w:sz="4" w:space="0" w:color="auto"/>
              <w:right w:val="single" w:sz="4" w:space="0" w:color="auto"/>
            </w:tcBorders>
            <w:hideMark/>
          </w:tcPr>
          <w:p w14:paraId="03F46B69" w14:textId="77777777" w:rsidR="00D02AA9" w:rsidRPr="00A4563C" w:rsidRDefault="00D02AA9" w:rsidP="00DC20CD">
            <w:pPr>
              <w:numPr>
                <w:ilvl w:val="0"/>
                <w:numId w:val="5"/>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Facilitation of Joint Sector Review using WASH Bottleneck Analysis Tool (WASHBAT) with due ownership of WASH sector stakeholders. All steps of WASHBAT are required to be followed. Different sub-activities are as below</w:t>
            </w:r>
          </w:p>
          <w:p w14:paraId="52C94DCC" w14:textId="7256DD71" w:rsidR="00D02AA9" w:rsidRPr="00A4563C" w:rsidRDefault="00D02AA9" w:rsidP="00DC20CD">
            <w:pPr>
              <w:numPr>
                <w:ilvl w:val="0"/>
                <w:numId w:val="6"/>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 xml:space="preserve">Initiation of discussion with relevant government and nomination of committee as per the WASHBAT process and ensuring invitations are sent in time to WASH sector partners including </w:t>
            </w:r>
            <w:proofErr w:type="spellStart"/>
            <w:r w:rsidRPr="00A4563C">
              <w:rPr>
                <w:rFonts w:asciiTheme="minorHAnsi" w:hAnsiTheme="minorHAnsi" w:cstheme="minorHAnsi"/>
                <w:sz w:val="20"/>
                <w:szCs w:val="20"/>
              </w:rPr>
              <w:t>MoHSPP</w:t>
            </w:r>
            <w:proofErr w:type="spellEnd"/>
            <w:r w:rsidRPr="00A4563C">
              <w:rPr>
                <w:rFonts w:asciiTheme="minorHAnsi" w:hAnsiTheme="minorHAnsi" w:cstheme="minorHAnsi"/>
                <w:sz w:val="20"/>
                <w:szCs w:val="20"/>
              </w:rPr>
              <w:t xml:space="preserve">, </w:t>
            </w:r>
            <w:proofErr w:type="spellStart"/>
            <w:r w:rsidRPr="00A4563C">
              <w:rPr>
                <w:rFonts w:asciiTheme="minorHAnsi" w:hAnsiTheme="minorHAnsi" w:cstheme="minorHAnsi"/>
                <w:sz w:val="20"/>
                <w:szCs w:val="20"/>
              </w:rPr>
              <w:t>MoES</w:t>
            </w:r>
            <w:proofErr w:type="spellEnd"/>
            <w:r w:rsidRPr="00A4563C">
              <w:rPr>
                <w:rFonts w:asciiTheme="minorHAnsi" w:hAnsiTheme="minorHAnsi" w:cstheme="minorHAnsi"/>
                <w:sz w:val="20"/>
                <w:szCs w:val="20"/>
              </w:rPr>
              <w:t xml:space="preserve">, </w:t>
            </w:r>
            <w:proofErr w:type="spellStart"/>
            <w:r w:rsidRPr="00A4563C">
              <w:rPr>
                <w:rFonts w:asciiTheme="minorHAnsi" w:hAnsiTheme="minorHAnsi" w:cstheme="minorHAnsi"/>
                <w:sz w:val="20"/>
                <w:szCs w:val="20"/>
              </w:rPr>
              <w:t>MoEWR</w:t>
            </w:r>
            <w:proofErr w:type="spellEnd"/>
            <w:r w:rsidRPr="00A4563C">
              <w:rPr>
                <w:rFonts w:asciiTheme="minorHAnsi" w:hAnsiTheme="minorHAnsi" w:cstheme="minorHAnsi"/>
                <w:sz w:val="20"/>
                <w:szCs w:val="20"/>
              </w:rPr>
              <w:t xml:space="preserve">, SUE-KMK, </w:t>
            </w:r>
            <w:r w:rsidR="00F766D9">
              <w:rPr>
                <w:rFonts w:asciiTheme="minorHAnsi" w:hAnsiTheme="minorHAnsi" w:cstheme="minorHAnsi"/>
                <w:sz w:val="20"/>
                <w:szCs w:val="20"/>
              </w:rPr>
              <w:t xml:space="preserve">Municipalities, </w:t>
            </w:r>
            <w:proofErr w:type="spellStart"/>
            <w:r w:rsidR="00F766D9">
              <w:rPr>
                <w:rFonts w:asciiTheme="minorHAnsi" w:hAnsiTheme="minorHAnsi" w:cstheme="minorHAnsi"/>
                <w:sz w:val="20"/>
                <w:szCs w:val="20"/>
              </w:rPr>
              <w:t>Vodokanals</w:t>
            </w:r>
            <w:proofErr w:type="spellEnd"/>
            <w:r w:rsidR="00F766D9">
              <w:rPr>
                <w:rFonts w:asciiTheme="minorHAnsi" w:hAnsiTheme="minorHAnsi" w:cstheme="minorHAnsi"/>
                <w:sz w:val="20"/>
                <w:szCs w:val="20"/>
              </w:rPr>
              <w:t xml:space="preserve">, </w:t>
            </w:r>
            <w:r w:rsidRPr="00A4563C">
              <w:rPr>
                <w:rFonts w:asciiTheme="minorHAnsi" w:hAnsiTheme="minorHAnsi" w:cstheme="minorHAnsi"/>
                <w:sz w:val="20"/>
                <w:szCs w:val="20"/>
              </w:rPr>
              <w:t>, CSOs, UN agencies and other relevant stakeholders etc.</w:t>
            </w:r>
          </w:p>
          <w:p w14:paraId="0FBA5CDC" w14:textId="2F711716" w:rsidR="00D02AA9" w:rsidRPr="00A4563C" w:rsidRDefault="00D02AA9" w:rsidP="00DC20CD">
            <w:pPr>
              <w:numPr>
                <w:ilvl w:val="0"/>
                <w:numId w:val="6"/>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Facilitation of a 2 days consultative workshop using WASHBAT and SDG-6 costing tools at</w:t>
            </w:r>
            <w:r w:rsidR="00F766D9">
              <w:rPr>
                <w:rFonts w:asciiTheme="minorHAnsi" w:hAnsiTheme="minorHAnsi" w:cstheme="minorHAnsi"/>
                <w:sz w:val="20"/>
                <w:szCs w:val="20"/>
              </w:rPr>
              <w:t xml:space="preserve"> National Level.</w:t>
            </w:r>
            <w:r w:rsidRPr="00A4563C">
              <w:rPr>
                <w:rFonts w:asciiTheme="minorHAnsi" w:hAnsiTheme="minorHAnsi" w:cstheme="minorHAnsi"/>
                <w:sz w:val="20"/>
                <w:szCs w:val="20"/>
              </w:rPr>
              <w:t xml:space="preserve"> </w:t>
            </w:r>
          </w:p>
        </w:tc>
        <w:tc>
          <w:tcPr>
            <w:tcW w:w="1320" w:type="dxa"/>
            <w:tcBorders>
              <w:top w:val="single" w:sz="4" w:space="0" w:color="auto"/>
              <w:left w:val="single" w:sz="4" w:space="0" w:color="auto"/>
              <w:bottom w:val="single" w:sz="4" w:space="0" w:color="auto"/>
              <w:right w:val="single" w:sz="4" w:space="0" w:color="auto"/>
            </w:tcBorders>
          </w:tcPr>
          <w:p w14:paraId="7B891DEA" w14:textId="208F67E2" w:rsidR="00D02AA9" w:rsidRPr="00A4563C" w:rsidRDefault="00F766D9" w:rsidP="00D02AA9">
            <w:pPr>
              <w:spacing w:before="120" w:after="120"/>
              <w:jc w:val="center"/>
              <w:rPr>
                <w:rFonts w:asciiTheme="minorHAnsi" w:hAnsiTheme="minorHAnsi" w:cstheme="minorHAnsi"/>
                <w:sz w:val="20"/>
                <w:szCs w:val="20"/>
              </w:rPr>
            </w:pPr>
            <w:r>
              <w:rPr>
                <w:rFonts w:asciiTheme="minorHAnsi" w:hAnsiTheme="minorHAnsi" w:cstheme="minorHAnsi"/>
                <w:sz w:val="20"/>
                <w:szCs w:val="20"/>
              </w:rPr>
              <w:t>5</w:t>
            </w:r>
            <w:r w:rsidR="00D02AA9" w:rsidRPr="00A4563C">
              <w:rPr>
                <w:rFonts w:asciiTheme="minorHAnsi" w:hAnsiTheme="minorHAnsi" w:cstheme="minorHAnsi"/>
                <w:sz w:val="20"/>
                <w:szCs w:val="20"/>
              </w:rPr>
              <w:t xml:space="preserve"> days</w:t>
            </w:r>
          </w:p>
        </w:tc>
        <w:tc>
          <w:tcPr>
            <w:tcW w:w="1295" w:type="dxa"/>
            <w:vMerge/>
            <w:tcBorders>
              <w:left w:val="single" w:sz="4" w:space="0" w:color="auto"/>
              <w:right w:val="single" w:sz="4" w:space="0" w:color="auto"/>
            </w:tcBorders>
            <w:hideMark/>
          </w:tcPr>
          <w:p w14:paraId="564D8A79" w14:textId="77777777" w:rsidR="00D02AA9" w:rsidRPr="00A4563C" w:rsidRDefault="00D02AA9" w:rsidP="00D02AA9">
            <w:pPr>
              <w:rPr>
                <w:rFonts w:asciiTheme="minorHAnsi" w:hAnsiTheme="minorHAnsi" w:cstheme="minorHAnsi"/>
                <w:sz w:val="20"/>
                <w:szCs w:val="20"/>
              </w:rPr>
            </w:pPr>
          </w:p>
        </w:tc>
      </w:tr>
      <w:tr w:rsidR="00D02AA9" w14:paraId="0D8FDC70" w14:textId="77777777" w:rsidTr="00AD48A3">
        <w:trPr>
          <w:trHeight w:val="647"/>
          <w:jc w:val="center"/>
        </w:trPr>
        <w:tc>
          <w:tcPr>
            <w:tcW w:w="3955" w:type="dxa"/>
            <w:vMerge/>
            <w:tcBorders>
              <w:left w:val="single" w:sz="4" w:space="0" w:color="auto"/>
              <w:right w:val="single" w:sz="4" w:space="0" w:color="auto"/>
            </w:tcBorders>
          </w:tcPr>
          <w:p w14:paraId="0A26821B" w14:textId="77777777" w:rsidR="00D02AA9" w:rsidRPr="00A4563C" w:rsidRDefault="00D02AA9" w:rsidP="00D02AA9">
            <w:pPr>
              <w:spacing w:before="120" w:after="120"/>
              <w:rPr>
                <w:rFonts w:asciiTheme="minorHAnsi" w:hAnsiTheme="minorHAnsi" w:cs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3D6937F" w14:textId="517F2280" w:rsidR="00D02AA9" w:rsidRPr="00701D34" w:rsidRDefault="00D02AA9" w:rsidP="00DC20CD">
            <w:pPr>
              <w:numPr>
                <w:ilvl w:val="0"/>
                <w:numId w:val="5"/>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 xml:space="preserve">Developing a consolidated JSR report incorporating the finding of the consultative process. Report should be submitted to UNICEF for review and to participating selected WASH sector partners for their feedback before finalization. </w:t>
            </w:r>
          </w:p>
        </w:tc>
        <w:tc>
          <w:tcPr>
            <w:tcW w:w="1320" w:type="dxa"/>
            <w:tcBorders>
              <w:top w:val="single" w:sz="4" w:space="0" w:color="auto"/>
              <w:left w:val="single" w:sz="4" w:space="0" w:color="auto"/>
              <w:bottom w:val="single" w:sz="4" w:space="0" w:color="auto"/>
              <w:right w:val="single" w:sz="4" w:space="0" w:color="auto"/>
            </w:tcBorders>
          </w:tcPr>
          <w:p w14:paraId="69E55603" w14:textId="67C0CE58" w:rsidR="00D02AA9" w:rsidRPr="00A4563C" w:rsidRDefault="00D02AA9" w:rsidP="007B2515">
            <w:pPr>
              <w:spacing w:before="120" w:after="120"/>
              <w:jc w:val="center"/>
              <w:rPr>
                <w:rFonts w:asciiTheme="minorHAnsi" w:hAnsiTheme="minorHAnsi" w:cstheme="minorHAnsi"/>
                <w:sz w:val="20"/>
                <w:szCs w:val="20"/>
              </w:rPr>
            </w:pPr>
            <w:r>
              <w:rPr>
                <w:rFonts w:asciiTheme="minorHAnsi" w:hAnsiTheme="minorHAnsi" w:cstheme="minorHAnsi"/>
                <w:sz w:val="20"/>
                <w:szCs w:val="20"/>
              </w:rPr>
              <w:t>5</w:t>
            </w:r>
            <w:r w:rsidRPr="00A4563C">
              <w:rPr>
                <w:rFonts w:asciiTheme="minorHAnsi" w:hAnsiTheme="minorHAnsi" w:cstheme="minorHAnsi"/>
                <w:sz w:val="20"/>
                <w:szCs w:val="20"/>
              </w:rPr>
              <w:t xml:space="preserve"> days</w:t>
            </w:r>
          </w:p>
        </w:tc>
        <w:tc>
          <w:tcPr>
            <w:tcW w:w="1295" w:type="dxa"/>
            <w:vMerge/>
            <w:tcBorders>
              <w:left w:val="single" w:sz="4" w:space="0" w:color="auto"/>
              <w:right w:val="single" w:sz="4" w:space="0" w:color="auto"/>
            </w:tcBorders>
          </w:tcPr>
          <w:p w14:paraId="1E21B0FF" w14:textId="77777777" w:rsidR="00D02AA9" w:rsidRPr="00A4563C" w:rsidRDefault="00D02AA9" w:rsidP="00D02AA9">
            <w:pPr>
              <w:rPr>
                <w:rFonts w:asciiTheme="minorHAnsi" w:hAnsiTheme="minorHAnsi" w:cstheme="minorHAnsi"/>
                <w:sz w:val="20"/>
                <w:szCs w:val="20"/>
              </w:rPr>
            </w:pPr>
          </w:p>
        </w:tc>
      </w:tr>
      <w:tr w:rsidR="00D02AA9" w14:paraId="34AB29F1" w14:textId="77777777" w:rsidTr="00AD48A3">
        <w:trPr>
          <w:trHeight w:val="1384"/>
          <w:jc w:val="center"/>
        </w:trPr>
        <w:tc>
          <w:tcPr>
            <w:tcW w:w="3955" w:type="dxa"/>
            <w:vMerge/>
            <w:tcBorders>
              <w:left w:val="single" w:sz="4" w:space="0" w:color="auto"/>
              <w:bottom w:val="single" w:sz="4" w:space="0" w:color="auto"/>
              <w:right w:val="single" w:sz="4" w:space="0" w:color="auto"/>
            </w:tcBorders>
          </w:tcPr>
          <w:p w14:paraId="63087832" w14:textId="77777777" w:rsidR="00D02AA9" w:rsidRPr="00A4563C" w:rsidRDefault="00D02AA9" w:rsidP="00D02AA9">
            <w:pPr>
              <w:spacing w:before="120" w:after="120"/>
              <w:rPr>
                <w:rFonts w:asciiTheme="minorHAnsi" w:hAnsiTheme="minorHAnsi" w:cs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D5BE953" w14:textId="2DF02037" w:rsidR="00D02AA9" w:rsidRPr="00E22C2A" w:rsidRDefault="00D02AA9" w:rsidP="00DC20CD">
            <w:pPr>
              <w:numPr>
                <w:ilvl w:val="0"/>
                <w:numId w:val="5"/>
              </w:numPr>
              <w:spacing w:line="240" w:lineRule="auto"/>
              <w:jc w:val="both"/>
              <w:rPr>
                <w:rFonts w:asciiTheme="minorHAnsi" w:hAnsiTheme="minorHAnsi" w:cstheme="minorHAnsi"/>
                <w:sz w:val="20"/>
                <w:szCs w:val="20"/>
              </w:rPr>
            </w:pPr>
            <w:r w:rsidRPr="00A4563C">
              <w:rPr>
                <w:rFonts w:asciiTheme="minorHAnsi" w:hAnsiTheme="minorHAnsi" w:cstheme="minorHAnsi"/>
                <w:sz w:val="20"/>
                <w:szCs w:val="20"/>
              </w:rPr>
              <w:t xml:space="preserve">Presenting the finalized report jointly to relevant ministries </w:t>
            </w:r>
            <w:r w:rsidR="001D7BD4">
              <w:rPr>
                <w:rFonts w:asciiTheme="minorHAnsi" w:hAnsiTheme="minorHAnsi" w:cstheme="minorHAnsi"/>
                <w:sz w:val="20"/>
                <w:szCs w:val="20"/>
              </w:rPr>
              <w:t xml:space="preserve">and departments </w:t>
            </w:r>
            <w:r w:rsidRPr="00A4563C">
              <w:rPr>
                <w:rFonts w:asciiTheme="minorHAnsi" w:hAnsiTheme="minorHAnsi" w:cstheme="minorHAnsi"/>
                <w:sz w:val="20"/>
                <w:szCs w:val="20"/>
              </w:rPr>
              <w:t>at national level to seek endorsement</w:t>
            </w:r>
          </w:p>
          <w:p w14:paraId="3FCC3499" w14:textId="56864C85" w:rsidR="005A368B" w:rsidRPr="00E22C2A" w:rsidRDefault="00D02AA9" w:rsidP="00DC20CD">
            <w:pPr>
              <w:numPr>
                <w:ilvl w:val="0"/>
                <w:numId w:val="5"/>
              </w:numPr>
              <w:spacing w:line="240" w:lineRule="auto"/>
              <w:jc w:val="both"/>
              <w:rPr>
                <w:rFonts w:asciiTheme="minorHAnsi" w:hAnsiTheme="minorHAnsi" w:cstheme="minorHAnsi"/>
                <w:sz w:val="20"/>
                <w:szCs w:val="20"/>
              </w:rPr>
            </w:pPr>
            <w:r w:rsidRPr="00A4563C">
              <w:rPr>
                <w:rFonts w:asciiTheme="minorHAnsi" w:eastAsia="Times New Roman" w:hAnsiTheme="minorHAnsi" w:cstheme="minorHAnsi"/>
                <w:color w:val="333333"/>
                <w:sz w:val="20"/>
                <w:szCs w:val="20"/>
                <w:lang w:val="en-US"/>
              </w:rPr>
              <w:t xml:space="preserve">Final concise synthesis report incorporating comments of stakeholders (through UNICEF) presenting findings, conclusions, lessons </w:t>
            </w:r>
            <w:proofErr w:type="gramStart"/>
            <w:r w:rsidRPr="00A4563C">
              <w:rPr>
                <w:rFonts w:asciiTheme="minorHAnsi" w:eastAsia="Times New Roman" w:hAnsiTheme="minorHAnsi" w:cstheme="minorHAnsi"/>
                <w:color w:val="333333"/>
                <w:sz w:val="20"/>
                <w:szCs w:val="20"/>
                <w:lang w:val="en-US"/>
              </w:rPr>
              <w:t>learnt</w:t>
            </w:r>
            <w:proofErr w:type="gramEnd"/>
            <w:r w:rsidRPr="00A4563C">
              <w:rPr>
                <w:rFonts w:asciiTheme="minorHAnsi" w:eastAsia="Times New Roman" w:hAnsiTheme="minorHAnsi" w:cstheme="minorHAnsi"/>
                <w:color w:val="333333"/>
                <w:sz w:val="20"/>
                <w:szCs w:val="20"/>
                <w:lang w:val="en-US"/>
              </w:rPr>
              <w:t xml:space="preserve"> and sound recommendations based on the results of the analyses. Additionally, the consultant will submit a power point presentation of key findings and recommendations that can be used for </w:t>
            </w:r>
            <w:proofErr w:type="gramStart"/>
            <w:r w:rsidRPr="00A4563C">
              <w:rPr>
                <w:rFonts w:asciiTheme="minorHAnsi" w:eastAsia="Times New Roman" w:hAnsiTheme="minorHAnsi" w:cstheme="minorHAnsi"/>
                <w:color w:val="333333"/>
                <w:sz w:val="20"/>
                <w:szCs w:val="20"/>
                <w:lang w:val="en-US"/>
              </w:rPr>
              <w:t>dissemination;</w:t>
            </w:r>
            <w:proofErr w:type="gramEnd"/>
            <w:r w:rsidRPr="00A4563C">
              <w:rPr>
                <w:rFonts w:asciiTheme="minorHAnsi" w:eastAsia="Times New Roman" w:hAnsiTheme="minorHAnsi" w:cstheme="minorHAnsi"/>
                <w:color w:val="333333"/>
                <w:sz w:val="20"/>
                <w:szCs w:val="20"/>
                <w:lang w:val="en-US"/>
              </w:rPr>
              <w:t xml:space="preserve"> and advocacy and a stand-alone</w:t>
            </w:r>
          </w:p>
          <w:p w14:paraId="0487DC75" w14:textId="2EF13786" w:rsidR="00D02AA9" w:rsidRPr="005A368B" w:rsidRDefault="00D02AA9" w:rsidP="00DC20CD">
            <w:pPr>
              <w:numPr>
                <w:ilvl w:val="0"/>
                <w:numId w:val="5"/>
              </w:numPr>
              <w:spacing w:line="240" w:lineRule="auto"/>
              <w:jc w:val="both"/>
              <w:rPr>
                <w:rFonts w:asciiTheme="minorHAnsi" w:hAnsiTheme="minorHAnsi" w:cstheme="minorHAnsi"/>
                <w:sz w:val="20"/>
                <w:szCs w:val="20"/>
              </w:rPr>
            </w:pPr>
            <w:r w:rsidRPr="005A368B">
              <w:rPr>
                <w:rFonts w:asciiTheme="minorHAnsi" w:eastAsia="Times New Roman" w:hAnsiTheme="minorHAnsi" w:cstheme="minorHAnsi"/>
                <w:color w:val="333333"/>
                <w:sz w:val="20"/>
                <w:szCs w:val="20"/>
                <w:lang w:val="en-US"/>
              </w:rPr>
              <w:t xml:space="preserve">Easy-to-read summary of key findings and recommendations to be used for dissemination and advocacy. </w:t>
            </w:r>
          </w:p>
        </w:tc>
        <w:tc>
          <w:tcPr>
            <w:tcW w:w="1320" w:type="dxa"/>
            <w:tcBorders>
              <w:top w:val="single" w:sz="4" w:space="0" w:color="auto"/>
              <w:left w:val="single" w:sz="4" w:space="0" w:color="auto"/>
              <w:bottom w:val="single" w:sz="4" w:space="0" w:color="auto"/>
              <w:right w:val="single" w:sz="4" w:space="0" w:color="auto"/>
            </w:tcBorders>
          </w:tcPr>
          <w:p w14:paraId="6B211FCF" w14:textId="7F5B099A" w:rsidR="00D02AA9" w:rsidRPr="007B2515" w:rsidRDefault="007B2515" w:rsidP="007B2515">
            <w:pPr>
              <w:spacing w:before="120" w:after="120"/>
              <w:jc w:val="center"/>
              <w:rPr>
                <w:rFonts w:asciiTheme="minorHAnsi" w:hAnsiTheme="minorHAnsi" w:cstheme="minorHAnsi"/>
                <w:sz w:val="20"/>
                <w:szCs w:val="20"/>
              </w:rPr>
            </w:pPr>
            <w:r>
              <w:rPr>
                <w:rFonts w:asciiTheme="minorHAnsi" w:hAnsiTheme="minorHAnsi" w:cstheme="minorHAnsi"/>
                <w:sz w:val="20"/>
                <w:szCs w:val="20"/>
              </w:rPr>
              <w:t xml:space="preserve">5 </w:t>
            </w:r>
            <w:r w:rsidR="00D02AA9" w:rsidRPr="007B2515">
              <w:rPr>
                <w:rFonts w:asciiTheme="minorHAnsi" w:hAnsiTheme="minorHAnsi" w:cstheme="minorHAnsi"/>
                <w:sz w:val="20"/>
                <w:szCs w:val="20"/>
              </w:rPr>
              <w:t>days</w:t>
            </w:r>
          </w:p>
        </w:tc>
        <w:tc>
          <w:tcPr>
            <w:tcW w:w="1295" w:type="dxa"/>
            <w:vMerge/>
            <w:tcBorders>
              <w:left w:val="single" w:sz="4" w:space="0" w:color="auto"/>
              <w:bottom w:val="single" w:sz="4" w:space="0" w:color="auto"/>
              <w:right w:val="single" w:sz="4" w:space="0" w:color="auto"/>
            </w:tcBorders>
          </w:tcPr>
          <w:p w14:paraId="70CE47F3" w14:textId="77777777" w:rsidR="00D02AA9" w:rsidRPr="00A4563C" w:rsidRDefault="00D02AA9" w:rsidP="00D02AA9">
            <w:pPr>
              <w:rPr>
                <w:rFonts w:asciiTheme="minorHAnsi" w:hAnsiTheme="minorHAnsi" w:cstheme="minorHAnsi"/>
                <w:sz w:val="20"/>
                <w:szCs w:val="20"/>
              </w:rPr>
            </w:pPr>
          </w:p>
        </w:tc>
      </w:tr>
    </w:tbl>
    <w:p w14:paraId="48FEE9F4" w14:textId="79326474" w:rsidR="00701D34" w:rsidRPr="00E22C2A" w:rsidRDefault="00701D34" w:rsidP="00E22C2A">
      <w:pPr>
        <w:shd w:val="clear" w:color="auto" w:fill="FFFFFF" w:themeFill="background1"/>
        <w:contextualSpacing/>
        <w:jc w:val="both"/>
        <w:rPr>
          <w:rFonts w:asciiTheme="minorHAnsi" w:eastAsia="Calibri" w:hAnsiTheme="minorHAnsi" w:cstheme="minorHAnsi"/>
          <w:color w:val="FF0000"/>
        </w:rPr>
      </w:pPr>
      <w:r w:rsidRPr="00D22D06">
        <w:rPr>
          <w:rFonts w:asciiTheme="minorHAnsi" w:hAnsiTheme="minorHAnsi" w:cstheme="minorHAnsi"/>
          <w:b/>
          <w:bCs/>
          <w:iCs/>
          <w:color w:val="FF0000"/>
        </w:rPr>
        <w:t xml:space="preserve">Note: </w:t>
      </w:r>
      <w:r w:rsidRPr="00D22D06">
        <w:rPr>
          <w:rFonts w:asciiTheme="minorHAnsi" w:hAnsiTheme="minorHAnsi" w:cstheme="minorHAnsi"/>
          <w:iCs/>
          <w:color w:val="FF0000"/>
        </w:rPr>
        <w:t>Due to COVID 19, the work and deliverables are subject to change. Consultant need to be flexible to adjust to any unforeseen adjustments that might occur during the implementation</w:t>
      </w:r>
    </w:p>
    <w:p w14:paraId="30EF311D" w14:textId="77777777" w:rsidR="00166779" w:rsidRDefault="00166779" w:rsidP="00701D34">
      <w:pPr>
        <w:ind w:right="-3"/>
        <w:rPr>
          <w:rFonts w:asciiTheme="minorHAnsi" w:hAnsiTheme="minorHAnsi" w:cstheme="minorHAnsi"/>
          <w:b/>
        </w:rPr>
      </w:pPr>
    </w:p>
    <w:p w14:paraId="76621013" w14:textId="5C7C8B0C" w:rsidR="00701D34" w:rsidRPr="008E6EEC" w:rsidRDefault="00701D34" w:rsidP="00701D34">
      <w:pPr>
        <w:ind w:right="-3"/>
        <w:rPr>
          <w:rFonts w:asciiTheme="minorHAnsi" w:hAnsiTheme="minorHAnsi" w:cstheme="minorHAnsi"/>
          <w:i/>
        </w:rPr>
      </w:pPr>
      <w:r w:rsidRPr="008E6EEC">
        <w:rPr>
          <w:rFonts w:asciiTheme="minorHAnsi" w:hAnsiTheme="minorHAnsi" w:cstheme="minorHAnsi"/>
          <w:b/>
        </w:rPr>
        <w:t>Performance indicators for the evaluation of results:</w:t>
      </w:r>
    </w:p>
    <w:p w14:paraId="2B0FB253" w14:textId="77777777" w:rsidR="00701D34" w:rsidRPr="00AD48A3" w:rsidRDefault="00701D34" w:rsidP="00AD48A3">
      <w:pPr>
        <w:jc w:val="both"/>
        <w:rPr>
          <w:rFonts w:asciiTheme="minorHAnsi" w:hAnsiTheme="minorHAnsi" w:cstheme="minorHAnsi"/>
          <w:b/>
        </w:rPr>
      </w:pPr>
    </w:p>
    <w:p w14:paraId="1438D2BA" w14:textId="77777777" w:rsidR="00701D34" w:rsidRPr="008E6EEC" w:rsidRDefault="00701D34" w:rsidP="00701D34">
      <w:pPr>
        <w:jc w:val="both"/>
        <w:rPr>
          <w:rFonts w:asciiTheme="minorHAnsi" w:hAnsiTheme="minorHAnsi" w:cstheme="minorHAnsi"/>
        </w:rPr>
      </w:pPr>
      <w:r w:rsidRPr="008E6EEC">
        <w:rPr>
          <w:rFonts w:asciiTheme="minorHAnsi" w:hAnsiTheme="minorHAnsi" w:cstheme="minorHAnsi"/>
        </w:rPr>
        <w:t>The evaluation of the results will be based on:</w:t>
      </w:r>
    </w:p>
    <w:p w14:paraId="62F8E25D" w14:textId="77777777" w:rsidR="00701D34" w:rsidRPr="008E6EEC" w:rsidRDefault="00701D34" w:rsidP="00DC20CD">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Technical and professional competence (quality of the products delivered to UNICEF</w:t>
      </w:r>
      <w:proofErr w:type="gramStart"/>
      <w:r w:rsidRPr="008E6EEC">
        <w:rPr>
          <w:rFonts w:asciiTheme="minorHAnsi" w:hAnsiTheme="minorHAnsi" w:cstheme="minorHAnsi"/>
          <w:iCs/>
        </w:rPr>
        <w:t>);</w:t>
      </w:r>
      <w:proofErr w:type="gramEnd"/>
    </w:p>
    <w:p w14:paraId="0110FDDA" w14:textId="77777777" w:rsidR="00701D34" w:rsidRPr="008E6EEC" w:rsidRDefault="00701D34" w:rsidP="00DC20CD">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 xml:space="preserve">Scope of work (e.g. </w:t>
      </w:r>
      <w:r>
        <w:rPr>
          <w:rFonts w:asciiTheme="minorHAnsi" w:hAnsiTheme="minorHAnsi" w:cstheme="minorHAnsi"/>
          <w:iCs/>
        </w:rPr>
        <w:t>clarity of work plan</w:t>
      </w:r>
      <w:proofErr w:type="gramStart"/>
      <w:r w:rsidRPr="008E6EEC">
        <w:rPr>
          <w:rFonts w:asciiTheme="minorHAnsi" w:hAnsiTheme="minorHAnsi" w:cstheme="minorHAnsi"/>
          <w:iCs/>
        </w:rPr>
        <w:t>);</w:t>
      </w:r>
      <w:proofErr w:type="gramEnd"/>
    </w:p>
    <w:p w14:paraId="03E75589" w14:textId="77777777" w:rsidR="00701D34" w:rsidRPr="008E6EEC" w:rsidRDefault="00701D34" w:rsidP="00DC20CD">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Quality of work (quality of methodology, draft, and final report</w:t>
      </w:r>
      <w:proofErr w:type="gramStart"/>
      <w:r w:rsidRPr="008E6EEC">
        <w:rPr>
          <w:rFonts w:asciiTheme="minorHAnsi" w:hAnsiTheme="minorHAnsi" w:cstheme="minorHAnsi"/>
          <w:iCs/>
        </w:rPr>
        <w:t>);</w:t>
      </w:r>
      <w:proofErr w:type="gramEnd"/>
    </w:p>
    <w:p w14:paraId="5CC92B3B" w14:textId="77777777" w:rsidR="00701D34" w:rsidRPr="008E6EEC" w:rsidRDefault="00701D34" w:rsidP="00DC20CD">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Quantity of work (completing the tasks indicated in the table above within the set timeframe)</w:t>
      </w:r>
    </w:p>
    <w:p w14:paraId="2C8C6031" w14:textId="77777777" w:rsidR="00701D34" w:rsidRPr="008E6EEC" w:rsidRDefault="00701D34" w:rsidP="00701D3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p>
    <w:p w14:paraId="205305A7" w14:textId="77777777" w:rsidR="00701D34" w:rsidRPr="008E6EEC" w:rsidRDefault="00701D34" w:rsidP="00701D3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8E6EEC">
        <w:rPr>
          <w:rFonts w:asciiTheme="minorHAnsi" w:hAnsiTheme="minorHAnsi" w:cstheme="minorHAnsi"/>
        </w:rPr>
        <w:t xml:space="preserve">In addition, such indicators as work relations, responsibility, drive for results, and communication will be </w:t>
      </w:r>
      <w:proofErr w:type="gramStart"/>
      <w:r w:rsidRPr="008E6EEC">
        <w:rPr>
          <w:rFonts w:asciiTheme="minorHAnsi" w:hAnsiTheme="minorHAnsi" w:cstheme="minorHAnsi"/>
        </w:rPr>
        <w:t>taken into account</w:t>
      </w:r>
      <w:proofErr w:type="gramEnd"/>
      <w:r w:rsidRPr="008E6EEC">
        <w:rPr>
          <w:rFonts w:asciiTheme="minorHAnsi" w:hAnsiTheme="minorHAnsi" w:cstheme="minorHAnsi"/>
        </w:rPr>
        <w:t xml:space="preserve"> during the evaluation of the Consultant’s work.</w:t>
      </w:r>
    </w:p>
    <w:p w14:paraId="2C0CA6F2"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p>
    <w:p w14:paraId="7C6D4C21" w14:textId="77777777" w:rsidR="00701D34" w:rsidRDefault="00701D34" w:rsidP="00701D34">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QUALIFICATION REQUIREMENTS:</w:t>
      </w:r>
    </w:p>
    <w:p w14:paraId="080E935D" w14:textId="77777777" w:rsidR="00701D34" w:rsidRDefault="00701D34" w:rsidP="00701D34">
      <w:pPr>
        <w:spacing w:line="240" w:lineRule="auto"/>
        <w:jc w:val="both"/>
        <w:rPr>
          <w:rFonts w:asciiTheme="minorHAnsi" w:eastAsia="Times New Roman" w:hAnsiTheme="minorHAnsi" w:cstheme="minorHAnsi"/>
          <w:b/>
          <w:color w:val="4472C4" w:themeColor="accent1"/>
        </w:rPr>
      </w:pPr>
    </w:p>
    <w:p w14:paraId="3238168D" w14:textId="22818044" w:rsidR="00701D34" w:rsidRDefault="00701D34" w:rsidP="00701D34">
      <w:pPr>
        <w:spacing w:after="200"/>
        <w:jc w:val="both"/>
      </w:pPr>
      <w:r w:rsidRPr="007A2110">
        <w:rPr>
          <w:rFonts w:asciiTheme="minorHAnsi" w:eastAsia="Times New Roman" w:hAnsiTheme="minorHAnsi" w:cstheme="minorHAnsi"/>
          <w:b/>
          <w:i/>
        </w:rPr>
        <w:t>Education:</w:t>
      </w:r>
      <w:r w:rsidRPr="007A2110">
        <w:rPr>
          <w:rFonts w:asciiTheme="minorHAnsi" w:hAnsiTheme="minorHAnsi" w:cstheme="minorHAnsi"/>
        </w:rPr>
        <w:t xml:space="preserve"> </w:t>
      </w:r>
      <w:r w:rsidRPr="00637EA8">
        <w:rPr>
          <w:rFonts w:asciiTheme="minorHAnsi" w:hAnsiTheme="minorHAnsi" w:cstheme="minorHAnsi"/>
        </w:rPr>
        <w:t>A</w:t>
      </w:r>
      <w:r>
        <w:rPr>
          <w:rFonts w:asciiTheme="minorHAnsi" w:hAnsiTheme="minorHAnsi" w:cstheme="minorHAnsi"/>
        </w:rPr>
        <w:t xml:space="preserve"> </w:t>
      </w:r>
      <w:r w:rsidRPr="00637EA8">
        <w:rPr>
          <w:rFonts w:asciiTheme="minorHAnsi" w:hAnsiTheme="minorHAnsi" w:cstheme="minorHAnsi"/>
        </w:rPr>
        <w:t xml:space="preserve">university </w:t>
      </w:r>
      <w:r w:rsidR="00166779">
        <w:rPr>
          <w:rFonts w:asciiTheme="minorHAnsi" w:hAnsiTheme="minorHAnsi" w:cstheme="minorHAnsi"/>
        </w:rPr>
        <w:t xml:space="preserve">advanced </w:t>
      </w:r>
      <w:r w:rsidRPr="00637EA8">
        <w:rPr>
          <w:rFonts w:asciiTheme="minorHAnsi" w:hAnsiTheme="minorHAnsi" w:cstheme="minorHAnsi"/>
        </w:rPr>
        <w:t>degree</w:t>
      </w:r>
      <w:r>
        <w:rPr>
          <w:rFonts w:asciiTheme="minorHAnsi" w:hAnsiTheme="minorHAnsi" w:cstheme="minorHAnsi"/>
        </w:rPr>
        <w:t xml:space="preserve"> (Masters or Ph.D.) </w:t>
      </w:r>
      <w:r w:rsidRPr="00637EA8">
        <w:rPr>
          <w:rFonts w:asciiTheme="minorHAnsi" w:hAnsiTheme="minorHAnsi" w:cstheme="minorHAnsi"/>
        </w:rPr>
        <w:t xml:space="preserve"> in one of the following fields is required: </w:t>
      </w:r>
      <w:r>
        <w:rPr>
          <w:rFonts w:asciiTheme="minorHAnsi" w:hAnsiTheme="minorHAnsi" w:cstheme="minorHAnsi"/>
        </w:rPr>
        <w:t xml:space="preserve">public health, </w:t>
      </w:r>
      <w:r w:rsidRPr="00637EA8">
        <w:rPr>
          <w:rFonts w:asciiTheme="minorHAnsi" w:hAnsiTheme="minorHAnsi" w:cstheme="minorHAnsi"/>
        </w:rPr>
        <w:t>civil engineering, water engineering, sanit</w:t>
      </w:r>
      <w:r>
        <w:rPr>
          <w:rFonts w:asciiTheme="minorHAnsi" w:hAnsiTheme="minorHAnsi" w:cstheme="minorHAnsi"/>
        </w:rPr>
        <w:t>ation</w:t>
      </w:r>
      <w:r w:rsidRPr="00637EA8">
        <w:rPr>
          <w:rFonts w:asciiTheme="minorHAnsi" w:hAnsiTheme="minorHAnsi" w:cstheme="minorHAnsi"/>
        </w:rPr>
        <w:t xml:space="preserve"> engineering</w:t>
      </w:r>
      <w:r>
        <w:rPr>
          <w:rFonts w:asciiTheme="minorHAnsi" w:hAnsiTheme="minorHAnsi" w:cstheme="minorHAnsi"/>
        </w:rPr>
        <w:t xml:space="preserve">, social sciences, </w:t>
      </w:r>
      <w:proofErr w:type="gramStart"/>
      <w:r>
        <w:rPr>
          <w:rFonts w:asciiTheme="minorHAnsi" w:hAnsiTheme="minorHAnsi" w:cstheme="minorHAnsi"/>
        </w:rPr>
        <w:t>research</w:t>
      </w:r>
      <w:proofErr w:type="gramEnd"/>
      <w:r w:rsidRPr="00637EA8">
        <w:rPr>
          <w:rFonts w:asciiTheme="minorHAnsi" w:hAnsiTheme="minorHAnsi" w:cstheme="minorHAnsi"/>
        </w:rPr>
        <w:t xml:space="preserve"> or another relevant technical field.</w:t>
      </w:r>
    </w:p>
    <w:p w14:paraId="2CC5E8CE" w14:textId="0B952872" w:rsidR="00701D34" w:rsidRPr="00C75398" w:rsidRDefault="00701D34" w:rsidP="00701D34">
      <w:pPr>
        <w:rPr>
          <w:rFonts w:asciiTheme="minorHAnsi" w:hAnsiTheme="minorHAnsi" w:cstheme="minorHAnsi"/>
        </w:rPr>
      </w:pPr>
      <w:r w:rsidRPr="00C75398">
        <w:rPr>
          <w:rFonts w:asciiTheme="minorHAnsi" w:hAnsiTheme="minorHAnsi" w:cstheme="minorHAnsi"/>
          <w:b/>
          <w:bCs/>
          <w:i/>
          <w:iCs/>
        </w:rPr>
        <w:t>Work Experience:</w:t>
      </w:r>
      <w:r w:rsidRPr="00C75398">
        <w:rPr>
          <w:rFonts w:asciiTheme="minorHAnsi" w:hAnsiTheme="minorHAnsi" w:cstheme="minorHAnsi"/>
        </w:rPr>
        <w:t xml:space="preserve"> a minimum of </w:t>
      </w:r>
      <w:r w:rsidR="00166779">
        <w:rPr>
          <w:rFonts w:asciiTheme="minorHAnsi" w:hAnsiTheme="minorHAnsi" w:cstheme="minorHAnsi"/>
        </w:rPr>
        <w:t>5</w:t>
      </w:r>
      <w:r w:rsidRPr="00C75398">
        <w:rPr>
          <w:rFonts w:asciiTheme="minorHAnsi" w:hAnsiTheme="minorHAnsi" w:cstheme="minorHAnsi"/>
        </w:rPr>
        <w:t xml:space="preserve"> years of proven work experience in research and analysis of WASH development and humanitarian programs, reviewing and summarizing both quantitative and qualitative data and information. Experience in undertaking Joint sector reviews and bottleneck analysis. </w:t>
      </w:r>
    </w:p>
    <w:p w14:paraId="4F662829" w14:textId="77777777" w:rsidR="00701D34" w:rsidRDefault="00701D34" w:rsidP="00701D34">
      <w:pPr>
        <w:autoSpaceDE w:val="0"/>
        <w:autoSpaceDN w:val="0"/>
        <w:adjustRightInd w:val="0"/>
        <w:spacing w:line="240" w:lineRule="auto"/>
        <w:jc w:val="both"/>
        <w:rPr>
          <w:rFonts w:asciiTheme="minorHAnsi" w:eastAsia="Times New Roman" w:hAnsiTheme="minorHAnsi" w:cstheme="minorHAnsi"/>
          <w:bCs/>
          <w:iCs/>
        </w:rPr>
      </w:pPr>
      <w:r w:rsidRPr="007A2110">
        <w:rPr>
          <w:rFonts w:asciiTheme="minorHAnsi" w:eastAsia="Times New Roman" w:hAnsiTheme="minorHAnsi" w:cstheme="minorHAnsi"/>
          <w:b/>
          <w:i/>
        </w:rPr>
        <w:t>Competencies:</w:t>
      </w:r>
      <w:r w:rsidRPr="007A2110">
        <w:rPr>
          <w:rFonts w:asciiTheme="minorHAnsi" w:hAnsiTheme="minorHAnsi" w:cstheme="minorHAnsi"/>
        </w:rPr>
        <w:t xml:space="preserve"> </w:t>
      </w:r>
      <w:r>
        <w:rPr>
          <w:rFonts w:asciiTheme="minorHAnsi" w:hAnsiTheme="minorHAnsi" w:cstheme="minorHAnsi"/>
        </w:rPr>
        <w:t xml:space="preserve"> </w:t>
      </w:r>
      <w:r w:rsidRPr="00E10F4F">
        <w:rPr>
          <w:rFonts w:asciiTheme="minorHAnsi" w:eastAsia="Times New Roman" w:hAnsiTheme="minorHAnsi" w:cstheme="minorHAnsi"/>
          <w:bCs/>
          <w:iCs/>
        </w:rPr>
        <w:t>Strong analytical and conceptual thinking. Excellent writing skills. Excellent communication and presentation skills with stakeholders and the ability to work under pressure and commitment to work to a tight timeframe.</w:t>
      </w:r>
    </w:p>
    <w:p w14:paraId="60D385B0" w14:textId="77777777" w:rsidR="00701D34" w:rsidRPr="008E6EEC" w:rsidRDefault="00701D34" w:rsidP="00701D34">
      <w:pPr>
        <w:pStyle w:val="ListBullet"/>
        <w:spacing w:line="240" w:lineRule="auto"/>
        <w:rPr>
          <w:rFonts w:asciiTheme="minorHAnsi" w:eastAsia="Arial" w:hAnsiTheme="minorHAnsi" w:cstheme="minorHAnsi"/>
          <w:szCs w:val="22"/>
        </w:rPr>
      </w:pPr>
      <w:r w:rsidRPr="007A2110">
        <w:rPr>
          <w:rFonts w:asciiTheme="minorHAnsi" w:hAnsiTheme="minorHAnsi" w:cstheme="minorHAnsi"/>
          <w:b/>
          <w:i/>
        </w:rPr>
        <w:t xml:space="preserve">Language: </w:t>
      </w:r>
      <w:r w:rsidRPr="007A2110">
        <w:rPr>
          <w:rFonts w:asciiTheme="minorHAnsi" w:hAnsiTheme="minorHAnsi" w:cstheme="minorHAnsi"/>
        </w:rPr>
        <w:t xml:space="preserve"> </w:t>
      </w:r>
      <w:r>
        <w:rPr>
          <w:rFonts w:asciiTheme="minorHAnsi" w:hAnsiTheme="minorHAnsi" w:cstheme="minorHAnsi"/>
        </w:rPr>
        <w:t>Excellent working knowledge and c</w:t>
      </w:r>
      <w:r w:rsidRPr="007A2110">
        <w:rPr>
          <w:rFonts w:asciiTheme="minorHAnsi" w:hAnsiTheme="minorHAnsi" w:cstheme="minorHAnsi"/>
        </w:rPr>
        <w:t xml:space="preserve">ommunication in </w:t>
      </w:r>
      <w:r>
        <w:rPr>
          <w:rFonts w:asciiTheme="minorHAnsi" w:hAnsiTheme="minorHAnsi" w:cstheme="minorHAnsi"/>
        </w:rPr>
        <w:t xml:space="preserve">English is required. Knowledge of Tajik and </w:t>
      </w:r>
      <w:r w:rsidRPr="007A2110">
        <w:rPr>
          <w:rFonts w:asciiTheme="minorHAnsi" w:hAnsiTheme="minorHAnsi" w:cstheme="minorHAnsi"/>
        </w:rPr>
        <w:t>Russian is an asset</w:t>
      </w:r>
      <w:r>
        <w:rPr>
          <w:rFonts w:asciiTheme="minorHAnsi" w:hAnsiTheme="minorHAnsi" w:cstheme="minorHAnsi"/>
        </w:rPr>
        <w:t xml:space="preserve"> and preferable</w:t>
      </w:r>
    </w:p>
    <w:p w14:paraId="2DBC921F"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p>
    <w:p w14:paraId="363E794B"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rPr>
        <w:t>REQUIREMENTS:</w:t>
      </w:r>
    </w:p>
    <w:p w14:paraId="15BFF768" w14:textId="77777777" w:rsidR="00701D34" w:rsidRPr="008E6EEC" w:rsidRDefault="00701D34" w:rsidP="00701D34">
      <w:pPr>
        <w:spacing w:line="240" w:lineRule="auto"/>
        <w:jc w:val="both"/>
        <w:rPr>
          <w:rFonts w:asciiTheme="minorHAnsi" w:hAnsiTheme="minorHAnsi" w:cstheme="minorHAnsi"/>
          <w:b/>
          <w:i/>
        </w:rPr>
      </w:pPr>
    </w:p>
    <w:p w14:paraId="00831D5D" w14:textId="77777777" w:rsidR="00701D34" w:rsidRPr="008E6EEC" w:rsidRDefault="00701D34" w:rsidP="00701D34">
      <w:pPr>
        <w:spacing w:line="240" w:lineRule="auto"/>
        <w:jc w:val="both"/>
        <w:rPr>
          <w:rFonts w:asciiTheme="minorHAnsi" w:hAnsiTheme="minorHAnsi" w:cstheme="minorHAnsi"/>
          <w:b/>
          <w:i/>
        </w:rPr>
      </w:pPr>
      <w:r w:rsidRPr="008E6EEC">
        <w:rPr>
          <w:rFonts w:asciiTheme="minorHAnsi" w:hAnsiTheme="minorHAnsi" w:cstheme="minorHAnsi"/>
          <w:b/>
          <w:i/>
        </w:rPr>
        <w:t>Qualified candidates are requested to submit:</w:t>
      </w:r>
    </w:p>
    <w:p w14:paraId="410A1E53"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Cover letter/application/CV.</w:t>
      </w:r>
    </w:p>
    <w:p w14:paraId="3C3A3011" w14:textId="77777777" w:rsidR="00701D34" w:rsidRPr="00286EAB"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A technical proposal with the proposed methodology/approach to managing the project, showing understanding of tasks</w:t>
      </w:r>
      <w:r>
        <w:rPr>
          <w:rFonts w:asciiTheme="minorHAnsi" w:hAnsiTheme="minorHAnsi" w:cstheme="minorHAnsi"/>
        </w:rPr>
        <w:t>.</w:t>
      </w:r>
    </w:p>
    <w:p w14:paraId="1F52E048"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Pr>
          <w:rFonts w:asciiTheme="minorHAnsi" w:hAnsiTheme="minorHAnsi" w:cstheme="minorHAnsi"/>
        </w:rPr>
        <w:t>Work plan.</w:t>
      </w:r>
    </w:p>
    <w:p w14:paraId="4972F768"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sidRPr="00917172">
        <w:rPr>
          <w:rFonts w:asciiTheme="minorHAnsi" w:hAnsiTheme="minorHAnsi" w:cstheme="minorHAnsi"/>
        </w:rPr>
        <w:t>Financial quote for the consultancy in Tajik Somoni</w:t>
      </w:r>
      <w:r>
        <w:rPr>
          <w:rFonts w:asciiTheme="minorHAnsi" w:hAnsiTheme="minorHAnsi" w:cstheme="minorHAnsi"/>
        </w:rPr>
        <w:t xml:space="preserve"> for National consultants and in USD for International consultants</w:t>
      </w:r>
      <w:r w:rsidRPr="00917172">
        <w:rPr>
          <w:rFonts w:asciiTheme="minorHAnsi" w:hAnsiTheme="minorHAnsi" w:cstheme="minorHAnsi"/>
        </w:rPr>
        <w:t xml:space="preserve"> per deliverable, </w:t>
      </w:r>
      <w:proofErr w:type="gramStart"/>
      <w:r w:rsidRPr="00917172">
        <w:rPr>
          <w:rFonts w:asciiTheme="minorHAnsi" w:hAnsiTheme="minorHAnsi" w:cstheme="minorHAnsi"/>
        </w:rPr>
        <w:t>stating also</w:t>
      </w:r>
      <w:proofErr w:type="gramEnd"/>
      <w:r w:rsidRPr="00917172">
        <w:rPr>
          <w:rFonts w:asciiTheme="minorHAnsi" w:hAnsiTheme="minorHAnsi" w:cstheme="minorHAnsi"/>
        </w:rPr>
        <w:t xml:space="preserve"> the timeframe for completion of deliverable and/or daily rate in Tajik Somoni</w:t>
      </w:r>
      <w:r>
        <w:rPr>
          <w:rFonts w:asciiTheme="minorHAnsi" w:hAnsiTheme="minorHAnsi" w:cstheme="minorHAnsi"/>
        </w:rPr>
        <w:t>/USD</w:t>
      </w:r>
      <w:r w:rsidRPr="00917172">
        <w:rPr>
          <w:rFonts w:asciiTheme="minorHAnsi" w:hAnsiTheme="minorHAnsi" w:cstheme="minorHAnsi"/>
        </w:rPr>
        <w:t>.</w:t>
      </w:r>
    </w:p>
    <w:p w14:paraId="5A8A3509"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Examples of previous, relevant work related to the deliverables.</w:t>
      </w:r>
    </w:p>
    <w:p w14:paraId="03217576"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At least two references</w:t>
      </w:r>
    </w:p>
    <w:p w14:paraId="35A3E584" w14:textId="77777777" w:rsidR="00701D34" w:rsidRPr="008E6EEC" w:rsidRDefault="00701D34" w:rsidP="00701D34">
      <w:pPr>
        <w:shd w:val="clear" w:color="auto" w:fill="FFFFFF" w:themeFill="background1"/>
        <w:contextualSpacing/>
        <w:jc w:val="both"/>
        <w:rPr>
          <w:rFonts w:asciiTheme="minorHAnsi" w:eastAsiaTheme="minorEastAsia" w:hAnsiTheme="minorHAnsi" w:cstheme="minorHAnsi"/>
        </w:rPr>
      </w:pPr>
    </w:p>
    <w:p w14:paraId="46FC1ACD" w14:textId="2321192F" w:rsidR="00701D34" w:rsidRDefault="00701D34" w:rsidP="00F87AC7">
      <w:pPr>
        <w:pStyle w:val="NormalWeb"/>
        <w:jc w:val="both"/>
        <w:rPr>
          <w:rFonts w:ascii="Calibri" w:eastAsia="Arial" w:hAnsi="Calibri" w:cs="Calibri"/>
          <w:color w:val="000000"/>
          <w:sz w:val="22"/>
          <w:szCs w:val="22"/>
          <w:lang w:eastAsia="en-US"/>
        </w:rPr>
      </w:pPr>
      <w:r w:rsidRPr="00682127">
        <w:rPr>
          <w:rFonts w:asciiTheme="minorHAnsi" w:eastAsia="Arial" w:hAnsiTheme="minorHAnsi" w:cstheme="minorHAnsi"/>
          <w:color w:val="000000"/>
          <w:sz w:val="22"/>
          <w:szCs w:val="22"/>
          <w:lang w:eastAsia="en-US"/>
        </w:rPr>
        <w:t xml:space="preserve">Queries can be sent to: </w:t>
      </w:r>
      <w:bookmarkStart w:id="4" w:name="_Hlk78885988"/>
      <w:r w:rsidR="00F87AC7">
        <w:rPr>
          <w:rFonts w:asciiTheme="minorHAnsi" w:hAnsiTheme="minorHAnsi" w:cstheme="minorHAnsi"/>
          <w:sz w:val="22"/>
          <w:szCs w:val="22"/>
        </w:rPr>
        <w:fldChar w:fldCharType="begin"/>
      </w:r>
      <w:r w:rsidR="00F87AC7">
        <w:rPr>
          <w:rFonts w:asciiTheme="minorHAnsi" w:hAnsiTheme="minorHAnsi" w:cstheme="minorHAnsi"/>
          <w:sz w:val="22"/>
          <w:szCs w:val="22"/>
        </w:rPr>
        <w:instrText xml:space="preserve"> HYPERLINK "mailto:</w:instrText>
      </w:r>
      <w:r w:rsidR="00F87AC7" w:rsidRPr="00F87AC7">
        <w:rPr>
          <w:rFonts w:asciiTheme="minorHAnsi" w:hAnsiTheme="minorHAnsi" w:cstheme="minorHAnsi"/>
          <w:sz w:val="22"/>
          <w:szCs w:val="22"/>
        </w:rPr>
        <w:instrText>dushanbe@unicef.org</w:instrText>
      </w:r>
      <w:r w:rsidR="00F87AC7">
        <w:rPr>
          <w:rFonts w:asciiTheme="minorHAnsi" w:hAnsiTheme="minorHAnsi" w:cstheme="minorHAnsi"/>
          <w:sz w:val="22"/>
          <w:szCs w:val="22"/>
        </w:rPr>
        <w:instrText xml:space="preserve">" </w:instrText>
      </w:r>
      <w:r w:rsidR="00F87AC7">
        <w:rPr>
          <w:rFonts w:asciiTheme="minorHAnsi" w:hAnsiTheme="minorHAnsi" w:cstheme="minorHAnsi"/>
          <w:sz w:val="22"/>
          <w:szCs w:val="22"/>
        </w:rPr>
        <w:fldChar w:fldCharType="separate"/>
      </w:r>
      <w:r w:rsidR="00F87AC7" w:rsidRPr="005617E5">
        <w:rPr>
          <w:rStyle w:val="Hyperlink"/>
          <w:rFonts w:asciiTheme="minorHAnsi" w:hAnsiTheme="minorHAnsi" w:cstheme="minorHAnsi"/>
          <w:sz w:val="22"/>
          <w:szCs w:val="22"/>
        </w:rPr>
        <w:t>dushanbe@unicef.org</w:t>
      </w:r>
      <w:bookmarkEnd w:id="4"/>
      <w:r w:rsidR="00F87AC7">
        <w:rPr>
          <w:rFonts w:asciiTheme="minorHAnsi" w:hAnsiTheme="minorHAnsi" w:cstheme="minorHAnsi"/>
          <w:sz w:val="22"/>
          <w:szCs w:val="22"/>
        </w:rPr>
        <w:fldChar w:fldCharType="end"/>
      </w:r>
      <w:r w:rsidRPr="00682127">
        <w:rPr>
          <w:rFonts w:asciiTheme="minorHAnsi" w:eastAsia="Arial" w:hAnsiTheme="minorHAnsi" w:cstheme="minorHAnsi"/>
          <w:color w:val="000000"/>
          <w:sz w:val="22"/>
          <w:szCs w:val="22"/>
          <w:lang w:eastAsia="en-US"/>
        </w:rPr>
        <w:t xml:space="preserve">  with subject line </w:t>
      </w:r>
      <w:r w:rsidRPr="00682127">
        <w:rPr>
          <w:rFonts w:asciiTheme="minorHAnsi" w:eastAsia="Arial" w:hAnsiTheme="minorHAnsi" w:cstheme="minorHAnsi"/>
          <w:b/>
          <w:bCs/>
          <w:color w:val="000000"/>
          <w:sz w:val="22"/>
          <w:szCs w:val="22"/>
          <w:lang w:eastAsia="en-US"/>
        </w:rPr>
        <w:t>“Consultancy to provide Technical</w:t>
      </w:r>
      <w:r w:rsidRPr="00AD48A3">
        <w:rPr>
          <w:rFonts w:ascii="Calibri" w:eastAsia="Arial" w:hAnsi="Calibri" w:cs="Calibri"/>
          <w:b/>
          <w:bCs/>
          <w:color w:val="000000"/>
          <w:sz w:val="22"/>
          <w:szCs w:val="22"/>
          <w:lang w:eastAsia="en-US"/>
        </w:rPr>
        <w:t xml:space="preserve"> Assistance to the Government of Tajikistan (relevant Ministries)  on carrying out Joint Sector Review by using  WASH Bottleneck Analysis tool (WASH-BAT)”</w:t>
      </w:r>
      <w:r w:rsidRPr="00AD48A3" w:rsidDel="000F2F96">
        <w:rPr>
          <w:rFonts w:ascii="Calibri" w:eastAsia="Arial" w:hAnsi="Calibri" w:cs="Calibri"/>
          <w:b/>
          <w:bCs/>
          <w:color w:val="000000"/>
          <w:sz w:val="22"/>
          <w:szCs w:val="22"/>
          <w:lang w:eastAsia="en-US"/>
        </w:rPr>
        <w:t xml:space="preserve"> </w:t>
      </w:r>
      <w:r w:rsidRPr="00AD48A3">
        <w:rPr>
          <w:rFonts w:ascii="Calibri" w:eastAsia="Arial" w:hAnsi="Calibri" w:cs="Calibri"/>
          <w:color w:val="000000"/>
          <w:sz w:val="22"/>
          <w:szCs w:val="22"/>
          <w:lang w:eastAsia="en-US"/>
        </w:rPr>
        <w:t xml:space="preserve">Applications must be received in the system by the </w:t>
      </w:r>
      <w:r w:rsidR="00AD48A3" w:rsidRPr="00AD48A3">
        <w:rPr>
          <w:rFonts w:ascii="Calibri" w:eastAsia="Arial" w:hAnsi="Calibri" w:cs="Calibri"/>
          <w:b/>
          <w:color w:val="000000"/>
          <w:sz w:val="22"/>
          <w:szCs w:val="22"/>
          <w:lang w:eastAsia="en-US"/>
        </w:rPr>
        <w:t>August 23</w:t>
      </w:r>
      <w:r w:rsidRPr="00AD48A3">
        <w:rPr>
          <w:rFonts w:ascii="Calibri" w:eastAsia="Arial" w:hAnsi="Calibri" w:cs="Calibri"/>
          <w:b/>
          <w:color w:val="000000"/>
          <w:sz w:val="22"/>
          <w:szCs w:val="22"/>
          <w:lang w:eastAsia="en-US"/>
        </w:rPr>
        <w:t>, 2021</w:t>
      </w:r>
      <w:r w:rsidRPr="00AD48A3">
        <w:rPr>
          <w:rFonts w:ascii="Calibri" w:eastAsia="Arial" w:hAnsi="Calibri" w:cs="Calibri"/>
          <w:color w:val="000000"/>
          <w:sz w:val="22"/>
          <w:szCs w:val="22"/>
          <w:lang w:eastAsia="en-US"/>
        </w:rPr>
        <w:t xml:space="preserve"> at </w:t>
      </w:r>
      <w:r w:rsidR="00F87AC7">
        <w:rPr>
          <w:rFonts w:ascii="Calibri" w:eastAsia="Arial" w:hAnsi="Calibri" w:cs="Calibri"/>
          <w:color w:val="000000"/>
          <w:sz w:val="22"/>
          <w:szCs w:val="22"/>
          <w:lang w:eastAsia="en-US"/>
        </w:rPr>
        <w:t>UNICEF</w:t>
      </w:r>
      <w:r w:rsidRPr="00AD48A3">
        <w:rPr>
          <w:rFonts w:ascii="Calibri" w:eastAsia="Arial" w:hAnsi="Calibri" w:cs="Calibri"/>
          <w:color w:val="000000"/>
          <w:sz w:val="22"/>
          <w:szCs w:val="22"/>
          <w:lang w:eastAsia="en-US"/>
        </w:rPr>
        <w:t xml:space="preserve"> website</w:t>
      </w:r>
      <w:r w:rsidR="00F87AC7">
        <w:rPr>
          <w:rFonts w:ascii="Calibri" w:eastAsia="Arial" w:hAnsi="Calibri" w:cs="Calibri"/>
          <w:color w:val="000000"/>
          <w:sz w:val="22"/>
          <w:szCs w:val="22"/>
          <w:lang w:eastAsia="en-US"/>
        </w:rPr>
        <w:t>.</w:t>
      </w:r>
    </w:p>
    <w:p w14:paraId="47CFD9D8" w14:textId="77777777" w:rsidR="00F87AC7" w:rsidRPr="008E6EEC" w:rsidRDefault="00F87AC7" w:rsidP="00F87AC7">
      <w:pPr>
        <w:pStyle w:val="NormalWeb"/>
        <w:jc w:val="both"/>
        <w:rPr>
          <w:rFonts w:asciiTheme="minorHAnsi" w:hAnsiTheme="minorHAnsi" w:cstheme="minorHAnsi"/>
          <w:sz w:val="22"/>
          <w:szCs w:val="22"/>
        </w:rPr>
      </w:pPr>
    </w:p>
    <w:p w14:paraId="509CFA92" w14:textId="77777777" w:rsidR="00701D34" w:rsidRPr="000D3A0F" w:rsidRDefault="00701D34" w:rsidP="00701D34">
      <w:pPr>
        <w:pStyle w:val="Default"/>
        <w:jc w:val="both"/>
        <w:rPr>
          <w:rFonts w:asciiTheme="minorHAnsi" w:hAnsiTheme="minorHAnsi" w:cstheme="minorHAnsi"/>
          <w:sz w:val="22"/>
          <w:szCs w:val="22"/>
        </w:rPr>
      </w:pPr>
      <w:r w:rsidRPr="000D3A0F">
        <w:rPr>
          <w:rFonts w:asciiTheme="minorHAnsi" w:hAnsiTheme="minorHAnsi" w:cstheme="minorHAnsi"/>
          <w:sz w:val="22"/>
          <w:szCs w:val="22"/>
        </w:rPr>
        <w:t>Travel costs and DSA will be covered in accordance with UN rules and regulations. No other remunerations apply. As a general principle, the fees payable to a consultant or individual contractor follow the “best value for money” principle,</w:t>
      </w:r>
      <w:r w:rsidRPr="000D3A0F">
        <w:rPr>
          <w:rFonts w:asciiTheme="minorHAnsi" w:eastAsia="Arial" w:hAnsiTheme="minorHAnsi" w:cstheme="minorHAnsi"/>
          <w:sz w:val="22"/>
          <w:szCs w:val="22"/>
          <w:lang w:val="en-GB"/>
        </w:rPr>
        <w:t xml:space="preserve"> i.e., achieving the desired outcome at the lowest possible cost.</w:t>
      </w:r>
      <w:r w:rsidRPr="000D3A0F">
        <w:rPr>
          <w:rFonts w:asciiTheme="minorHAnsi" w:hAnsiTheme="minorHAnsi" w:cstheme="minorHAnsi"/>
          <w:sz w:val="22"/>
          <w:szCs w:val="22"/>
        </w:rPr>
        <w:t xml:space="preserve"> </w:t>
      </w:r>
    </w:p>
    <w:p w14:paraId="3145938C" w14:textId="77777777" w:rsidR="00701D34" w:rsidRPr="000D3A0F" w:rsidRDefault="00701D34" w:rsidP="00701D34">
      <w:pPr>
        <w:pStyle w:val="Default"/>
        <w:jc w:val="both"/>
        <w:rPr>
          <w:rFonts w:asciiTheme="minorHAnsi" w:hAnsiTheme="minorHAnsi" w:cstheme="minorHAnsi"/>
          <w:sz w:val="22"/>
          <w:szCs w:val="22"/>
        </w:rPr>
      </w:pPr>
    </w:p>
    <w:p w14:paraId="553A39E6" w14:textId="77777777" w:rsidR="00701D34" w:rsidRPr="008E6EEC" w:rsidRDefault="00701D34" w:rsidP="00701D34">
      <w:pPr>
        <w:pStyle w:val="Default"/>
        <w:jc w:val="both"/>
        <w:rPr>
          <w:rFonts w:asciiTheme="minorHAnsi" w:eastAsia="Arial" w:hAnsiTheme="minorHAnsi" w:cstheme="minorHAnsi"/>
          <w:sz w:val="22"/>
          <w:szCs w:val="22"/>
          <w:lang w:val="en-GB"/>
        </w:rPr>
      </w:pPr>
      <w:r w:rsidRPr="000D3A0F">
        <w:rPr>
          <w:rFonts w:asciiTheme="minorHAnsi" w:hAnsiTheme="minorHAnsi" w:cstheme="minorHAnsi"/>
          <w:sz w:val="22"/>
          <w:szCs w:val="22"/>
        </w:rPr>
        <w:t>Please note that consultants and individual contractors are responsible for assuming costs for obtaining visas and travel insurance.</w:t>
      </w:r>
    </w:p>
    <w:p w14:paraId="35CC16CE" w14:textId="77777777" w:rsidR="00701D34" w:rsidRDefault="00701D34" w:rsidP="00701D34">
      <w:pPr>
        <w:pStyle w:val="NormalWeb"/>
        <w:spacing w:line="288" w:lineRule="auto"/>
        <w:jc w:val="both"/>
        <w:rPr>
          <w:rFonts w:asciiTheme="minorHAnsi" w:eastAsia="Arial" w:hAnsiTheme="minorHAnsi" w:cstheme="minorHAnsi"/>
          <w:color w:val="000000"/>
          <w:sz w:val="22"/>
          <w:szCs w:val="22"/>
          <w:lang w:eastAsia="en-US"/>
        </w:rPr>
      </w:pPr>
    </w:p>
    <w:p w14:paraId="7193A60A" w14:textId="77777777" w:rsidR="00701D34" w:rsidRDefault="00701D34" w:rsidP="00701D34">
      <w:pPr>
        <w:pStyle w:val="NormalWeb"/>
        <w:spacing w:line="288" w:lineRule="auto"/>
        <w:jc w:val="both"/>
        <w:rPr>
          <w:rFonts w:asciiTheme="minorHAnsi" w:hAnsiTheme="minorHAnsi" w:cstheme="minorHAnsi"/>
          <w:b/>
          <w:color w:val="4472C4" w:themeColor="accent1"/>
          <w:sz w:val="22"/>
          <w:szCs w:val="22"/>
        </w:rPr>
      </w:pPr>
      <w:r w:rsidRPr="005874C8">
        <w:rPr>
          <w:rFonts w:asciiTheme="minorHAnsi" w:hAnsiTheme="minorHAnsi" w:cstheme="minorHAnsi"/>
          <w:b/>
          <w:color w:val="4472C4" w:themeColor="accent1"/>
          <w:sz w:val="22"/>
          <w:szCs w:val="22"/>
        </w:rPr>
        <w:t>EVALUATION PROCESS AND METHODS</w:t>
      </w:r>
      <w:r w:rsidRPr="008E6EEC">
        <w:rPr>
          <w:rFonts w:asciiTheme="minorHAnsi" w:hAnsiTheme="minorHAnsi" w:cstheme="minorHAnsi"/>
          <w:b/>
          <w:color w:val="4472C4" w:themeColor="accent1"/>
          <w:sz w:val="22"/>
          <w:szCs w:val="22"/>
        </w:rPr>
        <w:t>:</w:t>
      </w:r>
    </w:p>
    <w:p w14:paraId="4855B93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Individual consultants</w:t>
      </w:r>
      <w:r>
        <w:rPr>
          <w:rFonts w:asciiTheme="minorHAnsi" w:eastAsia="Times" w:hAnsiTheme="minorHAnsi" w:cstheme="minorHAnsi"/>
          <w:lang w:eastAsia="en-GB"/>
        </w:rPr>
        <w:t>/contractors</w:t>
      </w:r>
      <w:r w:rsidRPr="008E6EEC">
        <w:rPr>
          <w:rFonts w:asciiTheme="minorHAnsi" w:eastAsia="Times" w:hAnsiTheme="minorHAnsi" w:cstheme="minorHAnsi"/>
          <w:lang w:eastAsia="en-GB"/>
        </w:rPr>
        <w:t xml:space="preserve"> will be evaluated based on a cumulative analysis methodology. The award of the Contract shall be made to the individual consultant whose offer has been evaluated and determined as:</w:t>
      </w:r>
    </w:p>
    <w:p w14:paraId="1BAFDFF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p>
    <w:p w14:paraId="453067F7"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a) responsive/compliant/acceptable, and</w:t>
      </w:r>
    </w:p>
    <w:p w14:paraId="6D114904"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b) </w:t>
      </w:r>
      <w:r>
        <w:rPr>
          <w:rFonts w:asciiTheme="minorHAnsi" w:eastAsia="Times" w:hAnsiTheme="minorHAnsi" w:cstheme="minorHAnsi"/>
          <w:lang w:eastAsia="en-GB"/>
        </w:rPr>
        <w:t>h</w:t>
      </w:r>
      <w:r w:rsidRPr="008E6EEC">
        <w:rPr>
          <w:rFonts w:asciiTheme="minorHAnsi" w:eastAsia="Times" w:hAnsiTheme="minorHAnsi" w:cstheme="minorHAnsi"/>
          <w:lang w:eastAsia="en-GB"/>
        </w:rPr>
        <w:t>aving received the highest score out of a weighted set of technical and financial criteria.</w:t>
      </w:r>
    </w:p>
    <w:p w14:paraId="4B2B19EF"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p>
    <w:p w14:paraId="4F8ECCDA"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382450">
        <w:rPr>
          <w:rFonts w:asciiTheme="minorHAnsi" w:eastAsia="Times" w:hAnsiTheme="minorHAnsi" w:cstheme="minorHAnsi"/>
          <w:lang w:eastAsia="en-GB"/>
        </w:rPr>
        <w:t>During the selection, the ratio between the technical evaluation and commercial offer is 70 to 30.</w:t>
      </w:r>
    </w:p>
    <w:p w14:paraId="345597AB" w14:textId="77777777" w:rsidR="00701D34" w:rsidRPr="008E6EEC" w:rsidRDefault="00701D34" w:rsidP="00701D34">
      <w:pPr>
        <w:autoSpaceDE w:val="0"/>
        <w:autoSpaceDN w:val="0"/>
        <w:spacing w:line="260" w:lineRule="exact"/>
        <w:ind w:left="708"/>
        <w:jc w:val="both"/>
        <w:rPr>
          <w:rFonts w:asciiTheme="minorHAnsi" w:eastAsia="Times" w:hAnsiTheme="minorHAnsi" w:cstheme="minorHAnsi"/>
          <w:lang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5"/>
        <w:gridCol w:w="1170"/>
        <w:gridCol w:w="2070"/>
      </w:tblGrid>
      <w:tr w:rsidR="00701D34" w:rsidRPr="007A7A14" w14:paraId="1613FB09" w14:textId="77777777" w:rsidTr="004A1333">
        <w:trPr>
          <w:trHeight w:val="342"/>
        </w:trPr>
        <w:tc>
          <w:tcPr>
            <w:tcW w:w="6655" w:type="dxa"/>
            <w:tcMar>
              <w:top w:w="0" w:type="dxa"/>
              <w:left w:w="108" w:type="dxa"/>
              <w:bottom w:w="0" w:type="dxa"/>
              <w:right w:w="108" w:type="dxa"/>
            </w:tcMar>
            <w:vAlign w:val="center"/>
            <w:hideMark/>
          </w:tcPr>
          <w:p w14:paraId="52A8581B" w14:textId="77777777" w:rsidR="00701D34" w:rsidRPr="007A7A14" w:rsidRDefault="00701D34" w:rsidP="004A1333">
            <w:pPr>
              <w:spacing w:line="260" w:lineRule="exact"/>
              <w:jc w:val="center"/>
              <w:rPr>
                <w:rFonts w:ascii="Calibri" w:eastAsia="Times" w:hAnsi="Calibri" w:cs="Calibri"/>
                <w:b/>
                <w:bCs/>
                <w:i/>
                <w:iCs/>
                <w:color w:val="auto"/>
                <w:lang w:val="en-US" w:eastAsia="ru-RU"/>
              </w:rPr>
            </w:pPr>
            <w:r w:rsidRPr="007A7A14">
              <w:rPr>
                <w:rFonts w:ascii="Calibri" w:eastAsia="Times" w:hAnsi="Calibri" w:cs="Calibri"/>
                <w:b/>
                <w:bCs/>
                <w:i/>
                <w:iCs/>
                <w:lang w:val="en-US" w:eastAsia="ru-RU"/>
              </w:rPr>
              <w:t>Criteria</w:t>
            </w:r>
          </w:p>
        </w:tc>
        <w:tc>
          <w:tcPr>
            <w:tcW w:w="1170" w:type="dxa"/>
            <w:tcMar>
              <w:top w:w="0" w:type="dxa"/>
              <w:left w:w="108" w:type="dxa"/>
              <w:bottom w:w="0" w:type="dxa"/>
              <w:right w:w="108" w:type="dxa"/>
            </w:tcMar>
            <w:vAlign w:val="center"/>
            <w:hideMark/>
          </w:tcPr>
          <w:p w14:paraId="1F48ED9C"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ru-RU" w:eastAsia="ru-RU"/>
              </w:rPr>
              <w:t>Weigh</w:t>
            </w:r>
            <w:r w:rsidRPr="007A7A14">
              <w:rPr>
                <w:rFonts w:ascii="Calibri" w:eastAsia="Times" w:hAnsi="Calibri" w:cs="Calibri"/>
                <w:b/>
                <w:bCs/>
                <w:i/>
                <w:iCs/>
                <w:lang w:val="en-US" w:eastAsia="ru-RU"/>
              </w:rPr>
              <w:t>t</w:t>
            </w:r>
          </w:p>
        </w:tc>
        <w:tc>
          <w:tcPr>
            <w:tcW w:w="2070" w:type="dxa"/>
            <w:tcMar>
              <w:top w:w="0" w:type="dxa"/>
              <w:left w:w="108" w:type="dxa"/>
              <w:bottom w:w="0" w:type="dxa"/>
              <w:right w:w="108" w:type="dxa"/>
            </w:tcMar>
            <w:hideMark/>
          </w:tcPr>
          <w:p w14:paraId="4BD03F6E"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Max. Point</w:t>
            </w:r>
          </w:p>
          <w:p w14:paraId="0F1E3CED" w14:textId="77777777" w:rsidR="00701D34" w:rsidRPr="007A7A14" w:rsidRDefault="00701D34" w:rsidP="004A1333">
            <w:pPr>
              <w:spacing w:line="260" w:lineRule="exact"/>
              <w:jc w:val="center"/>
              <w:rPr>
                <w:rFonts w:ascii="Calibri" w:eastAsia="Times" w:hAnsi="Calibri" w:cs="Calibri"/>
                <w:b/>
                <w:bCs/>
                <w:i/>
                <w:iCs/>
                <w:lang w:val="en-US" w:eastAsia="ru-RU"/>
              </w:rPr>
            </w:pPr>
          </w:p>
        </w:tc>
      </w:tr>
      <w:tr w:rsidR="00701D34" w:rsidRPr="007A7A14" w14:paraId="445B76A5" w14:textId="77777777" w:rsidTr="004A1333">
        <w:trPr>
          <w:trHeight w:val="377"/>
        </w:trPr>
        <w:tc>
          <w:tcPr>
            <w:tcW w:w="6655" w:type="dxa"/>
            <w:shd w:val="clear" w:color="auto" w:fill="C6D9F1"/>
            <w:tcMar>
              <w:top w:w="0" w:type="dxa"/>
              <w:left w:w="108" w:type="dxa"/>
              <w:bottom w:w="0" w:type="dxa"/>
              <w:right w:w="108" w:type="dxa"/>
            </w:tcMar>
            <w:vAlign w:val="center"/>
            <w:hideMark/>
          </w:tcPr>
          <w:p w14:paraId="17923ED2"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TECHNICAL QUALIFICATION (max. 70 points)</w:t>
            </w:r>
          </w:p>
        </w:tc>
        <w:tc>
          <w:tcPr>
            <w:tcW w:w="1170" w:type="dxa"/>
            <w:shd w:val="clear" w:color="auto" w:fill="C6D9F1"/>
            <w:tcMar>
              <w:top w:w="0" w:type="dxa"/>
              <w:left w:w="108" w:type="dxa"/>
              <w:bottom w:w="0" w:type="dxa"/>
              <w:right w:w="108" w:type="dxa"/>
            </w:tcMar>
            <w:vAlign w:val="center"/>
            <w:hideMark/>
          </w:tcPr>
          <w:p w14:paraId="6080BAC1"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c>
          <w:tcPr>
            <w:tcW w:w="2070" w:type="dxa"/>
            <w:shd w:val="clear" w:color="auto" w:fill="C6D9F1"/>
            <w:tcMar>
              <w:top w:w="0" w:type="dxa"/>
              <w:left w:w="108" w:type="dxa"/>
              <w:bottom w:w="0" w:type="dxa"/>
              <w:right w:w="108" w:type="dxa"/>
            </w:tcMar>
            <w:vAlign w:val="center"/>
            <w:hideMark/>
          </w:tcPr>
          <w:p w14:paraId="45896E5B"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r>
      <w:tr w:rsidR="00701D34" w:rsidRPr="007A7A14" w14:paraId="3E33D43B" w14:textId="77777777" w:rsidTr="004A1333">
        <w:trPr>
          <w:trHeight w:val="289"/>
        </w:trPr>
        <w:tc>
          <w:tcPr>
            <w:tcW w:w="6655" w:type="dxa"/>
            <w:tcMar>
              <w:top w:w="0" w:type="dxa"/>
              <w:left w:w="108" w:type="dxa"/>
              <w:bottom w:w="0" w:type="dxa"/>
              <w:right w:w="108" w:type="dxa"/>
            </w:tcMar>
            <w:vAlign w:val="center"/>
          </w:tcPr>
          <w:p w14:paraId="03E36CC4"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Overall Response (20 points)</w:t>
            </w:r>
          </w:p>
        </w:tc>
        <w:tc>
          <w:tcPr>
            <w:tcW w:w="3240" w:type="dxa"/>
            <w:gridSpan w:val="2"/>
            <w:tcMar>
              <w:top w:w="0" w:type="dxa"/>
              <w:left w:w="108" w:type="dxa"/>
              <w:bottom w:w="0" w:type="dxa"/>
              <w:right w:w="108" w:type="dxa"/>
            </w:tcMar>
            <w:vAlign w:val="center"/>
          </w:tcPr>
          <w:p w14:paraId="46D03FFE" w14:textId="77777777" w:rsidR="00701D34" w:rsidRPr="007A7A14" w:rsidRDefault="00701D34" w:rsidP="004A1333">
            <w:pPr>
              <w:spacing w:line="260" w:lineRule="exact"/>
              <w:jc w:val="center"/>
              <w:rPr>
                <w:rFonts w:ascii="Calibri" w:eastAsia="Times" w:hAnsi="Calibri" w:cs="Calibri"/>
                <w:b/>
                <w:bCs/>
                <w:i/>
                <w:iCs/>
                <w:lang w:val="en-US" w:eastAsia="ru-RU"/>
              </w:rPr>
            </w:pPr>
          </w:p>
        </w:tc>
      </w:tr>
      <w:tr w:rsidR="00701D34" w:rsidRPr="007A7A14" w14:paraId="1FF55A81" w14:textId="77777777" w:rsidTr="004A1333">
        <w:trPr>
          <w:trHeight w:val="289"/>
        </w:trPr>
        <w:tc>
          <w:tcPr>
            <w:tcW w:w="6655" w:type="dxa"/>
            <w:tcMar>
              <w:top w:w="0" w:type="dxa"/>
              <w:left w:w="108" w:type="dxa"/>
              <w:bottom w:w="0" w:type="dxa"/>
              <w:right w:w="108" w:type="dxa"/>
            </w:tcMar>
            <w:vAlign w:val="center"/>
          </w:tcPr>
          <w:p w14:paraId="6561B6EB" w14:textId="77777777" w:rsidR="00701D34" w:rsidRPr="007A7A14" w:rsidRDefault="00701D34" w:rsidP="004A1333">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Understanding of tasks, objectives and completeness and coherence of response</w:t>
            </w:r>
          </w:p>
        </w:tc>
        <w:tc>
          <w:tcPr>
            <w:tcW w:w="1170" w:type="dxa"/>
            <w:tcMar>
              <w:top w:w="0" w:type="dxa"/>
              <w:left w:w="108" w:type="dxa"/>
              <w:bottom w:w="0" w:type="dxa"/>
              <w:right w:w="108" w:type="dxa"/>
            </w:tcMar>
            <w:vAlign w:val="center"/>
          </w:tcPr>
          <w:p w14:paraId="70B34D41"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29A7A86E" w14:textId="77777777" w:rsidR="00701D34" w:rsidRPr="007A7A14" w:rsidRDefault="00701D34" w:rsidP="004A1333">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701D34" w:rsidRPr="007A7A14" w14:paraId="24DE59D4" w14:textId="77777777" w:rsidTr="004A1333">
        <w:trPr>
          <w:trHeight w:val="422"/>
        </w:trPr>
        <w:tc>
          <w:tcPr>
            <w:tcW w:w="6655" w:type="dxa"/>
            <w:tcMar>
              <w:top w:w="0" w:type="dxa"/>
              <w:left w:w="108" w:type="dxa"/>
              <w:bottom w:w="0" w:type="dxa"/>
              <w:right w:w="108" w:type="dxa"/>
            </w:tcMar>
            <w:vAlign w:val="center"/>
          </w:tcPr>
          <w:p w14:paraId="229DD8D6" w14:textId="77777777" w:rsidR="00701D34" w:rsidRPr="007A7A14" w:rsidRDefault="00701D34" w:rsidP="004A1333">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Overall match between the TOR requirements and proposal</w:t>
            </w:r>
          </w:p>
        </w:tc>
        <w:tc>
          <w:tcPr>
            <w:tcW w:w="1170" w:type="dxa"/>
            <w:tcMar>
              <w:top w:w="0" w:type="dxa"/>
              <w:left w:w="108" w:type="dxa"/>
              <w:bottom w:w="0" w:type="dxa"/>
              <w:right w:w="108" w:type="dxa"/>
            </w:tcMar>
            <w:vAlign w:val="center"/>
          </w:tcPr>
          <w:p w14:paraId="1C9458A5"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02196FB0" w14:textId="77777777" w:rsidR="00701D34" w:rsidRPr="007A7A14" w:rsidRDefault="00701D34" w:rsidP="004A1333">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701D34" w:rsidRPr="007A7A14" w14:paraId="0943E1E8" w14:textId="77777777" w:rsidTr="004A1333">
        <w:trPr>
          <w:trHeight w:val="359"/>
        </w:trPr>
        <w:tc>
          <w:tcPr>
            <w:tcW w:w="6655" w:type="dxa"/>
            <w:tcMar>
              <w:top w:w="0" w:type="dxa"/>
              <w:left w:w="108" w:type="dxa"/>
              <w:bottom w:w="0" w:type="dxa"/>
              <w:right w:w="108" w:type="dxa"/>
            </w:tcMar>
            <w:vAlign w:val="center"/>
          </w:tcPr>
          <w:p w14:paraId="0128D7EA" w14:textId="77777777" w:rsidR="00701D34" w:rsidRPr="007A7A14" w:rsidRDefault="00701D34" w:rsidP="004A1333">
            <w:pPr>
              <w:spacing w:line="260" w:lineRule="exact"/>
              <w:ind w:right="-90"/>
              <w:jc w:val="both"/>
              <w:rPr>
                <w:rFonts w:ascii="Calibri" w:eastAsia="Times" w:hAnsi="Calibri" w:cs="Calibri"/>
                <w:b/>
                <w:i/>
                <w:lang w:val="en-US" w:eastAsia="en-GB"/>
              </w:rPr>
            </w:pPr>
            <w:r w:rsidRPr="007A7A14">
              <w:rPr>
                <w:rFonts w:ascii="Calibri" w:eastAsia="Times" w:hAnsi="Calibri" w:cs="Calibri"/>
                <w:b/>
                <w:i/>
                <w:lang w:val="en-US" w:eastAsia="en-GB"/>
              </w:rPr>
              <w:t>Proposed work plan (10 points)</w:t>
            </w:r>
          </w:p>
        </w:tc>
        <w:tc>
          <w:tcPr>
            <w:tcW w:w="3240" w:type="dxa"/>
            <w:gridSpan w:val="2"/>
            <w:tcMar>
              <w:top w:w="0" w:type="dxa"/>
              <w:left w:w="108" w:type="dxa"/>
              <w:bottom w:w="0" w:type="dxa"/>
              <w:right w:w="108" w:type="dxa"/>
            </w:tcMar>
            <w:vAlign w:val="center"/>
          </w:tcPr>
          <w:p w14:paraId="16EFD17A" w14:textId="77777777" w:rsidR="00701D34" w:rsidRPr="007A7A14" w:rsidRDefault="00701D34" w:rsidP="004A1333">
            <w:pPr>
              <w:spacing w:line="260" w:lineRule="exact"/>
              <w:jc w:val="center"/>
              <w:rPr>
                <w:rFonts w:ascii="Calibri" w:eastAsia="Times" w:hAnsi="Calibri" w:cs="Calibri"/>
                <w:i/>
                <w:iCs/>
                <w:lang w:val="en-US" w:eastAsia="ru-RU"/>
              </w:rPr>
            </w:pPr>
          </w:p>
        </w:tc>
      </w:tr>
      <w:tr w:rsidR="00701D34" w:rsidRPr="007A7A14" w14:paraId="7B642262" w14:textId="77777777" w:rsidTr="004A1333">
        <w:trPr>
          <w:trHeight w:val="369"/>
        </w:trPr>
        <w:tc>
          <w:tcPr>
            <w:tcW w:w="6655" w:type="dxa"/>
            <w:tcMar>
              <w:top w:w="0" w:type="dxa"/>
              <w:left w:w="108" w:type="dxa"/>
              <w:bottom w:w="0" w:type="dxa"/>
              <w:right w:w="108" w:type="dxa"/>
            </w:tcMar>
            <w:vAlign w:val="center"/>
          </w:tcPr>
          <w:p w14:paraId="0C3E432F" w14:textId="77777777" w:rsidR="00701D34" w:rsidRPr="007A7A14" w:rsidRDefault="00701D34" w:rsidP="004A1333">
            <w:pPr>
              <w:spacing w:line="260" w:lineRule="exact"/>
              <w:rPr>
                <w:rFonts w:ascii="Calibri" w:eastAsia="Times" w:hAnsi="Calibri" w:cs="Calibri"/>
                <w:lang w:val="en-US" w:eastAsia="en-GB"/>
              </w:rPr>
            </w:pPr>
            <w:r w:rsidRPr="007A7A14">
              <w:rPr>
                <w:rFonts w:ascii="Calibri" w:eastAsia="Times" w:hAnsi="Calibri" w:cs="Calibri"/>
                <w:lang w:val="en-US" w:eastAsia="en-GB"/>
              </w:rPr>
              <w:t>Quality of proposed work plan</w:t>
            </w:r>
          </w:p>
        </w:tc>
        <w:tc>
          <w:tcPr>
            <w:tcW w:w="1170" w:type="dxa"/>
            <w:tcMar>
              <w:top w:w="0" w:type="dxa"/>
              <w:left w:w="108" w:type="dxa"/>
              <w:bottom w:w="0" w:type="dxa"/>
              <w:right w:w="108" w:type="dxa"/>
            </w:tcMar>
            <w:vAlign w:val="center"/>
          </w:tcPr>
          <w:p w14:paraId="4BA41F41"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724FD325"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1191D87A" w14:textId="77777777" w:rsidTr="004A1333">
        <w:trPr>
          <w:trHeight w:val="369"/>
        </w:trPr>
        <w:tc>
          <w:tcPr>
            <w:tcW w:w="6655" w:type="dxa"/>
            <w:tcMar>
              <w:top w:w="0" w:type="dxa"/>
              <w:left w:w="108" w:type="dxa"/>
              <w:bottom w:w="0" w:type="dxa"/>
              <w:right w:w="108" w:type="dxa"/>
            </w:tcMar>
            <w:vAlign w:val="center"/>
          </w:tcPr>
          <w:p w14:paraId="4B87F1D4" w14:textId="77777777" w:rsidR="00701D34" w:rsidRPr="007A7A14" w:rsidRDefault="00701D34" w:rsidP="004A1333">
            <w:pPr>
              <w:spacing w:line="260" w:lineRule="exact"/>
              <w:rPr>
                <w:rFonts w:ascii="Calibri" w:eastAsia="Times" w:hAnsi="Calibri" w:cs="Calibri"/>
                <w:lang w:val="en-US" w:eastAsia="en-GB"/>
              </w:rPr>
            </w:pPr>
            <w:r w:rsidRPr="007A7A14">
              <w:rPr>
                <w:rFonts w:ascii="Calibri" w:eastAsia="Times New Roman" w:hAnsi="Calibri" w:cs="Calibri"/>
                <w:b/>
                <w:bCs/>
                <w:i/>
                <w:lang w:val="en-US"/>
              </w:rPr>
              <w:t>Technical Capacity (40 points)</w:t>
            </w:r>
          </w:p>
        </w:tc>
        <w:tc>
          <w:tcPr>
            <w:tcW w:w="3240" w:type="dxa"/>
            <w:gridSpan w:val="2"/>
            <w:tcMar>
              <w:top w:w="0" w:type="dxa"/>
              <w:left w:w="108" w:type="dxa"/>
              <w:bottom w:w="0" w:type="dxa"/>
              <w:right w:w="108" w:type="dxa"/>
            </w:tcMar>
            <w:vAlign w:val="center"/>
          </w:tcPr>
          <w:p w14:paraId="39551EF8" w14:textId="77777777" w:rsidR="00701D34" w:rsidRPr="007A7A14" w:rsidRDefault="00701D34" w:rsidP="004A1333">
            <w:pPr>
              <w:spacing w:line="260" w:lineRule="exact"/>
              <w:jc w:val="center"/>
              <w:rPr>
                <w:rFonts w:ascii="Calibri" w:eastAsia="Times" w:hAnsi="Calibri" w:cs="Calibri"/>
                <w:i/>
                <w:iCs/>
                <w:lang w:val="en-US" w:eastAsia="ru-RU"/>
              </w:rPr>
            </w:pPr>
          </w:p>
        </w:tc>
      </w:tr>
      <w:tr w:rsidR="00701D34" w:rsidRPr="007A7A14" w14:paraId="428F6ED8" w14:textId="77777777" w:rsidTr="004A1333">
        <w:trPr>
          <w:trHeight w:val="773"/>
        </w:trPr>
        <w:tc>
          <w:tcPr>
            <w:tcW w:w="6655" w:type="dxa"/>
            <w:tcMar>
              <w:top w:w="0" w:type="dxa"/>
              <w:left w:w="108" w:type="dxa"/>
              <w:bottom w:w="0" w:type="dxa"/>
              <w:right w:w="108" w:type="dxa"/>
            </w:tcMar>
            <w:vAlign w:val="center"/>
          </w:tcPr>
          <w:p w14:paraId="232A85A2" w14:textId="2D0EBE39" w:rsidR="00701D34" w:rsidRPr="007A7A14" w:rsidRDefault="00701D34" w:rsidP="004A1333">
            <w:pPr>
              <w:jc w:val="both"/>
              <w:rPr>
                <w:rFonts w:ascii="Calibri" w:eastAsia="Times New Roman" w:hAnsi="Calibri" w:cs="Calibri"/>
                <w:b/>
                <w:i/>
                <w:lang w:val="en-US"/>
              </w:rPr>
            </w:pPr>
            <w:r w:rsidRPr="007A7A14">
              <w:rPr>
                <w:rFonts w:ascii="Calibri" w:eastAsia="Times New Roman" w:hAnsi="Calibri" w:cs="Calibri"/>
                <w:b/>
                <w:i/>
                <w:lang w:val="en-US"/>
              </w:rPr>
              <w:lastRenderedPageBreak/>
              <w:t xml:space="preserve">Education: </w:t>
            </w:r>
            <w:r w:rsidR="00E55320">
              <w:rPr>
                <w:rFonts w:ascii="Calibri" w:eastAsia="Times New Roman" w:hAnsi="Calibri" w:cs="Calibri"/>
                <w:bCs/>
                <w:iCs/>
                <w:lang w:val="en-US"/>
              </w:rPr>
              <w:t>Advanced</w:t>
            </w:r>
            <w:r w:rsidR="00E55320" w:rsidRPr="007A7A14">
              <w:rPr>
                <w:rFonts w:ascii="Calibri" w:eastAsia="Times New Roman" w:hAnsi="Calibri" w:cs="Calibri"/>
                <w:bCs/>
                <w:iCs/>
                <w:lang w:val="en-US"/>
              </w:rPr>
              <w:t xml:space="preserve"> </w:t>
            </w:r>
            <w:r w:rsidRPr="007A7A14">
              <w:rPr>
                <w:rFonts w:ascii="Calibri" w:eastAsia="Times New Roman" w:hAnsi="Calibri" w:cs="Calibri"/>
                <w:bCs/>
                <w:iCs/>
                <w:lang w:val="en-US"/>
              </w:rPr>
              <w:t>university degree in one of the following fields is required: public health, civil engineering, water engineering, sanitation engineering or another relevant technical field.</w:t>
            </w:r>
          </w:p>
        </w:tc>
        <w:tc>
          <w:tcPr>
            <w:tcW w:w="1170" w:type="dxa"/>
            <w:tcMar>
              <w:top w:w="0" w:type="dxa"/>
              <w:left w:w="108" w:type="dxa"/>
              <w:bottom w:w="0" w:type="dxa"/>
              <w:right w:w="108" w:type="dxa"/>
            </w:tcMar>
            <w:vAlign w:val="center"/>
          </w:tcPr>
          <w:p w14:paraId="31554C01"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30518606"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30BA64D7" w14:textId="77777777" w:rsidTr="004A1333">
        <w:trPr>
          <w:trHeight w:val="899"/>
        </w:trPr>
        <w:tc>
          <w:tcPr>
            <w:tcW w:w="6655" w:type="dxa"/>
            <w:tcMar>
              <w:top w:w="0" w:type="dxa"/>
              <w:left w:w="108" w:type="dxa"/>
              <w:bottom w:w="0" w:type="dxa"/>
              <w:right w:w="108" w:type="dxa"/>
            </w:tcMar>
            <w:vAlign w:val="center"/>
          </w:tcPr>
          <w:p w14:paraId="139C2612" w14:textId="3354343A" w:rsidR="00701D34" w:rsidRPr="000D3A0F" w:rsidRDefault="00701D34" w:rsidP="004A1333">
            <w:pPr>
              <w:rPr>
                <w:rFonts w:asciiTheme="minorHAnsi" w:hAnsiTheme="minorHAnsi" w:cstheme="minorHAnsi"/>
              </w:rPr>
            </w:pPr>
            <w:r w:rsidRPr="00C75398">
              <w:rPr>
                <w:rFonts w:asciiTheme="minorHAnsi" w:hAnsiTheme="minorHAnsi" w:cstheme="minorHAnsi"/>
                <w:b/>
                <w:bCs/>
                <w:i/>
                <w:iCs/>
              </w:rPr>
              <w:t>Work Experience:</w:t>
            </w:r>
            <w:r w:rsidRPr="00C75398">
              <w:rPr>
                <w:rFonts w:asciiTheme="minorHAnsi" w:hAnsiTheme="minorHAnsi" w:cstheme="minorHAnsi"/>
              </w:rPr>
              <w:t xml:space="preserve"> a minimum of </w:t>
            </w:r>
            <w:r w:rsidR="00AD48A3">
              <w:rPr>
                <w:rFonts w:asciiTheme="minorHAnsi" w:hAnsiTheme="minorHAnsi" w:cstheme="minorHAnsi"/>
              </w:rPr>
              <w:t>5</w:t>
            </w:r>
            <w:r w:rsidRPr="00C75398">
              <w:rPr>
                <w:rFonts w:asciiTheme="minorHAnsi" w:hAnsiTheme="minorHAnsi" w:cstheme="minorHAnsi"/>
              </w:rPr>
              <w:t xml:space="preserve"> years of proven work experience in research and analysis of WASH development and humanitarian programs, reviewing and summarizing both quantitative and qualitative data and information. Experience in undertaking Joint sector reviews and bottleneck analysis. </w:t>
            </w:r>
          </w:p>
        </w:tc>
        <w:tc>
          <w:tcPr>
            <w:tcW w:w="1170" w:type="dxa"/>
            <w:tcMar>
              <w:top w:w="0" w:type="dxa"/>
              <w:left w:w="108" w:type="dxa"/>
              <w:bottom w:w="0" w:type="dxa"/>
              <w:right w:w="108" w:type="dxa"/>
            </w:tcMar>
            <w:vAlign w:val="center"/>
          </w:tcPr>
          <w:p w14:paraId="686D2C98"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3F54BBEE"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35CE0D59" w14:textId="77777777" w:rsidTr="004A1333">
        <w:trPr>
          <w:trHeight w:val="369"/>
        </w:trPr>
        <w:tc>
          <w:tcPr>
            <w:tcW w:w="6655" w:type="dxa"/>
            <w:tcMar>
              <w:top w:w="0" w:type="dxa"/>
              <w:left w:w="108" w:type="dxa"/>
              <w:bottom w:w="0" w:type="dxa"/>
              <w:right w:w="108" w:type="dxa"/>
            </w:tcMar>
            <w:vAlign w:val="center"/>
          </w:tcPr>
          <w:p w14:paraId="79BB5B9A" w14:textId="77777777" w:rsidR="00701D34" w:rsidRPr="007A7A14" w:rsidRDefault="00701D34" w:rsidP="004A1333">
            <w:pPr>
              <w:autoSpaceDE w:val="0"/>
              <w:autoSpaceDN w:val="0"/>
              <w:adjustRightInd w:val="0"/>
              <w:spacing w:line="240" w:lineRule="auto"/>
              <w:jc w:val="both"/>
              <w:rPr>
                <w:rFonts w:ascii="Calibri" w:eastAsia="Times New Roman" w:hAnsi="Calibri" w:cs="Calibri"/>
                <w:bCs/>
                <w:iCs/>
                <w:lang w:val="en-US"/>
              </w:rPr>
            </w:pPr>
            <w:r w:rsidRPr="007A7A14">
              <w:rPr>
                <w:rFonts w:ascii="Calibri" w:eastAsia="Times New Roman" w:hAnsi="Calibri" w:cs="Calibri"/>
                <w:b/>
                <w:i/>
                <w:lang w:val="en-US"/>
              </w:rPr>
              <w:t>Competencies:</w:t>
            </w:r>
            <w:r w:rsidRPr="007A7A14">
              <w:rPr>
                <w:rFonts w:ascii="Calibri" w:hAnsi="Calibri" w:cs="Calibri"/>
                <w:lang w:val="en-US"/>
              </w:rPr>
              <w:t xml:space="preserve">  </w:t>
            </w:r>
            <w:r w:rsidRPr="007A7A14">
              <w:rPr>
                <w:rFonts w:ascii="Calibri" w:eastAsia="Times New Roman" w:hAnsi="Calibri" w:cs="Calibri"/>
                <w:bCs/>
                <w:iCs/>
                <w:lang w:val="en-US"/>
              </w:rPr>
              <w:t>Strong analytical and conceptual thinking. Excellent writing skills. Excellent communication and presentation skills with stakeholders and the ability to work under pressure and commitment to work to a tight timeframe.</w:t>
            </w:r>
          </w:p>
        </w:tc>
        <w:tc>
          <w:tcPr>
            <w:tcW w:w="1170" w:type="dxa"/>
            <w:tcMar>
              <w:top w:w="0" w:type="dxa"/>
              <w:left w:w="108" w:type="dxa"/>
              <w:bottom w:w="0" w:type="dxa"/>
              <w:right w:w="108" w:type="dxa"/>
            </w:tcMar>
            <w:vAlign w:val="center"/>
          </w:tcPr>
          <w:p w14:paraId="23B6186F"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1BD42CF9"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6F5200DE" w14:textId="77777777" w:rsidTr="004A1333">
        <w:trPr>
          <w:trHeight w:val="611"/>
        </w:trPr>
        <w:tc>
          <w:tcPr>
            <w:tcW w:w="6655" w:type="dxa"/>
            <w:tcMar>
              <w:top w:w="0" w:type="dxa"/>
              <w:left w:w="108" w:type="dxa"/>
              <w:bottom w:w="0" w:type="dxa"/>
              <w:right w:w="108" w:type="dxa"/>
            </w:tcMar>
            <w:vAlign w:val="center"/>
          </w:tcPr>
          <w:p w14:paraId="3CE2CE59" w14:textId="77777777" w:rsidR="00701D34" w:rsidRPr="007A7A14" w:rsidRDefault="00701D34" w:rsidP="004A1333">
            <w:pPr>
              <w:spacing w:line="260" w:lineRule="exact"/>
              <w:jc w:val="both"/>
              <w:rPr>
                <w:rFonts w:ascii="Calibri" w:eastAsia="Times" w:hAnsi="Calibri" w:cs="Calibri"/>
                <w:lang w:val="en-US" w:eastAsia="ru-RU"/>
              </w:rPr>
            </w:pPr>
            <w:r>
              <w:rPr>
                <w:rFonts w:asciiTheme="minorHAnsi" w:hAnsiTheme="minorHAnsi" w:cstheme="minorHAnsi"/>
              </w:rPr>
              <w:t>Excellent working knowledge and c</w:t>
            </w:r>
            <w:r w:rsidRPr="007A2110">
              <w:rPr>
                <w:rFonts w:asciiTheme="minorHAnsi" w:hAnsiTheme="minorHAnsi" w:cstheme="minorHAnsi"/>
              </w:rPr>
              <w:t xml:space="preserve">ommunication in </w:t>
            </w:r>
            <w:r>
              <w:rPr>
                <w:rFonts w:asciiTheme="minorHAnsi" w:hAnsiTheme="minorHAnsi" w:cstheme="minorHAnsi"/>
              </w:rPr>
              <w:t xml:space="preserve">English is required. Knowledge of Tajik and </w:t>
            </w:r>
            <w:r w:rsidRPr="007A2110">
              <w:rPr>
                <w:rFonts w:asciiTheme="minorHAnsi" w:hAnsiTheme="minorHAnsi" w:cstheme="minorHAnsi"/>
              </w:rPr>
              <w:t>Russian is an asset</w:t>
            </w:r>
            <w:r>
              <w:rPr>
                <w:rFonts w:asciiTheme="minorHAnsi" w:hAnsiTheme="minorHAnsi" w:cstheme="minorHAnsi"/>
              </w:rPr>
              <w:t xml:space="preserve"> and preferable</w:t>
            </w:r>
          </w:p>
        </w:tc>
        <w:tc>
          <w:tcPr>
            <w:tcW w:w="1170" w:type="dxa"/>
            <w:tcMar>
              <w:top w:w="0" w:type="dxa"/>
              <w:left w:w="108" w:type="dxa"/>
              <w:bottom w:w="0" w:type="dxa"/>
              <w:right w:w="108" w:type="dxa"/>
            </w:tcMar>
            <w:vAlign w:val="center"/>
          </w:tcPr>
          <w:p w14:paraId="6412FCF4"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hideMark/>
          </w:tcPr>
          <w:p w14:paraId="477F0790"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76DC796F" w14:textId="77777777" w:rsidTr="004A1333">
        <w:trPr>
          <w:trHeight w:val="431"/>
        </w:trPr>
        <w:tc>
          <w:tcPr>
            <w:tcW w:w="6655" w:type="dxa"/>
            <w:shd w:val="clear" w:color="auto" w:fill="C6D9F1"/>
            <w:tcMar>
              <w:top w:w="0" w:type="dxa"/>
              <w:left w:w="108" w:type="dxa"/>
              <w:bottom w:w="0" w:type="dxa"/>
              <w:right w:w="108" w:type="dxa"/>
            </w:tcMar>
            <w:hideMark/>
          </w:tcPr>
          <w:p w14:paraId="37F83185"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 xml:space="preserve">FINANCIAL PROPOSAL (max. 30 points) </w:t>
            </w:r>
            <w:r w:rsidRPr="007A7A14">
              <w:rPr>
                <w:rFonts w:ascii="Calibri" w:eastAsia="Times" w:hAnsi="Calibri" w:cs="Calibri"/>
                <w:bCs/>
                <w:iCs/>
                <w:lang w:val="en-US" w:eastAsia="ru-RU"/>
              </w:rPr>
              <w:t>(daily rate)</w:t>
            </w:r>
          </w:p>
        </w:tc>
        <w:tc>
          <w:tcPr>
            <w:tcW w:w="1170" w:type="dxa"/>
            <w:shd w:val="clear" w:color="auto" w:fill="C6D9F1"/>
            <w:tcMar>
              <w:top w:w="0" w:type="dxa"/>
              <w:left w:w="108" w:type="dxa"/>
              <w:bottom w:w="0" w:type="dxa"/>
              <w:right w:w="108" w:type="dxa"/>
            </w:tcMar>
            <w:vAlign w:val="center"/>
            <w:hideMark/>
          </w:tcPr>
          <w:p w14:paraId="4790924F"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c>
          <w:tcPr>
            <w:tcW w:w="2070" w:type="dxa"/>
            <w:shd w:val="clear" w:color="auto" w:fill="C6D9F1"/>
            <w:tcMar>
              <w:top w:w="0" w:type="dxa"/>
              <w:left w:w="108" w:type="dxa"/>
              <w:bottom w:w="0" w:type="dxa"/>
              <w:right w:w="108" w:type="dxa"/>
            </w:tcMar>
            <w:vAlign w:val="center"/>
            <w:hideMark/>
          </w:tcPr>
          <w:p w14:paraId="1049B61F"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r>
      <w:tr w:rsidR="00701D34" w:rsidRPr="007A7A14" w14:paraId="17627E12" w14:textId="77777777" w:rsidTr="004A1333">
        <w:trPr>
          <w:trHeight w:val="458"/>
        </w:trPr>
        <w:tc>
          <w:tcPr>
            <w:tcW w:w="6655" w:type="dxa"/>
            <w:shd w:val="clear" w:color="auto" w:fill="8DB3E2"/>
            <w:tcMar>
              <w:top w:w="0" w:type="dxa"/>
              <w:left w:w="108" w:type="dxa"/>
              <w:bottom w:w="0" w:type="dxa"/>
              <w:right w:w="108" w:type="dxa"/>
            </w:tcMar>
            <w:vAlign w:val="center"/>
          </w:tcPr>
          <w:p w14:paraId="032B7DAE"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New Roman" w:hAnsi="Calibri" w:cs="Calibri"/>
                <w:b/>
                <w:bCs/>
                <w:lang w:val="en-US"/>
              </w:rPr>
              <w:t xml:space="preserve">TOTAL SCORE </w:t>
            </w:r>
            <w:r w:rsidRPr="007A7A14">
              <w:rPr>
                <w:rFonts w:ascii="Calibri" w:eastAsia="Times New Roman" w:hAnsi="Calibri" w:cs="Calibri"/>
                <w:b/>
                <w:bCs/>
                <w:i/>
                <w:lang w:val="en-US"/>
              </w:rPr>
              <w:t>(max. 100 points)</w:t>
            </w:r>
          </w:p>
        </w:tc>
        <w:tc>
          <w:tcPr>
            <w:tcW w:w="1170" w:type="dxa"/>
            <w:shd w:val="clear" w:color="auto" w:fill="8DB3E2"/>
            <w:tcMar>
              <w:top w:w="0" w:type="dxa"/>
              <w:left w:w="108" w:type="dxa"/>
              <w:bottom w:w="0" w:type="dxa"/>
              <w:right w:w="108" w:type="dxa"/>
            </w:tcMar>
            <w:vAlign w:val="center"/>
          </w:tcPr>
          <w:p w14:paraId="3681347C"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shd w:val="clear" w:color="auto" w:fill="8DB3E2"/>
            <w:tcMar>
              <w:top w:w="0" w:type="dxa"/>
              <w:left w:w="108" w:type="dxa"/>
              <w:bottom w:w="0" w:type="dxa"/>
              <w:right w:w="108" w:type="dxa"/>
            </w:tcMar>
            <w:vAlign w:val="center"/>
          </w:tcPr>
          <w:p w14:paraId="15C73C56" w14:textId="77777777" w:rsidR="00701D34" w:rsidRPr="007A7A14" w:rsidRDefault="00701D34" w:rsidP="004A1333">
            <w:pPr>
              <w:spacing w:line="260" w:lineRule="exact"/>
              <w:jc w:val="center"/>
              <w:rPr>
                <w:rFonts w:ascii="Calibri" w:eastAsia="Times" w:hAnsi="Calibri" w:cs="Calibri"/>
                <w:b/>
                <w:bCs/>
                <w:i/>
                <w:iCs/>
                <w:lang w:val="en-US" w:eastAsia="ru-RU"/>
              </w:rPr>
            </w:pPr>
          </w:p>
        </w:tc>
      </w:tr>
    </w:tbl>
    <w:p w14:paraId="388B2F50" w14:textId="77777777" w:rsidR="00701D34" w:rsidRPr="008E6EEC" w:rsidRDefault="00701D34" w:rsidP="00701D34">
      <w:pPr>
        <w:autoSpaceDE w:val="0"/>
        <w:autoSpaceDN w:val="0"/>
        <w:spacing w:line="260" w:lineRule="exact"/>
        <w:jc w:val="both"/>
        <w:rPr>
          <w:rFonts w:asciiTheme="minorHAnsi" w:eastAsia="Calibri" w:hAnsiTheme="minorHAnsi" w:cstheme="minorHAnsi"/>
          <w:lang w:eastAsia="ru-RU"/>
        </w:rPr>
      </w:pPr>
    </w:p>
    <w:p w14:paraId="59AF4334" w14:textId="1D44A3B0" w:rsidR="00701D34" w:rsidRPr="00E22C2A" w:rsidRDefault="00701D34" w:rsidP="00701D34">
      <w:pPr>
        <w:autoSpaceDE w:val="0"/>
        <w:autoSpaceDN w:val="0"/>
        <w:spacing w:line="260" w:lineRule="exact"/>
        <w:jc w:val="both"/>
        <w:rPr>
          <w:rFonts w:asciiTheme="minorHAnsi" w:eastAsia="Times" w:hAnsiTheme="minorHAnsi" w:cstheme="minorHAnsi"/>
        </w:rPr>
      </w:pPr>
      <w:r w:rsidRPr="008E6EEC">
        <w:rPr>
          <w:rFonts w:asciiTheme="minorHAnsi" w:eastAsia="Times" w:hAnsiTheme="minorHAnsi" w:cstheme="minorHAnsi"/>
          <w:bCs/>
          <w:lang w:eastAsia="en-GB"/>
        </w:rPr>
        <w:t xml:space="preserve">Only candidates who obtain a minimum of </w:t>
      </w:r>
      <w:r>
        <w:rPr>
          <w:rFonts w:asciiTheme="minorHAnsi" w:eastAsia="Times" w:hAnsiTheme="minorHAnsi" w:cstheme="minorHAnsi"/>
          <w:bCs/>
          <w:lang w:eastAsia="en-GB"/>
        </w:rPr>
        <w:t>49</w:t>
      </w:r>
      <w:r w:rsidRPr="008E6EEC">
        <w:rPr>
          <w:rFonts w:asciiTheme="minorHAnsi" w:eastAsia="Times" w:hAnsiTheme="minorHAnsi" w:cstheme="minorHAnsi"/>
          <w:bCs/>
          <w:lang w:eastAsia="en-GB"/>
        </w:rPr>
        <w:t xml:space="preserve"> points in the Technical Criteria evaluation will be considered for the Financial Evaluation</w:t>
      </w:r>
      <w:r w:rsidRPr="008E6EEC">
        <w:rPr>
          <w:rFonts w:asciiTheme="minorHAnsi" w:eastAsia="Times" w:hAnsiTheme="minorHAnsi" w:cstheme="minorHAnsi"/>
          <w:lang w:eastAsia="en-GB"/>
        </w:rPr>
        <w:t>.</w:t>
      </w:r>
    </w:p>
    <w:p w14:paraId="33B2009A"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r w:rsidRPr="008E6EEC">
        <w:rPr>
          <w:rFonts w:asciiTheme="minorHAnsi" w:eastAsia="Times" w:hAnsiTheme="minorHAnsi" w:cstheme="minorHAnsi"/>
          <w:b/>
        </w:rPr>
        <w:t>Financial Proposal</w:t>
      </w:r>
    </w:p>
    <w:p w14:paraId="4ECDDE33"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p>
    <w:p w14:paraId="4AD22497" w14:textId="77777777" w:rsidR="00701D34" w:rsidRPr="008E6EEC" w:rsidRDefault="00701D34" w:rsidP="00701D34">
      <w:pPr>
        <w:autoSpaceDE w:val="0"/>
        <w:autoSpaceDN w:val="0"/>
        <w:adjustRightInd w:val="0"/>
        <w:spacing w:after="200"/>
        <w:contextualSpacing/>
        <w:jc w:val="both"/>
        <w:rPr>
          <w:rFonts w:asciiTheme="minorHAnsi" w:eastAsiaTheme="minorHAnsi" w:hAnsiTheme="minorHAnsi" w:cstheme="minorHAnsi"/>
          <w:bCs/>
          <w:iCs/>
        </w:rPr>
      </w:pPr>
      <w:bookmarkStart w:id="5" w:name="_Hlk526514722"/>
      <w:r w:rsidRPr="008E6EEC">
        <w:rPr>
          <w:rFonts w:asciiTheme="minorHAnsi" w:eastAsiaTheme="minorHAnsi" w:hAnsiTheme="minorHAnsi" w:cstheme="minorHAnsi"/>
          <w:bCs/>
          <w:iCs/>
        </w:rPr>
        <w:t xml:space="preserve">Please provide an all-inclusive price for delivering professional services in accordance with the assignment described under this TOR. </w:t>
      </w:r>
    </w:p>
    <w:p w14:paraId="7AD29B6E" w14:textId="77777777" w:rsidR="00701D34" w:rsidRPr="008E6EEC" w:rsidRDefault="00701D34" w:rsidP="00701D34">
      <w:pPr>
        <w:autoSpaceDE w:val="0"/>
        <w:autoSpaceDN w:val="0"/>
        <w:adjustRightInd w:val="0"/>
        <w:spacing w:after="200"/>
        <w:contextualSpacing/>
        <w:jc w:val="both"/>
        <w:rPr>
          <w:rFonts w:asciiTheme="minorHAnsi" w:eastAsiaTheme="minorHAnsi" w:hAnsiTheme="minorHAnsi" w:cstheme="minorHAnsi"/>
          <w:b/>
          <w:bCs/>
          <w:i/>
          <w:iCs/>
        </w:rPr>
      </w:pPr>
    </w:p>
    <w:p w14:paraId="7CA1BE59"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The formula for the rating of the Financial Proposals will be as follows:</w:t>
      </w:r>
    </w:p>
    <w:p w14:paraId="6410520B"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6128579F"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FP Rating = (Lowest Priced Offer / Price of the Offer Being Reviewed) x </w:t>
      </w:r>
      <w:r>
        <w:rPr>
          <w:rFonts w:asciiTheme="minorHAnsi" w:eastAsia="Times" w:hAnsiTheme="minorHAnsi" w:cstheme="minorHAnsi"/>
          <w:lang w:eastAsia="en-GB"/>
        </w:rPr>
        <w:t>100</w:t>
      </w:r>
    </w:p>
    <w:bookmarkEnd w:id="5"/>
    <w:p w14:paraId="63B6509E"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643F9FC7"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77E18216" w14:textId="77777777" w:rsidR="00701D34" w:rsidRPr="008E6EEC" w:rsidRDefault="00701D34" w:rsidP="00701D34">
      <w:pPr>
        <w:jc w:val="center"/>
        <w:rPr>
          <w:rFonts w:asciiTheme="minorHAnsi" w:hAnsiTheme="minorHAnsi" w:cstheme="minorHAnsi"/>
          <w:b/>
          <w:kern w:val="2"/>
        </w:rPr>
      </w:pPr>
    </w:p>
    <w:p w14:paraId="21487C4E" w14:textId="77777777" w:rsidR="00701D34" w:rsidRPr="008E6EEC" w:rsidRDefault="00701D34" w:rsidP="00701D34">
      <w:pPr>
        <w:jc w:val="center"/>
        <w:rPr>
          <w:rFonts w:asciiTheme="minorHAnsi" w:hAnsiTheme="minorHAnsi" w:cstheme="minorHAnsi"/>
          <w:b/>
          <w:kern w:val="2"/>
        </w:rPr>
      </w:pPr>
    </w:p>
    <w:tbl>
      <w:tblPr>
        <w:tblStyle w:val="TableGrid"/>
        <w:tblW w:w="9895" w:type="dxa"/>
        <w:tblLook w:val="04A0" w:firstRow="1" w:lastRow="0" w:firstColumn="1" w:lastColumn="0" w:noHBand="0" w:noVBand="1"/>
      </w:tblPr>
      <w:tblGrid>
        <w:gridCol w:w="6025"/>
        <w:gridCol w:w="3870"/>
      </w:tblGrid>
      <w:tr w:rsidR="00701D34" w:rsidRPr="008D55FA" w14:paraId="5391F9DA" w14:textId="77777777" w:rsidTr="004A1333">
        <w:trPr>
          <w:trHeight w:val="881"/>
        </w:trPr>
        <w:tc>
          <w:tcPr>
            <w:tcW w:w="6025" w:type="dxa"/>
            <w:vAlign w:val="center"/>
          </w:tcPr>
          <w:p w14:paraId="74D58EFB" w14:textId="40645C07" w:rsidR="00701D34" w:rsidRPr="008D55FA" w:rsidRDefault="00AD48A3" w:rsidP="004A1333">
            <w:pPr>
              <w:spacing w:line="288" w:lineRule="auto"/>
              <w:jc w:val="both"/>
              <w:rPr>
                <w:rFonts w:ascii="Calibri" w:hAnsi="Calibri" w:cs="Calibri"/>
              </w:rPr>
            </w:pPr>
            <w:r>
              <w:rPr>
                <w:rFonts w:ascii="Calibri" w:hAnsi="Calibri" w:cs="Calibri"/>
              </w:rPr>
              <w:t>/</w:t>
            </w:r>
            <w:r w:rsidR="00701D34" w:rsidRPr="008D55FA">
              <w:rPr>
                <w:rFonts w:ascii="Calibri" w:hAnsi="Calibri" w:cs="Calibri"/>
              </w:rPr>
              <w:t>Prepared by</w:t>
            </w:r>
            <w:r w:rsidR="00701D34">
              <w:rPr>
                <w:rFonts w:ascii="Calibri" w:hAnsi="Calibri" w:cs="Calibri"/>
              </w:rPr>
              <w:t xml:space="preserve"> WASH Specialist</w:t>
            </w:r>
            <w:r w:rsidR="00701D34" w:rsidRPr="008D55FA">
              <w:rPr>
                <w:rFonts w:ascii="Calibri" w:hAnsi="Calibri" w:cs="Calibri"/>
              </w:rPr>
              <w:t xml:space="preserve">: </w:t>
            </w:r>
            <w:r w:rsidR="00701D34" w:rsidRPr="003A42F1">
              <w:rPr>
                <w:rFonts w:ascii="Calibri" w:hAnsi="Calibri" w:cs="Calibri"/>
                <w:b/>
                <w:bCs/>
              </w:rPr>
              <w:t>Ammar Orakzai</w:t>
            </w:r>
          </w:p>
        </w:tc>
        <w:tc>
          <w:tcPr>
            <w:tcW w:w="3870" w:type="dxa"/>
            <w:vAlign w:val="center"/>
          </w:tcPr>
          <w:p w14:paraId="3FDB1A6F" w14:textId="77777777" w:rsidR="00701D34" w:rsidRPr="000D3A0F" w:rsidRDefault="00701D34"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r>
              <w:rPr>
                <w:rFonts w:ascii="Calibri" w:hAnsi="Calibri" w:cs="Calibri"/>
              </w:rPr>
              <w:t xml:space="preserve"> </w:t>
            </w:r>
          </w:p>
        </w:tc>
      </w:tr>
      <w:tr w:rsidR="00701D34" w:rsidRPr="008D55FA" w14:paraId="0F390F4C" w14:textId="77777777" w:rsidTr="004A1333">
        <w:trPr>
          <w:trHeight w:val="890"/>
        </w:trPr>
        <w:tc>
          <w:tcPr>
            <w:tcW w:w="6025" w:type="dxa"/>
            <w:vAlign w:val="center"/>
          </w:tcPr>
          <w:p w14:paraId="222AFEC2" w14:textId="77777777" w:rsidR="00701D34" w:rsidRPr="008D55FA" w:rsidRDefault="00701D34" w:rsidP="004A1333">
            <w:pPr>
              <w:spacing w:line="288" w:lineRule="auto"/>
              <w:jc w:val="both"/>
              <w:rPr>
                <w:rFonts w:ascii="Calibri" w:hAnsi="Calibri" w:cs="Calibri"/>
              </w:rPr>
            </w:pPr>
          </w:p>
          <w:p w14:paraId="667C14CB" w14:textId="7EE8D563" w:rsidR="00701D34" w:rsidRPr="008D55FA" w:rsidRDefault="00701D34" w:rsidP="004A1333">
            <w:pPr>
              <w:spacing w:line="288" w:lineRule="auto"/>
              <w:jc w:val="both"/>
              <w:rPr>
                <w:rFonts w:ascii="Calibri" w:hAnsi="Calibri" w:cs="Calibri"/>
              </w:rPr>
            </w:pPr>
            <w:r w:rsidRPr="008D55FA">
              <w:rPr>
                <w:rFonts w:ascii="Calibri" w:hAnsi="Calibri" w:cs="Calibri"/>
              </w:rPr>
              <w:t>Reviewed by</w:t>
            </w:r>
            <w:r>
              <w:t xml:space="preserve"> </w:t>
            </w:r>
            <w:r>
              <w:rPr>
                <w:rFonts w:ascii="Calibri" w:hAnsi="Calibri" w:cs="Calibri"/>
              </w:rPr>
              <w:t>Deputy Representative Operations</w:t>
            </w:r>
            <w:r w:rsidRPr="008D55FA">
              <w:rPr>
                <w:rFonts w:ascii="Calibri" w:hAnsi="Calibri" w:cs="Calibri"/>
              </w:rPr>
              <w:t>:</w:t>
            </w:r>
            <w:r>
              <w:rPr>
                <w:rFonts w:ascii="Calibri" w:hAnsi="Calibri" w:cs="Calibri"/>
              </w:rPr>
              <w:t xml:space="preserve"> </w:t>
            </w:r>
            <w:r w:rsidRPr="00701D34">
              <w:rPr>
                <w:rFonts w:ascii="Calibri" w:hAnsi="Calibri" w:cs="Calibri"/>
                <w:b/>
                <w:bCs/>
              </w:rPr>
              <w:t>Samson Chibada</w:t>
            </w:r>
            <w:r w:rsidRPr="008D55FA">
              <w:rPr>
                <w:rFonts w:ascii="Calibri" w:hAnsi="Calibri" w:cs="Calibri"/>
              </w:rPr>
              <w:t xml:space="preserve"> </w:t>
            </w:r>
          </w:p>
        </w:tc>
        <w:tc>
          <w:tcPr>
            <w:tcW w:w="3870" w:type="dxa"/>
            <w:vAlign w:val="center"/>
          </w:tcPr>
          <w:p w14:paraId="4136920D" w14:textId="77777777" w:rsidR="00701D34" w:rsidRPr="008D55FA" w:rsidRDefault="00701D34" w:rsidP="004A1333">
            <w:pPr>
              <w:spacing w:line="288" w:lineRule="auto"/>
              <w:jc w:val="both"/>
              <w:rPr>
                <w:rFonts w:ascii="Calibri" w:hAnsi="Calibri" w:cs="Calibri"/>
              </w:rPr>
            </w:pPr>
          </w:p>
          <w:p w14:paraId="658DE28C" w14:textId="77777777" w:rsidR="00701D34" w:rsidRPr="008D55FA" w:rsidRDefault="00701D34"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701D34" w:rsidRPr="008D55FA" w14:paraId="7ACA1505" w14:textId="77777777" w:rsidTr="004A1333">
        <w:trPr>
          <w:trHeight w:val="890"/>
        </w:trPr>
        <w:tc>
          <w:tcPr>
            <w:tcW w:w="6025" w:type="dxa"/>
            <w:vAlign w:val="center"/>
          </w:tcPr>
          <w:p w14:paraId="1B0C8272" w14:textId="77777777" w:rsidR="00701D34" w:rsidRPr="008D55FA" w:rsidRDefault="00701D34" w:rsidP="004A1333">
            <w:pPr>
              <w:spacing w:line="288" w:lineRule="auto"/>
              <w:jc w:val="both"/>
              <w:rPr>
                <w:rFonts w:ascii="Calibri" w:hAnsi="Calibri" w:cs="Calibri"/>
              </w:rPr>
            </w:pPr>
          </w:p>
          <w:p w14:paraId="49F50CDB" w14:textId="5B2A1FD4" w:rsidR="00701D34" w:rsidRPr="008D55FA" w:rsidRDefault="00701D34" w:rsidP="004A1333">
            <w:pPr>
              <w:spacing w:line="288" w:lineRule="auto"/>
              <w:jc w:val="both"/>
              <w:rPr>
                <w:rFonts w:ascii="Calibri" w:hAnsi="Calibri" w:cs="Calibri"/>
              </w:rPr>
            </w:pPr>
            <w:r>
              <w:rPr>
                <w:rFonts w:ascii="Calibri" w:hAnsi="Calibri" w:cs="Calibri"/>
              </w:rPr>
              <w:t>Endorsed</w:t>
            </w:r>
            <w:r w:rsidRPr="008D55FA">
              <w:rPr>
                <w:rFonts w:ascii="Calibri" w:hAnsi="Calibri" w:cs="Calibri"/>
              </w:rPr>
              <w:t xml:space="preserve"> by</w:t>
            </w:r>
            <w:r>
              <w:rPr>
                <w:rFonts w:ascii="Calibri" w:hAnsi="Calibri" w:cs="Calibri"/>
              </w:rPr>
              <w:t xml:space="preserve"> </w:t>
            </w:r>
            <w:r w:rsidRPr="002F48F3">
              <w:rPr>
                <w:rFonts w:ascii="Calibri" w:hAnsi="Calibri" w:cs="Calibri"/>
              </w:rPr>
              <w:t>Section Chief</w:t>
            </w:r>
            <w:r w:rsidRPr="008D55FA">
              <w:rPr>
                <w:rFonts w:ascii="Calibri" w:hAnsi="Calibri" w:cs="Calibri"/>
              </w:rPr>
              <w:t xml:space="preserve">: </w:t>
            </w:r>
            <w:r w:rsidRPr="00701D34">
              <w:rPr>
                <w:rFonts w:ascii="Calibri" w:hAnsi="Calibri" w:cs="Calibri"/>
                <w:b/>
                <w:bCs/>
              </w:rPr>
              <w:t>Anthony Asije</w:t>
            </w:r>
          </w:p>
        </w:tc>
        <w:tc>
          <w:tcPr>
            <w:tcW w:w="3870" w:type="dxa"/>
            <w:vAlign w:val="center"/>
          </w:tcPr>
          <w:p w14:paraId="58FB054C" w14:textId="77777777" w:rsidR="00701D34" w:rsidRPr="008D55FA" w:rsidRDefault="00701D34" w:rsidP="004A1333">
            <w:pPr>
              <w:spacing w:line="288" w:lineRule="auto"/>
              <w:jc w:val="both"/>
              <w:rPr>
                <w:rFonts w:ascii="Calibri" w:hAnsi="Calibri" w:cs="Calibri"/>
              </w:rPr>
            </w:pPr>
          </w:p>
          <w:p w14:paraId="31072959" w14:textId="77777777" w:rsidR="00701D34" w:rsidRPr="008D55FA" w:rsidRDefault="00701D34"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701D34" w:rsidRPr="008D55FA" w14:paraId="34EAC5F7" w14:textId="77777777" w:rsidTr="004A1333">
        <w:trPr>
          <w:trHeight w:val="890"/>
        </w:trPr>
        <w:tc>
          <w:tcPr>
            <w:tcW w:w="6025" w:type="dxa"/>
            <w:vAlign w:val="center"/>
          </w:tcPr>
          <w:p w14:paraId="28944973" w14:textId="161B6258" w:rsidR="00701D34" w:rsidRPr="008D55FA" w:rsidRDefault="00701D34" w:rsidP="004A1333">
            <w:pPr>
              <w:spacing w:line="288" w:lineRule="auto"/>
              <w:jc w:val="both"/>
              <w:rPr>
                <w:rFonts w:ascii="Calibri" w:hAnsi="Calibri" w:cs="Calibri"/>
              </w:rPr>
            </w:pPr>
            <w:r>
              <w:rPr>
                <w:rFonts w:ascii="Calibri" w:hAnsi="Calibri" w:cs="Calibri"/>
              </w:rPr>
              <w:t xml:space="preserve">Approved by Deputy Representative: </w:t>
            </w:r>
            <w:r w:rsidRPr="00701D34">
              <w:rPr>
                <w:rFonts w:ascii="Calibri" w:hAnsi="Calibri" w:cs="Calibri"/>
                <w:b/>
                <w:bCs/>
              </w:rPr>
              <w:t>Zainab Al-Azzawi</w:t>
            </w:r>
            <w:r>
              <w:rPr>
                <w:rFonts w:ascii="Calibri" w:hAnsi="Calibri" w:cs="Calibri"/>
              </w:rPr>
              <w:t xml:space="preserve"> </w:t>
            </w:r>
          </w:p>
        </w:tc>
        <w:tc>
          <w:tcPr>
            <w:tcW w:w="3870" w:type="dxa"/>
            <w:vAlign w:val="center"/>
          </w:tcPr>
          <w:p w14:paraId="5BD27BF8" w14:textId="5A2ED19C" w:rsidR="00701D34" w:rsidRPr="008D55FA" w:rsidRDefault="00F766D9"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bl>
    <w:p w14:paraId="7ACA6B94" w14:textId="6D485FFD" w:rsidR="00FA66F3" w:rsidRPr="000D3A0F" w:rsidRDefault="00FA66F3" w:rsidP="00AF14AB">
      <w:pPr>
        <w:spacing w:after="160" w:line="259" w:lineRule="auto"/>
        <w:jc w:val="both"/>
        <w:rPr>
          <w:rFonts w:asciiTheme="minorHAnsi" w:hAnsiTheme="minorHAnsi" w:cstheme="minorHAnsi"/>
          <w:b/>
          <w:kern w:val="2"/>
        </w:rPr>
      </w:pPr>
    </w:p>
    <w:sectPr w:rsidR="00FA66F3" w:rsidRPr="000D3A0F" w:rsidSect="00896325">
      <w:headerReference w:type="default" r:id="rId9"/>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DB29" w14:textId="77777777" w:rsidR="00B44EE0" w:rsidRDefault="00B44EE0" w:rsidP="00CF4A6B">
      <w:pPr>
        <w:spacing w:line="240" w:lineRule="auto"/>
      </w:pPr>
      <w:r>
        <w:separator/>
      </w:r>
    </w:p>
  </w:endnote>
  <w:endnote w:type="continuationSeparator" w:id="0">
    <w:p w14:paraId="68F7446B" w14:textId="77777777" w:rsidR="00B44EE0" w:rsidRDefault="00B44EE0"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3EEE" w14:textId="77777777" w:rsidR="00B44EE0" w:rsidRDefault="00B44EE0" w:rsidP="00CF4A6B">
      <w:pPr>
        <w:spacing w:line="240" w:lineRule="auto"/>
      </w:pPr>
      <w:r>
        <w:separator/>
      </w:r>
    </w:p>
  </w:footnote>
  <w:footnote w:type="continuationSeparator" w:id="0">
    <w:p w14:paraId="3A1F7B0F" w14:textId="77777777" w:rsidR="00B44EE0" w:rsidRDefault="00B44EE0" w:rsidP="00CF4A6B">
      <w:pPr>
        <w:spacing w:line="240" w:lineRule="auto"/>
      </w:pPr>
      <w:r>
        <w:continuationSeparator/>
      </w:r>
    </w:p>
  </w:footnote>
  <w:footnote w:id="1">
    <w:p w14:paraId="7A13CF65" w14:textId="77777777" w:rsidR="008B75C4" w:rsidRPr="00D81521" w:rsidRDefault="008B75C4" w:rsidP="008B75C4">
      <w:pPr>
        <w:pStyle w:val="FootnoteText"/>
        <w:rPr>
          <w:lang w:val="en-US"/>
        </w:rPr>
      </w:pPr>
      <w:r w:rsidRPr="008D7BB9">
        <w:rPr>
          <w:rStyle w:val="FootnoteReference"/>
        </w:rPr>
        <w:footnoteRef/>
      </w:r>
      <w:r w:rsidRPr="00D81521">
        <w:rPr>
          <w:lang w:val="en-US"/>
        </w:rPr>
        <w:t xml:space="preserve"> </w:t>
      </w:r>
      <w:r w:rsidRPr="008B75C4">
        <w:rPr>
          <w:rFonts w:ascii="Calibri" w:hAnsi="Calibri" w:cs="Calibri"/>
          <w:sz w:val="16"/>
          <w:szCs w:val="16"/>
          <w:lang w:val="en-US"/>
        </w:rPr>
        <w:t xml:space="preserve">WHO/UNICEF (2017). “Joint Monitoring Programme”. Available: </w:t>
      </w:r>
      <w:hyperlink r:id="rId1" w:anchor="!/" w:history="1">
        <w:r w:rsidRPr="008B75C4">
          <w:rPr>
            <w:rStyle w:val="Hyperlink"/>
            <w:rFonts w:ascii="Calibri" w:hAnsi="Calibri" w:cs="Calibri"/>
            <w:sz w:val="16"/>
            <w:szCs w:val="16"/>
            <w:lang w:val="en-US"/>
          </w:rPr>
          <w:t>https://washdata.org/data/household#!/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6534" w14:textId="77777777" w:rsidR="007E4DC4" w:rsidRPr="003C6CA4" w:rsidRDefault="007E4DC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2F73B7">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2F73B7">
      <w:rPr>
        <w:b/>
        <w:bCs/>
        <w:noProof/>
        <w:sz w:val="18"/>
        <w:szCs w:val="18"/>
      </w:rPr>
      <w:t>11</w:t>
    </w:r>
    <w:r w:rsidRPr="003C6CA4">
      <w:rPr>
        <w:b/>
        <w:bCs/>
        <w:sz w:val="18"/>
        <w:szCs w:val="18"/>
      </w:rPr>
      <w:fldChar w:fldCharType="end"/>
    </w:r>
  </w:p>
  <w:p w14:paraId="5AD573B3" w14:textId="77777777" w:rsidR="007E4DC4" w:rsidRDefault="007E4DC4">
    <w:pPr>
      <w:pStyle w:val="Header"/>
    </w:pPr>
  </w:p>
  <w:p w14:paraId="49C484F3" w14:textId="77777777" w:rsidR="00BD0027" w:rsidRDefault="00BD0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2450B"/>
    <w:multiLevelType w:val="hybridMultilevel"/>
    <w:tmpl w:val="DA16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7340"/>
    <w:multiLevelType w:val="hybridMultilevel"/>
    <w:tmpl w:val="B1EE8F8A"/>
    <w:lvl w:ilvl="0" w:tplc="4AA2AF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44784"/>
    <w:multiLevelType w:val="hybridMultilevel"/>
    <w:tmpl w:val="23D88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E2F1A"/>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A2064"/>
    <w:multiLevelType w:val="hybridMultilevel"/>
    <w:tmpl w:val="BCD010B6"/>
    <w:lvl w:ilvl="0" w:tplc="8C9E0D3A">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A55996"/>
    <w:multiLevelType w:val="hybridMultilevel"/>
    <w:tmpl w:val="54A2446E"/>
    <w:lvl w:ilvl="0" w:tplc="04090015">
      <w:start w:val="1"/>
      <w:numFmt w:val="upperLetter"/>
      <w:lvlText w:val="%1."/>
      <w:lvlJc w:val="left"/>
      <w:pPr>
        <w:tabs>
          <w:tab w:val="num" w:pos="675"/>
        </w:tabs>
        <w:ind w:left="675" w:hanging="675"/>
      </w:pPr>
      <w:rPr>
        <w:rFonts w:hint="default"/>
        <w:b/>
      </w:rPr>
    </w:lvl>
    <w:lvl w:ilvl="1" w:tplc="6D92D55A">
      <w:start w:val="1"/>
      <w:numFmt w:val="lowerLetter"/>
      <w:lvlText w:val="%2."/>
      <w:lvlJc w:val="left"/>
      <w:pPr>
        <w:tabs>
          <w:tab w:val="num" w:pos="360"/>
        </w:tabs>
        <w:ind w:left="360" w:hanging="360"/>
      </w:pPr>
      <w:rPr>
        <w:rFonts w:hint="default"/>
        <w:b w:val="0"/>
      </w:rPr>
    </w:lvl>
    <w:lvl w:ilvl="2" w:tplc="197634D0">
      <w:start w:val="9"/>
      <w:numFmt w:val="decimal"/>
      <w:lvlText w:val="%3."/>
      <w:lvlJc w:val="left"/>
      <w:pPr>
        <w:ind w:left="2340" w:hanging="360"/>
      </w:pPr>
      <w:rPr>
        <w:rFonts w:hint="default"/>
      </w:rPr>
    </w:lvl>
    <w:lvl w:ilvl="3" w:tplc="81DE9FEC">
      <w:start w:val="10"/>
      <w:numFmt w:val="decimal"/>
      <w:lvlText w:val="%4"/>
      <w:lvlJc w:val="left"/>
      <w:pPr>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E55F1F"/>
    <w:multiLevelType w:val="hybridMultilevel"/>
    <w:tmpl w:val="C2E0B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CC6907"/>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2217F8"/>
    <w:multiLevelType w:val="hybridMultilevel"/>
    <w:tmpl w:val="09A07C3E"/>
    <w:lvl w:ilvl="0" w:tplc="74787A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B782F"/>
    <w:multiLevelType w:val="hybridMultilevel"/>
    <w:tmpl w:val="788AAA66"/>
    <w:lvl w:ilvl="0" w:tplc="8D0438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D10F3"/>
    <w:multiLevelType w:val="hybridMultilevel"/>
    <w:tmpl w:val="B51C925A"/>
    <w:lvl w:ilvl="0" w:tplc="40160F7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5"/>
  </w:num>
  <w:num w:numId="5">
    <w:abstractNumId w:val="3"/>
  </w:num>
  <w:num w:numId="6">
    <w:abstractNumId w:val="0"/>
  </w:num>
  <w:num w:numId="7">
    <w:abstractNumId w:val="7"/>
  </w:num>
  <w:num w:numId="8">
    <w:abstractNumId w:val="9"/>
  </w:num>
  <w:num w:numId="9">
    <w:abstractNumId w:val="4"/>
  </w:num>
  <w:num w:numId="10">
    <w:abstractNumId w:val="1"/>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tKwFAGRrLoctAAAA"/>
  </w:docVars>
  <w:rsids>
    <w:rsidRoot w:val="00A73976"/>
    <w:rsid w:val="000004D5"/>
    <w:rsid w:val="00005E8F"/>
    <w:rsid w:val="00010CC5"/>
    <w:rsid w:val="00014268"/>
    <w:rsid w:val="000168BF"/>
    <w:rsid w:val="000208C4"/>
    <w:rsid w:val="000220BD"/>
    <w:rsid w:val="00022E04"/>
    <w:rsid w:val="0003314B"/>
    <w:rsid w:val="000434EB"/>
    <w:rsid w:val="0005484D"/>
    <w:rsid w:val="000622D5"/>
    <w:rsid w:val="0006419A"/>
    <w:rsid w:val="00066D04"/>
    <w:rsid w:val="00072EEE"/>
    <w:rsid w:val="00076E17"/>
    <w:rsid w:val="000771E1"/>
    <w:rsid w:val="00086F16"/>
    <w:rsid w:val="000A0A73"/>
    <w:rsid w:val="000A621B"/>
    <w:rsid w:val="000A6266"/>
    <w:rsid w:val="000B1461"/>
    <w:rsid w:val="000B5C48"/>
    <w:rsid w:val="000C594F"/>
    <w:rsid w:val="000C5F2E"/>
    <w:rsid w:val="000C7562"/>
    <w:rsid w:val="000D3A0F"/>
    <w:rsid w:val="000D49A2"/>
    <w:rsid w:val="000E3BA3"/>
    <w:rsid w:val="000E6671"/>
    <w:rsid w:val="00105656"/>
    <w:rsid w:val="00107222"/>
    <w:rsid w:val="00116FE4"/>
    <w:rsid w:val="00121E6F"/>
    <w:rsid w:val="0012784E"/>
    <w:rsid w:val="00133190"/>
    <w:rsid w:val="00134E6C"/>
    <w:rsid w:val="00135451"/>
    <w:rsid w:val="00141207"/>
    <w:rsid w:val="00153E4A"/>
    <w:rsid w:val="00153E4C"/>
    <w:rsid w:val="00166779"/>
    <w:rsid w:val="0016693E"/>
    <w:rsid w:val="00166ABD"/>
    <w:rsid w:val="00192BE0"/>
    <w:rsid w:val="00197ED7"/>
    <w:rsid w:val="001A7FC3"/>
    <w:rsid w:val="001C441B"/>
    <w:rsid w:val="001C473F"/>
    <w:rsid w:val="001D2E74"/>
    <w:rsid w:val="001D7BD4"/>
    <w:rsid w:val="001E62E3"/>
    <w:rsid w:val="001F009D"/>
    <w:rsid w:val="00204581"/>
    <w:rsid w:val="002065DD"/>
    <w:rsid w:val="0020715A"/>
    <w:rsid w:val="00220629"/>
    <w:rsid w:val="00221890"/>
    <w:rsid w:val="00224FCC"/>
    <w:rsid w:val="00227F01"/>
    <w:rsid w:val="00241877"/>
    <w:rsid w:val="00242577"/>
    <w:rsid w:val="002657C9"/>
    <w:rsid w:val="00286EAB"/>
    <w:rsid w:val="00291B56"/>
    <w:rsid w:val="00296D14"/>
    <w:rsid w:val="002A407B"/>
    <w:rsid w:val="002A44A2"/>
    <w:rsid w:val="002A4E3B"/>
    <w:rsid w:val="002B2E31"/>
    <w:rsid w:val="002D5376"/>
    <w:rsid w:val="002D66C3"/>
    <w:rsid w:val="002E6706"/>
    <w:rsid w:val="002F03FC"/>
    <w:rsid w:val="002F0570"/>
    <w:rsid w:val="002F48F3"/>
    <w:rsid w:val="002F73B7"/>
    <w:rsid w:val="003165AA"/>
    <w:rsid w:val="00332639"/>
    <w:rsid w:val="00333A00"/>
    <w:rsid w:val="0033469C"/>
    <w:rsid w:val="00345B24"/>
    <w:rsid w:val="00356864"/>
    <w:rsid w:val="00362E5C"/>
    <w:rsid w:val="00366E40"/>
    <w:rsid w:val="00375408"/>
    <w:rsid w:val="0038087D"/>
    <w:rsid w:val="00381767"/>
    <w:rsid w:val="00382450"/>
    <w:rsid w:val="0039057E"/>
    <w:rsid w:val="003A30B6"/>
    <w:rsid w:val="003A41CC"/>
    <w:rsid w:val="003A42F1"/>
    <w:rsid w:val="003B5FE5"/>
    <w:rsid w:val="003C1C4F"/>
    <w:rsid w:val="003D5DE1"/>
    <w:rsid w:val="003E41B6"/>
    <w:rsid w:val="003F2898"/>
    <w:rsid w:val="003F4D88"/>
    <w:rsid w:val="0040591E"/>
    <w:rsid w:val="00405D8F"/>
    <w:rsid w:val="00425EB8"/>
    <w:rsid w:val="00432446"/>
    <w:rsid w:val="00433196"/>
    <w:rsid w:val="00434A68"/>
    <w:rsid w:val="00457F6B"/>
    <w:rsid w:val="00463EFA"/>
    <w:rsid w:val="00465D6E"/>
    <w:rsid w:val="00476507"/>
    <w:rsid w:val="0049130C"/>
    <w:rsid w:val="00493033"/>
    <w:rsid w:val="00494B9A"/>
    <w:rsid w:val="004956D1"/>
    <w:rsid w:val="00495D08"/>
    <w:rsid w:val="004A0F1D"/>
    <w:rsid w:val="004B15A1"/>
    <w:rsid w:val="004C5163"/>
    <w:rsid w:val="004C6A3E"/>
    <w:rsid w:val="004D111C"/>
    <w:rsid w:val="004E2056"/>
    <w:rsid w:val="004F71C9"/>
    <w:rsid w:val="004F7D17"/>
    <w:rsid w:val="004F7D42"/>
    <w:rsid w:val="004F7FAB"/>
    <w:rsid w:val="0050227D"/>
    <w:rsid w:val="00505120"/>
    <w:rsid w:val="00516F55"/>
    <w:rsid w:val="00520CD8"/>
    <w:rsid w:val="00525370"/>
    <w:rsid w:val="00532E0B"/>
    <w:rsid w:val="005455A2"/>
    <w:rsid w:val="0054588F"/>
    <w:rsid w:val="00551EF3"/>
    <w:rsid w:val="00555AC9"/>
    <w:rsid w:val="0056297F"/>
    <w:rsid w:val="00576C3A"/>
    <w:rsid w:val="00584392"/>
    <w:rsid w:val="005874C8"/>
    <w:rsid w:val="00593311"/>
    <w:rsid w:val="005939F2"/>
    <w:rsid w:val="005A04DE"/>
    <w:rsid w:val="005A2DF5"/>
    <w:rsid w:val="005A368B"/>
    <w:rsid w:val="005A53D1"/>
    <w:rsid w:val="005B33A0"/>
    <w:rsid w:val="005C097A"/>
    <w:rsid w:val="005C14B7"/>
    <w:rsid w:val="005D6142"/>
    <w:rsid w:val="005D62BC"/>
    <w:rsid w:val="005F45B6"/>
    <w:rsid w:val="005F649D"/>
    <w:rsid w:val="00600097"/>
    <w:rsid w:val="00624415"/>
    <w:rsid w:val="00653473"/>
    <w:rsid w:val="006555C0"/>
    <w:rsid w:val="00662BA0"/>
    <w:rsid w:val="006638F0"/>
    <w:rsid w:val="00672762"/>
    <w:rsid w:val="00676D03"/>
    <w:rsid w:val="00682127"/>
    <w:rsid w:val="00682E9C"/>
    <w:rsid w:val="00685D13"/>
    <w:rsid w:val="006970E5"/>
    <w:rsid w:val="006B3F84"/>
    <w:rsid w:val="006C0798"/>
    <w:rsid w:val="006C08DE"/>
    <w:rsid w:val="006C2FFD"/>
    <w:rsid w:val="006C4E8C"/>
    <w:rsid w:val="006C63F0"/>
    <w:rsid w:val="006D4886"/>
    <w:rsid w:val="006D5DE2"/>
    <w:rsid w:val="006E65E6"/>
    <w:rsid w:val="006F124E"/>
    <w:rsid w:val="006F1D27"/>
    <w:rsid w:val="007010DF"/>
    <w:rsid w:val="00701D34"/>
    <w:rsid w:val="00704A70"/>
    <w:rsid w:val="00715A92"/>
    <w:rsid w:val="00731F2E"/>
    <w:rsid w:val="007428F1"/>
    <w:rsid w:val="00743279"/>
    <w:rsid w:val="00757CF0"/>
    <w:rsid w:val="007A7A14"/>
    <w:rsid w:val="007B2515"/>
    <w:rsid w:val="007D2263"/>
    <w:rsid w:val="007D44CC"/>
    <w:rsid w:val="007E4DC4"/>
    <w:rsid w:val="007F0E3D"/>
    <w:rsid w:val="007F66B6"/>
    <w:rsid w:val="00800D6B"/>
    <w:rsid w:val="0080571A"/>
    <w:rsid w:val="00816FE2"/>
    <w:rsid w:val="00817001"/>
    <w:rsid w:val="008310A6"/>
    <w:rsid w:val="00832442"/>
    <w:rsid w:val="00833170"/>
    <w:rsid w:val="00845C0C"/>
    <w:rsid w:val="00846207"/>
    <w:rsid w:val="00861C38"/>
    <w:rsid w:val="0087003B"/>
    <w:rsid w:val="00881C23"/>
    <w:rsid w:val="0088354E"/>
    <w:rsid w:val="00883B93"/>
    <w:rsid w:val="00884A3E"/>
    <w:rsid w:val="00887116"/>
    <w:rsid w:val="00896325"/>
    <w:rsid w:val="008A3015"/>
    <w:rsid w:val="008A4741"/>
    <w:rsid w:val="008B75C4"/>
    <w:rsid w:val="008C6D61"/>
    <w:rsid w:val="008D1ABE"/>
    <w:rsid w:val="008D55FA"/>
    <w:rsid w:val="008E05AB"/>
    <w:rsid w:val="008E6EEC"/>
    <w:rsid w:val="008F0B45"/>
    <w:rsid w:val="00906CC8"/>
    <w:rsid w:val="00917172"/>
    <w:rsid w:val="009219D2"/>
    <w:rsid w:val="00922466"/>
    <w:rsid w:val="00923F00"/>
    <w:rsid w:val="009241AB"/>
    <w:rsid w:val="00933A8E"/>
    <w:rsid w:val="009476CA"/>
    <w:rsid w:val="009510DC"/>
    <w:rsid w:val="00957ACA"/>
    <w:rsid w:val="00960CF4"/>
    <w:rsid w:val="0096364C"/>
    <w:rsid w:val="00975136"/>
    <w:rsid w:val="00976BE0"/>
    <w:rsid w:val="0097712C"/>
    <w:rsid w:val="009810EB"/>
    <w:rsid w:val="00984AE6"/>
    <w:rsid w:val="009866BB"/>
    <w:rsid w:val="0098753A"/>
    <w:rsid w:val="009A0B2A"/>
    <w:rsid w:val="009A1305"/>
    <w:rsid w:val="009A707C"/>
    <w:rsid w:val="009D6416"/>
    <w:rsid w:val="009E3A06"/>
    <w:rsid w:val="009F092F"/>
    <w:rsid w:val="009F3285"/>
    <w:rsid w:val="00A021B7"/>
    <w:rsid w:val="00A25D7B"/>
    <w:rsid w:val="00A27840"/>
    <w:rsid w:val="00A31C2E"/>
    <w:rsid w:val="00A4416B"/>
    <w:rsid w:val="00A4563C"/>
    <w:rsid w:val="00A462D3"/>
    <w:rsid w:val="00A50CF2"/>
    <w:rsid w:val="00A5419C"/>
    <w:rsid w:val="00A666DF"/>
    <w:rsid w:val="00A73976"/>
    <w:rsid w:val="00A836C3"/>
    <w:rsid w:val="00A91EC1"/>
    <w:rsid w:val="00AB25EA"/>
    <w:rsid w:val="00AB4735"/>
    <w:rsid w:val="00AB6486"/>
    <w:rsid w:val="00AB7094"/>
    <w:rsid w:val="00AD012E"/>
    <w:rsid w:val="00AD24DB"/>
    <w:rsid w:val="00AD48A3"/>
    <w:rsid w:val="00AD749F"/>
    <w:rsid w:val="00AE10D3"/>
    <w:rsid w:val="00AF14AB"/>
    <w:rsid w:val="00AF31E5"/>
    <w:rsid w:val="00AF57A6"/>
    <w:rsid w:val="00B00841"/>
    <w:rsid w:val="00B2360A"/>
    <w:rsid w:val="00B277B6"/>
    <w:rsid w:val="00B2789A"/>
    <w:rsid w:val="00B41857"/>
    <w:rsid w:val="00B44EE0"/>
    <w:rsid w:val="00B473FC"/>
    <w:rsid w:val="00B632C9"/>
    <w:rsid w:val="00B73A7E"/>
    <w:rsid w:val="00B74284"/>
    <w:rsid w:val="00B74611"/>
    <w:rsid w:val="00B76844"/>
    <w:rsid w:val="00B80FE3"/>
    <w:rsid w:val="00BA6D66"/>
    <w:rsid w:val="00BA71D2"/>
    <w:rsid w:val="00BB3807"/>
    <w:rsid w:val="00BD0027"/>
    <w:rsid w:val="00BD4096"/>
    <w:rsid w:val="00BE136F"/>
    <w:rsid w:val="00BE4670"/>
    <w:rsid w:val="00BE6B64"/>
    <w:rsid w:val="00BF21DB"/>
    <w:rsid w:val="00C02E0C"/>
    <w:rsid w:val="00C15F5E"/>
    <w:rsid w:val="00C20D25"/>
    <w:rsid w:val="00C24C76"/>
    <w:rsid w:val="00C26BD2"/>
    <w:rsid w:val="00C329F5"/>
    <w:rsid w:val="00C45647"/>
    <w:rsid w:val="00C52675"/>
    <w:rsid w:val="00C71414"/>
    <w:rsid w:val="00C7279B"/>
    <w:rsid w:val="00C75703"/>
    <w:rsid w:val="00C80FC7"/>
    <w:rsid w:val="00C818E1"/>
    <w:rsid w:val="00C846C5"/>
    <w:rsid w:val="00C8495D"/>
    <w:rsid w:val="00C949A5"/>
    <w:rsid w:val="00CB11E0"/>
    <w:rsid w:val="00CB2225"/>
    <w:rsid w:val="00CC3D05"/>
    <w:rsid w:val="00CD1F84"/>
    <w:rsid w:val="00CD377A"/>
    <w:rsid w:val="00CE055F"/>
    <w:rsid w:val="00CE395B"/>
    <w:rsid w:val="00CE5B03"/>
    <w:rsid w:val="00CF06FD"/>
    <w:rsid w:val="00CF09C1"/>
    <w:rsid w:val="00CF2865"/>
    <w:rsid w:val="00CF4A6B"/>
    <w:rsid w:val="00CF4D3D"/>
    <w:rsid w:val="00D00C11"/>
    <w:rsid w:val="00D02AA9"/>
    <w:rsid w:val="00D0443A"/>
    <w:rsid w:val="00D117B2"/>
    <w:rsid w:val="00D14BE8"/>
    <w:rsid w:val="00D16916"/>
    <w:rsid w:val="00D16F0F"/>
    <w:rsid w:val="00D179BD"/>
    <w:rsid w:val="00D22D06"/>
    <w:rsid w:val="00D34C45"/>
    <w:rsid w:val="00D43A15"/>
    <w:rsid w:val="00D62A45"/>
    <w:rsid w:val="00D62AFA"/>
    <w:rsid w:val="00D63861"/>
    <w:rsid w:val="00D640BC"/>
    <w:rsid w:val="00D66680"/>
    <w:rsid w:val="00D740AC"/>
    <w:rsid w:val="00D90127"/>
    <w:rsid w:val="00DA6A31"/>
    <w:rsid w:val="00DC20CD"/>
    <w:rsid w:val="00DC6E37"/>
    <w:rsid w:val="00DF6DC1"/>
    <w:rsid w:val="00E03353"/>
    <w:rsid w:val="00E03B83"/>
    <w:rsid w:val="00E03FF2"/>
    <w:rsid w:val="00E05A6C"/>
    <w:rsid w:val="00E15EDD"/>
    <w:rsid w:val="00E172AD"/>
    <w:rsid w:val="00E175EB"/>
    <w:rsid w:val="00E17A15"/>
    <w:rsid w:val="00E22C2A"/>
    <w:rsid w:val="00E32220"/>
    <w:rsid w:val="00E43EDC"/>
    <w:rsid w:val="00E44933"/>
    <w:rsid w:val="00E52CE0"/>
    <w:rsid w:val="00E5450C"/>
    <w:rsid w:val="00E55320"/>
    <w:rsid w:val="00E60D2C"/>
    <w:rsid w:val="00E65308"/>
    <w:rsid w:val="00E655AC"/>
    <w:rsid w:val="00E70ADC"/>
    <w:rsid w:val="00E70D96"/>
    <w:rsid w:val="00E73311"/>
    <w:rsid w:val="00E741F9"/>
    <w:rsid w:val="00E802DD"/>
    <w:rsid w:val="00E815AA"/>
    <w:rsid w:val="00E83853"/>
    <w:rsid w:val="00E8592C"/>
    <w:rsid w:val="00E86F8F"/>
    <w:rsid w:val="00E91347"/>
    <w:rsid w:val="00E95C07"/>
    <w:rsid w:val="00EA2E90"/>
    <w:rsid w:val="00EA30CF"/>
    <w:rsid w:val="00EA36A0"/>
    <w:rsid w:val="00EA7EDE"/>
    <w:rsid w:val="00EB0332"/>
    <w:rsid w:val="00EB0A67"/>
    <w:rsid w:val="00EB79F8"/>
    <w:rsid w:val="00EE1CD0"/>
    <w:rsid w:val="00EE3492"/>
    <w:rsid w:val="00EE496C"/>
    <w:rsid w:val="00F014F9"/>
    <w:rsid w:val="00F0541C"/>
    <w:rsid w:val="00F05D8E"/>
    <w:rsid w:val="00F1470D"/>
    <w:rsid w:val="00F1649B"/>
    <w:rsid w:val="00F303A1"/>
    <w:rsid w:val="00F64B7D"/>
    <w:rsid w:val="00F64B89"/>
    <w:rsid w:val="00F7589A"/>
    <w:rsid w:val="00F766D9"/>
    <w:rsid w:val="00F8307A"/>
    <w:rsid w:val="00F857FB"/>
    <w:rsid w:val="00F87AC7"/>
    <w:rsid w:val="00F94036"/>
    <w:rsid w:val="00FA66F3"/>
    <w:rsid w:val="00FB19F6"/>
    <w:rsid w:val="00FB1C45"/>
    <w:rsid w:val="00FD261D"/>
    <w:rsid w:val="00FD4C96"/>
    <w:rsid w:val="00FE2BB5"/>
    <w:rsid w:val="00FE6B4D"/>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uiPriority w:val="99"/>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8B75C4"/>
    <w:pPr>
      <w:spacing w:line="240" w:lineRule="auto"/>
      <w:jc w:val="both"/>
    </w:pPr>
    <w:rPr>
      <w:rFonts w:ascii="Times New Roman" w:eastAsia="Times New Roman" w:hAnsi="Times New Roman" w:cs="Times New Roman"/>
      <w:color w:val="auto"/>
      <w:sz w:val="20"/>
      <w:szCs w:val="20"/>
      <w:vertAlign w:val="superscript"/>
      <w:lang w:val="en-US"/>
    </w:rPr>
  </w:style>
  <w:style w:type="character" w:styleId="UnresolvedMention">
    <w:name w:val="Unresolved Mention"/>
    <w:basedOn w:val="DefaultParagraphFont"/>
    <w:uiPriority w:val="99"/>
    <w:semiHidden/>
    <w:unhideWhenUsed/>
    <w:rsid w:val="00F87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9771">
      <w:bodyDiv w:val="1"/>
      <w:marLeft w:val="0"/>
      <w:marRight w:val="0"/>
      <w:marTop w:val="0"/>
      <w:marBottom w:val="0"/>
      <w:divBdr>
        <w:top w:val="none" w:sz="0" w:space="0" w:color="auto"/>
        <w:left w:val="none" w:sz="0" w:space="0" w:color="auto"/>
        <w:bottom w:val="none" w:sz="0" w:space="0" w:color="auto"/>
        <w:right w:val="none" w:sz="0" w:space="0" w:color="auto"/>
      </w:divBdr>
    </w:div>
    <w:div w:id="388648381">
      <w:bodyDiv w:val="1"/>
      <w:marLeft w:val="0"/>
      <w:marRight w:val="0"/>
      <w:marTop w:val="0"/>
      <w:marBottom w:val="0"/>
      <w:divBdr>
        <w:top w:val="none" w:sz="0" w:space="0" w:color="auto"/>
        <w:left w:val="none" w:sz="0" w:space="0" w:color="auto"/>
        <w:bottom w:val="none" w:sz="0" w:space="0" w:color="auto"/>
        <w:right w:val="none" w:sz="0" w:space="0" w:color="auto"/>
      </w:divBdr>
    </w:div>
    <w:div w:id="759182356">
      <w:bodyDiv w:val="1"/>
      <w:marLeft w:val="0"/>
      <w:marRight w:val="0"/>
      <w:marTop w:val="0"/>
      <w:marBottom w:val="0"/>
      <w:divBdr>
        <w:top w:val="none" w:sz="0" w:space="0" w:color="auto"/>
        <w:left w:val="none" w:sz="0" w:space="0" w:color="auto"/>
        <w:bottom w:val="none" w:sz="0" w:space="0" w:color="auto"/>
        <w:right w:val="none" w:sz="0" w:space="0" w:color="auto"/>
      </w:divBdr>
    </w:div>
    <w:div w:id="12347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ashdata.org/data/house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4CD9F0-6FA4-4C0B-AD0B-52CBEE48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2791</Words>
  <Characters>15909</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Orakzai</dc:creator>
  <cp:keywords/>
  <dc:description/>
  <cp:lastModifiedBy>Zulfia Mazarova</cp:lastModifiedBy>
  <cp:revision>11</cp:revision>
  <cp:lastPrinted>2021-08-03T07:25:00Z</cp:lastPrinted>
  <dcterms:created xsi:type="dcterms:W3CDTF">2021-08-03T06:55:00Z</dcterms:created>
  <dcterms:modified xsi:type="dcterms:W3CDTF">2021-08-09T17:32:00Z</dcterms:modified>
</cp:coreProperties>
</file>