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300"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L’UNICEF travaille dans certains des endroits les plus difficiles du monde, pour atteindre les enfants les plus défavorisés du monde. Pour leur sauver la vie. Pour défendre leurs droits. Pour les aider à réaliser leur potentiel.</w:t>
      </w:r>
    </w:p>
    <w:p w14:paraId="18A08047"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Dans 190 pays et territoires, nous travaillons pour chaque enfant, partout, chaque jour, pour construire un monde meilleur pour tous.</w:t>
      </w:r>
    </w:p>
    <w:p w14:paraId="6065DF22"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Et nous n'abandonnons jamais. </w:t>
      </w:r>
      <w:hyperlink r:id="rId5" w:history="1">
        <w:r w:rsidRPr="00D17C3F">
          <w:rPr>
            <w:rFonts w:eastAsia="Times New Roman" w:cstheme="minorHAnsi"/>
            <w:b/>
            <w:bCs/>
            <w:i/>
            <w:iCs/>
            <w:color w:val="0000FF"/>
            <w:sz w:val="21"/>
            <w:szCs w:val="21"/>
            <w:u w:val="single"/>
            <w:lang w:val="fr-FR"/>
          </w:rPr>
          <w:t>On compte sur vous ? | UNICEF - YouTube</w:t>
        </w:r>
      </w:hyperlink>
    </w:p>
    <w:p w14:paraId="3F2E1629" w14:textId="52078BD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b/>
          <w:bCs/>
          <w:i/>
          <w:iCs/>
          <w:color w:val="242424"/>
          <w:sz w:val="21"/>
          <w:szCs w:val="21"/>
          <w:lang w:val="fr-FR"/>
        </w:rPr>
        <w:t xml:space="preserve">Pour chaque enfant, </w:t>
      </w:r>
      <w:r w:rsidR="006971C6">
        <w:rPr>
          <w:rFonts w:eastAsia="Times New Roman" w:cstheme="minorHAnsi"/>
          <w:b/>
          <w:bCs/>
          <w:i/>
          <w:iCs/>
          <w:color w:val="242424"/>
          <w:sz w:val="21"/>
          <w:szCs w:val="21"/>
          <w:lang w:val="fr-FR"/>
        </w:rPr>
        <w:t>la santé</w:t>
      </w:r>
    </w:p>
    <w:p w14:paraId="6614F191"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La mission fondamentale de l'UNICEF est de promouvoir les droits de chaque enfant, dans le monde entier, à travers toutes les activités de l'organisation, dans ses programmes, ses activités de plaidoyer et ses opérations. La stratégie d'équité, qui met l'accent sur les enfants et les familles les plus défavorisés et exclus, traduit en actes cet engagement en faveur des droits de l'enfant.</w:t>
      </w:r>
    </w:p>
    <w:p w14:paraId="4C843D3D" w14:textId="63B9EADA" w:rsidR="00D17C3F" w:rsidRPr="006971C6"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 xml:space="preserve">L’UNICEF, en partenariat avec les acteurs nationaux et internationaux du développement et de l’aide humanitaire, soutient le gouvernement </w:t>
      </w:r>
      <w:r w:rsidR="006971C6">
        <w:rPr>
          <w:rFonts w:eastAsia="Times New Roman" w:cstheme="minorHAnsi"/>
          <w:color w:val="242424"/>
          <w:sz w:val="21"/>
          <w:szCs w:val="21"/>
          <w:lang w:val="fr-FR"/>
        </w:rPr>
        <w:t>camerounais</w:t>
      </w:r>
      <w:r w:rsidRPr="00D17C3F">
        <w:rPr>
          <w:rFonts w:eastAsia="Times New Roman" w:cstheme="minorHAnsi"/>
          <w:color w:val="242424"/>
          <w:sz w:val="21"/>
          <w:szCs w:val="21"/>
          <w:lang w:val="fr-FR"/>
        </w:rPr>
        <w:t xml:space="preserve"> dans l’élaboration de programmes et de politiques visant à promouvoir et à respecter les droits des enfants à la survie, à l’éducation et à la protection. À cette fin, UNICEF </w:t>
      </w:r>
      <w:r w:rsidRPr="006971C6">
        <w:rPr>
          <w:rFonts w:eastAsia="Times New Roman" w:cstheme="minorHAnsi"/>
          <w:color w:val="242424"/>
          <w:sz w:val="21"/>
          <w:szCs w:val="21"/>
          <w:lang w:val="fr-FR"/>
        </w:rPr>
        <w:t>Cameroun</w:t>
      </w:r>
      <w:r w:rsidRPr="00D17C3F">
        <w:rPr>
          <w:rFonts w:eastAsia="Times New Roman" w:cstheme="minorHAnsi"/>
          <w:color w:val="242424"/>
          <w:sz w:val="21"/>
          <w:szCs w:val="21"/>
          <w:lang w:val="fr-FR"/>
        </w:rPr>
        <w:t xml:space="preserve"> dispose de 4 bureaux de zone (</w:t>
      </w:r>
      <w:r w:rsidRPr="006971C6">
        <w:rPr>
          <w:rFonts w:eastAsia="Times New Roman" w:cstheme="minorHAnsi"/>
          <w:color w:val="242424"/>
          <w:sz w:val="21"/>
          <w:szCs w:val="21"/>
          <w:lang w:val="fr-FR"/>
        </w:rPr>
        <w:t>Buea</w:t>
      </w:r>
      <w:r w:rsidRPr="00D17C3F">
        <w:rPr>
          <w:rFonts w:eastAsia="Times New Roman" w:cstheme="minorHAnsi"/>
          <w:color w:val="242424"/>
          <w:sz w:val="21"/>
          <w:szCs w:val="21"/>
          <w:lang w:val="fr-FR"/>
        </w:rPr>
        <w:t xml:space="preserve">, </w:t>
      </w:r>
      <w:r w:rsidRPr="006971C6">
        <w:rPr>
          <w:rFonts w:eastAsia="Times New Roman" w:cstheme="minorHAnsi"/>
          <w:color w:val="242424"/>
          <w:sz w:val="21"/>
          <w:szCs w:val="21"/>
          <w:lang w:val="fr-FR"/>
        </w:rPr>
        <w:t>Maroua</w:t>
      </w:r>
      <w:r w:rsidRPr="00D17C3F">
        <w:rPr>
          <w:rFonts w:eastAsia="Times New Roman" w:cstheme="minorHAnsi"/>
          <w:color w:val="242424"/>
          <w:sz w:val="21"/>
          <w:szCs w:val="21"/>
          <w:lang w:val="fr-FR"/>
        </w:rPr>
        <w:t xml:space="preserve">, </w:t>
      </w:r>
      <w:r w:rsidRPr="006971C6">
        <w:rPr>
          <w:rFonts w:eastAsia="Times New Roman" w:cstheme="minorHAnsi"/>
          <w:color w:val="242424"/>
          <w:sz w:val="21"/>
          <w:szCs w:val="21"/>
          <w:lang w:val="fr-FR"/>
        </w:rPr>
        <w:t>Bertoua</w:t>
      </w:r>
      <w:r w:rsidRPr="00D17C3F">
        <w:rPr>
          <w:rFonts w:eastAsia="Times New Roman" w:cstheme="minorHAnsi"/>
          <w:color w:val="242424"/>
          <w:sz w:val="21"/>
          <w:szCs w:val="21"/>
          <w:lang w:val="fr-FR"/>
        </w:rPr>
        <w:t xml:space="preserve"> et </w:t>
      </w:r>
      <w:r w:rsidRPr="006971C6">
        <w:rPr>
          <w:rFonts w:eastAsia="Times New Roman" w:cstheme="minorHAnsi"/>
          <w:color w:val="242424"/>
          <w:sz w:val="21"/>
          <w:szCs w:val="21"/>
          <w:lang w:val="fr-FR"/>
        </w:rPr>
        <w:t>Douala</w:t>
      </w:r>
      <w:r w:rsidRPr="00D17C3F">
        <w:rPr>
          <w:rFonts w:eastAsia="Times New Roman" w:cstheme="minorHAnsi"/>
          <w:color w:val="242424"/>
          <w:sz w:val="21"/>
          <w:szCs w:val="21"/>
          <w:lang w:val="fr-FR"/>
        </w:rPr>
        <w:t>) et d’un bureau central (</w:t>
      </w:r>
      <w:r w:rsidRPr="006971C6">
        <w:rPr>
          <w:rFonts w:eastAsia="Times New Roman" w:cstheme="minorHAnsi"/>
          <w:color w:val="242424"/>
          <w:sz w:val="21"/>
          <w:szCs w:val="21"/>
          <w:lang w:val="fr-FR"/>
        </w:rPr>
        <w:t>Yaound</w:t>
      </w:r>
      <w:r w:rsidR="006971C6">
        <w:rPr>
          <w:rFonts w:eastAsia="Times New Roman" w:cstheme="minorHAnsi"/>
          <w:color w:val="242424"/>
          <w:sz w:val="21"/>
          <w:szCs w:val="21"/>
          <w:lang w:val="fr-FR"/>
        </w:rPr>
        <w:t>é</w:t>
      </w:r>
      <w:r w:rsidRPr="00D17C3F">
        <w:rPr>
          <w:rFonts w:eastAsia="Times New Roman" w:cstheme="minorHAnsi"/>
          <w:color w:val="242424"/>
          <w:sz w:val="21"/>
          <w:szCs w:val="21"/>
          <w:lang w:val="fr-FR"/>
        </w:rPr>
        <w:t>) qui assurent la mise en œuvre régulière et le suivi du programme de coopération. Par le biais de ses bureaux, l’UNICEF assure la proximité des populations dans le besoin et favorise leur responsabilisation.</w:t>
      </w:r>
    </w:p>
    <w:p w14:paraId="082E26C7" w14:textId="54722903"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 xml:space="preserve">Pour en savoir plus sur le travail de l’UNICEF au </w:t>
      </w:r>
      <w:r w:rsidRPr="006971C6">
        <w:rPr>
          <w:rFonts w:eastAsia="Times New Roman" w:cstheme="minorHAnsi"/>
          <w:color w:val="242424"/>
          <w:sz w:val="21"/>
          <w:szCs w:val="21"/>
          <w:lang w:val="fr-FR"/>
        </w:rPr>
        <w:t>Cameroun</w:t>
      </w:r>
      <w:r w:rsidRPr="00D17C3F">
        <w:rPr>
          <w:rFonts w:eastAsia="Times New Roman" w:cstheme="minorHAnsi"/>
          <w:color w:val="242424"/>
          <w:sz w:val="21"/>
          <w:szCs w:val="21"/>
          <w:lang w:val="fr-FR"/>
        </w:rPr>
        <w:t>, veuillez visiter l</w:t>
      </w:r>
      <w:r w:rsidRPr="00D17C3F">
        <w:rPr>
          <w:rFonts w:eastAsia="Times New Roman" w:cstheme="minorHAnsi"/>
          <w:color w:val="242424"/>
          <w:sz w:val="21"/>
          <w:szCs w:val="21"/>
          <w:highlight w:val="yellow"/>
          <w:lang w:val="fr-FR"/>
        </w:rPr>
        <w:t>e site</w:t>
      </w:r>
      <w:r w:rsidRPr="00D17C3F">
        <w:rPr>
          <w:rFonts w:eastAsia="Times New Roman" w:cstheme="minorHAnsi"/>
          <w:color w:val="242424"/>
          <w:sz w:val="21"/>
          <w:szCs w:val="21"/>
          <w:lang w:val="fr-FR"/>
        </w:rPr>
        <w:t> </w:t>
      </w:r>
    </w:p>
    <w:p w14:paraId="7363FE1F" w14:textId="77777777" w:rsidR="006971C6" w:rsidRDefault="006971C6" w:rsidP="006971C6">
      <w:pPr>
        <w:shd w:val="clear" w:color="auto" w:fill="FFFFFF"/>
        <w:spacing w:after="0" w:line="240" w:lineRule="auto"/>
        <w:rPr>
          <w:rFonts w:eastAsia="Times New Roman" w:cstheme="minorHAnsi"/>
          <w:b/>
          <w:bCs/>
          <w:i/>
          <w:iCs/>
          <w:color w:val="242424"/>
          <w:sz w:val="21"/>
          <w:szCs w:val="21"/>
          <w:lang w:val="fr-FR"/>
        </w:rPr>
      </w:pPr>
    </w:p>
    <w:p w14:paraId="6D925D0F" w14:textId="3312CD8A"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i/>
          <w:iCs/>
          <w:color w:val="242424"/>
          <w:sz w:val="21"/>
          <w:szCs w:val="21"/>
          <w:lang w:val="fr-FR"/>
        </w:rPr>
        <w:t>Comment pouvez-vous faire la différence ?</w:t>
      </w:r>
    </w:p>
    <w:p w14:paraId="0038DC21" w14:textId="77777777" w:rsidR="00D17C3F" w:rsidRPr="006971C6" w:rsidRDefault="00D17C3F" w:rsidP="006971C6">
      <w:pPr>
        <w:spacing w:after="0"/>
        <w:jc w:val="both"/>
        <w:rPr>
          <w:rFonts w:eastAsia="Calibri" w:cstheme="minorHAnsi"/>
          <w:lang w:val="fr-FR"/>
        </w:rPr>
      </w:pPr>
      <w:r w:rsidRPr="006971C6">
        <w:rPr>
          <w:rFonts w:eastAsia="Calibri" w:cstheme="minorHAnsi"/>
          <w:lang w:val="fr-FR"/>
        </w:rPr>
        <w:t>Le but de l’assistance technique est de soutenir les niveaux central, régional et de district dans la gestion de la logistique de la chaine du froid et de gestion des vaccins en faveur de l’éradication de la Poliomyélite.</w:t>
      </w:r>
    </w:p>
    <w:p w14:paraId="7C646D87" w14:textId="77777777" w:rsidR="006971C6" w:rsidRDefault="006971C6" w:rsidP="006971C6">
      <w:pPr>
        <w:shd w:val="clear" w:color="auto" w:fill="FFFFFF"/>
        <w:spacing w:after="0" w:line="240" w:lineRule="auto"/>
        <w:rPr>
          <w:rFonts w:eastAsia="Times New Roman" w:cstheme="minorHAnsi"/>
          <w:b/>
          <w:bCs/>
          <w:i/>
          <w:iCs/>
          <w:color w:val="242424"/>
          <w:sz w:val="21"/>
          <w:szCs w:val="21"/>
          <w:lang w:val="fr-FR"/>
        </w:rPr>
      </w:pPr>
    </w:p>
    <w:p w14:paraId="28A70E25" w14:textId="5E18E70B" w:rsidR="00D17C3F" w:rsidRPr="006971C6" w:rsidRDefault="00D17C3F" w:rsidP="006971C6">
      <w:pPr>
        <w:shd w:val="clear" w:color="auto" w:fill="FFFFFF"/>
        <w:spacing w:after="0" w:line="240" w:lineRule="auto"/>
        <w:rPr>
          <w:rFonts w:eastAsia="Times New Roman" w:cstheme="minorHAnsi"/>
          <w:b/>
          <w:bCs/>
          <w:color w:val="242424"/>
          <w:sz w:val="21"/>
          <w:szCs w:val="21"/>
          <w:lang w:val="fr-FR"/>
        </w:rPr>
      </w:pPr>
      <w:r w:rsidRPr="00D17C3F">
        <w:rPr>
          <w:rFonts w:eastAsia="Times New Roman" w:cstheme="minorHAnsi"/>
          <w:b/>
          <w:bCs/>
          <w:i/>
          <w:iCs/>
          <w:color w:val="242424"/>
          <w:sz w:val="21"/>
          <w:szCs w:val="21"/>
          <w:lang w:val="fr-FR"/>
        </w:rPr>
        <w:t>Quelles sont vos responsabilités </w:t>
      </w:r>
      <w:r w:rsidRPr="00D17C3F">
        <w:rPr>
          <w:rFonts w:eastAsia="Times New Roman" w:cstheme="minorHAnsi"/>
          <w:b/>
          <w:bCs/>
          <w:color w:val="242424"/>
          <w:sz w:val="21"/>
          <w:szCs w:val="21"/>
          <w:lang w:val="fr-FR"/>
        </w:rPr>
        <w:t>?</w:t>
      </w:r>
    </w:p>
    <w:p w14:paraId="39291834" w14:textId="4C8A7159" w:rsidR="00D17C3F" w:rsidRPr="006971C6" w:rsidRDefault="00D17C3F" w:rsidP="006971C6">
      <w:pPr>
        <w:spacing w:after="0"/>
        <w:jc w:val="both"/>
        <w:rPr>
          <w:rFonts w:eastAsia="Calibri" w:cstheme="minorHAnsi"/>
          <w:lang w:val="fr-FR"/>
        </w:rPr>
      </w:pPr>
      <w:r w:rsidRPr="006971C6">
        <w:rPr>
          <w:rFonts w:eastAsia="Calibri" w:cstheme="minorHAnsi"/>
          <w:lang w:val="fr-FR"/>
        </w:rPr>
        <w:t xml:space="preserve">Le </w:t>
      </w:r>
      <w:r w:rsidRPr="006971C6">
        <w:rPr>
          <w:rFonts w:eastAsia="Calibri" w:cstheme="minorHAnsi"/>
          <w:lang w:val="fr-FR"/>
        </w:rPr>
        <w:t>titulaire du poste sera chargé de mener les taches qui lui sont attribuées selon ce qui suit :</w:t>
      </w:r>
    </w:p>
    <w:p w14:paraId="78925D53" w14:textId="77777777" w:rsidR="00D17C3F" w:rsidRPr="006971C6" w:rsidRDefault="00D17C3F" w:rsidP="006971C6">
      <w:pPr>
        <w:pStyle w:val="ListParagraph"/>
        <w:numPr>
          <w:ilvl w:val="0"/>
          <w:numId w:val="7"/>
        </w:numPr>
        <w:spacing w:line="276" w:lineRule="auto"/>
        <w:jc w:val="both"/>
        <w:rPr>
          <w:rFonts w:asciiTheme="minorHAnsi" w:eastAsia="Calibri" w:hAnsiTheme="minorHAnsi" w:cstheme="minorHAnsi"/>
          <w:b/>
          <w:bCs/>
          <w:sz w:val="22"/>
          <w:szCs w:val="22"/>
          <w:lang w:val="fr-FR"/>
        </w:rPr>
      </w:pPr>
      <w:r w:rsidRPr="006971C6">
        <w:rPr>
          <w:rFonts w:asciiTheme="minorHAnsi" w:eastAsia="Calibri" w:hAnsiTheme="minorHAnsi" w:cstheme="minorHAnsi"/>
          <w:b/>
          <w:bCs/>
          <w:sz w:val="22"/>
          <w:szCs w:val="22"/>
          <w:lang w:val="fr-FR"/>
        </w:rPr>
        <w:t xml:space="preserve">Avant les campagnes : </w:t>
      </w:r>
    </w:p>
    <w:p w14:paraId="22134293"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Rendre disponible les outils de gestions (Protocole de gestion des vaccins nOPV2, guide pratique pour la formation, fiche d’enregistrement…)</w:t>
      </w:r>
    </w:p>
    <w:p w14:paraId="57EDB9F9"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Effectuer des visites de terrain / Téléconférence pour contrôler le niveau de préparation des régions en matière de gestion des vaccins et pour renforcer les capacités</w:t>
      </w:r>
    </w:p>
    <w:p w14:paraId="5604649D"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Rendre disponible les outils de gestions (Protocole de gestion des vaccins nOPV2, guide pratique pour la formation, fiche d’enregistrement…)</w:t>
      </w:r>
    </w:p>
    <w:p w14:paraId="0194CF1A"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Appuyer le plan de répartition des vaccins Covid et nOPV2, la distribution, la gestion administrative, le suivi des stocks des vaccins anticovid-19 dans les régions, districts et formations sanitaires et assurer la collecte des flacons vides, ouverts et flacons non utilisés avant la date de péremption</w:t>
      </w:r>
    </w:p>
    <w:p w14:paraId="44D9D9C8"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Former les acteurs du niveau national qui vont faciliter la formation en région à la gestion des vaccins et de la chaîne du froid</w:t>
      </w:r>
    </w:p>
    <w:p w14:paraId="7484B67B"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lastRenderedPageBreak/>
        <w:t>Coordonner la mise à jour de l'inventaire des équipements de chaîne du froid actifs et passifs pour tous les établissements des régions sanitaires / districts y compris les équipements à température ultra basse</w:t>
      </w:r>
    </w:p>
    <w:p w14:paraId="22597669" w14:textId="77777777" w:rsidR="00D17C3F" w:rsidRPr="006971C6" w:rsidRDefault="00D17C3F" w:rsidP="00D17C3F">
      <w:pPr>
        <w:pStyle w:val="ListParagraph"/>
        <w:numPr>
          <w:ilvl w:val="0"/>
          <w:numId w:val="6"/>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Fournir un soutien technique pour l'extension de la chaîne du froid par le biais de la plateforme d'optimisation des équipements de la chaîne du froid (CCEOP).</w:t>
      </w:r>
    </w:p>
    <w:p w14:paraId="3D038AC7" w14:textId="77777777" w:rsidR="00D17C3F" w:rsidRPr="006971C6" w:rsidRDefault="00D17C3F" w:rsidP="00D17C3F">
      <w:pPr>
        <w:pStyle w:val="ListParagraph"/>
        <w:numPr>
          <w:ilvl w:val="0"/>
          <w:numId w:val="7"/>
        </w:numPr>
        <w:spacing w:line="276" w:lineRule="auto"/>
        <w:jc w:val="both"/>
        <w:rPr>
          <w:rFonts w:asciiTheme="minorHAnsi" w:eastAsia="Calibri" w:hAnsiTheme="minorHAnsi" w:cstheme="minorHAnsi"/>
          <w:b/>
          <w:bCs/>
          <w:sz w:val="22"/>
          <w:szCs w:val="22"/>
          <w:lang w:val="fr-FR"/>
        </w:rPr>
      </w:pPr>
      <w:r w:rsidRPr="006971C6">
        <w:rPr>
          <w:rFonts w:asciiTheme="minorHAnsi" w:eastAsia="Calibri" w:hAnsiTheme="minorHAnsi" w:cstheme="minorHAnsi"/>
          <w:b/>
          <w:bCs/>
          <w:sz w:val="22"/>
          <w:szCs w:val="22"/>
          <w:lang w:val="fr-FR"/>
        </w:rPr>
        <w:t>Pendant les campagnes</w:t>
      </w:r>
    </w:p>
    <w:p w14:paraId="4BEFC118" w14:textId="77777777" w:rsidR="00D17C3F" w:rsidRPr="006971C6" w:rsidRDefault="00D17C3F" w:rsidP="00D17C3F">
      <w:pPr>
        <w:pStyle w:val="ListParagraph"/>
        <w:numPr>
          <w:ilvl w:val="0"/>
          <w:numId w:val="8"/>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Faire le suivi de la transmission des informations et des analyses sur la gestion logistique et gestion des vaccins au niveau de la coordination nationale</w:t>
      </w:r>
    </w:p>
    <w:p w14:paraId="47CF9687" w14:textId="77777777" w:rsidR="00D17C3F" w:rsidRPr="006971C6" w:rsidRDefault="00D17C3F" w:rsidP="00D17C3F">
      <w:pPr>
        <w:pStyle w:val="ListParagraph"/>
        <w:numPr>
          <w:ilvl w:val="0"/>
          <w:numId w:val="8"/>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Prendre part activement à la commission logistique nationale et participer aux réunions de coordination et de restitution organisées quotidiennement et en fin de riposte</w:t>
      </w:r>
    </w:p>
    <w:p w14:paraId="01CE8699" w14:textId="77777777" w:rsidR="00D17C3F" w:rsidRPr="006971C6" w:rsidRDefault="00D17C3F" w:rsidP="00D17C3F">
      <w:pPr>
        <w:pStyle w:val="ListParagraph"/>
        <w:numPr>
          <w:ilvl w:val="0"/>
          <w:numId w:val="8"/>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Coordonner la distribution, la gestion administrative, le suivi des stocks et la pleine disponibilité du nOPV2 à tous les niveaux pour les activités de routine</w:t>
      </w:r>
    </w:p>
    <w:p w14:paraId="6B0E4EFB" w14:textId="77777777" w:rsidR="00D17C3F" w:rsidRPr="006971C6" w:rsidRDefault="00D17C3F" w:rsidP="00D17C3F">
      <w:pPr>
        <w:pStyle w:val="ListParagraph"/>
        <w:numPr>
          <w:ilvl w:val="0"/>
          <w:numId w:val="8"/>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Superviser les consultants nationaux déployés au niveau des régions, monitorer les indicateurs de performances des régions, et prendre les actions correctives pour optimiser les résultats.</w:t>
      </w:r>
    </w:p>
    <w:p w14:paraId="52020802" w14:textId="77777777" w:rsidR="00D17C3F" w:rsidRPr="006971C6" w:rsidRDefault="00D17C3F" w:rsidP="00D17C3F">
      <w:pPr>
        <w:pStyle w:val="ListParagraph"/>
        <w:numPr>
          <w:ilvl w:val="0"/>
          <w:numId w:val="7"/>
        </w:numPr>
        <w:spacing w:line="276" w:lineRule="auto"/>
        <w:jc w:val="both"/>
        <w:rPr>
          <w:rFonts w:asciiTheme="minorHAnsi" w:eastAsia="Calibri" w:hAnsiTheme="minorHAnsi" w:cstheme="minorHAnsi"/>
          <w:b/>
          <w:bCs/>
          <w:sz w:val="22"/>
          <w:szCs w:val="22"/>
          <w:lang w:val="fr-FR"/>
        </w:rPr>
      </w:pPr>
      <w:r w:rsidRPr="006971C6">
        <w:rPr>
          <w:rFonts w:asciiTheme="minorHAnsi" w:eastAsia="Calibri" w:hAnsiTheme="minorHAnsi" w:cstheme="minorHAnsi"/>
          <w:b/>
          <w:bCs/>
          <w:sz w:val="22"/>
          <w:szCs w:val="22"/>
          <w:lang w:val="fr-FR"/>
        </w:rPr>
        <w:t>Après les campagnes</w:t>
      </w:r>
    </w:p>
    <w:p w14:paraId="32FA154F" w14:textId="77777777" w:rsidR="00D17C3F" w:rsidRPr="006971C6" w:rsidRDefault="00D17C3F" w:rsidP="00D17C3F">
      <w:pPr>
        <w:pStyle w:val="ListParagraph"/>
        <w:numPr>
          <w:ilvl w:val="0"/>
          <w:numId w:val="9"/>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Coordonner la mise à jour de l'inventaire des équipements de chaîne du froid actifs et passifs pour tous les établissements des régions sanitaires / districts y compris les équipements à température ultra basse</w:t>
      </w:r>
    </w:p>
    <w:p w14:paraId="3F1056B5" w14:textId="77777777" w:rsidR="00D17C3F" w:rsidRPr="006971C6" w:rsidRDefault="00D17C3F" w:rsidP="00D17C3F">
      <w:pPr>
        <w:pStyle w:val="ListParagraph"/>
        <w:numPr>
          <w:ilvl w:val="0"/>
          <w:numId w:val="9"/>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Assurer la coordination de la gestion des déchets après les activités de vaccination</w:t>
      </w:r>
    </w:p>
    <w:p w14:paraId="70DB43E1" w14:textId="77777777" w:rsidR="00D17C3F" w:rsidRPr="006971C6" w:rsidRDefault="00D17C3F" w:rsidP="00D17C3F">
      <w:pPr>
        <w:pStyle w:val="ListParagraph"/>
        <w:numPr>
          <w:ilvl w:val="0"/>
          <w:numId w:val="9"/>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Assurer la coordination des activités de Monitorage des flacons : élaboration du module/guide de formation, formation des formateurs, supervision, compilation et analyse des données de monitorage et finalisation des rapports</w:t>
      </w:r>
    </w:p>
    <w:p w14:paraId="6182416F" w14:textId="77777777" w:rsidR="00D17C3F" w:rsidRPr="006971C6" w:rsidRDefault="00D17C3F" w:rsidP="00D17C3F">
      <w:pPr>
        <w:pStyle w:val="ListParagraph"/>
        <w:numPr>
          <w:ilvl w:val="0"/>
          <w:numId w:val="7"/>
        </w:numPr>
        <w:spacing w:line="276" w:lineRule="auto"/>
        <w:jc w:val="both"/>
        <w:rPr>
          <w:rFonts w:asciiTheme="minorHAnsi" w:eastAsia="Calibri" w:hAnsiTheme="minorHAnsi" w:cstheme="minorHAnsi"/>
          <w:b/>
          <w:bCs/>
          <w:sz w:val="22"/>
          <w:szCs w:val="22"/>
          <w:lang w:val="fr-FR"/>
        </w:rPr>
      </w:pPr>
      <w:r w:rsidRPr="006971C6">
        <w:rPr>
          <w:rFonts w:asciiTheme="minorHAnsi" w:eastAsia="Calibri" w:hAnsiTheme="minorHAnsi" w:cstheme="minorHAnsi"/>
          <w:b/>
          <w:bCs/>
          <w:sz w:val="22"/>
          <w:szCs w:val="22"/>
          <w:lang w:val="fr-FR"/>
        </w:rPr>
        <w:t xml:space="preserve">Entre les passages : </w:t>
      </w:r>
    </w:p>
    <w:p w14:paraId="5D153290" w14:textId="77777777" w:rsidR="00D17C3F" w:rsidRPr="006971C6" w:rsidRDefault="00D17C3F" w:rsidP="00D17C3F">
      <w:pPr>
        <w:pStyle w:val="ListParagraph"/>
        <w:numPr>
          <w:ilvl w:val="0"/>
          <w:numId w:val="10"/>
        </w:numPr>
        <w:spacing w:line="276" w:lineRule="auto"/>
        <w:jc w:val="both"/>
        <w:rPr>
          <w:rFonts w:asciiTheme="minorHAnsi" w:eastAsia="Calibri" w:hAnsiTheme="minorHAnsi" w:cstheme="minorHAnsi"/>
          <w:sz w:val="22"/>
          <w:szCs w:val="22"/>
          <w:lang w:val="fr-FR"/>
        </w:rPr>
      </w:pPr>
      <w:r w:rsidRPr="006971C6">
        <w:rPr>
          <w:rFonts w:asciiTheme="minorHAnsi" w:eastAsia="Calibri" w:hAnsiTheme="minorHAnsi" w:cstheme="minorHAnsi"/>
          <w:sz w:val="22"/>
          <w:szCs w:val="22"/>
          <w:lang w:val="fr-FR"/>
        </w:rPr>
        <w:t>Soutenir l'élaboration d'un plan d'amélioration afin de s'assurer que toutes les faiblesses observées lors du premier passage et des campagnes précédentes sont corrigées.</w:t>
      </w:r>
    </w:p>
    <w:p w14:paraId="74D7EED6" w14:textId="02C4CD35"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Pour avoir plus d'informations cliquez ici :</w:t>
      </w:r>
      <w:r w:rsidR="006971C6" w:rsidRPr="006971C6">
        <w:rPr>
          <w:rFonts w:eastAsia="Times New Roman" w:cstheme="minorHAnsi"/>
          <w:color w:val="242424"/>
          <w:sz w:val="21"/>
          <w:szCs w:val="21"/>
          <w:lang w:val="fr-FR"/>
        </w:rPr>
        <w:t xml:space="preserve"> </w:t>
      </w:r>
    </w:p>
    <w:p w14:paraId="1AF28F71" w14:textId="68A56926" w:rsidR="00D17C3F" w:rsidRDefault="00D17C3F" w:rsidP="006971C6">
      <w:pPr>
        <w:shd w:val="clear" w:color="auto" w:fill="FFFFFF"/>
        <w:spacing w:after="0" w:line="240" w:lineRule="auto"/>
        <w:rPr>
          <w:rFonts w:eastAsia="Times New Roman" w:cstheme="minorHAnsi"/>
          <w:b/>
          <w:bCs/>
          <w:i/>
          <w:iCs/>
          <w:color w:val="242424"/>
          <w:sz w:val="21"/>
          <w:szCs w:val="21"/>
          <w:lang w:val="fr-FR"/>
        </w:rPr>
      </w:pPr>
      <w:r w:rsidRPr="00D17C3F">
        <w:rPr>
          <w:rFonts w:eastAsia="Times New Roman" w:cstheme="minorHAnsi"/>
          <w:b/>
          <w:bCs/>
          <w:i/>
          <w:iCs/>
          <w:color w:val="242424"/>
          <w:sz w:val="21"/>
          <w:szCs w:val="21"/>
          <w:lang w:val="fr-FR"/>
        </w:rPr>
        <w:t xml:space="preserve">Pour assumer ce rôle et être considéré comme un champion des droits de chaque enfant au </w:t>
      </w:r>
      <w:r w:rsidR="006971C6">
        <w:rPr>
          <w:rFonts w:eastAsia="Times New Roman" w:cstheme="minorHAnsi"/>
          <w:b/>
          <w:bCs/>
          <w:i/>
          <w:iCs/>
          <w:color w:val="242424"/>
          <w:sz w:val="21"/>
          <w:szCs w:val="21"/>
          <w:lang w:val="fr-FR"/>
        </w:rPr>
        <w:t>Cameroun</w:t>
      </w:r>
      <w:r w:rsidRPr="00D17C3F">
        <w:rPr>
          <w:rFonts w:eastAsia="Times New Roman" w:cstheme="minorHAnsi"/>
          <w:b/>
          <w:bCs/>
          <w:i/>
          <w:iCs/>
          <w:color w:val="242424"/>
          <w:sz w:val="21"/>
          <w:szCs w:val="21"/>
          <w:lang w:val="fr-FR"/>
        </w:rPr>
        <w:t>, vous devez avoir :</w:t>
      </w:r>
    </w:p>
    <w:p w14:paraId="2CBFB969" w14:textId="77777777" w:rsidR="006971C6" w:rsidRPr="00D17C3F" w:rsidRDefault="006971C6" w:rsidP="006971C6">
      <w:pPr>
        <w:shd w:val="clear" w:color="auto" w:fill="FFFFFF"/>
        <w:spacing w:after="0" w:line="240" w:lineRule="auto"/>
        <w:rPr>
          <w:rFonts w:eastAsia="Times New Roman" w:cstheme="minorHAnsi"/>
          <w:color w:val="242424"/>
          <w:sz w:val="21"/>
          <w:szCs w:val="21"/>
          <w:lang w:val="fr-FR"/>
        </w:rPr>
      </w:pPr>
    </w:p>
    <w:p w14:paraId="667593BA" w14:textId="77777777"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i/>
          <w:iCs/>
          <w:color w:val="242424"/>
          <w:sz w:val="21"/>
          <w:szCs w:val="21"/>
          <w:lang w:val="fr-FR"/>
        </w:rPr>
        <w:t>QUALIFICATIONS ET COMPÉTENCES MINIMALES</w:t>
      </w:r>
    </w:p>
    <w:p w14:paraId="680974A1" w14:textId="77777777" w:rsidR="006971C6" w:rsidRDefault="006971C6" w:rsidP="006971C6">
      <w:pPr>
        <w:pStyle w:val="NormalWeb"/>
        <w:shd w:val="clear" w:color="auto" w:fill="FFFFFF"/>
        <w:spacing w:before="0" w:beforeAutospacing="0" w:after="0" w:afterAutospacing="0"/>
        <w:jc w:val="both"/>
        <w:rPr>
          <w:rFonts w:asciiTheme="minorHAnsi" w:hAnsiTheme="minorHAnsi" w:cstheme="minorHAnsi"/>
          <w:b/>
          <w:bCs/>
          <w:i/>
          <w:iCs/>
          <w:color w:val="242424"/>
          <w:sz w:val="21"/>
          <w:szCs w:val="21"/>
          <w:lang w:val="fr-FR"/>
        </w:rPr>
      </w:pPr>
    </w:p>
    <w:p w14:paraId="406F4E08" w14:textId="5238CC7B" w:rsidR="00D17C3F" w:rsidRPr="006971C6" w:rsidRDefault="00D17C3F" w:rsidP="006971C6">
      <w:pPr>
        <w:pStyle w:val="NormalWeb"/>
        <w:shd w:val="clear" w:color="auto" w:fill="FFFFFF"/>
        <w:spacing w:before="0" w:beforeAutospacing="0" w:after="0" w:afterAutospacing="0"/>
        <w:jc w:val="both"/>
        <w:rPr>
          <w:rFonts w:asciiTheme="minorHAnsi" w:hAnsiTheme="minorHAnsi" w:cstheme="minorHAnsi"/>
          <w:bCs/>
          <w:sz w:val="22"/>
          <w:szCs w:val="22"/>
          <w:lang w:val="fr-FR"/>
        </w:rPr>
      </w:pPr>
      <w:r w:rsidRPr="00D17C3F">
        <w:rPr>
          <w:rFonts w:asciiTheme="minorHAnsi" w:hAnsiTheme="minorHAnsi" w:cstheme="minorHAnsi"/>
          <w:b/>
          <w:bCs/>
          <w:i/>
          <w:iCs/>
          <w:color w:val="242424"/>
          <w:sz w:val="21"/>
          <w:szCs w:val="21"/>
          <w:lang w:val="fr-FR"/>
        </w:rPr>
        <w:t>Formation :</w:t>
      </w:r>
      <w:r w:rsidRPr="006971C6">
        <w:rPr>
          <w:rFonts w:asciiTheme="minorHAnsi" w:hAnsiTheme="minorHAnsi" w:cstheme="minorHAnsi"/>
          <w:b/>
          <w:bCs/>
          <w:i/>
          <w:iCs/>
          <w:color w:val="242424"/>
          <w:sz w:val="21"/>
          <w:szCs w:val="21"/>
          <w:lang w:val="fr-FR"/>
        </w:rPr>
        <w:t xml:space="preserve"> </w:t>
      </w:r>
      <w:r w:rsidRPr="006971C6">
        <w:rPr>
          <w:rFonts w:asciiTheme="minorHAnsi" w:hAnsiTheme="minorHAnsi" w:cstheme="minorHAnsi"/>
          <w:bCs/>
          <w:sz w:val="22"/>
          <w:szCs w:val="22"/>
          <w:lang w:val="fr-FR"/>
        </w:rPr>
        <w:t xml:space="preserve">Master en gestion logistique ou autres Maitrises (pharmacie, ingénieur), spécialiste en chaine d’approvisionnement et logistique de santé ayant une grande connaissance du Programme Elargi de Vaccination, notamment les aspects liés à la mise en œuvre de campagnes de vaccination de masse.                                                     </w:t>
      </w:r>
    </w:p>
    <w:p w14:paraId="2F885694" w14:textId="77777777" w:rsidR="006971C6" w:rsidRDefault="006971C6" w:rsidP="006971C6">
      <w:pPr>
        <w:shd w:val="clear" w:color="auto" w:fill="FFFFFF"/>
        <w:spacing w:after="0" w:line="240" w:lineRule="auto"/>
        <w:rPr>
          <w:rFonts w:eastAsia="Times New Roman" w:cstheme="minorHAnsi"/>
          <w:b/>
          <w:bCs/>
          <w:i/>
          <w:iCs/>
          <w:color w:val="242424"/>
          <w:sz w:val="21"/>
          <w:szCs w:val="21"/>
          <w:lang w:val="fr-FR"/>
        </w:rPr>
      </w:pPr>
    </w:p>
    <w:p w14:paraId="5F67A9C4" w14:textId="4DCC3E8C" w:rsidR="00F357BF" w:rsidRPr="006971C6" w:rsidRDefault="00D17C3F" w:rsidP="006971C6">
      <w:pPr>
        <w:shd w:val="clear" w:color="auto" w:fill="FFFFFF"/>
        <w:spacing w:after="0" w:line="240" w:lineRule="auto"/>
        <w:rPr>
          <w:rFonts w:cstheme="minorHAnsi"/>
          <w:bCs/>
          <w:lang w:val="fr-FR"/>
        </w:rPr>
      </w:pPr>
      <w:r w:rsidRPr="00D17C3F">
        <w:rPr>
          <w:rFonts w:eastAsia="Times New Roman" w:cstheme="minorHAnsi"/>
          <w:b/>
          <w:bCs/>
          <w:i/>
          <w:iCs/>
          <w:color w:val="242424"/>
          <w:sz w:val="21"/>
          <w:szCs w:val="21"/>
          <w:lang w:val="fr-FR"/>
        </w:rPr>
        <w:t>Expérience professionnelle :</w:t>
      </w:r>
      <w:r w:rsidR="00F357BF" w:rsidRPr="006971C6">
        <w:rPr>
          <w:rFonts w:eastAsia="Times New Roman" w:cstheme="minorHAnsi"/>
          <w:b/>
          <w:bCs/>
          <w:i/>
          <w:iCs/>
          <w:color w:val="242424"/>
          <w:sz w:val="21"/>
          <w:szCs w:val="21"/>
          <w:lang w:val="fr-FR"/>
        </w:rPr>
        <w:t xml:space="preserve"> </w:t>
      </w:r>
      <w:r w:rsidR="00F357BF" w:rsidRPr="006971C6">
        <w:rPr>
          <w:rFonts w:cstheme="minorHAnsi"/>
          <w:bCs/>
          <w:lang w:val="fr-FR"/>
        </w:rPr>
        <w:t>Au moins 5 ans d'expérience professionnelle au niveau national et international dans la gestion de la logistique du PEV ;</w:t>
      </w:r>
      <w:r w:rsidR="00F357BF" w:rsidRPr="006971C6">
        <w:rPr>
          <w:rFonts w:cstheme="minorHAnsi"/>
          <w:bCs/>
          <w:lang w:val="fr-FR"/>
        </w:rPr>
        <w:t xml:space="preserve"> </w:t>
      </w:r>
      <w:r w:rsidR="00F357BF" w:rsidRPr="006971C6">
        <w:rPr>
          <w:rFonts w:cstheme="minorHAnsi"/>
          <w:bCs/>
          <w:lang w:val="fr-FR"/>
        </w:rPr>
        <w:t>Avoir une expérience dans la gestion de la logistique du PEV (Chaine du froid, Gestion des vaccins, Gestion des déchets)</w:t>
      </w:r>
      <w:r w:rsidR="00F357BF" w:rsidRPr="006971C6">
        <w:rPr>
          <w:rFonts w:cstheme="minorHAnsi"/>
          <w:bCs/>
          <w:lang w:val="fr-FR"/>
        </w:rPr>
        <w:t>.</w:t>
      </w:r>
    </w:p>
    <w:p w14:paraId="49C0E718" w14:textId="0E792DF6" w:rsidR="00F357BF" w:rsidRPr="006971C6" w:rsidRDefault="00F357BF" w:rsidP="006971C6">
      <w:pPr>
        <w:spacing w:after="0"/>
        <w:jc w:val="both"/>
        <w:textAlignment w:val="baseline"/>
        <w:rPr>
          <w:rFonts w:cstheme="minorHAnsi"/>
          <w:bCs/>
          <w:lang w:val="fr-FR"/>
        </w:rPr>
      </w:pPr>
      <w:r w:rsidRPr="006971C6">
        <w:rPr>
          <w:rFonts w:cstheme="minorHAnsi"/>
          <w:bCs/>
          <w:lang w:val="fr-FR"/>
        </w:rPr>
        <w:t>Avoir une expérience dans la gestion de la logistique des campagnes de vaccination (l’expérience dans les campagnes utilisant le VPO monovalent type 2 sera un atout) ;</w:t>
      </w:r>
      <w:r w:rsidRPr="006971C6">
        <w:rPr>
          <w:rFonts w:cstheme="minorHAnsi"/>
          <w:bCs/>
          <w:lang w:val="fr-FR"/>
        </w:rPr>
        <w:t xml:space="preserve"> </w:t>
      </w:r>
      <w:r w:rsidRPr="006971C6">
        <w:rPr>
          <w:rFonts w:cstheme="minorHAnsi"/>
          <w:bCs/>
          <w:lang w:val="fr-FR"/>
        </w:rPr>
        <w:t xml:space="preserve">Avoir une expérience de travail dans le contexte d'urgences et pays en développement. Avoir une très bonne capacité de rédaction de document Avoir des compétences dans le leadership, le travail d’équipe et la formation des adultes ; </w:t>
      </w:r>
    </w:p>
    <w:p w14:paraId="0B0E1F63" w14:textId="26728411" w:rsidR="00F357BF" w:rsidRPr="006971C6" w:rsidRDefault="00F357BF" w:rsidP="006971C6">
      <w:pPr>
        <w:spacing w:after="0"/>
        <w:jc w:val="both"/>
        <w:textAlignment w:val="baseline"/>
        <w:rPr>
          <w:rFonts w:cstheme="minorHAnsi"/>
          <w:bCs/>
          <w:lang w:val="fr-FR"/>
        </w:rPr>
      </w:pPr>
      <w:r w:rsidRPr="006971C6">
        <w:rPr>
          <w:rFonts w:cstheme="minorHAnsi"/>
          <w:bCs/>
          <w:lang w:val="fr-FR"/>
        </w:rPr>
        <w:lastRenderedPageBreak/>
        <w:t>Maîtriser l’outil informatique, notamment des logiciels Excel, Word et PowerPoint ;</w:t>
      </w:r>
      <w:r w:rsidRPr="006971C6">
        <w:rPr>
          <w:rFonts w:cstheme="minorHAnsi"/>
          <w:bCs/>
          <w:lang w:val="fr-FR"/>
        </w:rPr>
        <w:t xml:space="preserve"> </w:t>
      </w:r>
      <w:r w:rsidRPr="006971C6">
        <w:rPr>
          <w:rFonts w:cstheme="minorHAnsi"/>
          <w:bCs/>
          <w:lang w:val="fr-FR"/>
        </w:rPr>
        <w:t>Maitrise des outils logistiques du PEV (</w:t>
      </w:r>
      <w:proofErr w:type="spellStart"/>
      <w:r w:rsidRPr="006971C6">
        <w:rPr>
          <w:rFonts w:cstheme="minorHAnsi"/>
          <w:bCs/>
          <w:lang w:val="fr-FR"/>
        </w:rPr>
        <w:t>eSMT</w:t>
      </w:r>
      <w:proofErr w:type="spellEnd"/>
      <w:r w:rsidRPr="006971C6">
        <w:rPr>
          <w:rFonts w:cstheme="minorHAnsi"/>
          <w:bCs/>
          <w:lang w:val="fr-FR"/>
        </w:rPr>
        <w:t xml:space="preserve">, </w:t>
      </w:r>
      <w:proofErr w:type="spellStart"/>
      <w:r w:rsidRPr="006971C6">
        <w:rPr>
          <w:rFonts w:cstheme="minorHAnsi"/>
          <w:bCs/>
          <w:lang w:val="fr-FR"/>
        </w:rPr>
        <w:t>supply</w:t>
      </w:r>
      <w:proofErr w:type="spellEnd"/>
      <w:r w:rsidRPr="006971C6">
        <w:rPr>
          <w:rFonts w:cstheme="minorHAnsi"/>
          <w:bCs/>
          <w:lang w:val="fr-FR"/>
        </w:rPr>
        <w:t xml:space="preserve"> </w:t>
      </w:r>
      <w:proofErr w:type="spellStart"/>
      <w:r w:rsidRPr="006971C6">
        <w:rPr>
          <w:rFonts w:cstheme="minorHAnsi"/>
          <w:bCs/>
          <w:lang w:val="fr-FR"/>
        </w:rPr>
        <w:t>sizing</w:t>
      </w:r>
      <w:proofErr w:type="spellEnd"/>
      <w:r w:rsidRPr="006971C6">
        <w:rPr>
          <w:rFonts w:cstheme="minorHAnsi"/>
          <w:bCs/>
          <w:lang w:val="fr-FR"/>
        </w:rPr>
        <w:t xml:space="preserve"> </w:t>
      </w:r>
      <w:proofErr w:type="spellStart"/>
      <w:r w:rsidRPr="006971C6">
        <w:rPr>
          <w:rFonts w:cstheme="minorHAnsi"/>
          <w:bCs/>
          <w:lang w:val="fr-FR"/>
        </w:rPr>
        <w:t>tool</w:t>
      </w:r>
      <w:proofErr w:type="spellEnd"/>
      <w:r w:rsidRPr="006971C6">
        <w:rPr>
          <w:rFonts w:cstheme="minorHAnsi"/>
          <w:bCs/>
          <w:lang w:val="fr-FR"/>
        </w:rPr>
        <w:t xml:space="preserve">, </w:t>
      </w:r>
      <w:proofErr w:type="spellStart"/>
      <w:r w:rsidRPr="006971C6">
        <w:rPr>
          <w:rFonts w:cstheme="minorHAnsi"/>
          <w:bCs/>
          <w:lang w:val="fr-FR"/>
        </w:rPr>
        <w:t>Forecast</w:t>
      </w:r>
      <w:proofErr w:type="spellEnd"/>
      <w:r w:rsidRPr="006971C6">
        <w:rPr>
          <w:rFonts w:cstheme="minorHAnsi"/>
          <w:bCs/>
          <w:lang w:val="fr-FR"/>
        </w:rPr>
        <w:t>, outils d’Inventaire Chaine du froid…) ;</w:t>
      </w:r>
    </w:p>
    <w:p w14:paraId="02C1C4F0" w14:textId="77777777" w:rsidR="006971C6" w:rsidRDefault="006971C6" w:rsidP="006971C6">
      <w:pPr>
        <w:shd w:val="clear" w:color="auto" w:fill="FFFFFF"/>
        <w:spacing w:after="0" w:line="240" w:lineRule="auto"/>
        <w:rPr>
          <w:rFonts w:eastAsia="Times New Roman" w:cstheme="minorHAnsi"/>
          <w:b/>
          <w:bCs/>
          <w:color w:val="242424"/>
          <w:sz w:val="21"/>
          <w:szCs w:val="21"/>
          <w:lang w:val="fr-FR"/>
        </w:rPr>
      </w:pPr>
    </w:p>
    <w:p w14:paraId="15CD3FF5" w14:textId="5FB01FD3" w:rsidR="00F357B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color w:val="242424"/>
          <w:sz w:val="21"/>
          <w:szCs w:val="21"/>
          <w:lang w:val="fr-FR"/>
        </w:rPr>
        <w:t>Langues :</w:t>
      </w:r>
      <w:r w:rsidRPr="00D17C3F">
        <w:rPr>
          <w:rFonts w:eastAsia="Times New Roman" w:cstheme="minorHAnsi"/>
          <w:color w:val="242424"/>
          <w:sz w:val="21"/>
          <w:szCs w:val="21"/>
          <w:lang w:val="fr-FR"/>
        </w:rPr>
        <w:t> </w:t>
      </w:r>
      <w:r w:rsidR="00F357BF" w:rsidRPr="006971C6">
        <w:rPr>
          <w:rFonts w:cstheme="minorHAnsi"/>
          <w:bCs/>
          <w:lang w:val="fr-FR"/>
        </w:rPr>
        <w:t>La maîtrise de l'anglais est requise. La connaissance d'une autre langue officielle de l'ONU (arabe, chinois, français, russe ou espagnol) ou d'une langue locale est un atout.</w:t>
      </w:r>
    </w:p>
    <w:p w14:paraId="2706E708" w14:textId="77777777" w:rsidR="006971C6" w:rsidRDefault="006971C6" w:rsidP="006971C6">
      <w:pPr>
        <w:shd w:val="clear" w:color="auto" w:fill="FFFFFF"/>
        <w:spacing w:after="0" w:line="240" w:lineRule="auto"/>
        <w:rPr>
          <w:rFonts w:eastAsia="Times New Roman" w:cstheme="minorHAnsi"/>
          <w:b/>
          <w:bCs/>
          <w:i/>
          <w:iCs/>
          <w:color w:val="242424"/>
          <w:sz w:val="21"/>
          <w:szCs w:val="21"/>
          <w:lang w:val="fr-FR"/>
        </w:rPr>
      </w:pPr>
    </w:p>
    <w:p w14:paraId="52084E37" w14:textId="5EACD226"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i/>
          <w:iCs/>
          <w:color w:val="242424"/>
          <w:sz w:val="21"/>
          <w:szCs w:val="21"/>
          <w:lang w:val="fr-FR"/>
        </w:rPr>
        <w:t>Pour chaque enfant, vous devez démontrer :</w:t>
      </w:r>
    </w:p>
    <w:p w14:paraId="23AD7B75" w14:textId="77777777"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Les valeurs fondamentales de l’UNICEF : Bienveillance, Respect, Intégrité, Confiance, Responsabilité et Durabilité. Elles sous-tendent tout ce que nous faisons et la façon dont nous le faisons.</w:t>
      </w:r>
    </w:p>
    <w:p w14:paraId="51660B6C" w14:textId="77777777"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Familiarisez-vous avec </w:t>
      </w:r>
      <w:hyperlink r:id="rId6" w:history="1">
        <w:r w:rsidRPr="00D17C3F">
          <w:rPr>
            <w:rFonts w:eastAsia="Times New Roman" w:cstheme="minorHAnsi"/>
            <w:color w:val="0000FF"/>
            <w:sz w:val="21"/>
            <w:szCs w:val="21"/>
            <w:u w:val="single"/>
            <w:lang w:val="fr-FR"/>
          </w:rPr>
          <w:t>la Charte de nos valeurs </w:t>
        </w:r>
      </w:hyperlink>
      <w:r w:rsidRPr="00D17C3F">
        <w:rPr>
          <w:rFonts w:eastAsia="Times New Roman" w:cstheme="minorHAnsi"/>
          <w:color w:val="242424"/>
          <w:sz w:val="21"/>
          <w:szCs w:val="21"/>
          <w:lang w:val="fr-FR"/>
        </w:rPr>
        <w:t>.</w:t>
      </w:r>
    </w:p>
    <w:p w14:paraId="184A8B5C" w14:textId="77777777" w:rsidR="006971C6" w:rsidRDefault="006971C6" w:rsidP="006971C6">
      <w:pPr>
        <w:shd w:val="clear" w:color="auto" w:fill="FFFFFF"/>
        <w:spacing w:after="0" w:line="240" w:lineRule="auto"/>
        <w:rPr>
          <w:rFonts w:eastAsia="Times New Roman" w:cstheme="minorHAnsi"/>
          <w:b/>
          <w:bCs/>
          <w:color w:val="242424"/>
          <w:sz w:val="21"/>
          <w:szCs w:val="21"/>
          <w:lang w:val="fr-FR"/>
        </w:rPr>
      </w:pPr>
    </w:p>
    <w:p w14:paraId="52D118DB" w14:textId="7ED0FB4B"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color w:val="242424"/>
          <w:sz w:val="21"/>
          <w:szCs w:val="21"/>
          <w:lang w:val="fr-FR"/>
        </w:rPr>
        <w:t>Et avoir les compétences de base suivantes</w:t>
      </w:r>
    </w:p>
    <w:p w14:paraId="3AB3759B"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Cultiver la conscience de soi et démontrer un sens de l’éthique</w:t>
      </w:r>
    </w:p>
    <w:p w14:paraId="11B3924E"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17C3F">
        <w:rPr>
          <w:rFonts w:eastAsia="Times New Roman" w:cstheme="minorHAnsi"/>
          <w:color w:val="242424"/>
          <w:sz w:val="21"/>
          <w:szCs w:val="21"/>
        </w:rPr>
        <w:t>Travailler</w:t>
      </w:r>
      <w:proofErr w:type="spellEnd"/>
      <w:r w:rsidRPr="00D17C3F">
        <w:rPr>
          <w:rFonts w:eastAsia="Times New Roman" w:cstheme="minorHAnsi"/>
          <w:color w:val="242424"/>
          <w:sz w:val="21"/>
          <w:szCs w:val="21"/>
        </w:rPr>
        <w:t xml:space="preserve"> de </w:t>
      </w:r>
      <w:proofErr w:type="spellStart"/>
      <w:r w:rsidRPr="00D17C3F">
        <w:rPr>
          <w:rFonts w:eastAsia="Times New Roman" w:cstheme="minorHAnsi"/>
          <w:color w:val="242424"/>
          <w:sz w:val="21"/>
          <w:szCs w:val="21"/>
        </w:rPr>
        <w:t>façon</w:t>
      </w:r>
      <w:proofErr w:type="spellEnd"/>
      <w:r w:rsidRPr="00D17C3F">
        <w:rPr>
          <w:rFonts w:eastAsia="Times New Roman" w:cstheme="minorHAnsi"/>
          <w:color w:val="242424"/>
          <w:sz w:val="21"/>
          <w:szCs w:val="21"/>
        </w:rPr>
        <w:t xml:space="preserve"> collaborative</w:t>
      </w:r>
    </w:p>
    <w:p w14:paraId="31006964"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17C3F">
        <w:rPr>
          <w:rFonts w:eastAsia="Times New Roman" w:cstheme="minorHAnsi"/>
          <w:color w:val="242424"/>
          <w:sz w:val="21"/>
          <w:szCs w:val="21"/>
        </w:rPr>
        <w:t>Établir</w:t>
      </w:r>
      <w:proofErr w:type="spellEnd"/>
      <w:r w:rsidRPr="00D17C3F">
        <w:rPr>
          <w:rFonts w:eastAsia="Times New Roman" w:cstheme="minorHAnsi"/>
          <w:color w:val="242424"/>
          <w:sz w:val="21"/>
          <w:szCs w:val="21"/>
        </w:rPr>
        <w:t xml:space="preserve"> et </w:t>
      </w:r>
      <w:proofErr w:type="spellStart"/>
      <w:r w:rsidRPr="00D17C3F">
        <w:rPr>
          <w:rFonts w:eastAsia="Times New Roman" w:cstheme="minorHAnsi"/>
          <w:color w:val="242424"/>
          <w:sz w:val="21"/>
          <w:szCs w:val="21"/>
        </w:rPr>
        <w:t>entretenir</w:t>
      </w:r>
      <w:proofErr w:type="spellEnd"/>
      <w:r w:rsidRPr="00D17C3F">
        <w:rPr>
          <w:rFonts w:eastAsia="Times New Roman" w:cstheme="minorHAnsi"/>
          <w:color w:val="242424"/>
          <w:sz w:val="21"/>
          <w:szCs w:val="21"/>
        </w:rPr>
        <w:t xml:space="preserve"> des </w:t>
      </w:r>
      <w:proofErr w:type="spellStart"/>
      <w:r w:rsidRPr="00D17C3F">
        <w:rPr>
          <w:rFonts w:eastAsia="Times New Roman" w:cstheme="minorHAnsi"/>
          <w:color w:val="242424"/>
          <w:sz w:val="21"/>
          <w:szCs w:val="21"/>
        </w:rPr>
        <w:t>partenariats</w:t>
      </w:r>
      <w:proofErr w:type="spellEnd"/>
    </w:p>
    <w:p w14:paraId="77D7FDDD"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17C3F">
        <w:rPr>
          <w:rFonts w:eastAsia="Times New Roman" w:cstheme="minorHAnsi"/>
          <w:color w:val="242424"/>
          <w:sz w:val="21"/>
          <w:szCs w:val="21"/>
        </w:rPr>
        <w:t>Innover</w:t>
      </w:r>
      <w:proofErr w:type="spellEnd"/>
      <w:r w:rsidRPr="00D17C3F">
        <w:rPr>
          <w:rFonts w:eastAsia="Times New Roman" w:cstheme="minorHAnsi"/>
          <w:color w:val="242424"/>
          <w:sz w:val="21"/>
          <w:szCs w:val="21"/>
        </w:rPr>
        <w:t xml:space="preserve"> et </w:t>
      </w:r>
      <w:proofErr w:type="spellStart"/>
      <w:r w:rsidRPr="00D17C3F">
        <w:rPr>
          <w:rFonts w:eastAsia="Times New Roman" w:cstheme="minorHAnsi"/>
          <w:color w:val="242424"/>
          <w:sz w:val="21"/>
          <w:szCs w:val="21"/>
        </w:rPr>
        <w:t>épouser</w:t>
      </w:r>
      <w:proofErr w:type="spellEnd"/>
      <w:r w:rsidRPr="00D17C3F">
        <w:rPr>
          <w:rFonts w:eastAsia="Times New Roman" w:cstheme="minorHAnsi"/>
          <w:color w:val="242424"/>
          <w:sz w:val="21"/>
          <w:szCs w:val="21"/>
        </w:rPr>
        <w:t xml:space="preserve"> le </w:t>
      </w:r>
      <w:proofErr w:type="spellStart"/>
      <w:r w:rsidRPr="00D17C3F">
        <w:rPr>
          <w:rFonts w:eastAsia="Times New Roman" w:cstheme="minorHAnsi"/>
          <w:color w:val="242424"/>
          <w:sz w:val="21"/>
          <w:szCs w:val="21"/>
        </w:rPr>
        <w:t>changement</w:t>
      </w:r>
      <w:proofErr w:type="spellEnd"/>
    </w:p>
    <w:p w14:paraId="3432EDA3"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Penser et agir de manière stratégique</w:t>
      </w:r>
    </w:p>
    <w:p w14:paraId="20D364DA"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S’atteler à obtenir des résultats tangibles</w:t>
      </w:r>
    </w:p>
    <w:p w14:paraId="68D0C27B" w14:textId="77777777" w:rsidR="00D17C3F" w:rsidRPr="00D17C3F"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17C3F">
        <w:rPr>
          <w:rFonts w:eastAsia="Times New Roman" w:cstheme="minorHAnsi"/>
          <w:color w:val="242424"/>
          <w:sz w:val="21"/>
          <w:szCs w:val="21"/>
        </w:rPr>
        <w:t>Gérer</w:t>
      </w:r>
      <w:proofErr w:type="spellEnd"/>
      <w:r w:rsidRPr="00D17C3F">
        <w:rPr>
          <w:rFonts w:eastAsia="Times New Roman" w:cstheme="minorHAnsi"/>
          <w:color w:val="242424"/>
          <w:sz w:val="21"/>
          <w:szCs w:val="21"/>
        </w:rPr>
        <w:t xml:space="preserve"> </w:t>
      </w:r>
      <w:proofErr w:type="spellStart"/>
      <w:r w:rsidRPr="00D17C3F">
        <w:rPr>
          <w:rFonts w:eastAsia="Times New Roman" w:cstheme="minorHAnsi"/>
          <w:color w:val="242424"/>
          <w:sz w:val="21"/>
          <w:szCs w:val="21"/>
        </w:rPr>
        <w:t>l’ambiguïté</w:t>
      </w:r>
      <w:proofErr w:type="spellEnd"/>
      <w:r w:rsidRPr="00D17C3F">
        <w:rPr>
          <w:rFonts w:eastAsia="Times New Roman" w:cstheme="minorHAnsi"/>
          <w:color w:val="242424"/>
          <w:sz w:val="21"/>
          <w:szCs w:val="21"/>
        </w:rPr>
        <w:t xml:space="preserve"> et la </w:t>
      </w:r>
      <w:proofErr w:type="spellStart"/>
      <w:r w:rsidRPr="00D17C3F">
        <w:rPr>
          <w:rFonts w:eastAsia="Times New Roman" w:cstheme="minorHAnsi"/>
          <w:color w:val="242424"/>
          <w:sz w:val="21"/>
          <w:szCs w:val="21"/>
        </w:rPr>
        <w:t>complexité</w:t>
      </w:r>
      <w:proofErr w:type="spellEnd"/>
    </w:p>
    <w:p w14:paraId="2BC1C6DF" w14:textId="77777777"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Au cours du processus de recrutement, nous testons les candidats en suivant le cadre de compétences. Familiarisez-vous avec notre cadre de compétences et ses différents niveaux : cliquez </w:t>
      </w:r>
      <w:hyperlink r:id="rId7" w:history="1">
        <w:r w:rsidRPr="00D17C3F">
          <w:rPr>
            <w:rFonts w:eastAsia="Times New Roman" w:cstheme="minorHAnsi"/>
            <w:color w:val="0000FF"/>
            <w:sz w:val="21"/>
            <w:szCs w:val="21"/>
            <w:u w:val="single"/>
            <w:lang w:val="fr-FR"/>
          </w:rPr>
          <w:t>ICI</w:t>
        </w:r>
      </w:hyperlink>
      <w:r w:rsidRPr="00D17C3F">
        <w:rPr>
          <w:rFonts w:eastAsia="Times New Roman" w:cstheme="minorHAnsi"/>
          <w:color w:val="242424"/>
          <w:sz w:val="21"/>
          <w:szCs w:val="21"/>
          <w:lang w:val="fr-FR"/>
        </w:rPr>
        <w:t>.</w:t>
      </w:r>
    </w:p>
    <w:p w14:paraId="43F718DA" w14:textId="138B2EC4"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color w:val="242424"/>
          <w:sz w:val="21"/>
          <w:szCs w:val="21"/>
          <w:lang w:val="fr-FR"/>
        </w:rPr>
        <w:t>Localisation</w:t>
      </w:r>
      <w:r w:rsidRPr="00D17C3F">
        <w:rPr>
          <w:rFonts w:eastAsia="Times New Roman" w:cstheme="minorHAnsi"/>
          <w:color w:val="242424"/>
          <w:sz w:val="21"/>
          <w:szCs w:val="21"/>
          <w:lang w:val="fr-FR"/>
        </w:rPr>
        <w:br/>
        <w:t xml:space="preserve">Le/la candidat(e) recruté(e) sera basé(e) à </w:t>
      </w:r>
      <w:r w:rsidR="00F357BF" w:rsidRPr="006971C6">
        <w:rPr>
          <w:rFonts w:eastAsia="Times New Roman" w:cstheme="minorHAnsi"/>
          <w:color w:val="242424"/>
          <w:sz w:val="21"/>
          <w:szCs w:val="21"/>
          <w:lang w:val="fr-FR"/>
        </w:rPr>
        <w:t>Yaounde</w:t>
      </w:r>
    </w:p>
    <w:p w14:paraId="798133BD" w14:textId="17F83C76" w:rsidR="00D17C3F" w:rsidRPr="00D17C3F" w:rsidRDefault="00D17C3F" w:rsidP="006971C6">
      <w:pPr>
        <w:shd w:val="clear" w:color="auto" w:fill="FFFFFF"/>
        <w:spacing w:after="0" w:line="240" w:lineRule="auto"/>
        <w:rPr>
          <w:rFonts w:eastAsia="Times New Roman" w:cstheme="minorHAnsi"/>
          <w:color w:val="242424"/>
          <w:sz w:val="21"/>
          <w:szCs w:val="21"/>
          <w:lang w:val="fr-FR"/>
        </w:rPr>
      </w:pPr>
      <w:r w:rsidRPr="00D17C3F">
        <w:rPr>
          <w:rFonts w:eastAsia="Times New Roman" w:cstheme="minorHAnsi"/>
          <w:b/>
          <w:bCs/>
          <w:color w:val="242424"/>
          <w:sz w:val="21"/>
          <w:szCs w:val="21"/>
          <w:lang w:val="fr-FR"/>
        </w:rPr>
        <w:t>Rémunération</w:t>
      </w:r>
      <w:r w:rsidRPr="00D17C3F">
        <w:rPr>
          <w:rFonts w:eastAsia="Times New Roman" w:cstheme="minorHAnsi"/>
          <w:color w:val="242424"/>
          <w:sz w:val="21"/>
          <w:szCs w:val="21"/>
          <w:lang w:val="fr-FR"/>
        </w:rPr>
        <w:br/>
        <w:t>Le poste est classé dans la catégorie des </w:t>
      </w:r>
      <w:r w:rsidR="00F357BF" w:rsidRPr="006971C6">
        <w:rPr>
          <w:rFonts w:eastAsia="Times New Roman" w:cstheme="minorHAnsi"/>
          <w:b/>
          <w:bCs/>
          <w:color w:val="242424"/>
          <w:sz w:val="21"/>
          <w:szCs w:val="21"/>
          <w:lang w:val="fr-FR"/>
        </w:rPr>
        <w:t>IP</w:t>
      </w:r>
      <w:r w:rsidRPr="00D17C3F">
        <w:rPr>
          <w:rFonts w:eastAsia="Times New Roman" w:cstheme="minorHAnsi"/>
          <w:color w:val="242424"/>
          <w:sz w:val="21"/>
          <w:szCs w:val="21"/>
          <w:lang w:val="fr-FR"/>
        </w:rPr>
        <w:t> au </w:t>
      </w:r>
      <w:r w:rsidR="00F357BF" w:rsidRPr="006971C6">
        <w:rPr>
          <w:rFonts w:eastAsia="Times New Roman" w:cstheme="minorHAnsi"/>
          <w:b/>
          <w:bCs/>
          <w:color w:val="242424"/>
          <w:sz w:val="21"/>
          <w:szCs w:val="21"/>
          <w:lang w:val="fr-FR"/>
        </w:rPr>
        <w:t>P-3</w:t>
      </w:r>
      <w:r w:rsidRPr="00D17C3F">
        <w:rPr>
          <w:rFonts w:eastAsia="Times New Roman" w:cstheme="minorHAnsi"/>
          <w:color w:val="242424"/>
          <w:sz w:val="21"/>
          <w:szCs w:val="21"/>
          <w:lang w:val="fr-FR"/>
        </w:rPr>
        <w:t> de la grille de rémunération du Système des Nations Unies.</w:t>
      </w:r>
    </w:p>
    <w:p w14:paraId="6CAAE3FA"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hyperlink r:id="rId8" w:history="1">
        <w:r w:rsidRPr="00D17C3F">
          <w:rPr>
            <w:rFonts w:eastAsia="Times New Roman" w:cstheme="minorHAnsi"/>
            <w:color w:val="0000FF"/>
            <w:sz w:val="21"/>
            <w:szCs w:val="21"/>
            <w:u w:val="single"/>
            <w:lang w:val="fr-FR"/>
          </w:rPr>
          <w:t>L’engagement actif de l’UNICEF en faveur de la diversité et de l’inclusion</w:t>
        </w:r>
      </w:hyperlink>
      <w:r w:rsidRPr="00D17C3F">
        <w:rPr>
          <w:rFonts w:eastAsia="Times New Roman" w:cstheme="minorHAnsi"/>
          <w:color w:val="242424"/>
          <w:sz w:val="21"/>
          <w:szCs w:val="21"/>
          <w:lang w:val="fr-FR"/>
        </w:rPr>
        <w:t> est essentiel pour obtenir les meilleurs résultats pour les enfants et nous encourageons tous les candidats, indépendamment de leur sexe, de leur religion et de leur origine ethnique, y compris les personnes handicapées, à postuler pour faire partie de l’organisation.</w:t>
      </w:r>
    </w:p>
    <w:p w14:paraId="72F8D3A5"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b/>
          <w:bCs/>
          <w:color w:val="242424"/>
          <w:sz w:val="21"/>
          <w:szCs w:val="21"/>
          <w:lang w:val="fr-FR"/>
        </w:rPr>
        <w:t>Les candidatures féminines sont fortement encouragées.</w:t>
      </w:r>
    </w:p>
    <w:p w14:paraId="4EDC5B73"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Nous offrons </w:t>
      </w:r>
      <w:hyperlink r:id="rId9" w:history="1">
        <w:r w:rsidRPr="00D17C3F">
          <w:rPr>
            <w:rFonts w:eastAsia="Times New Roman" w:cstheme="minorHAnsi"/>
            <w:color w:val="0000FF"/>
            <w:sz w:val="21"/>
            <w:szCs w:val="21"/>
            <w:u w:val="single"/>
            <w:lang w:val="fr-FR"/>
          </w:rPr>
          <w:t>un large éventail d’avantages à notre personnel</w:t>
        </w:r>
      </w:hyperlink>
      <w:r w:rsidRPr="00D17C3F">
        <w:rPr>
          <w:rFonts w:eastAsia="Times New Roman" w:cstheme="minorHAnsi"/>
          <w:color w:val="242424"/>
          <w:sz w:val="21"/>
          <w:szCs w:val="21"/>
          <w:lang w:val="fr-FR"/>
        </w:rPr>
        <w:t>, y compris des congés parentaux payés, des pauses pour allaiter, des heures de travail flexibles, prise en charge médicale et </w:t>
      </w:r>
      <w:hyperlink r:id="rId10" w:history="1">
        <w:r w:rsidRPr="00D17C3F">
          <w:rPr>
            <w:rFonts w:eastAsia="Times New Roman" w:cstheme="minorHAnsi"/>
            <w:color w:val="0000FF"/>
            <w:sz w:val="21"/>
            <w:szCs w:val="21"/>
            <w:u w:val="single"/>
            <w:lang w:val="fr-FR"/>
          </w:rPr>
          <w:t>des mesures d’adaptation raisonnables pour les personnes handicapées</w:t>
        </w:r>
      </w:hyperlink>
      <w:r w:rsidRPr="00D17C3F">
        <w:rPr>
          <w:rFonts w:eastAsia="Times New Roman" w:cstheme="minorHAnsi"/>
          <w:color w:val="242424"/>
          <w:sz w:val="21"/>
          <w:szCs w:val="21"/>
          <w:lang w:val="fr-FR"/>
        </w:rPr>
        <w:t>.</w:t>
      </w:r>
    </w:p>
    <w:p w14:paraId="76AD2404"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aux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candidats(es) sélectionnés(es) peuvent être amenés(es) à fournir des informations supplémentaires afin de procéder à ces vérifications.</w:t>
      </w:r>
    </w:p>
    <w:p w14:paraId="6B4B941A"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b/>
          <w:bCs/>
          <w:color w:val="242424"/>
          <w:sz w:val="21"/>
          <w:szCs w:val="21"/>
          <w:lang w:val="fr-FR"/>
        </w:rPr>
        <w:lastRenderedPageBreak/>
        <w:t>Seuls les candidats(es) présélectionnés(es) seront contactés(es) et passeront à l'étape suivante du processus de sélection.</w:t>
      </w:r>
    </w:p>
    <w:p w14:paraId="4D7DA3F4" w14:textId="77777777" w:rsidR="00D17C3F" w:rsidRPr="00D17C3F"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17C3F">
        <w:rPr>
          <w:rFonts w:eastAsia="Times New Roman" w:cstheme="minorHAnsi"/>
          <w:color w:val="242424"/>
          <w:sz w:val="21"/>
          <w:szCs w:val="21"/>
          <w:lang w:val="fr-FR"/>
        </w:rPr>
        <w:t>Les nominations à l'UNICEF sont soumises à une autorisation médicale.  Les nominations peuvent également être soumises à des exigences de vaccination, notamment contre le SRAS-CoV-2 (COVID). Les employés du gouvernement qui sont considérés pour un emploi avec l'UNICEF doivent normalement démissionner de leur gouvernement avant d'accepter une mission avec l'UNICEF. L'UNICEF se réserve le droit de retirer une offre d'emploi, sans compensation, si un visa ou une autorisation médicale n'est pas obtenu(e), ou si les exigences en matière de vaccination ne sont pas satisfaites, dans un délai raisonnable, pour quelque raison que ce soit.</w:t>
      </w:r>
    </w:p>
    <w:p w14:paraId="687051BA" w14:textId="77777777" w:rsidR="00D17C3F" w:rsidRPr="006971C6" w:rsidRDefault="00D17C3F">
      <w:pPr>
        <w:rPr>
          <w:rFonts w:cstheme="minorHAnsi"/>
        </w:rPr>
      </w:pPr>
    </w:p>
    <w:sectPr w:rsidR="00D17C3F" w:rsidRPr="0069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5D3"/>
    <w:multiLevelType w:val="hybridMultilevel"/>
    <w:tmpl w:val="5812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21D6"/>
    <w:multiLevelType w:val="hybridMultilevel"/>
    <w:tmpl w:val="DCC2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45DC"/>
    <w:multiLevelType w:val="hybridMultilevel"/>
    <w:tmpl w:val="A17EF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54C55"/>
    <w:multiLevelType w:val="multilevel"/>
    <w:tmpl w:val="31AA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66B38"/>
    <w:multiLevelType w:val="hybridMultilevel"/>
    <w:tmpl w:val="FD40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828BA"/>
    <w:multiLevelType w:val="multilevel"/>
    <w:tmpl w:val="3E3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24DE7"/>
    <w:multiLevelType w:val="multilevel"/>
    <w:tmpl w:val="AEB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23391"/>
    <w:multiLevelType w:val="multilevel"/>
    <w:tmpl w:val="14C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F3AA4"/>
    <w:multiLevelType w:val="multilevel"/>
    <w:tmpl w:val="A49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4E16F0"/>
    <w:multiLevelType w:val="hybridMultilevel"/>
    <w:tmpl w:val="5DE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6987">
    <w:abstractNumId w:val="3"/>
  </w:num>
  <w:num w:numId="2" w16cid:durableId="377053280">
    <w:abstractNumId w:val="5"/>
  </w:num>
  <w:num w:numId="3" w16cid:durableId="6952966">
    <w:abstractNumId w:val="8"/>
  </w:num>
  <w:num w:numId="4" w16cid:durableId="1432817906">
    <w:abstractNumId w:val="6"/>
  </w:num>
  <w:num w:numId="5" w16cid:durableId="1411152306">
    <w:abstractNumId w:val="7"/>
  </w:num>
  <w:num w:numId="6" w16cid:durableId="62876892">
    <w:abstractNumId w:val="2"/>
  </w:num>
  <w:num w:numId="7" w16cid:durableId="288169785">
    <w:abstractNumId w:val="1"/>
  </w:num>
  <w:num w:numId="8" w16cid:durableId="2048985708">
    <w:abstractNumId w:val="4"/>
  </w:num>
  <w:num w:numId="9" w16cid:durableId="174341476">
    <w:abstractNumId w:val="0"/>
  </w:num>
  <w:num w:numId="10" w16cid:durableId="2004430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3F"/>
    <w:rsid w:val="006971C6"/>
    <w:rsid w:val="00BA2C7D"/>
    <w:rsid w:val="00D17C3F"/>
    <w:rsid w:val="00F3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A35F"/>
  <w15:chartTrackingRefBased/>
  <w15:docId w15:val="{5BE1783A-D31E-4150-ACBB-2533481F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C3F"/>
    <w:rPr>
      <w:color w:val="0000FF"/>
      <w:u w:val="single"/>
    </w:rPr>
  </w:style>
  <w:style w:type="character" w:styleId="Strong">
    <w:name w:val="Strong"/>
    <w:basedOn w:val="DefaultParagraphFont"/>
    <w:uiPriority w:val="22"/>
    <w:qFormat/>
    <w:rsid w:val="00D17C3F"/>
    <w:rPr>
      <w:b/>
      <w:bCs/>
    </w:rPr>
  </w:style>
  <w:style w:type="character" w:styleId="Emphasis">
    <w:name w:val="Emphasis"/>
    <w:basedOn w:val="DefaultParagraphFont"/>
    <w:uiPriority w:val="20"/>
    <w:qFormat/>
    <w:rsid w:val="00D17C3F"/>
    <w:rPr>
      <w:i/>
      <w:iCs/>
    </w:rPr>
  </w:style>
  <w:style w:type="paragraph" w:customStyle="1" w:styleId="paragraph">
    <w:name w:val="paragraph"/>
    <w:basedOn w:val="Normal"/>
    <w:rsid w:val="00D17C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MCHIP_list paragraph,List Paragraph1,Recommendation,Bullet List,FooterText,Bullets,References,Colorful List - Accent 11,Main numbered paragraph,List Paragraph (numbered (a)),Colorful List - Accent 12,Colorful List - Accent 121,numbered"/>
    <w:basedOn w:val="Normal"/>
    <w:link w:val="ListParagraphChar"/>
    <w:uiPriority w:val="34"/>
    <w:qFormat/>
    <w:rsid w:val="00D17C3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MCHIP_list paragraph Char,List Paragraph1 Char,Recommendation Char,Bullet List Char,FooterText Char,Bullets Char,References Char,Colorful List - Accent 11 Char,Main numbered paragraph Char,List Paragraph (numbered (a)) Char"/>
    <w:link w:val="ListParagraph"/>
    <w:uiPriority w:val="34"/>
    <w:qFormat/>
    <w:locked/>
    <w:rsid w:val="00D17C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equity-inclusion-and-diversity-unicef" TargetMode="External"/><Relationship Id="rId3" Type="http://schemas.openxmlformats.org/officeDocument/2006/relationships/settings" Target="settings.xml"/><Relationship Id="rId7" Type="http://schemas.openxmlformats.org/officeDocument/2006/relationships/hyperlink" Target="https://unicef-my.sharepoint.com/:b:/g/personal/eyabi_unicef_org/EX1rRb1ygktBpL3OLPAIl4QB0JfCwcHxPQh8OL4plaHjbg?e=16kEG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careers/media/1106/file/Charte_des_valeurs_de_l%E2%80%99UNICEF_11x17_Poster.pdf" TargetMode="External"/><Relationship Id="rId11" Type="http://schemas.openxmlformats.org/officeDocument/2006/relationships/fontTable" Target="fontTable.xml"/><Relationship Id="rId5" Type="http://schemas.openxmlformats.org/officeDocument/2006/relationships/hyperlink" Target="https://www.youtube.com/watch?v=pEkReURcz2A" TargetMode="External"/><Relationship Id="rId10"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webSettings" Target="webSettings.xml"/><Relationship Id="rId9" Type="http://schemas.openxmlformats.org/officeDocument/2006/relationships/hyperlink" Target="https://www.unicef.org/careers/compensation-benefits-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Sagna Nadji</dc:creator>
  <cp:keywords/>
  <dc:description/>
  <cp:lastModifiedBy>Marie Sagna Nadji</cp:lastModifiedBy>
  <cp:revision>1</cp:revision>
  <dcterms:created xsi:type="dcterms:W3CDTF">2024-01-02T15:31:00Z</dcterms:created>
  <dcterms:modified xsi:type="dcterms:W3CDTF">2024-01-02T16:09:00Z</dcterms:modified>
</cp:coreProperties>
</file>