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AD6" w14:textId="77777777" w:rsidR="00B34FD1" w:rsidRDefault="00B34FD1" w:rsidP="00C972F7">
      <w:pPr>
        <w:pStyle w:val="Title"/>
        <w:tabs>
          <w:tab w:val="left" w:pos="2070"/>
        </w:tabs>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047"/>
      </w:tblGrid>
      <w:tr w:rsidR="00B466A4" w14:paraId="40F338F1" w14:textId="77777777" w:rsidTr="007902F0">
        <w:trPr>
          <w:cantSplit/>
          <w:trHeight w:val="1485"/>
        </w:trPr>
        <w:tc>
          <w:tcPr>
            <w:tcW w:w="1458" w:type="dxa"/>
            <w:shd w:val="clear" w:color="auto" w:fill="FFFFFF"/>
            <w:vAlign w:val="center"/>
          </w:tcPr>
          <w:p w14:paraId="5597CA4A" w14:textId="77777777" w:rsidR="00B466A4" w:rsidRPr="00C87D05" w:rsidRDefault="000E0266">
            <w:pPr>
              <w:jc w:val="center"/>
              <w:rPr>
                <w:b/>
                <w:color w:val="FF0000"/>
                <w:sz w:val="22"/>
              </w:rPr>
            </w:pPr>
            <w:r>
              <w:rPr>
                <w:noProof/>
              </w:rPr>
              <w:drawing>
                <wp:inline distT="0" distB="0" distL="0" distR="0" wp14:anchorId="54E6448C" wp14:editId="20E0A4E0">
                  <wp:extent cx="850900" cy="977900"/>
                  <wp:effectExtent l="0" t="0" r="12700" b="1270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047" w:type="dxa"/>
            <w:shd w:val="clear" w:color="auto" w:fill="FFFFFF"/>
          </w:tcPr>
          <w:p w14:paraId="3B385BB7" w14:textId="77777777" w:rsidR="00B466A4" w:rsidRDefault="00B466A4" w:rsidP="00B466A4">
            <w:pPr>
              <w:jc w:val="center"/>
              <w:rPr>
                <w:b/>
                <w:sz w:val="22"/>
              </w:rPr>
            </w:pPr>
          </w:p>
          <w:p w14:paraId="7C23455B" w14:textId="77777777" w:rsidR="00B466A4" w:rsidRDefault="00B466A4" w:rsidP="00B466A4">
            <w:pPr>
              <w:jc w:val="center"/>
              <w:rPr>
                <w:b/>
                <w:sz w:val="22"/>
              </w:rPr>
            </w:pPr>
          </w:p>
          <w:p w14:paraId="7028B801" w14:textId="77777777" w:rsidR="00B466A4" w:rsidRDefault="00B466A4" w:rsidP="00B466A4">
            <w:pPr>
              <w:jc w:val="center"/>
              <w:rPr>
                <w:b/>
                <w:sz w:val="22"/>
              </w:rPr>
            </w:pPr>
          </w:p>
          <w:p w14:paraId="49A01AF5" w14:textId="1C62D5CA" w:rsidR="00B466A4" w:rsidRDefault="00AA6252" w:rsidP="00B466A4">
            <w:pPr>
              <w:jc w:val="center"/>
              <w:rPr>
                <w:b/>
                <w:sz w:val="22"/>
              </w:rPr>
            </w:pPr>
            <w:r>
              <w:rPr>
                <w:b/>
                <w:sz w:val="22"/>
              </w:rPr>
              <w:t xml:space="preserve">SPECIFIC </w:t>
            </w:r>
            <w:r w:rsidR="00B466A4">
              <w:rPr>
                <w:b/>
                <w:sz w:val="22"/>
              </w:rPr>
              <w:t>JOB PROFILE</w:t>
            </w:r>
          </w:p>
          <w:p w14:paraId="1E370CD0" w14:textId="77777777" w:rsidR="00B466A4" w:rsidRDefault="00B466A4" w:rsidP="00B466A4">
            <w:pPr>
              <w:jc w:val="center"/>
            </w:pPr>
          </w:p>
        </w:tc>
      </w:tr>
    </w:tbl>
    <w:p w14:paraId="4DDC43ED" w14:textId="490AB88C" w:rsidR="00B466A4" w:rsidRDefault="00B466A4" w:rsidP="00B466A4">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6"/>
        <w:gridCol w:w="4304"/>
      </w:tblGrid>
      <w:tr w:rsidR="00B466A4" w14:paraId="5D81A3E1" w14:textId="77777777">
        <w:tc>
          <w:tcPr>
            <w:tcW w:w="8856" w:type="dxa"/>
            <w:gridSpan w:val="2"/>
            <w:shd w:val="clear" w:color="auto" w:fill="E0E0E0"/>
          </w:tcPr>
          <w:p w14:paraId="1626B4CA" w14:textId="77777777" w:rsidR="00B466A4" w:rsidRDefault="00B466A4"/>
          <w:p w14:paraId="65F26D1E" w14:textId="77777777" w:rsidR="00B466A4" w:rsidRDefault="00B466A4">
            <w:pPr>
              <w:rPr>
                <w:b/>
                <w:bCs/>
                <w:sz w:val="24"/>
              </w:rPr>
            </w:pPr>
            <w:r>
              <w:rPr>
                <w:b/>
                <w:bCs/>
                <w:sz w:val="24"/>
              </w:rPr>
              <w:t>I. Post Information</w:t>
            </w:r>
          </w:p>
          <w:p w14:paraId="2050F988" w14:textId="77777777" w:rsidR="00B466A4" w:rsidRDefault="00B466A4">
            <w:pPr>
              <w:rPr>
                <w:b/>
                <w:bCs/>
                <w:sz w:val="24"/>
              </w:rPr>
            </w:pPr>
          </w:p>
        </w:tc>
      </w:tr>
      <w:tr w:rsidR="00B466A4" w14:paraId="6FE0F83B" w14:textId="77777777">
        <w:tc>
          <w:tcPr>
            <w:tcW w:w="4428" w:type="dxa"/>
          </w:tcPr>
          <w:p w14:paraId="5178E7E6" w14:textId="77777777" w:rsidR="00B466A4" w:rsidRPr="00AA6252" w:rsidRDefault="00B466A4"/>
          <w:p w14:paraId="6402E557" w14:textId="228D13BA" w:rsidR="00C95841" w:rsidRPr="00300FC9" w:rsidRDefault="00C95841" w:rsidP="00C95841">
            <w:pPr>
              <w:rPr>
                <w:rFonts w:cs="Arial"/>
              </w:rPr>
            </w:pPr>
            <w:r w:rsidRPr="00300FC9">
              <w:rPr>
                <w:rFonts w:cs="Arial"/>
              </w:rPr>
              <w:t xml:space="preserve">POST NUMBER/ CASE NUMBER: </w:t>
            </w:r>
            <w:r w:rsidR="005B7EF9">
              <w:rPr>
                <w:rFonts w:cs="Arial"/>
                <w:b/>
                <w:bCs/>
              </w:rPr>
              <w:t>MLW24015</w:t>
            </w:r>
          </w:p>
          <w:p w14:paraId="507EC081" w14:textId="202C4603" w:rsidR="00EF1D00" w:rsidRDefault="00EF1D00" w:rsidP="00C95841">
            <w:pPr>
              <w:rPr>
                <w:rFonts w:cs="Arial"/>
              </w:rPr>
            </w:pPr>
            <w:r>
              <w:rPr>
                <w:rFonts w:cs="Arial"/>
              </w:rPr>
              <w:t>REASON</w:t>
            </w:r>
            <w:r w:rsidR="00D33BF5">
              <w:rPr>
                <w:rFonts w:cs="Arial"/>
              </w:rPr>
              <w:t xml:space="preserve">: </w:t>
            </w:r>
            <w:r w:rsidR="005B7EF9">
              <w:rPr>
                <w:rFonts w:cs="Arial"/>
                <w:b/>
                <w:bCs/>
              </w:rPr>
              <w:t>Establishment</w:t>
            </w:r>
          </w:p>
          <w:p w14:paraId="5E2515CB" w14:textId="07C6E758" w:rsidR="00C95841" w:rsidRPr="00300FC9" w:rsidRDefault="00C95841" w:rsidP="00C95841">
            <w:pPr>
              <w:rPr>
                <w:rFonts w:cs="Arial"/>
              </w:rPr>
            </w:pPr>
            <w:r w:rsidRPr="00300FC9">
              <w:rPr>
                <w:rFonts w:cs="Arial"/>
              </w:rPr>
              <w:t xml:space="preserve">POST/CASE NUMBER OF SUPERVISOR: </w:t>
            </w:r>
            <w:r w:rsidR="008D50D8" w:rsidRPr="002246DB">
              <w:rPr>
                <w:rFonts w:cs="Arial"/>
                <w:b/>
                <w:bCs/>
              </w:rPr>
              <w:t>Representative, D1, #</w:t>
            </w:r>
            <w:r w:rsidR="0031407B">
              <w:rPr>
                <w:rFonts w:cs="Arial"/>
                <w:b/>
                <w:bCs/>
              </w:rPr>
              <w:t>1684</w:t>
            </w:r>
          </w:p>
          <w:p w14:paraId="5D0B366A" w14:textId="1148444A" w:rsidR="00C95841" w:rsidRPr="00300FC9" w:rsidRDefault="00C95841" w:rsidP="00C95841">
            <w:pPr>
              <w:rPr>
                <w:rFonts w:cs="Arial"/>
              </w:rPr>
            </w:pPr>
            <w:r w:rsidRPr="00300FC9">
              <w:rPr>
                <w:rFonts w:cs="Arial"/>
              </w:rPr>
              <w:t xml:space="preserve">REGION/DIVISION: </w:t>
            </w:r>
            <w:r w:rsidR="0004734A" w:rsidRPr="00300FC9">
              <w:rPr>
                <w:rFonts w:cs="Arial"/>
                <w:b/>
                <w:bCs/>
              </w:rPr>
              <w:t>ESAR</w:t>
            </w:r>
          </w:p>
          <w:p w14:paraId="1233557B" w14:textId="27953D0A" w:rsidR="00C95841" w:rsidRPr="00300FC9" w:rsidRDefault="00C95841" w:rsidP="00C95841">
            <w:pPr>
              <w:rPr>
                <w:rFonts w:cs="Arial"/>
              </w:rPr>
            </w:pPr>
            <w:r w:rsidRPr="00300FC9">
              <w:rPr>
                <w:rFonts w:cs="Arial"/>
              </w:rPr>
              <w:t xml:space="preserve">COUNTRY: </w:t>
            </w:r>
            <w:r w:rsidR="0004734A" w:rsidRPr="00300FC9">
              <w:rPr>
                <w:rFonts w:cs="Arial"/>
                <w:b/>
                <w:bCs/>
              </w:rPr>
              <w:t>Malawi</w:t>
            </w:r>
          </w:p>
          <w:p w14:paraId="56630269" w14:textId="757821D6" w:rsidR="00C95841" w:rsidRPr="00300FC9" w:rsidRDefault="00C95841" w:rsidP="00C95841">
            <w:pPr>
              <w:rPr>
                <w:rFonts w:cs="Arial"/>
              </w:rPr>
            </w:pPr>
            <w:r w:rsidRPr="00300FC9">
              <w:rPr>
                <w:rFonts w:cs="Arial"/>
              </w:rPr>
              <w:t>DUTY STATION:</w:t>
            </w:r>
            <w:r w:rsidR="0004734A" w:rsidRPr="00300FC9">
              <w:rPr>
                <w:rFonts w:cs="Arial"/>
              </w:rPr>
              <w:t xml:space="preserve"> </w:t>
            </w:r>
            <w:r w:rsidR="0004734A" w:rsidRPr="00300FC9">
              <w:rPr>
                <w:rFonts w:cs="Arial"/>
                <w:b/>
                <w:bCs/>
              </w:rPr>
              <w:t>Lilongwe, Malawi</w:t>
            </w:r>
          </w:p>
          <w:p w14:paraId="2F604EDC" w14:textId="6B6EBF75" w:rsidR="00C95841" w:rsidRPr="00300FC9" w:rsidRDefault="00C95841" w:rsidP="00C95841">
            <w:pPr>
              <w:rPr>
                <w:rFonts w:cs="Arial"/>
              </w:rPr>
            </w:pPr>
            <w:r w:rsidRPr="00300FC9">
              <w:rPr>
                <w:rFonts w:cs="Arial"/>
              </w:rPr>
              <w:t xml:space="preserve">OFFICE: </w:t>
            </w:r>
            <w:r w:rsidR="002246DB" w:rsidRPr="002246DB">
              <w:rPr>
                <w:rFonts w:cs="Arial"/>
                <w:b/>
                <w:bCs/>
              </w:rPr>
              <w:t>Malawi Country Office</w:t>
            </w:r>
          </w:p>
          <w:p w14:paraId="1CBE2A29" w14:textId="1E6EF2AD" w:rsidR="00C95841" w:rsidRPr="00300FC9" w:rsidRDefault="00C95841" w:rsidP="00C95841">
            <w:pPr>
              <w:rPr>
                <w:rFonts w:cs="Arial"/>
              </w:rPr>
            </w:pPr>
            <w:r w:rsidRPr="00300FC9">
              <w:rPr>
                <w:rFonts w:cs="Arial"/>
              </w:rPr>
              <w:t>SECTION:</w:t>
            </w:r>
            <w:r w:rsidR="0004734A" w:rsidRPr="00300FC9">
              <w:rPr>
                <w:rFonts w:cs="Arial"/>
              </w:rPr>
              <w:t xml:space="preserve"> </w:t>
            </w:r>
            <w:r w:rsidR="002246DB">
              <w:rPr>
                <w:rFonts w:cs="Arial"/>
                <w:b/>
                <w:bCs/>
              </w:rPr>
              <w:t>Representative Office</w:t>
            </w:r>
          </w:p>
          <w:p w14:paraId="4BC343C4" w14:textId="2162D75F" w:rsidR="00B466A4" w:rsidRDefault="00C95841" w:rsidP="00C95841">
            <w:r w:rsidRPr="00300FC9">
              <w:rPr>
                <w:rFonts w:cs="Arial"/>
              </w:rPr>
              <w:t>UNIT:</w:t>
            </w:r>
            <w:r w:rsidRPr="00B07ABB">
              <w:rPr>
                <w:rFonts w:cs="Arial"/>
              </w:rPr>
              <w:t xml:space="preserve"> </w:t>
            </w:r>
            <w:r w:rsidR="00C1148A">
              <w:rPr>
                <w:rFonts w:cs="Arial"/>
                <w:b/>
                <w:bCs/>
              </w:rPr>
              <w:t xml:space="preserve">Research </w:t>
            </w:r>
            <w:r w:rsidR="00D15C78">
              <w:rPr>
                <w:rFonts w:cs="Arial"/>
                <w:b/>
                <w:bCs/>
              </w:rPr>
              <w:t>and Evaluation</w:t>
            </w:r>
          </w:p>
        </w:tc>
        <w:tc>
          <w:tcPr>
            <w:tcW w:w="4428" w:type="dxa"/>
          </w:tcPr>
          <w:p w14:paraId="1D0B94FD" w14:textId="6EB76CE7" w:rsidR="00B466A4" w:rsidRDefault="00B466A4"/>
          <w:p w14:paraId="62F99742" w14:textId="00520AD5" w:rsidR="00C95841" w:rsidRPr="00300FC9" w:rsidRDefault="00C95841" w:rsidP="00C95841">
            <w:pPr>
              <w:rPr>
                <w:rFonts w:cs="Arial"/>
              </w:rPr>
            </w:pPr>
            <w:r w:rsidRPr="00300FC9">
              <w:rPr>
                <w:rFonts w:cs="Arial"/>
              </w:rPr>
              <w:t xml:space="preserve">CATEGORY: </w:t>
            </w:r>
            <w:r w:rsidR="00742A48">
              <w:rPr>
                <w:rFonts w:cs="Arial"/>
                <w:b/>
                <w:bCs/>
              </w:rPr>
              <w:t>IP</w:t>
            </w:r>
            <w:r w:rsidR="00EF1D00">
              <w:rPr>
                <w:rFonts w:cs="Arial"/>
                <w:b/>
                <w:bCs/>
              </w:rPr>
              <w:t xml:space="preserve"> (International Professional)</w:t>
            </w:r>
          </w:p>
          <w:p w14:paraId="1C2CB0B8" w14:textId="0DD3A62D" w:rsidR="00C95841" w:rsidRPr="00300FC9" w:rsidRDefault="00C95841" w:rsidP="00C95841">
            <w:pPr>
              <w:rPr>
                <w:rFonts w:cs="Arial"/>
              </w:rPr>
            </w:pPr>
            <w:r w:rsidRPr="00300FC9">
              <w:rPr>
                <w:rFonts w:cs="Arial"/>
              </w:rPr>
              <w:t>PROPOSED LEVEL:</w:t>
            </w:r>
            <w:r w:rsidR="0004734A" w:rsidRPr="00300FC9">
              <w:rPr>
                <w:rFonts w:cs="Arial"/>
              </w:rPr>
              <w:t xml:space="preserve"> </w:t>
            </w:r>
            <w:r w:rsidR="00742A48">
              <w:rPr>
                <w:rFonts w:cs="Arial"/>
                <w:b/>
                <w:bCs/>
              </w:rPr>
              <w:t>P</w:t>
            </w:r>
            <w:r w:rsidR="00D15C78">
              <w:rPr>
                <w:rFonts w:cs="Arial"/>
                <w:b/>
                <w:bCs/>
              </w:rPr>
              <w:t>3</w:t>
            </w:r>
          </w:p>
          <w:p w14:paraId="79845257" w14:textId="525AB03C" w:rsidR="00C95841" w:rsidRPr="00300FC9" w:rsidRDefault="00C95841" w:rsidP="00C95841">
            <w:pPr>
              <w:rPr>
                <w:rFonts w:cs="Arial"/>
                <w:b/>
                <w:bCs/>
              </w:rPr>
            </w:pPr>
            <w:r w:rsidRPr="00300FC9">
              <w:rPr>
                <w:rFonts w:cs="Arial"/>
              </w:rPr>
              <w:t xml:space="preserve">JOB TITLE: </w:t>
            </w:r>
            <w:r w:rsidR="00D15C78">
              <w:rPr>
                <w:rFonts w:cs="Arial"/>
                <w:b/>
                <w:bCs/>
              </w:rPr>
              <w:t>Research and Evaluation</w:t>
            </w:r>
          </w:p>
          <w:p w14:paraId="6457C917" w14:textId="242F8DB0" w:rsidR="00C95841" w:rsidRPr="00300FC9" w:rsidRDefault="00C95841" w:rsidP="00C95841">
            <w:pPr>
              <w:rPr>
                <w:rFonts w:cs="Arial"/>
              </w:rPr>
            </w:pPr>
            <w:r w:rsidRPr="00300FC9">
              <w:rPr>
                <w:rFonts w:cs="Arial"/>
              </w:rPr>
              <w:t>Functional Code:</w:t>
            </w:r>
            <w:r w:rsidR="009A38B0" w:rsidRPr="00300FC9">
              <w:rPr>
                <w:rFonts w:cs="Arial"/>
              </w:rPr>
              <w:t xml:space="preserve"> </w:t>
            </w:r>
          </w:p>
          <w:p w14:paraId="16CA705E" w14:textId="7661ADA1" w:rsidR="00C95841" w:rsidRPr="00300FC9" w:rsidRDefault="00C95841" w:rsidP="00C95841">
            <w:pPr>
              <w:rPr>
                <w:rFonts w:cs="Arial"/>
              </w:rPr>
            </w:pPr>
            <w:r w:rsidRPr="00300FC9">
              <w:rPr>
                <w:rFonts w:cs="Arial"/>
              </w:rPr>
              <w:t>ICSC CCOG Code:</w:t>
            </w:r>
          </w:p>
          <w:p w14:paraId="3C0D9384" w14:textId="77777777" w:rsidR="00B466A4" w:rsidRDefault="00B466A4" w:rsidP="00B466A4"/>
        </w:tc>
      </w:tr>
    </w:tbl>
    <w:p w14:paraId="249FE200" w14:textId="43E11FAB"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3B24BAD1" w14:textId="77777777">
        <w:tc>
          <w:tcPr>
            <w:tcW w:w="8856" w:type="dxa"/>
            <w:tcBorders>
              <w:bottom w:val="single" w:sz="4" w:space="0" w:color="auto"/>
            </w:tcBorders>
            <w:shd w:val="clear" w:color="auto" w:fill="E0E0E0"/>
          </w:tcPr>
          <w:p w14:paraId="24ADE980" w14:textId="77777777" w:rsidR="00B466A4" w:rsidRDefault="00B466A4">
            <w:pPr>
              <w:pStyle w:val="Heading1"/>
            </w:pPr>
          </w:p>
          <w:p w14:paraId="3EE3A2A0" w14:textId="4B65960A" w:rsidR="00B466A4" w:rsidRDefault="00B466A4">
            <w:pPr>
              <w:pStyle w:val="Heading1"/>
            </w:pPr>
            <w:r>
              <w:t xml:space="preserve">II. </w:t>
            </w:r>
            <w:r w:rsidR="00DA561C">
              <w:t xml:space="preserve">Organizational </w:t>
            </w:r>
            <w:r w:rsidR="00AA6252">
              <w:t>Context and</w:t>
            </w:r>
            <w:r w:rsidR="0097359A">
              <w:t xml:space="preserve"> p</w:t>
            </w:r>
            <w:r>
              <w:t>urpose for the job</w:t>
            </w:r>
          </w:p>
          <w:p w14:paraId="3DE2A6C5" w14:textId="77777777" w:rsidR="00B466A4" w:rsidRDefault="00B466A4">
            <w:pPr>
              <w:pStyle w:val="Heading1"/>
              <w:rPr>
                <w:b w:val="0"/>
                <w:bCs w:val="0"/>
                <w:i/>
                <w:iCs/>
                <w:sz w:val="18"/>
              </w:rPr>
            </w:pPr>
          </w:p>
        </w:tc>
      </w:tr>
      <w:tr w:rsidR="00B466A4" w14:paraId="15B702F1" w14:textId="77777777">
        <w:tc>
          <w:tcPr>
            <w:tcW w:w="8856" w:type="dxa"/>
          </w:tcPr>
          <w:p w14:paraId="4872FA2C" w14:textId="77777777" w:rsidR="0048253E" w:rsidRDefault="0048253E" w:rsidP="00B466A4">
            <w:pPr>
              <w:widowControl w:val="0"/>
              <w:autoSpaceDE w:val="0"/>
              <w:autoSpaceDN w:val="0"/>
              <w:adjustRightInd w:val="0"/>
              <w:jc w:val="both"/>
              <w:rPr>
                <w:rFonts w:cs="Cambria"/>
                <w:bCs/>
                <w:szCs w:val="32"/>
              </w:rPr>
            </w:pPr>
          </w:p>
          <w:p w14:paraId="79A9DDB0" w14:textId="023C7076" w:rsidR="0077668D" w:rsidRDefault="0077668D" w:rsidP="0077668D">
            <w:pPr>
              <w:widowControl w:val="0"/>
              <w:autoSpaceDE w:val="0"/>
              <w:autoSpaceDN w:val="0"/>
              <w:adjustRightInd w:val="0"/>
              <w:jc w:val="both"/>
              <w:rPr>
                <w:rFonts w:cs="Cambria"/>
                <w:bCs/>
                <w:szCs w:val="32"/>
              </w:rPr>
            </w:pPr>
            <w:r w:rsidRPr="0077668D">
              <w:rPr>
                <w:rFonts w:cs="Cambria"/>
                <w:bCs/>
                <w:szCs w:val="32"/>
              </w:rPr>
              <w:t xml:space="preserve">The new country </w:t>
            </w:r>
            <w:proofErr w:type="spellStart"/>
            <w:r w:rsidRPr="0077668D">
              <w:rPr>
                <w:rFonts w:cs="Cambria"/>
                <w:bCs/>
                <w:szCs w:val="32"/>
              </w:rPr>
              <w:t>programme</w:t>
            </w:r>
            <w:proofErr w:type="spellEnd"/>
            <w:r w:rsidRPr="0077668D">
              <w:rPr>
                <w:rFonts w:cs="Cambria"/>
                <w:bCs/>
                <w:szCs w:val="32"/>
              </w:rPr>
              <w:t xml:space="preserve"> (2024-2028) is aligned with the Government of Malawi’s Growth and Development Strategy (MDGS 111) and</w:t>
            </w:r>
            <w:r>
              <w:rPr>
                <w:rFonts w:cs="Cambria"/>
                <w:bCs/>
                <w:szCs w:val="32"/>
              </w:rPr>
              <w:t xml:space="preserve"> </w:t>
            </w:r>
            <w:r w:rsidRPr="0077668D">
              <w:rPr>
                <w:rFonts w:cs="Cambria"/>
                <w:bCs/>
                <w:szCs w:val="32"/>
              </w:rPr>
              <w:t xml:space="preserve">the United Nations Development Assistance Framework (UNDAF). The </w:t>
            </w:r>
            <w:proofErr w:type="spellStart"/>
            <w:r w:rsidRPr="0077668D">
              <w:rPr>
                <w:rFonts w:cs="Cambria"/>
                <w:bCs/>
                <w:szCs w:val="32"/>
              </w:rPr>
              <w:t>programme</w:t>
            </w:r>
            <w:proofErr w:type="spellEnd"/>
            <w:r w:rsidRPr="0077668D">
              <w:rPr>
                <w:rFonts w:cs="Cambria"/>
                <w:bCs/>
                <w:szCs w:val="32"/>
              </w:rPr>
              <w:t xml:space="preserve"> supports the Government of Malawi to meet its commitment</w:t>
            </w:r>
            <w:r>
              <w:rPr>
                <w:rFonts w:cs="Cambria"/>
                <w:bCs/>
                <w:szCs w:val="32"/>
              </w:rPr>
              <w:t xml:space="preserve"> </w:t>
            </w:r>
            <w:r w:rsidRPr="0077668D">
              <w:rPr>
                <w:rFonts w:cs="Cambria"/>
                <w:bCs/>
                <w:szCs w:val="32"/>
              </w:rPr>
              <w:t xml:space="preserve">to respect, protect and fulfil children’s rights in line with international conventions and standards. The country </w:t>
            </w:r>
            <w:proofErr w:type="spellStart"/>
            <w:r w:rsidRPr="0077668D">
              <w:rPr>
                <w:rFonts w:cs="Cambria"/>
                <w:bCs/>
                <w:szCs w:val="32"/>
              </w:rPr>
              <w:t>programme</w:t>
            </w:r>
            <w:proofErr w:type="spellEnd"/>
            <w:r w:rsidRPr="0077668D">
              <w:rPr>
                <w:rFonts w:cs="Cambria"/>
                <w:bCs/>
                <w:szCs w:val="32"/>
              </w:rPr>
              <w:t xml:space="preserve"> is guided by the principles of children’s rights, equity, gender equality, </w:t>
            </w:r>
            <w:proofErr w:type="gramStart"/>
            <w:r w:rsidRPr="0077668D">
              <w:rPr>
                <w:rFonts w:cs="Cambria"/>
                <w:bCs/>
                <w:szCs w:val="32"/>
              </w:rPr>
              <w:t>inclusion</w:t>
            </w:r>
            <w:proofErr w:type="gramEnd"/>
            <w:r w:rsidRPr="0077668D">
              <w:rPr>
                <w:rFonts w:cs="Cambria"/>
                <w:bCs/>
                <w:szCs w:val="32"/>
              </w:rPr>
              <w:t xml:space="preserve"> and resilience, and supports evidence-based, integrative and innovative programming. The vision is that ‘all girls and boys in Malawi, especially the most disadvantaged and deprived, realize their rights’. The </w:t>
            </w:r>
            <w:proofErr w:type="spellStart"/>
            <w:r w:rsidRPr="0077668D">
              <w:rPr>
                <w:rFonts w:cs="Cambria"/>
                <w:bCs/>
                <w:szCs w:val="32"/>
              </w:rPr>
              <w:t>programme</w:t>
            </w:r>
            <w:proofErr w:type="spellEnd"/>
            <w:r w:rsidRPr="0077668D">
              <w:rPr>
                <w:rFonts w:cs="Cambria"/>
                <w:bCs/>
                <w:szCs w:val="32"/>
              </w:rPr>
              <w:t xml:space="preserve"> focuses </w:t>
            </w:r>
            <w:proofErr w:type="gramStart"/>
            <w:r w:rsidRPr="0077668D">
              <w:rPr>
                <w:rFonts w:cs="Cambria"/>
                <w:bCs/>
                <w:szCs w:val="32"/>
              </w:rPr>
              <w:t>on:</w:t>
            </w:r>
            <w:proofErr w:type="gramEnd"/>
            <w:r w:rsidRPr="0077668D">
              <w:rPr>
                <w:rFonts w:cs="Cambria"/>
                <w:bCs/>
                <w:szCs w:val="32"/>
              </w:rPr>
              <w:t xml:space="preserve"> early childhood (parenting, high-impact social services, early stimulation and learning), middle childhood and adolescence (learning, multi-sectoral services, active citizenship), communities (decentralized services and systems, community ownership, social norms), </w:t>
            </w:r>
            <w:proofErr w:type="spellStart"/>
            <w:r w:rsidRPr="0077668D">
              <w:rPr>
                <w:rFonts w:cs="Cambria"/>
                <w:bCs/>
                <w:szCs w:val="32"/>
              </w:rPr>
              <w:t>programme</w:t>
            </w:r>
            <w:proofErr w:type="spellEnd"/>
            <w:r w:rsidRPr="0077668D">
              <w:rPr>
                <w:rFonts w:cs="Cambria"/>
                <w:bCs/>
                <w:szCs w:val="32"/>
              </w:rPr>
              <w:t xml:space="preserve"> effectiveness (monitoring, evaluation, HACT, Innovation, Social Protection and Social Policy and External Communication. The </w:t>
            </w:r>
            <w:proofErr w:type="spellStart"/>
            <w:r w:rsidRPr="0077668D">
              <w:rPr>
                <w:rFonts w:cs="Cambria"/>
                <w:bCs/>
                <w:szCs w:val="32"/>
              </w:rPr>
              <w:t>programme</w:t>
            </w:r>
            <w:proofErr w:type="spellEnd"/>
            <w:r w:rsidRPr="0077668D">
              <w:rPr>
                <w:rFonts w:cs="Cambria"/>
                <w:bCs/>
                <w:szCs w:val="32"/>
              </w:rPr>
              <w:t xml:space="preserve"> is based on ‘leaving no child behind’, realizing ‘rights for all children in Malawi’.</w:t>
            </w:r>
          </w:p>
          <w:p w14:paraId="1F9DF90E" w14:textId="77777777" w:rsidR="0077668D" w:rsidRDefault="0077668D" w:rsidP="00B466A4">
            <w:pPr>
              <w:widowControl w:val="0"/>
              <w:autoSpaceDE w:val="0"/>
              <w:autoSpaceDN w:val="0"/>
              <w:adjustRightInd w:val="0"/>
              <w:jc w:val="both"/>
              <w:rPr>
                <w:rFonts w:cs="Cambria"/>
                <w:bCs/>
                <w:szCs w:val="32"/>
              </w:rPr>
            </w:pPr>
          </w:p>
          <w:p w14:paraId="4705BF5D" w14:textId="3244FFCE" w:rsidR="00B466A4" w:rsidRDefault="00B466A4" w:rsidP="00C5029E">
            <w:pPr>
              <w:jc w:val="both"/>
              <w:rPr>
                <w:b/>
                <w:u w:val="single"/>
              </w:rPr>
            </w:pPr>
            <w:r w:rsidRPr="00AA6252">
              <w:rPr>
                <w:b/>
                <w:u w:val="single"/>
              </w:rPr>
              <w:t>Purpose for the job</w:t>
            </w:r>
            <w:r w:rsidR="00AA6252" w:rsidRPr="00AA6252">
              <w:rPr>
                <w:b/>
                <w:u w:val="single"/>
              </w:rPr>
              <w:t>:</w:t>
            </w:r>
          </w:p>
          <w:p w14:paraId="2862F5D3" w14:textId="77777777" w:rsidR="00760DC5" w:rsidRDefault="00760DC5" w:rsidP="00760DC5">
            <w:pPr>
              <w:jc w:val="both"/>
            </w:pPr>
            <w:r>
              <w:t>The post incumbent will provide strategic support to the country office work on statistical system strengthening, situation monitoring, data, research and evaluation on child rights and poverty.</w:t>
            </w:r>
          </w:p>
          <w:p w14:paraId="777D65EF" w14:textId="77777777" w:rsidR="00760DC5" w:rsidRDefault="00760DC5" w:rsidP="00760DC5">
            <w:pPr>
              <w:jc w:val="both"/>
            </w:pPr>
          </w:p>
          <w:p w14:paraId="20BC6A34" w14:textId="77777777" w:rsidR="00760DC5" w:rsidRDefault="00760DC5" w:rsidP="00760DC5">
            <w:pPr>
              <w:jc w:val="both"/>
            </w:pPr>
            <w:r>
              <w:t xml:space="preserve">S/he: </w:t>
            </w:r>
          </w:p>
          <w:p w14:paraId="7743016A" w14:textId="77777777" w:rsidR="00760DC5" w:rsidRDefault="00760DC5" w:rsidP="00760DC5">
            <w:pPr>
              <w:pStyle w:val="ListParagraph"/>
              <w:numPr>
                <w:ilvl w:val="0"/>
                <w:numId w:val="15"/>
              </w:numPr>
              <w:jc w:val="both"/>
            </w:pPr>
            <w:r>
              <w:t xml:space="preserve">Conducts strategic research and analysis on child poverty and emerging issues with the objective of generating evidence to inform policy advocacy, planning, </w:t>
            </w:r>
            <w:proofErr w:type="gramStart"/>
            <w:r>
              <w:t>budgeting</w:t>
            </w:r>
            <w:proofErr w:type="gramEnd"/>
            <w:r>
              <w:t xml:space="preserve"> and programming.</w:t>
            </w:r>
          </w:p>
          <w:p w14:paraId="14B10727" w14:textId="77777777" w:rsidR="00760DC5" w:rsidRDefault="00760DC5" w:rsidP="00760DC5">
            <w:pPr>
              <w:pStyle w:val="ListParagraph"/>
              <w:numPr>
                <w:ilvl w:val="0"/>
                <w:numId w:val="15"/>
              </w:numPr>
              <w:jc w:val="both"/>
            </w:pPr>
            <w:r>
              <w:t>Coordinates UNICEF support to national statistical system strengthening to ensure high quality national estimates on key child indicators, including capacity building on specific areas of data analysis and strengthening mechanisms for SDG monitoring.</w:t>
            </w:r>
          </w:p>
          <w:p w14:paraId="666C1046" w14:textId="77777777" w:rsidR="00760DC5" w:rsidRDefault="00760DC5" w:rsidP="00760DC5">
            <w:pPr>
              <w:jc w:val="both"/>
            </w:pPr>
          </w:p>
          <w:p w14:paraId="5AB9349B" w14:textId="77777777" w:rsidR="00760DC5" w:rsidRDefault="00760DC5" w:rsidP="00760DC5">
            <w:pPr>
              <w:pStyle w:val="ListParagraph"/>
              <w:numPr>
                <w:ilvl w:val="0"/>
                <w:numId w:val="15"/>
              </w:numPr>
              <w:jc w:val="both"/>
            </w:pPr>
            <w:r>
              <w:lastRenderedPageBreak/>
              <w:t>Supports development and strengthening of M&amp;E frameworks for key national policies and plans, including capacity building for government.</w:t>
            </w:r>
          </w:p>
          <w:p w14:paraId="28A3245E" w14:textId="0BC793FE" w:rsidR="00F4689B" w:rsidRDefault="00760DC5" w:rsidP="00760DC5">
            <w:pPr>
              <w:pStyle w:val="ListParagraph"/>
              <w:numPr>
                <w:ilvl w:val="0"/>
                <w:numId w:val="15"/>
              </w:numPr>
              <w:jc w:val="both"/>
            </w:pPr>
            <w:r>
              <w:t>Supports country office research and evaluation oversight, quality assurance and capacity building.</w:t>
            </w:r>
          </w:p>
        </w:tc>
      </w:tr>
    </w:tbl>
    <w:p w14:paraId="28F89465" w14:textId="77777777" w:rsidR="00B466A4" w:rsidRDefault="00B466A4"/>
    <w:p w14:paraId="6361AD0C"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713E79CA" w14:textId="77777777">
        <w:tc>
          <w:tcPr>
            <w:tcW w:w="8856" w:type="dxa"/>
            <w:shd w:val="clear" w:color="auto" w:fill="E0E0E0"/>
          </w:tcPr>
          <w:p w14:paraId="353894B4" w14:textId="77777777" w:rsidR="00B466A4" w:rsidRDefault="00B466A4">
            <w:pPr>
              <w:rPr>
                <w:b/>
                <w:bCs/>
                <w:sz w:val="24"/>
              </w:rPr>
            </w:pPr>
          </w:p>
          <w:p w14:paraId="56AD9415" w14:textId="55B0412C" w:rsidR="00B466A4" w:rsidRPr="004015C5" w:rsidRDefault="00B466A4">
            <w:pPr>
              <w:pStyle w:val="Heading1"/>
              <w:rPr>
                <w:i/>
                <w:sz w:val="22"/>
                <w:szCs w:val="22"/>
              </w:rPr>
            </w:pPr>
            <w:r>
              <w:t>III. Key function</w:t>
            </w:r>
            <w:r w:rsidR="004015C5">
              <w:t>s</w:t>
            </w:r>
            <w:r>
              <w:t>, accountabi</w:t>
            </w:r>
            <w:r w:rsidR="00DC4A55">
              <w:t>lities and related duties/tasks:</w:t>
            </w:r>
          </w:p>
          <w:p w14:paraId="5C16C989" w14:textId="77777777" w:rsidR="00B466A4" w:rsidRDefault="00B466A4">
            <w:pPr>
              <w:rPr>
                <w:i/>
                <w:iCs/>
                <w:sz w:val="18"/>
              </w:rPr>
            </w:pPr>
          </w:p>
        </w:tc>
      </w:tr>
      <w:tr w:rsidR="00B466A4" w14:paraId="3E7B7818" w14:textId="77777777">
        <w:tc>
          <w:tcPr>
            <w:tcW w:w="8856" w:type="dxa"/>
          </w:tcPr>
          <w:p w14:paraId="4ED43D82" w14:textId="77777777" w:rsidR="00634788" w:rsidRPr="00DE7741" w:rsidRDefault="00634788" w:rsidP="00634788">
            <w:pPr>
              <w:rPr>
                <w:rFonts w:cstheme="minorHAnsi"/>
                <w:b/>
                <w:bCs/>
                <w:color w:val="000000"/>
              </w:rPr>
            </w:pPr>
            <w:r w:rsidRPr="00DE7741">
              <w:rPr>
                <w:rFonts w:cstheme="minorHAnsi"/>
                <w:b/>
                <w:bCs/>
                <w:color w:val="000000"/>
              </w:rPr>
              <w:t>1. Research and Evaluation.</w:t>
            </w:r>
          </w:p>
          <w:p w14:paraId="3F48712E" w14:textId="77777777" w:rsidR="00634788" w:rsidRPr="00DE7741" w:rsidRDefault="00634788" w:rsidP="00DE7741">
            <w:pPr>
              <w:pStyle w:val="ListParagraph"/>
              <w:numPr>
                <w:ilvl w:val="0"/>
                <w:numId w:val="16"/>
              </w:numPr>
              <w:rPr>
                <w:rFonts w:cstheme="minorHAnsi"/>
                <w:color w:val="000000"/>
              </w:rPr>
            </w:pPr>
            <w:r w:rsidRPr="00DE7741">
              <w:rPr>
                <w:rFonts w:cstheme="minorHAnsi"/>
                <w:color w:val="000000"/>
              </w:rPr>
              <w:t>Ensure that the Country Office produces high-quality strategic research and analysis on child poverty and child rights, including new and</w:t>
            </w:r>
          </w:p>
          <w:p w14:paraId="592ABA17" w14:textId="77777777" w:rsidR="00634788" w:rsidRPr="00DE7741" w:rsidRDefault="00634788" w:rsidP="00DE7741">
            <w:pPr>
              <w:pStyle w:val="ListParagraph"/>
              <w:numPr>
                <w:ilvl w:val="0"/>
                <w:numId w:val="16"/>
              </w:numPr>
              <w:rPr>
                <w:rFonts w:cstheme="minorHAnsi"/>
                <w:color w:val="000000"/>
              </w:rPr>
            </w:pPr>
            <w:r w:rsidRPr="00DE7741">
              <w:rPr>
                <w:rFonts w:cstheme="minorHAnsi"/>
                <w:color w:val="000000"/>
              </w:rPr>
              <w:t>emerging areas.</w:t>
            </w:r>
          </w:p>
          <w:p w14:paraId="5731F007" w14:textId="77777777" w:rsidR="00634788" w:rsidRPr="00DE7741" w:rsidRDefault="00634788" w:rsidP="00DE7741">
            <w:pPr>
              <w:pStyle w:val="ListParagraph"/>
              <w:numPr>
                <w:ilvl w:val="0"/>
                <w:numId w:val="16"/>
              </w:numPr>
              <w:rPr>
                <w:rFonts w:cstheme="minorHAnsi"/>
                <w:color w:val="000000"/>
              </w:rPr>
            </w:pPr>
            <w:r w:rsidRPr="00DE7741">
              <w:rPr>
                <w:rFonts w:cstheme="minorHAnsi"/>
                <w:color w:val="000000"/>
              </w:rPr>
              <w:t xml:space="preserve">Conduct research and analysis on child poverty and child rights, including key emerging issues, to strengthen evidence base on child poverty for guiding policy decisions, public spending, and sector </w:t>
            </w:r>
            <w:proofErr w:type="spellStart"/>
            <w:r w:rsidRPr="00DE7741">
              <w:rPr>
                <w:rFonts w:cstheme="minorHAnsi"/>
                <w:color w:val="000000"/>
              </w:rPr>
              <w:t>programme</w:t>
            </w:r>
            <w:proofErr w:type="spellEnd"/>
            <w:r w:rsidRPr="00DE7741">
              <w:rPr>
                <w:rFonts w:cstheme="minorHAnsi"/>
                <w:color w:val="000000"/>
              </w:rPr>
              <w:t xml:space="preserve"> direction.</w:t>
            </w:r>
          </w:p>
          <w:p w14:paraId="31D2170F" w14:textId="77777777" w:rsidR="00634788" w:rsidRPr="00DE7741" w:rsidRDefault="00634788" w:rsidP="00DE7741">
            <w:pPr>
              <w:pStyle w:val="ListParagraph"/>
              <w:numPr>
                <w:ilvl w:val="0"/>
                <w:numId w:val="16"/>
              </w:numPr>
              <w:rPr>
                <w:rFonts w:cstheme="minorHAnsi"/>
                <w:color w:val="000000"/>
              </w:rPr>
            </w:pPr>
            <w:r w:rsidRPr="00DE7741">
              <w:rPr>
                <w:rFonts w:cstheme="minorHAnsi"/>
                <w:color w:val="000000"/>
              </w:rPr>
              <w:t>Ensure a strategic research plan is in place.</w:t>
            </w:r>
          </w:p>
          <w:p w14:paraId="63CB5E1C" w14:textId="77777777" w:rsidR="00634788" w:rsidRPr="00DE7741" w:rsidRDefault="00634788" w:rsidP="00DE7741">
            <w:pPr>
              <w:pStyle w:val="ListParagraph"/>
              <w:numPr>
                <w:ilvl w:val="0"/>
                <w:numId w:val="16"/>
              </w:numPr>
              <w:rPr>
                <w:rFonts w:cstheme="minorHAnsi"/>
                <w:color w:val="000000"/>
              </w:rPr>
            </w:pPr>
            <w:r w:rsidRPr="00DE7741">
              <w:rPr>
                <w:rFonts w:cstheme="minorHAnsi"/>
                <w:color w:val="000000"/>
              </w:rPr>
              <w:t xml:space="preserve">Develop, </w:t>
            </w:r>
            <w:proofErr w:type="gramStart"/>
            <w:r w:rsidRPr="00DE7741">
              <w:rPr>
                <w:rFonts w:cstheme="minorHAnsi"/>
                <w:color w:val="000000"/>
              </w:rPr>
              <w:t>manage</w:t>
            </w:r>
            <w:proofErr w:type="gramEnd"/>
            <w:r w:rsidRPr="00DE7741">
              <w:rPr>
                <w:rFonts w:cstheme="minorHAnsi"/>
                <w:color w:val="000000"/>
              </w:rPr>
              <w:t xml:space="preserve"> and oversee the Country Office Integrated Monitoring, Evaluation &amp; Research Plan (IMEP).</w:t>
            </w:r>
          </w:p>
          <w:p w14:paraId="0BE632D7" w14:textId="77777777" w:rsidR="00634788" w:rsidRPr="00634788" w:rsidRDefault="00634788" w:rsidP="00634788">
            <w:pPr>
              <w:rPr>
                <w:rFonts w:cstheme="minorHAnsi"/>
                <w:color w:val="000000"/>
              </w:rPr>
            </w:pPr>
          </w:p>
          <w:p w14:paraId="19390D57" w14:textId="77777777" w:rsidR="00634788" w:rsidRPr="00DE7741" w:rsidRDefault="00634788" w:rsidP="00634788">
            <w:pPr>
              <w:rPr>
                <w:rFonts w:cstheme="minorHAnsi"/>
                <w:b/>
                <w:bCs/>
                <w:color w:val="000000"/>
              </w:rPr>
            </w:pPr>
            <w:r w:rsidRPr="00DE7741">
              <w:rPr>
                <w:rFonts w:cstheme="minorHAnsi"/>
                <w:b/>
                <w:bCs/>
                <w:color w:val="000000"/>
              </w:rPr>
              <w:t>2. Child Rights Monitoring and Assessment.</w:t>
            </w:r>
          </w:p>
          <w:p w14:paraId="3CC19507" w14:textId="77777777" w:rsidR="00634788" w:rsidRPr="00DE7741" w:rsidRDefault="00634788" w:rsidP="00DE7741">
            <w:pPr>
              <w:pStyle w:val="ListParagraph"/>
              <w:numPr>
                <w:ilvl w:val="0"/>
                <w:numId w:val="17"/>
              </w:numPr>
              <w:rPr>
                <w:rFonts w:cstheme="minorHAnsi"/>
                <w:color w:val="000000"/>
              </w:rPr>
            </w:pPr>
            <w:r w:rsidRPr="00DE7741">
              <w:rPr>
                <w:rFonts w:cstheme="minorHAnsi"/>
                <w:color w:val="000000"/>
              </w:rPr>
              <w:t xml:space="preserve">Support national statistical system to collect and </w:t>
            </w:r>
            <w:proofErr w:type="spellStart"/>
            <w:r w:rsidRPr="00DE7741">
              <w:rPr>
                <w:rFonts w:cstheme="minorHAnsi"/>
                <w:color w:val="000000"/>
              </w:rPr>
              <w:t>analyse</w:t>
            </w:r>
            <w:proofErr w:type="spellEnd"/>
            <w:r w:rsidRPr="00DE7741">
              <w:rPr>
                <w:rFonts w:cstheme="minorHAnsi"/>
                <w:color w:val="000000"/>
              </w:rPr>
              <w:t xml:space="preserve"> data on the rights of children, including SDG monitoring at national and sub-national level.</w:t>
            </w:r>
          </w:p>
          <w:p w14:paraId="697EFFE3" w14:textId="77777777" w:rsidR="00634788" w:rsidRPr="00DE7741" w:rsidRDefault="00634788" w:rsidP="00DE7741">
            <w:pPr>
              <w:pStyle w:val="ListParagraph"/>
              <w:numPr>
                <w:ilvl w:val="0"/>
                <w:numId w:val="17"/>
              </w:numPr>
              <w:rPr>
                <w:rFonts w:cstheme="minorHAnsi"/>
                <w:color w:val="000000"/>
              </w:rPr>
            </w:pPr>
            <w:r w:rsidRPr="00DE7741">
              <w:rPr>
                <w:rFonts w:cstheme="minorHAnsi"/>
                <w:color w:val="000000"/>
              </w:rPr>
              <w:t>Oversee technical support to national household surveys under TSMP, with emphasis on including child rights indicators to enhance the</w:t>
            </w:r>
          </w:p>
          <w:p w14:paraId="482B9935" w14:textId="77777777" w:rsidR="00634788" w:rsidRPr="00DE7741" w:rsidRDefault="00634788" w:rsidP="00DE7741">
            <w:pPr>
              <w:pStyle w:val="ListParagraph"/>
              <w:numPr>
                <w:ilvl w:val="0"/>
                <w:numId w:val="17"/>
              </w:numPr>
              <w:rPr>
                <w:rFonts w:cstheme="minorHAnsi"/>
                <w:color w:val="000000"/>
              </w:rPr>
            </w:pPr>
            <w:r w:rsidRPr="00DE7741">
              <w:rPr>
                <w:rFonts w:cstheme="minorHAnsi"/>
                <w:color w:val="000000"/>
              </w:rPr>
              <w:t xml:space="preserve">availability of quality data on the fulfilment of children’s rights for </w:t>
            </w:r>
            <w:proofErr w:type="gramStart"/>
            <w:r w:rsidRPr="00DE7741">
              <w:rPr>
                <w:rFonts w:cstheme="minorHAnsi"/>
                <w:color w:val="000000"/>
              </w:rPr>
              <w:t>evidence based</w:t>
            </w:r>
            <w:proofErr w:type="gramEnd"/>
            <w:r w:rsidRPr="00DE7741">
              <w:rPr>
                <w:rFonts w:cstheme="minorHAnsi"/>
                <w:color w:val="000000"/>
              </w:rPr>
              <w:t xml:space="preserve"> planning and reporting.</w:t>
            </w:r>
          </w:p>
          <w:p w14:paraId="4BA155C1" w14:textId="77777777" w:rsidR="00634788" w:rsidRPr="00DE7741" w:rsidRDefault="00634788" w:rsidP="00DE7741">
            <w:pPr>
              <w:pStyle w:val="ListParagraph"/>
              <w:numPr>
                <w:ilvl w:val="0"/>
                <w:numId w:val="17"/>
              </w:numPr>
              <w:rPr>
                <w:rFonts w:cstheme="minorHAnsi"/>
                <w:color w:val="000000"/>
              </w:rPr>
            </w:pPr>
            <w:r w:rsidRPr="00DE7741">
              <w:rPr>
                <w:rFonts w:cstheme="minorHAnsi"/>
                <w:color w:val="000000"/>
              </w:rPr>
              <w:t>Coordinate capacity building on measurement of relevant child rights related indicators to strengthen national capacity and enhance</w:t>
            </w:r>
          </w:p>
          <w:p w14:paraId="07639C3E" w14:textId="77777777" w:rsidR="00634788" w:rsidRPr="00DE7741" w:rsidRDefault="00634788" w:rsidP="00DE7741">
            <w:pPr>
              <w:pStyle w:val="ListParagraph"/>
              <w:numPr>
                <w:ilvl w:val="0"/>
                <w:numId w:val="17"/>
              </w:numPr>
              <w:rPr>
                <w:rFonts w:cstheme="minorHAnsi"/>
                <w:color w:val="000000"/>
              </w:rPr>
            </w:pPr>
            <w:r w:rsidRPr="00DE7741">
              <w:rPr>
                <w:rFonts w:cstheme="minorHAnsi"/>
                <w:color w:val="000000"/>
              </w:rPr>
              <w:t>availability and quality of data on children’s rights.</w:t>
            </w:r>
          </w:p>
          <w:p w14:paraId="136DA2CF" w14:textId="77777777" w:rsidR="00634788" w:rsidRPr="00DE7741" w:rsidRDefault="00634788" w:rsidP="00DE7741">
            <w:pPr>
              <w:pStyle w:val="ListParagraph"/>
              <w:numPr>
                <w:ilvl w:val="0"/>
                <w:numId w:val="17"/>
              </w:numPr>
              <w:rPr>
                <w:rFonts w:cstheme="minorHAnsi"/>
                <w:color w:val="000000"/>
              </w:rPr>
            </w:pPr>
            <w:r w:rsidRPr="00DE7741">
              <w:rPr>
                <w:rFonts w:cstheme="minorHAnsi"/>
                <w:color w:val="000000"/>
              </w:rPr>
              <w:t>Provide technical support to developing systems for SDG monitoring to strengthen national evidence base and facilitate SDG monitoring.</w:t>
            </w:r>
          </w:p>
          <w:p w14:paraId="700BA016" w14:textId="77777777" w:rsidR="00634788" w:rsidRPr="00DE7741" w:rsidRDefault="00634788" w:rsidP="00DE7741">
            <w:pPr>
              <w:pStyle w:val="ListParagraph"/>
              <w:numPr>
                <w:ilvl w:val="0"/>
                <w:numId w:val="17"/>
              </w:numPr>
              <w:rPr>
                <w:rFonts w:cstheme="minorHAnsi"/>
                <w:color w:val="000000"/>
              </w:rPr>
            </w:pPr>
            <w:r w:rsidRPr="00DE7741">
              <w:rPr>
                <w:rFonts w:cstheme="minorHAnsi"/>
                <w:color w:val="000000"/>
              </w:rPr>
              <w:t>Oversee support to the preparation of country level statistical and analytic reports on the status of children’s and women’s rights issues when opportunities emerge to influence developmental and social policies. This includes technical support to global reporting obligations including national reports on progress toward the SDGs, and toward CRC fulfilment.</w:t>
            </w:r>
          </w:p>
          <w:p w14:paraId="09095160" w14:textId="77777777" w:rsidR="00634788" w:rsidRPr="00634788" w:rsidRDefault="00634788" w:rsidP="00634788">
            <w:pPr>
              <w:rPr>
                <w:rFonts w:cstheme="minorHAnsi"/>
                <w:color w:val="000000"/>
              </w:rPr>
            </w:pPr>
          </w:p>
          <w:p w14:paraId="45837A36" w14:textId="77777777" w:rsidR="00634788" w:rsidRPr="00DE7741" w:rsidRDefault="00634788" w:rsidP="00634788">
            <w:pPr>
              <w:rPr>
                <w:rFonts w:cstheme="minorHAnsi"/>
                <w:b/>
                <w:bCs/>
                <w:color w:val="000000"/>
              </w:rPr>
            </w:pPr>
            <w:r w:rsidRPr="00DE7741">
              <w:rPr>
                <w:rFonts w:cstheme="minorHAnsi"/>
                <w:b/>
                <w:bCs/>
                <w:color w:val="000000"/>
              </w:rPr>
              <w:t>3. Evaluation.</w:t>
            </w:r>
          </w:p>
          <w:p w14:paraId="5FF43525" w14:textId="77777777" w:rsidR="00634788" w:rsidRPr="00DE7741" w:rsidRDefault="00634788" w:rsidP="00DE7741">
            <w:pPr>
              <w:pStyle w:val="ListParagraph"/>
              <w:numPr>
                <w:ilvl w:val="0"/>
                <w:numId w:val="18"/>
              </w:numPr>
              <w:rPr>
                <w:rFonts w:cstheme="minorHAnsi"/>
                <w:color w:val="000000"/>
              </w:rPr>
            </w:pPr>
            <w:r w:rsidRPr="00DE7741">
              <w:rPr>
                <w:rFonts w:cstheme="minorHAnsi"/>
                <w:color w:val="000000"/>
              </w:rPr>
              <w:t>Ensure that UNICEF-supported evaluations are designed and implemented according to established UN quality standards.</w:t>
            </w:r>
          </w:p>
          <w:p w14:paraId="36A7A9E1" w14:textId="77777777" w:rsidR="00634788" w:rsidRPr="00DE7741" w:rsidRDefault="00634788" w:rsidP="00DE7741">
            <w:pPr>
              <w:pStyle w:val="ListParagraph"/>
              <w:numPr>
                <w:ilvl w:val="0"/>
                <w:numId w:val="18"/>
              </w:numPr>
              <w:rPr>
                <w:rFonts w:cstheme="minorHAnsi"/>
                <w:color w:val="000000"/>
              </w:rPr>
            </w:pPr>
            <w:r w:rsidRPr="00DE7741">
              <w:rPr>
                <w:rFonts w:cstheme="minorHAnsi"/>
                <w:color w:val="000000"/>
              </w:rPr>
              <w:t xml:space="preserve">Technically support </w:t>
            </w:r>
            <w:proofErr w:type="spellStart"/>
            <w:r w:rsidRPr="00DE7741">
              <w:rPr>
                <w:rFonts w:cstheme="minorHAnsi"/>
                <w:color w:val="000000"/>
              </w:rPr>
              <w:t>programme</w:t>
            </w:r>
            <w:proofErr w:type="spellEnd"/>
            <w:r w:rsidRPr="00DE7741">
              <w:rPr>
                <w:rFonts w:cstheme="minorHAnsi"/>
                <w:color w:val="000000"/>
              </w:rPr>
              <w:t xml:space="preserve"> partners to formulate Terms of Reference and evaluation designs of high quality in compliance with the</w:t>
            </w:r>
          </w:p>
          <w:p w14:paraId="592CE39F" w14:textId="77777777" w:rsidR="00634788" w:rsidRPr="00DE7741" w:rsidRDefault="00634788" w:rsidP="00DE7741">
            <w:pPr>
              <w:pStyle w:val="ListParagraph"/>
              <w:numPr>
                <w:ilvl w:val="0"/>
                <w:numId w:val="18"/>
              </w:numPr>
              <w:rPr>
                <w:rFonts w:cstheme="minorHAnsi"/>
                <w:color w:val="000000"/>
              </w:rPr>
            </w:pPr>
            <w:r w:rsidRPr="00DE7741">
              <w:rPr>
                <w:rFonts w:cstheme="minorHAnsi"/>
                <w:color w:val="000000"/>
              </w:rPr>
              <w:t xml:space="preserve">organization’s </w:t>
            </w:r>
            <w:proofErr w:type="spellStart"/>
            <w:r w:rsidRPr="00DE7741">
              <w:rPr>
                <w:rFonts w:cstheme="minorHAnsi"/>
                <w:color w:val="000000"/>
              </w:rPr>
              <w:t>programme</w:t>
            </w:r>
            <w:proofErr w:type="spellEnd"/>
            <w:r w:rsidRPr="00DE7741">
              <w:rPr>
                <w:rFonts w:cstheme="minorHAnsi"/>
                <w:color w:val="000000"/>
              </w:rPr>
              <w:t xml:space="preserve"> evaluation policies and guidelines.</w:t>
            </w:r>
          </w:p>
          <w:p w14:paraId="2A251E29" w14:textId="77777777" w:rsidR="00634788" w:rsidRPr="00DE7741" w:rsidRDefault="00634788" w:rsidP="00DE7741">
            <w:pPr>
              <w:pStyle w:val="ListParagraph"/>
              <w:numPr>
                <w:ilvl w:val="0"/>
                <w:numId w:val="18"/>
              </w:numPr>
              <w:rPr>
                <w:rFonts w:cstheme="minorHAnsi"/>
                <w:color w:val="000000"/>
              </w:rPr>
            </w:pPr>
            <w:r w:rsidRPr="00DE7741">
              <w:rPr>
                <w:rFonts w:cstheme="minorHAnsi"/>
                <w:color w:val="000000"/>
              </w:rPr>
              <w:t>Oversee the quality of field work and data management during the implementation phase, and the quality of the analysis and ease of</w:t>
            </w:r>
          </w:p>
          <w:p w14:paraId="6D02C4BD" w14:textId="77777777" w:rsidR="00634788" w:rsidRPr="00DE7741" w:rsidRDefault="00634788" w:rsidP="00DE7741">
            <w:pPr>
              <w:pStyle w:val="ListParagraph"/>
              <w:numPr>
                <w:ilvl w:val="0"/>
                <w:numId w:val="18"/>
              </w:numPr>
              <w:rPr>
                <w:rFonts w:cstheme="minorHAnsi"/>
                <w:color w:val="000000"/>
              </w:rPr>
            </w:pPr>
            <w:r w:rsidRPr="00DE7741">
              <w:rPr>
                <w:rFonts w:cstheme="minorHAnsi"/>
                <w:color w:val="000000"/>
              </w:rPr>
              <w:t>understanding during the report writing phase.</w:t>
            </w:r>
          </w:p>
          <w:p w14:paraId="1E426931" w14:textId="77777777" w:rsidR="00634788" w:rsidRPr="00DE7741" w:rsidRDefault="00634788" w:rsidP="00DE7741">
            <w:pPr>
              <w:pStyle w:val="ListParagraph"/>
              <w:numPr>
                <w:ilvl w:val="0"/>
                <w:numId w:val="18"/>
              </w:numPr>
              <w:rPr>
                <w:rFonts w:cstheme="minorHAnsi"/>
                <w:color w:val="000000"/>
              </w:rPr>
            </w:pPr>
            <w:r w:rsidRPr="00DE7741">
              <w:rPr>
                <w:rFonts w:cstheme="minorHAnsi"/>
                <w:color w:val="000000"/>
              </w:rPr>
              <w:t>Monitor and ensure that a management response to the findings and recommendations of the evaluation is completed, recorded, and</w:t>
            </w:r>
          </w:p>
          <w:p w14:paraId="74CA513E" w14:textId="77777777" w:rsidR="00634788" w:rsidRPr="00DE7741" w:rsidRDefault="00634788" w:rsidP="00DE7741">
            <w:pPr>
              <w:pStyle w:val="ListParagraph"/>
              <w:numPr>
                <w:ilvl w:val="0"/>
                <w:numId w:val="18"/>
              </w:numPr>
              <w:rPr>
                <w:rFonts w:cstheme="minorHAnsi"/>
                <w:color w:val="000000"/>
              </w:rPr>
            </w:pPr>
            <w:r w:rsidRPr="00DE7741">
              <w:rPr>
                <w:rFonts w:cstheme="minorHAnsi"/>
                <w:color w:val="000000"/>
              </w:rPr>
              <w:t>followed up for implementation.</w:t>
            </w:r>
          </w:p>
          <w:p w14:paraId="109BAC91" w14:textId="77777777" w:rsidR="00634788" w:rsidRPr="00DE7741" w:rsidRDefault="00634788" w:rsidP="00DE7741">
            <w:pPr>
              <w:pStyle w:val="ListParagraph"/>
              <w:numPr>
                <w:ilvl w:val="0"/>
                <w:numId w:val="18"/>
              </w:numPr>
              <w:rPr>
                <w:rFonts w:cstheme="minorHAnsi"/>
                <w:color w:val="000000"/>
              </w:rPr>
            </w:pPr>
            <w:r w:rsidRPr="00DE7741">
              <w:rPr>
                <w:rFonts w:cstheme="minorHAnsi"/>
                <w:color w:val="000000"/>
              </w:rPr>
              <w:t>Ensure evaluations are uploaded in the Evaluation Data Base, with full accompanying documentation.</w:t>
            </w:r>
          </w:p>
          <w:p w14:paraId="3F37DFA9" w14:textId="77777777" w:rsidR="00634788" w:rsidRPr="00634788" w:rsidRDefault="00634788" w:rsidP="00634788">
            <w:pPr>
              <w:rPr>
                <w:rFonts w:cstheme="minorHAnsi"/>
                <w:color w:val="000000"/>
              </w:rPr>
            </w:pPr>
          </w:p>
          <w:p w14:paraId="5D8C3DF2" w14:textId="77777777" w:rsidR="00634788" w:rsidRPr="00DE7741" w:rsidRDefault="00634788" w:rsidP="00634788">
            <w:pPr>
              <w:rPr>
                <w:rFonts w:cstheme="minorHAnsi"/>
                <w:b/>
                <w:bCs/>
                <w:color w:val="000000"/>
              </w:rPr>
            </w:pPr>
            <w:r w:rsidRPr="00DE7741">
              <w:rPr>
                <w:rFonts w:cstheme="minorHAnsi"/>
                <w:b/>
                <w:bCs/>
                <w:color w:val="000000"/>
              </w:rPr>
              <w:t>4. RM&amp;E Capacity Building.</w:t>
            </w:r>
          </w:p>
          <w:p w14:paraId="683147CD" w14:textId="77777777" w:rsidR="00634788" w:rsidRPr="00DE7741" w:rsidRDefault="00634788" w:rsidP="00DE7741">
            <w:pPr>
              <w:pStyle w:val="ListParagraph"/>
              <w:numPr>
                <w:ilvl w:val="0"/>
                <w:numId w:val="19"/>
              </w:numPr>
              <w:rPr>
                <w:rFonts w:cstheme="minorHAnsi"/>
                <w:color w:val="000000"/>
              </w:rPr>
            </w:pPr>
            <w:r w:rsidRPr="00DE7741">
              <w:rPr>
                <w:rFonts w:cstheme="minorHAnsi"/>
                <w:color w:val="000000"/>
              </w:rPr>
              <w:t>RME capacity building and strengthening of M&amp;E frameworks for key national plans and policies to ensure robust monitoring of progress</w:t>
            </w:r>
          </w:p>
          <w:p w14:paraId="459C69F9" w14:textId="77777777" w:rsidR="00634788" w:rsidRPr="00DE7741" w:rsidRDefault="00634788" w:rsidP="00DE7741">
            <w:pPr>
              <w:pStyle w:val="ListParagraph"/>
              <w:numPr>
                <w:ilvl w:val="0"/>
                <w:numId w:val="19"/>
              </w:numPr>
              <w:rPr>
                <w:rFonts w:cstheme="minorHAnsi"/>
                <w:color w:val="000000"/>
              </w:rPr>
            </w:pPr>
            <w:r w:rsidRPr="00DE7741">
              <w:rPr>
                <w:rFonts w:cstheme="minorHAnsi"/>
                <w:color w:val="000000"/>
              </w:rPr>
              <w:t>against targets.</w:t>
            </w:r>
          </w:p>
          <w:p w14:paraId="753A940C" w14:textId="634E95A8" w:rsidR="00113AEE" w:rsidRDefault="00634788" w:rsidP="00DE7741">
            <w:pPr>
              <w:pStyle w:val="ListParagraph"/>
              <w:numPr>
                <w:ilvl w:val="0"/>
                <w:numId w:val="19"/>
              </w:numPr>
              <w:rPr>
                <w:rFonts w:cstheme="minorHAnsi"/>
                <w:color w:val="000000"/>
              </w:rPr>
            </w:pPr>
            <w:r w:rsidRPr="00DE7741">
              <w:rPr>
                <w:rFonts w:cstheme="minorHAnsi"/>
                <w:color w:val="000000"/>
              </w:rPr>
              <w:lastRenderedPageBreak/>
              <w:t>Technical support to M&amp;E frameworks for national plans and policy documents to ensure inclusion of indicators related to child rights, poverty reduction and social protection, to strengthen the quality of frameworks and capacity of government for tracking progress toward national targets</w:t>
            </w:r>
          </w:p>
          <w:p w14:paraId="1C9A61E1" w14:textId="7CA5870A" w:rsidR="00634788" w:rsidRPr="00DE7741" w:rsidRDefault="00634788" w:rsidP="00DE7741">
            <w:pPr>
              <w:pStyle w:val="ListParagraph"/>
              <w:numPr>
                <w:ilvl w:val="0"/>
                <w:numId w:val="19"/>
              </w:numPr>
              <w:rPr>
                <w:rFonts w:cstheme="minorHAnsi"/>
                <w:color w:val="000000"/>
              </w:rPr>
            </w:pPr>
            <w:r w:rsidRPr="00DE7741">
              <w:rPr>
                <w:rFonts w:cstheme="minorHAnsi"/>
                <w:color w:val="000000"/>
              </w:rPr>
              <w:t>Ensure that the research, situation monitoring and evaluation capacities of Country Office staff and national partners – government and civil society – are strengthened enabling them to increasingly engage in and lead research, monitoring and evaluation processes.</w:t>
            </w:r>
          </w:p>
          <w:p w14:paraId="69A9C835" w14:textId="77777777" w:rsidR="00634788" w:rsidRPr="00634788" w:rsidRDefault="00634788" w:rsidP="00634788">
            <w:pPr>
              <w:rPr>
                <w:rFonts w:cstheme="minorHAnsi"/>
                <w:color w:val="000000"/>
              </w:rPr>
            </w:pPr>
          </w:p>
          <w:p w14:paraId="3172806E" w14:textId="77777777" w:rsidR="00634788" w:rsidRPr="00DE7741" w:rsidRDefault="00634788" w:rsidP="00634788">
            <w:pPr>
              <w:rPr>
                <w:rFonts w:cstheme="minorHAnsi"/>
                <w:b/>
                <w:bCs/>
                <w:color w:val="000000"/>
              </w:rPr>
            </w:pPr>
            <w:r w:rsidRPr="00DE7741">
              <w:rPr>
                <w:rFonts w:cstheme="minorHAnsi"/>
                <w:b/>
                <w:bCs/>
                <w:color w:val="000000"/>
              </w:rPr>
              <w:t>5. Coordination and Networking.</w:t>
            </w:r>
          </w:p>
          <w:p w14:paraId="10B5DA60" w14:textId="77777777" w:rsidR="00634788" w:rsidRPr="00DE7741" w:rsidRDefault="00634788" w:rsidP="00DE7741">
            <w:pPr>
              <w:pStyle w:val="ListParagraph"/>
              <w:numPr>
                <w:ilvl w:val="0"/>
                <w:numId w:val="20"/>
              </w:numPr>
              <w:rPr>
                <w:rFonts w:cstheme="minorHAnsi"/>
                <w:color w:val="000000"/>
              </w:rPr>
            </w:pPr>
            <w:r w:rsidRPr="00DE7741">
              <w:rPr>
                <w:rFonts w:cstheme="minorHAnsi"/>
                <w:color w:val="000000"/>
              </w:rPr>
              <w:t>Ensure that the UNICEF office is effectively linked to wider UNICEF M&amp;E developments in a way that both contributes to and benefits from</w:t>
            </w:r>
          </w:p>
          <w:p w14:paraId="2B874342" w14:textId="77777777" w:rsidR="00634788" w:rsidRPr="00DE7741" w:rsidRDefault="00634788" w:rsidP="00DE7741">
            <w:pPr>
              <w:pStyle w:val="ListParagraph"/>
              <w:numPr>
                <w:ilvl w:val="0"/>
                <w:numId w:val="20"/>
              </w:numPr>
              <w:rPr>
                <w:rFonts w:cstheme="minorHAnsi"/>
                <w:color w:val="000000"/>
              </w:rPr>
            </w:pPr>
            <w:r w:rsidRPr="00DE7741">
              <w:rPr>
                <w:rFonts w:cstheme="minorHAnsi"/>
                <w:color w:val="000000"/>
              </w:rPr>
              <w:t>organizational learning on effective M&amp;E management.</w:t>
            </w:r>
          </w:p>
          <w:p w14:paraId="7F2BFF28" w14:textId="77777777" w:rsidR="00634788" w:rsidRPr="00DE7741" w:rsidRDefault="00634788" w:rsidP="00DE7741">
            <w:pPr>
              <w:pStyle w:val="ListParagraph"/>
              <w:numPr>
                <w:ilvl w:val="0"/>
                <w:numId w:val="20"/>
              </w:numPr>
              <w:rPr>
                <w:rFonts w:cstheme="minorHAnsi"/>
                <w:color w:val="000000"/>
              </w:rPr>
            </w:pPr>
            <w:r w:rsidRPr="00DE7741">
              <w:rPr>
                <w:rFonts w:cstheme="minorHAnsi"/>
                <w:color w:val="000000"/>
              </w:rPr>
              <w:t>Collaborate with Regional M&amp;E Advisers and HQ Evaluation Office for overall coordination of priority research, monitoring and evaluation</w:t>
            </w:r>
          </w:p>
          <w:p w14:paraId="55E8ACF9" w14:textId="77777777" w:rsidR="00634788" w:rsidRPr="00DE7741" w:rsidRDefault="00634788" w:rsidP="00DE7741">
            <w:pPr>
              <w:pStyle w:val="ListParagraph"/>
              <w:numPr>
                <w:ilvl w:val="0"/>
                <w:numId w:val="20"/>
              </w:numPr>
              <w:rPr>
                <w:rFonts w:cstheme="minorHAnsi"/>
                <w:color w:val="000000"/>
              </w:rPr>
            </w:pPr>
            <w:r w:rsidRPr="00DE7741">
              <w:rPr>
                <w:rFonts w:cstheme="minorHAnsi"/>
                <w:color w:val="000000"/>
              </w:rPr>
              <w:t>activities, especially those of regional scope requiring the coordinated effort of multiple countries.</w:t>
            </w:r>
          </w:p>
          <w:p w14:paraId="5A40A7A5" w14:textId="77777777" w:rsidR="00634788" w:rsidRPr="00DE7741" w:rsidRDefault="00634788" w:rsidP="00DE7741">
            <w:pPr>
              <w:pStyle w:val="ListParagraph"/>
              <w:numPr>
                <w:ilvl w:val="0"/>
                <w:numId w:val="20"/>
              </w:numPr>
              <w:rPr>
                <w:rFonts w:cstheme="minorHAnsi"/>
                <w:color w:val="000000"/>
              </w:rPr>
            </w:pPr>
            <w:r w:rsidRPr="00DE7741">
              <w:rPr>
                <w:rFonts w:cstheme="minorHAnsi"/>
                <w:color w:val="000000"/>
              </w:rPr>
              <w:t>Partner with the Regional Monitoring and Evaluation Adviser to ensure that current and accurate M&amp;E data and results are included in regional reports, multi-country studies, and knowledge sharing networks.</w:t>
            </w:r>
          </w:p>
          <w:p w14:paraId="7D6C40F3" w14:textId="77777777" w:rsidR="00634788" w:rsidRPr="00DE7741" w:rsidRDefault="00634788" w:rsidP="00DE7741">
            <w:pPr>
              <w:pStyle w:val="ListParagraph"/>
              <w:numPr>
                <w:ilvl w:val="0"/>
                <w:numId w:val="20"/>
              </w:numPr>
              <w:rPr>
                <w:rFonts w:cstheme="minorHAnsi"/>
                <w:color w:val="000000"/>
              </w:rPr>
            </w:pPr>
            <w:r w:rsidRPr="00DE7741">
              <w:rPr>
                <w:rFonts w:cstheme="minorHAnsi"/>
                <w:color w:val="000000"/>
              </w:rPr>
              <w:t>Undertake lessons-learned reviews on successful and unsuccessful M&amp;E practices and experience at the national level, and ensure they are</w:t>
            </w:r>
          </w:p>
          <w:p w14:paraId="3D04AC94" w14:textId="77777777" w:rsidR="00634788" w:rsidRPr="00DE7741" w:rsidRDefault="00634788" w:rsidP="00DE7741">
            <w:pPr>
              <w:pStyle w:val="ListParagraph"/>
              <w:numPr>
                <w:ilvl w:val="0"/>
                <w:numId w:val="20"/>
              </w:numPr>
              <w:rPr>
                <w:rFonts w:cstheme="minorHAnsi"/>
                <w:color w:val="000000"/>
              </w:rPr>
            </w:pPr>
            <w:r w:rsidRPr="00DE7741">
              <w:rPr>
                <w:rFonts w:cstheme="minorHAnsi"/>
                <w:color w:val="000000"/>
              </w:rPr>
              <w:t>shared as appropriate. Similarly, pay attention to M&amp;E knowledge networks to identify innovations and lessons learned that may be relevant</w:t>
            </w:r>
          </w:p>
          <w:p w14:paraId="775D7ECE" w14:textId="77777777" w:rsidR="00634788" w:rsidRPr="00DE7741" w:rsidRDefault="00634788" w:rsidP="00DE7741">
            <w:pPr>
              <w:pStyle w:val="ListParagraph"/>
              <w:numPr>
                <w:ilvl w:val="0"/>
                <w:numId w:val="20"/>
              </w:numPr>
              <w:rPr>
                <w:rFonts w:cstheme="minorHAnsi"/>
                <w:color w:val="000000"/>
              </w:rPr>
            </w:pPr>
            <w:r w:rsidRPr="00DE7741">
              <w:rPr>
                <w:rFonts w:cstheme="minorHAnsi"/>
                <w:color w:val="000000"/>
              </w:rPr>
              <w:t>for the CO and partners to improve their M&amp;E function.</w:t>
            </w:r>
          </w:p>
          <w:p w14:paraId="58D6AB42" w14:textId="77777777" w:rsidR="00634788" w:rsidRPr="00DE7741" w:rsidRDefault="00634788" w:rsidP="00DE7741">
            <w:pPr>
              <w:pStyle w:val="ListParagraph"/>
              <w:numPr>
                <w:ilvl w:val="0"/>
                <w:numId w:val="20"/>
              </w:numPr>
              <w:rPr>
                <w:rFonts w:cstheme="minorHAnsi"/>
                <w:color w:val="000000"/>
              </w:rPr>
            </w:pPr>
            <w:r w:rsidRPr="00DE7741">
              <w:rPr>
                <w:rFonts w:cstheme="minorHAnsi"/>
                <w:color w:val="000000"/>
              </w:rPr>
              <w:t>Impact of Results: The post leads and coordinates the data and evidence output of the social policy pillar. Through strategic child rights focused research and analysis, the office will have high quality evidence for use in policy advocacy and sector planning and budgeting, particularly in child poverty.</w:t>
            </w:r>
          </w:p>
          <w:p w14:paraId="2BA2B3A6" w14:textId="3E74D7B9" w:rsidR="00634788" w:rsidRPr="00DE7741" w:rsidRDefault="00634788" w:rsidP="00DE7741">
            <w:pPr>
              <w:pStyle w:val="ListParagraph"/>
              <w:numPr>
                <w:ilvl w:val="0"/>
                <w:numId w:val="20"/>
              </w:numPr>
              <w:rPr>
                <w:rFonts w:cstheme="minorHAnsi"/>
                <w:color w:val="000000"/>
              </w:rPr>
            </w:pPr>
            <w:r w:rsidRPr="00DE7741">
              <w:rPr>
                <w:rFonts w:cstheme="minorHAnsi"/>
                <w:color w:val="000000"/>
              </w:rPr>
              <w:t xml:space="preserve">Well-coordinated support to the national statistical system through capacity building and support to data collection exercises will strengthen quality and availability of data for </w:t>
            </w:r>
            <w:proofErr w:type="gramStart"/>
            <w:r w:rsidRPr="00DE7741">
              <w:rPr>
                <w:rFonts w:cstheme="minorHAnsi"/>
                <w:color w:val="000000"/>
              </w:rPr>
              <w:t>evidence based</w:t>
            </w:r>
            <w:proofErr w:type="gramEnd"/>
            <w:r w:rsidRPr="00DE7741">
              <w:rPr>
                <w:rFonts w:cstheme="minorHAnsi"/>
                <w:color w:val="000000"/>
              </w:rPr>
              <w:t xml:space="preserve"> programming and planning. The post incumbent coordinates quality assurance of CO research and evaluation, thereby ensuring that these are of high quality and comply with the organization’s policies and guidelines.</w:t>
            </w:r>
          </w:p>
          <w:p w14:paraId="2F5A83B5" w14:textId="564E7DDD" w:rsidR="00D435E8" w:rsidRPr="00634788" w:rsidRDefault="00D435E8" w:rsidP="00113AEE"/>
        </w:tc>
      </w:tr>
    </w:tbl>
    <w:p w14:paraId="21BAF32F"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58A0FB51" w14:textId="77777777">
        <w:tc>
          <w:tcPr>
            <w:tcW w:w="8856" w:type="dxa"/>
            <w:tcBorders>
              <w:bottom w:val="single" w:sz="4" w:space="0" w:color="auto"/>
            </w:tcBorders>
            <w:shd w:val="clear" w:color="auto" w:fill="E0E0E0"/>
          </w:tcPr>
          <w:p w14:paraId="1C1009F9" w14:textId="77777777" w:rsidR="00B466A4" w:rsidRDefault="00B466A4">
            <w:pPr>
              <w:pStyle w:val="Heading1"/>
            </w:pPr>
          </w:p>
          <w:p w14:paraId="01EF6922" w14:textId="440593F9" w:rsidR="00B466A4" w:rsidRDefault="00B466A4" w:rsidP="007902F0">
            <w:pPr>
              <w:pStyle w:val="Heading1"/>
              <w:rPr>
                <w:b w:val="0"/>
                <w:bCs w:val="0"/>
                <w:i/>
                <w:iCs/>
                <w:sz w:val="18"/>
              </w:rPr>
            </w:pPr>
            <w:r>
              <w:t xml:space="preserve">IV. Impact of Results </w:t>
            </w:r>
          </w:p>
        </w:tc>
      </w:tr>
      <w:tr w:rsidR="00B466A4" w14:paraId="7F84FBDE" w14:textId="77777777">
        <w:tc>
          <w:tcPr>
            <w:tcW w:w="8856" w:type="dxa"/>
          </w:tcPr>
          <w:p w14:paraId="0A7F91F0" w14:textId="4514ACAC" w:rsidR="003353D1" w:rsidRDefault="003353D1" w:rsidP="003353D1">
            <w:pPr>
              <w:jc w:val="both"/>
            </w:pPr>
            <w:r>
              <w:t xml:space="preserve">The post leads and coordinates the data and evidence output of the social policy pillar. Through strategic child </w:t>
            </w:r>
            <w:r w:rsidR="00AB3082">
              <w:t>rights-focused</w:t>
            </w:r>
            <w:r>
              <w:t xml:space="preserve"> research and</w:t>
            </w:r>
            <w:r>
              <w:t xml:space="preserve"> </w:t>
            </w:r>
            <w:r>
              <w:t xml:space="preserve">analysis, the office will have </w:t>
            </w:r>
            <w:r w:rsidR="00AB3082">
              <w:t>high-quality</w:t>
            </w:r>
            <w:r>
              <w:t xml:space="preserve"> evidence for use in policy advocacy and sector planning and budgeting, particularly in child poverty. Well-coordinated support to the national statistical system through capacity building and support to data collection exercises will strengthen </w:t>
            </w:r>
            <w:r w:rsidR="00AB3082">
              <w:t xml:space="preserve">the </w:t>
            </w:r>
            <w:r>
              <w:t xml:space="preserve">quality and availability of data for </w:t>
            </w:r>
            <w:r w:rsidR="00AB3082">
              <w:t>evidence-based</w:t>
            </w:r>
            <w:r>
              <w:t xml:space="preserve"> programming and planning. The post incumbent coordinates </w:t>
            </w:r>
            <w:r w:rsidR="00AB3082" w:rsidRPr="00AB3082">
              <w:t>CO research and evaluation quality assurance,</w:t>
            </w:r>
            <w:r>
              <w:t xml:space="preserve"> ensuring that these are of high quality and comply with the organization’s policies and guidelines.</w:t>
            </w:r>
          </w:p>
          <w:p w14:paraId="0D61E46E" w14:textId="55BCDB88" w:rsidR="00661408" w:rsidRPr="008116BB" w:rsidRDefault="00661408" w:rsidP="008116BB">
            <w:pPr>
              <w:jc w:val="both"/>
            </w:pPr>
          </w:p>
        </w:tc>
      </w:tr>
    </w:tbl>
    <w:p w14:paraId="2BBF5E6C" w14:textId="77777777" w:rsidR="00B466A4" w:rsidRDefault="00B466A4"/>
    <w:p w14:paraId="679628ED" w14:textId="77777777" w:rsidR="0009761E" w:rsidRDefault="0009761E"/>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4428"/>
        <w:gridCol w:w="4207"/>
      </w:tblGrid>
      <w:tr w:rsidR="007902F0" w:rsidRPr="007902F0" w14:paraId="6C187D8B" w14:textId="77777777" w:rsidTr="00CC4F16">
        <w:tc>
          <w:tcPr>
            <w:tcW w:w="8635" w:type="dxa"/>
            <w:gridSpan w:val="2"/>
            <w:shd w:val="clear" w:color="auto" w:fill="E0E0E0"/>
          </w:tcPr>
          <w:p w14:paraId="429EF1B7" w14:textId="77777777" w:rsidR="007902F0" w:rsidRPr="007902F0" w:rsidRDefault="007902F0" w:rsidP="007902F0"/>
          <w:p w14:paraId="0F804984" w14:textId="77777777" w:rsidR="00CC4F16" w:rsidRDefault="007902F0" w:rsidP="007902F0">
            <w:pPr>
              <w:rPr>
                <w:b/>
                <w:bCs/>
                <w:sz w:val="24"/>
              </w:rPr>
            </w:pPr>
            <w:r w:rsidRPr="00CC4F16">
              <w:rPr>
                <w:b/>
                <w:bCs/>
                <w:sz w:val="24"/>
              </w:rPr>
              <w:t>V. Competencies and level of proficiency required</w:t>
            </w:r>
          </w:p>
          <w:p w14:paraId="1FFB56F2" w14:textId="77777777" w:rsidR="00CC4F16" w:rsidRPr="004E20AC" w:rsidRDefault="00CC4F16" w:rsidP="007902F0">
            <w:pPr>
              <w:rPr>
                <w:b/>
                <w:bCs/>
                <w:szCs w:val="20"/>
              </w:rPr>
            </w:pPr>
          </w:p>
          <w:p w14:paraId="66ABE440" w14:textId="0BB6BC8F" w:rsidR="007902F0" w:rsidRPr="004E20AC" w:rsidRDefault="00CC4F16" w:rsidP="007902F0">
            <w:pPr>
              <w:rPr>
                <w:bCs/>
                <w:color w:val="FF0000"/>
                <w:szCs w:val="20"/>
              </w:rPr>
            </w:pPr>
            <w:r w:rsidRPr="004E20AC">
              <w:rPr>
                <w:bCs/>
                <w:color w:val="FF0000"/>
                <w:szCs w:val="20"/>
              </w:rPr>
              <w:t>(Please base on UNICEF Competency Framework)</w:t>
            </w:r>
          </w:p>
          <w:p w14:paraId="6B60653B" w14:textId="77777777" w:rsidR="007902F0" w:rsidRPr="007902F0" w:rsidRDefault="007902F0" w:rsidP="007902F0"/>
        </w:tc>
      </w:tr>
      <w:tr w:rsidR="007902F0" w:rsidRPr="007902F0" w14:paraId="785FDDAD" w14:textId="77777777" w:rsidTr="00CC4F16">
        <w:trPr>
          <w:cantSplit/>
          <w:trHeight w:val="353"/>
        </w:trPr>
        <w:tc>
          <w:tcPr>
            <w:tcW w:w="4428" w:type="dxa"/>
          </w:tcPr>
          <w:p w14:paraId="02953A1B" w14:textId="77777777" w:rsidR="007902F0" w:rsidRPr="007902F0" w:rsidRDefault="007902F0" w:rsidP="007902F0">
            <w:pPr>
              <w:rPr>
                <w:b/>
                <w:bCs/>
              </w:rPr>
            </w:pPr>
          </w:p>
          <w:p w14:paraId="31E2D3FC" w14:textId="33F1F74B" w:rsidR="007902F0" w:rsidRPr="007902F0" w:rsidRDefault="007902F0" w:rsidP="007902F0">
            <w:pPr>
              <w:rPr>
                <w:b/>
                <w:bCs/>
                <w:u w:val="single"/>
              </w:rPr>
            </w:pPr>
            <w:r w:rsidRPr="007902F0">
              <w:rPr>
                <w:b/>
                <w:bCs/>
                <w:u w:val="single"/>
              </w:rPr>
              <w:t xml:space="preserve">Core Values </w:t>
            </w:r>
            <w:r w:rsidR="00CC5AD3">
              <w:rPr>
                <w:b/>
                <w:bCs/>
                <w:u w:val="single"/>
              </w:rPr>
              <w:t>attributes</w:t>
            </w:r>
          </w:p>
          <w:p w14:paraId="4E30DCB7" w14:textId="77777777" w:rsidR="00032906" w:rsidRDefault="00032906" w:rsidP="00032906">
            <w:pPr>
              <w:pStyle w:val="Default"/>
              <w:rPr>
                <w:rFonts w:cs="Times New Roman"/>
                <w:color w:val="auto"/>
              </w:rPr>
            </w:pPr>
          </w:p>
          <w:p w14:paraId="688D0577" w14:textId="77777777" w:rsidR="005A23E0" w:rsidRPr="005A23E0" w:rsidRDefault="005A23E0" w:rsidP="0031407B">
            <w:pPr>
              <w:pStyle w:val="Default"/>
              <w:numPr>
                <w:ilvl w:val="0"/>
                <w:numId w:val="4"/>
              </w:numPr>
              <w:rPr>
                <w:sz w:val="20"/>
                <w:szCs w:val="20"/>
              </w:rPr>
            </w:pPr>
            <w:r w:rsidRPr="005A23E0">
              <w:rPr>
                <w:sz w:val="20"/>
                <w:szCs w:val="20"/>
              </w:rPr>
              <w:t>Care</w:t>
            </w:r>
          </w:p>
          <w:p w14:paraId="0517A131" w14:textId="77777777" w:rsidR="005A23E0" w:rsidRPr="005A23E0" w:rsidRDefault="005A23E0" w:rsidP="0031407B">
            <w:pPr>
              <w:pStyle w:val="Default"/>
              <w:numPr>
                <w:ilvl w:val="0"/>
                <w:numId w:val="4"/>
              </w:numPr>
              <w:rPr>
                <w:sz w:val="20"/>
                <w:szCs w:val="20"/>
              </w:rPr>
            </w:pPr>
            <w:r w:rsidRPr="005A23E0">
              <w:rPr>
                <w:sz w:val="20"/>
                <w:szCs w:val="20"/>
              </w:rPr>
              <w:t>Respect</w:t>
            </w:r>
          </w:p>
          <w:p w14:paraId="768F8B0C" w14:textId="77777777" w:rsidR="005A23E0" w:rsidRPr="005A23E0" w:rsidRDefault="005A23E0" w:rsidP="0031407B">
            <w:pPr>
              <w:pStyle w:val="Default"/>
              <w:numPr>
                <w:ilvl w:val="0"/>
                <w:numId w:val="4"/>
              </w:numPr>
              <w:rPr>
                <w:sz w:val="20"/>
                <w:szCs w:val="20"/>
              </w:rPr>
            </w:pPr>
            <w:r w:rsidRPr="005A23E0">
              <w:rPr>
                <w:sz w:val="20"/>
                <w:szCs w:val="20"/>
              </w:rPr>
              <w:t>Integrity</w:t>
            </w:r>
          </w:p>
          <w:p w14:paraId="7BD638AD" w14:textId="77777777" w:rsidR="005A23E0" w:rsidRPr="005A23E0" w:rsidRDefault="005A23E0" w:rsidP="0031407B">
            <w:pPr>
              <w:pStyle w:val="Default"/>
              <w:numPr>
                <w:ilvl w:val="0"/>
                <w:numId w:val="4"/>
              </w:numPr>
              <w:rPr>
                <w:sz w:val="20"/>
                <w:szCs w:val="20"/>
              </w:rPr>
            </w:pPr>
            <w:r w:rsidRPr="005A23E0">
              <w:rPr>
                <w:sz w:val="20"/>
                <w:szCs w:val="20"/>
              </w:rPr>
              <w:t>Trust</w:t>
            </w:r>
          </w:p>
          <w:p w14:paraId="644945A6" w14:textId="77777777" w:rsidR="005A23E0" w:rsidRPr="005A23E0" w:rsidRDefault="005A23E0" w:rsidP="0031407B">
            <w:pPr>
              <w:pStyle w:val="Default"/>
              <w:numPr>
                <w:ilvl w:val="0"/>
                <w:numId w:val="4"/>
              </w:numPr>
              <w:rPr>
                <w:sz w:val="20"/>
                <w:szCs w:val="20"/>
              </w:rPr>
            </w:pPr>
            <w:r w:rsidRPr="005A23E0">
              <w:rPr>
                <w:sz w:val="20"/>
                <w:szCs w:val="20"/>
              </w:rPr>
              <w:t>Accountability</w:t>
            </w:r>
          </w:p>
          <w:p w14:paraId="267A4CC7" w14:textId="344ACB06" w:rsidR="007902F0" w:rsidRPr="005A23E0" w:rsidRDefault="005A23E0" w:rsidP="0031407B">
            <w:pPr>
              <w:pStyle w:val="Default"/>
              <w:numPr>
                <w:ilvl w:val="0"/>
                <w:numId w:val="4"/>
              </w:numPr>
              <w:rPr>
                <w:sz w:val="20"/>
                <w:szCs w:val="20"/>
              </w:rPr>
            </w:pPr>
            <w:r w:rsidRPr="005A23E0">
              <w:rPr>
                <w:sz w:val="20"/>
                <w:szCs w:val="20"/>
              </w:rPr>
              <w:t>Sustainability</w:t>
            </w:r>
          </w:p>
          <w:p w14:paraId="52EC5C4D" w14:textId="2A5B450A" w:rsidR="007902F0" w:rsidRPr="007902F0" w:rsidRDefault="007902F0" w:rsidP="008E20E6">
            <w:pPr>
              <w:pStyle w:val="ListParagraph"/>
              <w:ind w:left="360"/>
              <w:rPr>
                <w:bCs/>
              </w:rPr>
            </w:pPr>
          </w:p>
        </w:tc>
        <w:tc>
          <w:tcPr>
            <w:tcW w:w="4207" w:type="dxa"/>
          </w:tcPr>
          <w:p w14:paraId="509DD641" w14:textId="77777777" w:rsidR="007902F0" w:rsidRPr="007902F0" w:rsidRDefault="007902F0" w:rsidP="007902F0"/>
          <w:p w14:paraId="215110E7" w14:textId="48AEB796" w:rsidR="0007252B" w:rsidRPr="0007252B" w:rsidRDefault="00293369" w:rsidP="0007252B">
            <w:pPr>
              <w:rPr>
                <w:b/>
                <w:bCs/>
                <w:u w:val="single"/>
              </w:rPr>
            </w:pPr>
            <w:r w:rsidRPr="007902F0">
              <w:rPr>
                <w:b/>
                <w:bCs/>
                <w:u w:val="single"/>
              </w:rPr>
              <w:t>Core competencies</w:t>
            </w:r>
            <w:r>
              <w:rPr>
                <w:b/>
                <w:bCs/>
                <w:u w:val="single"/>
              </w:rPr>
              <w:t xml:space="preserve"> skills</w:t>
            </w:r>
          </w:p>
          <w:p w14:paraId="0D013736" w14:textId="63A410A4" w:rsidR="00870511" w:rsidRDefault="00870511" w:rsidP="0031407B">
            <w:pPr>
              <w:pStyle w:val="Default"/>
              <w:numPr>
                <w:ilvl w:val="0"/>
                <w:numId w:val="2"/>
              </w:numPr>
              <w:rPr>
                <w:sz w:val="20"/>
                <w:szCs w:val="20"/>
              </w:rPr>
            </w:pPr>
            <w:r>
              <w:rPr>
                <w:sz w:val="20"/>
                <w:szCs w:val="20"/>
              </w:rPr>
              <w:t>Nurtures, Leads and Manages People (2)</w:t>
            </w:r>
          </w:p>
          <w:p w14:paraId="73324C93" w14:textId="0B5D1527" w:rsidR="0007252B" w:rsidRPr="0007252B" w:rsidRDefault="0007252B" w:rsidP="0031407B">
            <w:pPr>
              <w:pStyle w:val="Default"/>
              <w:numPr>
                <w:ilvl w:val="0"/>
                <w:numId w:val="2"/>
              </w:numPr>
              <w:rPr>
                <w:sz w:val="20"/>
                <w:szCs w:val="20"/>
              </w:rPr>
            </w:pPr>
            <w:r w:rsidRPr="0007252B">
              <w:rPr>
                <w:sz w:val="20"/>
                <w:szCs w:val="20"/>
              </w:rPr>
              <w:t>Demonstrates Self Awareness and Ethical Awareness (2)</w:t>
            </w:r>
          </w:p>
          <w:p w14:paraId="6BB0A420" w14:textId="77777777" w:rsidR="0007252B" w:rsidRPr="0007252B" w:rsidRDefault="0007252B" w:rsidP="0031407B">
            <w:pPr>
              <w:pStyle w:val="Default"/>
              <w:numPr>
                <w:ilvl w:val="0"/>
                <w:numId w:val="2"/>
              </w:numPr>
              <w:rPr>
                <w:sz w:val="20"/>
                <w:szCs w:val="20"/>
              </w:rPr>
            </w:pPr>
            <w:r w:rsidRPr="0007252B">
              <w:rPr>
                <w:sz w:val="20"/>
                <w:szCs w:val="20"/>
              </w:rPr>
              <w:t>Works Collaboratively with others (2)</w:t>
            </w:r>
          </w:p>
          <w:p w14:paraId="72956239" w14:textId="77777777" w:rsidR="0007252B" w:rsidRPr="0007252B" w:rsidRDefault="0007252B" w:rsidP="0031407B">
            <w:pPr>
              <w:pStyle w:val="Default"/>
              <w:numPr>
                <w:ilvl w:val="0"/>
                <w:numId w:val="2"/>
              </w:numPr>
              <w:rPr>
                <w:sz w:val="20"/>
                <w:szCs w:val="20"/>
              </w:rPr>
            </w:pPr>
            <w:r w:rsidRPr="0007252B">
              <w:rPr>
                <w:sz w:val="20"/>
                <w:szCs w:val="20"/>
              </w:rPr>
              <w:t>Builds and Maintains Partnerships (2)</w:t>
            </w:r>
          </w:p>
          <w:p w14:paraId="67E6159F" w14:textId="77777777" w:rsidR="0007252B" w:rsidRPr="0007252B" w:rsidRDefault="0007252B" w:rsidP="0031407B">
            <w:pPr>
              <w:pStyle w:val="Default"/>
              <w:numPr>
                <w:ilvl w:val="0"/>
                <w:numId w:val="2"/>
              </w:numPr>
              <w:rPr>
                <w:sz w:val="20"/>
                <w:szCs w:val="20"/>
              </w:rPr>
            </w:pPr>
            <w:r w:rsidRPr="0007252B">
              <w:rPr>
                <w:sz w:val="20"/>
                <w:szCs w:val="20"/>
              </w:rPr>
              <w:t>Innovates and Embraces Change (2)</w:t>
            </w:r>
          </w:p>
          <w:p w14:paraId="00D86AC7" w14:textId="77777777" w:rsidR="0007252B" w:rsidRPr="0007252B" w:rsidRDefault="0007252B" w:rsidP="0031407B">
            <w:pPr>
              <w:pStyle w:val="Default"/>
              <w:numPr>
                <w:ilvl w:val="0"/>
                <w:numId w:val="2"/>
              </w:numPr>
              <w:rPr>
                <w:sz w:val="20"/>
                <w:szCs w:val="20"/>
              </w:rPr>
            </w:pPr>
            <w:r w:rsidRPr="0007252B">
              <w:rPr>
                <w:sz w:val="20"/>
                <w:szCs w:val="20"/>
              </w:rPr>
              <w:t>Thinks and Acts Strategically (2)</w:t>
            </w:r>
          </w:p>
          <w:p w14:paraId="09850AFF" w14:textId="77777777" w:rsidR="0007252B" w:rsidRPr="0007252B" w:rsidRDefault="0007252B" w:rsidP="0031407B">
            <w:pPr>
              <w:pStyle w:val="Default"/>
              <w:numPr>
                <w:ilvl w:val="0"/>
                <w:numId w:val="2"/>
              </w:numPr>
              <w:rPr>
                <w:sz w:val="20"/>
                <w:szCs w:val="20"/>
              </w:rPr>
            </w:pPr>
            <w:r w:rsidRPr="0007252B">
              <w:rPr>
                <w:sz w:val="20"/>
                <w:szCs w:val="20"/>
              </w:rPr>
              <w:t>Drives to achieve impactful results (2)</w:t>
            </w:r>
          </w:p>
          <w:p w14:paraId="50037CAE" w14:textId="77777777" w:rsidR="0007252B" w:rsidRPr="0007252B" w:rsidRDefault="0007252B" w:rsidP="0031407B">
            <w:pPr>
              <w:pStyle w:val="Default"/>
              <w:numPr>
                <w:ilvl w:val="0"/>
                <w:numId w:val="2"/>
              </w:numPr>
              <w:rPr>
                <w:sz w:val="20"/>
                <w:szCs w:val="20"/>
              </w:rPr>
            </w:pPr>
            <w:r w:rsidRPr="0007252B">
              <w:rPr>
                <w:sz w:val="20"/>
                <w:szCs w:val="20"/>
              </w:rPr>
              <w:t>Manages ambiguity and complexity (2)</w:t>
            </w:r>
          </w:p>
          <w:p w14:paraId="30D2EC5A" w14:textId="77777777" w:rsidR="0007252B" w:rsidRPr="0007252B" w:rsidRDefault="0007252B" w:rsidP="0007252B">
            <w:pPr>
              <w:pStyle w:val="Default"/>
              <w:rPr>
                <w:sz w:val="20"/>
                <w:szCs w:val="20"/>
              </w:rPr>
            </w:pPr>
          </w:p>
          <w:p w14:paraId="7B6B24AD" w14:textId="3767B815" w:rsidR="0007252B" w:rsidRPr="0007252B" w:rsidRDefault="0007252B" w:rsidP="0007252B">
            <w:pPr>
              <w:pStyle w:val="Default"/>
              <w:rPr>
                <w:sz w:val="20"/>
                <w:szCs w:val="20"/>
                <w:u w:val="single"/>
              </w:rPr>
            </w:pPr>
            <w:r w:rsidRPr="0007252B">
              <w:rPr>
                <w:sz w:val="20"/>
                <w:szCs w:val="20"/>
                <w:u w:val="single"/>
              </w:rPr>
              <w:t>Functional Competencies</w:t>
            </w:r>
          </w:p>
          <w:p w14:paraId="571243B4" w14:textId="1F193C68" w:rsidR="002C0AAD" w:rsidRDefault="002C0AAD" w:rsidP="0031407B">
            <w:pPr>
              <w:pStyle w:val="Default"/>
              <w:numPr>
                <w:ilvl w:val="0"/>
                <w:numId w:val="13"/>
              </w:numPr>
              <w:rPr>
                <w:sz w:val="20"/>
                <w:szCs w:val="20"/>
              </w:rPr>
            </w:pPr>
            <w:r w:rsidRPr="002C0AAD">
              <w:rPr>
                <w:sz w:val="20"/>
                <w:szCs w:val="20"/>
              </w:rPr>
              <w:t>Leading and supervising (</w:t>
            </w:r>
            <w:r>
              <w:rPr>
                <w:sz w:val="20"/>
                <w:szCs w:val="20"/>
              </w:rPr>
              <w:t>2</w:t>
            </w:r>
            <w:r w:rsidRPr="002C0AAD">
              <w:rPr>
                <w:sz w:val="20"/>
                <w:szCs w:val="20"/>
              </w:rPr>
              <w:t>)</w:t>
            </w:r>
          </w:p>
          <w:p w14:paraId="586AA076" w14:textId="7574A962" w:rsidR="00674AF5" w:rsidRDefault="00674AF5" w:rsidP="0031407B">
            <w:pPr>
              <w:pStyle w:val="Default"/>
              <w:numPr>
                <w:ilvl w:val="0"/>
                <w:numId w:val="13"/>
              </w:numPr>
              <w:rPr>
                <w:sz w:val="20"/>
                <w:szCs w:val="20"/>
              </w:rPr>
            </w:pPr>
            <w:r>
              <w:rPr>
                <w:sz w:val="20"/>
                <w:szCs w:val="20"/>
              </w:rPr>
              <w:t>Formulating Strategies &amp; Concepts (2)</w:t>
            </w:r>
          </w:p>
          <w:p w14:paraId="6383B589" w14:textId="2EEB1B5B" w:rsidR="002E5552" w:rsidRDefault="002E5552" w:rsidP="0031407B">
            <w:pPr>
              <w:pStyle w:val="Default"/>
              <w:numPr>
                <w:ilvl w:val="0"/>
                <w:numId w:val="13"/>
              </w:numPr>
              <w:rPr>
                <w:sz w:val="20"/>
                <w:szCs w:val="20"/>
              </w:rPr>
            </w:pPr>
            <w:proofErr w:type="spellStart"/>
            <w:r>
              <w:rPr>
                <w:sz w:val="20"/>
                <w:szCs w:val="20"/>
              </w:rPr>
              <w:t>Analysing</w:t>
            </w:r>
            <w:proofErr w:type="spellEnd"/>
            <w:r>
              <w:rPr>
                <w:sz w:val="20"/>
                <w:szCs w:val="20"/>
              </w:rPr>
              <w:t xml:space="preserve"> (2)</w:t>
            </w:r>
          </w:p>
          <w:p w14:paraId="6FDD5250" w14:textId="096C6D79" w:rsidR="002E5552" w:rsidRDefault="002E5552" w:rsidP="0031407B">
            <w:pPr>
              <w:pStyle w:val="Default"/>
              <w:numPr>
                <w:ilvl w:val="0"/>
                <w:numId w:val="13"/>
              </w:numPr>
              <w:rPr>
                <w:sz w:val="20"/>
                <w:szCs w:val="20"/>
              </w:rPr>
            </w:pPr>
            <w:r>
              <w:rPr>
                <w:sz w:val="20"/>
                <w:szCs w:val="20"/>
              </w:rPr>
              <w:t>Applying Technical Expertise (2)</w:t>
            </w:r>
          </w:p>
          <w:p w14:paraId="6456FE1F" w14:textId="4B5D7B69" w:rsidR="007902F0" w:rsidRPr="007902F0" w:rsidRDefault="002E5552" w:rsidP="002E5552">
            <w:pPr>
              <w:pStyle w:val="Default"/>
              <w:numPr>
                <w:ilvl w:val="0"/>
                <w:numId w:val="13"/>
              </w:numPr>
            </w:pPr>
            <w:r w:rsidRPr="002E5552">
              <w:rPr>
                <w:sz w:val="20"/>
                <w:szCs w:val="20"/>
              </w:rPr>
              <w:t>Planning and Organizing (3)</w:t>
            </w:r>
            <w:r w:rsidR="007902F0" w:rsidRPr="007902F0">
              <w:t xml:space="preserve"> </w:t>
            </w:r>
          </w:p>
        </w:tc>
      </w:tr>
    </w:tbl>
    <w:p w14:paraId="06AD082F" w14:textId="77777777" w:rsidR="00B466A4" w:rsidRDefault="00B466A4"/>
    <w:p w14:paraId="12A7FB27" w14:textId="77777777" w:rsidR="007B5C29" w:rsidRDefault="007B5C29"/>
    <w:p w14:paraId="1FE826ED" w14:textId="77777777" w:rsidR="007B5C29" w:rsidRDefault="007B5C29"/>
    <w:p w14:paraId="7221CD36"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09"/>
        <w:gridCol w:w="5721"/>
      </w:tblGrid>
      <w:tr w:rsidR="00B466A4" w14:paraId="4F912812" w14:textId="77777777">
        <w:tc>
          <w:tcPr>
            <w:tcW w:w="8856" w:type="dxa"/>
            <w:gridSpan w:val="2"/>
            <w:shd w:val="clear" w:color="auto" w:fill="E0E0E0"/>
          </w:tcPr>
          <w:p w14:paraId="15CA7ADE" w14:textId="77777777" w:rsidR="00B466A4" w:rsidRDefault="00B466A4">
            <w:pPr>
              <w:rPr>
                <w:b/>
                <w:bCs/>
                <w:sz w:val="24"/>
              </w:rPr>
            </w:pPr>
          </w:p>
          <w:p w14:paraId="13D86002" w14:textId="77777777" w:rsidR="00B466A4" w:rsidRDefault="00B466A4">
            <w:pPr>
              <w:rPr>
                <w:b/>
                <w:bCs/>
                <w:sz w:val="24"/>
              </w:rPr>
            </w:pPr>
            <w:r>
              <w:rPr>
                <w:b/>
                <w:bCs/>
                <w:sz w:val="24"/>
              </w:rPr>
              <w:t>VI. Recruitment Qualifications</w:t>
            </w:r>
          </w:p>
          <w:p w14:paraId="6EE7D988" w14:textId="77777777" w:rsidR="00B466A4" w:rsidRDefault="00B466A4">
            <w:pPr>
              <w:rPr>
                <w:b/>
                <w:bCs/>
                <w:sz w:val="24"/>
              </w:rPr>
            </w:pPr>
          </w:p>
        </w:tc>
      </w:tr>
      <w:tr w:rsidR="00B466A4" w14:paraId="0E1036F3" w14:textId="77777777">
        <w:trPr>
          <w:trHeight w:val="230"/>
        </w:trPr>
        <w:tc>
          <w:tcPr>
            <w:tcW w:w="2988" w:type="dxa"/>
            <w:tcBorders>
              <w:bottom w:val="single" w:sz="4" w:space="0" w:color="auto"/>
            </w:tcBorders>
          </w:tcPr>
          <w:p w14:paraId="0EBB2983" w14:textId="77777777" w:rsidR="00B466A4" w:rsidRDefault="00B466A4"/>
          <w:p w14:paraId="3D343A71" w14:textId="77777777" w:rsidR="00B466A4" w:rsidRDefault="00B466A4">
            <w:r>
              <w:t>Education:</w:t>
            </w:r>
          </w:p>
        </w:tc>
        <w:tc>
          <w:tcPr>
            <w:tcW w:w="5868" w:type="dxa"/>
            <w:tcBorders>
              <w:bottom w:val="single" w:sz="4" w:space="0" w:color="auto"/>
            </w:tcBorders>
          </w:tcPr>
          <w:p w14:paraId="4CF81100" w14:textId="139DC276" w:rsidR="00F21EF7" w:rsidRPr="00F21EF7" w:rsidRDefault="00D23860" w:rsidP="0031407B">
            <w:pPr>
              <w:pStyle w:val="ListParagraph"/>
              <w:numPr>
                <w:ilvl w:val="0"/>
                <w:numId w:val="14"/>
              </w:numPr>
              <w:rPr>
                <w:color w:val="000000" w:themeColor="text1"/>
              </w:rPr>
            </w:pPr>
            <w:r w:rsidRPr="00D23860">
              <w:rPr>
                <w:color w:val="000000" w:themeColor="text1"/>
              </w:rPr>
              <w:t>An advanced university degree in Demography, Statistics, or another social sciences field is required.</w:t>
            </w:r>
          </w:p>
          <w:p w14:paraId="41C3C2AD" w14:textId="41A03988" w:rsidR="005475AF" w:rsidRPr="00F21EF7" w:rsidRDefault="00F21EF7" w:rsidP="0031407B">
            <w:pPr>
              <w:pStyle w:val="ListParagraph"/>
              <w:numPr>
                <w:ilvl w:val="0"/>
                <w:numId w:val="14"/>
              </w:numPr>
              <w:rPr>
                <w:color w:val="000000" w:themeColor="text1"/>
              </w:rPr>
            </w:pPr>
            <w:r w:rsidRPr="00F21EF7">
              <w:rPr>
                <w:color w:val="000000" w:themeColor="text1"/>
              </w:rPr>
              <w:t>Additional relevant post-graduate courses that complement/supplement the main degree are required.</w:t>
            </w:r>
          </w:p>
        </w:tc>
      </w:tr>
      <w:tr w:rsidR="00B466A4" w14:paraId="359B1E1B" w14:textId="77777777">
        <w:trPr>
          <w:trHeight w:val="230"/>
        </w:trPr>
        <w:tc>
          <w:tcPr>
            <w:tcW w:w="2988" w:type="dxa"/>
            <w:tcBorders>
              <w:bottom w:val="single" w:sz="4" w:space="0" w:color="auto"/>
            </w:tcBorders>
          </w:tcPr>
          <w:p w14:paraId="1F18C26D" w14:textId="77777777" w:rsidR="00B466A4" w:rsidRDefault="00B466A4"/>
          <w:p w14:paraId="13E78147" w14:textId="77777777" w:rsidR="00B466A4" w:rsidRDefault="00B466A4">
            <w:r>
              <w:t>Experience:</w:t>
            </w:r>
          </w:p>
        </w:tc>
        <w:tc>
          <w:tcPr>
            <w:tcW w:w="5868" w:type="dxa"/>
            <w:tcBorders>
              <w:bottom w:val="single" w:sz="4" w:space="0" w:color="auto"/>
            </w:tcBorders>
          </w:tcPr>
          <w:p w14:paraId="35F2906B" w14:textId="606A4CCA" w:rsidR="00661408" w:rsidRPr="00730462" w:rsidRDefault="00FD1D2C" w:rsidP="0031407B">
            <w:pPr>
              <w:numPr>
                <w:ilvl w:val="0"/>
                <w:numId w:val="3"/>
              </w:numPr>
              <w:rPr>
                <w:color w:val="000000" w:themeColor="text1"/>
              </w:rPr>
            </w:pPr>
            <w:r w:rsidRPr="00FD1D2C">
              <w:rPr>
                <w:color w:val="000000" w:themeColor="text1"/>
              </w:rPr>
              <w:t xml:space="preserve">A minimum of five years of progressively responsible professional work experience is required in statistics, </w:t>
            </w:r>
            <w:proofErr w:type="gramStart"/>
            <w:r w:rsidRPr="00FD1D2C">
              <w:rPr>
                <w:color w:val="000000" w:themeColor="text1"/>
              </w:rPr>
              <w:t>research</w:t>
            </w:r>
            <w:proofErr w:type="gramEnd"/>
            <w:r w:rsidRPr="00FD1D2C">
              <w:rPr>
                <w:color w:val="000000" w:themeColor="text1"/>
              </w:rPr>
              <w:t xml:space="preserve"> and evaluation, including experience with national household surveys and capacity building</w:t>
            </w:r>
            <w:r>
              <w:rPr>
                <w:color w:val="000000" w:themeColor="text1"/>
              </w:rPr>
              <w:t>.</w:t>
            </w:r>
          </w:p>
        </w:tc>
      </w:tr>
      <w:tr w:rsidR="00B466A4" w:rsidRPr="00482327" w14:paraId="5F24902B" w14:textId="77777777" w:rsidTr="00067167">
        <w:trPr>
          <w:trHeight w:val="557"/>
        </w:trPr>
        <w:tc>
          <w:tcPr>
            <w:tcW w:w="2988" w:type="dxa"/>
            <w:tcBorders>
              <w:bottom w:val="single" w:sz="4" w:space="0" w:color="auto"/>
            </w:tcBorders>
          </w:tcPr>
          <w:p w14:paraId="1ADEC55B" w14:textId="77777777" w:rsidR="00B466A4" w:rsidRDefault="00B466A4"/>
          <w:p w14:paraId="6F45FBD6" w14:textId="77777777" w:rsidR="00B466A4" w:rsidRDefault="00B466A4">
            <w:r>
              <w:t>Language Requirements:</w:t>
            </w:r>
          </w:p>
        </w:tc>
        <w:tc>
          <w:tcPr>
            <w:tcW w:w="5868" w:type="dxa"/>
            <w:tcBorders>
              <w:bottom w:val="single" w:sz="4" w:space="0" w:color="auto"/>
            </w:tcBorders>
          </w:tcPr>
          <w:p w14:paraId="786894E2" w14:textId="4CA02A6B" w:rsidR="00B466A4" w:rsidRPr="005D1B00" w:rsidRDefault="005D1B00" w:rsidP="00730462">
            <w:pPr>
              <w:rPr>
                <w:color w:val="000000" w:themeColor="text1"/>
              </w:rPr>
            </w:pPr>
            <w:r w:rsidRPr="005D1B00">
              <w:rPr>
                <w:color w:val="000000" w:themeColor="text1"/>
              </w:rPr>
              <w:t xml:space="preserve">Fluency in English is required.  Knowledge of another official UN language or local language of the duty station is considered as an asset. </w:t>
            </w:r>
          </w:p>
        </w:tc>
      </w:tr>
    </w:tbl>
    <w:p w14:paraId="18BBBB62" w14:textId="77777777" w:rsidR="00B466A4" w:rsidRDefault="00B466A4"/>
    <w:p w14:paraId="56A8CC8B" w14:textId="77777777" w:rsidR="00B466A4" w:rsidRDefault="00B466A4"/>
    <w:p w14:paraId="24BBD4FA" w14:textId="77777777" w:rsidR="0009761E" w:rsidRDefault="0009761E"/>
    <w:sectPr w:rsidR="0009761E" w:rsidSect="00C972F7">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E4F1" w14:textId="77777777" w:rsidR="00EF41F4" w:rsidRDefault="00EF41F4" w:rsidP="00C972F7">
      <w:r>
        <w:separator/>
      </w:r>
    </w:p>
  </w:endnote>
  <w:endnote w:type="continuationSeparator" w:id="0">
    <w:p w14:paraId="71A1FCD9" w14:textId="77777777" w:rsidR="00EF41F4" w:rsidRDefault="00EF41F4" w:rsidP="00C9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9AD07" w14:textId="77777777" w:rsidR="00EF41F4" w:rsidRDefault="00EF41F4" w:rsidP="00C972F7">
      <w:r>
        <w:separator/>
      </w:r>
    </w:p>
  </w:footnote>
  <w:footnote w:type="continuationSeparator" w:id="0">
    <w:p w14:paraId="1A067DBD" w14:textId="77777777" w:rsidR="00EF41F4" w:rsidRDefault="00EF41F4" w:rsidP="00C97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0069D"/>
    <w:multiLevelType w:val="multilevel"/>
    <w:tmpl w:val="A7A014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F06858"/>
    <w:multiLevelType w:val="hybridMultilevel"/>
    <w:tmpl w:val="A4D4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D06EB"/>
    <w:multiLevelType w:val="hybridMultilevel"/>
    <w:tmpl w:val="4E5E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34B80"/>
    <w:multiLevelType w:val="hybridMultilevel"/>
    <w:tmpl w:val="6C5C7FF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7704C44"/>
    <w:multiLevelType w:val="hybridMultilevel"/>
    <w:tmpl w:val="283E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74A3D"/>
    <w:multiLevelType w:val="hybridMultilevel"/>
    <w:tmpl w:val="A700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B6A44"/>
    <w:multiLevelType w:val="hybridMultilevel"/>
    <w:tmpl w:val="E91E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35101"/>
    <w:multiLevelType w:val="hybridMultilevel"/>
    <w:tmpl w:val="C5DC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39FC313E"/>
    <w:multiLevelType w:val="hybridMultilevel"/>
    <w:tmpl w:val="ACDCF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D1F66"/>
    <w:multiLevelType w:val="hybridMultilevel"/>
    <w:tmpl w:val="8D9C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6007F"/>
    <w:multiLevelType w:val="hybridMultilevel"/>
    <w:tmpl w:val="64F6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7A9"/>
    <w:multiLevelType w:val="hybridMultilevel"/>
    <w:tmpl w:val="ECAC0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9C4D9D"/>
    <w:multiLevelType w:val="hybridMultilevel"/>
    <w:tmpl w:val="A85E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613D4"/>
    <w:multiLevelType w:val="hybridMultilevel"/>
    <w:tmpl w:val="B6E0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053D2C"/>
    <w:multiLevelType w:val="hybridMultilevel"/>
    <w:tmpl w:val="14DED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15CCC"/>
    <w:multiLevelType w:val="hybridMultilevel"/>
    <w:tmpl w:val="89725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3D38B3"/>
    <w:multiLevelType w:val="hybridMultilevel"/>
    <w:tmpl w:val="D944C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AC407AB"/>
    <w:multiLevelType w:val="hybridMultilevel"/>
    <w:tmpl w:val="D428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21090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4949643">
    <w:abstractNumId w:val="17"/>
  </w:num>
  <w:num w:numId="3" w16cid:durableId="1999990863">
    <w:abstractNumId w:val="0"/>
  </w:num>
  <w:num w:numId="4" w16cid:durableId="518812084">
    <w:abstractNumId w:val="17"/>
  </w:num>
  <w:num w:numId="5" w16cid:durableId="1959950459">
    <w:abstractNumId w:val="12"/>
  </w:num>
  <w:num w:numId="6" w16cid:durableId="1061099434">
    <w:abstractNumId w:val="4"/>
  </w:num>
  <w:num w:numId="7" w16cid:durableId="1372729907">
    <w:abstractNumId w:val="6"/>
  </w:num>
  <w:num w:numId="8" w16cid:durableId="2074351136">
    <w:abstractNumId w:val="18"/>
  </w:num>
  <w:num w:numId="9" w16cid:durableId="1996568006">
    <w:abstractNumId w:val="5"/>
  </w:num>
  <w:num w:numId="10" w16cid:durableId="1793595654">
    <w:abstractNumId w:val="7"/>
  </w:num>
  <w:num w:numId="11" w16cid:durableId="1968662249">
    <w:abstractNumId w:val="13"/>
  </w:num>
  <w:num w:numId="12" w16cid:durableId="1795054132">
    <w:abstractNumId w:val="11"/>
  </w:num>
  <w:num w:numId="13" w16cid:durableId="965544818">
    <w:abstractNumId w:val="3"/>
  </w:num>
  <w:num w:numId="14" w16cid:durableId="4403219">
    <w:abstractNumId w:val="1"/>
  </w:num>
  <w:num w:numId="15" w16cid:durableId="1209611582">
    <w:abstractNumId w:val="14"/>
  </w:num>
  <w:num w:numId="16" w16cid:durableId="237442854">
    <w:abstractNumId w:val="9"/>
  </w:num>
  <w:num w:numId="17" w16cid:durableId="996954141">
    <w:abstractNumId w:val="10"/>
  </w:num>
  <w:num w:numId="18" w16cid:durableId="1339500816">
    <w:abstractNumId w:val="2"/>
  </w:num>
  <w:num w:numId="19" w16cid:durableId="31392733">
    <w:abstractNumId w:val="16"/>
  </w:num>
  <w:num w:numId="20" w16cid:durableId="184720904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xsDA2sDQ3MjW3NDJW0lEKTi0uzszPAykwrQUAeGVobiwAAAA="/>
  </w:docVars>
  <w:rsids>
    <w:rsidRoot w:val="00C56467"/>
    <w:rsid w:val="00032906"/>
    <w:rsid w:val="0004734A"/>
    <w:rsid w:val="00067167"/>
    <w:rsid w:val="0007252B"/>
    <w:rsid w:val="0009761E"/>
    <w:rsid w:val="000A2807"/>
    <w:rsid w:val="000A2F76"/>
    <w:rsid w:val="000A3A21"/>
    <w:rsid w:val="000B51FA"/>
    <w:rsid w:val="000D3D56"/>
    <w:rsid w:val="000E0266"/>
    <w:rsid w:val="000F2861"/>
    <w:rsid w:val="00103132"/>
    <w:rsid w:val="00113AEE"/>
    <w:rsid w:val="00136BA3"/>
    <w:rsid w:val="001415D4"/>
    <w:rsid w:val="00152830"/>
    <w:rsid w:val="0015420E"/>
    <w:rsid w:val="001633F8"/>
    <w:rsid w:val="001A1B91"/>
    <w:rsid w:val="001C6205"/>
    <w:rsid w:val="001C6966"/>
    <w:rsid w:val="001D4BCD"/>
    <w:rsid w:val="001F118A"/>
    <w:rsid w:val="00215AC2"/>
    <w:rsid w:val="00220FDF"/>
    <w:rsid w:val="00222F68"/>
    <w:rsid w:val="00223E02"/>
    <w:rsid w:val="002246DB"/>
    <w:rsid w:val="00242658"/>
    <w:rsid w:val="00250CC1"/>
    <w:rsid w:val="00293369"/>
    <w:rsid w:val="002B0F07"/>
    <w:rsid w:val="002B30BE"/>
    <w:rsid w:val="002C0AAD"/>
    <w:rsid w:val="002E5552"/>
    <w:rsid w:val="002E692D"/>
    <w:rsid w:val="00300FC9"/>
    <w:rsid w:val="003108C6"/>
    <w:rsid w:val="0031407B"/>
    <w:rsid w:val="00314A07"/>
    <w:rsid w:val="003353D1"/>
    <w:rsid w:val="00353FE3"/>
    <w:rsid w:val="003573C8"/>
    <w:rsid w:val="00364D01"/>
    <w:rsid w:val="003D1447"/>
    <w:rsid w:val="004015C5"/>
    <w:rsid w:val="00417262"/>
    <w:rsid w:val="004201A6"/>
    <w:rsid w:val="004214C7"/>
    <w:rsid w:val="0042653E"/>
    <w:rsid w:val="00461781"/>
    <w:rsid w:val="00461D95"/>
    <w:rsid w:val="0047577E"/>
    <w:rsid w:val="0048253E"/>
    <w:rsid w:val="00493E4F"/>
    <w:rsid w:val="004A1483"/>
    <w:rsid w:val="004C6E53"/>
    <w:rsid w:val="004E20AC"/>
    <w:rsid w:val="004E70CB"/>
    <w:rsid w:val="005317B7"/>
    <w:rsid w:val="005354D4"/>
    <w:rsid w:val="005475AF"/>
    <w:rsid w:val="00584AE1"/>
    <w:rsid w:val="005A23E0"/>
    <w:rsid w:val="005A259F"/>
    <w:rsid w:val="005B7EF9"/>
    <w:rsid w:val="005C2B7D"/>
    <w:rsid w:val="005D1B00"/>
    <w:rsid w:val="005E293B"/>
    <w:rsid w:val="00611662"/>
    <w:rsid w:val="00634788"/>
    <w:rsid w:val="00661408"/>
    <w:rsid w:val="006740F3"/>
    <w:rsid w:val="00674AF5"/>
    <w:rsid w:val="0069464D"/>
    <w:rsid w:val="00694EAC"/>
    <w:rsid w:val="00695607"/>
    <w:rsid w:val="00696D24"/>
    <w:rsid w:val="006A4550"/>
    <w:rsid w:val="006A7F01"/>
    <w:rsid w:val="006C55CF"/>
    <w:rsid w:val="006C63A4"/>
    <w:rsid w:val="006E0F7C"/>
    <w:rsid w:val="006F3FF9"/>
    <w:rsid w:val="0070526F"/>
    <w:rsid w:val="00730462"/>
    <w:rsid w:val="007353AE"/>
    <w:rsid w:val="00742A48"/>
    <w:rsid w:val="00744657"/>
    <w:rsid w:val="00756C64"/>
    <w:rsid w:val="00760DC5"/>
    <w:rsid w:val="00771269"/>
    <w:rsid w:val="0077668D"/>
    <w:rsid w:val="007902F0"/>
    <w:rsid w:val="00795629"/>
    <w:rsid w:val="007B5C29"/>
    <w:rsid w:val="007F7D10"/>
    <w:rsid w:val="00802E55"/>
    <w:rsid w:val="008116BB"/>
    <w:rsid w:val="0084301A"/>
    <w:rsid w:val="00870511"/>
    <w:rsid w:val="008766D7"/>
    <w:rsid w:val="008776B5"/>
    <w:rsid w:val="0088230A"/>
    <w:rsid w:val="008C31D1"/>
    <w:rsid w:val="008C7215"/>
    <w:rsid w:val="008D3CDB"/>
    <w:rsid w:val="008D41EB"/>
    <w:rsid w:val="008D50D8"/>
    <w:rsid w:val="008D6CB1"/>
    <w:rsid w:val="008E20E6"/>
    <w:rsid w:val="008E61F9"/>
    <w:rsid w:val="00905BB4"/>
    <w:rsid w:val="00905BF1"/>
    <w:rsid w:val="00911904"/>
    <w:rsid w:val="009719C2"/>
    <w:rsid w:val="0097359A"/>
    <w:rsid w:val="00977B60"/>
    <w:rsid w:val="00995A80"/>
    <w:rsid w:val="009A38B0"/>
    <w:rsid w:val="009B02F0"/>
    <w:rsid w:val="009E4F48"/>
    <w:rsid w:val="00A00937"/>
    <w:rsid w:val="00A126F0"/>
    <w:rsid w:val="00A21E51"/>
    <w:rsid w:val="00A326AA"/>
    <w:rsid w:val="00A3581C"/>
    <w:rsid w:val="00A44605"/>
    <w:rsid w:val="00A53EDA"/>
    <w:rsid w:val="00A564CC"/>
    <w:rsid w:val="00A7664B"/>
    <w:rsid w:val="00A81EFD"/>
    <w:rsid w:val="00AA6252"/>
    <w:rsid w:val="00AB3082"/>
    <w:rsid w:val="00AF5DAC"/>
    <w:rsid w:val="00B040A5"/>
    <w:rsid w:val="00B34FD1"/>
    <w:rsid w:val="00B466A4"/>
    <w:rsid w:val="00B6141B"/>
    <w:rsid w:val="00B6579D"/>
    <w:rsid w:val="00B95BE3"/>
    <w:rsid w:val="00BA02C9"/>
    <w:rsid w:val="00BA21E2"/>
    <w:rsid w:val="00BA44AF"/>
    <w:rsid w:val="00BC644C"/>
    <w:rsid w:val="00BE098E"/>
    <w:rsid w:val="00C00C9F"/>
    <w:rsid w:val="00C1148A"/>
    <w:rsid w:val="00C20393"/>
    <w:rsid w:val="00C5029E"/>
    <w:rsid w:val="00C56467"/>
    <w:rsid w:val="00C57B0E"/>
    <w:rsid w:val="00C70B32"/>
    <w:rsid w:val="00C70CEB"/>
    <w:rsid w:val="00C95841"/>
    <w:rsid w:val="00C972F7"/>
    <w:rsid w:val="00CC347C"/>
    <w:rsid w:val="00CC4F16"/>
    <w:rsid w:val="00CC5AD3"/>
    <w:rsid w:val="00CD1D3F"/>
    <w:rsid w:val="00CE6EA7"/>
    <w:rsid w:val="00CE7C9A"/>
    <w:rsid w:val="00CF351B"/>
    <w:rsid w:val="00D03D01"/>
    <w:rsid w:val="00D15C78"/>
    <w:rsid w:val="00D23860"/>
    <w:rsid w:val="00D33BF5"/>
    <w:rsid w:val="00D435E8"/>
    <w:rsid w:val="00D573C6"/>
    <w:rsid w:val="00D64F42"/>
    <w:rsid w:val="00D6749B"/>
    <w:rsid w:val="00D73C18"/>
    <w:rsid w:val="00DA561C"/>
    <w:rsid w:val="00DB46E8"/>
    <w:rsid w:val="00DB5934"/>
    <w:rsid w:val="00DB59B8"/>
    <w:rsid w:val="00DB5EDC"/>
    <w:rsid w:val="00DC2579"/>
    <w:rsid w:val="00DC2E87"/>
    <w:rsid w:val="00DC4A55"/>
    <w:rsid w:val="00DD4015"/>
    <w:rsid w:val="00DE7741"/>
    <w:rsid w:val="00E007A5"/>
    <w:rsid w:val="00E073DC"/>
    <w:rsid w:val="00E11012"/>
    <w:rsid w:val="00E158E0"/>
    <w:rsid w:val="00E21A02"/>
    <w:rsid w:val="00E30414"/>
    <w:rsid w:val="00E31A5C"/>
    <w:rsid w:val="00E377AF"/>
    <w:rsid w:val="00E45021"/>
    <w:rsid w:val="00E61047"/>
    <w:rsid w:val="00E739DC"/>
    <w:rsid w:val="00E76F54"/>
    <w:rsid w:val="00E83C63"/>
    <w:rsid w:val="00E91E14"/>
    <w:rsid w:val="00EA2517"/>
    <w:rsid w:val="00EA4087"/>
    <w:rsid w:val="00EC0BB8"/>
    <w:rsid w:val="00EC259A"/>
    <w:rsid w:val="00EC7799"/>
    <w:rsid w:val="00ED07DC"/>
    <w:rsid w:val="00EE3B85"/>
    <w:rsid w:val="00EF1D00"/>
    <w:rsid w:val="00EF41F4"/>
    <w:rsid w:val="00EF547C"/>
    <w:rsid w:val="00F21EF7"/>
    <w:rsid w:val="00F30B49"/>
    <w:rsid w:val="00F4689B"/>
    <w:rsid w:val="00F46ED3"/>
    <w:rsid w:val="00F474AA"/>
    <w:rsid w:val="00F64A5B"/>
    <w:rsid w:val="00FA723B"/>
    <w:rsid w:val="00FC3409"/>
    <w:rsid w:val="00FC3C06"/>
    <w:rsid w:val="00FD1D2C"/>
    <w:rsid w:val="00FD23A8"/>
    <w:rsid w:val="00FD4667"/>
    <w:rsid w:val="00FD5B28"/>
  </w:rsids>
  <m:mathPr>
    <m:mathFont m:val="Cambria Math"/>
    <m:brkBin m:val="before"/>
    <m:brkBinSub m:val="--"/>
    <m:smallFrac m:val="0"/>
    <m:dispDef m:val="0"/>
    <m:lMargin m:val="0"/>
    <m:rMargin m:val="0"/>
    <m:defJc m:val="centerGroup"/>
    <m:wrapRight/>
    <m:intLim m:val="subSup"/>
    <m:naryLim m:val="subSup"/>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CA041F"/>
  <w15:docId w15:val="{A40B8A32-F8A5-474F-94EA-E39B2E78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05"/>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link w:val="BodyTextChar"/>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link w:val="ListParagraphChar"/>
    <w:uiPriority w:val="34"/>
    <w:qFormat/>
    <w:rsid w:val="000A2F76"/>
    <w:pPr>
      <w:ind w:left="720"/>
      <w:contextualSpacing/>
    </w:pPr>
  </w:style>
  <w:style w:type="paragraph" w:styleId="Header">
    <w:name w:val="header"/>
    <w:basedOn w:val="Normal"/>
    <w:link w:val="HeaderChar"/>
    <w:unhideWhenUsed/>
    <w:rsid w:val="00C972F7"/>
    <w:pPr>
      <w:tabs>
        <w:tab w:val="center" w:pos="4680"/>
        <w:tab w:val="right" w:pos="9360"/>
      </w:tabs>
    </w:pPr>
  </w:style>
  <w:style w:type="character" w:customStyle="1" w:styleId="HeaderChar">
    <w:name w:val="Header Char"/>
    <w:basedOn w:val="DefaultParagraphFont"/>
    <w:link w:val="Header"/>
    <w:rsid w:val="00C972F7"/>
    <w:rPr>
      <w:rFonts w:ascii="Arial" w:hAnsi="Arial"/>
      <w:szCs w:val="24"/>
    </w:rPr>
  </w:style>
  <w:style w:type="paragraph" w:styleId="Footer">
    <w:name w:val="footer"/>
    <w:basedOn w:val="Normal"/>
    <w:link w:val="FooterChar"/>
    <w:unhideWhenUsed/>
    <w:rsid w:val="00C972F7"/>
    <w:pPr>
      <w:tabs>
        <w:tab w:val="center" w:pos="4680"/>
        <w:tab w:val="right" w:pos="9360"/>
      </w:tabs>
    </w:pPr>
  </w:style>
  <w:style w:type="character" w:customStyle="1" w:styleId="FooterChar">
    <w:name w:val="Footer Char"/>
    <w:basedOn w:val="DefaultParagraphFont"/>
    <w:link w:val="Footer"/>
    <w:rsid w:val="00C972F7"/>
    <w:rPr>
      <w:rFonts w:ascii="Arial" w:hAnsi="Arial"/>
      <w:szCs w:val="24"/>
    </w:rPr>
  </w:style>
  <w:style w:type="paragraph" w:styleId="NoSpacing">
    <w:name w:val="No Spacing"/>
    <w:link w:val="NoSpacingChar"/>
    <w:uiPriority w:val="1"/>
    <w:qFormat/>
    <w:rsid w:val="00F64A5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64A5B"/>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032906"/>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BodyTextChar">
    <w:name w:val="Body Text Char"/>
    <w:basedOn w:val="DefaultParagraphFont"/>
    <w:link w:val="BodyText"/>
    <w:rsid w:val="0007252B"/>
    <w:rPr>
      <w:rFonts w:ascii="Arial" w:hAnsi="Arial" w:cs="Arial"/>
      <w:szCs w:val="24"/>
    </w:rPr>
  </w:style>
  <w:style w:type="character" w:customStyle="1" w:styleId="ListParagraphChar">
    <w:name w:val="List Paragraph Char"/>
    <w:link w:val="ListParagraph"/>
    <w:uiPriority w:val="34"/>
    <w:locked/>
    <w:rsid w:val="0007252B"/>
    <w:rPr>
      <w:rFonts w:ascii="Arial" w:hAnsi="Arial"/>
      <w:szCs w:val="24"/>
    </w:rPr>
  </w:style>
  <w:style w:type="character" w:customStyle="1" w:styleId="normaltextrun">
    <w:name w:val="normaltextrun"/>
    <w:basedOn w:val="DefaultParagraphFont"/>
    <w:rsid w:val="004C6E53"/>
  </w:style>
  <w:style w:type="paragraph" w:styleId="Revision">
    <w:name w:val="Revision"/>
    <w:hidden/>
    <w:uiPriority w:val="99"/>
    <w:semiHidden/>
    <w:rsid w:val="005317B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87571">
      <w:bodyDiv w:val="1"/>
      <w:marLeft w:val="0"/>
      <w:marRight w:val="0"/>
      <w:marTop w:val="0"/>
      <w:marBottom w:val="0"/>
      <w:divBdr>
        <w:top w:val="none" w:sz="0" w:space="0" w:color="auto"/>
        <w:left w:val="none" w:sz="0" w:space="0" w:color="auto"/>
        <w:bottom w:val="none" w:sz="0" w:space="0" w:color="auto"/>
        <w:right w:val="none" w:sz="0" w:space="0" w:color="auto"/>
      </w:divBdr>
    </w:div>
    <w:div w:id="525872174">
      <w:bodyDiv w:val="1"/>
      <w:marLeft w:val="0"/>
      <w:marRight w:val="0"/>
      <w:marTop w:val="0"/>
      <w:marBottom w:val="0"/>
      <w:divBdr>
        <w:top w:val="none" w:sz="0" w:space="0" w:color="auto"/>
        <w:left w:val="none" w:sz="0" w:space="0" w:color="auto"/>
        <w:bottom w:val="none" w:sz="0" w:space="0" w:color="auto"/>
        <w:right w:val="none" w:sz="0" w:space="0" w:color="auto"/>
      </w:divBdr>
    </w:div>
    <w:div w:id="576592226">
      <w:bodyDiv w:val="1"/>
      <w:marLeft w:val="0"/>
      <w:marRight w:val="0"/>
      <w:marTop w:val="0"/>
      <w:marBottom w:val="0"/>
      <w:divBdr>
        <w:top w:val="none" w:sz="0" w:space="0" w:color="auto"/>
        <w:left w:val="none" w:sz="0" w:space="0" w:color="auto"/>
        <w:bottom w:val="none" w:sz="0" w:space="0" w:color="auto"/>
        <w:right w:val="none" w:sz="0" w:space="0" w:color="auto"/>
      </w:divBdr>
    </w:div>
    <w:div w:id="644314728">
      <w:bodyDiv w:val="1"/>
      <w:marLeft w:val="0"/>
      <w:marRight w:val="0"/>
      <w:marTop w:val="0"/>
      <w:marBottom w:val="0"/>
      <w:divBdr>
        <w:top w:val="none" w:sz="0" w:space="0" w:color="auto"/>
        <w:left w:val="none" w:sz="0" w:space="0" w:color="auto"/>
        <w:bottom w:val="none" w:sz="0" w:space="0" w:color="auto"/>
        <w:right w:val="none" w:sz="0" w:space="0" w:color="auto"/>
      </w:divBdr>
    </w:div>
    <w:div w:id="835732432">
      <w:bodyDiv w:val="1"/>
      <w:marLeft w:val="0"/>
      <w:marRight w:val="0"/>
      <w:marTop w:val="0"/>
      <w:marBottom w:val="0"/>
      <w:divBdr>
        <w:top w:val="none" w:sz="0" w:space="0" w:color="auto"/>
        <w:left w:val="none" w:sz="0" w:space="0" w:color="auto"/>
        <w:bottom w:val="none" w:sz="0" w:space="0" w:color="auto"/>
        <w:right w:val="none" w:sz="0" w:space="0" w:color="auto"/>
      </w:divBdr>
    </w:div>
    <w:div w:id="1476725000">
      <w:bodyDiv w:val="1"/>
      <w:marLeft w:val="0"/>
      <w:marRight w:val="0"/>
      <w:marTop w:val="0"/>
      <w:marBottom w:val="0"/>
      <w:divBdr>
        <w:top w:val="none" w:sz="0" w:space="0" w:color="auto"/>
        <w:left w:val="none" w:sz="0" w:space="0" w:color="auto"/>
        <w:bottom w:val="none" w:sz="0" w:space="0" w:color="auto"/>
        <w:right w:val="none" w:sz="0" w:space="0" w:color="auto"/>
      </w:divBdr>
    </w:div>
    <w:div w:id="1650864109">
      <w:bodyDiv w:val="1"/>
      <w:marLeft w:val="0"/>
      <w:marRight w:val="0"/>
      <w:marTop w:val="0"/>
      <w:marBottom w:val="0"/>
      <w:divBdr>
        <w:top w:val="none" w:sz="0" w:space="0" w:color="auto"/>
        <w:left w:val="none" w:sz="0" w:space="0" w:color="auto"/>
        <w:bottom w:val="none" w:sz="0" w:space="0" w:color="auto"/>
        <w:right w:val="none" w:sz="0" w:space="0" w:color="auto"/>
      </w:divBdr>
    </w:div>
    <w:div w:id="1700934202">
      <w:bodyDiv w:val="1"/>
      <w:marLeft w:val="0"/>
      <w:marRight w:val="0"/>
      <w:marTop w:val="0"/>
      <w:marBottom w:val="0"/>
      <w:divBdr>
        <w:top w:val="none" w:sz="0" w:space="0" w:color="auto"/>
        <w:left w:val="none" w:sz="0" w:space="0" w:color="auto"/>
        <w:bottom w:val="none" w:sz="0" w:space="0" w:color="auto"/>
        <w:right w:val="none" w:sz="0" w:space="0" w:color="auto"/>
      </w:divBdr>
    </w:div>
    <w:div w:id="1995525396">
      <w:bodyDiv w:val="1"/>
      <w:marLeft w:val="0"/>
      <w:marRight w:val="0"/>
      <w:marTop w:val="0"/>
      <w:marBottom w:val="0"/>
      <w:divBdr>
        <w:top w:val="none" w:sz="0" w:space="0" w:color="auto"/>
        <w:left w:val="none" w:sz="0" w:space="0" w:color="auto"/>
        <w:bottom w:val="none" w:sz="0" w:space="0" w:color="auto"/>
        <w:right w:val="none" w:sz="0" w:space="0" w:color="auto"/>
      </w:divBdr>
    </w:div>
    <w:div w:id="2056394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maphoreItemMetadata xmlns="03aba595-bc08-4bc6-a067-44fa0d6fce4c" xsi:nil="true"/>
    <lcf76f155ced4ddcb4097134ff3c332f xmlns="d375e64b-dda9-4238-ac96-be768160e0d8">
      <Terms xmlns="http://schemas.microsoft.com/office/infopath/2007/PartnerControls"/>
    </lcf76f155ced4ddcb4097134ff3c332f>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Malawi-2690</TermName>
          <TermId xmlns="http://schemas.microsoft.com/office/infopath/2007/PartnerControls">958d5213-80e5-4aea-89ff-c4d4dd1c1ce1</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TaxKeywordTaxHTField xmlns="03aba595-bc08-4bc6-a067-44fa0d6fce4c">
      <Terms xmlns="http://schemas.microsoft.com/office/infopath/2007/PartnerControls"/>
    </TaxKeywordTaxHTField>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C38D1FC290AD1E478E1BD710E1CB14E9" ma:contentTypeVersion="45" ma:contentTypeDescription="" ma:contentTypeScope="" ma:versionID="7edd9fb11ee3a2b65e5077162cddaeb9">
  <xsd:schema xmlns:xsd="http://www.w3.org/2001/XMLSchema" xmlns:xs="http://www.w3.org/2001/XMLSchema" xmlns:p="http://schemas.microsoft.com/office/2006/metadata/properties" xmlns:ns1="http://schemas.microsoft.com/sharepoint/v3" xmlns:ns2="ca283e0b-db31-4043-a2ef-b80661bf084a" xmlns:ns3="http://schemas.microsoft.com/sharepoint.v3" xmlns:ns4="03aba595-bc08-4bc6-a067-44fa0d6fce4c" xmlns:ns5="http://schemas.microsoft.com/sharepoint/v4" xmlns:ns6="d375e64b-dda9-4238-ac96-be768160e0d8" targetNamespace="http://schemas.microsoft.com/office/2006/metadata/properties" ma:root="true" ma:fieldsID="7071e8a132fcacc8b314c0db1997a1cf" ns1:_="" ns2:_="" ns3:_="" ns4:_="" ns5:_="" ns6:_="">
    <xsd:import namespace="http://schemas.microsoft.com/sharepoint/v3"/>
    <xsd:import namespace="ca283e0b-db31-4043-a2ef-b80661bf084a"/>
    <xsd:import namespace="http://schemas.microsoft.com/sharepoint.v3"/>
    <xsd:import namespace="03aba595-bc08-4bc6-a067-44fa0d6fce4c"/>
    <xsd:import namespace="http://schemas.microsoft.com/sharepoint/v4"/>
    <xsd:import namespace="d375e64b-dda9-4238-ac96-be768160e0d8"/>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IconOverlay" minOccurs="0"/>
                <xsd:element ref="ns1:_vti_ItemDeclaredRecord" minOccurs="0"/>
                <xsd:element ref="ns1:_vti_ItemHoldRecordStatus" minOccurs="0"/>
                <xsd:element ref="ns4:TaxKeywordTaxHTField" minOccurs="0"/>
                <xsd:element ref="ns4:SemaphoreItemMetadata" minOccurs="0"/>
                <xsd:element ref="ns6:MediaServiceMetadata" minOccurs="0"/>
                <xsd:element ref="ns6:MediaServiceFastMetadata" minOccurs="0"/>
                <xsd:element ref="ns6:MediaServiceAutoKeyPoints" minOccurs="0"/>
                <xsd:element ref="ns6:MediaServiceKeyPoints" minOccurs="0"/>
                <xsd:element ref="ns6:lcf76f155ced4ddcb4097134ff3c332f" minOccurs="0"/>
                <xsd:element ref="ns6:MediaServiceOCR" minOccurs="0"/>
                <xsd:element ref="ns6:MediaServiceGenerationTime" minOccurs="0"/>
                <xsd:element ref="ns6:MediaServiceEventHashCode" minOccurs="0"/>
                <xsd:element ref="ns4:SharedWithUsers" minOccurs="0"/>
                <xsd:element ref="ns4:SharedWithDetails" minOccurs="0"/>
                <xsd:element ref="ns6:MediaServiceDateTaken" minOccurs="0"/>
                <xsd:element ref="ns6:MediaServiceLocation"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2" nillable="true" ma:displayName="Declared Record" ma:hidden="true" ma:internalName="_vti_ItemDeclaredRecord" ma:readOnly="true">
      <xsd:simpleType>
        <xsd:restriction base="dms:DateTime"/>
      </xsd:simpleType>
    </xsd:element>
    <xsd:element name="_vti_ItemHoldRecordStatus" ma:index="3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34;#Malawi-2690|958d5213-80e5-4aea-89ff-c4d4dd1c1ce1"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e0a21e3-a71f-4bc7-8bcb-f2135af7914b}" ma:internalName="TaxCatchAllLabel" ma:readOnly="true" ma:showField="CatchAllDataLabel" ma:web="03aba595-bc08-4bc6-a067-44fa0d6fce4c">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e0a21e3-a71f-4bc7-8bcb-f2135af7914b}" ma:internalName="TaxCatchAll" ma:showField="CatchAllData" ma:web="03aba595-bc08-4bc6-a067-44fa0d6fce4c">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aba595-bc08-4bc6-a067-44fa0d6fce4c" elementFormDefault="qualified">
    <xsd:import namespace="http://schemas.microsoft.com/office/2006/documentManagement/types"/>
    <xsd:import namespace="http://schemas.microsoft.com/office/infopath/2007/PartnerControls"/>
    <xsd:element name="TaxKeywordTaxHTField" ma:index="3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35" nillable="true" ma:displayName="Semaphore Status" ma:hidden="true" ma:internalName="SemaphoreItemMetadata">
      <xsd:simpleType>
        <xsd:restriction base="dms:Note"/>
      </xsd:simpleType>
    </xsd:element>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5e64b-dda9-4238-ac96-be768160e0d8" elementFormDefault="qualified">
    <xsd:import namespace="http://schemas.microsoft.com/office/2006/documentManagement/types"/>
    <xsd:import namespace="http://schemas.microsoft.com/office/infopath/2007/PartnerControls"/>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DateTaken" ma:index="47" nillable="true" ma:displayName="MediaServiceDateTaken" ma:hidden="true" ma:indexed="true" ma:internalName="MediaServiceDateTaken" ma:readOnly="true">
      <xsd:simpleType>
        <xsd:restriction base="dms:Text"/>
      </xsd:simpleType>
    </xsd:element>
    <xsd:element name="MediaServiceLocation" ma:index="48" nillable="true" ma:displayName="Location" ma:indexed="true" ma:internalName="MediaServiceLocation" ma:readOnly="true">
      <xsd:simpleType>
        <xsd:restriction base="dms:Text"/>
      </xsd:simple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66A74DEE-7E58-473C-ACB7-35E475A7DA5C}">
  <ds:schemaRefs>
    <ds:schemaRef ds:uri="http://schemas.microsoft.com/sharepoint/v3/contenttype/forms"/>
  </ds:schemaRefs>
</ds:datastoreItem>
</file>

<file path=customXml/itemProps2.xml><?xml version="1.0" encoding="utf-8"?>
<ds:datastoreItem xmlns:ds="http://schemas.openxmlformats.org/officeDocument/2006/customXml" ds:itemID="{668573D3-40FF-4B3E-97DA-2CF1A64B56C5}">
  <ds:schemaRefs>
    <ds:schemaRef ds:uri="http://schemas.openxmlformats.org/officeDocument/2006/bibliography"/>
  </ds:schemaRefs>
</ds:datastoreItem>
</file>

<file path=customXml/itemProps3.xml><?xml version="1.0" encoding="utf-8"?>
<ds:datastoreItem xmlns:ds="http://schemas.openxmlformats.org/officeDocument/2006/customXml" ds:itemID="{401DE341-F581-429D-9D23-32F58F54BF8D}">
  <ds:schemaRefs>
    <ds:schemaRef ds:uri="http://schemas.microsoft.com/office/2006/metadata/properties"/>
    <ds:schemaRef ds:uri="http://schemas.microsoft.com/office/infopath/2007/PartnerControls"/>
    <ds:schemaRef ds:uri="03aba595-bc08-4bc6-a067-44fa0d6fce4c"/>
    <ds:schemaRef ds:uri="d375e64b-dda9-4238-ac96-be768160e0d8"/>
    <ds:schemaRef ds:uri="ca283e0b-db31-4043-a2ef-b80661bf084a"/>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9F280AF8-635E-4412-9C00-3483705232F1}">
  <ds:schemaRefs>
    <ds:schemaRef ds:uri="Microsoft.SharePoint.Taxonomy.ContentTypeSync"/>
  </ds:schemaRefs>
</ds:datastoreItem>
</file>

<file path=customXml/itemProps5.xml><?xml version="1.0" encoding="utf-8"?>
<ds:datastoreItem xmlns:ds="http://schemas.openxmlformats.org/officeDocument/2006/customXml" ds:itemID="{2A6A15F4-6AB5-43AF-A320-2EEE96285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03aba595-bc08-4bc6-a067-44fa0d6fce4c"/>
    <ds:schemaRef ds:uri="http://schemas.microsoft.com/sharepoint/v4"/>
    <ds:schemaRef ds:uri="d375e64b-dda9-4238-ac96-be768160e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B6060F-9664-4EC8-AE7B-DBF3B7C1A8DE}">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UNDP</dc:creator>
  <cp:lastModifiedBy>Khemerald Somsak Sai</cp:lastModifiedBy>
  <cp:revision>65</cp:revision>
  <cp:lastPrinted>2018-10-12T15:08:00Z</cp:lastPrinted>
  <dcterms:created xsi:type="dcterms:W3CDTF">2023-08-21T08:39:00Z</dcterms:created>
  <dcterms:modified xsi:type="dcterms:W3CDTF">2023-08-28T13:21:00Z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0x0101009BA85F8052A6DA4FA3E31FF9F74C697000C38D1FC290AD1E478E1BD710E1CB14E9</vt:lpwstr>
  </property>
  <property fmtid="{D5CDD505-2E9C-101B-9397-08002B2CF9AE}" pid="24" name="_dlc_DocIdItemGuid">
    <vt:lpwstr>f4c2926f-9139-46f5-982b-8b0e7564b9dc</vt:lpwstr>
  </property>
  <property fmtid="{D5CDD505-2E9C-101B-9397-08002B2CF9AE}" pid="25" name="AuthorIds_UIVersion_1536">
    <vt:lpwstr>1332</vt:lpwstr>
  </property>
  <property fmtid="{D5CDD505-2E9C-101B-9397-08002B2CF9AE}" pid="26" name="GrammarlyDocumentId">
    <vt:lpwstr>eeec2b799301a72d78437fc343f30072ba5b955260b8a3a90b42988314908c00</vt:lpwstr>
  </property>
  <property fmtid="{D5CDD505-2E9C-101B-9397-08002B2CF9AE}" pid="27" name="OfficeDivision">
    <vt:lpwstr>3;#Malawi-2690|958d5213-80e5-4aea-89ff-c4d4dd1c1ce1</vt:lpwstr>
  </property>
  <property fmtid="{D5CDD505-2E9C-101B-9397-08002B2CF9AE}" pid="28" name="SystemDTAC">
    <vt:lpwstr/>
  </property>
  <property fmtid="{D5CDD505-2E9C-101B-9397-08002B2CF9AE}" pid="29" name="TaxKeyword">
    <vt:lpwstr/>
  </property>
  <property fmtid="{D5CDD505-2E9C-101B-9397-08002B2CF9AE}" pid="30" name="Topic">
    <vt:lpwstr/>
  </property>
  <property fmtid="{D5CDD505-2E9C-101B-9397-08002B2CF9AE}" pid="31" name="MediaServiceImageTags">
    <vt:lpwstr/>
  </property>
  <property fmtid="{D5CDD505-2E9C-101B-9397-08002B2CF9AE}" pid="32" name="CriticalForLongTermRetention">
    <vt:lpwstr/>
  </property>
  <property fmtid="{D5CDD505-2E9C-101B-9397-08002B2CF9AE}" pid="33" name="DocumentType">
    <vt:lpwstr/>
  </property>
  <property fmtid="{D5CDD505-2E9C-101B-9397-08002B2CF9AE}" pid="34" name="GeographicScope">
    <vt:lpwstr/>
  </property>
</Properties>
</file>