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1" w:rsidRPr="00AF5D73" w:rsidRDefault="00E37921" w:rsidP="00213E79">
      <w:pPr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D73">
        <w:rPr>
          <w:rFonts w:ascii="Times New Roman" w:eastAsia="Times New Roman" w:hAnsi="Times New Roman" w:cs="Times New Roman"/>
          <w:b/>
          <w:sz w:val="24"/>
          <w:szCs w:val="24"/>
        </w:rPr>
        <w:t>FINANCIAL TEMPLATE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79" w:rsidRDefault="00213E79" w:rsidP="00213E79">
      <w:pPr>
        <w:spacing w:line="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F2F TEAM MANAGER (IN-HOUSE – FULL TIME) New Delhi</w:t>
      </w:r>
    </w:p>
    <w:p w:rsidR="00213E79" w:rsidRDefault="00213E79" w:rsidP="00213E79">
      <w:pPr>
        <w:spacing w:line="0" w:lineRule="atLea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13E79" w:rsidRDefault="00213E79" w:rsidP="00213E79">
      <w:pPr>
        <w:spacing w:line="266" w:lineRule="auto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Note: Please note that you are required to provide a break up of lumpsum fee quoted for each deliverable as follows:</w:t>
      </w:r>
    </w:p>
    <w:p w:rsidR="00213E79" w:rsidRDefault="00213E79" w:rsidP="00213E79">
      <w:pPr>
        <w:spacing w:line="238" w:lineRule="exact"/>
        <w:rPr>
          <w:rFonts w:ascii="Times New Roman" w:eastAsia="Times New Roman" w:hAnsi="Times New Roman"/>
        </w:rPr>
      </w:pPr>
    </w:p>
    <w:p w:rsidR="00213E79" w:rsidRDefault="00213E79" w:rsidP="00213E79">
      <w:pPr>
        <w:numPr>
          <w:ilvl w:val="0"/>
          <w:numId w:val="4"/>
        </w:numPr>
        <w:spacing w:line="236" w:lineRule="auto"/>
        <w:ind w:left="1080" w:righ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i/>
          <w:sz w:val="24"/>
        </w:rPr>
        <w:t>All-inclusive professional fee, which should mention your fee against each deliverable inclusive of any communication, printing, stationery costs and any local travel costs.</w:t>
      </w:r>
    </w:p>
    <w:p w:rsidR="00213E79" w:rsidRDefault="00213E79" w:rsidP="00213E79">
      <w:pPr>
        <w:spacing w:line="30" w:lineRule="exact"/>
        <w:ind w:left="1080" w:hanging="360"/>
        <w:rPr>
          <w:rFonts w:ascii="Arial" w:eastAsia="Arial" w:hAnsi="Arial"/>
          <w:sz w:val="24"/>
        </w:rPr>
      </w:pPr>
    </w:p>
    <w:p w:rsidR="00213E79" w:rsidRDefault="00213E79" w:rsidP="00213E79">
      <w:pPr>
        <w:numPr>
          <w:ilvl w:val="0"/>
          <w:numId w:val="4"/>
        </w:numPr>
        <w:spacing w:line="237" w:lineRule="auto"/>
        <w:ind w:left="1080" w:right="740" w:hanging="3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i/>
          <w:sz w:val="24"/>
        </w:rPr>
        <w:t>Travel/Per diem/terminal (transport to and from airport/station) costs for any outstation travel undertaken outside duty station against any deliverable.</w:t>
      </w:r>
    </w:p>
    <w:p w:rsidR="00213E79" w:rsidRDefault="00213E79" w:rsidP="00213E79">
      <w:pPr>
        <w:spacing w:line="17" w:lineRule="exact"/>
        <w:ind w:left="1080" w:hanging="360"/>
        <w:rPr>
          <w:rFonts w:ascii="Arial" w:eastAsia="Arial" w:hAnsi="Arial"/>
          <w:sz w:val="24"/>
        </w:rPr>
      </w:pPr>
    </w:p>
    <w:p w:rsidR="00213E79" w:rsidRDefault="00213E79" w:rsidP="00213E79">
      <w:pPr>
        <w:numPr>
          <w:ilvl w:val="0"/>
          <w:numId w:val="4"/>
        </w:numPr>
        <w:spacing w:line="0" w:lineRule="atLeast"/>
        <w:ind w:left="10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i/>
          <w:sz w:val="24"/>
        </w:rPr>
        <w:t>Air travel will be by economy class using the most direct route.</w:t>
      </w:r>
    </w:p>
    <w:p w:rsidR="00213E79" w:rsidRDefault="00213E79" w:rsidP="00213E79">
      <w:pPr>
        <w:spacing w:line="25" w:lineRule="exact"/>
        <w:ind w:left="1080" w:hanging="360"/>
        <w:rPr>
          <w:rFonts w:ascii="Arial" w:eastAsia="Arial" w:hAnsi="Arial"/>
          <w:sz w:val="24"/>
        </w:rPr>
      </w:pPr>
    </w:p>
    <w:p w:rsidR="00213E79" w:rsidRDefault="00213E79" w:rsidP="00213E79">
      <w:pPr>
        <w:numPr>
          <w:ilvl w:val="0"/>
          <w:numId w:val="4"/>
        </w:numPr>
        <w:spacing w:line="235" w:lineRule="auto"/>
        <w:ind w:left="1080" w:right="74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i/>
          <w:sz w:val="24"/>
        </w:rPr>
        <w:t>Please provide details of outstation travel (number of sectors and rates), per diem (number of days and rates), terminals (number and rates)</w:t>
      </w:r>
    </w:p>
    <w:p w:rsidR="00213E79" w:rsidRDefault="00213E79" w:rsidP="00213E79">
      <w:pPr>
        <w:spacing w:line="18" w:lineRule="exact"/>
        <w:ind w:left="1080" w:hanging="360"/>
        <w:rPr>
          <w:rFonts w:ascii="Arial" w:eastAsia="Arial" w:hAnsi="Arial"/>
          <w:sz w:val="24"/>
        </w:rPr>
      </w:pPr>
    </w:p>
    <w:p w:rsidR="00213E79" w:rsidRPr="00FE2576" w:rsidRDefault="00213E79" w:rsidP="00213E79">
      <w:pPr>
        <w:numPr>
          <w:ilvl w:val="0"/>
          <w:numId w:val="4"/>
        </w:numPr>
        <w:spacing w:line="0" w:lineRule="atLeast"/>
        <w:ind w:left="1080" w:hanging="360"/>
        <w:rPr>
          <w:rFonts w:ascii="Arial" w:eastAsia="Arial" w:hAnsi="Arial"/>
          <w:sz w:val="24"/>
          <w:szCs w:val="24"/>
        </w:rPr>
      </w:pPr>
      <w:r w:rsidRPr="00FE2576">
        <w:rPr>
          <w:rFonts w:ascii="Arial" w:eastAsia="Arial" w:hAnsi="Arial"/>
          <w:b/>
          <w:i/>
          <w:sz w:val="24"/>
          <w:szCs w:val="24"/>
        </w:rPr>
        <w:t>No other fee would be paid or reimbursed other than the</w:t>
      </w:r>
    </w:p>
    <w:p w:rsidR="00213E79" w:rsidRPr="00FE2576" w:rsidRDefault="00213E79" w:rsidP="00213E79">
      <w:pPr>
        <w:tabs>
          <w:tab w:val="left" w:pos="1620"/>
        </w:tabs>
        <w:ind w:left="1080" w:hanging="360"/>
        <w:rPr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       </w:t>
      </w:r>
      <w:r w:rsidRPr="00FE2576">
        <w:rPr>
          <w:rFonts w:ascii="Arial" w:eastAsia="Arial" w:hAnsi="Arial"/>
          <w:b/>
          <w:i/>
          <w:sz w:val="24"/>
          <w:szCs w:val="24"/>
        </w:rPr>
        <w:t>lumpsum fee indicated in your financial proposal</w:t>
      </w:r>
    </w:p>
    <w:p w:rsidR="00E37921" w:rsidRPr="00AF5D73" w:rsidRDefault="00E37921" w:rsidP="00E37921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1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2521"/>
        <w:gridCol w:w="3420"/>
        <w:gridCol w:w="1106"/>
        <w:gridCol w:w="1168"/>
        <w:gridCol w:w="1070"/>
        <w:gridCol w:w="1066"/>
        <w:gridCol w:w="20"/>
        <w:gridCol w:w="227"/>
        <w:gridCol w:w="23"/>
      </w:tblGrid>
      <w:tr w:rsidR="00C054C2" w:rsidTr="004B1EBD">
        <w:trPr>
          <w:gridAfter w:val="3"/>
          <w:wAfter w:w="270" w:type="dxa"/>
          <w:trHeight w:val="471"/>
        </w:trPr>
        <w:tc>
          <w:tcPr>
            <w:tcW w:w="2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4C2" w:rsidRDefault="00C054C2" w:rsidP="00FC16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b/>
                <w:sz w:val="22"/>
              </w:rPr>
              <w:t>Major Tasks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4C2" w:rsidRDefault="00C054C2" w:rsidP="00FC166E">
            <w:pPr>
              <w:spacing w:line="0" w:lineRule="atLeast"/>
              <w:ind w:left="10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Deliverable (s)</w:t>
            </w:r>
          </w:p>
        </w:tc>
        <w:tc>
          <w:tcPr>
            <w:tcW w:w="441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Default="00C054C2" w:rsidP="00FC166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Consultant's/Contractor’s</w:t>
            </w:r>
          </w:p>
          <w:p w:rsidR="00C054C2" w:rsidRDefault="00C054C2" w:rsidP="00FC16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b/>
                <w:w w:val="99"/>
                <w:sz w:val="22"/>
              </w:rPr>
              <w:t>Proposal</w:t>
            </w:r>
          </w:p>
        </w:tc>
      </w:tr>
      <w:tr w:rsidR="00C054C2" w:rsidTr="004B1EBD">
        <w:trPr>
          <w:gridAfter w:val="3"/>
          <w:wAfter w:w="270" w:type="dxa"/>
          <w:trHeight w:val="1007"/>
        </w:trPr>
        <w:tc>
          <w:tcPr>
            <w:tcW w:w="26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Default="00C054C2" w:rsidP="00FC166E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Default="00C054C2" w:rsidP="00FC166E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Default="00C054C2" w:rsidP="00C054C2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</w:p>
          <w:p w:rsidR="00C054C2" w:rsidRDefault="00C054C2" w:rsidP="00C054C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>(INR/</w:t>
            </w:r>
            <w:proofErr w:type="gramStart"/>
            <w:r>
              <w:rPr>
                <w:b/>
                <w:sz w:val="22"/>
              </w:rPr>
              <w:t>USD)*</w:t>
            </w:r>
            <w:proofErr w:type="gramEnd"/>
            <w:r>
              <w:rPr>
                <w:sz w:val="22"/>
              </w:rPr>
              <w:t xml:space="preserve"> (Lump sum</w:t>
            </w:r>
            <w:r>
              <w:rPr>
                <w:sz w:val="22"/>
              </w:rPr>
              <w:t xml:space="preserve"> </w:t>
            </w:r>
            <w:r>
              <w:rPr>
                <w:w w:val="96"/>
                <w:sz w:val="22"/>
              </w:rPr>
              <w:t>fee)</w:t>
            </w:r>
          </w:p>
        </w:tc>
      </w:tr>
      <w:tr w:rsidR="00213E79" w:rsidTr="004B1EBD">
        <w:trPr>
          <w:gridAfter w:val="2"/>
          <w:wAfter w:w="250" w:type="dxa"/>
          <w:trHeight w:val="252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79" w:rsidRDefault="00213E79" w:rsidP="00FC166E">
            <w:pPr>
              <w:spacing w:line="252" w:lineRule="exact"/>
              <w:ind w:right="1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Travel details for this consultancy</w:t>
            </w:r>
          </w:p>
          <w:p w:rsidR="00213E79" w:rsidRDefault="00213E79" w:rsidP="00FC166E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2 trips to two different locations (5 days each trip) per month</w:t>
            </w:r>
          </w:p>
          <w:p w:rsidR="00213E79" w:rsidRDefault="00213E79" w:rsidP="00FC166E">
            <w:pPr>
              <w:spacing w:line="0" w:lineRule="atLeast"/>
              <w:ind w:left="37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based on prior approval</w:t>
            </w:r>
          </w:p>
          <w:p w:rsidR="00213E79" w:rsidRDefault="00213E79" w:rsidP="00FC166E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Total 23 trips and 110 travel days </w:t>
            </w:r>
            <w:proofErr w:type="gramStart"/>
            <w:r>
              <w:rPr>
                <w:b/>
                <w:w w:val="99"/>
                <w:sz w:val="22"/>
              </w:rPr>
              <w:t>during</w:t>
            </w:r>
            <w:proofErr w:type="gramEnd"/>
            <w:r>
              <w:rPr>
                <w:b/>
                <w:w w:val="99"/>
                <w:sz w:val="22"/>
              </w:rPr>
              <w:t xml:space="preserve"> 11.5 months</w:t>
            </w:r>
          </w:p>
          <w:p w:rsidR="00213E79" w:rsidRDefault="00213E79" w:rsidP="00FC166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Bengaluru, Chennai Hyderabad, Kolkata, Mumbai and Pune /Or any</w:t>
            </w:r>
          </w:p>
          <w:p w:rsidR="00213E79" w:rsidRDefault="00213E79" w:rsidP="00FC16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w w:val="99"/>
                <w:sz w:val="22"/>
              </w:rPr>
              <w:t>other Indian cities based on discussion with supervisor of the contract.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213E79" w:rsidRDefault="00213E79" w:rsidP="00FC166E">
            <w:pPr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Please quote your lumpsum</w:t>
            </w:r>
          </w:p>
          <w:p w:rsidR="00213E79" w:rsidRDefault="00213E79" w:rsidP="00FC166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travel costs:</w:t>
            </w:r>
          </w:p>
          <w:p w:rsidR="00213E79" w:rsidRDefault="00213E79" w:rsidP="00FC166E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Total travel (air ticket/Local</w:t>
            </w:r>
          </w:p>
          <w:p w:rsidR="00213E79" w:rsidRDefault="00213E79" w:rsidP="00FC166E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costs</w:t>
            </w:r>
            <w:proofErr w:type="gramStart"/>
            <w:r>
              <w:rPr>
                <w:sz w:val="22"/>
              </w:rPr>
              <w:t>/ )</w:t>
            </w:r>
            <w:proofErr w:type="gramEnd"/>
            <w:r>
              <w:rPr>
                <w:sz w:val="22"/>
              </w:rPr>
              <w:t xml:space="preserve"> cost for one trip =</w:t>
            </w:r>
          </w:p>
          <w:p w:rsidR="00213E79" w:rsidRDefault="00213E79" w:rsidP="00FC166E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INR/USD</w:t>
            </w:r>
          </w:p>
          <w:p w:rsidR="00213E79" w:rsidRDefault="00213E79" w:rsidP="00FC166E">
            <w:pPr>
              <w:spacing w:line="0" w:lineRule="atLeast"/>
              <w:rPr>
                <w:color w:val="0000FF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A.  </w:t>
            </w:r>
            <w:r>
              <w:rPr>
                <w:color w:val="0000FF"/>
                <w:sz w:val="22"/>
              </w:rPr>
              <w:t>Total cost for 23 trips =</w:t>
            </w:r>
          </w:p>
          <w:p w:rsidR="00213E79" w:rsidRDefault="00213E79" w:rsidP="00FC166E">
            <w:pPr>
              <w:spacing w:line="252" w:lineRule="exact"/>
              <w:ind w:left="360"/>
              <w:rPr>
                <w:color w:val="000000"/>
                <w:sz w:val="22"/>
              </w:rPr>
            </w:pPr>
            <w:r>
              <w:rPr>
                <w:color w:val="0000FF"/>
                <w:sz w:val="22"/>
              </w:rPr>
              <w:t xml:space="preserve">INR/USD </w:t>
            </w:r>
            <w:r>
              <w:rPr>
                <w:color w:val="000000"/>
                <w:sz w:val="22"/>
              </w:rPr>
              <w:t>Per Diem</w:t>
            </w:r>
          </w:p>
          <w:p w:rsidR="00213E79" w:rsidRDefault="00213E79" w:rsidP="00FC166E">
            <w:pPr>
              <w:spacing w:line="262" w:lineRule="exact"/>
              <w:ind w:left="36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accom</w:t>
            </w:r>
            <w:proofErr w:type="spellEnd"/>
            <w:r>
              <w:rPr>
                <w:sz w:val="22"/>
              </w:rPr>
              <w:t>.&amp;</w:t>
            </w:r>
            <w:proofErr w:type="gramEnd"/>
            <w:r>
              <w:rPr>
                <w:sz w:val="22"/>
              </w:rPr>
              <w:t>food) per day =</w:t>
            </w:r>
          </w:p>
          <w:p w:rsidR="00213E79" w:rsidRDefault="00213E79" w:rsidP="00FC166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B. Per diem for 110 days =</w:t>
            </w:r>
          </w:p>
          <w:p w:rsidR="00213E79" w:rsidRDefault="00213E79" w:rsidP="00FC166E">
            <w:pPr>
              <w:spacing w:line="0" w:lineRule="atLeast"/>
              <w:ind w:left="360"/>
              <w:rPr>
                <w:sz w:val="22"/>
              </w:rPr>
            </w:pPr>
            <w:r>
              <w:rPr>
                <w:sz w:val="22"/>
              </w:rPr>
              <w:t>INR/USD</w:t>
            </w:r>
          </w:p>
          <w:p w:rsidR="00213E79" w:rsidRDefault="00213E79" w:rsidP="00FC166E">
            <w:pPr>
              <w:spacing w:line="0" w:lineRule="atLeast"/>
              <w:rPr>
                <w:sz w:val="22"/>
              </w:rPr>
            </w:pPr>
            <w:r w:rsidRPr="00EF60CF">
              <w:rPr>
                <w:sz w:val="22"/>
              </w:rPr>
              <w:t>C. Any other costs (Please specify) =</w:t>
            </w:r>
          </w:p>
          <w:p w:rsidR="00213E79" w:rsidRDefault="00213E79" w:rsidP="00FC166E">
            <w:pPr>
              <w:spacing w:line="0" w:lineRule="atLeast"/>
              <w:rPr>
                <w:sz w:val="22"/>
              </w:rPr>
            </w:pPr>
          </w:p>
          <w:p w:rsidR="00213E79" w:rsidRDefault="00213E79" w:rsidP="00213E79">
            <w:pPr>
              <w:tabs>
                <w:tab w:val="left" w:pos="38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Overall lumpsum cost for 23 trips= A + B + C = </w:t>
            </w: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2948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1"/>
            <w:bookmarkEnd w:id="0"/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Getting monthly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500 pledge donors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with ADS of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INR:700/- per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Assessment Report on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performance of teams,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individual performance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of the facers, team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leaders, weekly reports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on key KPIs.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 at the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end of every month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along with a list of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collaterals required,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for the month,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identified venues.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Monthly reports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for 11 months and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a final report at the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end of the contract</w:t>
            </w:r>
          </w:p>
        </w:tc>
        <w:tc>
          <w:tcPr>
            <w:tcW w:w="11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travel per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(2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w w:val="99"/>
                <w:sz w:val="24"/>
                <w:szCs w:val="24"/>
              </w:rPr>
              <w:t>travels to 2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</w:p>
          <w:p w:rsidR="00C054C2" w:rsidRPr="00AF5D73" w:rsidRDefault="00C054C2" w:rsidP="00FC166E">
            <w:pPr>
              <w:spacing w:line="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cities for 5</w:t>
            </w:r>
          </w:p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w w:val="98"/>
                <w:sz w:val="24"/>
                <w:szCs w:val="24"/>
              </w:rPr>
              <w:t>days</w:t>
            </w:r>
          </w:p>
        </w:tc>
        <w:tc>
          <w:tcPr>
            <w:tcW w:w="238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indicate your monthly professional fee against each month</w:t>
            </w:r>
          </w:p>
        </w:tc>
      </w:tr>
      <w:tr w:rsidR="004B1EBD" w:rsidRPr="00AF5D73" w:rsidTr="004B1EBD">
        <w:trPr>
          <w:gridBefore w:val="1"/>
          <w:gridAfter w:val="1"/>
          <w:wBefore w:w="89" w:type="dxa"/>
          <w:wAfter w:w="23" w:type="dxa"/>
          <w:trHeight w:val="19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7921" w:rsidRPr="00AF5D73" w:rsidRDefault="00E37921" w:rsidP="00FC166E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37921" w:rsidRPr="00AF5D73" w:rsidRDefault="00E37921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E37921" w:rsidRPr="00AF5D73" w:rsidRDefault="00E37921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37921" w:rsidRPr="00AF5D73" w:rsidRDefault="00E37921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1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37921" w:rsidRPr="00AF5D73" w:rsidRDefault="00E37921" w:rsidP="00FC166E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37921" w:rsidRPr="00AF5D73" w:rsidRDefault="00E37921" w:rsidP="00FC166E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7921" w:rsidRPr="00AF5D73" w:rsidRDefault="00E37921" w:rsidP="00FC166E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1053"/>
        </w:trPr>
        <w:tc>
          <w:tcPr>
            <w:tcW w:w="2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C5E0B3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980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980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3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890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620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4C2" w:rsidRPr="00AF5D73" w:rsidRDefault="00C054C2" w:rsidP="00FC166E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4C2" w:rsidRPr="00AF5D73" w:rsidTr="004B1EBD">
        <w:trPr>
          <w:gridBefore w:val="1"/>
          <w:gridAfter w:val="1"/>
          <w:wBefore w:w="89" w:type="dxa"/>
          <w:wAfter w:w="23" w:type="dxa"/>
          <w:trHeight w:val="586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Conduct mystery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shopping of F2F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done by other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Monthly Report, Travel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reports and KPI reports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1. Annual report –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lessons learned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2. Report on outcomes of mystery shopping</w:t>
            </w: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C2" w:rsidRPr="00AF5D73" w:rsidRDefault="00C054C2" w:rsidP="00FC166E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3. Strategies adopted by other non-profits that can be replicated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Month 11</w:t>
            </w:r>
          </w:p>
          <w:p w:rsidR="00C054C2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C2" w:rsidRPr="00AF5D73" w:rsidRDefault="00C054C2" w:rsidP="00FC166E">
            <w:pPr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12 (2-weeks)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54C2" w:rsidRPr="00AF5D73" w:rsidRDefault="00C054C2" w:rsidP="00FC166E">
            <w:pPr>
              <w:spacing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Conduct mystery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shopping of F2F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done by other</w:t>
            </w:r>
          </w:p>
          <w:p w:rsidR="00C054C2" w:rsidRPr="00AF5D73" w:rsidRDefault="00C054C2" w:rsidP="00FC166E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C054C2" w:rsidRPr="00AF5D73" w:rsidRDefault="00C054C2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21" w:rsidRPr="00AF5D73" w:rsidTr="00C054C2">
        <w:trPr>
          <w:gridBefore w:val="1"/>
          <w:wBefore w:w="89" w:type="dxa"/>
          <w:trHeight w:val="586"/>
        </w:trPr>
        <w:tc>
          <w:tcPr>
            <w:tcW w:w="106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E37921" w:rsidRPr="00AF5D73" w:rsidRDefault="00E37921" w:rsidP="00FC166E">
            <w:pPr>
              <w:spacing w:line="234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 w:cs="Times New Roman"/>
                <w:b/>
                <w:sz w:val="24"/>
                <w:szCs w:val="24"/>
              </w:rPr>
              <w:t>TOTAL AMOUNT IN INR or USD</w:t>
            </w:r>
          </w:p>
          <w:p w:rsidR="00E37921" w:rsidRPr="00AF5D73" w:rsidRDefault="00E37921" w:rsidP="00FC16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921" w:rsidRPr="00AF5D73" w:rsidRDefault="00E37921" w:rsidP="00E37921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Start w:id="2" w:name="page12"/>
      <w:bookmarkEnd w:id="1"/>
      <w:bookmarkEnd w:id="2"/>
    </w:p>
    <w:p w:rsidR="00E37921" w:rsidRPr="00AF5D73" w:rsidRDefault="00E37921" w:rsidP="00E37921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52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(Candidates based in India should quote in INR and those outside India should quote in USD)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i/>
          <w:sz w:val="24"/>
          <w:szCs w:val="24"/>
        </w:rPr>
      </w:pPr>
      <w:r w:rsidRPr="00AF5D73">
        <w:rPr>
          <w:rFonts w:ascii="Times New Roman" w:hAnsi="Times New Roman" w:cs="Times New Roman"/>
          <w:i/>
          <w:sz w:val="24"/>
          <w:szCs w:val="24"/>
        </w:rPr>
        <w:t>Shaded area to be filled in by consultant/Contractor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Name of the Bidder: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Signature of the bidder: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E37921" w:rsidRPr="00AF5D73" w:rsidRDefault="00E37921" w:rsidP="00E37921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Contact no.: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r w:rsidRPr="00AF5D73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E37921" w:rsidRPr="00AF5D73" w:rsidRDefault="00E37921" w:rsidP="00E37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0" w:lineRule="atLeast"/>
        <w:ind w:left="6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D73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</w:p>
    <w:p w:rsidR="00E37921" w:rsidRPr="00AF5D73" w:rsidRDefault="00E37921" w:rsidP="00E37921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273" w:lineRule="auto"/>
        <w:ind w:left="69" w:right="440" w:hanging="719"/>
        <w:rPr>
          <w:rFonts w:ascii="Times New Roman" w:eastAsia="Times New Roman" w:hAnsi="Times New Roman" w:cs="Times New Roman"/>
          <w:sz w:val="24"/>
          <w:szCs w:val="24"/>
        </w:rPr>
      </w:pPr>
      <w:r w:rsidRPr="00AF5D73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Pr="00AF5D73">
        <w:rPr>
          <w:rFonts w:ascii="Times New Roman" w:eastAsia="Times New Roman" w:hAnsi="Times New Roman" w:cs="Times New Roman"/>
          <w:sz w:val="24"/>
          <w:szCs w:val="24"/>
        </w:rPr>
        <w:t>The contractor will work on his/her own computer(s) and use his/her own office resources and</w:t>
      </w:r>
      <w:r w:rsidRPr="00AF5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D73">
        <w:rPr>
          <w:rFonts w:ascii="Times New Roman" w:eastAsia="Times New Roman" w:hAnsi="Times New Roman" w:cs="Times New Roman"/>
          <w:sz w:val="24"/>
          <w:szCs w:val="24"/>
        </w:rPr>
        <w:t xml:space="preserve">materials in the execution of this assignment, including personal email address(es) and mobile/smart phones. The contractor’s fee shall be inclusive of all office administrative costs. The contractor will also be responsible for making all logistic arrangements regarding his ticketing, accommodation </w:t>
      </w:r>
      <w:proofErr w:type="spellStart"/>
      <w:r w:rsidRPr="00AF5D73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AF5D73">
        <w:rPr>
          <w:rFonts w:ascii="Times New Roman" w:eastAsia="Times New Roman" w:hAnsi="Times New Roman" w:cs="Times New Roman"/>
          <w:sz w:val="24"/>
          <w:szCs w:val="24"/>
        </w:rPr>
        <w:t xml:space="preserve"> during official travels. The contractor is expected to provide the travel costs for per day (all inclusive)</w:t>
      </w:r>
    </w:p>
    <w:p w:rsidR="00E37921" w:rsidRPr="00AF5D73" w:rsidRDefault="00E37921" w:rsidP="00E3792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7921" w:rsidRPr="00AF5D73" w:rsidRDefault="00E37921" w:rsidP="00E37921">
      <w:pPr>
        <w:spacing w:line="1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3743" w:rsidRDefault="00B43743">
      <w:bookmarkStart w:id="3" w:name="_GoBack"/>
      <w:bookmarkEnd w:id="3"/>
    </w:p>
    <w:sectPr w:rsidR="00B43743" w:rsidSect="00C054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22221A7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DED4D2E"/>
    <w:multiLevelType w:val="hybridMultilevel"/>
    <w:tmpl w:val="147EACDA"/>
    <w:lvl w:ilvl="0" w:tplc="A18A9F4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1"/>
    <w:rsid w:val="00213E79"/>
    <w:rsid w:val="004B1EBD"/>
    <w:rsid w:val="00B43743"/>
    <w:rsid w:val="00C054C2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60B3BD"/>
  <w15:chartTrackingRefBased/>
  <w15:docId w15:val="{366E854D-2B2E-44AA-922C-50A4292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9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2</cp:revision>
  <dcterms:created xsi:type="dcterms:W3CDTF">2020-02-12T11:57:00Z</dcterms:created>
  <dcterms:modified xsi:type="dcterms:W3CDTF">2020-02-12T12:27:00Z</dcterms:modified>
</cp:coreProperties>
</file>