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E0AC" w14:textId="77777777" w:rsidR="009E5281" w:rsidRDefault="009E5281" w:rsidP="007D251C">
      <w:pPr>
        <w:pStyle w:val="Title"/>
        <w:jc w:val="left"/>
      </w:pPr>
    </w:p>
    <w:tbl>
      <w:tblPr>
        <w:tblW w:w="9810" w:type="dxa"/>
        <w:tblInd w:w="-52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980"/>
        <w:gridCol w:w="7830"/>
      </w:tblGrid>
      <w:tr w:rsidR="007D251C" w14:paraId="3571FB41" w14:textId="77777777" w:rsidTr="0015124B">
        <w:trPr>
          <w:cantSplit/>
          <w:trHeight w:val="1485"/>
        </w:trPr>
        <w:tc>
          <w:tcPr>
            <w:tcW w:w="1980" w:type="dxa"/>
            <w:shd w:val="clear" w:color="auto" w:fill="FFFFFF"/>
            <w:vAlign w:val="center"/>
          </w:tcPr>
          <w:p w14:paraId="5AFFF888" w14:textId="5392BBDD" w:rsidR="007D251C" w:rsidRPr="00C87D05" w:rsidRDefault="00712AAF">
            <w:pPr>
              <w:jc w:val="center"/>
              <w:rPr>
                <w:b/>
                <w:color w:val="FF0000"/>
                <w:sz w:val="22"/>
              </w:rPr>
            </w:pPr>
            <w:r w:rsidRPr="00325D10">
              <w:rPr>
                <w:noProof/>
              </w:rPr>
              <w:drawing>
                <wp:inline distT="0" distB="0" distL="0" distR="0" wp14:anchorId="7B465822" wp14:editId="5FD3989E">
                  <wp:extent cx="850900" cy="97790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830" w:type="dxa"/>
            <w:shd w:val="clear" w:color="auto" w:fill="FFFFFF"/>
          </w:tcPr>
          <w:p w14:paraId="28EE4F47" w14:textId="77777777" w:rsidR="007D251C" w:rsidRDefault="007D251C" w:rsidP="007D251C">
            <w:pPr>
              <w:jc w:val="center"/>
              <w:rPr>
                <w:b/>
                <w:sz w:val="22"/>
              </w:rPr>
            </w:pPr>
          </w:p>
          <w:p w14:paraId="59641069" w14:textId="77777777" w:rsidR="007D251C" w:rsidRDefault="007D251C" w:rsidP="007D251C">
            <w:pPr>
              <w:jc w:val="center"/>
              <w:rPr>
                <w:b/>
                <w:sz w:val="22"/>
              </w:rPr>
            </w:pPr>
          </w:p>
          <w:p w14:paraId="6ED68022" w14:textId="77777777" w:rsidR="007D251C" w:rsidRDefault="007D251C" w:rsidP="007D251C">
            <w:pPr>
              <w:jc w:val="center"/>
              <w:rPr>
                <w:b/>
                <w:sz w:val="22"/>
              </w:rPr>
            </w:pPr>
          </w:p>
          <w:p w14:paraId="35FE7916" w14:textId="77777777" w:rsidR="007D251C" w:rsidRDefault="007D251C" w:rsidP="007D251C">
            <w:pPr>
              <w:jc w:val="center"/>
              <w:rPr>
                <w:b/>
                <w:sz w:val="22"/>
              </w:rPr>
            </w:pPr>
            <w:r>
              <w:rPr>
                <w:b/>
                <w:sz w:val="22"/>
              </w:rPr>
              <w:t>UNITED NATIONS CHILDREN’S FUND</w:t>
            </w:r>
          </w:p>
          <w:p w14:paraId="7E7807A5" w14:textId="77777777" w:rsidR="007D251C" w:rsidRDefault="007D251C" w:rsidP="007D251C">
            <w:pPr>
              <w:jc w:val="center"/>
              <w:rPr>
                <w:b/>
                <w:sz w:val="22"/>
              </w:rPr>
            </w:pPr>
            <w:r>
              <w:rPr>
                <w:b/>
                <w:sz w:val="22"/>
              </w:rPr>
              <w:t>(GENERIC) JOB PROFILE</w:t>
            </w:r>
          </w:p>
          <w:p w14:paraId="5DCA5028" w14:textId="77777777" w:rsidR="007D251C" w:rsidRDefault="007D251C" w:rsidP="007D251C">
            <w:pPr>
              <w:jc w:val="center"/>
            </w:pPr>
          </w:p>
        </w:tc>
      </w:tr>
    </w:tbl>
    <w:p w14:paraId="70C0B597" w14:textId="77777777" w:rsidR="007D251C" w:rsidRDefault="007D251C" w:rsidP="007D251C">
      <w:pPr>
        <w:pStyle w:val="Title"/>
        <w:jc w:val="left"/>
      </w:pPr>
    </w:p>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860"/>
      </w:tblGrid>
      <w:tr w:rsidR="007D251C" w14:paraId="40F81F45" w14:textId="77777777" w:rsidTr="75654A63">
        <w:tc>
          <w:tcPr>
            <w:tcW w:w="9810" w:type="dxa"/>
            <w:gridSpan w:val="2"/>
            <w:shd w:val="clear" w:color="auto" w:fill="E0E0E0"/>
          </w:tcPr>
          <w:p w14:paraId="2C035EEA" w14:textId="77777777" w:rsidR="007D251C" w:rsidRDefault="007D251C"/>
          <w:p w14:paraId="185CF0A1" w14:textId="77777777" w:rsidR="007D251C" w:rsidRDefault="007D251C">
            <w:pPr>
              <w:rPr>
                <w:b/>
                <w:bCs/>
                <w:sz w:val="24"/>
              </w:rPr>
            </w:pPr>
            <w:r>
              <w:rPr>
                <w:b/>
                <w:bCs/>
                <w:sz w:val="24"/>
              </w:rPr>
              <w:t>I. Post Information</w:t>
            </w:r>
          </w:p>
          <w:p w14:paraId="40881E1D" w14:textId="77777777" w:rsidR="007D251C" w:rsidRDefault="007D251C">
            <w:pPr>
              <w:rPr>
                <w:b/>
                <w:bCs/>
                <w:sz w:val="24"/>
              </w:rPr>
            </w:pPr>
          </w:p>
        </w:tc>
      </w:tr>
      <w:tr w:rsidR="007D251C" w14:paraId="21AAD13D" w14:textId="77777777" w:rsidTr="75654A63">
        <w:tc>
          <w:tcPr>
            <w:tcW w:w="4950" w:type="dxa"/>
          </w:tcPr>
          <w:p w14:paraId="338C9E31" w14:textId="409C2F37" w:rsidR="007D251C" w:rsidRPr="00643357" w:rsidRDefault="007D251C" w:rsidP="75654A63">
            <w:pPr>
              <w:rPr>
                <w:b/>
                <w:bCs/>
              </w:rPr>
            </w:pPr>
            <w:r>
              <w:t xml:space="preserve">Job Title: </w:t>
            </w:r>
            <w:r w:rsidR="00226247" w:rsidRPr="75654A63">
              <w:rPr>
                <w:b/>
                <w:bCs/>
              </w:rPr>
              <w:t>Health &amp;</w:t>
            </w:r>
            <w:r w:rsidRPr="75654A63">
              <w:rPr>
                <w:b/>
                <w:bCs/>
              </w:rPr>
              <w:t xml:space="preserve"> Nutrition Officer</w:t>
            </w:r>
            <w:r w:rsidR="00226247" w:rsidRPr="75654A63">
              <w:rPr>
                <w:b/>
                <w:bCs/>
              </w:rPr>
              <w:t xml:space="preserve"> </w:t>
            </w:r>
            <w:r w:rsidR="468188B0" w:rsidRPr="75654A63">
              <w:rPr>
                <w:b/>
                <w:bCs/>
              </w:rPr>
              <w:t>(sub</w:t>
            </w:r>
            <w:r w:rsidR="002A453A" w:rsidRPr="75654A63">
              <w:rPr>
                <w:b/>
                <w:bCs/>
              </w:rPr>
              <w:t xml:space="preserve"> national Nutrition </w:t>
            </w:r>
            <w:r w:rsidR="00226247" w:rsidRPr="75654A63">
              <w:rPr>
                <w:b/>
                <w:bCs/>
              </w:rPr>
              <w:t>Cluster Coordination)</w:t>
            </w:r>
          </w:p>
          <w:p w14:paraId="349D8821" w14:textId="74BB3D20" w:rsidR="007D251C" w:rsidRPr="00D8481D" w:rsidRDefault="007D251C" w:rsidP="007D251C">
            <w:pPr>
              <w:rPr>
                <w:b/>
              </w:rPr>
            </w:pPr>
            <w:r>
              <w:t xml:space="preserve">Supervisor Title/ </w:t>
            </w:r>
            <w:r w:rsidR="00F42EE1">
              <w:t>Level:</w:t>
            </w:r>
            <w:r w:rsidR="00F42EE1">
              <w:rPr>
                <w:b/>
              </w:rPr>
              <w:t xml:space="preserve"> </w:t>
            </w:r>
            <w:r w:rsidR="00EA4937">
              <w:rPr>
                <w:b/>
              </w:rPr>
              <w:t xml:space="preserve">Chief </w:t>
            </w:r>
            <w:r w:rsidR="00873630">
              <w:rPr>
                <w:b/>
              </w:rPr>
              <w:t>of Field Office</w:t>
            </w:r>
            <w:r w:rsidR="009C0D13">
              <w:rPr>
                <w:b/>
              </w:rPr>
              <w:t xml:space="preserve"> </w:t>
            </w:r>
          </w:p>
          <w:p w14:paraId="1A7C3B06" w14:textId="77777777" w:rsidR="007D251C" w:rsidRPr="00D8481D" w:rsidRDefault="007D251C" w:rsidP="007D251C">
            <w:pPr>
              <w:rPr>
                <w:b/>
              </w:rPr>
            </w:pPr>
            <w:r>
              <w:t xml:space="preserve">Organizational Unit: </w:t>
            </w:r>
            <w:r w:rsidR="00C92DDB">
              <w:rPr>
                <w:b/>
              </w:rPr>
              <w:t>Program</w:t>
            </w:r>
            <w:r w:rsidR="009B4D85">
              <w:rPr>
                <w:b/>
              </w:rPr>
              <w:t>me</w:t>
            </w:r>
            <w:r>
              <w:rPr>
                <w:b/>
              </w:rPr>
              <w:t xml:space="preserve"> </w:t>
            </w:r>
          </w:p>
          <w:p w14:paraId="422007DF" w14:textId="77777777" w:rsidR="007D251C" w:rsidRDefault="007D251C" w:rsidP="007D251C">
            <w:pPr>
              <w:rPr>
                <w:b/>
                <w:bCs/>
              </w:rPr>
            </w:pPr>
            <w:r>
              <w:t xml:space="preserve">Post Location: </w:t>
            </w:r>
            <w:r w:rsidR="00873630">
              <w:rPr>
                <w:b/>
              </w:rPr>
              <w:t xml:space="preserve">Myitkyina Field </w:t>
            </w:r>
            <w:r w:rsidR="00873630" w:rsidRPr="5E05BA3E">
              <w:rPr>
                <w:b/>
                <w:bCs/>
              </w:rPr>
              <w:t>Office</w:t>
            </w:r>
          </w:p>
          <w:p w14:paraId="2AF11146" w14:textId="353BC326" w:rsidR="00BB480E" w:rsidRPr="00BB480E" w:rsidRDefault="00BB480E" w:rsidP="007D251C">
            <w:r>
              <w:t xml:space="preserve">Duration of the contract: 364 days, possibility of extension based on programme requirements and funding availability </w:t>
            </w:r>
          </w:p>
        </w:tc>
        <w:tc>
          <w:tcPr>
            <w:tcW w:w="4860" w:type="dxa"/>
          </w:tcPr>
          <w:p w14:paraId="7D3077D4" w14:textId="77777777" w:rsidR="007D251C" w:rsidRDefault="007D251C"/>
          <w:p w14:paraId="4771F235" w14:textId="77777777" w:rsidR="007D251C" w:rsidRPr="00D810B2" w:rsidRDefault="007D251C" w:rsidP="007D251C">
            <w:pPr>
              <w:rPr>
                <w:b/>
              </w:rPr>
            </w:pPr>
            <w:r>
              <w:t xml:space="preserve">Job Level: </w:t>
            </w:r>
            <w:r>
              <w:rPr>
                <w:b/>
              </w:rPr>
              <w:t>Level 2</w:t>
            </w:r>
          </w:p>
          <w:p w14:paraId="7965AE32" w14:textId="2DF833D6" w:rsidR="007D251C" w:rsidRDefault="007D251C">
            <w:r>
              <w:t xml:space="preserve">Job Profile No.: </w:t>
            </w:r>
            <w:r w:rsidR="00D369E9">
              <w:t>130591</w:t>
            </w:r>
          </w:p>
          <w:p w14:paraId="4CD8B74A" w14:textId="77777777" w:rsidR="007D251C" w:rsidRDefault="007D251C">
            <w:r>
              <w:t>CCOG Code:</w:t>
            </w:r>
            <w:r w:rsidR="00EA4937">
              <w:t xml:space="preserve"> </w:t>
            </w:r>
            <w:r w:rsidR="00EA4937" w:rsidRPr="00EA4937">
              <w:rPr>
                <w:b/>
              </w:rPr>
              <w:t>1I02</w:t>
            </w:r>
          </w:p>
          <w:p w14:paraId="30FC66ED" w14:textId="77777777" w:rsidR="007D251C" w:rsidRDefault="007D251C">
            <w:r>
              <w:t>Functional Code:</w:t>
            </w:r>
            <w:r w:rsidR="00EA4937">
              <w:t xml:space="preserve"> </w:t>
            </w:r>
            <w:r w:rsidR="00233720" w:rsidRPr="00233720">
              <w:rPr>
                <w:b/>
                <w:bCs/>
              </w:rPr>
              <w:t>HEL and</w:t>
            </w:r>
            <w:r w:rsidR="00233720">
              <w:t xml:space="preserve"> </w:t>
            </w:r>
            <w:r w:rsidR="00EA4937" w:rsidRPr="00EA4937">
              <w:rPr>
                <w:b/>
              </w:rPr>
              <w:t>NUT</w:t>
            </w:r>
          </w:p>
          <w:p w14:paraId="5E057227" w14:textId="77777777" w:rsidR="007D251C" w:rsidRDefault="007D251C" w:rsidP="007D251C">
            <w:pPr>
              <w:rPr>
                <w:b/>
              </w:rPr>
            </w:pPr>
            <w:r>
              <w:t xml:space="preserve">Job Classification Level: </w:t>
            </w:r>
            <w:r w:rsidR="00EA4937" w:rsidRPr="00EA4937">
              <w:rPr>
                <w:b/>
              </w:rPr>
              <w:t xml:space="preserve">Level 2 </w:t>
            </w:r>
          </w:p>
          <w:p w14:paraId="11F93D21" w14:textId="77777777" w:rsidR="007D251C" w:rsidRDefault="007D251C" w:rsidP="00BB480E"/>
        </w:tc>
      </w:tr>
    </w:tbl>
    <w:p w14:paraId="3129D81E" w14:textId="77777777" w:rsidR="007D251C" w:rsidRDefault="007D251C"/>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7D251C" w14:paraId="7AC628B5" w14:textId="77777777" w:rsidTr="50173D5E">
        <w:tc>
          <w:tcPr>
            <w:tcW w:w="9810" w:type="dxa"/>
            <w:tcBorders>
              <w:bottom w:val="single" w:sz="4" w:space="0" w:color="auto"/>
            </w:tcBorders>
            <w:shd w:val="clear" w:color="auto" w:fill="E0E0E0"/>
          </w:tcPr>
          <w:p w14:paraId="2D54D143" w14:textId="77777777" w:rsidR="007D251C" w:rsidRDefault="007D251C">
            <w:pPr>
              <w:pStyle w:val="Heading1"/>
            </w:pPr>
          </w:p>
          <w:p w14:paraId="29ECD36E" w14:textId="77777777" w:rsidR="007D251C" w:rsidRDefault="007D251C">
            <w:pPr>
              <w:pStyle w:val="Heading1"/>
            </w:pPr>
            <w:r>
              <w:t>II. Organizational Context and Purpose for the job</w:t>
            </w:r>
          </w:p>
          <w:p w14:paraId="7D77DF80" w14:textId="77777777" w:rsidR="007D251C" w:rsidRDefault="007D251C">
            <w:pPr>
              <w:pStyle w:val="Heading1"/>
              <w:rPr>
                <w:b w:val="0"/>
                <w:bCs w:val="0"/>
                <w:i/>
                <w:iCs/>
                <w:sz w:val="18"/>
              </w:rPr>
            </w:pPr>
          </w:p>
        </w:tc>
      </w:tr>
      <w:tr w:rsidR="007D251C" w14:paraId="0642B7F8" w14:textId="77777777" w:rsidTr="50173D5E">
        <w:tc>
          <w:tcPr>
            <w:tcW w:w="9810" w:type="dxa"/>
          </w:tcPr>
          <w:p w14:paraId="1F14A7A9" w14:textId="77777777" w:rsidR="007D251C" w:rsidRDefault="007D251C"/>
          <w:p w14:paraId="7670B444" w14:textId="77777777" w:rsidR="007D251C" w:rsidRPr="009A5A1E" w:rsidRDefault="007D251C" w:rsidP="007D251C">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w:t>
            </w:r>
            <w:r w:rsidR="00EA4937">
              <w:rPr>
                <w:rFonts w:cs="Cambria"/>
                <w:bCs/>
                <w:szCs w:val="32"/>
              </w:rPr>
              <w:t>programme</w:t>
            </w:r>
            <w:r>
              <w:rPr>
                <w:rFonts w:cs="Cambria"/>
                <w:bCs/>
                <w:szCs w:val="32"/>
              </w:rPr>
              <w:t>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w:t>
            </w:r>
            <w:r w:rsidR="00D65E7D">
              <w:rPr>
                <w:rFonts w:cs="Cambria"/>
                <w:bCs/>
                <w:szCs w:val="32"/>
              </w:rPr>
              <w:t xml:space="preserve"> nutrition,</w:t>
            </w:r>
            <w:r w:rsidRPr="00163786">
              <w:rPr>
                <w:rFonts w:cs="Cambria"/>
                <w:bCs/>
                <w:szCs w:val="32"/>
              </w:rPr>
              <w:t xml:space="preserve">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1E4182">
              <w:rPr>
                <w:rFonts w:cs="Cambria"/>
                <w:bCs/>
                <w:szCs w:val="32"/>
              </w:rPr>
              <w:t>s</w:t>
            </w:r>
            <w:r w:rsidRPr="00163786">
              <w:rPr>
                <w:rFonts w:cs="Arial"/>
                <w:szCs w:val="26"/>
              </w:rPr>
              <w:t>.</w:t>
            </w:r>
          </w:p>
          <w:p w14:paraId="5CC0858B" w14:textId="77777777" w:rsidR="007D251C" w:rsidRPr="00E557F1" w:rsidRDefault="007D251C" w:rsidP="007D251C">
            <w:pPr>
              <w:jc w:val="both"/>
              <w:rPr>
                <w:rFonts w:cs="Arial"/>
                <w:szCs w:val="20"/>
              </w:rPr>
            </w:pPr>
          </w:p>
          <w:p w14:paraId="60D0149D" w14:textId="77777777" w:rsidR="00373821" w:rsidRPr="00E557F1" w:rsidRDefault="007D251C" w:rsidP="007D251C">
            <w:pPr>
              <w:jc w:val="both"/>
              <w:rPr>
                <w:rFonts w:cs="Arial"/>
                <w:szCs w:val="20"/>
              </w:rPr>
            </w:pPr>
            <w:r w:rsidRPr="00E557F1">
              <w:rPr>
                <w:rFonts w:cs="Arial"/>
                <w:b/>
                <w:szCs w:val="20"/>
                <w:u w:val="single"/>
              </w:rPr>
              <w:t>Job organizational context</w:t>
            </w:r>
            <w:r w:rsidRPr="00E557F1">
              <w:rPr>
                <w:rFonts w:cs="Arial"/>
                <w:szCs w:val="20"/>
                <w:u w:val="single"/>
              </w:rPr>
              <w:t>:</w:t>
            </w:r>
            <w:r w:rsidRPr="00E557F1">
              <w:rPr>
                <w:rFonts w:cs="Arial"/>
                <w:szCs w:val="20"/>
              </w:rPr>
              <w:t xml:space="preserve"> </w:t>
            </w:r>
          </w:p>
          <w:p w14:paraId="29B3B330" w14:textId="77777777" w:rsidR="00373821" w:rsidRPr="00E557F1" w:rsidRDefault="00373821" w:rsidP="007D251C">
            <w:pPr>
              <w:jc w:val="both"/>
              <w:rPr>
                <w:rFonts w:cs="Arial"/>
                <w:szCs w:val="20"/>
              </w:rPr>
            </w:pPr>
          </w:p>
          <w:p w14:paraId="314151DD" w14:textId="761ED183" w:rsidR="003A7E81" w:rsidRPr="00E557F1" w:rsidRDefault="003A7E81" w:rsidP="007D251C">
            <w:pPr>
              <w:jc w:val="both"/>
              <w:rPr>
                <w:rFonts w:cs="Arial"/>
                <w:szCs w:val="20"/>
              </w:rPr>
            </w:pPr>
            <w:r w:rsidRPr="00E557F1">
              <w:rPr>
                <w:rFonts w:cs="Arial"/>
                <w:szCs w:val="20"/>
              </w:rPr>
              <w:t xml:space="preserve">Under the direct supervision of </w:t>
            </w:r>
            <w:r w:rsidRPr="00E557F1">
              <w:rPr>
                <w:rFonts w:cs="Arial"/>
                <w:bCs/>
                <w:szCs w:val="20"/>
              </w:rPr>
              <w:t xml:space="preserve">the Chief field office and technical guidance from the national Nutrition Manager and the national cluster coordinator, </w:t>
            </w:r>
            <w:r w:rsidRPr="00E557F1">
              <w:rPr>
                <w:rFonts w:cs="Arial"/>
                <w:szCs w:val="20"/>
              </w:rPr>
              <w:t xml:space="preserve">the health, and nutrition Officer (sub-national Nutrition Cluster Coordination) will be based in Myitkyina field office. </w:t>
            </w:r>
          </w:p>
          <w:p w14:paraId="5E4361DD" w14:textId="77777777" w:rsidR="007D251C" w:rsidRDefault="007D251C" w:rsidP="007D251C">
            <w:pPr>
              <w:jc w:val="both"/>
              <w:rPr>
                <w:color w:val="FF0000"/>
              </w:rPr>
            </w:pPr>
          </w:p>
          <w:p w14:paraId="5A0E4AB4" w14:textId="77777777" w:rsidR="00373821" w:rsidRPr="00E557F1" w:rsidRDefault="007D251C" w:rsidP="007D251C">
            <w:pPr>
              <w:jc w:val="both"/>
              <w:rPr>
                <w:szCs w:val="20"/>
              </w:rPr>
            </w:pPr>
            <w:r w:rsidRPr="00E557F1">
              <w:rPr>
                <w:b/>
                <w:szCs w:val="20"/>
                <w:u w:val="single"/>
              </w:rPr>
              <w:t>Purpose for the job:</w:t>
            </w:r>
            <w:r w:rsidR="00EA4937" w:rsidRPr="00E557F1">
              <w:rPr>
                <w:szCs w:val="20"/>
              </w:rPr>
              <w:t xml:space="preserve"> </w:t>
            </w:r>
          </w:p>
          <w:p w14:paraId="7154B90C" w14:textId="77777777" w:rsidR="00373821" w:rsidRPr="00E557F1" w:rsidRDefault="00373821" w:rsidP="007D251C">
            <w:pPr>
              <w:jc w:val="both"/>
              <w:rPr>
                <w:szCs w:val="20"/>
              </w:rPr>
            </w:pPr>
          </w:p>
          <w:p w14:paraId="5A4C0382" w14:textId="1C29461E" w:rsidR="007D251C" w:rsidRPr="00E557F1" w:rsidRDefault="007D251C" w:rsidP="007D251C">
            <w:pPr>
              <w:jc w:val="both"/>
              <w:rPr>
                <w:szCs w:val="20"/>
              </w:rPr>
            </w:pPr>
            <w:r w:rsidRPr="00E557F1">
              <w:rPr>
                <w:szCs w:val="20"/>
              </w:rPr>
              <w:t>The</w:t>
            </w:r>
            <w:r w:rsidR="00EA4937" w:rsidRPr="00E557F1">
              <w:rPr>
                <w:szCs w:val="20"/>
              </w:rPr>
              <w:t xml:space="preserve"> </w:t>
            </w:r>
            <w:r w:rsidR="00226247" w:rsidRPr="00E557F1">
              <w:rPr>
                <w:szCs w:val="20"/>
              </w:rPr>
              <w:t xml:space="preserve">Health &amp; </w:t>
            </w:r>
            <w:r w:rsidR="00EA4937" w:rsidRPr="00E557F1">
              <w:rPr>
                <w:szCs w:val="20"/>
              </w:rPr>
              <w:t>Nutrition</w:t>
            </w:r>
            <w:r w:rsidRPr="00E557F1">
              <w:rPr>
                <w:szCs w:val="20"/>
              </w:rPr>
              <w:t xml:space="preserve"> Officer provides professional technical, </w:t>
            </w:r>
            <w:r w:rsidR="0015124B" w:rsidRPr="00E557F1">
              <w:rPr>
                <w:szCs w:val="20"/>
              </w:rPr>
              <w:t>operational,</w:t>
            </w:r>
            <w:r w:rsidRPr="00E557F1">
              <w:rPr>
                <w:szCs w:val="20"/>
              </w:rPr>
              <w:t xml:space="preserve"> and administrative assistance throughout the </w:t>
            </w:r>
            <w:r w:rsidR="00EA4937" w:rsidRPr="00E557F1">
              <w:rPr>
                <w:szCs w:val="20"/>
              </w:rPr>
              <w:t>programming</w:t>
            </w:r>
            <w:r w:rsidRPr="00E557F1">
              <w:rPr>
                <w:szCs w:val="20"/>
              </w:rPr>
              <w:t xml:space="preserve"> process for the</w:t>
            </w:r>
            <w:r w:rsidR="46E0B117" w:rsidRPr="00E557F1">
              <w:rPr>
                <w:szCs w:val="20"/>
              </w:rPr>
              <w:t xml:space="preserve"> maternal, newborn</w:t>
            </w:r>
            <w:r w:rsidR="32BC0159" w:rsidRPr="00E557F1">
              <w:rPr>
                <w:szCs w:val="20"/>
              </w:rPr>
              <w:t>, child health (MNCH), immunization and</w:t>
            </w:r>
            <w:r w:rsidRPr="00E557F1">
              <w:rPr>
                <w:szCs w:val="20"/>
              </w:rPr>
              <w:t xml:space="preserve"> nutrition </w:t>
            </w:r>
            <w:r w:rsidR="00EA4937" w:rsidRPr="00E557F1">
              <w:rPr>
                <w:szCs w:val="20"/>
              </w:rPr>
              <w:t>programme</w:t>
            </w:r>
            <w:r w:rsidRPr="00E557F1">
              <w:rPr>
                <w:szCs w:val="20"/>
              </w:rPr>
              <w:t xml:space="preserve">s/projects within the Country </w:t>
            </w:r>
            <w:r w:rsidR="00EA4937" w:rsidRPr="00E557F1">
              <w:rPr>
                <w:szCs w:val="20"/>
              </w:rPr>
              <w:t xml:space="preserve">Programme, </w:t>
            </w:r>
            <w:r w:rsidRPr="00E557F1">
              <w:rPr>
                <w:szCs w:val="20"/>
              </w:rPr>
              <w:t>from development p</w:t>
            </w:r>
            <w:r w:rsidR="00373821" w:rsidRPr="00E557F1">
              <w:rPr>
                <w:szCs w:val="20"/>
              </w:rPr>
              <w:t>lanning to delivery of results</w:t>
            </w:r>
            <w:r w:rsidR="00873630" w:rsidRPr="00E557F1">
              <w:rPr>
                <w:szCs w:val="20"/>
              </w:rPr>
              <w:t xml:space="preserve"> </w:t>
            </w:r>
            <w:r w:rsidR="0037063C" w:rsidRPr="00E557F1">
              <w:rPr>
                <w:color w:val="000000" w:themeColor="text1"/>
                <w:szCs w:val="20"/>
              </w:rPr>
              <w:t xml:space="preserve">with particular focus </w:t>
            </w:r>
            <w:r w:rsidR="0037063C" w:rsidRPr="00E557F1">
              <w:rPr>
                <w:szCs w:val="20"/>
              </w:rPr>
              <w:t>on</w:t>
            </w:r>
            <w:r w:rsidR="00873630" w:rsidRPr="00E557F1">
              <w:rPr>
                <w:szCs w:val="20"/>
              </w:rPr>
              <w:t xml:space="preserve"> the sub-national </w:t>
            </w:r>
            <w:r w:rsidR="00D66FC8" w:rsidRPr="00E557F1">
              <w:rPr>
                <w:szCs w:val="20"/>
              </w:rPr>
              <w:t xml:space="preserve">nutrition cluster </w:t>
            </w:r>
            <w:r w:rsidR="00873630" w:rsidRPr="00E557F1">
              <w:rPr>
                <w:szCs w:val="20"/>
              </w:rPr>
              <w:t>coordination</w:t>
            </w:r>
            <w:r w:rsidR="00D66FC8" w:rsidRPr="00E557F1">
              <w:rPr>
                <w:szCs w:val="20"/>
              </w:rPr>
              <w:t xml:space="preserve"> for coordinated and harmonized nutrition response</w:t>
            </w:r>
            <w:r w:rsidR="00373821" w:rsidRPr="00E557F1">
              <w:rPr>
                <w:szCs w:val="20"/>
              </w:rPr>
              <w:t>. In doing so, the incumbent implements</w:t>
            </w:r>
            <w:r w:rsidRPr="00E557F1">
              <w:rPr>
                <w:szCs w:val="20"/>
              </w:rPr>
              <w:t xml:space="preserve"> a variety of technical and administrative </w:t>
            </w:r>
            <w:r w:rsidR="00EA4937" w:rsidRPr="00E557F1">
              <w:rPr>
                <w:szCs w:val="20"/>
              </w:rPr>
              <w:t>programme</w:t>
            </w:r>
            <w:r w:rsidRPr="00E557F1">
              <w:rPr>
                <w:szCs w:val="20"/>
              </w:rPr>
              <w:t xml:space="preserve"> tasks to facilitate </w:t>
            </w:r>
            <w:r w:rsidR="00EA4937" w:rsidRPr="00E557F1">
              <w:rPr>
                <w:szCs w:val="20"/>
              </w:rPr>
              <w:t>programme</w:t>
            </w:r>
            <w:r w:rsidRPr="00E557F1">
              <w:rPr>
                <w:szCs w:val="20"/>
              </w:rPr>
              <w:t xml:space="preserve"> development, implementation, </w:t>
            </w:r>
            <w:r w:rsidR="00B650C0" w:rsidRPr="00E557F1">
              <w:rPr>
                <w:szCs w:val="20"/>
              </w:rPr>
              <w:t xml:space="preserve">data collection, </w:t>
            </w:r>
            <w:r w:rsidR="00EA4937" w:rsidRPr="00E557F1">
              <w:rPr>
                <w:szCs w:val="20"/>
              </w:rPr>
              <w:t>programme progress monitoring, evaluation</w:t>
            </w:r>
            <w:r w:rsidR="00373821" w:rsidRPr="00E557F1">
              <w:rPr>
                <w:szCs w:val="20"/>
              </w:rPr>
              <w:t>,</w:t>
            </w:r>
            <w:r w:rsidRPr="00E557F1">
              <w:rPr>
                <w:szCs w:val="20"/>
              </w:rPr>
              <w:t xml:space="preserve"> and reporting of results.</w:t>
            </w:r>
          </w:p>
          <w:p w14:paraId="312F7FB3" w14:textId="77777777" w:rsidR="007D251C" w:rsidRDefault="007D251C" w:rsidP="007D251C">
            <w:pPr>
              <w:jc w:val="both"/>
            </w:pPr>
          </w:p>
        </w:tc>
      </w:tr>
    </w:tbl>
    <w:p w14:paraId="48985293" w14:textId="77777777" w:rsidR="007D251C" w:rsidRDefault="007D251C"/>
    <w:p w14:paraId="16A4B50F" w14:textId="77777777" w:rsidR="007D251C" w:rsidRDefault="007D251C"/>
    <w:p w14:paraId="47C2CA41" w14:textId="77777777" w:rsidR="002F2321" w:rsidRDefault="002F2321"/>
    <w:p w14:paraId="16D5F63C" w14:textId="77777777" w:rsidR="002F2321" w:rsidRDefault="002F2321"/>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7D251C" w14:paraId="07DE758A" w14:textId="77777777" w:rsidTr="75654A63">
        <w:tc>
          <w:tcPr>
            <w:tcW w:w="9810" w:type="dxa"/>
            <w:shd w:val="clear" w:color="auto" w:fill="E0E0E0"/>
          </w:tcPr>
          <w:p w14:paraId="29540E60" w14:textId="77777777" w:rsidR="007D251C" w:rsidRDefault="007D251C">
            <w:pPr>
              <w:rPr>
                <w:b/>
                <w:bCs/>
                <w:sz w:val="24"/>
              </w:rPr>
            </w:pPr>
          </w:p>
          <w:p w14:paraId="18B843A8" w14:textId="77777777" w:rsidR="007D251C" w:rsidRDefault="007D251C">
            <w:pPr>
              <w:pStyle w:val="Heading1"/>
            </w:pPr>
            <w:r>
              <w:t xml:space="preserve">III. Key function, accountabilities and related duties/tasks </w:t>
            </w:r>
          </w:p>
          <w:p w14:paraId="70084225" w14:textId="77777777" w:rsidR="007D251C" w:rsidRDefault="007D251C">
            <w:pPr>
              <w:rPr>
                <w:i/>
                <w:iCs/>
                <w:sz w:val="18"/>
              </w:rPr>
            </w:pPr>
          </w:p>
        </w:tc>
      </w:tr>
      <w:tr w:rsidR="007D251C" w14:paraId="049F9A2D" w14:textId="77777777" w:rsidTr="75654A63">
        <w:tc>
          <w:tcPr>
            <w:tcW w:w="9810" w:type="dxa"/>
          </w:tcPr>
          <w:p w14:paraId="7C4FD86A" w14:textId="77777777" w:rsidR="007D251C" w:rsidRDefault="007D251C"/>
          <w:p w14:paraId="1E2E5DEF" w14:textId="77777777" w:rsidR="007D251C" w:rsidRDefault="007D251C" w:rsidP="007D251C">
            <w:pPr>
              <w:rPr>
                <w:b/>
              </w:rPr>
            </w:pPr>
            <w:r>
              <w:rPr>
                <w:b/>
              </w:rPr>
              <w:t>Summary of key functions/accountabilities</w:t>
            </w:r>
            <w:r w:rsidRPr="00F52191">
              <w:rPr>
                <w:b/>
              </w:rPr>
              <w:t>:</w:t>
            </w:r>
            <w:r>
              <w:rPr>
                <w:b/>
              </w:rPr>
              <w:t xml:space="preserve"> </w:t>
            </w:r>
          </w:p>
          <w:p w14:paraId="73D66460" w14:textId="77777777" w:rsidR="007D251C" w:rsidRDefault="007D251C" w:rsidP="007D251C">
            <w:pPr>
              <w:rPr>
                <w:b/>
              </w:rPr>
            </w:pPr>
          </w:p>
          <w:p w14:paraId="02D5ACD1" w14:textId="77777777" w:rsidR="00B650C0" w:rsidRPr="00E557F1" w:rsidRDefault="00B650C0" w:rsidP="007D251C">
            <w:pPr>
              <w:numPr>
                <w:ilvl w:val="0"/>
                <w:numId w:val="23"/>
              </w:numPr>
              <w:rPr>
                <w:bCs/>
              </w:rPr>
            </w:pPr>
            <w:r w:rsidRPr="00E557F1">
              <w:rPr>
                <w:bCs/>
              </w:rPr>
              <w:t>Humanitarian coordination and Information sharing</w:t>
            </w:r>
          </w:p>
          <w:p w14:paraId="5A537DCE" w14:textId="77777777" w:rsidR="007D251C" w:rsidRPr="00E557F1" w:rsidRDefault="007D251C" w:rsidP="007D251C">
            <w:pPr>
              <w:numPr>
                <w:ilvl w:val="0"/>
                <w:numId w:val="23"/>
              </w:numPr>
              <w:rPr>
                <w:bCs/>
              </w:rPr>
            </w:pPr>
            <w:r w:rsidRPr="00E557F1">
              <w:rPr>
                <w:bCs/>
              </w:rPr>
              <w:t xml:space="preserve">Support to </w:t>
            </w:r>
            <w:r w:rsidR="00EA4937" w:rsidRPr="00E557F1">
              <w:rPr>
                <w:bCs/>
              </w:rPr>
              <w:t>programme</w:t>
            </w:r>
            <w:r w:rsidRPr="00E557F1">
              <w:rPr>
                <w:bCs/>
              </w:rPr>
              <w:t xml:space="preserve"> development and planning</w:t>
            </w:r>
          </w:p>
          <w:p w14:paraId="500E244D" w14:textId="77777777" w:rsidR="007D251C" w:rsidRPr="00E557F1" w:rsidRDefault="00EA4937" w:rsidP="007D251C">
            <w:pPr>
              <w:numPr>
                <w:ilvl w:val="0"/>
                <w:numId w:val="23"/>
              </w:numPr>
              <w:rPr>
                <w:bCs/>
              </w:rPr>
            </w:pPr>
            <w:r w:rsidRPr="00E557F1">
              <w:rPr>
                <w:bCs/>
              </w:rPr>
              <w:t>Programme</w:t>
            </w:r>
            <w:r w:rsidR="007D251C" w:rsidRPr="00E557F1">
              <w:rPr>
                <w:bCs/>
              </w:rPr>
              <w:t xml:space="preserve"> management, monitoring and delivery of </w:t>
            </w:r>
            <w:r w:rsidR="0015124B" w:rsidRPr="00E557F1">
              <w:rPr>
                <w:bCs/>
              </w:rPr>
              <w:t>results.</w:t>
            </w:r>
          </w:p>
          <w:p w14:paraId="49936DFF" w14:textId="77777777" w:rsidR="007D251C" w:rsidRPr="00E557F1" w:rsidRDefault="007D251C" w:rsidP="007D251C">
            <w:pPr>
              <w:numPr>
                <w:ilvl w:val="0"/>
                <w:numId w:val="23"/>
              </w:numPr>
              <w:rPr>
                <w:bCs/>
              </w:rPr>
            </w:pPr>
            <w:r w:rsidRPr="00E557F1">
              <w:rPr>
                <w:bCs/>
              </w:rPr>
              <w:t xml:space="preserve">Technical and operational support to </w:t>
            </w:r>
            <w:r w:rsidR="00EA4937" w:rsidRPr="00E557F1">
              <w:rPr>
                <w:bCs/>
              </w:rPr>
              <w:t>programme</w:t>
            </w:r>
            <w:r w:rsidRPr="00E557F1">
              <w:rPr>
                <w:bCs/>
              </w:rPr>
              <w:t xml:space="preserve"> implementation</w:t>
            </w:r>
          </w:p>
          <w:p w14:paraId="37EFA92D" w14:textId="77777777" w:rsidR="007D251C" w:rsidRPr="00E557F1" w:rsidRDefault="007D251C" w:rsidP="007D251C">
            <w:pPr>
              <w:numPr>
                <w:ilvl w:val="0"/>
                <w:numId w:val="23"/>
              </w:numPr>
              <w:rPr>
                <w:bCs/>
              </w:rPr>
            </w:pPr>
            <w:r w:rsidRPr="00E557F1">
              <w:rPr>
                <w:bCs/>
              </w:rPr>
              <w:t>Networking and partnership building</w:t>
            </w:r>
          </w:p>
          <w:p w14:paraId="0039FF84" w14:textId="77777777" w:rsidR="007D251C" w:rsidRPr="00E557F1" w:rsidRDefault="007D251C" w:rsidP="007D251C">
            <w:pPr>
              <w:numPr>
                <w:ilvl w:val="0"/>
                <w:numId w:val="23"/>
              </w:numPr>
              <w:rPr>
                <w:bCs/>
              </w:rPr>
            </w:pPr>
            <w:r w:rsidRPr="00E557F1">
              <w:rPr>
                <w:bCs/>
              </w:rPr>
              <w:t>Innovation, knowledge management and capacity building</w:t>
            </w:r>
          </w:p>
          <w:p w14:paraId="4C0C081A" w14:textId="77777777" w:rsidR="007D251C" w:rsidRPr="00E96557" w:rsidRDefault="007D251C" w:rsidP="007D251C">
            <w:pPr>
              <w:ind w:left="360"/>
              <w:rPr>
                <w:b/>
              </w:rPr>
            </w:pPr>
          </w:p>
        </w:tc>
      </w:tr>
      <w:tr w:rsidR="007A580E" w14:paraId="4D7127B5" w14:textId="77777777" w:rsidTr="75654A63">
        <w:tc>
          <w:tcPr>
            <w:tcW w:w="9810" w:type="dxa"/>
          </w:tcPr>
          <w:p w14:paraId="79EA7235" w14:textId="77777777" w:rsidR="007A580E" w:rsidRDefault="007A580E" w:rsidP="007A580E">
            <w:pPr>
              <w:numPr>
                <w:ilvl w:val="0"/>
                <w:numId w:val="26"/>
              </w:numPr>
              <w:rPr>
                <w:b/>
              </w:rPr>
            </w:pPr>
            <w:r>
              <w:rPr>
                <w:b/>
              </w:rPr>
              <w:t>Humanitarian coordination and Information sharing</w:t>
            </w:r>
          </w:p>
          <w:p w14:paraId="322C4E7F" w14:textId="111F4352" w:rsidR="007A580E" w:rsidRDefault="7408E657" w:rsidP="50173D5E">
            <w:pPr>
              <w:numPr>
                <w:ilvl w:val="0"/>
                <w:numId w:val="25"/>
              </w:numPr>
              <w:spacing w:before="120" w:after="120"/>
              <w:contextualSpacing/>
              <w:jc w:val="both"/>
              <w:rPr>
                <w:rFonts w:cs="Arial"/>
              </w:rPr>
            </w:pPr>
            <w:r w:rsidRPr="50173D5E">
              <w:rPr>
                <w:rFonts w:cs="Arial"/>
              </w:rPr>
              <w:t>Represent</w:t>
            </w:r>
            <w:r w:rsidR="00345BA1" w:rsidRPr="50173D5E">
              <w:rPr>
                <w:rFonts w:cs="Arial"/>
              </w:rPr>
              <w:t>ation</w:t>
            </w:r>
            <w:r w:rsidRPr="50173D5E">
              <w:rPr>
                <w:rFonts w:cs="Arial"/>
              </w:rPr>
              <w:t xml:space="preserve"> in various </w:t>
            </w:r>
            <w:r w:rsidR="206C1DD9" w:rsidRPr="50173D5E">
              <w:rPr>
                <w:rFonts w:cs="Arial"/>
              </w:rPr>
              <w:t xml:space="preserve">health and </w:t>
            </w:r>
            <w:r w:rsidRPr="50173D5E">
              <w:rPr>
                <w:rFonts w:cs="Arial"/>
              </w:rPr>
              <w:t xml:space="preserve">nutrition coordination meetings among UN Agencies &amp; humanitarian organizations at the field level such as general coordination meeting, inter-cluster coordination meeting, other cluster coordination meetings </w:t>
            </w:r>
            <w:r w:rsidR="0015124B" w:rsidRPr="50173D5E">
              <w:rPr>
                <w:rFonts w:cs="Arial"/>
              </w:rPr>
              <w:t>(protection</w:t>
            </w:r>
            <w:r w:rsidR="206C1DD9" w:rsidRPr="50173D5E">
              <w:rPr>
                <w:rFonts w:cs="Arial"/>
              </w:rPr>
              <w:t>,</w:t>
            </w:r>
            <w:r w:rsidRPr="50173D5E">
              <w:rPr>
                <w:rFonts w:cs="Arial"/>
              </w:rPr>
              <w:t xml:space="preserve"> WASH, Food</w:t>
            </w:r>
            <w:r w:rsidR="206C1DD9" w:rsidRPr="50173D5E">
              <w:rPr>
                <w:rFonts w:cs="Arial"/>
              </w:rPr>
              <w:t xml:space="preserve"> security</w:t>
            </w:r>
            <w:r w:rsidRPr="50173D5E">
              <w:rPr>
                <w:rFonts w:cs="Arial"/>
              </w:rPr>
              <w:t xml:space="preserve">, </w:t>
            </w:r>
            <w:r w:rsidR="5C200153" w:rsidRPr="50173D5E">
              <w:rPr>
                <w:rFonts w:cs="Arial"/>
              </w:rPr>
              <w:t xml:space="preserve">Health </w:t>
            </w:r>
            <w:r w:rsidR="0015124B" w:rsidRPr="50173D5E">
              <w:rPr>
                <w:rFonts w:cs="Arial"/>
              </w:rPr>
              <w:t>etc.</w:t>
            </w:r>
            <w:r w:rsidRPr="50173D5E">
              <w:rPr>
                <w:rFonts w:cs="Arial"/>
              </w:rPr>
              <w:t xml:space="preserve">) and ad-hoc meetings led by UNOCHA. </w:t>
            </w:r>
          </w:p>
          <w:p w14:paraId="68CC1FB2" w14:textId="77777777" w:rsidR="007A580E" w:rsidRPr="002419F1" w:rsidRDefault="007A580E" w:rsidP="007A580E">
            <w:pPr>
              <w:numPr>
                <w:ilvl w:val="0"/>
                <w:numId w:val="25"/>
              </w:numPr>
              <w:spacing w:before="120" w:after="120"/>
              <w:contextualSpacing/>
              <w:jc w:val="both"/>
              <w:rPr>
                <w:rFonts w:cs="Arial"/>
                <w:szCs w:val="20"/>
              </w:rPr>
            </w:pPr>
            <w:r>
              <w:rPr>
                <w:rFonts w:cs="Arial"/>
                <w:szCs w:val="20"/>
              </w:rPr>
              <w:t xml:space="preserve">Facilitate the </w:t>
            </w:r>
            <w:r w:rsidR="00233720">
              <w:rPr>
                <w:rFonts w:cs="Arial"/>
                <w:szCs w:val="20"/>
              </w:rPr>
              <w:t xml:space="preserve">health and </w:t>
            </w:r>
            <w:r>
              <w:rPr>
                <w:rFonts w:cs="Arial"/>
                <w:szCs w:val="20"/>
              </w:rPr>
              <w:t xml:space="preserve">nutrition information updates on 4 W’s (Who, What, Where and When) and </w:t>
            </w:r>
            <w:r w:rsidR="00233720">
              <w:rPr>
                <w:rFonts w:cs="Arial"/>
                <w:szCs w:val="20"/>
              </w:rPr>
              <w:t xml:space="preserve">health and </w:t>
            </w:r>
            <w:r>
              <w:rPr>
                <w:rFonts w:cs="Arial"/>
                <w:szCs w:val="20"/>
              </w:rPr>
              <w:t xml:space="preserve">nutrition </w:t>
            </w:r>
            <w:r w:rsidR="00233720">
              <w:rPr>
                <w:rFonts w:cs="Arial"/>
                <w:szCs w:val="20"/>
              </w:rPr>
              <w:t xml:space="preserve">response </w:t>
            </w:r>
            <w:r>
              <w:rPr>
                <w:rFonts w:cs="Arial"/>
                <w:szCs w:val="20"/>
              </w:rPr>
              <w:t>achievements according to the cluster reporting templates among the cluster partners in close coordination with national cluster coordinator and information management officer</w:t>
            </w:r>
            <w:r w:rsidRPr="004E7906">
              <w:rPr>
                <w:rFonts w:cs="Arial"/>
                <w:szCs w:val="20"/>
              </w:rPr>
              <w:t xml:space="preserve"> </w:t>
            </w:r>
            <w:r>
              <w:rPr>
                <w:rFonts w:cs="Arial"/>
                <w:szCs w:val="20"/>
              </w:rPr>
              <w:t xml:space="preserve">for </w:t>
            </w:r>
            <w:r w:rsidRPr="004E7906">
              <w:rPr>
                <w:rFonts w:cs="Arial"/>
                <w:szCs w:val="20"/>
              </w:rPr>
              <w:t xml:space="preserve">identification of </w:t>
            </w:r>
            <w:r>
              <w:rPr>
                <w:rFonts w:cs="Arial"/>
                <w:szCs w:val="20"/>
              </w:rPr>
              <w:t xml:space="preserve">humanitarian </w:t>
            </w:r>
            <w:r w:rsidRPr="004E7906">
              <w:rPr>
                <w:rFonts w:cs="Arial"/>
                <w:szCs w:val="20"/>
              </w:rPr>
              <w:t>gaps geographically and programmatically</w:t>
            </w:r>
          </w:p>
          <w:p w14:paraId="79E8ED64" w14:textId="77777777" w:rsidR="007A580E" w:rsidRDefault="007A580E" w:rsidP="007A580E">
            <w:pPr>
              <w:numPr>
                <w:ilvl w:val="0"/>
                <w:numId w:val="25"/>
              </w:numPr>
              <w:spacing w:before="120" w:after="120"/>
              <w:contextualSpacing/>
              <w:jc w:val="both"/>
              <w:rPr>
                <w:rFonts w:cs="Arial"/>
                <w:szCs w:val="20"/>
              </w:rPr>
            </w:pPr>
            <w:r>
              <w:rPr>
                <w:rFonts w:cs="Arial"/>
                <w:szCs w:val="20"/>
              </w:rPr>
              <w:t xml:space="preserve">Lead regular sub-national coordination meetings with various stakeholders and respective counterparts for information sharing and situation updates on humanitarian nutrition activities among </w:t>
            </w:r>
            <w:r w:rsidRPr="004E7906">
              <w:rPr>
                <w:rFonts w:cs="Arial"/>
                <w:szCs w:val="20"/>
              </w:rPr>
              <w:t>partner</w:t>
            </w:r>
            <w:r>
              <w:rPr>
                <w:rFonts w:cs="Arial"/>
                <w:szCs w:val="20"/>
              </w:rPr>
              <w:t>s</w:t>
            </w:r>
            <w:r w:rsidRPr="004E7906">
              <w:rPr>
                <w:rFonts w:cs="Arial"/>
                <w:szCs w:val="20"/>
              </w:rPr>
              <w:t xml:space="preserve"> and </w:t>
            </w:r>
            <w:r>
              <w:rPr>
                <w:rFonts w:cs="Arial"/>
                <w:szCs w:val="20"/>
              </w:rPr>
              <w:t xml:space="preserve">provide technical support to have quality achievements and impacts to the children. </w:t>
            </w:r>
            <w:r w:rsidRPr="004E7906">
              <w:rPr>
                <w:rFonts w:cs="Arial"/>
                <w:szCs w:val="20"/>
              </w:rPr>
              <w:t xml:space="preserve">  </w:t>
            </w:r>
          </w:p>
          <w:p w14:paraId="77E80D96" w14:textId="77777777" w:rsidR="007A580E" w:rsidRDefault="007A580E" w:rsidP="007A580E">
            <w:pPr>
              <w:numPr>
                <w:ilvl w:val="0"/>
                <w:numId w:val="25"/>
              </w:numPr>
              <w:spacing w:before="120" w:after="120"/>
              <w:contextualSpacing/>
              <w:jc w:val="both"/>
              <w:rPr>
                <w:rFonts w:cs="Arial"/>
                <w:szCs w:val="20"/>
              </w:rPr>
            </w:pPr>
            <w:r w:rsidRPr="004E7906">
              <w:rPr>
                <w:rFonts w:cs="Arial"/>
                <w:szCs w:val="20"/>
              </w:rPr>
              <w:t xml:space="preserve">With the support of National Coordinator, </w:t>
            </w:r>
            <w:r>
              <w:rPr>
                <w:rFonts w:cs="Arial"/>
                <w:szCs w:val="20"/>
              </w:rPr>
              <w:t>lead the sub-national emergency assessment among the nutrition partners (e.g MIRA) and provide technical support to partners as needed to</w:t>
            </w:r>
            <w:r w:rsidRPr="004E7906">
              <w:rPr>
                <w:rFonts w:cs="Arial"/>
                <w:szCs w:val="20"/>
              </w:rPr>
              <w:t xml:space="preserve"> identify key humanitarian activities</w:t>
            </w:r>
            <w:r>
              <w:rPr>
                <w:rFonts w:cs="Arial"/>
                <w:szCs w:val="20"/>
              </w:rPr>
              <w:t xml:space="preserve"> and capacity gaps for nutrition according to the nature of emergencies.</w:t>
            </w:r>
          </w:p>
          <w:p w14:paraId="1C5E21DD" w14:textId="77777777" w:rsidR="007A580E" w:rsidRDefault="007A580E" w:rsidP="007A580E">
            <w:pPr>
              <w:numPr>
                <w:ilvl w:val="0"/>
                <w:numId w:val="25"/>
              </w:numPr>
              <w:spacing w:before="120" w:after="120"/>
              <w:contextualSpacing/>
              <w:jc w:val="both"/>
              <w:rPr>
                <w:rFonts w:cs="Arial"/>
                <w:szCs w:val="20"/>
              </w:rPr>
            </w:pPr>
            <w:r>
              <w:rPr>
                <w:rFonts w:cs="Arial"/>
                <w:szCs w:val="20"/>
              </w:rPr>
              <w:t xml:space="preserve">Support on contingency </w:t>
            </w:r>
            <w:r w:rsidR="00233720">
              <w:rPr>
                <w:rFonts w:cs="Arial"/>
                <w:szCs w:val="20"/>
              </w:rPr>
              <w:t xml:space="preserve">health and </w:t>
            </w:r>
            <w:r>
              <w:rPr>
                <w:rFonts w:cs="Arial"/>
                <w:szCs w:val="20"/>
              </w:rPr>
              <w:t>nutrition supplies storage, distribution and replenishment at field level jointly with field logistic associate</w:t>
            </w:r>
            <w:r w:rsidR="00233720">
              <w:rPr>
                <w:rFonts w:cs="Arial"/>
                <w:szCs w:val="20"/>
              </w:rPr>
              <w:t>s</w:t>
            </w:r>
            <w:r>
              <w:rPr>
                <w:rFonts w:cs="Arial"/>
                <w:szCs w:val="20"/>
              </w:rPr>
              <w:t xml:space="preserve"> according to the requirements and evolving situations in close collaboration with supplies focal at national level</w:t>
            </w:r>
          </w:p>
          <w:p w14:paraId="6245E430" w14:textId="77777777" w:rsidR="007A580E" w:rsidRDefault="007A580E" w:rsidP="007A580E">
            <w:pPr>
              <w:numPr>
                <w:ilvl w:val="0"/>
                <w:numId w:val="25"/>
              </w:numPr>
              <w:spacing w:before="120" w:after="120"/>
              <w:contextualSpacing/>
              <w:jc w:val="both"/>
              <w:rPr>
                <w:rFonts w:cs="Arial"/>
                <w:szCs w:val="20"/>
              </w:rPr>
            </w:pPr>
            <w:r>
              <w:rPr>
                <w:rFonts w:cs="Arial"/>
                <w:szCs w:val="20"/>
              </w:rPr>
              <w:t xml:space="preserve">Participate and provide inputs from the field to the Humanitarian Needs Overview (HNO) and Humanitarian Response Plan (HRP) developments. </w:t>
            </w:r>
          </w:p>
          <w:p w14:paraId="2E4FFB87" w14:textId="77777777" w:rsidR="007A580E" w:rsidRPr="00FB488F" w:rsidRDefault="007A580E" w:rsidP="00FB488F">
            <w:pPr>
              <w:numPr>
                <w:ilvl w:val="0"/>
                <w:numId w:val="25"/>
              </w:numPr>
              <w:spacing w:before="120" w:after="120"/>
              <w:contextualSpacing/>
              <w:jc w:val="both"/>
              <w:rPr>
                <w:rFonts w:cs="Arial"/>
                <w:szCs w:val="20"/>
              </w:rPr>
            </w:pPr>
            <w:r>
              <w:rPr>
                <w:rFonts w:cs="Arial"/>
                <w:szCs w:val="20"/>
              </w:rPr>
              <w:t xml:space="preserve">Provide technical supports on </w:t>
            </w:r>
            <w:r w:rsidR="00233720">
              <w:rPr>
                <w:rFonts w:cs="Arial"/>
                <w:szCs w:val="20"/>
              </w:rPr>
              <w:t xml:space="preserve">health and </w:t>
            </w:r>
            <w:r>
              <w:rPr>
                <w:rFonts w:cs="Arial"/>
                <w:szCs w:val="20"/>
              </w:rPr>
              <w:t xml:space="preserve">nutrition for the strategic selections of project proposals to the country-based pooled fund (e.g Myanmar Humanitarian Funds) jointly with national coordinator, partners and participating in those project review meetings and monitoring visits </w:t>
            </w:r>
          </w:p>
        </w:tc>
      </w:tr>
      <w:tr w:rsidR="007D251C" w14:paraId="0C2781F0" w14:textId="77777777" w:rsidTr="75654A63">
        <w:tc>
          <w:tcPr>
            <w:tcW w:w="9810" w:type="dxa"/>
          </w:tcPr>
          <w:p w14:paraId="090D3767" w14:textId="77777777" w:rsidR="007D251C" w:rsidRPr="007C5886" w:rsidRDefault="007D251C" w:rsidP="007D251C">
            <w:pPr>
              <w:pStyle w:val="ColorfulList-Accent11"/>
              <w:numPr>
                <w:ilvl w:val="0"/>
                <w:numId w:val="26"/>
              </w:numPr>
              <w:spacing w:before="120" w:after="120"/>
              <w:jc w:val="both"/>
              <w:rPr>
                <w:rFonts w:eastAsia="MS Mincho" w:cs="Arial"/>
                <w:b/>
                <w:szCs w:val="20"/>
                <w:lang w:val="en-GB" w:eastAsia="ja-JP"/>
              </w:rPr>
            </w:pPr>
            <w:r>
              <w:rPr>
                <w:rFonts w:eastAsia="MS Mincho" w:cs="Arial"/>
                <w:b/>
                <w:szCs w:val="20"/>
                <w:lang w:val="en-GB" w:eastAsia="ja-JP"/>
              </w:rPr>
              <w:t xml:space="preserve">Support to </w:t>
            </w:r>
            <w:r w:rsidR="00EA4937">
              <w:rPr>
                <w:rFonts w:eastAsia="MS Mincho" w:cs="Arial"/>
                <w:b/>
                <w:szCs w:val="20"/>
                <w:lang w:val="en-GB" w:eastAsia="ja-JP"/>
              </w:rPr>
              <w:t>programme</w:t>
            </w:r>
            <w:r>
              <w:rPr>
                <w:rFonts w:eastAsia="MS Mincho" w:cs="Arial"/>
                <w:b/>
                <w:szCs w:val="20"/>
                <w:lang w:val="en-GB" w:eastAsia="ja-JP"/>
              </w:rPr>
              <w:t xml:space="preserve"> development and planning</w:t>
            </w:r>
          </w:p>
          <w:p w14:paraId="5B132C6E" w14:textId="77777777" w:rsidR="007D251C" w:rsidRPr="00925D7A" w:rsidRDefault="00EA4937" w:rsidP="007D251C">
            <w:pPr>
              <w:pStyle w:val="ColorfulList-Accent11"/>
              <w:numPr>
                <w:ilvl w:val="0"/>
                <w:numId w:val="25"/>
              </w:numPr>
              <w:spacing w:before="120" w:after="120"/>
              <w:jc w:val="both"/>
            </w:pPr>
            <w:r>
              <w:rPr>
                <w:rFonts w:cs="Arial"/>
                <w:szCs w:val="20"/>
              </w:rPr>
              <w:t xml:space="preserve">Conduct and </w:t>
            </w:r>
            <w:r w:rsidR="007D251C">
              <w:rPr>
                <w:rFonts w:cs="Arial"/>
                <w:szCs w:val="20"/>
              </w:rPr>
              <w:t>update</w:t>
            </w:r>
            <w:r>
              <w:rPr>
                <w:rFonts w:cs="Arial"/>
                <w:szCs w:val="20"/>
              </w:rPr>
              <w:t xml:space="preserve"> the</w:t>
            </w:r>
            <w:r w:rsidR="007D251C">
              <w:rPr>
                <w:rFonts w:cs="Arial"/>
                <w:szCs w:val="20"/>
              </w:rPr>
              <w:t xml:space="preserve"> </w:t>
            </w:r>
            <w:r w:rsidR="007D251C" w:rsidRPr="007C5886">
              <w:rPr>
                <w:rFonts w:cs="Arial"/>
                <w:szCs w:val="20"/>
              </w:rPr>
              <w:t>situation analys</w:t>
            </w:r>
            <w:r w:rsidR="007D251C">
              <w:rPr>
                <w:rFonts w:cs="Arial"/>
                <w:szCs w:val="20"/>
              </w:rPr>
              <w:t xml:space="preserve">is for the </w:t>
            </w:r>
            <w:r>
              <w:rPr>
                <w:rFonts w:cs="Arial"/>
                <w:szCs w:val="20"/>
              </w:rPr>
              <w:t>programme</w:t>
            </w:r>
            <w:r w:rsidR="00373821">
              <w:rPr>
                <w:rFonts w:cs="Arial"/>
                <w:szCs w:val="20"/>
              </w:rPr>
              <w:t xml:space="preserve"> sector(</w:t>
            </w:r>
            <w:r w:rsidR="007D251C">
              <w:rPr>
                <w:rFonts w:cs="Arial"/>
                <w:szCs w:val="20"/>
              </w:rPr>
              <w:t>s</w:t>
            </w:r>
            <w:r w:rsidR="00373821">
              <w:rPr>
                <w:rFonts w:cs="Arial"/>
                <w:szCs w:val="20"/>
              </w:rPr>
              <w:t>)</w:t>
            </w:r>
            <w:r w:rsidR="007D251C">
              <w:rPr>
                <w:rFonts w:cs="Arial"/>
                <w:szCs w:val="20"/>
              </w:rPr>
              <w:t xml:space="preserve"> for </w:t>
            </w:r>
            <w:r w:rsidR="00373821">
              <w:rPr>
                <w:rFonts w:cs="Arial"/>
                <w:szCs w:val="20"/>
              </w:rPr>
              <w:t xml:space="preserve">the </w:t>
            </w:r>
            <w:r w:rsidR="007D251C">
              <w:rPr>
                <w:rFonts w:cs="Arial"/>
                <w:szCs w:val="20"/>
              </w:rPr>
              <w:t xml:space="preserve">development, design and management of </w:t>
            </w:r>
            <w:r w:rsidR="00233720">
              <w:rPr>
                <w:rFonts w:cs="Arial"/>
                <w:szCs w:val="20"/>
              </w:rPr>
              <w:t xml:space="preserve">health and </w:t>
            </w:r>
            <w:r w:rsidR="007D251C">
              <w:rPr>
                <w:rFonts w:cs="Arial"/>
                <w:szCs w:val="20"/>
              </w:rPr>
              <w:t xml:space="preserve">nutrition related </w:t>
            </w:r>
            <w:r>
              <w:rPr>
                <w:rFonts w:cs="Arial"/>
                <w:szCs w:val="20"/>
              </w:rPr>
              <w:t>programme</w:t>
            </w:r>
            <w:r w:rsidR="007D251C">
              <w:rPr>
                <w:rFonts w:cs="Arial"/>
                <w:szCs w:val="20"/>
              </w:rPr>
              <w:t xml:space="preserve">s/projects. Research and report on development trends (e.g. political social, economic, nutrition, health) for higher management use to enhance </w:t>
            </w:r>
            <w:r>
              <w:rPr>
                <w:rFonts w:cs="Arial"/>
                <w:szCs w:val="20"/>
              </w:rPr>
              <w:t>programme</w:t>
            </w:r>
            <w:r w:rsidR="007D251C">
              <w:rPr>
                <w:rFonts w:cs="Arial"/>
                <w:szCs w:val="20"/>
              </w:rPr>
              <w:t xml:space="preserve"> management, efficiency and delivery of results.</w:t>
            </w:r>
          </w:p>
          <w:p w14:paraId="099C52C7" w14:textId="77777777" w:rsidR="007D251C" w:rsidRPr="00AF0762" w:rsidRDefault="00EA4937" w:rsidP="007D251C">
            <w:pPr>
              <w:pStyle w:val="ColorfulList-Accent11"/>
              <w:numPr>
                <w:ilvl w:val="0"/>
                <w:numId w:val="25"/>
              </w:numPr>
              <w:spacing w:before="120" w:after="120"/>
              <w:jc w:val="both"/>
            </w:pPr>
            <w:r>
              <w:t xml:space="preserve">Contribute to the development and </w:t>
            </w:r>
            <w:r w:rsidR="007D251C">
              <w:t>establishment of sectora</w:t>
            </w:r>
            <w:r>
              <w:t xml:space="preserve">l programme goals, objectives, </w:t>
            </w:r>
            <w:r w:rsidR="007D251C">
              <w:t>strategies</w:t>
            </w:r>
            <w:r>
              <w:t xml:space="preserve">, and </w:t>
            </w:r>
            <w:r w:rsidR="007D251C">
              <w:t>results-based planning</w:t>
            </w:r>
            <w:r>
              <w:t>,</w:t>
            </w:r>
            <w:r w:rsidR="007D251C">
              <w:t xml:space="preserve"> through analysis of nutrition needs and areas for </w:t>
            </w:r>
            <w:r w:rsidR="00373821">
              <w:t>intervention;</w:t>
            </w:r>
            <w:r w:rsidR="007D251C">
              <w:t xml:space="preserve"> and submission of recommendations for priority and goal setting. </w:t>
            </w:r>
          </w:p>
          <w:p w14:paraId="4D205576" w14:textId="01C38E15" w:rsidR="007D251C" w:rsidRDefault="007D251C" w:rsidP="007D251C">
            <w:pPr>
              <w:numPr>
                <w:ilvl w:val="0"/>
                <w:numId w:val="25"/>
              </w:numPr>
              <w:jc w:val="both"/>
            </w:pPr>
            <w:r w:rsidRPr="00483554">
              <w:t>Provide tech</w:t>
            </w:r>
            <w:r>
              <w:t xml:space="preserve">nical and operational support throughout all stages of </w:t>
            </w:r>
            <w:r w:rsidR="00EA4937">
              <w:t>programming</w:t>
            </w:r>
            <w:r>
              <w:t xml:space="preserve"> processes by executi</w:t>
            </w:r>
            <w:r w:rsidR="00EA4937">
              <w:t xml:space="preserve">ng and </w:t>
            </w:r>
            <w:r>
              <w:t xml:space="preserve">administering a variety of technical </w:t>
            </w:r>
            <w:r w:rsidR="00EA4937">
              <w:t>programme</w:t>
            </w:r>
            <w:r>
              <w:t xml:space="preserve"> </w:t>
            </w:r>
            <w:r w:rsidR="003B3548">
              <w:t>transactions,</w:t>
            </w:r>
            <w:r w:rsidR="00373821">
              <w:t xml:space="preserve"> preparing materials and </w:t>
            </w:r>
            <w:r>
              <w:t>documentations</w:t>
            </w:r>
            <w:r w:rsidR="00373821">
              <w:t>,</w:t>
            </w:r>
            <w:r>
              <w:t xml:space="preserve"> and complying with organizational processes and management systems, to support </w:t>
            </w:r>
            <w:r w:rsidR="00EA4937">
              <w:t>programme</w:t>
            </w:r>
            <w:r>
              <w:t xml:space="preserve"> planning, </w:t>
            </w:r>
            <w:r w:rsidR="007A580E">
              <w:t>results-based</w:t>
            </w:r>
            <w:r>
              <w:t xml:space="preserve"> planning (RB</w:t>
            </w:r>
            <w:r w:rsidR="00EA4937">
              <w:t>M)</w:t>
            </w:r>
            <w:r w:rsidR="00373821">
              <w:t>,</w:t>
            </w:r>
            <w:r w:rsidR="00EA4937">
              <w:t xml:space="preserve"> and monitoring and evaluation of</w:t>
            </w:r>
            <w:r>
              <w:t xml:space="preserve"> results.</w:t>
            </w:r>
          </w:p>
          <w:p w14:paraId="6C7B8068" w14:textId="78916C35" w:rsidR="007D251C" w:rsidRPr="00AF0762" w:rsidRDefault="00EA4937" w:rsidP="007D251C">
            <w:pPr>
              <w:pStyle w:val="ColorfulList-Accent11"/>
              <w:numPr>
                <w:ilvl w:val="0"/>
                <w:numId w:val="25"/>
              </w:numPr>
              <w:spacing w:before="120" w:after="120"/>
              <w:jc w:val="both"/>
            </w:pPr>
            <w:r>
              <w:t xml:space="preserve">Prepare required </w:t>
            </w:r>
            <w:r w:rsidR="5CB88C9E">
              <w:t>documentation</w:t>
            </w:r>
            <w:r>
              <w:t xml:space="preserve"> and </w:t>
            </w:r>
            <w:r w:rsidR="007D251C">
              <w:t xml:space="preserve">materials to facilitate the </w:t>
            </w:r>
            <w:r>
              <w:t>programme</w:t>
            </w:r>
            <w:r w:rsidR="007D251C">
              <w:t xml:space="preserve"> review and approval process.</w:t>
            </w:r>
          </w:p>
          <w:p w14:paraId="58FA0F3D" w14:textId="77777777" w:rsidR="007D251C" w:rsidRDefault="007D251C" w:rsidP="007D251C">
            <w:pPr>
              <w:ind w:left="720"/>
              <w:jc w:val="both"/>
            </w:pPr>
          </w:p>
        </w:tc>
      </w:tr>
      <w:tr w:rsidR="007D251C" w:rsidRPr="0006158E" w14:paraId="1402FC84" w14:textId="77777777" w:rsidTr="75654A63">
        <w:tc>
          <w:tcPr>
            <w:tcW w:w="9810" w:type="dxa"/>
          </w:tcPr>
          <w:p w14:paraId="62B08171" w14:textId="77777777" w:rsidR="007D251C" w:rsidRDefault="007D251C" w:rsidP="007D251C">
            <w:pPr>
              <w:jc w:val="both"/>
            </w:pPr>
          </w:p>
          <w:p w14:paraId="2862C12A" w14:textId="77777777" w:rsidR="007D251C" w:rsidRDefault="00EA4937" w:rsidP="007D251C">
            <w:pPr>
              <w:numPr>
                <w:ilvl w:val="0"/>
                <w:numId w:val="26"/>
              </w:numPr>
              <w:contextualSpacing/>
              <w:jc w:val="both"/>
              <w:rPr>
                <w:b/>
              </w:rPr>
            </w:pPr>
            <w:r>
              <w:rPr>
                <w:b/>
              </w:rPr>
              <w:t>Programme</w:t>
            </w:r>
            <w:r w:rsidR="00367BCD">
              <w:rPr>
                <w:b/>
              </w:rPr>
              <w:t xml:space="preserve"> management, monitoring and delivery of results. </w:t>
            </w:r>
          </w:p>
          <w:p w14:paraId="6F993E6C" w14:textId="77777777" w:rsidR="007D251C" w:rsidRPr="00727B29" w:rsidRDefault="007D251C" w:rsidP="007D251C">
            <w:pPr>
              <w:jc w:val="both"/>
              <w:rPr>
                <w:b/>
              </w:rPr>
            </w:pPr>
          </w:p>
          <w:p w14:paraId="64FCB117" w14:textId="77777777" w:rsidR="007D251C" w:rsidRDefault="007D251C" w:rsidP="007D251C">
            <w:pPr>
              <w:numPr>
                <w:ilvl w:val="0"/>
                <w:numId w:val="25"/>
              </w:numPr>
              <w:jc w:val="both"/>
            </w:pPr>
            <w:r>
              <w:lastRenderedPageBreak/>
              <w:t xml:space="preserve">Work closely and collaboratively </w:t>
            </w:r>
            <w:r w:rsidR="00EA4937">
              <w:t xml:space="preserve">with </w:t>
            </w:r>
            <w:r w:rsidRPr="00AF0762">
              <w:t xml:space="preserve">colleagues and partners to </w:t>
            </w:r>
            <w:r>
              <w:t>discuss operat</w:t>
            </w:r>
            <w:r w:rsidR="00EA4937">
              <w:t>ional and implementation issues. P</w:t>
            </w:r>
            <w:r>
              <w:t>rovide solutions, recommendations and/or alert appropriate officials and stakeholders for higher-level intervention and/or decision</w:t>
            </w:r>
            <w:r w:rsidR="00EA4937">
              <w:t>-making</w:t>
            </w:r>
            <w:r>
              <w:t>. Keep record of reports and assessments for easy reference and/or to capture and institutionalize lessons learned.</w:t>
            </w:r>
          </w:p>
          <w:p w14:paraId="4D22A2EF" w14:textId="77777777" w:rsidR="00EA4937" w:rsidRDefault="00EA4937" w:rsidP="00EA4937">
            <w:pPr>
              <w:ind w:left="720"/>
              <w:jc w:val="both"/>
            </w:pPr>
          </w:p>
          <w:p w14:paraId="44D19406" w14:textId="77777777" w:rsidR="007D251C" w:rsidRPr="00EA4937" w:rsidRDefault="007D251C" w:rsidP="007D251C">
            <w:pPr>
              <w:numPr>
                <w:ilvl w:val="0"/>
                <w:numId w:val="28"/>
              </w:numPr>
              <w:contextualSpacing/>
              <w:jc w:val="both"/>
              <w:rPr>
                <w:b/>
              </w:rPr>
            </w:pPr>
            <w:r>
              <w:t xml:space="preserve">Participate in monitoring and evaluation exercises, </w:t>
            </w:r>
            <w:r w:rsidR="00EA4937">
              <w:t>programme</w:t>
            </w:r>
            <w:r>
              <w:t xml:space="preserve"> reviews and annual reviews with</w:t>
            </w:r>
            <w:r w:rsidR="00C92DDB">
              <w:t xml:space="preserve"> the</w:t>
            </w:r>
            <w:r>
              <w:t xml:space="preserve"> </w:t>
            </w:r>
            <w:r w:rsidR="005C3A15">
              <w:t xml:space="preserve">respective authorities </w:t>
            </w:r>
            <w:r>
              <w:t xml:space="preserve">and other counterparts to assess </w:t>
            </w:r>
            <w:r w:rsidR="00EA4937">
              <w:t>programme</w:t>
            </w:r>
            <w:r>
              <w:t>s/projects a</w:t>
            </w:r>
            <w:r w:rsidR="00C92DDB">
              <w:t xml:space="preserve">nd to report on required action and </w:t>
            </w:r>
            <w:r>
              <w:t xml:space="preserve">interventions at the higher level of </w:t>
            </w:r>
            <w:r w:rsidR="00EA4937">
              <w:t>programme</w:t>
            </w:r>
            <w:r>
              <w:t xml:space="preserve"> management.</w:t>
            </w:r>
          </w:p>
          <w:p w14:paraId="372884EB" w14:textId="77777777" w:rsidR="00EA4937" w:rsidRPr="00F414EA" w:rsidRDefault="00EA4937" w:rsidP="00EA4937">
            <w:pPr>
              <w:ind w:left="720"/>
              <w:contextualSpacing/>
              <w:jc w:val="both"/>
              <w:rPr>
                <w:b/>
              </w:rPr>
            </w:pPr>
          </w:p>
          <w:p w14:paraId="288003F0" w14:textId="77777777" w:rsidR="007D251C" w:rsidRPr="00EA4937" w:rsidRDefault="007D251C" w:rsidP="007D251C">
            <w:pPr>
              <w:numPr>
                <w:ilvl w:val="0"/>
                <w:numId w:val="28"/>
              </w:numPr>
              <w:contextualSpacing/>
              <w:jc w:val="both"/>
              <w:rPr>
                <w:b/>
              </w:rPr>
            </w:pPr>
            <w:r>
              <w:t xml:space="preserve">Monitor and report on the use of sectoral </w:t>
            </w:r>
            <w:r w:rsidR="00EA4937">
              <w:t>programme</w:t>
            </w:r>
            <w:r>
              <w:t xml:space="preserve"> resources (financial, administrative and other assets), verify</w:t>
            </w:r>
            <w:r w:rsidR="00EA4937">
              <w:t>ing</w:t>
            </w:r>
            <w:r>
              <w:t xml:space="preserve"> comp</w:t>
            </w:r>
            <w:r w:rsidR="00C92DDB">
              <w:t xml:space="preserve">liance with approved allocation, </w:t>
            </w:r>
            <w:r>
              <w:t>goals, organizational r</w:t>
            </w:r>
            <w:r w:rsidR="00EA4937">
              <w:t>ules, regulations/procedures,</w:t>
            </w:r>
            <w:r>
              <w:t xml:space="preserve"> donor commitments, standards of accountability</w:t>
            </w:r>
            <w:r w:rsidR="00EA4937">
              <w:t>,</w:t>
            </w:r>
            <w:r>
              <w:t xml:space="preserve"> and integrity. Report on issues identified to ensure </w:t>
            </w:r>
            <w:r w:rsidR="00C92DDB">
              <w:t xml:space="preserve">timely resolution by management and </w:t>
            </w:r>
            <w:r>
              <w:t>stakeholders. Follow up on unresolved issues to ensure resolution.</w:t>
            </w:r>
          </w:p>
          <w:p w14:paraId="5223DC7D" w14:textId="77777777" w:rsidR="00EA4937" w:rsidRPr="006B1974" w:rsidRDefault="00EA4937" w:rsidP="00EA4937">
            <w:pPr>
              <w:ind w:left="720"/>
              <w:contextualSpacing/>
              <w:jc w:val="both"/>
              <w:rPr>
                <w:b/>
              </w:rPr>
            </w:pPr>
          </w:p>
          <w:p w14:paraId="44CE7A22" w14:textId="77777777" w:rsidR="007D251C" w:rsidRPr="006562B0" w:rsidRDefault="00EA4937" w:rsidP="007D251C">
            <w:pPr>
              <w:numPr>
                <w:ilvl w:val="0"/>
                <w:numId w:val="28"/>
              </w:numPr>
              <w:contextualSpacing/>
              <w:jc w:val="both"/>
              <w:rPr>
                <w:b/>
              </w:rPr>
            </w:pPr>
            <w:r>
              <w:t xml:space="preserve">Prepare regular and </w:t>
            </w:r>
            <w:r w:rsidR="007D251C">
              <w:t xml:space="preserve">mandated sectoral </w:t>
            </w:r>
            <w:r>
              <w:t>programme</w:t>
            </w:r>
            <w:r w:rsidR="007D251C">
              <w:t xml:space="preserve">/project reports for management, donors and partners to keep them informed of </w:t>
            </w:r>
            <w:r>
              <w:t>programme</w:t>
            </w:r>
            <w:r w:rsidR="007D251C">
              <w:t xml:space="preserve"> progress.</w:t>
            </w:r>
          </w:p>
          <w:p w14:paraId="40303235" w14:textId="77777777" w:rsidR="007D251C" w:rsidRPr="00766EAC" w:rsidRDefault="007D251C" w:rsidP="007D251C">
            <w:pPr>
              <w:ind w:left="720"/>
              <w:contextualSpacing/>
              <w:jc w:val="both"/>
              <w:rPr>
                <w:b/>
              </w:rPr>
            </w:pPr>
          </w:p>
        </w:tc>
      </w:tr>
      <w:tr w:rsidR="007D251C" w:rsidRPr="00A73357" w14:paraId="6BE28EA8" w14:textId="77777777" w:rsidTr="75654A63">
        <w:tc>
          <w:tcPr>
            <w:tcW w:w="9810" w:type="dxa"/>
          </w:tcPr>
          <w:p w14:paraId="519DFE96" w14:textId="77777777" w:rsidR="007D251C" w:rsidRDefault="007D251C" w:rsidP="007D251C">
            <w:pPr>
              <w:jc w:val="both"/>
            </w:pPr>
          </w:p>
          <w:p w14:paraId="353CA7E5" w14:textId="77777777" w:rsidR="007D251C" w:rsidRDefault="007D251C" w:rsidP="007D251C">
            <w:pPr>
              <w:numPr>
                <w:ilvl w:val="0"/>
                <w:numId w:val="26"/>
              </w:numPr>
              <w:contextualSpacing/>
              <w:jc w:val="both"/>
              <w:rPr>
                <w:b/>
              </w:rPr>
            </w:pPr>
            <w:r>
              <w:rPr>
                <w:b/>
              </w:rPr>
              <w:t xml:space="preserve">Technical and operational support to </w:t>
            </w:r>
            <w:r w:rsidR="00EA4937">
              <w:rPr>
                <w:b/>
              </w:rPr>
              <w:t>programme</w:t>
            </w:r>
            <w:r>
              <w:rPr>
                <w:b/>
              </w:rPr>
              <w:t xml:space="preserve"> implementation</w:t>
            </w:r>
          </w:p>
          <w:p w14:paraId="7301C924" w14:textId="77777777" w:rsidR="007D251C" w:rsidRDefault="007D251C" w:rsidP="007D251C">
            <w:pPr>
              <w:jc w:val="both"/>
              <w:rPr>
                <w:b/>
              </w:rPr>
            </w:pPr>
          </w:p>
          <w:p w14:paraId="268E58D3" w14:textId="77777777" w:rsidR="007D251C" w:rsidRPr="005C3A15" w:rsidRDefault="007D251C" w:rsidP="007D251C">
            <w:pPr>
              <w:numPr>
                <w:ilvl w:val="0"/>
                <w:numId w:val="28"/>
              </w:numPr>
              <w:contextualSpacing/>
              <w:jc w:val="both"/>
              <w:rPr>
                <w:b/>
              </w:rPr>
            </w:pPr>
            <w:r>
              <w:t xml:space="preserve">Conduct regular </w:t>
            </w:r>
            <w:r w:rsidR="00EA4937">
              <w:t>programme</w:t>
            </w:r>
            <w:r>
              <w:t xml:space="preserve"> field visits</w:t>
            </w:r>
            <w:r w:rsidR="00C92DDB">
              <w:t xml:space="preserve"> and</w:t>
            </w:r>
            <w:r>
              <w:t xml:space="preserve"> exc</w:t>
            </w:r>
            <w:r w:rsidR="00C92DDB">
              <w:t xml:space="preserve">hange information with partners and </w:t>
            </w:r>
            <w:r>
              <w:t>stakeholders to assess progress and provide techni</w:t>
            </w:r>
            <w:r w:rsidR="00EA4937">
              <w:t>cal support. T</w:t>
            </w:r>
            <w:r>
              <w:t>ake appropriate action to resolve issues and/or refer to relevant officials for resolution. Report on critical issues, bottlenecks and potential problems for timely action to achieve results.</w:t>
            </w:r>
          </w:p>
          <w:p w14:paraId="15C486A0" w14:textId="77C0CFA2" w:rsidR="005C3A15" w:rsidRPr="00EA4937" w:rsidRDefault="02CB0256" w:rsidP="75654A63">
            <w:pPr>
              <w:numPr>
                <w:ilvl w:val="0"/>
                <w:numId w:val="28"/>
              </w:numPr>
              <w:contextualSpacing/>
              <w:jc w:val="both"/>
              <w:rPr>
                <w:b/>
                <w:bCs/>
              </w:rPr>
            </w:pPr>
            <w:r>
              <w:t xml:space="preserve">Conduct regular monitoring and supervision to the UNICEF programme and project activities to the implementing partners </w:t>
            </w:r>
            <w:r w:rsidR="12925788">
              <w:t xml:space="preserve">including </w:t>
            </w:r>
            <w:r>
              <w:t xml:space="preserve">remote programme monitoring visits and provide suggestions and </w:t>
            </w:r>
            <w:r w:rsidR="145FCC4B">
              <w:t>feedback</w:t>
            </w:r>
            <w:r>
              <w:t xml:space="preserve"> on the partner review meetings and new project developments for high achievement on the delivery of results for children including Third-party monitoring visits.</w:t>
            </w:r>
          </w:p>
          <w:p w14:paraId="1290A6E9" w14:textId="77777777" w:rsidR="007D251C" w:rsidRPr="00A95CFA" w:rsidRDefault="007D251C" w:rsidP="007D251C">
            <w:pPr>
              <w:numPr>
                <w:ilvl w:val="0"/>
                <w:numId w:val="33"/>
              </w:numPr>
              <w:contextualSpacing/>
              <w:jc w:val="both"/>
              <w:rPr>
                <w:b/>
              </w:rPr>
            </w:pPr>
            <w:r>
              <w:t xml:space="preserve">Provide technical and operational support to </w:t>
            </w:r>
            <w:r w:rsidR="0FE49DD6">
              <w:t>respective authorities and counterparts</w:t>
            </w:r>
            <w:r>
              <w:t>, NGO partners, UN system partners</w:t>
            </w:r>
            <w:r w:rsidR="00C92DDB">
              <w:t>,</w:t>
            </w:r>
            <w:r>
              <w:t xml:space="preserve"> and other country office partners/donors on the application and understanding of UNICEF policies, strategies, processes</w:t>
            </w:r>
            <w:r w:rsidR="00EA4937">
              <w:t>,</w:t>
            </w:r>
            <w:r>
              <w:t xml:space="preserve"> and </w:t>
            </w:r>
            <w:r w:rsidR="6501F880">
              <w:t>best practices on nutrition-</w:t>
            </w:r>
            <w:r>
              <w:t xml:space="preserve">related issues to support </w:t>
            </w:r>
            <w:r w:rsidR="00EA4937">
              <w:t>programme</w:t>
            </w:r>
            <w:r>
              <w:t xml:space="preserve"> implementation, operations and delivery of results.</w:t>
            </w:r>
          </w:p>
          <w:p w14:paraId="48678B1A" w14:textId="77777777" w:rsidR="00A95CFA" w:rsidRPr="008B607E" w:rsidRDefault="00A95CFA" w:rsidP="007D251C">
            <w:pPr>
              <w:numPr>
                <w:ilvl w:val="0"/>
                <w:numId w:val="33"/>
              </w:numPr>
              <w:contextualSpacing/>
              <w:jc w:val="both"/>
              <w:rPr>
                <w:b/>
              </w:rPr>
            </w:pPr>
            <w:r>
              <w:t>Provide technical support to</w:t>
            </w:r>
            <w:r w:rsidRPr="00071C46">
              <w:t xml:space="preserve"> the </w:t>
            </w:r>
            <w:r>
              <w:t xml:space="preserve">implementing partners related with </w:t>
            </w:r>
            <w:r w:rsidR="00F453B4">
              <w:t xml:space="preserve">health </w:t>
            </w:r>
            <w:r w:rsidR="0015124B">
              <w:t>and nutrition</w:t>
            </w:r>
            <w:r>
              <w:t xml:space="preserve"> and identify the area of improvements and capacity gaps among partners for better quality implementation of the programme </w:t>
            </w:r>
            <w:r w:rsidR="005C3A15">
              <w:t>activities.</w:t>
            </w:r>
          </w:p>
          <w:p w14:paraId="47503A8A" w14:textId="77777777" w:rsidR="007D251C" w:rsidRPr="00A73357" w:rsidRDefault="007D251C" w:rsidP="007D251C">
            <w:pPr>
              <w:ind w:left="720"/>
              <w:contextualSpacing/>
              <w:jc w:val="both"/>
              <w:rPr>
                <w:b/>
              </w:rPr>
            </w:pPr>
          </w:p>
        </w:tc>
      </w:tr>
      <w:tr w:rsidR="007D251C" w:rsidRPr="00EE7D39" w14:paraId="6A57B747" w14:textId="77777777" w:rsidTr="75654A63">
        <w:tc>
          <w:tcPr>
            <w:tcW w:w="9810" w:type="dxa"/>
          </w:tcPr>
          <w:p w14:paraId="6D87AAA8" w14:textId="77777777" w:rsidR="007D251C" w:rsidRDefault="007D251C" w:rsidP="007D251C">
            <w:pPr>
              <w:rPr>
                <w:b/>
              </w:rPr>
            </w:pPr>
          </w:p>
          <w:p w14:paraId="08AAD0F7" w14:textId="77777777" w:rsidR="007D251C" w:rsidRDefault="007D251C" w:rsidP="007D251C">
            <w:pPr>
              <w:numPr>
                <w:ilvl w:val="0"/>
                <w:numId w:val="26"/>
              </w:numPr>
              <w:rPr>
                <w:b/>
              </w:rPr>
            </w:pPr>
            <w:r>
              <w:rPr>
                <w:b/>
              </w:rPr>
              <w:t>Networking and partnership building</w:t>
            </w:r>
          </w:p>
          <w:p w14:paraId="1C1F56CB" w14:textId="77777777" w:rsidR="007D251C" w:rsidRDefault="007D251C" w:rsidP="007D251C">
            <w:pPr>
              <w:rPr>
                <w:b/>
              </w:rPr>
            </w:pPr>
          </w:p>
          <w:p w14:paraId="79517306" w14:textId="77777777" w:rsidR="007D251C" w:rsidRPr="00E37374" w:rsidRDefault="007D251C" w:rsidP="007D251C">
            <w:pPr>
              <w:numPr>
                <w:ilvl w:val="0"/>
                <w:numId w:val="29"/>
              </w:numPr>
              <w:spacing w:after="120"/>
              <w:contextualSpacing/>
              <w:jc w:val="both"/>
              <w:rPr>
                <w:rFonts w:eastAsia="Calibri" w:cs="Calibri"/>
                <w:szCs w:val="22"/>
                <w:lang w:val="en-GB"/>
              </w:rPr>
            </w:pPr>
            <w:r>
              <w:rPr>
                <w:rFonts w:eastAsia="Calibri" w:cs="Calibri"/>
                <w:szCs w:val="22"/>
                <w:lang w:val="en-GB"/>
              </w:rPr>
              <w:t xml:space="preserve">Build and sustain effective close working </w:t>
            </w:r>
            <w:r w:rsidRPr="00AF0762">
              <w:rPr>
                <w:rFonts w:eastAsia="Calibri" w:cs="Calibri"/>
                <w:szCs w:val="22"/>
                <w:lang w:val="en-GB"/>
              </w:rPr>
              <w:t xml:space="preserve">partnerships </w:t>
            </w:r>
            <w:r w:rsidR="00D65E7D">
              <w:rPr>
                <w:rFonts w:eastAsia="Calibri" w:cs="Calibri"/>
                <w:szCs w:val="22"/>
                <w:lang w:val="en-GB"/>
              </w:rPr>
              <w:t xml:space="preserve">with </w:t>
            </w:r>
            <w:r w:rsidR="00F453B4">
              <w:rPr>
                <w:rFonts w:eastAsia="Calibri" w:cs="Calibri"/>
                <w:szCs w:val="22"/>
                <w:lang w:val="en-GB"/>
              </w:rPr>
              <w:t xml:space="preserve">health and </w:t>
            </w:r>
            <w:r>
              <w:rPr>
                <w:rFonts w:eastAsia="Calibri" w:cs="Calibri"/>
                <w:szCs w:val="22"/>
                <w:lang w:val="en-GB"/>
              </w:rPr>
              <w:t xml:space="preserve">nutrition sector counterparts and national stakeholders </w:t>
            </w:r>
            <w:r w:rsidRPr="00AF0762">
              <w:rPr>
                <w:rFonts w:eastAsia="Calibri" w:cs="Calibri"/>
                <w:szCs w:val="22"/>
                <w:lang w:val="en-GB"/>
              </w:rPr>
              <w:t xml:space="preserve">through active </w:t>
            </w:r>
            <w:r>
              <w:rPr>
                <w:rFonts w:eastAsia="Calibri" w:cs="Calibri"/>
                <w:szCs w:val="22"/>
                <w:lang w:val="en-GB"/>
              </w:rPr>
              <w:t xml:space="preserve">sharing of information and knowledge to facilitate </w:t>
            </w:r>
            <w:r w:rsidR="00EA4937">
              <w:rPr>
                <w:rFonts w:eastAsia="Calibri" w:cs="Calibri"/>
                <w:szCs w:val="22"/>
                <w:lang w:val="en-GB"/>
              </w:rPr>
              <w:t>programme</w:t>
            </w:r>
            <w:r>
              <w:rPr>
                <w:rFonts w:eastAsia="Calibri" w:cs="Calibri"/>
                <w:szCs w:val="22"/>
                <w:lang w:val="en-GB"/>
              </w:rPr>
              <w:t xml:space="preserve"> implementation and build capacity of stakeholders to achieve </w:t>
            </w:r>
            <w:r w:rsidR="00EA4937">
              <w:rPr>
                <w:rFonts w:eastAsia="Calibri" w:cs="Calibri"/>
                <w:szCs w:val="22"/>
                <w:lang w:val="en-GB"/>
              </w:rPr>
              <w:t>programme goals on maternal and child rights as well as social justice and equity.</w:t>
            </w:r>
          </w:p>
          <w:p w14:paraId="44B69FBF" w14:textId="77777777" w:rsidR="00C80142" w:rsidRPr="00B20B75" w:rsidRDefault="00C80142" w:rsidP="00C80142">
            <w:pPr>
              <w:numPr>
                <w:ilvl w:val="0"/>
                <w:numId w:val="29"/>
              </w:numPr>
              <w:spacing w:after="120"/>
              <w:contextualSpacing/>
              <w:jc w:val="both"/>
              <w:rPr>
                <w:rFonts w:eastAsia="Calibri" w:cs="Calibri"/>
                <w:szCs w:val="22"/>
                <w:lang w:val="en-GB"/>
              </w:rPr>
            </w:pPr>
            <w:r>
              <w:t>Provide sub-national level inputs for c</w:t>
            </w:r>
            <w:r w:rsidRPr="00AF0762">
              <w:t xml:space="preserve">ommunication </w:t>
            </w:r>
            <w:r>
              <w:t>and information materials for CO programme advocacy to promote awareness, establish partnership/alliances and support fund raising for nutrition programmes.</w:t>
            </w:r>
          </w:p>
          <w:p w14:paraId="2D1B31E3" w14:textId="77777777" w:rsidR="007D251C" w:rsidRDefault="007D251C" w:rsidP="007D251C">
            <w:pPr>
              <w:numPr>
                <w:ilvl w:val="0"/>
                <w:numId w:val="30"/>
              </w:numPr>
              <w:jc w:val="both"/>
            </w:pPr>
            <w:r>
              <w:t>Participate</w:t>
            </w:r>
            <w:r w:rsidRPr="00AF0762">
              <w:t xml:space="preserve"> in</w:t>
            </w:r>
            <w:r>
              <w:t xml:space="preserve"> appropriate</w:t>
            </w:r>
            <w:r w:rsidRPr="00AF0762">
              <w:t xml:space="preserve"> inter-agency (UNCT) </w:t>
            </w:r>
            <w:r w:rsidR="00EA4937">
              <w:t xml:space="preserve">meetings and </w:t>
            </w:r>
            <w:r>
              <w:t xml:space="preserve">events on </w:t>
            </w:r>
            <w:r w:rsidR="00EA4937">
              <w:t>programming</w:t>
            </w:r>
            <w:r>
              <w:t xml:space="preserve"> to collabo</w:t>
            </w:r>
            <w:r w:rsidR="00EA4937">
              <w:t xml:space="preserve">rate with inter-agency partners and </w:t>
            </w:r>
            <w:r>
              <w:t xml:space="preserve">colleagues on </w:t>
            </w:r>
            <w:r w:rsidR="00C80142">
              <w:t>AWP</w:t>
            </w:r>
            <w:r>
              <w:t xml:space="preserve"> operational planning and preparation of nutrition </w:t>
            </w:r>
            <w:r w:rsidR="00EA4937">
              <w:t>programmes/projects</w:t>
            </w:r>
            <w:r w:rsidR="00C92DDB">
              <w:t xml:space="preserve">, and </w:t>
            </w:r>
            <w:r>
              <w:t>to integrate and harmonize UNICEF</w:t>
            </w:r>
            <w:r w:rsidR="00EA4937">
              <w:t>’s</w:t>
            </w:r>
            <w:r>
              <w:t xml:space="preserve"> position and strategies</w:t>
            </w:r>
            <w:r w:rsidRPr="00AF0762">
              <w:t xml:space="preserve">. </w:t>
            </w:r>
          </w:p>
          <w:p w14:paraId="0755A098" w14:textId="77777777" w:rsidR="00D65E7D" w:rsidRDefault="00D65E7D" w:rsidP="00D65E7D">
            <w:pPr>
              <w:ind w:left="720"/>
              <w:jc w:val="both"/>
            </w:pPr>
          </w:p>
          <w:p w14:paraId="7AFE9380" w14:textId="45F78E86" w:rsidR="009D1837" w:rsidRDefault="1AF6650F" w:rsidP="009D1837">
            <w:pPr>
              <w:numPr>
                <w:ilvl w:val="0"/>
                <w:numId w:val="30"/>
              </w:numPr>
              <w:jc w:val="both"/>
            </w:pPr>
            <w:r>
              <w:t xml:space="preserve">Build and sustain </w:t>
            </w:r>
            <w:r w:rsidR="4D2D8CDD">
              <w:t>relationships</w:t>
            </w:r>
            <w:r>
              <w:t xml:space="preserve"> with </w:t>
            </w:r>
            <w:r w:rsidR="49F3CE20">
              <w:t>potential</w:t>
            </w:r>
            <w:r>
              <w:t xml:space="preserve"> partners for new partnership development on </w:t>
            </w:r>
            <w:r w:rsidR="12925788">
              <w:t xml:space="preserve">health and </w:t>
            </w:r>
            <w:r>
              <w:t xml:space="preserve">nutrition to reduce </w:t>
            </w:r>
            <w:r w:rsidR="5C7541A6">
              <w:t>childhood</w:t>
            </w:r>
            <w:r>
              <w:t xml:space="preserve"> </w:t>
            </w:r>
            <w:r w:rsidR="12925788">
              <w:t xml:space="preserve">health and </w:t>
            </w:r>
            <w:r>
              <w:t xml:space="preserve">nutrition morbidity and mortality at the sub-national </w:t>
            </w:r>
            <w:r w:rsidR="5126C8CA">
              <w:t>level.</w:t>
            </w:r>
            <w:r>
              <w:t xml:space="preserve"> </w:t>
            </w:r>
          </w:p>
          <w:p w14:paraId="136D7CC1" w14:textId="77777777" w:rsidR="007D251C" w:rsidRPr="00EE7D39" w:rsidRDefault="007D251C" w:rsidP="007D251C">
            <w:pPr>
              <w:ind w:left="720"/>
              <w:jc w:val="both"/>
            </w:pPr>
          </w:p>
        </w:tc>
      </w:tr>
      <w:tr w:rsidR="007D251C" w:rsidRPr="003D4E17" w14:paraId="7D1918AC" w14:textId="77777777" w:rsidTr="75654A63">
        <w:tc>
          <w:tcPr>
            <w:tcW w:w="9810" w:type="dxa"/>
          </w:tcPr>
          <w:p w14:paraId="421EFD5A" w14:textId="77777777" w:rsidR="007D251C" w:rsidRDefault="007D251C"/>
          <w:p w14:paraId="39EA4860" w14:textId="77777777" w:rsidR="007D251C" w:rsidRDefault="007D251C" w:rsidP="007D251C">
            <w:pPr>
              <w:numPr>
                <w:ilvl w:val="0"/>
                <w:numId w:val="26"/>
              </w:numPr>
              <w:rPr>
                <w:b/>
              </w:rPr>
            </w:pPr>
            <w:r>
              <w:rPr>
                <w:b/>
              </w:rPr>
              <w:t>Innovation, knowledge management and capacity building</w:t>
            </w:r>
          </w:p>
          <w:p w14:paraId="6BE76D2E" w14:textId="77777777" w:rsidR="007D251C" w:rsidRPr="00C548CB" w:rsidRDefault="007D251C" w:rsidP="007D251C">
            <w:pPr>
              <w:contextualSpacing/>
              <w:jc w:val="both"/>
              <w:rPr>
                <w:rFonts w:cs="Verdana"/>
                <w:szCs w:val="19"/>
              </w:rPr>
            </w:pPr>
          </w:p>
          <w:p w14:paraId="2854638A" w14:textId="77777777" w:rsidR="007D251C" w:rsidRDefault="007D251C" w:rsidP="007D251C">
            <w:pPr>
              <w:numPr>
                <w:ilvl w:val="0"/>
                <w:numId w:val="9"/>
              </w:numPr>
              <w:contextualSpacing/>
              <w:jc w:val="both"/>
            </w:pPr>
            <w:r w:rsidRPr="00826339">
              <w:t>Identify, capture</w:t>
            </w:r>
            <w:r>
              <w:t xml:space="preserve">, </w:t>
            </w:r>
            <w:r w:rsidRPr="00826339">
              <w:t>synthesize</w:t>
            </w:r>
            <w:r w:rsidR="00C92DDB">
              <w:t>,</w:t>
            </w:r>
            <w:r w:rsidRPr="00826339">
              <w:t xml:space="preserve"> </w:t>
            </w:r>
            <w:r>
              <w:t xml:space="preserve">and share </w:t>
            </w:r>
            <w:r w:rsidRPr="00826339">
              <w:t xml:space="preserve">lessons learned for knowledge </w:t>
            </w:r>
            <w:r>
              <w:t xml:space="preserve">development </w:t>
            </w:r>
            <w:r w:rsidRPr="00826339">
              <w:t xml:space="preserve">and </w:t>
            </w:r>
            <w:r>
              <w:t xml:space="preserve">to build the capacity of </w:t>
            </w:r>
            <w:r w:rsidRPr="00826339">
              <w:t>stake</w:t>
            </w:r>
            <w:r>
              <w:t>h</w:t>
            </w:r>
            <w:r w:rsidRPr="00826339">
              <w:t>olders.</w:t>
            </w:r>
          </w:p>
          <w:p w14:paraId="487B7947" w14:textId="77777777" w:rsidR="00C92DDB" w:rsidRPr="00826339" w:rsidRDefault="00C92DDB" w:rsidP="00C92DDB">
            <w:pPr>
              <w:ind w:left="720"/>
              <w:contextualSpacing/>
              <w:jc w:val="both"/>
            </w:pPr>
          </w:p>
          <w:p w14:paraId="43E871F5" w14:textId="77777777" w:rsidR="00C92DDB" w:rsidRDefault="007D251C" w:rsidP="00C92DDB">
            <w:pPr>
              <w:numPr>
                <w:ilvl w:val="0"/>
                <w:numId w:val="9"/>
              </w:numPr>
              <w:contextualSpacing/>
              <w:jc w:val="both"/>
            </w:pPr>
            <w:r>
              <w:t>Apply innovative approaches and promote good practice</w:t>
            </w:r>
            <w:r w:rsidR="00C92DDB">
              <w:t>s</w:t>
            </w:r>
            <w:r>
              <w:t xml:space="preserve"> to support the implementation and delivery of concrete and sustainable </w:t>
            </w:r>
            <w:r w:rsidR="00EA4937">
              <w:t>programme</w:t>
            </w:r>
            <w:r>
              <w:t xml:space="preserve"> results.</w:t>
            </w:r>
          </w:p>
          <w:p w14:paraId="4768A3B0" w14:textId="77777777" w:rsidR="00C92DDB" w:rsidRPr="005F44AA" w:rsidRDefault="00C92DDB" w:rsidP="00C92DDB">
            <w:pPr>
              <w:ind w:left="720"/>
              <w:contextualSpacing/>
              <w:jc w:val="both"/>
            </w:pPr>
          </w:p>
          <w:p w14:paraId="145C6F0E" w14:textId="77777777" w:rsidR="007D251C" w:rsidRDefault="007D251C" w:rsidP="007D251C">
            <w:pPr>
              <w:pStyle w:val="Default"/>
              <w:numPr>
                <w:ilvl w:val="0"/>
                <w:numId w:val="24"/>
              </w:numPr>
              <w:jc w:val="both"/>
              <w:rPr>
                <w:rFonts w:cs="Verdana"/>
                <w:color w:val="auto"/>
                <w:sz w:val="20"/>
                <w:szCs w:val="19"/>
              </w:rPr>
            </w:pPr>
            <w:r>
              <w:rPr>
                <w:rFonts w:cs="Verdana"/>
                <w:color w:val="auto"/>
                <w:sz w:val="20"/>
                <w:szCs w:val="19"/>
              </w:rPr>
              <w:t xml:space="preserve">Research, </w:t>
            </w:r>
            <w:r w:rsidR="0015124B">
              <w:rPr>
                <w:rFonts w:cs="Verdana"/>
                <w:color w:val="auto"/>
                <w:sz w:val="20"/>
                <w:szCs w:val="19"/>
              </w:rPr>
              <w:t>benchmark,</w:t>
            </w:r>
            <w:r>
              <w:rPr>
                <w:rFonts w:cs="Verdana"/>
                <w:color w:val="auto"/>
                <w:sz w:val="20"/>
                <w:szCs w:val="19"/>
              </w:rPr>
              <w:t xml:space="preserve"> and report on </w:t>
            </w:r>
            <w:r w:rsidRPr="00224CE6">
              <w:rPr>
                <w:rFonts w:cs="Verdana"/>
                <w:color w:val="auto"/>
                <w:sz w:val="20"/>
                <w:szCs w:val="19"/>
              </w:rPr>
              <w:t xml:space="preserve">best and </w:t>
            </w:r>
            <w:r w:rsidR="0015124B" w:rsidRPr="00224CE6">
              <w:rPr>
                <w:rFonts w:cs="Verdana"/>
                <w:color w:val="auto"/>
                <w:sz w:val="20"/>
                <w:szCs w:val="19"/>
              </w:rPr>
              <w:t>cutting-edge</w:t>
            </w:r>
            <w:r w:rsidRPr="00224CE6">
              <w:rPr>
                <w:rFonts w:cs="Verdana"/>
                <w:color w:val="auto"/>
                <w:sz w:val="20"/>
                <w:szCs w:val="19"/>
              </w:rPr>
              <w:t xml:space="preserve"> practice</w:t>
            </w:r>
            <w:r>
              <w:rPr>
                <w:rFonts w:cs="Verdana"/>
                <w:color w:val="auto"/>
                <w:sz w:val="20"/>
                <w:szCs w:val="19"/>
              </w:rPr>
              <w:t xml:space="preserve">s for development planning of knowledge products and systems. </w:t>
            </w:r>
          </w:p>
          <w:p w14:paraId="391D36F1" w14:textId="77777777" w:rsidR="00C92DDB" w:rsidRPr="00880C51" w:rsidRDefault="00C92DDB" w:rsidP="00C92DDB">
            <w:pPr>
              <w:pStyle w:val="Default"/>
              <w:ind w:left="720"/>
              <w:jc w:val="both"/>
              <w:rPr>
                <w:rFonts w:cs="Verdana"/>
                <w:color w:val="auto"/>
                <w:sz w:val="20"/>
                <w:szCs w:val="19"/>
              </w:rPr>
            </w:pPr>
          </w:p>
          <w:p w14:paraId="30D180A3" w14:textId="77777777" w:rsidR="007D251C" w:rsidRPr="005F55C1" w:rsidRDefault="007D251C" w:rsidP="007D251C">
            <w:pPr>
              <w:pStyle w:val="Default"/>
              <w:numPr>
                <w:ilvl w:val="0"/>
                <w:numId w:val="24"/>
              </w:numPr>
              <w:jc w:val="both"/>
              <w:rPr>
                <w:rFonts w:cs="Verdana"/>
                <w:color w:val="auto"/>
                <w:sz w:val="20"/>
                <w:szCs w:val="19"/>
              </w:rPr>
            </w:pPr>
            <w:r>
              <w:rPr>
                <w:rFonts w:cs="Verdana"/>
                <w:color w:val="auto"/>
                <w:sz w:val="20"/>
                <w:szCs w:val="19"/>
              </w:rPr>
              <w:t>Participate as</w:t>
            </w:r>
            <w:r w:rsidR="00C92DDB">
              <w:rPr>
                <w:rFonts w:cs="Verdana"/>
                <w:color w:val="auto"/>
                <w:sz w:val="20"/>
                <w:szCs w:val="19"/>
              </w:rPr>
              <w:t xml:space="preserve"> a</w:t>
            </w:r>
            <w:r>
              <w:rPr>
                <w:rFonts w:cs="Verdana"/>
                <w:color w:val="auto"/>
                <w:sz w:val="20"/>
                <w:szCs w:val="19"/>
              </w:rPr>
              <w:t xml:space="preserve"> resource person in capacity building initiatives to enha</w:t>
            </w:r>
            <w:r w:rsidR="00C92DDB">
              <w:rPr>
                <w:rFonts w:cs="Verdana"/>
                <w:color w:val="auto"/>
                <w:sz w:val="20"/>
                <w:szCs w:val="19"/>
              </w:rPr>
              <w:t xml:space="preserve">nce the competencies of clients and </w:t>
            </w:r>
            <w:r>
              <w:rPr>
                <w:rFonts w:cs="Verdana"/>
                <w:color w:val="auto"/>
                <w:sz w:val="20"/>
                <w:szCs w:val="19"/>
              </w:rPr>
              <w:t>stakeholders.</w:t>
            </w:r>
          </w:p>
          <w:p w14:paraId="7040B2D2" w14:textId="77777777" w:rsidR="007D251C" w:rsidRPr="003D4E17" w:rsidRDefault="007D251C" w:rsidP="007D251C">
            <w:pPr>
              <w:pStyle w:val="Default"/>
              <w:ind w:left="720"/>
              <w:jc w:val="both"/>
              <w:rPr>
                <w:rFonts w:ascii="Times New Roman" w:hAnsi="Times New Roman"/>
                <w:bCs/>
              </w:rPr>
            </w:pPr>
          </w:p>
        </w:tc>
      </w:tr>
    </w:tbl>
    <w:p w14:paraId="46D47E63" w14:textId="77777777" w:rsidR="007D251C" w:rsidRDefault="007D251C"/>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7D251C" w14:paraId="09917F1E" w14:textId="77777777" w:rsidTr="50173D5E">
        <w:tc>
          <w:tcPr>
            <w:tcW w:w="9810" w:type="dxa"/>
            <w:tcBorders>
              <w:bottom w:val="single" w:sz="4" w:space="0" w:color="auto"/>
            </w:tcBorders>
            <w:shd w:val="clear" w:color="auto" w:fill="E0E0E0"/>
          </w:tcPr>
          <w:p w14:paraId="61017833" w14:textId="77777777" w:rsidR="007D251C" w:rsidRDefault="007D251C">
            <w:pPr>
              <w:pStyle w:val="Heading1"/>
            </w:pPr>
          </w:p>
          <w:p w14:paraId="106D2D5F" w14:textId="77777777" w:rsidR="007D251C" w:rsidRDefault="007D251C">
            <w:pPr>
              <w:pStyle w:val="Heading1"/>
            </w:pPr>
            <w:r>
              <w:t xml:space="preserve">IV. Impact of Results </w:t>
            </w:r>
          </w:p>
          <w:p w14:paraId="47725E1E" w14:textId="77777777" w:rsidR="007D251C" w:rsidRDefault="007D251C">
            <w:pPr>
              <w:pStyle w:val="Heading1"/>
              <w:rPr>
                <w:b w:val="0"/>
                <w:bCs w:val="0"/>
                <w:i/>
                <w:iCs/>
                <w:sz w:val="18"/>
              </w:rPr>
            </w:pPr>
          </w:p>
        </w:tc>
      </w:tr>
      <w:tr w:rsidR="007D251C" w14:paraId="134CEE4F" w14:textId="77777777" w:rsidTr="50173D5E">
        <w:tc>
          <w:tcPr>
            <w:tcW w:w="9810" w:type="dxa"/>
          </w:tcPr>
          <w:p w14:paraId="2DC649B0" w14:textId="059AECCD" w:rsidR="00C92DDB" w:rsidRPr="000A3A21" w:rsidRDefault="434712EF" w:rsidP="50173D5E">
            <w:pPr>
              <w:autoSpaceDE w:val="0"/>
              <w:autoSpaceDN w:val="0"/>
              <w:jc w:val="both"/>
              <w:rPr>
                <w:rFonts w:ascii="Calibri" w:hAnsi="Calibri"/>
              </w:rPr>
            </w:pPr>
            <w:r>
              <w:t xml:space="preserve">The efficiency and efficacy of support provided by the </w:t>
            </w:r>
            <w:r w:rsidR="54EBB3AE">
              <w:t>Health and Nuttrition Officer</w:t>
            </w:r>
            <w:r>
              <w:t xml:space="preserve"> to the preparation, planning and implementation of </w:t>
            </w:r>
            <w:r w:rsidR="10538739">
              <w:t>the</w:t>
            </w:r>
            <w:r>
              <w:t xml:space="preserve"> programmes/projects contributes to and accelerates the national development efforts to improve the </w:t>
            </w:r>
            <w:r w:rsidR="283819B5">
              <w:t xml:space="preserve">health and </w:t>
            </w:r>
            <w:r>
              <w:t>nutritional status of mothers, infants and children in the country and this in turn contributes to maintaining and enhancing the credibility and ability of UNICEF to continue to provide</w:t>
            </w:r>
            <w:r w:rsidR="4E7DAB47">
              <w:t xml:space="preserve"> programme services to mothers </w:t>
            </w:r>
            <w:r>
              <w:t>and children that promotes greater social equity in the country.</w:t>
            </w:r>
          </w:p>
          <w:p w14:paraId="2B05A9B9" w14:textId="77777777" w:rsidR="007D251C" w:rsidRDefault="007D251C" w:rsidP="007D251C">
            <w:pPr>
              <w:jc w:val="both"/>
            </w:pPr>
          </w:p>
        </w:tc>
      </w:tr>
    </w:tbl>
    <w:p w14:paraId="095F06D9" w14:textId="77777777" w:rsidR="007D251C" w:rsidRDefault="007D251C"/>
    <w:p w14:paraId="1D966483" w14:textId="77777777" w:rsidR="007D251C" w:rsidRDefault="007D251C"/>
    <w:p w14:paraId="2D9AB97A" w14:textId="77777777" w:rsidR="007D251C" w:rsidRDefault="007D251C"/>
    <w:tbl>
      <w:tblPr>
        <w:tblW w:w="98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C92DDB" w14:paraId="03D66A64" w14:textId="77777777" w:rsidTr="002F2321">
        <w:tc>
          <w:tcPr>
            <w:tcW w:w="9810" w:type="dxa"/>
            <w:shd w:val="clear" w:color="auto" w:fill="E0E0E0"/>
          </w:tcPr>
          <w:p w14:paraId="23CA4687" w14:textId="77777777" w:rsidR="00C92DDB" w:rsidRDefault="00C92DDB" w:rsidP="003E27BF"/>
          <w:p w14:paraId="22006E47" w14:textId="77777777" w:rsidR="006B56A2" w:rsidRPr="003E1832" w:rsidRDefault="006B56A2" w:rsidP="006B56A2">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5936D58" w14:textId="77777777" w:rsidR="00C92DDB" w:rsidRDefault="00C92DDB" w:rsidP="003E27BF"/>
        </w:tc>
      </w:tr>
      <w:tr w:rsidR="009B41C3" w14:paraId="0FB38368" w14:textId="77777777" w:rsidTr="002F2321">
        <w:trPr>
          <w:cantSplit/>
          <w:trHeight w:val="353"/>
        </w:trPr>
        <w:tc>
          <w:tcPr>
            <w:tcW w:w="9810" w:type="dxa"/>
          </w:tcPr>
          <w:p w14:paraId="53BC3241" w14:textId="77777777" w:rsidR="009B41C3" w:rsidRDefault="009B41C3" w:rsidP="009B41C3">
            <w:pPr>
              <w:jc w:val="both"/>
              <w:rPr>
                <w:b/>
                <w:bCs/>
                <w:u w:val="single"/>
              </w:rPr>
            </w:pPr>
          </w:p>
          <w:p w14:paraId="75E0BCBB" w14:textId="77777777" w:rsidR="006B56A2" w:rsidRPr="000E6432" w:rsidRDefault="006B56A2" w:rsidP="006B56A2">
            <w:pPr>
              <w:jc w:val="both"/>
              <w:rPr>
                <w:b/>
                <w:bCs/>
                <w:szCs w:val="20"/>
                <w:u w:val="single"/>
              </w:rPr>
            </w:pPr>
            <w:r w:rsidRPr="00F07AFB">
              <w:rPr>
                <w:b/>
                <w:bCs/>
                <w:szCs w:val="20"/>
              </w:rPr>
              <w:t xml:space="preserve">i) </w:t>
            </w:r>
            <w:r w:rsidRPr="000E6432">
              <w:rPr>
                <w:b/>
                <w:bCs/>
                <w:szCs w:val="20"/>
                <w:u w:val="single"/>
              </w:rPr>
              <w:t xml:space="preserve">Core Values </w:t>
            </w:r>
          </w:p>
          <w:p w14:paraId="49B538F6" w14:textId="77777777" w:rsidR="006B56A2" w:rsidRPr="00EC6297" w:rsidRDefault="006B56A2" w:rsidP="006B56A2">
            <w:pPr>
              <w:jc w:val="both"/>
              <w:rPr>
                <w:b/>
                <w:bCs/>
                <w:szCs w:val="20"/>
                <w:u w:val="single"/>
              </w:rPr>
            </w:pPr>
          </w:p>
          <w:p w14:paraId="485705EA" w14:textId="77777777" w:rsidR="006B56A2" w:rsidRPr="00EC6297" w:rsidRDefault="006B56A2" w:rsidP="006B56A2">
            <w:pPr>
              <w:numPr>
                <w:ilvl w:val="0"/>
                <w:numId w:val="38"/>
              </w:numPr>
              <w:jc w:val="both"/>
              <w:rPr>
                <w:rFonts w:cs="Arial"/>
                <w:bCs/>
                <w:szCs w:val="20"/>
              </w:rPr>
            </w:pPr>
            <w:r w:rsidRPr="00EC6297">
              <w:rPr>
                <w:rFonts w:cs="Arial"/>
                <w:bCs/>
                <w:szCs w:val="20"/>
              </w:rPr>
              <w:t xml:space="preserve">Care </w:t>
            </w:r>
          </w:p>
          <w:p w14:paraId="4D8AC5F6" w14:textId="77777777" w:rsidR="006B56A2" w:rsidRPr="00EC6297" w:rsidRDefault="006B56A2" w:rsidP="006B56A2">
            <w:pPr>
              <w:numPr>
                <w:ilvl w:val="0"/>
                <w:numId w:val="38"/>
              </w:numPr>
              <w:jc w:val="both"/>
              <w:rPr>
                <w:rFonts w:cs="Arial"/>
                <w:bCs/>
                <w:szCs w:val="20"/>
              </w:rPr>
            </w:pPr>
            <w:r w:rsidRPr="00EC6297">
              <w:rPr>
                <w:rFonts w:cs="Arial"/>
                <w:bCs/>
                <w:szCs w:val="20"/>
              </w:rPr>
              <w:t>Respect</w:t>
            </w:r>
          </w:p>
          <w:p w14:paraId="5FD9540B" w14:textId="77777777" w:rsidR="006B56A2" w:rsidRPr="00EC6297" w:rsidRDefault="006B56A2" w:rsidP="006B56A2">
            <w:pPr>
              <w:numPr>
                <w:ilvl w:val="0"/>
                <w:numId w:val="38"/>
              </w:numPr>
              <w:jc w:val="both"/>
              <w:rPr>
                <w:rFonts w:cs="Arial"/>
                <w:bCs/>
                <w:szCs w:val="20"/>
              </w:rPr>
            </w:pPr>
            <w:r w:rsidRPr="00EC6297">
              <w:rPr>
                <w:rFonts w:cs="Arial"/>
                <w:bCs/>
                <w:szCs w:val="20"/>
              </w:rPr>
              <w:t>Integrity</w:t>
            </w:r>
          </w:p>
          <w:p w14:paraId="2F7A167E" w14:textId="77777777" w:rsidR="006B56A2" w:rsidRPr="00EC6297" w:rsidRDefault="006B56A2" w:rsidP="006B56A2">
            <w:pPr>
              <w:numPr>
                <w:ilvl w:val="0"/>
                <w:numId w:val="38"/>
              </w:numPr>
              <w:jc w:val="both"/>
              <w:rPr>
                <w:rFonts w:cs="Arial"/>
                <w:bCs/>
                <w:szCs w:val="20"/>
              </w:rPr>
            </w:pPr>
            <w:r w:rsidRPr="00EC6297">
              <w:rPr>
                <w:rFonts w:cs="Arial"/>
                <w:bCs/>
                <w:szCs w:val="20"/>
              </w:rPr>
              <w:t>Trust</w:t>
            </w:r>
          </w:p>
          <w:p w14:paraId="79BDBA35" w14:textId="77777777" w:rsidR="006B56A2" w:rsidRDefault="006B56A2" w:rsidP="006B56A2">
            <w:pPr>
              <w:numPr>
                <w:ilvl w:val="0"/>
                <w:numId w:val="38"/>
              </w:numPr>
              <w:jc w:val="both"/>
              <w:rPr>
                <w:rFonts w:cs="Arial"/>
                <w:bCs/>
                <w:szCs w:val="20"/>
              </w:rPr>
            </w:pPr>
            <w:r w:rsidRPr="00EC6297">
              <w:rPr>
                <w:rFonts w:cs="Arial"/>
                <w:bCs/>
                <w:szCs w:val="20"/>
              </w:rPr>
              <w:t>Accountability</w:t>
            </w:r>
          </w:p>
          <w:p w14:paraId="7E9D8CAB" w14:textId="77777777" w:rsidR="005E16DA" w:rsidRPr="00EC6297" w:rsidRDefault="005E16DA" w:rsidP="006B56A2">
            <w:pPr>
              <w:numPr>
                <w:ilvl w:val="0"/>
                <w:numId w:val="38"/>
              </w:numPr>
              <w:jc w:val="both"/>
              <w:rPr>
                <w:rFonts w:cs="Arial"/>
                <w:bCs/>
                <w:szCs w:val="20"/>
              </w:rPr>
            </w:pPr>
            <w:r>
              <w:rPr>
                <w:rFonts w:cs="Arial"/>
                <w:bCs/>
                <w:szCs w:val="20"/>
              </w:rPr>
              <w:t>Sustainability</w:t>
            </w:r>
          </w:p>
          <w:p w14:paraId="7D2A816A" w14:textId="77777777" w:rsidR="006B56A2" w:rsidRPr="00EC6297" w:rsidRDefault="006B56A2" w:rsidP="006B56A2">
            <w:pPr>
              <w:ind w:left="720"/>
              <w:jc w:val="both"/>
              <w:rPr>
                <w:bCs/>
                <w:szCs w:val="20"/>
              </w:rPr>
            </w:pPr>
          </w:p>
          <w:p w14:paraId="62B3C51A" w14:textId="77777777" w:rsidR="006B56A2" w:rsidRDefault="006B56A2" w:rsidP="002F2194">
            <w:pPr>
              <w:jc w:val="both"/>
              <w:rPr>
                <w:b/>
                <w:bCs/>
                <w:u w:val="single"/>
              </w:rPr>
            </w:pPr>
            <w:r w:rsidRPr="00F07AFB">
              <w:rPr>
                <w:b/>
                <w:bCs/>
              </w:rPr>
              <w:t xml:space="preserve">ii) </w:t>
            </w:r>
            <w:r>
              <w:rPr>
                <w:b/>
                <w:bCs/>
                <w:u w:val="single"/>
              </w:rPr>
              <w:t xml:space="preserve">Core Competencies </w:t>
            </w:r>
            <w:r w:rsidRPr="003F4E36">
              <w:rPr>
                <w:b/>
                <w:bCs/>
              </w:rPr>
              <w:t>*</w:t>
            </w:r>
          </w:p>
          <w:p w14:paraId="259D718E" w14:textId="77777777" w:rsidR="006B56A2" w:rsidRDefault="006B56A2" w:rsidP="006B56A2">
            <w:pPr>
              <w:jc w:val="both"/>
              <w:rPr>
                <w:b/>
                <w:bCs/>
                <w:u w:val="single"/>
              </w:rPr>
            </w:pPr>
          </w:p>
          <w:p w14:paraId="241A18C6" w14:textId="77777777" w:rsidR="006B56A2" w:rsidRDefault="006B56A2" w:rsidP="006B56A2">
            <w:pPr>
              <w:numPr>
                <w:ilvl w:val="0"/>
                <w:numId w:val="9"/>
              </w:numPr>
              <w:jc w:val="both"/>
              <w:rPr>
                <w:bCs/>
              </w:rPr>
            </w:pPr>
            <w:r>
              <w:rPr>
                <w:bCs/>
              </w:rPr>
              <w:t>Demonstrates Self Awareness and Ethical Awareness (1)</w:t>
            </w:r>
          </w:p>
          <w:p w14:paraId="183522A6" w14:textId="77777777" w:rsidR="006B56A2" w:rsidRDefault="006B56A2" w:rsidP="006B56A2">
            <w:pPr>
              <w:numPr>
                <w:ilvl w:val="0"/>
                <w:numId w:val="9"/>
              </w:numPr>
              <w:jc w:val="both"/>
              <w:rPr>
                <w:bCs/>
              </w:rPr>
            </w:pPr>
            <w:r>
              <w:rPr>
                <w:bCs/>
              </w:rPr>
              <w:t>Works Collaboratively with others (1)</w:t>
            </w:r>
          </w:p>
          <w:p w14:paraId="497EEF0E" w14:textId="77777777" w:rsidR="006B56A2" w:rsidRDefault="006B56A2" w:rsidP="006B56A2">
            <w:pPr>
              <w:numPr>
                <w:ilvl w:val="0"/>
                <w:numId w:val="9"/>
              </w:numPr>
              <w:jc w:val="both"/>
              <w:rPr>
                <w:bCs/>
              </w:rPr>
            </w:pPr>
            <w:r>
              <w:rPr>
                <w:bCs/>
              </w:rPr>
              <w:t>Builds and Maintains Partnerships (1)</w:t>
            </w:r>
          </w:p>
          <w:p w14:paraId="25A5C122" w14:textId="77777777" w:rsidR="006B56A2" w:rsidRDefault="006B56A2" w:rsidP="006B56A2">
            <w:pPr>
              <w:numPr>
                <w:ilvl w:val="0"/>
                <w:numId w:val="9"/>
              </w:numPr>
              <w:jc w:val="both"/>
              <w:rPr>
                <w:bCs/>
              </w:rPr>
            </w:pPr>
            <w:r>
              <w:rPr>
                <w:bCs/>
              </w:rPr>
              <w:t>Innovates and Embraces Change (1)</w:t>
            </w:r>
          </w:p>
          <w:p w14:paraId="62EEEF0B" w14:textId="77777777" w:rsidR="006B56A2" w:rsidRDefault="006B56A2" w:rsidP="006B56A2">
            <w:pPr>
              <w:numPr>
                <w:ilvl w:val="0"/>
                <w:numId w:val="9"/>
              </w:numPr>
              <w:jc w:val="both"/>
              <w:rPr>
                <w:bCs/>
              </w:rPr>
            </w:pPr>
            <w:r>
              <w:rPr>
                <w:bCs/>
              </w:rPr>
              <w:t>Thinks and Acts Strategically (1)</w:t>
            </w:r>
          </w:p>
          <w:p w14:paraId="035573F5" w14:textId="77777777" w:rsidR="006B56A2" w:rsidRDefault="006B56A2" w:rsidP="006B56A2">
            <w:pPr>
              <w:numPr>
                <w:ilvl w:val="0"/>
                <w:numId w:val="9"/>
              </w:numPr>
              <w:jc w:val="both"/>
              <w:rPr>
                <w:bCs/>
              </w:rPr>
            </w:pPr>
            <w:r>
              <w:rPr>
                <w:bCs/>
              </w:rPr>
              <w:t>Drive to achieve impactful results (1)</w:t>
            </w:r>
          </w:p>
          <w:p w14:paraId="004E3442" w14:textId="77777777" w:rsidR="000816DE" w:rsidRPr="002F2194" w:rsidRDefault="006B56A2" w:rsidP="000816DE">
            <w:pPr>
              <w:numPr>
                <w:ilvl w:val="0"/>
                <w:numId w:val="9"/>
              </w:numPr>
              <w:jc w:val="both"/>
              <w:rPr>
                <w:bCs/>
              </w:rPr>
            </w:pPr>
            <w:r>
              <w:rPr>
                <w:bCs/>
              </w:rPr>
              <w:t>Manages ambiguity and complexity (1)</w:t>
            </w:r>
          </w:p>
          <w:p w14:paraId="53376892" w14:textId="77777777" w:rsidR="009B41C3" w:rsidRPr="00C92DDB" w:rsidRDefault="009B41C3" w:rsidP="003E27BF">
            <w:pPr>
              <w:jc w:val="both"/>
              <w:rPr>
                <w:i/>
                <w:iCs/>
                <w:color w:val="404040"/>
              </w:rPr>
            </w:pPr>
          </w:p>
        </w:tc>
      </w:tr>
    </w:tbl>
    <w:p w14:paraId="74C4F0E3" w14:textId="77777777" w:rsidR="007D251C" w:rsidRDefault="007D251C"/>
    <w:p w14:paraId="425A38F0" w14:textId="77777777" w:rsidR="007D251C" w:rsidRDefault="007D251C"/>
    <w:p w14:paraId="1A472E6D" w14:textId="77777777" w:rsidR="00C92DDB" w:rsidRDefault="00C92DDB"/>
    <w:p w14:paraId="37CCB9E7" w14:textId="77777777" w:rsidR="007D251C" w:rsidRDefault="007D251C"/>
    <w:tbl>
      <w:tblPr>
        <w:tblW w:w="99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510"/>
        <w:gridCol w:w="6390"/>
      </w:tblGrid>
      <w:tr w:rsidR="00C92DDB" w14:paraId="79E2E5BF" w14:textId="77777777" w:rsidTr="75654A63">
        <w:tc>
          <w:tcPr>
            <w:tcW w:w="9900" w:type="dxa"/>
            <w:gridSpan w:val="2"/>
            <w:shd w:val="clear" w:color="auto" w:fill="E0E0E0"/>
          </w:tcPr>
          <w:p w14:paraId="4404B67F" w14:textId="77777777" w:rsidR="00C92DDB" w:rsidRDefault="00C92DDB" w:rsidP="003E27BF">
            <w:pPr>
              <w:rPr>
                <w:b/>
                <w:bCs/>
                <w:sz w:val="24"/>
              </w:rPr>
            </w:pPr>
          </w:p>
          <w:p w14:paraId="03DA0F57" w14:textId="77777777" w:rsidR="00C92DDB" w:rsidRDefault="00C92DDB" w:rsidP="003E27BF">
            <w:pPr>
              <w:rPr>
                <w:b/>
                <w:bCs/>
                <w:sz w:val="24"/>
              </w:rPr>
            </w:pPr>
            <w:r>
              <w:rPr>
                <w:b/>
                <w:bCs/>
                <w:sz w:val="24"/>
              </w:rPr>
              <w:t>VI. Recruitment Qualifications</w:t>
            </w:r>
          </w:p>
          <w:p w14:paraId="5F8B30FB" w14:textId="77777777" w:rsidR="00C92DDB" w:rsidRDefault="00C92DDB" w:rsidP="003E27BF">
            <w:pPr>
              <w:rPr>
                <w:b/>
                <w:bCs/>
                <w:sz w:val="24"/>
              </w:rPr>
            </w:pPr>
          </w:p>
        </w:tc>
      </w:tr>
      <w:tr w:rsidR="00C92DDB" w14:paraId="16AA1C6E" w14:textId="77777777" w:rsidTr="75654A63">
        <w:trPr>
          <w:trHeight w:val="230"/>
        </w:trPr>
        <w:tc>
          <w:tcPr>
            <w:tcW w:w="3510" w:type="dxa"/>
            <w:tcBorders>
              <w:bottom w:val="single" w:sz="4" w:space="0" w:color="auto"/>
            </w:tcBorders>
          </w:tcPr>
          <w:p w14:paraId="1094C50E" w14:textId="77777777" w:rsidR="00C92DDB" w:rsidRDefault="00C92DDB" w:rsidP="003E27BF"/>
          <w:p w14:paraId="36585685" w14:textId="77777777" w:rsidR="00C92DDB" w:rsidRDefault="00C92DDB" w:rsidP="003E27BF">
            <w:r>
              <w:t>Education:</w:t>
            </w:r>
          </w:p>
        </w:tc>
        <w:tc>
          <w:tcPr>
            <w:tcW w:w="6390" w:type="dxa"/>
            <w:tcBorders>
              <w:bottom w:val="single" w:sz="4" w:space="0" w:color="auto"/>
            </w:tcBorders>
          </w:tcPr>
          <w:p w14:paraId="75FBFB23" w14:textId="77777777" w:rsidR="00C92DDB" w:rsidRDefault="00C92DDB" w:rsidP="003E27BF"/>
          <w:p w14:paraId="5EDE7136" w14:textId="77777777" w:rsidR="00C92DDB" w:rsidRDefault="00C92DDB" w:rsidP="003E27BF">
            <w:pPr>
              <w:jc w:val="both"/>
            </w:pPr>
            <w:r w:rsidRPr="00126B56">
              <w:t xml:space="preserve">A university degree in one of the following fields is required:  nutrition, public health, nutritional epidemiology, global/international health and nutrition, health/nutrition research, policy and/or management, health </w:t>
            </w:r>
            <w:r w:rsidRPr="00126B56">
              <w:lastRenderedPageBreak/>
              <w:t>sciences, nutritional epidemiology, or another health-related science field.</w:t>
            </w:r>
          </w:p>
        </w:tc>
      </w:tr>
      <w:tr w:rsidR="00C92DDB" w14:paraId="4204EA2D" w14:textId="77777777" w:rsidTr="75654A63">
        <w:trPr>
          <w:trHeight w:val="230"/>
        </w:trPr>
        <w:tc>
          <w:tcPr>
            <w:tcW w:w="3510" w:type="dxa"/>
            <w:tcBorders>
              <w:bottom w:val="single" w:sz="4" w:space="0" w:color="auto"/>
            </w:tcBorders>
          </w:tcPr>
          <w:p w14:paraId="17116C73" w14:textId="77777777" w:rsidR="00C92DDB" w:rsidRDefault="00C92DDB" w:rsidP="003E27BF"/>
          <w:p w14:paraId="127A2C01" w14:textId="77777777" w:rsidR="00C92DDB" w:rsidRDefault="00C92DDB" w:rsidP="003E27BF">
            <w:r>
              <w:t>Experience:</w:t>
            </w:r>
          </w:p>
        </w:tc>
        <w:tc>
          <w:tcPr>
            <w:tcW w:w="6390" w:type="dxa"/>
            <w:tcBorders>
              <w:bottom w:val="single" w:sz="4" w:space="0" w:color="auto"/>
            </w:tcBorders>
          </w:tcPr>
          <w:p w14:paraId="73F6ECFD" w14:textId="77777777" w:rsidR="00C92DDB" w:rsidRDefault="00C92DDB" w:rsidP="003E27BF">
            <w:pPr>
              <w:jc w:val="both"/>
            </w:pPr>
          </w:p>
          <w:p w14:paraId="62EEA2D0" w14:textId="3B1161BE" w:rsidR="00C92DDB" w:rsidRDefault="3314C3C1" w:rsidP="003E27BF">
            <w:pPr>
              <w:jc w:val="both"/>
            </w:pPr>
            <w:r>
              <w:t>At least two years of professional experience in a developing country context in one or more of the following areas is required: nutrition, public health, nutrition planning and management, or maternal, infant and child health/nutrition care.</w:t>
            </w:r>
          </w:p>
          <w:p w14:paraId="77E8FDF8" w14:textId="77777777" w:rsidR="00C92DDB" w:rsidRDefault="00C92DDB" w:rsidP="003E27BF">
            <w:pPr>
              <w:jc w:val="both"/>
            </w:pPr>
            <w:r>
              <w:t xml:space="preserve"> </w:t>
            </w:r>
          </w:p>
          <w:p w14:paraId="40640F53" w14:textId="77777777" w:rsidR="004D219A" w:rsidRDefault="004D219A" w:rsidP="004D219A">
            <w:pPr>
              <w:jc w:val="both"/>
            </w:pPr>
            <w:r>
              <w:t>Experience of facilitating cluster coordination mechanisms is required.</w:t>
            </w:r>
          </w:p>
          <w:p w14:paraId="59ACC349" w14:textId="77777777" w:rsidR="00C92DDB" w:rsidRDefault="00C92DDB" w:rsidP="003E27BF">
            <w:pPr>
              <w:jc w:val="both"/>
            </w:pPr>
          </w:p>
          <w:p w14:paraId="53CCA315" w14:textId="1BDF1AFC" w:rsidR="00C92DDB" w:rsidRDefault="00C92DDB" w:rsidP="003E27BF">
            <w:pPr>
              <w:jc w:val="both"/>
            </w:pPr>
            <w:r>
              <w:t>Experience in health/nutrition programme/project development in a UN system agency or organization is an asset</w:t>
            </w:r>
            <w:r w:rsidR="00E557F1">
              <w:t>.</w:t>
            </w:r>
          </w:p>
          <w:p w14:paraId="6C99351E" w14:textId="77777777" w:rsidR="004D219A" w:rsidRDefault="004D219A" w:rsidP="003E27BF">
            <w:pPr>
              <w:jc w:val="both"/>
            </w:pPr>
          </w:p>
          <w:p w14:paraId="4C97AD98" w14:textId="11C3B40D" w:rsidR="004D219A" w:rsidRDefault="004D219A" w:rsidP="003E27BF">
            <w:pPr>
              <w:jc w:val="both"/>
            </w:pPr>
            <w:r>
              <w:t>Prior experience of working in Kachin or similar conflict-affected areas is an asset</w:t>
            </w:r>
            <w:r w:rsidR="00E557F1">
              <w:t>.</w:t>
            </w:r>
          </w:p>
          <w:p w14:paraId="71EB770F" w14:textId="77777777" w:rsidR="00F453B4" w:rsidRDefault="00F453B4" w:rsidP="003E27BF">
            <w:pPr>
              <w:jc w:val="both"/>
            </w:pPr>
          </w:p>
          <w:p w14:paraId="7143684B" w14:textId="77777777" w:rsidR="00C92DDB" w:rsidRDefault="00C92DDB" w:rsidP="004D219A">
            <w:pPr>
              <w:jc w:val="both"/>
            </w:pPr>
          </w:p>
        </w:tc>
      </w:tr>
      <w:tr w:rsidR="00C92DDB" w:rsidRPr="00482327" w14:paraId="72620B28" w14:textId="77777777" w:rsidTr="75654A63">
        <w:trPr>
          <w:trHeight w:val="230"/>
        </w:trPr>
        <w:tc>
          <w:tcPr>
            <w:tcW w:w="3510" w:type="dxa"/>
            <w:tcBorders>
              <w:bottom w:val="single" w:sz="4" w:space="0" w:color="auto"/>
            </w:tcBorders>
          </w:tcPr>
          <w:p w14:paraId="51988D99" w14:textId="77777777" w:rsidR="00C92DDB" w:rsidRDefault="00C92DDB" w:rsidP="003E27BF"/>
          <w:p w14:paraId="647D0AD6" w14:textId="77777777" w:rsidR="00C92DDB" w:rsidRDefault="00C92DDB" w:rsidP="003E27BF">
            <w:r>
              <w:t>Language Requirements:</w:t>
            </w:r>
          </w:p>
        </w:tc>
        <w:tc>
          <w:tcPr>
            <w:tcW w:w="6390" w:type="dxa"/>
            <w:tcBorders>
              <w:bottom w:val="single" w:sz="4" w:space="0" w:color="auto"/>
            </w:tcBorders>
          </w:tcPr>
          <w:p w14:paraId="2C158EEE" w14:textId="77777777" w:rsidR="00C92DDB" w:rsidRDefault="00C92DDB" w:rsidP="003E27BF"/>
          <w:p w14:paraId="52191C79" w14:textId="77777777" w:rsidR="006B56A2" w:rsidRPr="0069598A" w:rsidRDefault="006B56A2" w:rsidP="006B56A2">
            <w:pPr>
              <w:rPr>
                <w:rFonts w:cs="Arial"/>
                <w:szCs w:val="20"/>
              </w:rPr>
            </w:pPr>
            <w:r w:rsidRPr="0069598A">
              <w:rPr>
                <w:rFonts w:cs="Arial"/>
                <w:szCs w:val="20"/>
              </w:rPr>
              <w:t xml:space="preserve">Fluency in English </w:t>
            </w:r>
            <w:r w:rsidR="00F453B4">
              <w:rPr>
                <w:rFonts w:cs="Arial"/>
                <w:szCs w:val="20"/>
              </w:rPr>
              <w:t xml:space="preserve">and Myanmar languages </w:t>
            </w:r>
            <w:r w:rsidRPr="0069598A">
              <w:rPr>
                <w:rFonts w:cs="Arial"/>
                <w:szCs w:val="20"/>
              </w:rPr>
              <w:t>is required. Knowledge of another official UN language (Arabic, Chinese, French, Russian or Spanish) or a local language is an asset.</w:t>
            </w:r>
          </w:p>
          <w:p w14:paraId="286629E5" w14:textId="77777777" w:rsidR="00C92DDB" w:rsidRPr="00482327" w:rsidRDefault="00C92DDB" w:rsidP="003E27BF">
            <w:pPr>
              <w:rPr>
                <w:rFonts w:cs="Arial"/>
              </w:rPr>
            </w:pPr>
          </w:p>
        </w:tc>
      </w:tr>
    </w:tbl>
    <w:p w14:paraId="3652FCFC" w14:textId="77777777" w:rsidR="007D251C" w:rsidRDefault="007D251C"/>
    <w:sectPr w:rsidR="007D251C">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A57E30"/>
    <w:multiLevelType w:val="multilevel"/>
    <w:tmpl w:val="A1163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157BC3"/>
    <w:multiLevelType w:val="hybridMultilevel"/>
    <w:tmpl w:val="3474A7EC"/>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73464"/>
    <w:multiLevelType w:val="multilevel"/>
    <w:tmpl w:val="5268CD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1A0D01"/>
    <w:multiLevelType w:val="hybridMultilevel"/>
    <w:tmpl w:val="281C06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80B89"/>
    <w:multiLevelType w:val="hybridMultilevel"/>
    <w:tmpl w:val="173CCDCE"/>
    <w:lvl w:ilvl="0" w:tplc="FFD0936E">
      <w:start w:val="1"/>
      <w:numFmt w:val="decimal"/>
      <w:lvlText w:val="%1."/>
      <w:lvlJc w:val="left"/>
      <w:pPr>
        <w:ind w:left="360" w:hanging="360"/>
      </w:pPr>
      <w:rPr>
        <w:rFonts w:ascii="Calibri" w:hAnsi="Calibri" w:cs="Cambri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056D9"/>
    <w:multiLevelType w:val="hybridMultilevel"/>
    <w:tmpl w:val="268C3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7530B"/>
    <w:multiLevelType w:val="multilevel"/>
    <w:tmpl w:val="E6CEE8BC"/>
    <w:lvl w:ilvl="0">
      <w:start w:val="1"/>
      <w:numFmt w:val="decimal"/>
      <w:lvlText w:val="%1."/>
      <w:lvlJc w:val="left"/>
      <w:pPr>
        <w:ind w:left="360" w:hanging="360"/>
      </w:pPr>
      <w:rPr>
        <w:rFonts w:ascii="Calibri" w:hAnsi="Calibri" w:cs="Cambria"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645F62"/>
    <w:multiLevelType w:val="hybridMultilevel"/>
    <w:tmpl w:val="FBF45754"/>
    <w:lvl w:ilvl="0" w:tplc="FFD0936E">
      <w:start w:val="1"/>
      <w:numFmt w:val="decimal"/>
      <w:lvlText w:val="%1."/>
      <w:lvlJc w:val="left"/>
      <w:pPr>
        <w:ind w:left="720" w:hanging="360"/>
      </w:pPr>
      <w:rPr>
        <w:rFonts w:ascii="Calibri" w:hAnsi="Calibri"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022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070228">
    <w:abstractNumId w:val="24"/>
  </w:num>
  <w:num w:numId="3" w16cid:durableId="1850288679">
    <w:abstractNumId w:val="27"/>
  </w:num>
  <w:num w:numId="4" w16cid:durableId="1549801815">
    <w:abstractNumId w:val="13"/>
  </w:num>
  <w:num w:numId="5" w16cid:durableId="1194223478">
    <w:abstractNumId w:val="1"/>
  </w:num>
  <w:num w:numId="6" w16cid:durableId="1483615200">
    <w:abstractNumId w:val="22"/>
  </w:num>
  <w:num w:numId="7" w16cid:durableId="1935169418">
    <w:abstractNumId w:val="8"/>
  </w:num>
  <w:num w:numId="8" w16cid:durableId="201940972">
    <w:abstractNumId w:val="29"/>
  </w:num>
  <w:num w:numId="9" w16cid:durableId="770131467">
    <w:abstractNumId w:val="5"/>
  </w:num>
  <w:num w:numId="10" w16cid:durableId="1754620802">
    <w:abstractNumId w:val="38"/>
  </w:num>
  <w:num w:numId="11" w16cid:durableId="823468567">
    <w:abstractNumId w:val="0"/>
  </w:num>
  <w:num w:numId="12" w16cid:durableId="2038267697">
    <w:abstractNumId w:val="34"/>
  </w:num>
  <w:num w:numId="13" w16cid:durableId="1430390662">
    <w:abstractNumId w:val="32"/>
  </w:num>
  <w:num w:numId="14" w16cid:durableId="1616060478">
    <w:abstractNumId w:val="36"/>
  </w:num>
  <w:num w:numId="15" w16cid:durableId="655039905">
    <w:abstractNumId w:val="35"/>
  </w:num>
  <w:num w:numId="16" w16cid:durableId="1426075248">
    <w:abstractNumId w:val="10"/>
  </w:num>
  <w:num w:numId="17" w16cid:durableId="1156803427">
    <w:abstractNumId w:val="4"/>
  </w:num>
  <w:num w:numId="18" w16cid:durableId="15740986">
    <w:abstractNumId w:val="31"/>
  </w:num>
  <w:num w:numId="19" w16cid:durableId="1345783173">
    <w:abstractNumId w:val="6"/>
  </w:num>
  <w:num w:numId="20" w16cid:durableId="14765">
    <w:abstractNumId w:val="37"/>
  </w:num>
  <w:num w:numId="21" w16cid:durableId="1904019367">
    <w:abstractNumId w:val="26"/>
  </w:num>
  <w:num w:numId="22" w16cid:durableId="807170441">
    <w:abstractNumId w:val="19"/>
  </w:num>
  <w:num w:numId="23" w16cid:durableId="1989744514">
    <w:abstractNumId w:val="21"/>
  </w:num>
  <w:num w:numId="24" w16cid:durableId="142359351">
    <w:abstractNumId w:val="12"/>
  </w:num>
  <w:num w:numId="25" w16cid:durableId="2105956192">
    <w:abstractNumId w:val="28"/>
  </w:num>
  <w:num w:numId="26" w16cid:durableId="1231892456">
    <w:abstractNumId w:val="9"/>
  </w:num>
  <w:num w:numId="27" w16cid:durableId="436027075">
    <w:abstractNumId w:val="33"/>
  </w:num>
  <w:num w:numId="28" w16cid:durableId="263272801">
    <w:abstractNumId w:val="17"/>
  </w:num>
  <w:num w:numId="29" w16cid:durableId="195778402">
    <w:abstractNumId w:val="16"/>
  </w:num>
  <w:num w:numId="30" w16cid:durableId="450519677">
    <w:abstractNumId w:val="25"/>
  </w:num>
  <w:num w:numId="31" w16cid:durableId="628707850">
    <w:abstractNumId w:val="7"/>
  </w:num>
  <w:num w:numId="32" w16cid:durableId="352145901">
    <w:abstractNumId w:val="3"/>
  </w:num>
  <w:num w:numId="33" w16cid:durableId="880436398">
    <w:abstractNumId w:val="20"/>
  </w:num>
  <w:num w:numId="34" w16cid:durableId="918637281">
    <w:abstractNumId w:val="14"/>
  </w:num>
  <w:num w:numId="35" w16cid:durableId="1523320619">
    <w:abstractNumId w:val="2"/>
  </w:num>
  <w:num w:numId="36" w16cid:durableId="801507914">
    <w:abstractNumId w:val="5"/>
  </w:num>
  <w:num w:numId="37" w16cid:durableId="1760982633">
    <w:abstractNumId w:val="15"/>
  </w:num>
  <w:num w:numId="38" w16cid:durableId="1793938799">
    <w:abstractNumId w:val="11"/>
  </w:num>
  <w:num w:numId="39" w16cid:durableId="1278751368">
    <w:abstractNumId w:val="30"/>
  </w:num>
  <w:num w:numId="40" w16cid:durableId="14758717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816DE"/>
    <w:rsid w:val="001016C4"/>
    <w:rsid w:val="00115166"/>
    <w:rsid w:val="0014615D"/>
    <w:rsid w:val="0015124B"/>
    <w:rsid w:val="00165B6A"/>
    <w:rsid w:val="001E4182"/>
    <w:rsid w:val="00226247"/>
    <w:rsid w:val="00233720"/>
    <w:rsid w:val="002A29D7"/>
    <w:rsid w:val="002A453A"/>
    <w:rsid w:val="002B74D0"/>
    <w:rsid w:val="002F2194"/>
    <w:rsid w:val="002F2321"/>
    <w:rsid w:val="00316D68"/>
    <w:rsid w:val="00345BA1"/>
    <w:rsid w:val="00352E56"/>
    <w:rsid w:val="00367BCD"/>
    <w:rsid w:val="0037063C"/>
    <w:rsid w:val="00373821"/>
    <w:rsid w:val="003A7E81"/>
    <w:rsid w:val="003B3548"/>
    <w:rsid w:val="003E27BF"/>
    <w:rsid w:val="004D219A"/>
    <w:rsid w:val="00536479"/>
    <w:rsid w:val="00591E68"/>
    <w:rsid w:val="005C3A15"/>
    <w:rsid w:val="005E16DA"/>
    <w:rsid w:val="005E7CB2"/>
    <w:rsid w:val="006B56A2"/>
    <w:rsid w:val="006C55F0"/>
    <w:rsid w:val="00712AAF"/>
    <w:rsid w:val="007A580E"/>
    <w:rsid w:val="007D251C"/>
    <w:rsid w:val="00801327"/>
    <w:rsid w:val="008712E4"/>
    <w:rsid w:val="00873630"/>
    <w:rsid w:val="009B41C3"/>
    <w:rsid w:val="009B4D85"/>
    <w:rsid w:val="009C0D13"/>
    <w:rsid w:val="009D1837"/>
    <w:rsid w:val="009E5281"/>
    <w:rsid w:val="00A14FA6"/>
    <w:rsid w:val="00A95CFA"/>
    <w:rsid w:val="00B650C0"/>
    <w:rsid w:val="00B8295F"/>
    <w:rsid w:val="00BB480E"/>
    <w:rsid w:val="00C56467"/>
    <w:rsid w:val="00C80142"/>
    <w:rsid w:val="00C92DDB"/>
    <w:rsid w:val="00CE3828"/>
    <w:rsid w:val="00CF27EF"/>
    <w:rsid w:val="00D06F14"/>
    <w:rsid w:val="00D369E9"/>
    <w:rsid w:val="00D65E7D"/>
    <w:rsid w:val="00D66FC8"/>
    <w:rsid w:val="00DB137C"/>
    <w:rsid w:val="00E557F1"/>
    <w:rsid w:val="00EA4937"/>
    <w:rsid w:val="00F410DA"/>
    <w:rsid w:val="00F42EE1"/>
    <w:rsid w:val="00F453B4"/>
    <w:rsid w:val="00F94ECB"/>
    <w:rsid w:val="00FB488F"/>
    <w:rsid w:val="00FE610A"/>
    <w:rsid w:val="02CB0256"/>
    <w:rsid w:val="05FE6DB1"/>
    <w:rsid w:val="0AFAE684"/>
    <w:rsid w:val="0BBA9530"/>
    <w:rsid w:val="0FE49DD6"/>
    <w:rsid w:val="10538739"/>
    <w:rsid w:val="12925788"/>
    <w:rsid w:val="145FCC4B"/>
    <w:rsid w:val="1AF6650F"/>
    <w:rsid w:val="206C1DD9"/>
    <w:rsid w:val="283819B5"/>
    <w:rsid w:val="2F64EDA3"/>
    <w:rsid w:val="32BC0159"/>
    <w:rsid w:val="3314C3C1"/>
    <w:rsid w:val="434712EF"/>
    <w:rsid w:val="468188B0"/>
    <w:rsid w:val="46E0B117"/>
    <w:rsid w:val="49F3CE20"/>
    <w:rsid w:val="4D2D8CDD"/>
    <w:rsid w:val="4E7DAB47"/>
    <w:rsid w:val="50173D5E"/>
    <w:rsid w:val="50E864DA"/>
    <w:rsid w:val="5126C8CA"/>
    <w:rsid w:val="54EBB3AE"/>
    <w:rsid w:val="5C200153"/>
    <w:rsid w:val="5C7541A6"/>
    <w:rsid w:val="5CB88C9E"/>
    <w:rsid w:val="5E05BA3E"/>
    <w:rsid w:val="5E061858"/>
    <w:rsid w:val="6501F880"/>
    <w:rsid w:val="7408E657"/>
    <w:rsid w:val="75654A63"/>
    <w:rsid w:val="7BA484A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84E72"/>
  <w15:chartTrackingRefBased/>
  <w15:docId w15:val="{93096786-5682-4549-8477-2498B886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80E"/>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EA4937"/>
    <w:pPr>
      <w:ind w:left="720"/>
    </w:pPr>
  </w:style>
  <w:style w:type="paragraph" w:styleId="Revision">
    <w:name w:val="Revision"/>
    <w:hidden/>
    <w:uiPriority w:val="71"/>
    <w:rsid w:val="0080132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3640">
      <w:bodyDiv w:val="1"/>
      <w:marLeft w:val="0"/>
      <w:marRight w:val="0"/>
      <w:marTop w:val="0"/>
      <w:marBottom w:val="0"/>
      <w:divBdr>
        <w:top w:val="none" w:sz="0" w:space="0" w:color="auto"/>
        <w:left w:val="none" w:sz="0" w:space="0" w:color="auto"/>
        <w:bottom w:val="none" w:sz="0" w:space="0" w:color="auto"/>
        <w:right w:val="none" w:sz="0" w:space="0" w:color="auto"/>
      </w:divBdr>
    </w:div>
    <w:div w:id="1198466192">
      <w:bodyDiv w:val="1"/>
      <w:marLeft w:val="0"/>
      <w:marRight w:val="0"/>
      <w:marTop w:val="0"/>
      <w:marBottom w:val="0"/>
      <w:divBdr>
        <w:top w:val="none" w:sz="0" w:space="0" w:color="auto"/>
        <w:left w:val="none" w:sz="0" w:space="0" w:color="auto"/>
        <w:bottom w:val="none" w:sz="0" w:space="0" w:color="auto"/>
        <w:right w:val="none" w:sz="0" w:space="0" w:color="auto"/>
      </w:divBdr>
    </w:div>
    <w:div w:id="20574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8c60112a-dc3c-48fb-b1cd-6b74ea65fc02">
      <Terms xmlns="http://schemas.microsoft.com/office/infopath/2007/PartnerControls"/>
    </lcf76f155ced4ddcb4097134ff3c332f>
    <_dlc_DocId xmlns="b88ae345-31a1-401d-a315-20c30aab9178">CDRWUWWTTX6A-2145613076-45</_dlc_DocId>
    <_dlc_DocIdUrl xmlns="b88ae345-31a1-401d-a315-20c30aab9178">
      <Url>https://unicef.sharepoint.com/teams/MMR-HealthNutrition/_layouts/15/DocIdRedir.aspx?ID=CDRWUWWTTX6A-2145613076-45</Url>
      <Description>CDRWUWWTTX6A-2145613076-45</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F94BA1B69FC6A4BA8EE6A4137D632A5" ma:contentTypeVersion="13" ma:contentTypeDescription="Create a new document." ma:contentTypeScope="" ma:versionID="3fd5d774c2a069e3fe30564c6fe37e76">
  <xsd:schema xmlns:xsd="http://www.w3.org/2001/XMLSchema" xmlns:xs="http://www.w3.org/2001/XMLSchema" xmlns:p="http://schemas.microsoft.com/office/2006/metadata/properties" xmlns:ns2="b88ae345-31a1-401d-a315-20c30aab9178" xmlns:ns3="8c60112a-dc3c-48fb-b1cd-6b74ea65fc02" xmlns:ns4="ca283e0b-db31-4043-a2ef-b80661bf084a" targetNamespace="http://schemas.microsoft.com/office/2006/metadata/properties" ma:root="true" ma:fieldsID="440432b584eb80ab1536d2160d7a7832" ns2:_="" ns3:_="" ns4:_="">
    <xsd:import namespace="b88ae345-31a1-401d-a315-20c30aab9178"/>
    <xsd:import namespace="8c60112a-dc3c-48fb-b1cd-6b74ea65fc02"/>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4: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ae345-31a1-401d-a315-20c30aab91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60112a-dc3c-48fb-b1cd-6b74ea65fc0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95572bb-d409-4a00-ac00-e0d80bc7b8a0}" ma:internalName="TaxCatchAll" ma:showField="CatchAllData" ma:web="b88ae345-31a1-401d-a315-20c30aab91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91205-5F8A-4A74-A898-694DB49D39D4}">
  <ds:schemaRefs>
    <ds:schemaRef ds:uri="http://schemas.microsoft.com/sharepoint/v3/contenttype/forms"/>
  </ds:schemaRefs>
</ds:datastoreItem>
</file>

<file path=customXml/itemProps2.xml><?xml version="1.0" encoding="utf-8"?>
<ds:datastoreItem xmlns:ds="http://schemas.openxmlformats.org/officeDocument/2006/customXml" ds:itemID="{521BB0FB-72E7-4637-9D36-9E877473C8F3}">
  <ds:schemaRefs>
    <ds:schemaRef ds:uri="http://schemas.microsoft.com/sharepoint/events"/>
  </ds:schemaRefs>
</ds:datastoreItem>
</file>

<file path=customXml/itemProps3.xml><?xml version="1.0" encoding="utf-8"?>
<ds:datastoreItem xmlns:ds="http://schemas.openxmlformats.org/officeDocument/2006/customXml" ds:itemID="{0D3024E9-9CDC-40E7-9E32-26A46B7FC9CF}">
  <ds:schemaRefs>
    <ds:schemaRef ds:uri="http://schemas.microsoft.com/office/2006/metadata/properties"/>
    <ds:schemaRef ds:uri="http://schemas.microsoft.com/office/infopath/2007/PartnerControls"/>
    <ds:schemaRef ds:uri="ca283e0b-db31-4043-a2ef-b80661bf084a"/>
    <ds:schemaRef ds:uri="8c60112a-dc3c-48fb-b1cd-6b74ea65fc02"/>
    <ds:schemaRef ds:uri="b88ae345-31a1-401d-a315-20c30aab9178"/>
  </ds:schemaRefs>
</ds:datastoreItem>
</file>

<file path=customXml/itemProps4.xml><?xml version="1.0" encoding="utf-8"?>
<ds:datastoreItem xmlns:ds="http://schemas.openxmlformats.org/officeDocument/2006/customXml" ds:itemID="{1F761DBB-F10E-4878-8A0E-D9633DF87A08}">
  <ds:schemaRefs>
    <ds:schemaRef ds:uri="http://schemas.microsoft.com/office/2006/metadata/longProperties"/>
  </ds:schemaRefs>
</ds:datastoreItem>
</file>

<file path=customXml/itemProps5.xml><?xml version="1.0" encoding="utf-8"?>
<ds:datastoreItem xmlns:ds="http://schemas.openxmlformats.org/officeDocument/2006/customXml" ds:itemID="{2803C589-E155-41CE-9AF9-D22E0ACA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ae345-31a1-401d-a315-20c30aab9178"/>
    <ds:schemaRef ds:uri="8c60112a-dc3c-48fb-b1cd-6b74ea65fc02"/>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Pe Thet Khin</cp:lastModifiedBy>
  <cp:revision>3</cp:revision>
  <cp:lastPrinted>2015-01-19T15:07:00Z</cp:lastPrinted>
  <dcterms:created xsi:type="dcterms:W3CDTF">2024-10-09T05:13:00Z</dcterms:created>
  <dcterms:modified xsi:type="dcterms:W3CDTF">2024-10-11T04:32:00Z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_dlc_DocId">
    <vt:lpwstr>PRTL-88017155-388</vt:lpwstr>
  </property>
  <property fmtid="{D5CDD505-2E9C-101B-9397-08002B2CF9AE}" pid="25" name="_dlc_DocIdItemGuid">
    <vt:lpwstr>9d59e79b-dc1e-4057-ad11-48ab95b2a5f1</vt:lpwstr>
  </property>
  <property fmtid="{D5CDD505-2E9C-101B-9397-08002B2CF9AE}" pid="26" name="_dlc_DocIdUrl">
    <vt:lpwstr>https://unicef.sharepoint.com/sites/portals/JD/_layouts/15/DocIdRedir.aspx?ID=PRTL-88017155-388, PRTL-88017155-388</vt:lpwstr>
  </property>
  <property fmtid="{D5CDD505-2E9C-101B-9397-08002B2CF9AE}" pid="27" name="k8c968e8c72a4eda96b7e8fdbe192be2">
    <vt:lpwstr/>
  </property>
  <property fmtid="{D5CDD505-2E9C-101B-9397-08002B2CF9AE}" pid="28" name="j169e817e0ee4eb8974e6fc4a2762909">
    <vt:lpwstr/>
  </property>
  <property fmtid="{D5CDD505-2E9C-101B-9397-08002B2CF9AE}" pid="29" name="DateTransmittedEmail">
    <vt:lpwstr/>
  </property>
  <property fmtid="{D5CDD505-2E9C-101B-9397-08002B2CF9AE}" pid="30" name="ContentStatus">
    <vt:lpwstr/>
  </property>
  <property fmtid="{D5CDD505-2E9C-101B-9397-08002B2CF9AE}" pid="31" name="SenderEmail">
    <vt:lpwstr/>
  </property>
  <property fmtid="{D5CDD505-2E9C-101B-9397-08002B2CF9AE}" pid="32" name="IconOverlay">
    <vt:lpwstr/>
  </property>
  <property fmtid="{D5CDD505-2E9C-101B-9397-08002B2CF9AE}" pid="33" name="ContentLanguage">
    <vt:lpwstr>English</vt:lpwstr>
  </property>
  <property fmtid="{D5CDD505-2E9C-101B-9397-08002B2CF9AE}" pid="34" name="j048a4f9aaad4a8990a1d5e5f53cb451">
    <vt:lpwstr/>
  </property>
  <property fmtid="{D5CDD505-2E9C-101B-9397-08002B2CF9AE}" pid="35" name="TaxKeywordTaxHTField">
    <vt:lpwstr/>
  </property>
  <property fmtid="{D5CDD505-2E9C-101B-9397-08002B2CF9AE}" pid="36" name="h6a71f3e574e4344bc34f3fc9dd20054">
    <vt:lpwstr>HR Capacity HQ|5dfbef22-74f3-4590-8e9b-b76c325b633c</vt:lpwstr>
  </property>
  <property fmtid="{D5CDD505-2E9C-101B-9397-08002B2CF9AE}" pid="37" name="CategoryDescription">
    <vt:lpwstr/>
  </property>
  <property fmtid="{D5CDD505-2E9C-101B-9397-08002B2CF9AE}" pid="38" name="RecipientsEmail">
    <vt:lpwstr/>
  </property>
  <property fmtid="{D5CDD505-2E9C-101B-9397-08002B2CF9AE}" pid="39" name="mda26ace941f4791a7314a339fee829c">
    <vt:lpwstr>Job descriptions, ToRs (draft, individual)|4b79484e-8d78-4297-9552-ed7ad69e7044</vt:lpwstr>
  </property>
  <property fmtid="{D5CDD505-2E9C-101B-9397-08002B2CF9AE}" pid="40" name="SemaphoreItemMetadata">
    <vt:lpwstr/>
  </property>
  <property fmtid="{D5CDD505-2E9C-101B-9397-08002B2CF9AE}" pid="41" name="WrittenBy">
    <vt:lpwstr/>
  </property>
  <property fmtid="{D5CDD505-2E9C-101B-9397-08002B2CF9AE}" pid="42" name="DocumentType">
    <vt:lpwstr>4;#Job descriptions, ToRs (draft, individual)|4b79484e-8d78-4297-9552-ed7ad69e7044</vt:lpwstr>
  </property>
  <property fmtid="{D5CDD505-2E9C-101B-9397-08002B2CF9AE}" pid="43" name="SystemDTAC">
    <vt:lpwstr/>
  </property>
  <property fmtid="{D5CDD505-2E9C-101B-9397-08002B2CF9AE}" pid="44" name="TaxKeyword">
    <vt:lpwstr/>
  </property>
  <property fmtid="{D5CDD505-2E9C-101B-9397-08002B2CF9AE}" pid="45" name="GeographicScope">
    <vt:lpwstr/>
  </property>
  <property fmtid="{D5CDD505-2E9C-101B-9397-08002B2CF9AE}" pid="46" name="Topic">
    <vt:lpwstr>5;#HR Capacity HQ|5dfbef22-74f3-4590-8e9b-b76c325b633c</vt:lpwstr>
  </property>
  <property fmtid="{D5CDD505-2E9C-101B-9397-08002B2CF9AE}" pid="47" name="OfficeDivision">
    <vt:lpwstr>3;#Division of Human Resources-456K|47cb919c-ee56-4ab5-aca3-222bb3cb66d5</vt:lpwstr>
  </property>
  <property fmtid="{D5CDD505-2E9C-101B-9397-08002B2CF9AE}" pid="48" name="CriticalForLongTermRetention">
    <vt:lpwstr/>
  </property>
  <property fmtid="{D5CDD505-2E9C-101B-9397-08002B2CF9AE}" pid="49" name="GrammarlyDocumentId">
    <vt:lpwstr>a698954ff9db9d5bdccb25a42562681b1421db76587d149ef7abaa122cbe5198</vt:lpwstr>
  </property>
  <property fmtid="{D5CDD505-2E9C-101B-9397-08002B2CF9AE}" pid="50" name="ContentTypeId">
    <vt:lpwstr>0x0101009F94BA1B69FC6A4BA8EE6A4137D632A5</vt:lpwstr>
  </property>
  <property fmtid="{D5CDD505-2E9C-101B-9397-08002B2CF9AE}" pid="51" name="MediaServiceImageTags">
    <vt:lpwstr/>
  </property>
</Properties>
</file>