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D833" w14:textId="7C2B6242" w:rsidR="00192BE0" w:rsidRDefault="004F4DEE" w:rsidP="00CF4A6B">
      <w:pPr>
        <w:tabs>
          <w:tab w:val="center" w:pos="4680"/>
          <w:tab w:val="right" w:pos="9360"/>
        </w:tabs>
        <w:spacing w:line="240" w:lineRule="auto"/>
        <w:jc w:val="center"/>
        <w:rPr>
          <w:rFonts w:asciiTheme="minorHAnsi" w:hAnsiTheme="minorHAnsi" w:cstheme="minorHAnsi"/>
        </w:rPr>
      </w:pPr>
      <w:r>
        <w:rPr>
          <w:noProof/>
        </w:rPr>
        <w:drawing>
          <wp:anchor distT="0" distB="0" distL="114300" distR="114300" simplePos="0" relativeHeight="251659264" behindDoc="0" locked="0" layoutInCell="1" allowOverlap="1" wp14:anchorId="25EF484D" wp14:editId="198BAB69">
            <wp:simplePos x="0" y="0"/>
            <wp:positionH relativeFrom="margin">
              <wp:posOffset>1755775</wp:posOffset>
            </wp:positionH>
            <wp:positionV relativeFrom="paragraph">
              <wp:posOffset>170180</wp:posOffset>
            </wp:positionV>
            <wp:extent cx="289814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140" cy="457200"/>
                    </a:xfrm>
                    <a:prstGeom prst="rect">
                      <a:avLst/>
                    </a:prstGeom>
                  </pic:spPr>
                </pic:pic>
              </a:graphicData>
            </a:graphic>
            <wp14:sizeRelH relativeFrom="margin">
              <wp14:pctWidth>0</wp14:pctWidth>
            </wp14:sizeRelH>
            <wp14:sizeRelV relativeFrom="margin">
              <wp14:pctHeight>0</wp14:pctHeight>
            </wp14:sizeRelV>
          </wp:anchor>
        </w:drawing>
      </w:r>
    </w:p>
    <w:p w14:paraId="2C0B405F" w14:textId="7F26522C" w:rsidR="00CF4A6B" w:rsidRPr="008E6EEC" w:rsidRDefault="00CF4A6B" w:rsidP="00CF4A6B">
      <w:pPr>
        <w:tabs>
          <w:tab w:val="center" w:pos="4680"/>
          <w:tab w:val="right" w:pos="9360"/>
        </w:tabs>
        <w:spacing w:line="240" w:lineRule="auto"/>
        <w:jc w:val="center"/>
        <w:rPr>
          <w:rFonts w:asciiTheme="minorHAnsi" w:eastAsia="Times New Roman" w:hAnsiTheme="minorHAnsi" w:cstheme="minorHAnsi"/>
          <w:b/>
          <w:color w:val="0099FF"/>
        </w:rPr>
      </w:pPr>
      <w:r w:rsidRPr="008E6EEC">
        <w:rPr>
          <w:rFonts w:asciiTheme="minorHAnsi" w:hAnsiTheme="minorHAnsi" w:cstheme="minorHAnsi"/>
        </w:rPr>
        <w:t xml:space="preserve">     </w:t>
      </w:r>
    </w:p>
    <w:p w14:paraId="46B139BA" w14:textId="77777777" w:rsidR="00E741F9" w:rsidRDefault="00E741F9" w:rsidP="00CF4A6B">
      <w:pPr>
        <w:spacing w:line="240" w:lineRule="auto"/>
        <w:jc w:val="center"/>
        <w:rPr>
          <w:rFonts w:asciiTheme="minorHAnsi" w:hAnsiTheme="minorHAnsi" w:cstheme="minorHAnsi"/>
          <w:b/>
        </w:rPr>
      </w:pPr>
    </w:p>
    <w:p w14:paraId="18007DC6" w14:textId="77777777" w:rsidR="00E741F9" w:rsidRDefault="00E741F9" w:rsidP="00CF4A6B">
      <w:pPr>
        <w:spacing w:line="240" w:lineRule="auto"/>
        <w:jc w:val="center"/>
        <w:rPr>
          <w:rFonts w:asciiTheme="minorHAnsi" w:hAnsiTheme="minorHAnsi" w:cstheme="minorHAnsi"/>
          <w:b/>
        </w:rPr>
      </w:pPr>
    </w:p>
    <w:p w14:paraId="65E5C94D" w14:textId="77777777" w:rsidR="00E741F9" w:rsidRDefault="00E741F9" w:rsidP="00CF4A6B">
      <w:pPr>
        <w:spacing w:line="240" w:lineRule="auto"/>
        <w:jc w:val="center"/>
        <w:rPr>
          <w:rFonts w:asciiTheme="minorHAnsi" w:hAnsiTheme="minorHAnsi" w:cstheme="minorHAnsi"/>
          <w:b/>
        </w:rPr>
      </w:pPr>
    </w:p>
    <w:p w14:paraId="3B688DE7" w14:textId="77777777" w:rsidR="00CF4A6B" w:rsidRPr="008E6EEC" w:rsidRDefault="002065DD" w:rsidP="00CF4A6B">
      <w:pPr>
        <w:spacing w:line="240" w:lineRule="auto"/>
        <w:jc w:val="center"/>
        <w:rPr>
          <w:rFonts w:asciiTheme="minorHAnsi" w:hAnsiTheme="minorHAnsi" w:cstheme="minorHAnsi"/>
          <w:b/>
        </w:rPr>
      </w:pPr>
      <w:r w:rsidRPr="008E6EEC">
        <w:rPr>
          <w:rFonts w:asciiTheme="minorHAnsi" w:hAnsiTheme="minorHAnsi" w:cstheme="minorHAnsi"/>
          <w:b/>
        </w:rPr>
        <w:t>TERMS OF REFERENCE FOR INDIVIDUAL CONSULTANTS AND CONTRACTORS</w:t>
      </w:r>
    </w:p>
    <w:p w14:paraId="3518A538" w14:textId="77777777" w:rsidR="00CF4A6B" w:rsidRPr="008E6EEC" w:rsidRDefault="00CF4A6B" w:rsidP="00CF4A6B">
      <w:pPr>
        <w:spacing w:line="240" w:lineRule="auto"/>
        <w:jc w:val="center"/>
        <w:rPr>
          <w:rFonts w:asciiTheme="minorHAnsi" w:hAnsiTheme="minorHAnsi" w:cstheme="minorHAnsi"/>
          <w:b/>
        </w:rPr>
      </w:pPr>
    </w:p>
    <w:p w14:paraId="0D872811" w14:textId="77777777" w:rsidR="002065DD" w:rsidRPr="008E6EEC" w:rsidRDefault="002065DD" w:rsidP="00BF579E">
      <w:pPr>
        <w:spacing w:after="120"/>
        <w:jc w:val="both"/>
        <w:rPr>
          <w:rFonts w:asciiTheme="minorHAnsi" w:hAnsiTheme="minorHAnsi" w:cstheme="minorHAnsi"/>
          <w:b/>
        </w:rPr>
      </w:pPr>
    </w:p>
    <w:p w14:paraId="1518DC09" w14:textId="229B484E" w:rsidR="00CF4A6B" w:rsidRPr="00BF579E" w:rsidRDefault="00CF4A6B" w:rsidP="00BF579E">
      <w:pPr>
        <w:spacing w:after="120"/>
        <w:jc w:val="both"/>
        <w:rPr>
          <w:rFonts w:asciiTheme="minorHAnsi" w:hAnsiTheme="minorHAnsi" w:cstheme="minorHAnsi"/>
          <w:b/>
          <w:bCs/>
        </w:rPr>
      </w:pPr>
      <w:r w:rsidRPr="008E6EEC">
        <w:rPr>
          <w:rFonts w:asciiTheme="minorHAnsi" w:hAnsiTheme="minorHAnsi" w:cstheme="minorHAnsi"/>
          <w:b/>
        </w:rPr>
        <w:t xml:space="preserve">Title: </w:t>
      </w:r>
      <w:r w:rsidR="00FB1C45" w:rsidRPr="00BF579E">
        <w:rPr>
          <w:rFonts w:ascii="Calibri" w:hAnsi="Calibri" w:cs="Calibri"/>
          <w:b/>
          <w:bCs/>
        </w:rPr>
        <w:t>“</w:t>
      </w:r>
      <w:r w:rsidR="00FB1C45" w:rsidRPr="00BA1B2F">
        <w:rPr>
          <w:rFonts w:ascii="Calibri" w:hAnsi="Calibri" w:cs="Calibri"/>
          <w:b/>
          <w:bCs/>
        </w:rPr>
        <w:t xml:space="preserve">Consultancy to provide </w:t>
      </w:r>
      <w:r w:rsidR="00BF579E" w:rsidRPr="00BA1B2F">
        <w:rPr>
          <w:rFonts w:ascii="Calibri" w:hAnsi="Calibri" w:cs="Calibri"/>
          <w:b/>
          <w:bCs/>
        </w:rPr>
        <w:t>t</w:t>
      </w:r>
      <w:r w:rsidR="00FB1C45" w:rsidRPr="00BA1B2F">
        <w:rPr>
          <w:rFonts w:ascii="Calibri" w:hAnsi="Calibri" w:cs="Calibri"/>
          <w:b/>
          <w:bCs/>
        </w:rPr>
        <w:t xml:space="preserve">echnical </w:t>
      </w:r>
      <w:r w:rsidR="00BF579E" w:rsidRPr="00BA1B2F">
        <w:rPr>
          <w:rFonts w:ascii="Calibri" w:hAnsi="Calibri" w:cs="Calibri"/>
          <w:b/>
          <w:bCs/>
        </w:rPr>
        <w:t>a</w:t>
      </w:r>
      <w:r w:rsidR="00FB1C45" w:rsidRPr="00BA1B2F">
        <w:rPr>
          <w:rFonts w:ascii="Calibri" w:hAnsi="Calibri" w:cs="Calibri"/>
          <w:b/>
          <w:bCs/>
        </w:rPr>
        <w:t xml:space="preserve">ssistance </w:t>
      </w:r>
      <w:r w:rsidR="00BA1B2F" w:rsidRPr="00BA1B2F">
        <w:rPr>
          <w:rFonts w:ascii="Calibri" w:hAnsi="Calibri" w:cs="Calibri"/>
          <w:b/>
          <w:bCs/>
        </w:rPr>
        <w:t xml:space="preserve">to the Ministry of Health and Social Protection of the population of Tajikistan (MoHSPP) </w:t>
      </w:r>
      <w:r w:rsidR="00BA1B2F" w:rsidRPr="00BA1B2F">
        <w:rPr>
          <w:rFonts w:asciiTheme="minorHAnsi" w:hAnsiTheme="minorHAnsi" w:cstheme="minorHAnsi"/>
          <w:b/>
          <w:bCs/>
        </w:rPr>
        <w:t xml:space="preserve">on the </w:t>
      </w:r>
      <w:r w:rsidR="00BA1B2F" w:rsidRPr="00BA1B2F">
        <w:rPr>
          <w:rFonts w:ascii="Calibri" w:hAnsi="Calibri" w:cs="Calibri"/>
          <w:b/>
          <w:bCs/>
        </w:rPr>
        <w:t>development of National Water Safety Strategy, Tajikistan</w:t>
      </w:r>
      <w:r w:rsidR="00FB1C45" w:rsidRPr="00BA1B2F">
        <w:rPr>
          <w:rFonts w:ascii="Calibri" w:hAnsi="Calibri" w:cs="Calibri"/>
          <w:b/>
          <w:bCs/>
        </w:rPr>
        <w:t>”</w:t>
      </w:r>
    </w:p>
    <w:p w14:paraId="75BE0029" w14:textId="77777777" w:rsidR="00066D04" w:rsidRPr="008E6EEC" w:rsidRDefault="00066D04" w:rsidP="00CF4A6B">
      <w:pPr>
        <w:spacing w:line="240" w:lineRule="auto"/>
        <w:jc w:val="both"/>
        <w:rPr>
          <w:rFonts w:asciiTheme="minorHAnsi" w:hAnsiTheme="minorHAnsi" w:cstheme="minorHAnsi"/>
          <w:b/>
          <w:color w:val="000000" w:themeColor="text1"/>
        </w:rPr>
      </w:pPr>
    </w:p>
    <w:p w14:paraId="15191C42" w14:textId="77777777" w:rsidR="00F014F9" w:rsidRPr="008E6EEC" w:rsidRDefault="00F014F9" w:rsidP="00884A3E">
      <w:pPr>
        <w:spacing w:line="240" w:lineRule="auto"/>
        <w:jc w:val="both"/>
        <w:rPr>
          <w:rFonts w:asciiTheme="minorHAnsi" w:hAnsiTheme="minorHAnsi" w:cstheme="minorHAnsi"/>
          <w:b/>
          <w:color w:val="000000" w:themeColor="text1"/>
          <w:lang w:val="en-AU"/>
        </w:rPr>
      </w:pPr>
    </w:p>
    <w:p w14:paraId="7F5DD116" w14:textId="77777777" w:rsidR="00884A3E" w:rsidRPr="008E6EEC" w:rsidRDefault="00884A3E" w:rsidP="00884A3E">
      <w:pPr>
        <w:spacing w:line="240" w:lineRule="auto"/>
        <w:jc w:val="both"/>
        <w:rPr>
          <w:rFonts w:asciiTheme="minorHAnsi" w:hAnsiTheme="minorHAnsi" w:cstheme="minorHAnsi"/>
          <w:b/>
          <w:color w:val="000000" w:themeColor="text1"/>
          <w:lang w:val="en-AU"/>
        </w:rPr>
      </w:pPr>
      <w:r w:rsidRPr="00884A3E">
        <w:rPr>
          <w:rFonts w:asciiTheme="minorHAnsi" w:hAnsiTheme="minorHAnsi" w:cstheme="minorHAnsi"/>
          <w:b/>
          <w:color w:val="000000" w:themeColor="text1"/>
          <w:lang w:val="en-AU"/>
        </w:rPr>
        <w:t>Type of engagement</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Included in Annual</w:t>
      </w:r>
      <w:r w:rsidR="00D34C45" w:rsidRPr="008E6EEC">
        <w:rPr>
          <w:rFonts w:asciiTheme="minorHAnsi" w:hAnsiTheme="minorHAnsi" w:cstheme="minorHAnsi"/>
          <w:b/>
          <w:color w:val="000000" w:themeColor="text1"/>
          <w:lang w:val="en-AU"/>
        </w:rPr>
        <w:t xml:space="preserve"> </w:t>
      </w:r>
      <w:r w:rsidR="00FF321E" w:rsidRPr="008E6EEC">
        <w:rPr>
          <w:rFonts w:asciiTheme="minorHAnsi" w:hAnsiTheme="minorHAnsi" w:cstheme="minorHAnsi"/>
          <w:b/>
          <w:color w:val="000000" w:themeColor="text1"/>
          <w:lang w:val="en-AU"/>
        </w:rPr>
        <w:t>Workplan:</w:t>
      </w:r>
    </w:p>
    <w:p w14:paraId="4D2B3346"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0D5AEF0E" w14:textId="77777777" w:rsidR="00884A3E" w:rsidRPr="008E6EEC" w:rsidRDefault="00242577" w:rsidP="00884A3E">
      <w:pPr>
        <w:spacing w:line="240" w:lineRule="auto"/>
        <w:jc w:val="both"/>
        <w:rPr>
          <w:rFonts w:asciiTheme="minorHAnsi" w:hAnsiTheme="minorHAnsi" w:cstheme="minorHAnsi"/>
          <w:b/>
          <w:color w:val="000000" w:themeColor="text1"/>
          <w:lang w:val="en-AU"/>
        </w:rPr>
      </w:pPr>
      <w:r>
        <w:rPr>
          <w:rFonts w:asciiTheme="minorHAnsi" w:hAnsiTheme="minorHAnsi" w:cstheme="minorHAnsi"/>
          <w:b/>
          <w:color w:val="000000" w:themeColor="text1"/>
          <w:lang w:val="en-AU"/>
        </w:rPr>
        <w:fldChar w:fldCharType="begin">
          <w:ffData>
            <w:name w:val="Check11"/>
            <w:enabled/>
            <w:calcOnExit w:val="0"/>
            <w:checkBox>
              <w:sizeAuto/>
              <w:default w:val="1"/>
            </w:checkBox>
          </w:ffData>
        </w:fldChar>
      </w:r>
      <w:bookmarkStart w:id="0" w:name="Check11"/>
      <w:r>
        <w:rPr>
          <w:rFonts w:asciiTheme="minorHAnsi" w:hAnsiTheme="minorHAnsi" w:cstheme="minorHAnsi"/>
          <w:b/>
          <w:color w:val="000000" w:themeColor="text1"/>
          <w:lang w:val="en-AU"/>
        </w:rPr>
        <w:instrText xml:space="preserve"> FORMCHECKBOX </w:instrText>
      </w:r>
      <w:r w:rsidR="008B04F7">
        <w:rPr>
          <w:rFonts w:asciiTheme="minorHAnsi" w:hAnsiTheme="minorHAnsi" w:cstheme="minorHAnsi"/>
          <w:b/>
          <w:color w:val="000000" w:themeColor="text1"/>
          <w:lang w:val="en-AU"/>
        </w:rPr>
      </w:r>
      <w:r w:rsidR="008B04F7">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bookmarkEnd w:id="0"/>
      <w:r w:rsidR="00884A3E" w:rsidRPr="00884A3E">
        <w:rPr>
          <w:rFonts w:asciiTheme="minorHAnsi" w:hAnsiTheme="minorHAnsi" w:cstheme="minorHAnsi"/>
          <w:b/>
          <w:color w:val="000000" w:themeColor="text1"/>
          <w:lang w:val="en-AU"/>
        </w:rPr>
        <w:t xml:space="preserve"> Consultant  </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12784E">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12784E">
        <w:rPr>
          <w:rFonts w:asciiTheme="minorHAnsi" w:hAnsiTheme="minorHAnsi" w:cstheme="minorHAnsi"/>
          <w:b/>
          <w:color w:val="000000" w:themeColor="text1"/>
          <w:lang w:val="en-AU"/>
        </w:rPr>
        <w:instrText xml:space="preserve"> FORMCHECKBOX </w:instrText>
      </w:r>
      <w:r w:rsidR="008B04F7">
        <w:rPr>
          <w:rFonts w:asciiTheme="minorHAnsi" w:hAnsiTheme="minorHAnsi" w:cstheme="minorHAnsi"/>
          <w:b/>
          <w:color w:val="000000" w:themeColor="text1"/>
          <w:lang w:val="en-AU"/>
        </w:rPr>
      </w:r>
      <w:r w:rsidR="008B04F7">
        <w:rPr>
          <w:rFonts w:asciiTheme="minorHAnsi" w:hAnsiTheme="minorHAnsi" w:cstheme="minorHAnsi"/>
          <w:b/>
          <w:color w:val="000000" w:themeColor="text1"/>
          <w:lang w:val="en-AU"/>
        </w:rPr>
        <w:fldChar w:fldCharType="separate"/>
      </w:r>
      <w:r w:rsidR="0012784E">
        <w:rPr>
          <w:rFonts w:asciiTheme="minorHAnsi" w:hAnsiTheme="minorHAnsi" w:cstheme="minorHAnsi"/>
          <w:b/>
          <w:color w:val="000000" w:themeColor="text1"/>
          <w:lang w:val="en-AU"/>
        </w:rPr>
        <w:fldChar w:fldCharType="end"/>
      </w:r>
      <w:r w:rsidR="00FF321E" w:rsidRPr="008E6EEC">
        <w:rPr>
          <w:rFonts w:asciiTheme="minorHAnsi" w:hAnsiTheme="minorHAnsi" w:cstheme="minorHAnsi"/>
          <w:b/>
          <w:color w:val="000000" w:themeColor="text1"/>
          <w:lang w:val="en-AU"/>
        </w:rPr>
        <w:t xml:space="preserve"> Yes</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p>
    <w:p w14:paraId="7491B1C4"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145DA990" w14:textId="77777777" w:rsidR="00884A3E" w:rsidRPr="00242577" w:rsidRDefault="00884A3E" w:rsidP="00884A3E">
      <w:pPr>
        <w:spacing w:line="240" w:lineRule="auto"/>
        <w:jc w:val="both"/>
        <w:rPr>
          <w:rFonts w:asciiTheme="minorHAnsi" w:hAnsiTheme="minorHAnsi" w:cstheme="minorHAnsi"/>
          <w:b/>
          <w:color w:val="000000" w:themeColor="text1"/>
          <w:lang w:val="en-US"/>
        </w:rPr>
      </w:pPr>
      <w:r w:rsidRPr="008E6EEC">
        <w:rPr>
          <w:rFonts w:asciiTheme="minorHAnsi" w:hAnsiTheme="minorHAnsi" w:cstheme="minorHAnsi"/>
          <w:b/>
          <w:color w:val="000000" w:themeColor="text1"/>
          <w:lang w:val="en-AU"/>
        </w:rPr>
        <w:fldChar w:fldCharType="begin">
          <w:ffData>
            <w:name w:val="Check12"/>
            <w:enabled/>
            <w:calcOnExit w:val="0"/>
            <w:checkBox>
              <w:sizeAuto/>
              <w:default w:val="0"/>
            </w:checkBox>
          </w:ffData>
        </w:fldChar>
      </w:r>
      <w:bookmarkStart w:id="1" w:name="Check12"/>
      <w:r w:rsidRPr="008E6EEC">
        <w:rPr>
          <w:rFonts w:asciiTheme="minorHAnsi" w:hAnsiTheme="minorHAnsi" w:cstheme="minorHAnsi"/>
          <w:b/>
          <w:color w:val="000000" w:themeColor="text1"/>
          <w:lang w:val="en-AU"/>
        </w:rPr>
        <w:instrText xml:space="preserve"> FORMCHECKBOX </w:instrText>
      </w:r>
      <w:r w:rsidR="008B04F7">
        <w:rPr>
          <w:rFonts w:asciiTheme="minorHAnsi" w:hAnsiTheme="minorHAnsi" w:cstheme="minorHAnsi"/>
          <w:b/>
          <w:color w:val="000000" w:themeColor="text1"/>
          <w:lang w:val="en-AU"/>
        </w:rPr>
      </w:r>
      <w:r w:rsidR="008B04F7">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bookmarkEnd w:id="1"/>
      <w:r w:rsidRPr="008E6EEC">
        <w:rPr>
          <w:rFonts w:asciiTheme="minorHAnsi" w:hAnsiTheme="minorHAnsi" w:cstheme="minorHAnsi"/>
          <w:b/>
          <w:color w:val="000000" w:themeColor="text1"/>
          <w:lang w:val="en-AU"/>
        </w:rPr>
        <w:t xml:space="preserve"> Individual Contractor</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12784E">
        <w:rPr>
          <w:rFonts w:asciiTheme="minorHAnsi" w:hAnsiTheme="minorHAnsi" w:cstheme="minorHAnsi"/>
          <w:b/>
          <w:color w:val="000000" w:themeColor="text1"/>
          <w:lang w:val="en-AU"/>
        </w:rPr>
        <w:fldChar w:fldCharType="begin">
          <w:ffData>
            <w:name w:val="Check9"/>
            <w:enabled/>
            <w:calcOnExit w:val="0"/>
            <w:checkBox>
              <w:sizeAuto/>
              <w:default w:val="0"/>
            </w:checkBox>
          </w:ffData>
        </w:fldChar>
      </w:r>
      <w:bookmarkStart w:id="2" w:name="Check9"/>
      <w:r w:rsidR="0012784E">
        <w:rPr>
          <w:rFonts w:asciiTheme="minorHAnsi" w:hAnsiTheme="minorHAnsi" w:cstheme="minorHAnsi"/>
          <w:b/>
          <w:color w:val="000000" w:themeColor="text1"/>
          <w:lang w:val="en-AU"/>
        </w:rPr>
        <w:instrText xml:space="preserve"> FORMCHECKBOX </w:instrText>
      </w:r>
      <w:r w:rsidR="008B04F7">
        <w:rPr>
          <w:rFonts w:asciiTheme="minorHAnsi" w:hAnsiTheme="minorHAnsi" w:cstheme="minorHAnsi"/>
          <w:b/>
          <w:color w:val="000000" w:themeColor="text1"/>
          <w:lang w:val="en-AU"/>
        </w:rPr>
      </w:r>
      <w:r w:rsidR="008B04F7">
        <w:rPr>
          <w:rFonts w:asciiTheme="minorHAnsi" w:hAnsiTheme="minorHAnsi" w:cstheme="minorHAnsi"/>
          <w:b/>
          <w:color w:val="000000" w:themeColor="text1"/>
          <w:lang w:val="en-AU"/>
        </w:rPr>
        <w:fldChar w:fldCharType="separate"/>
      </w:r>
      <w:r w:rsidR="0012784E">
        <w:rPr>
          <w:rFonts w:asciiTheme="minorHAnsi" w:hAnsiTheme="minorHAnsi" w:cstheme="minorHAnsi"/>
          <w:b/>
          <w:color w:val="000000" w:themeColor="text1"/>
          <w:lang w:val="en-AU"/>
        </w:rPr>
        <w:fldChar w:fldCharType="end"/>
      </w:r>
      <w:bookmarkEnd w:id="2"/>
      <w:r w:rsidR="00FF321E" w:rsidRPr="008E6EEC">
        <w:rPr>
          <w:rFonts w:asciiTheme="minorHAnsi" w:hAnsiTheme="minorHAnsi" w:cstheme="minorHAnsi"/>
          <w:b/>
          <w:color w:val="000000" w:themeColor="text1"/>
          <w:lang w:val="en-AU"/>
        </w:rPr>
        <w:t xml:space="preserve"> No, please justify:</w:t>
      </w:r>
      <w:r w:rsidR="00242577" w:rsidRPr="00242577">
        <w:rPr>
          <w:rFonts w:asciiTheme="minorHAnsi" w:hAnsiTheme="minorHAnsi" w:cstheme="minorHAnsi"/>
          <w:b/>
          <w:color w:val="000000" w:themeColor="text1"/>
          <w:lang w:val="en-US"/>
        </w:rPr>
        <w:t xml:space="preserve"> </w:t>
      </w:r>
      <w:r w:rsidR="00242577">
        <w:rPr>
          <w:rFonts w:asciiTheme="minorHAnsi" w:hAnsiTheme="minorHAnsi" w:cstheme="minorHAnsi"/>
          <w:b/>
          <w:color w:val="000000" w:themeColor="text1"/>
          <w:lang w:val="en-US"/>
        </w:rPr>
        <w:t>will be included</w:t>
      </w:r>
    </w:p>
    <w:p w14:paraId="683EA871" w14:textId="77777777" w:rsidR="00884A3E" w:rsidRPr="008E6EEC" w:rsidRDefault="00884A3E" w:rsidP="00CF4A6B">
      <w:pPr>
        <w:spacing w:line="240" w:lineRule="auto"/>
        <w:jc w:val="both"/>
        <w:rPr>
          <w:rFonts w:asciiTheme="minorHAnsi" w:hAnsiTheme="minorHAnsi" w:cstheme="minorHAnsi"/>
          <w:b/>
          <w:color w:val="000000" w:themeColor="text1"/>
        </w:rPr>
      </w:pPr>
    </w:p>
    <w:p w14:paraId="46D0DA8E" w14:textId="77777777" w:rsidR="00D640BC" w:rsidRPr="008E6EEC" w:rsidRDefault="00D640BC" w:rsidP="00CF4A6B">
      <w:pPr>
        <w:spacing w:line="240" w:lineRule="auto"/>
        <w:jc w:val="both"/>
        <w:rPr>
          <w:rFonts w:asciiTheme="minorHAnsi" w:hAnsiTheme="minorHAnsi" w:cstheme="minorHAnsi"/>
          <w:b/>
          <w:color w:val="000000" w:themeColor="text1"/>
        </w:rPr>
      </w:pPr>
    </w:p>
    <w:p w14:paraId="555D5BD1" w14:textId="18FD4E8E" w:rsidR="00D640BC" w:rsidRPr="008E6EEC" w:rsidRDefault="00D640BC" w:rsidP="00D640BC">
      <w:pPr>
        <w:spacing w:line="240" w:lineRule="auto"/>
        <w:jc w:val="both"/>
        <w:rPr>
          <w:rFonts w:asciiTheme="minorHAnsi" w:hAnsiTheme="minorHAnsi" w:cstheme="minorHAnsi"/>
          <w:b/>
          <w:color w:val="000000" w:themeColor="text1"/>
          <w:lang w:val="en-AU"/>
        </w:rPr>
      </w:pPr>
      <w:r w:rsidRPr="008E6EEC">
        <w:rPr>
          <w:rFonts w:asciiTheme="minorHAnsi" w:hAnsiTheme="minorHAnsi" w:cstheme="minorHAnsi"/>
          <w:b/>
          <w:color w:val="000000" w:themeColor="text1"/>
        </w:rPr>
        <w:t xml:space="preserve">Consultant sourcing: </w:t>
      </w:r>
      <w:r w:rsidR="00D60D62">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00D60D62">
        <w:rPr>
          <w:rFonts w:asciiTheme="minorHAnsi" w:hAnsiTheme="minorHAnsi" w:cstheme="minorHAnsi"/>
          <w:b/>
          <w:color w:val="000000" w:themeColor="text1"/>
          <w:lang w:val="en-AU"/>
        </w:rPr>
        <w:instrText xml:space="preserve"> FORMCHECKBOX </w:instrText>
      </w:r>
      <w:r w:rsidR="008B04F7">
        <w:rPr>
          <w:rFonts w:asciiTheme="minorHAnsi" w:hAnsiTheme="minorHAnsi" w:cstheme="minorHAnsi"/>
          <w:b/>
          <w:color w:val="000000" w:themeColor="text1"/>
          <w:lang w:val="en-AU"/>
        </w:rPr>
      </w:r>
      <w:r w:rsidR="008B04F7">
        <w:rPr>
          <w:rFonts w:asciiTheme="minorHAnsi" w:hAnsiTheme="minorHAnsi" w:cstheme="minorHAnsi"/>
          <w:b/>
          <w:color w:val="000000" w:themeColor="text1"/>
          <w:lang w:val="en-AU"/>
        </w:rPr>
        <w:fldChar w:fldCharType="separate"/>
      </w:r>
      <w:r w:rsidR="00D60D62">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National  </w:t>
      </w:r>
      <w:r w:rsidR="00D60D62">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D60D62">
        <w:rPr>
          <w:rFonts w:asciiTheme="minorHAnsi" w:hAnsiTheme="minorHAnsi" w:cstheme="minorHAnsi"/>
          <w:b/>
          <w:color w:val="000000" w:themeColor="text1"/>
          <w:lang w:val="en-AU"/>
        </w:rPr>
        <w:instrText xml:space="preserve"> FORMCHECKBOX </w:instrText>
      </w:r>
      <w:r w:rsidR="008B04F7">
        <w:rPr>
          <w:rFonts w:asciiTheme="minorHAnsi" w:hAnsiTheme="minorHAnsi" w:cstheme="minorHAnsi"/>
          <w:b/>
          <w:color w:val="000000" w:themeColor="text1"/>
          <w:lang w:val="en-AU"/>
        </w:rPr>
      </w:r>
      <w:r w:rsidR="008B04F7">
        <w:rPr>
          <w:rFonts w:asciiTheme="minorHAnsi" w:hAnsiTheme="minorHAnsi" w:cstheme="minorHAnsi"/>
          <w:b/>
          <w:color w:val="000000" w:themeColor="text1"/>
          <w:lang w:val="en-AU"/>
        </w:rPr>
        <w:fldChar w:fldCharType="separate"/>
      </w:r>
      <w:r w:rsidR="00D60D62">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International </w:t>
      </w:r>
      <w:r w:rsidR="00BF579E">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00BF579E">
        <w:rPr>
          <w:rFonts w:asciiTheme="minorHAnsi" w:hAnsiTheme="minorHAnsi" w:cstheme="minorHAnsi"/>
          <w:b/>
          <w:color w:val="000000" w:themeColor="text1"/>
          <w:lang w:val="en-AU"/>
        </w:rPr>
        <w:instrText xml:space="preserve"> FORMCHECKBOX </w:instrText>
      </w:r>
      <w:r w:rsidR="008B04F7">
        <w:rPr>
          <w:rFonts w:asciiTheme="minorHAnsi" w:hAnsiTheme="minorHAnsi" w:cstheme="minorHAnsi"/>
          <w:b/>
          <w:color w:val="000000" w:themeColor="text1"/>
          <w:lang w:val="en-AU"/>
        </w:rPr>
      </w:r>
      <w:r w:rsidR="008B04F7">
        <w:rPr>
          <w:rFonts w:asciiTheme="minorHAnsi" w:hAnsiTheme="minorHAnsi" w:cstheme="minorHAnsi"/>
          <w:b/>
          <w:color w:val="000000" w:themeColor="text1"/>
          <w:lang w:val="en-AU"/>
        </w:rPr>
        <w:fldChar w:fldCharType="separate"/>
      </w:r>
      <w:r w:rsidR="00BF579E">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Both</w:t>
      </w:r>
    </w:p>
    <w:p w14:paraId="79983FC8" w14:textId="77777777" w:rsidR="00D640BC" w:rsidRPr="008E6EEC" w:rsidRDefault="00D640BC" w:rsidP="00CF4A6B">
      <w:pPr>
        <w:spacing w:line="240" w:lineRule="auto"/>
        <w:jc w:val="both"/>
        <w:rPr>
          <w:rFonts w:asciiTheme="minorHAnsi" w:hAnsiTheme="minorHAnsi" w:cstheme="minorHAnsi"/>
          <w:b/>
          <w:color w:val="000000" w:themeColor="text1"/>
        </w:rPr>
      </w:pPr>
    </w:p>
    <w:p w14:paraId="60D3DA35" w14:textId="77777777" w:rsidR="00F014F9" w:rsidRPr="008E6EEC" w:rsidRDefault="00F014F9" w:rsidP="00CF4A6B">
      <w:pPr>
        <w:spacing w:line="240" w:lineRule="auto"/>
        <w:jc w:val="both"/>
        <w:rPr>
          <w:rFonts w:asciiTheme="minorHAnsi" w:hAnsiTheme="minorHAnsi" w:cstheme="minorHAnsi"/>
          <w:b/>
          <w:color w:val="000000" w:themeColor="text1"/>
        </w:rPr>
      </w:pPr>
    </w:p>
    <w:p w14:paraId="3A671B84" w14:textId="77777777" w:rsidR="00CF4A6B" w:rsidRPr="008E6EEC" w:rsidRDefault="00F014F9" w:rsidP="00CF4A6B">
      <w:pPr>
        <w:spacing w:line="240" w:lineRule="auto"/>
        <w:jc w:val="both"/>
        <w:rPr>
          <w:rFonts w:asciiTheme="minorHAnsi" w:hAnsiTheme="minorHAnsi" w:cstheme="minorHAnsi"/>
          <w:b/>
          <w:color w:val="000000" w:themeColor="text1"/>
        </w:rPr>
      </w:pPr>
      <w:r w:rsidRPr="008E6EEC">
        <w:rPr>
          <w:rFonts w:asciiTheme="minorHAnsi" w:hAnsiTheme="minorHAnsi" w:cstheme="minorHAnsi"/>
          <w:b/>
          <w:color w:val="000000" w:themeColor="text1"/>
        </w:rPr>
        <w:t>DUTY STATION</w:t>
      </w:r>
      <w:r w:rsidR="00CF4A6B" w:rsidRPr="008E6EEC">
        <w:rPr>
          <w:rFonts w:asciiTheme="minorHAnsi" w:hAnsiTheme="minorHAnsi" w:cstheme="minorHAnsi"/>
          <w:b/>
          <w:color w:val="000000" w:themeColor="text1"/>
        </w:rPr>
        <w:t>/DURATION:</w:t>
      </w:r>
    </w:p>
    <w:p w14:paraId="20975EE3" w14:textId="77777777" w:rsidR="00FE2BB5" w:rsidRPr="008E6EEC" w:rsidRDefault="00FE2BB5" w:rsidP="00CF4A6B">
      <w:pPr>
        <w:spacing w:line="240" w:lineRule="auto"/>
        <w:jc w:val="both"/>
        <w:rPr>
          <w:rFonts w:asciiTheme="minorHAnsi" w:hAnsiTheme="minorHAnsi" w:cstheme="minorHAnsi"/>
          <w:b/>
          <w:color w:val="4472C4" w:themeColor="accent1"/>
        </w:rPr>
      </w:pPr>
    </w:p>
    <w:p w14:paraId="6A1FEC53" w14:textId="79FBE866" w:rsidR="00B80FE3" w:rsidRPr="008E6EEC" w:rsidRDefault="005C097A" w:rsidP="00B80FE3">
      <w:pPr>
        <w:pStyle w:val="DefaultText"/>
        <w:jc w:val="both"/>
        <w:rPr>
          <w:rFonts w:asciiTheme="minorHAnsi" w:hAnsiTheme="minorHAnsi" w:cstheme="minorHAnsi"/>
          <w:sz w:val="22"/>
          <w:szCs w:val="22"/>
          <w:lang w:val="en-US"/>
        </w:rPr>
      </w:pPr>
      <w:r w:rsidRPr="008E6EEC">
        <w:rPr>
          <w:rFonts w:asciiTheme="minorHAnsi" w:hAnsiTheme="minorHAnsi" w:cstheme="minorHAnsi"/>
          <w:i/>
          <w:sz w:val="22"/>
          <w:szCs w:val="22"/>
          <w:u w:val="single"/>
        </w:rPr>
        <w:t>Estimated d</w:t>
      </w:r>
      <w:r w:rsidR="00CF4A6B" w:rsidRPr="008E6EEC">
        <w:rPr>
          <w:rFonts w:asciiTheme="minorHAnsi" w:hAnsiTheme="minorHAnsi" w:cstheme="minorHAnsi"/>
          <w:i/>
          <w:sz w:val="22"/>
          <w:szCs w:val="22"/>
          <w:u w:val="single"/>
        </w:rPr>
        <w:t>uration</w:t>
      </w:r>
      <w:r w:rsidR="00CF4A6B" w:rsidRPr="008E6EEC">
        <w:rPr>
          <w:rFonts w:asciiTheme="minorHAnsi" w:hAnsiTheme="minorHAnsi" w:cstheme="minorHAnsi"/>
          <w:i/>
          <w:sz w:val="22"/>
          <w:szCs w:val="22"/>
        </w:rPr>
        <w:t xml:space="preserve">:  </w:t>
      </w:r>
      <w:r w:rsidR="00BA1B2F">
        <w:rPr>
          <w:rFonts w:asciiTheme="minorHAnsi" w:hAnsiTheme="minorHAnsi" w:cstheme="minorHAnsi"/>
          <w:i/>
          <w:sz w:val="22"/>
          <w:szCs w:val="22"/>
        </w:rPr>
        <w:t>33</w:t>
      </w:r>
      <w:r w:rsidR="00BE136F">
        <w:rPr>
          <w:rFonts w:asciiTheme="minorHAnsi" w:hAnsiTheme="minorHAnsi" w:cstheme="minorHAnsi"/>
          <w:i/>
          <w:sz w:val="22"/>
          <w:szCs w:val="22"/>
        </w:rPr>
        <w:t xml:space="preserve"> </w:t>
      </w:r>
      <w:r w:rsidR="00242577" w:rsidRPr="00242577">
        <w:rPr>
          <w:rFonts w:asciiTheme="minorHAnsi" w:hAnsiTheme="minorHAnsi" w:cstheme="minorHAnsi"/>
          <w:i/>
          <w:sz w:val="22"/>
          <w:szCs w:val="22"/>
        </w:rPr>
        <w:t xml:space="preserve">working days within </w:t>
      </w:r>
      <w:r w:rsidR="00D60D62">
        <w:rPr>
          <w:rFonts w:asciiTheme="minorHAnsi" w:hAnsiTheme="minorHAnsi" w:cstheme="minorHAnsi"/>
          <w:i/>
          <w:sz w:val="22"/>
          <w:szCs w:val="22"/>
        </w:rPr>
        <w:t>5</w:t>
      </w:r>
      <w:r w:rsidR="00242577" w:rsidRPr="00242577">
        <w:rPr>
          <w:rFonts w:asciiTheme="minorHAnsi" w:hAnsiTheme="minorHAnsi" w:cstheme="minorHAnsi"/>
          <w:i/>
          <w:sz w:val="22"/>
          <w:szCs w:val="22"/>
        </w:rPr>
        <w:t xml:space="preserve"> months</w:t>
      </w:r>
      <w:r w:rsidR="00242577">
        <w:rPr>
          <w:rFonts w:asciiTheme="minorHAnsi" w:hAnsiTheme="minorHAnsi" w:cstheme="minorHAnsi"/>
          <w:i/>
          <w:sz w:val="22"/>
          <w:szCs w:val="22"/>
        </w:rPr>
        <w:t xml:space="preserve"> (</w:t>
      </w:r>
      <w:r w:rsidR="00196695">
        <w:rPr>
          <w:rFonts w:asciiTheme="minorHAnsi" w:hAnsiTheme="minorHAnsi" w:cstheme="minorHAnsi"/>
          <w:i/>
          <w:sz w:val="22"/>
          <w:szCs w:val="22"/>
        </w:rPr>
        <w:t>September 2021</w:t>
      </w:r>
      <w:r w:rsidR="00242577">
        <w:rPr>
          <w:rFonts w:asciiTheme="minorHAnsi" w:hAnsiTheme="minorHAnsi" w:cstheme="minorHAnsi"/>
          <w:i/>
          <w:sz w:val="22"/>
          <w:szCs w:val="22"/>
        </w:rPr>
        <w:t xml:space="preserve"> – </w:t>
      </w:r>
      <w:r w:rsidR="00196695">
        <w:rPr>
          <w:rFonts w:asciiTheme="minorHAnsi" w:hAnsiTheme="minorHAnsi" w:cstheme="minorHAnsi"/>
          <w:i/>
          <w:sz w:val="22"/>
          <w:szCs w:val="22"/>
        </w:rPr>
        <w:t>January</w:t>
      </w:r>
      <w:r w:rsidR="00242577">
        <w:rPr>
          <w:rFonts w:asciiTheme="minorHAnsi" w:hAnsiTheme="minorHAnsi" w:cstheme="minorHAnsi"/>
          <w:i/>
          <w:sz w:val="22"/>
          <w:szCs w:val="22"/>
        </w:rPr>
        <w:t xml:space="preserve"> 202</w:t>
      </w:r>
      <w:r w:rsidR="00196695">
        <w:rPr>
          <w:rFonts w:asciiTheme="minorHAnsi" w:hAnsiTheme="minorHAnsi" w:cstheme="minorHAnsi"/>
          <w:i/>
          <w:sz w:val="22"/>
          <w:szCs w:val="22"/>
        </w:rPr>
        <w:t>2</w:t>
      </w:r>
      <w:r w:rsidR="00242577">
        <w:rPr>
          <w:rFonts w:asciiTheme="minorHAnsi" w:hAnsiTheme="minorHAnsi" w:cstheme="minorHAnsi"/>
          <w:i/>
          <w:sz w:val="22"/>
          <w:szCs w:val="22"/>
        </w:rPr>
        <w:t>)</w:t>
      </w:r>
    </w:p>
    <w:p w14:paraId="65BA1F64" w14:textId="77777777" w:rsidR="00CF4A6B" w:rsidRPr="008E6EEC" w:rsidRDefault="00CF4A6B" w:rsidP="00CF4A6B">
      <w:pPr>
        <w:spacing w:line="240" w:lineRule="auto"/>
        <w:jc w:val="both"/>
        <w:rPr>
          <w:rFonts w:asciiTheme="minorHAnsi" w:hAnsiTheme="minorHAnsi" w:cstheme="minorHAnsi"/>
          <w:i/>
          <w:u w:val="single"/>
          <w:lang w:val="tg-Cyrl-TJ"/>
        </w:rPr>
      </w:pPr>
    </w:p>
    <w:p w14:paraId="3053271B" w14:textId="77777777" w:rsidR="00CF4A6B" w:rsidRPr="008E6EEC" w:rsidRDefault="00356864" w:rsidP="00CF4A6B">
      <w:pPr>
        <w:spacing w:line="240" w:lineRule="auto"/>
        <w:jc w:val="both"/>
        <w:rPr>
          <w:rFonts w:asciiTheme="minorHAnsi" w:hAnsiTheme="minorHAnsi" w:cstheme="minorHAnsi"/>
          <w:i/>
        </w:rPr>
      </w:pPr>
      <w:r w:rsidRPr="008E6EEC">
        <w:rPr>
          <w:rFonts w:asciiTheme="minorHAnsi" w:hAnsiTheme="minorHAnsi" w:cstheme="minorHAnsi"/>
          <w:i/>
          <w:u w:val="single"/>
        </w:rPr>
        <w:t>Duty station</w:t>
      </w:r>
      <w:r w:rsidR="00CF4A6B" w:rsidRPr="008E6EEC">
        <w:rPr>
          <w:rFonts w:asciiTheme="minorHAnsi" w:hAnsiTheme="minorHAnsi" w:cstheme="minorHAnsi"/>
          <w:i/>
        </w:rPr>
        <w:t xml:space="preserve">: </w:t>
      </w:r>
      <w:r w:rsidR="00242577">
        <w:rPr>
          <w:rFonts w:asciiTheme="minorHAnsi" w:hAnsiTheme="minorHAnsi" w:cstheme="minorHAnsi"/>
          <w:i/>
        </w:rPr>
        <w:t>Dushanbe, Tajikistan</w:t>
      </w:r>
    </w:p>
    <w:p w14:paraId="0110003E" w14:textId="77777777" w:rsidR="00356864" w:rsidRPr="008E6EEC" w:rsidRDefault="00356864" w:rsidP="00CF4A6B">
      <w:pPr>
        <w:spacing w:line="240" w:lineRule="auto"/>
        <w:jc w:val="both"/>
        <w:rPr>
          <w:rFonts w:asciiTheme="minorHAnsi" w:hAnsiTheme="minorHAnsi" w:cstheme="minorHAnsi"/>
          <w:i/>
        </w:rPr>
      </w:pPr>
    </w:p>
    <w:p w14:paraId="5DE5FE4C" w14:textId="69EB1E80" w:rsidR="00CF4A6B" w:rsidRPr="008E6EEC" w:rsidRDefault="00CF4A6B" w:rsidP="00CF4A6B">
      <w:pPr>
        <w:spacing w:line="240" w:lineRule="auto"/>
        <w:jc w:val="both"/>
        <w:rPr>
          <w:rFonts w:asciiTheme="minorHAnsi" w:hAnsiTheme="minorHAnsi" w:cstheme="minorHAnsi"/>
          <w:i/>
        </w:rPr>
      </w:pPr>
      <w:r w:rsidRPr="008E6EEC">
        <w:rPr>
          <w:rFonts w:asciiTheme="minorHAnsi" w:hAnsiTheme="minorHAnsi" w:cstheme="minorHAnsi"/>
          <w:i/>
        </w:rPr>
        <w:t xml:space="preserve">On-site working days:  </w:t>
      </w:r>
      <w:r w:rsidR="00BA1B2F">
        <w:rPr>
          <w:rFonts w:asciiTheme="minorHAnsi" w:hAnsiTheme="minorHAnsi" w:cstheme="minorHAnsi"/>
          <w:i/>
        </w:rPr>
        <w:t>33</w:t>
      </w:r>
      <w:r w:rsidR="00242577">
        <w:rPr>
          <w:rFonts w:asciiTheme="minorHAnsi" w:hAnsiTheme="minorHAnsi" w:cstheme="minorHAnsi"/>
          <w:i/>
        </w:rPr>
        <w:t xml:space="preserve"> w/ds</w:t>
      </w:r>
    </w:p>
    <w:p w14:paraId="5B599728" w14:textId="77777777" w:rsidR="00CF4A6B" w:rsidRPr="008E6EEC" w:rsidRDefault="00CF4A6B" w:rsidP="00CF4A6B">
      <w:pPr>
        <w:spacing w:line="240" w:lineRule="auto"/>
        <w:jc w:val="both"/>
        <w:rPr>
          <w:rFonts w:asciiTheme="minorHAnsi" w:hAnsiTheme="minorHAnsi" w:cstheme="minorHAnsi"/>
          <w:i/>
        </w:rPr>
      </w:pPr>
    </w:p>
    <w:p w14:paraId="1708ADE7" w14:textId="77777777" w:rsidR="00CF4A6B" w:rsidRPr="008E6EEC" w:rsidRDefault="00CF4A6B" w:rsidP="00CF4A6B">
      <w:pPr>
        <w:spacing w:line="240" w:lineRule="auto"/>
        <w:jc w:val="both"/>
        <w:rPr>
          <w:rFonts w:asciiTheme="minorHAnsi" w:hAnsiTheme="minorHAnsi" w:cstheme="minorHAnsi"/>
          <w:i/>
        </w:rPr>
      </w:pPr>
      <w:r w:rsidRPr="008E6EEC">
        <w:rPr>
          <w:rFonts w:asciiTheme="minorHAnsi" w:hAnsiTheme="minorHAnsi" w:cstheme="minorHAnsi"/>
          <w:i/>
        </w:rPr>
        <w:t xml:space="preserve">Off-site working days: </w:t>
      </w:r>
      <w:r w:rsidR="00242577">
        <w:rPr>
          <w:rFonts w:asciiTheme="minorHAnsi" w:hAnsiTheme="minorHAnsi" w:cstheme="minorHAnsi"/>
          <w:i/>
        </w:rPr>
        <w:t>n/a</w:t>
      </w:r>
    </w:p>
    <w:p w14:paraId="43043EA0" w14:textId="77777777" w:rsidR="00CF4A6B" w:rsidRPr="008E6EEC" w:rsidRDefault="00CF4A6B" w:rsidP="00CF4A6B">
      <w:pPr>
        <w:spacing w:line="240" w:lineRule="auto"/>
        <w:jc w:val="both"/>
        <w:rPr>
          <w:rFonts w:asciiTheme="minorHAnsi" w:hAnsiTheme="minorHAnsi" w:cstheme="minorHAnsi"/>
          <w:i/>
        </w:rPr>
      </w:pPr>
    </w:p>
    <w:p w14:paraId="14E35373" w14:textId="77777777" w:rsidR="00CF4A6B" w:rsidRPr="008E6EEC" w:rsidRDefault="009A1305" w:rsidP="00CF4A6B">
      <w:pPr>
        <w:spacing w:line="240" w:lineRule="auto"/>
        <w:jc w:val="both"/>
        <w:rPr>
          <w:rFonts w:asciiTheme="minorHAnsi" w:hAnsiTheme="minorHAnsi" w:cstheme="minorHAnsi"/>
          <w:u w:val="single"/>
        </w:rPr>
      </w:pPr>
      <w:r w:rsidRPr="008E6EEC">
        <w:rPr>
          <w:rFonts w:asciiTheme="minorHAnsi" w:hAnsiTheme="minorHAnsi" w:cstheme="minorHAnsi"/>
          <w:i/>
          <w:u w:val="single"/>
        </w:rPr>
        <w:t>Supervisor</w:t>
      </w:r>
      <w:r w:rsidR="00CF4A6B" w:rsidRPr="008E6EEC">
        <w:rPr>
          <w:rFonts w:asciiTheme="minorHAnsi" w:hAnsiTheme="minorHAnsi" w:cstheme="minorHAnsi"/>
          <w:i/>
          <w:u w:val="single"/>
        </w:rPr>
        <w:t>:</w:t>
      </w:r>
      <w:r w:rsidR="00242577">
        <w:rPr>
          <w:rFonts w:asciiTheme="minorHAnsi" w:hAnsiTheme="minorHAnsi" w:cstheme="minorHAnsi"/>
          <w:i/>
          <w:u w:val="single"/>
        </w:rPr>
        <w:t xml:space="preserve"> </w:t>
      </w:r>
      <w:r w:rsidR="00242577" w:rsidRPr="00242577">
        <w:rPr>
          <w:rFonts w:asciiTheme="minorHAnsi" w:hAnsiTheme="minorHAnsi" w:cstheme="minorHAnsi"/>
          <w:i/>
        </w:rPr>
        <w:t>WASH Specialist (IP), UNICEF Tajikistan</w:t>
      </w:r>
    </w:p>
    <w:p w14:paraId="700515A7" w14:textId="77777777" w:rsidR="00CF4A6B" w:rsidRPr="008E6EEC" w:rsidRDefault="00CF4A6B" w:rsidP="00CF4A6B">
      <w:pPr>
        <w:spacing w:line="240" w:lineRule="auto"/>
        <w:jc w:val="both"/>
        <w:rPr>
          <w:rFonts w:asciiTheme="minorHAnsi" w:hAnsiTheme="minorHAnsi" w:cstheme="minorHAnsi"/>
        </w:rPr>
      </w:pPr>
    </w:p>
    <w:p w14:paraId="0E1C8E53" w14:textId="77777777" w:rsidR="00CF4A6B" w:rsidRPr="008E6EEC" w:rsidRDefault="00CF4A6B" w:rsidP="00CF4A6B">
      <w:pPr>
        <w:jc w:val="both"/>
        <w:rPr>
          <w:rFonts w:asciiTheme="minorHAnsi" w:hAnsiTheme="minorHAnsi" w:cstheme="minorHAnsi"/>
          <w:i/>
        </w:rPr>
      </w:pPr>
      <w:r w:rsidRPr="008E6EEC">
        <w:rPr>
          <w:rFonts w:asciiTheme="minorHAnsi" w:hAnsiTheme="minorHAnsi" w:cstheme="minorHAnsi"/>
          <w:i/>
          <w:u w:val="single"/>
        </w:rPr>
        <w:t>Reporting to</w:t>
      </w:r>
      <w:r w:rsidRPr="008E6EEC">
        <w:rPr>
          <w:rFonts w:asciiTheme="minorHAnsi" w:hAnsiTheme="minorHAnsi" w:cstheme="minorHAnsi"/>
          <w:i/>
        </w:rPr>
        <w:t xml:space="preserve">: </w:t>
      </w:r>
      <w:r w:rsidR="00242577" w:rsidRPr="00242577">
        <w:rPr>
          <w:rFonts w:asciiTheme="minorHAnsi" w:hAnsiTheme="minorHAnsi" w:cstheme="minorHAnsi"/>
          <w:i/>
        </w:rPr>
        <w:t>WASH Specialist (IP), UNICEF Tajikistan</w:t>
      </w:r>
    </w:p>
    <w:p w14:paraId="788CB3EE" w14:textId="77777777" w:rsidR="00CF4A6B" w:rsidRPr="008E6EEC" w:rsidRDefault="00CF4A6B" w:rsidP="00CF4A6B">
      <w:pPr>
        <w:spacing w:line="240" w:lineRule="auto"/>
        <w:jc w:val="both"/>
        <w:rPr>
          <w:rFonts w:asciiTheme="minorHAnsi" w:hAnsiTheme="minorHAnsi" w:cstheme="minorHAnsi"/>
          <w:i/>
        </w:rPr>
      </w:pPr>
    </w:p>
    <w:p w14:paraId="48DFB0FD" w14:textId="77777777" w:rsidR="00CF4A6B" w:rsidRPr="008E6EEC" w:rsidRDefault="00CF4A6B" w:rsidP="00CF4A6B">
      <w:pPr>
        <w:spacing w:line="240" w:lineRule="auto"/>
        <w:jc w:val="both"/>
        <w:rPr>
          <w:rFonts w:asciiTheme="minorHAnsi" w:hAnsiTheme="minorHAnsi" w:cstheme="minorHAnsi"/>
          <w:b/>
          <w:color w:val="4472C4" w:themeColor="accent1"/>
        </w:rPr>
      </w:pPr>
      <w:r w:rsidRPr="008E6EEC">
        <w:rPr>
          <w:rFonts w:asciiTheme="minorHAnsi" w:hAnsiTheme="minorHAnsi" w:cstheme="minorHAnsi"/>
          <w:b/>
          <w:color w:val="4472C4" w:themeColor="accent1"/>
        </w:rPr>
        <w:t>BACKGROUND:</w:t>
      </w:r>
    </w:p>
    <w:p w14:paraId="68CD24B1" w14:textId="77777777" w:rsidR="00BA1B2F" w:rsidRDefault="00BA1B2F" w:rsidP="00BA1B2F">
      <w:pPr>
        <w:autoSpaceDE w:val="0"/>
        <w:autoSpaceDN w:val="0"/>
        <w:adjustRightInd w:val="0"/>
        <w:spacing w:line="240" w:lineRule="auto"/>
        <w:rPr>
          <w:rFonts w:ascii="Calibri" w:eastAsiaTheme="minorHAnsi" w:hAnsi="Calibri" w:cs="Calibri"/>
          <w:sz w:val="23"/>
          <w:szCs w:val="23"/>
          <w:lang w:val="en-US"/>
        </w:rPr>
      </w:pPr>
    </w:p>
    <w:p w14:paraId="3613A5A3" w14:textId="05A6F9CB" w:rsidR="00BA1B2F" w:rsidRPr="00BA1B2F" w:rsidRDefault="00BA1B2F" w:rsidP="00BA1B2F">
      <w:pPr>
        <w:jc w:val="both"/>
        <w:rPr>
          <w:rFonts w:asciiTheme="minorHAnsi" w:hAnsiTheme="minorHAnsi" w:cstheme="minorHAnsi"/>
          <w:lang w:val="en-US"/>
        </w:rPr>
      </w:pPr>
      <w:r w:rsidRPr="00BA1B2F">
        <w:rPr>
          <w:rFonts w:asciiTheme="minorHAnsi" w:hAnsiTheme="minorHAnsi" w:cstheme="minorHAnsi"/>
        </w:rPr>
        <w:t xml:space="preserve">Key WASH indicators for Tajikistan remains less than optimal. Tajikistan is a member of the High-Level Panel on Water launched by the World Bank and the United Nations and has announced its commitment to the Sustainable Development Goal (SDG-6) to “Ensure availability and sustainable management of water and sanitation for all”. Tajikistan also committed to achievement of the SDGs and recognized the access to WASH in schools and health facilities as important favourable conditions for sustainable development in its National Development Strategy 2030, National Water Sector Strategy (2020 – 2030) and Water and Sanitation Plans and National Programme for Children that are in the process of development and endorsement. The </w:t>
      </w:r>
      <w:r w:rsidRPr="00BA1B2F">
        <w:rPr>
          <w:rFonts w:asciiTheme="minorHAnsi" w:hAnsiTheme="minorHAnsi" w:cstheme="minorHAnsi"/>
          <w:lang w:val="tg-Cyrl-TJ"/>
        </w:rPr>
        <w:t xml:space="preserve">Law of the Republic of Tajikistan "On Drinking Water Supply and Sanitation", adopted on July 19, 2019, establishes the legal, organizational, economic and social foundations for the provision of drinking water and sanitation, state </w:t>
      </w:r>
      <w:r w:rsidRPr="00BA1B2F">
        <w:rPr>
          <w:rFonts w:asciiTheme="minorHAnsi" w:hAnsiTheme="minorHAnsi" w:cstheme="minorHAnsi"/>
          <w:lang w:val="tg-Cyrl-TJ"/>
        </w:rPr>
        <w:lastRenderedPageBreak/>
        <w:t>guarantees for meeting the needs for drinking water, sanitation, as well as their quality and safety</w:t>
      </w:r>
      <w:r w:rsidRPr="00BA1B2F">
        <w:rPr>
          <w:rFonts w:asciiTheme="minorHAnsi" w:hAnsiTheme="minorHAnsi" w:cstheme="minorHAnsi"/>
          <w:lang w:val="en-US"/>
        </w:rPr>
        <w:t xml:space="preserve">. However the regulatory environment on ensuring compliance to set standards and optimum functionality of the infrastructure continues to be a challenge. </w:t>
      </w:r>
    </w:p>
    <w:p w14:paraId="0D818F61" w14:textId="77777777" w:rsidR="00BA1B2F" w:rsidRPr="00BA1B2F" w:rsidRDefault="00BA1B2F" w:rsidP="00BA1B2F">
      <w:pPr>
        <w:autoSpaceDE w:val="0"/>
        <w:autoSpaceDN w:val="0"/>
        <w:adjustRightInd w:val="0"/>
        <w:jc w:val="both"/>
        <w:rPr>
          <w:rFonts w:asciiTheme="minorHAnsi" w:eastAsiaTheme="minorHAnsi" w:hAnsiTheme="minorHAnsi" w:cstheme="minorHAnsi"/>
          <w:lang w:val="en-US"/>
        </w:rPr>
      </w:pPr>
    </w:p>
    <w:p w14:paraId="028F11DC" w14:textId="4DB39854" w:rsidR="00BA1B2F" w:rsidRPr="00BA1B2F" w:rsidRDefault="00BA1B2F" w:rsidP="00BA1B2F">
      <w:pPr>
        <w:autoSpaceDE w:val="0"/>
        <w:autoSpaceDN w:val="0"/>
        <w:adjustRightInd w:val="0"/>
        <w:jc w:val="both"/>
        <w:rPr>
          <w:rFonts w:asciiTheme="minorHAnsi" w:eastAsiaTheme="minorHAnsi" w:hAnsiTheme="minorHAnsi" w:cstheme="minorHAnsi"/>
          <w:lang w:val="en-US"/>
        </w:rPr>
      </w:pPr>
      <w:r w:rsidRPr="00BA1B2F">
        <w:rPr>
          <w:rFonts w:asciiTheme="minorHAnsi" w:eastAsiaTheme="minorHAnsi" w:hAnsiTheme="minorHAnsi" w:cstheme="minorHAnsi"/>
          <w:lang w:val="en-US"/>
        </w:rPr>
        <w:t xml:space="preserve">In Tajikistan, according to UNICEF and WHO Joint Monitoring Program (JMP), 81% of the population have access to basic water supply. However, at the same time, only </w:t>
      </w:r>
      <w:r w:rsidRPr="00BA1B2F">
        <w:rPr>
          <w:rFonts w:asciiTheme="minorHAnsi" w:hAnsiTheme="minorHAnsi" w:cstheme="minorHAnsi"/>
        </w:rPr>
        <w:t>47.9% of people nationally in Tajikistan have access to safely managed drinking water services (availability, access and quality) and which further drops to 36% in the rural areas</w:t>
      </w:r>
      <w:r w:rsidRPr="00BA1B2F">
        <w:rPr>
          <w:rFonts w:asciiTheme="minorHAnsi" w:eastAsiaTheme="minorHAnsi" w:hAnsiTheme="minorHAnsi" w:cstheme="minorHAnsi"/>
          <w:lang w:val="en-US"/>
        </w:rPr>
        <w:t xml:space="preserve">. It also indicates the fact that there has been less focus on ensuring the quality of water and its safety for human consumption. The Millennium Development Goals (MDG) did not have a specific mechanism for monitoring the quality of water. Thus, the Sustainable Development Goals (SDG) in recognition of the importance of water safety to human health included specific indicators for water quality. </w:t>
      </w:r>
    </w:p>
    <w:p w14:paraId="3CA867B8" w14:textId="77777777" w:rsidR="00BA1B2F" w:rsidRPr="00BA1B2F" w:rsidRDefault="00BA1B2F" w:rsidP="00BA1B2F">
      <w:pPr>
        <w:autoSpaceDE w:val="0"/>
        <w:autoSpaceDN w:val="0"/>
        <w:adjustRightInd w:val="0"/>
        <w:jc w:val="both"/>
        <w:rPr>
          <w:rFonts w:asciiTheme="minorHAnsi" w:eastAsiaTheme="minorHAnsi" w:hAnsiTheme="minorHAnsi" w:cstheme="minorHAnsi"/>
          <w:lang w:val="en-US"/>
        </w:rPr>
      </w:pPr>
    </w:p>
    <w:p w14:paraId="45ACD420" w14:textId="239FDAAF" w:rsidR="00BA1B2F" w:rsidRPr="00BA1B2F" w:rsidRDefault="00BA1B2F" w:rsidP="00BA1B2F">
      <w:pPr>
        <w:autoSpaceDE w:val="0"/>
        <w:autoSpaceDN w:val="0"/>
        <w:adjustRightInd w:val="0"/>
        <w:jc w:val="both"/>
        <w:rPr>
          <w:rFonts w:asciiTheme="minorHAnsi" w:eastAsiaTheme="minorHAnsi" w:hAnsiTheme="minorHAnsi" w:cstheme="minorHAnsi"/>
          <w:lang w:val="en-US"/>
        </w:rPr>
      </w:pPr>
      <w:r w:rsidRPr="00BA1B2F">
        <w:rPr>
          <w:rFonts w:asciiTheme="minorHAnsi" w:eastAsiaTheme="minorHAnsi" w:hAnsiTheme="minorHAnsi" w:cstheme="minorHAnsi"/>
          <w:lang w:val="en-US"/>
        </w:rPr>
        <w:t xml:space="preserve">SDG 6 aims at universal access to sustainable safe drinking water and sanitation services by 2030. The target indicator for water supply is “proportion of population using safely managed drinking water services”. This implies water being available on premise, available when needed and free from contamination. Apart from enhancing availability of improved drinking water sources, SDGs also emphasize ensuring and maintaining good quality drinking water right from the source up to the point of consumption. This calls for water safety measures to ensure water of good quality that is safe and does not pose a risk of water borne diseases to consumers. </w:t>
      </w:r>
    </w:p>
    <w:p w14:paraId="46952113" w14:textId="77777777" w:rsidR="00BA1B2F" w:rsidRPr="00BA1B2F" w:rsidRDefault="00BA1B2F" w:rsidP="00BA1B2F">
      <w:pPr>
        <w:autoSpaceDE w:val="0"/>
        <w:autoSpaceDN w:val="0"/>
        <w:adjustRightInd w:val="0"/>
        <w:jc w:val="both"/>
        <w:rPr>
          <w:rFonts w:asciiTheme="minorHAnsi" w:eastAsiaTheme="minorHAnsi" w:hAnsiTheme="minorHAnsi" w:cstheme="minorHAnsi"/>
          <w:lang w:val="en-US"/>
        </w:rPr>
      </w:pPr>
    </w:p>
    <w:p w14:paraId="0ABA4633" w14:textId="7DE7BC5B" w:rsidR="00BA1B2F" w:rsidRPr="00BA1B2F" w:rsidRDefault="00BA1B2F" w:rsidP="00BA1B2F">
      <w:pPr>
        <w:autoSpaceDE w:val="0"/>
        <w:autoSpaceDN w:val="0"/>
        <w:adjustRightInd w:val="0"/>
        <w:jc w:val="both"/>
        <w:rPr>
          <w:rFonts w:asciiTheme="minorHAnsi" w:eastAsiaTheme="minorHAnsi" w:hAnsiTheme="minorHAnsi" w:cstheme="minorHAnsi"/>
          <w:lang w:val="en-US"/>
        </w:rPr>
      </w:pPr>
      <w:r w:rsidRPr="00BA1B2F">
        <w:rPr>
          <w:rFonts w:asciiTheme="minorHAnsi" w:eastAsiaTheme="minorHAnsi" w:hAnsiTheme="minorHAnsi" w:cstheme="minorHAnsi"/>
          <w:lang w:val="en-US"/>
        </w:rPr>
        <w:t xml:space="preserve">With the majority of the rural and peri-urban populations being served with water from point sources, the inputs required to monitor the water quality are huge, and capacity inadequate. In order to contain these capacity challenges, Water Safety Planning has been promoted as a means to ensure water quality throughout the chain from source to consumption. As a contribution towards expediting attainment of the SDGs, WHO and UNICEF have been promoting the importance and compliance of Water Safety Planning in Tajikistan and support the Government on achievement of it. </w:t>
      </w:r>
    </w:p>
    <w:p w14:paraId="3D16AFCB" w14:textId="77777777" w:rsidR="00BA1B2F" w:rsidRPr="00BA1B2F" w:rsidRDefault="00BA1B2F" w:rsidP="00BA1B2F">
      <w:pPr>
        <w:autoSpaceDE w:val="0"/>
        <w:autoSpaceDN w:val="0"/>
        <w:adjustRightInd w:val="0"/>
        <w:jc w:val="both"/>
        <w:rPr>
          <w:rFonts w:asciiTheme="minorHAnsi" w:eastAsiaTheme="minorHAnsi" w:hAnsiTheme="minorHAnsi" w:cstheme="minorHAnsi"/>
          <w:lang w:val="en-US"/>
        </w:rPr>
      </w:pPr>
    </w:p>
    <w:p w14:paraId="0E75F878" w14:textId="6269412F" w:rsidR="00BA1B2F" w:rsidRPr="00BA1B2F" w:rsidRDefault="00BA1B2F" w:rsidP="00BA1B2F">
      <w:pPr>
        <w:jc w:val="both"/>
        <w:rPr>
          <w:rFonts w:asciiTheme="minorHAnsi" w:hAnsiTheme="minorHAnsi" w:cstheme="minorHAnsi"/>
        </w:rPr>
      </w:pPr>
      <w:r w:rsidRPr="00BA1B2F">
        <w:rPr>
          <w:rFonts w:asciiTheme="minorHAnsi" w:eastAsiaTheme="minorHAnsi" w:hAnsiTheme="minorHAnsi" w:cstheme="minorHAnsi"/>
          <w:lang w:val="en-US"/>
        </w:rPr>
        <w:t>A Water Safety Strategy (and planning) aims to reduce the likelihood of contamination of water from the catchment area to point of consumption. It identifies and works to eradicate any potential risks of contamination (chemical, biological, physical or other) that may occur at any point within the system, through risk management and continuous monitoring of remedial measures to the entire water supply system. The WSP approach is cost effective, flexible and can be adapted to all types and sizes of water supply systems and settings to ensure continuous supply of safe drinking water. In general, risks to water contamination are identified and prioritized, and improvement plans developed by the community to improve the water safety using available resources.</w:t>
      </w:r>
      <w:r>
        <w:rPr>
          <w:rFonts w:asciiTheme="minorHAnsi" w:eastAsiaTheme="minorHAnsi" w:hAnsiTheme="minorHAnsi" w:cstheme="minorHAnsi"/>
          <w:lang w:val="en-US"/>
        </w:rPr>
        <w:t xml:space="preserve"> </w:t>
      </w:r>
      <w:r w:rsidRPr="00BA1B2F">
        <w:rPr>
          <w:rFonts w:asciiTheme="minorHAnsi" w:eastAsiaTheme="minorHAnsi" w:hAnsiTheme="minorHAnsi" w:cstheme="minorHAnsi"/>
          <w:lang w:val="en-US"/>
        </w:rPr>
        <w:t>Properly executed WSPs provide assurance that the water from a water supply system is free from contamination. Thus, WSPs contribute to the realization of SDG 6 targets 6.2–6.4.</w:t>
      </w:r>
    </w:p>
    <w:p w14:paraId="6F6F94C5" w14:textId="26AB43C7" w:rsidR="00DE4214" w:rsidRDefault="00DE4214" w:rsidP="00CF4A6B">
      <w:pPr>
        <w:adjustRightInd w:val="0"/>
        <w:snapToGrid w:val="0"/>
        <w:spacing w:line="240" w:lineRule="auto"/>
        <w:jc w:val="both"/>
        <w:rPr>
          <w:rFonts w:asciiTheme="minorHAnsi" w:hAnsiTheme="minorHAnsi" w:cstheme="minorHAnsi"/>
          <w:b/>
          <w:color w:val="4472C4" w:themeColor="accent1"/>
        </w:rPr>
      </w:pPr>
    </w:p>
    <w:p w14:paraId="1353E6AA" w14:textId="77777777" w:rsidR="00DE4214" w:rsidRDefault="00DE4214" w:rsidP="00CF4A6B">
      <w:pPr>
        <w:adjustRightInd w:val="0"/>
        <w:snapToGrid w:val="0"/>
        <w:spacing w:line="240" w:lineRule="auto"/>
        <w:jc w:val="both"/>
        <w:rPr>
          <w:rFonts w:asciiTheme="minorHAnsi" w:hAnsiTheme="minorHAnsi" w:cstheme="minorHAnsi"/>
          <w:b/>
          <w:color w:val="4472C4" w:themeColor="accent1"/>
        </w:rPr>
      </w:pPr>
    </w:p>
    <w:p w14:paraId="45307F47" w14:textId="6B2A86AA" w:rsidR="00CF4A6B" w:rsidRPr="008E6EEC" w:rsidRDefault="00F303A1" w:rsidP="00CF4A6B">
      <w:pPr>
        <w:adjustRightInd w:val="0"/>
        <w:snapToGrid w:val="0"/>
        <w:spacing w:line="240" w:lineRule="auto"/>
        <w:jc w:val="both"/>
        <w:rPr>
          <w:rFonts w:asciiTheme="minorHAnsi" w:hAnsiTheme="minorHAnsi" w:cstheme="minorHAnsi"/>
          <w:b/>
          <w:color w:val="4472C4" w:themeColor="accent1"/>
        </w:rPr>
      </w:pPr>
      <w:r w:rsidRPr="00F303A1">
        <w:rPr>
          <w:rFonts w:asciiTheme="minorHAnsi" w:hAnsiTheme="minorHAnsi" w:cstheme="minorHAnsi"/>
          <w:b/>
          <w:color w:val="4472C4" w:themeColor="accent1"/>
        </w:rPr>
        <w:t>PURPOSE</w:t>
      </w:r>
      <w:r w:rsidR="00CF4A6B" w:rsidRPr="008E6EEC">
        <w:rPr>
          <w:rFonts w:asciiTheme="minorHAnsi" w:hAnsiTheme="minorHAnsi" w:cstheme="minorHAnsi"/>
          <w:b/>
          <w:color w:val="4472C4" w:themeColor="accent1"/>
        </w:rPr>
        <w:t>:</w:t>
      </w:r>
    </w:p>
    <w:p w14:paraId="708F9970" w14:textId="77777777" w:rsidR="00CF4A6B" w:rsidRPr="008E6EEC" w:rsidRDefault="00CF4A6B" w:rsidP="00CF4A6B">
      <w:pPr>
        <w:adjustRightInd w:val="0"/>
        <w:snapToGrid w:val="0"/>
        <w:spacing w:line="240" w:lineRule="auto"/>
        <w:jc w:val="both"/>
        <w:rPr>
          <w:rFonts w:asciiTheme="minorHAnsi" w:eastAsia="Calibri" w:hAnsiTheme="minorHAnsi" w:cstheme="minorHAnsi"/>
          <w:bCs/>
          <w:color w:val="auto"/>
          <w:lang w:val="fr-FR" w:eastAsia="fr-FR"/>
        </w:rPr>
      </w:pPr>
    </w:p>
    <w:p w14:paraId="237CB2BE" w14:textId="0BCE7B2E" w:rsidR="00BA1B2F" w:rsidRDefault="008B75C4" w:rsidP="0012784E">
      <w:pPr>
        <w:spacing w:line="240" w:lineRule="auto"/>
        <w:jc w:val="both"/>
        <w:rPr>
          <w:rFonts w:asciiTheme="minorHAnsi" w:hAnsiTheme="minorHAnsi" w:cstheme="minorHAnsi"/>
        </w:rPr>
      </w:pPr>
      <w:r w:rsidRPr="008B75C4">
        <w:rPr>
          <w:rFonts w:ascii="Calibri" w:hAnsi="Calibri" w:cs="Calibri"/>
        </w:rPr>
        <w:t>Under the overall oversight of the Chief, Health and Nutrition, direct supervision of WASH Specialist (internati</w:t>
      </w:r>
      <w:r w:rsidR="0012784E">
        <w:rPr>
          <w:rFonts w:ascii="Calibri" w:hAnsi="Calibri" w:cs="Calibri"/>
        </w:rPr>
        <w:t xml:space="preserve">onal </w:t>
      </w:r>
      <w:r w:rsidRPr="008B75C4">
        <w:rPr>
          <w:rFonts w:ascii="Calibri" w:hAnsi="Calibri" w:cs="Calibri"/>
        </w:rPr>
        <w:t xml:space="preserve">Professional), the Consultant will provide technical guidance and support to the </w:t>
      </w:r>
      <w:r w:rsidR="00BA1B2F">
        <w:rPr>
          <w:rFonts w:ascii="Calibri" w:hAnsi="Calibri" w:cs="Calibri"/>
        </w:rPr>
        <w:t xml:space="preserve">Ministry of Health and Social Protection and more specifically to the </w:t>
      </w:r>
      <w:r w:rsidR="00BA1B2F" w:rsidRPr="00BA1B2F">
        <w:rPr>
          <w:rFonts w:asciiTheme="minorHAnsi" w:hAnsiTheme="minorHAnsi" w:cstheme="minorHAnsi"/>
        </w:rPr>
        <w:t>Sanitary Epidemiological and Surveillance (SES) Department</w:t>
      </w:r>
      <w:r w:rsidR="00BA1B2F" w:rsidRPr="00BA1B2F">
        <w:rPr>
          <w:rFonts w:ascii="Calibri" w:hAnsi="Calibri" w:cs="Calibri"/>
        </w:rPr>
        <w:t xml:space="preserve"> </w:t>
      </w:r>
      <w:r w:rsidR="00455A90" w:rsidRPr="00BA1B2F">
        <w:rPr>
          <w:rFonts w:asciiTheme="minorHAnsi" w:hAnsiTheme="minorHAnsi" w:cstheme="minorHAnsi"/>
        </w:rPr>
        <w:t>on</w:t>
      </w:r>
      <w:r w:rsidR="00BA1B2F" w:rsidRPr="00BA1B2F">
        <w:rPr>
          <w:rFonts w:asciiTheme="minorHAnsi" w:hAnsiTheme="minorHAnsi" w:cstheme="minorHAnsi"/>
        </w:rPr>
        <w:t xml:space="preserve"> the</w:t>
      </w:r>
      <w:r w:rsidR="00455A90" w:rsidRPr="00BA1B2F">
        <w:rPr>
          <w:rFonts w:asciiTheme="minorHAnsi" w:hAnsiTheme="minorHAnsi" w:cstheme="minorHAnsi"/>
        </w:rPr>
        <w:t xml:space="preserve"> </w:t>
      </w:r>
      <w:r w:rsidR="00B36998" w:rsidRPr="00BA1B2F">
        <w:rPr>
          <w:rFonts w:ascii="Calibri" w:hAnsi="Calibri" w:cs="Calibri"/>
        </w:rPr>
        <w:t xml:space="preserve">development of </w:t>
      </w:r>
      <w:r w:rsidR="00BA1B2F" w:rsidRPr="00BA1B2F">
        <w:rPr>
          <w:rFonts w:ascii="Calibri" w:hAnsi="Calibri" w:cs="Calibri"/>
        </w:rPr>
        <w:t>National Water Safety S</w:t>
      </w:r>
      <w:r w:rsidR="00BA1B2F">
        <w:rPr>
          <w:rFonts w:ascii="Calibri" w:hAnsi="Calibri" w:cs="Calibri"/>
        </w:rPr>
        <w:t xml:space="preserve">trategy that further defines and reiterates the emphasis laid on drinking water quality and its safety in the National Water Strategy (Policy) of Tajikistan. The </w:t>
      </w:r>
      <w:r w:rsidR="00BA1B2F" w:rsidRPr="00BA1B2F">
        <w:rPr>
          <w:rFonts w:ascii="Calibri" w:hAnsi="Calibri" w:cs="Calibri"/>
        </w:rPr>
        <w:t>consultant is also expected to coordinate with other relevant ministries that ha</w:t>
      </w:r>
      <w:r w:rsidR="00BA1B2F">
        <w:rPr>
          <w:rFonts w:ascii="Calibri" w:hAnsi="Calibri" w:cs="Calibri"/>
        </w:rPr>
        <w:t>s</w:t>
      </w:r>
      <w:r w:rsidR="00BA1B2F" w:rsidRPr="00BA1B2F">
        <w:rPr>
          <w:rFonts w:ascii="Calibri" w:hAnsi="Calibri" w:cs="Calibri"/>
        </w:rPr>
        <w:t xml:space="preserve"> key role</w:t>
      </w:r>
      <w:r w:rsidR="00BA1B2F">
        <w:rPr>
          <w:rFonts w:ascii="Calibri" w:hAnsi="Calibri" w:cs="Calibri"/>
        </w:rPr>
        <w:t>s on service provision, policy and regulation</w:t>
      </w:r>
      <w:r w:rsidR="00BA1B2F" w:rsidRPr="00BA1B2F">
        <w:rPr>
          <w:rFonts w:ascii="Calibri" w:hAnsi="Calibri" w:cs="Calibri"/>
        </w:rPr>
        <w:t xml:space="preserve"> </w:t>
      </w:r>
      <w:r w:rsidR="00BA1B2F">
        <w:rPr>
          <w:rFonts w:ascii="Calibri" w:hAnsi="Calibri" w:cs="Calibri"/>
        </w:rPr>
        <w:t>including</w:t>
      </w:r>
      <w:r w:rsidR="00BA1B2F" w:rsidRPr="00BA1B2F">
        <w:rPr>
          <w:rFonts w:ascii="Calibri" w:hAnsi="Calibri" w:cs="Calibri"/>
        </w:rPr>
        <w:t xml:space="preserve"> Ministry of Energy and Water Resources (MoEWR) and </w:t>
      </w:r>
      <w:r w:rsidR="00BA1B2F" w:rsidRPr="00BA1B2F">
        <w:rPr>
          <w:rFonts w:asciiTheme="minorHAnsi" w:hAnsiTheme="minorHAnsi" w:cstheme="minorHAnsi"/>
        </w:rPr>
        <w:t>Khojagii Manziliyu Kommunali (SUE-KMK)</w:t>
      </w:r>
      <w:r w:rsidR="00BA1B2F">
        <w:rPr>
          <w:rFonts w:asciiTheme="minorHAnsi" w:hAnsiTheme="minorHAnsi" w:cstheme="minorHAnsi"/>
        </w:rPr>
        <w:t xml:space="preserve">. </w:t>
      </w:r>
    </w:p>
    <w:p w14:paraId="0B5850A2" w14:textId="77777777" w:rsidR="00BD55ED" w:rsidRDefault="00BD55ED" w:rsidP="0012784E">
      <w:pPr>
        <w:spacing w:line="240" w:lineRule="auto"/>
        <w:jc w:val="both"/>
        <w:rPr>
          <w:rFonts w:ascii="Calibri" w:hAnsi="Calibri" w:cs="Calibri"/>
        </w:rPr>
      </w:pPr>
    </w:p>
    <w:p w14:paraId="68A790B7" w14:textId="77777777" w:rsidR="008B75C4" w:rsidRPr="008E6EEC" w:rsidRDefault="008B75C4" w:rsidP="00E03B83">
      <w:pPr>
        <w:spacing w:line="240" w:lineRule="auto"/>
        <w:jc w:val="both"/>
        <w:rPr>
          <w:rFonts w:asciiTheme="minorHAnsi" w:hAnsiTheme="minorHAnsi" w:cstheme="minorHAnsi"/>
        </w:rPr>
      </w:pPr>
    </w:p>
    <w:p w14:paraId="7F679B09" w14:textId="23F590D3" w:rsidR="00CF4A6B" w:rsidRDefault="00CF4A6B" w:rsidP="00CF4A6B">
      <w:pPr>
        <w:adjustRightInd w:val="0"/>
        <w:snapToGrid w:val="0"/>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 xml:space="preserve">DESCRIPTION OF </w:t>
      </w:r>
      <w:r w:rsidR="00D00C11" w:rsidRPr="008E6EEC">
        <w:rPr>
          <w:rFonts w:asciiTheme="minorHAnsi" w:eastAsia="Times New Roman" w:hAnsiTheme="minorHAnsi" w:cstheme="minorHAnsi"/>
          <w:b/>
          <w:color w:val="4472C4" w:themeColor="accent1"/>
        </w:rPr>
        <w:t xml:space="preserve">THE </w:t>
      </w:r>
      <w:r w:rsidRPr="008E6EEC">
        <w:rPr>
          <w:rFonts w:asciiTheme="minorHAnsi" w:eastAsia="Times New Roman" w:hAnsiTheme="minorHAnsi" w:cstheme="minorHAnsi"/>
          <w:b/>
          <w:color w:val="4472C4" w:themeColor="accent1"/>
        </w:rPr>
        <w:t>ASSIGNMENT:</w:t>
      </w:r>
    </w:p>
    <w:p w14:paraId="1EC1BAB5" w14:textId="0924733F" w:rsidR="00BA1B2F" w:rsidRDefault="00BA1B2F" w:rsidP="00CF4A6B">
      <w:pPr>
        <w:adjustRightInd w:val="0"/>
        <w:snapToGrid w:val="0"/>
        <w:spacing w:line="240" w:lineRule="auto"/>
        <w:jc w:val="both"/>
        <w:rPr>
          <w:rFonts w:asciiTheme="minorHAnsi" w:eastAsia="Times New Roman" w:hAnsiTheme="minorHAnsi" w:cstheme="minorHAnsi"/>
          <w:b/>
          <w:color w:val="4472C4" w:themeColor="accent1"/>
        </w:rPr>
      </w:pPr>
    </w:p>
    <w:p w14:paraId="706A975B" w14:textId="171D63F1" w:rsidR="00BA1B2F" w:rsidRPr="00BA1B2F" w:rsidRDefault="00BA1B2F" w:rsidP="00BA1B2F">
      <w:pPr>
        <w:pStyle w:val="ListParagraph"/>
        <w:numPr>
          <w:ilvl w:val="0"/>
          <w:numId w:val="10"/>
        </w:numPr>
        <w:shd w:val="clear" w:color="auto" w:fill="FFFFFF"/>
        <w:spacing w:line="240" w:lineRule="auto"/>
        <w:jc w:val="both"/>
        <w:textAlignment w:val="baseline"/>
        <w:rPr>
          <w:rFonts w:asciiTheme="minorHAnsi" w:hAnsiTheme="minorHAnsi" w:cstheme="minorHAnsi"/>
          <w:lang w:val="en-US"/>
        </w:rPr>
      </w:pPr>
      <w:r w:rsidRPr="00BA1B2F">
        <w:rPr>
          <w:rFonts w:asciiTheme="minorHAnsi" w:hAnsiTheme="minorHAnsi" w:cstheme="minorHAnsi"/>
          <w:lang w:val="en-US"/>
        </w:rPr>
        <w:t xml:space="preserve"> </w:t>
      </w:r>
      <w:r w:rsidR="00AB40E3">
        <w:rPr>
          <w:rFonts w:asciiTheme="minorHAnsi" w:hAnsiTheme="minorHAnsi" w:cstheme="minorHAnsi"/>
          <w:lang w:val="en-US"/>
        </w:rPr>
        <w:t>C</w:t>
      </w:r>
      <w:r w:rsidRPr="00BA1B2F">
        <w:rPr>
          <w:rFonts w:asciiTheme="minorHAnsi" w:hAnsiTheme="minorHAnsi" w:cstheme="minorHAnsi"/>
          <w:lang w:val="en-US"/>
        </w:rPr>
        <w:t>onduct an inception meeting with MoHSPP, MoEWR and SUE-KMK and establish full understanding of the required expectation regarding the scope of the assignment and develop a detailed workplan.</w:t>
      </w:r>
    </w:p>
    <w:p w14:paraId="44337045" w14:textId="4FEC547E" w:rsidR="00BA1B2F" w:rsidRPr="00BA1B2F" w:rsidRDefault="00BA1B2F" w:rsidP="00BA1B2F">
      <w:pPr>
        <w:pStyle w:val="ListParagraph"/>
        <w:numPr>
          <w:ilvl w:val="0"/>
          <w:numId w:val="10"/>
        </w:numPr>
        <w:shd w:val="clear" w:color="auto" w:fill="FFFFFF"/>
        <w:spacing w:line="240" w:lineRule="auto"/>
        <w:jc w:val="both"/>
        <w:textAlignment w:val="baseline"/>
        <w:rPr>
          <w:rFonts w:asciiTheme="minorHAnsi" w:hAnsiTheme="minorHAnsi" w:cstheme="minorHAnsi"/>
          <w:lang w:val="en-US"/>
        </w:rPr>
      </w:pPr>
      <w:r w:rsidRPr="00BA1B2F">
        <w:rPr>
          <w:rFonts w:asciiTheme="minorHAnsi" w:hAnsiTheme="minorHAnsi" w:cstheme="minorHAnsi"/>
          <w:lang w:val="en-US"/>
        </w:rPr>
        <w:t xml:space="preserve">Carry out bilateral meetings/consultations with UNICEF and other key government and development partners to gather information on key actions on water safety, available policy frameworks, plans and implementation challenges. </w:t>
      </w:r>
    </w:p>
    <w:p w14:paraId="7AB779F1" w14:textId="71DF505B" w:rsidR="00BA1B2F" w:rsidRPr="00BA1B2F" w:rsidRDefault="00BA1B2F" w:rsidP="00BA1B2F">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191A23"/>
          <w:sz w:val="24"/>
          <w:szCs w:val="24"/>
          <w:lang w:val="en-US"/>
        </w:rPr>
      </w:pPr>
      <w:r w:rsidRPr="00BA1B2F">
        <w:rPr>
          <w:rFonts w:asciiTheme="minorHAnsi" w:eastAsia="Times New Roman" w:hAnsiTheme="minorHAnsi" w:cstheme="minorHAnsi"/>
          <w:color w:val="191A23"/>
          <w:lang w:val="en-US"/>
        </w:rPr>
        <w:t xml:space="preserve"> </w:t>
      </w:r>
      <w:r w:rsidR="00AB40E3">
        <w:rPr>
          <w:rFonts w:asciiTheme="minorHAnsi" w:eastAsia="Times New Roman" w:hAnsiTheme="minorHAnsi" w:cstheme="minorHAnsi"/>
          <w:color w:val="191A23"/>
          <w:lang w:val="en-US"/>
        </w:rPr>
        <w:t>C</w:t>
      </w:r>
      <w:r w:rsidRPr="00BA1B2F">
        <w:rPr>
          <w:rFonts w:asciiTheme="minorHAnsi" w:eastAsia="Times New Roman" w:hAnsiTheme="minorHAnsi" w:cstheme="minorHAnsi"/>
          <w:color w:val="191A23"/>
          <w:lang w:val="en-US"/>
        </w:rPr>
        <w:t xml:space="preserve">onduct an in-depth desk review of the available literature and materials relating to water supply system and water safety in Tajikistan. </w:t>
      </w:r>
    </w:p>
    <w:p w14:paraId="2D152266" w14:textId="5D678E27" w:rsidR="00BA1B2F" w:rsidRPr="00BA1B2F" w:rsidRDefault="00BA1B2F" w:rsidP="00BA1B2F">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191A23"/>
          <w:sz w:val="24"/>
          <w:szCs w:val="24"/>
          <w:lang w:val="en-US"/>
        </w:rPr>
      </w:pPr>
      <w:r w:rsidRPr="00BA1B2F">
        <w:rPr>
          <w:rFonts w:asciiTheme="minorHAnsi" w:eastAsia="Times New Roman" w:hAnsiTheme="minorHAnsi" w:cstheme="minorHAnsi"/>
          <w:color w:val="191A23"/>
          <w:lang w:val="en-US"/>
        </w:rPr>
        <w:t xml:space="preserve"> </w:t>
      </w:r>
      <w:r w:rsidR="00AB40E3">
        <w:rPr>
          <w:rFonts w:asciiTheme="minorHAnsi" w:eastAsia="Times New Roman" w:hAnsiTheme="minorHAnsi" w:cstheme="minorHAnsi"/>
          <w:color w:val="191A23"/>
          <w:lang w:val="en-US"/>
        </w:rPr>
        <w:t>D</w:t>
      </w:r>
      <w:r w:rsidRPr="00BA1B2F">
        <w:rPr>
          <w:rFonts w:asciiTheme="minorHAnsi" w:eastAsia="Times New Roman" w:hAnsiTheme="minorHAnsi" w:cstheme="minorHAnsi"/>
          <w:color w:val="191A23"/>
          <w:lang w:val="en-US"/>
        </w:rPr>
        <w:t>evelop a national level Water Safety strategy through close consultations with MoHSP, MoEWR, SUE-KMK, Vodokanals (water utilities) and WASH actors. This should also include development of a costed action plan for the safety of public water supply systems with specific focus on O&amp;M.</w:t>
      </w:r>
    </w:p>
    <w:p w14:paraId="4056735D" w14:textId="3EE8E52D" w:rsidR="00704A70" w:rsidRPr="00BD55ED" w:rsidRDefault="00455A90" w:rsidP="00BA1B2F">
      <w:pPr>
        <w:numPr>
          <w:ilvl w:val="0"/>
          <w:numId w:val="10"/>
        </w:numPr>
        <w:shd w:val="clear" w:color="auto" w:fill="FFFFFF"/>
        <w:spacing w:before="100" w:beforeAutospacing="1" w:after="100" w:afterAutospacing="1" w:line="240" w:lineRule="auto"/>
        <w:rPr>
          <w:rFonts w:asciiTheme="minorHAnsi" w:eastAsia="Times New Roman" w:hAnsiTheme="minorHAnsi" w:cstheme="minorHAnsi"/>
          <w:color w:val="191A23"/>
          <w:sz w:val="24"/>
          <w:szCs w:val="24"/>
          <w:lang w:val="en-US"/>
        </w:rPr>
      </w:pPr>
      <w:r w:rsidRPr="00BA1B2F">
        <w:rPr>
          <w:rFonts w:asciiTheme="minorHAnsi" w:hAnsiTheme="minorHAnsi" w:cstheme="minorHAnsi"/>
          <w:lang w:val="en-US"/>
        </w:rPr>
        <w:t xml:space="preserve">Submission of final </w:t>
      </w:r>
      <w:r w:rsidR="00BA1B2F">
        <w:rPr>
          <w:rFonts w:asciiTheme="minorHAnsi" w:hAnsiTheme="minorHAnsi" w:cstheme="minorHAnsi"/>
          <w:lang w:val="en-US"/>
        </w:rPr>
        <w:t xml:space="preserve">strategy </w:t>
      </w:r>
      <w:r w:rsidRPr="00BA1B2F">
        <w:rPr>
          <w:rFonts w:asciiTheme="minorHAnsi" w:hAnsiTheme="minorHAnsi" w:cstheme="minorHAnsi"/>
          <w:lang w:val="en-US"/>
        </w:rPr>
        <w:t xml:space="preserve">that is reviewed and accepted by UNICEF and </w:t>
      </w:r>
      <w:r w:rsidR="00BA1B2F">
        <w:rPr>
          <w:rFonts w:asciiTheme="minorHAnsi" w:hAnsiTheme="minorHAnsi" w:cstheme="minorHAnsi"/>
          <w:lang w:val="en-US"/>
        </w:rPr>
        <w:t xml:space="preserve">MoHSPP and making a presentation to relevant stakeholders. </w:t>
      </w:r>
    </w:p>
    <w:p w14:paraId="3E2AFFC9" w14:textId="77777777" w:rsidR="00BD55ED" w:rsidRDefault="00BD55ED" w:rsidP="00CF4A6B">
      <w:pPr>
        <w:spacing w:line="240" w:lineRule="auto"/>
        <w:jc w:val="both"/>
        <w:rPr>
          <w:rFonts w:asciiTheme="minorHAnsi" w:eastAsia="Times New Roman" w:hAnsiTheme="minorHAnsi" w:cstheme="minorHAnsi"/>
          <w:b/>
          <w:color w:val="4472C4" w:themeColor="accent1"/>
        </w:rPr>
      </w:pPr>
    </w:p>
    <w:p w14:paraId="7F78D8CB" w14:textId="5619FDD0" w:rsidR="00CF4A6B" w:rsidRPr="008E6EEC" w:rsidRDefault="00CF4A6B" w:rsidP="00CF4A6B">
      <w:pPr>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KEY DELIVERABLES</w:t>
      </w:r>
      <w:r w:rsidR="007D2263">
        <w:rPr>
          <w:rFonts w:asciiTheme="minorHAnsi" w:eastAsia="Times New Roman" w:hAnsiTheme="minorHAnsi" w:cstheme="minorHAnsi"/>
          <w:b/>
          <w:color w:val="4472C4" w:themeColor="accent1"/>
        </w:rPr>
        <w:t>/TIMEFRAME/PAYMENT SCHEDULE</w:t>
      </w:r>
      <w:r w:rsidRPr="008E6EEC">
        <w:rPr>
          <w:rFonts w:asciiTheme="minorHAnsi" w:eastAsia="Times New Roman" w:hAnsiTheme="minorHAnsi" w:cstheme="minorHAnsi"/>
          <w:b/>
          <w:color w:val="4472C4" w:themeColor="accent1"/>
        </w:rPr>
        <w:t>:</w:t>
      </w:r>
    </w:p>
    <w:p w14:paraId="5A21E1C6" w14:textId="77777777" w:rsidR="00CF4A6B" w:rsidRDefault="00CF4A6B" w:rsidP="00CF4A6B">
      <w:pPr>
        <w:pStyle w:val="DefaultText"/>
        <w:jc w:val="both"/>
        <w:rPr>
          <w:rFonts w:asciiTheme="minorHAnsi" w:hAnsiTheme="minorHAnsi" w:cstheme="minorHAnsi"/>
          <w:bCs/>
          <w:iCs/>
          <w:sz w:val="22"/>
          <w:szCs w:val="22"/>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55"/>
        <w:gridCol w:w="1530"/>
        <w:gridCol w:w="1289"/>
      </w:tblGrid>
      <w:tr w:rsidR="00685D13" w:rsidRPr="00CE2150" w14:paraId="2DFB6B4B" w14:textId="77777777" w:rsidTr="00D76C5E">
        <w:trPr>
          <w:trHeight w:val="458"/>
          <w:jc w:val="center"/>
        </w:trPr>
        <w:tc>
          <w:tcPr>
            <w:tcW w:w="2970" w:type="dxa"/>
            <w:vAlign w:val="center"/>
          </w:tcPr>
          <w:p w14:paraId="60DF56D9" w14:textId="77777777" w:rsidR="00685D13" w:rsidRPr="00BA1B2F" w:rsidRDefault="00685D13" w:rsidP="00685D13">
            <w:pPr>
              <w:jc w:val="center"/>
              <w:rPr>
                <w:rFonts w:ascii="Calibri" w:hAnsi="Calibri"/>
                <w:sz w:val="20"/>
                <w:szCs w:val="20"/>
              </w:rPr>
            </w:pPr>
            <w:r w:rsidRPr="00BA1B2F">
              <w:rPr>
                <w:rFonts w:asciiTheme="minorHAnsi" w:hAnsiTheme="minorHAnsi" w:cstheme="minorHAnsi"/>
                <w:b/>
                <w:sz w:val="20"/>
                <w:szCs w:val="20"/>
              </w:rPr>
              <w:t>Tasks/Milestone</w:t>
            </w:r>
          </w:p>
        </w:tc>
        <w:tc>
          <w:tcPr>
            <w:tcW w:w="3955" w:type="dxa"/>
            <w:vAlign w:val="center"/>
          </w:tcPr>
          <w:p w14:paraId="7313AE93" w14:textId="77777777" w:rsidR="00685D13" w:rsidRPr="00BA1B2F" w:rsidRDefault="00685D13" w:rsidP="00685D13">
            <w:pPr>
              <w:shd w:val="clear" w:color="auto" w:fill="FFFFFF"/>
              <w:jc w:val="center"/>
              <w:rPr>
                <w:rFonts w:ascii="Calibri" w:hAnsi="Calibri"/>
                <w:b/>
                <w:sz w:val="20"/>
                <w:szCs w:val="20"/>
              </w:rPr>
            </w:pPr>
            <w:r w:rsidRPr="00BA1B2F">
              <w:rPr>
                <w:rFonts w:ascii="Calibri" w:eastAsia="Arial Unicode MS" w:hAnsi="Calibri" w:cs="Calibri"/>
                <w:b/>
                <w:bCs/>
                <w:color w:val="auto"/>
                <w:sz w:val="20"/>
                <w:szCs w:val="20"/>
                <w:lang w:val="en-AU"/>
              </w:rPr>
              <w:t>Deliverables/Outputs</w:t>
            </w:r>
          </w:p>
        </w:tc>
        <w:tc>
          <w:tcPr>
            <w:tcW w:w="1530" w:type="dxa"/>
            <w:vAlign w:val="center"/>
          </w:tcPr>
          <w:p w14:paraId="551D453F" w14:textId="77777777" w:rsidR="00685D13" w:rsidRPr="00BA1B2F" w:rsidRDefault="00685D13" w:rsidP="00685D13">
            <w:pPr>
              <w:shd w:val="clear" w:color="auto" w:fill="FFFFFF"/>
              <w:jc w:val="center"/>
              <w:rPr>
                <w:rFonts w:ascii="Calibri" w:hAnsi="Calibri"/>
                <w:b/>
                <w:sz w:val="20"/>
                <w:szCs w:val="20"/>
              </w:rPr>
            </w:pPr>
            <w:r w:rsidRPr="00BA1B2F">
              <w:rPr>
                <w:rFonts w:asciiTheme="minorHAnsi" w:hAnsiTheme="minorHAnsi" w:cstheme="minorHAnsi"/>
                <w:b/>
                <w:sz w:val="20"/>
                <w:szCs w:val="20"/>
              </w:rPr>
              <w:t>Number of days</w:t>
            </w:r>
          </w:p>
        </w:tc>
        <w:tc>
          <w:tcPr>
            <w:tcW w:w="1289" w:type="dxa"/>
            <w:vAlign w:val="center"/>
          </w:tcPr>
          <w:p w14:paraId="5EF667DD" w14:textId="77777777" w:rsidR="00685D13" w:rsidRPr="00CE2150" w:rsidRDefault="00685D13" w:rsidP="00685D13">
            <w:pPr>
              <w:shd w:val="clear" w:color="auto" w:fill="FFFFFF"/>
              <w:jc w:val="center"/>
              <w:rPr>
                <w:rFonts w:ascii="Calibri" w:hAnsi="Calibri"/>
                <w:b/>
              </w:rPr>
            </w:pPr>
            <w:r w:rsidRPr="008E6EEC">
              <w:rPr>
                <w:rFonts w:asciiTheme="minorHAnsi" w:hAnsiTheme="minorHAnsi" w:cstheme="minorHAnsi"/>
                <w:b/>
              </w:rPr>
              <w:t>Payment schedule</w:t>
            </w:r>
          </w:p>
        </w:tc>
      </w:tr>
      <w:tr w:rsidR="00455A90" w:rsidRPr="00224FCC" w14:paraId="2A74F384" w14:textId="77777777" w:rsidTr="00D76C5E">
        <w:trPr>
          <w:trHeight w:val="1700"/>
          <w:jc w:val="center"/>
        </w:trPr>
        <w:tc>
          <w:tcPr>
            <w:tcW w:w="2970" w:type="dxa"/>
            <w:shd w:val="clear" w:color="auto" w:fill="auto"/>
            <w:vAlign w:val="center"/>
          </w:tcPr>
          <w:p w14:paraId="324B1066" w14:textId="68C55A83" w:rsidR="00BA1B2F" w:rsidRPr="00BA1B2F" w:rsidRDefault="00BA1B2F" w:rsidP="00BA1B2F">
            <w:pPr>
              <w:pStyle w:val="ListParagraph"/>
              <w:numPr>
                <w:ilvl w:val="0"/>
                <w:numId w:val="6"/>
              </w:numPr>
              <w:shd w:val="clear" w:color="auto" w:fill="FFFFFF"/>
              <w:spacing w:line="240" w:lineRule="auto"/>
              <w:jc w:val="both"/>
              <w:textAlignment w:val="baseline"/>
              <w:rPr>
                <w:rFonts w:asciiTheme="minorHAnsi" w:hAnsiTheme="minorHAnsi" w:cstheme="minorHAnsi"/>
                <w:b/>
                <w:bCs/>
                <w:sz w:val="20"/>
                <w:szCs w:val="20"/>
                <w:lang w:val="en-US"/>
              </w:rPr>
            </w:pPr>
            <w:r w:rsidRPr="00BA1B2F">
              <w:rPr>
                <w:rFonts w:asciiTheme="minorHAnsi" w:hAnsiTheme="minorHAnsi" w:cstheme="minorHAnsi"/>
                <w:b/>
                <w:bCs/>
                <w:sz w:val="20"/>
                <w:szCs w:val="20"/>
                <w:lang w:val="en-US"/>
              </w:rPr>
              <w:t xml:space="preserve"> conduct an inception meeting with MoHSPP, MoEWR and SUE-KMK and establish full understanding of the required expectation regarding the scope of the assignment and develop a detailed workplan.</w:t>
            </w:r>
          </w:p>
          <w:p w14:paraId="3C655154" w14:textId="1D1FAC9E" w:rsidR="00455A90" w:rsidRPr="00BA1B2F" w:rsidRDefault="00455A90" w:rsidP="00BA1B2F">
            <w:pPr>
              <w:pStyle w:val="ListParagraph"/>
              <w:shd w:val="clear" w:color="auto" w:fill="FFFFFF"/>
              <w:spacing w:line="240" w:lineRule="auto"/>
              <w:ind w:left="360"/>
              <w:jc w:val="both"/>
              <w:textAlignment w:val="baseline"/>
              <w:rPr>
                <w:rFonts w:asciiTheme="minorHAnsi" w:hAnsiTheme="minorHAnsi" w:cstheme="minorHAnsi"/>
                <w:bCs/>
                <w:sz w:val="20"/>
                <w:szCs w:val="20"/>
                <w:lang w:val="en-US"/>
              </w:rPr>
            </w:pPr>
          </w:p>
        </w:tc>
        <w:tc>
          <w:tcPr>
            <w:tcW w:w="3955" w:type="dxa"/>
            <w:vAlign w:val="center"/>
          </w:tcPr>
          <w:p w14:paraId="5533CA68" w14:textId="77777777" w:rsidR="00455A90" w:rsidRDefault="00455A90" w:rsidP="00455A90">
            <w:pPr>
              <w:spacing w:line="240" w:lineRule="auto"/>
              <w:rPr>
                <w:rFonts w:asciiTheme="minorHAnsi" w:hAnsiTheme="minorHAnsi" w:cstheme="minorHAnsi"/>
                <w:color w:val="auto"/>
                <w:sz w:val="20"/>
                <w:szCs w:val="20"/>
              </w:rPr>
            </w:pPr>
            <w:r w:rsidRPr="00BA1B2F">
              <w:rPr>
                <w:rFonts w:asciiTheme="minorHAnsi" w:hAnsiTheme="minorHAnsi" w:cstheme="minorHAnsi"/>
                <w:color w:val="auto"/>
                <w:sz w:val="20"/>
                <w:szCs w:val="20"/>
              </w:rPr>
              <w:t xml:space="preserve">Inception report covering outline, methodology, resources required, workplan, timelines, </w:t>
            </w:r>
            <w:r w:rsidRPr="00BA1B2F">
              <w:rPr>
                <w:rFonts w:asciiTheme="minorHAnsi" w:eastAsia="Times New Roman" w:hAnsiTheme="minorHAnsi" w:cstheme="minorHAnsi"/>
                <w:color w:val="auto"/>
                <w:sz w:val="20"/>
                <w:szCs w:val="20"/>
                <w:lang w:val="en-US"/>
              </w:rPr>
              <w:t xml:space="preserve">objectives, outcomes, activities, </w:t>
            </w:r>
            <w:r w:rsidRPr="00BA1B2F">
              <w:rPr>
                <w:rFonts w:asciiTheme="minorHAnsi" w:hAnsiTheme="minorHAnsi" w:cstheme="minorHAnsi"/>
                <w:color w:val="auto"/>
                <w:sz w:val="20"/>
                <w:szCs w:val="20"/>
              </w:rPr>
              <w:t xml:space="preserve">key indicators and process to be followed for the delivery of all parts of the assignment on the basis of the discussion with SUE-KMK </w:t>
            </w:r>
            <w:r w:rsidR="00E7688B" w:rsidRPr="00BA1B2F">
              <w:rPr>
                <w:rFonts w:asciiTheme="minorHAnsi" w:hAnsiTheme="minorHAnsi" w:cstheme="minorHAnsi"/>
                <w:color w:val="auto"/>
                <w:sz w:val="20"/>
                <w:szCs w:val="20"/>
              </w:rPr>
              <w:t>and UNICEF.</w:t>
            </w:r>
          </w:p>
          <w:p w14:paraId="5F2CB66E" w14:textId="0A00A12C" w:rsidR="00BD55ED" w:rsidRPr="00BA1B2F" w:rsidRDefault="00BD55ED" w:rsidP="00455A90">
            <w:pPr>
              <w:spacing w:line="240" w:lineRule="auto"/>
              <w:rPr>
                <w:rFonts w:asciiTheme="minorHAnsi" w:hAnsiTheme="minorHAnsi" w:cstheme="minorHAnsi"/>
                <w:color w:val="auto"/>
                <w:sz w:val="20"/>
                <w:szCs w:val="20"/>
              </w:rPr>
            </w:pPr>
          </w:p>
        </w:tc>
        <w:tc>
          <w:tcPr>
            <w:tcW w:w="1530" w:type="dxa"/>
            <w:vAlign w:val="center"/>
          </w:tcPr>
          <w:p w14:paraId="515F8735" w14:textId="5856489F" w:rsidR="00455A90" w:rsidRPr="00BA1B2F" w:rsidRDefault="00D60D62" w:rsidP="00E7688B">
            <w:pPr>
              <w:shd w:val="clear" w:color="auto" w:fill="FFFFFF"/>
              <w:ind w:left="360"/>
              <w:rPr>
                <w:rFonts w:asciiTheme="minorHAnsi" w:hAnsiTheme="minorHAnsi" w:cstheme="minorHAnsi"/>
                <w:bCs/>
                <w:sz w:val="20"/>
                <w:szCs w:val="20"/>
              </w:rPr>
            </w:pPr>
            <w:r w:rsidRPr="00BA1B2F">
              <w:rPr>
                <w:rFonts w:asciiTheme="minorHAnsi" w:hAnsiTheme="minorHAnsi" w:cstheme="minorHAnsi"/>
                <w:bCs/>
                <w:sz w:val="20"/>
                <w:szCs w:val="20"/>
              </w:rPr>
              <w:t xml:space="preserve">  2</w:t>
            </w:r>
            <w:r w:rsidR="00455A90" w:rsidRPr="00BA1B2F">
              <w:rPr>
                <w:rFonts w:asciiTheme="minorHAnsi" w:hAnsiTheme="minorHAnsi" w:cstheme="minorHAnsi"/>
                <w:bCs/>
                <w:sz w:val="20"/>
                <w:szCs w:val="20"/>
              </w:rPr>
              <w:t xml:space="preserve"> days</w:t>
            </w:r>
          </w:p>
        </w:tc>
        <w:tc>
          <w:tcPr>
            <w:tcW w:w="1289" w:type="dxa"/>
            <w:vMerge w:val="restart"/>
            <w:vAlign w:val="center"/>
          </w:tcPr>
          <w:p w14:paraId="58D2CFA6" w14:textId="32C65A71" w:rsidR="00455A90" w:rsidRPr="00455A90" w:rsidRDefault="00DE4214" w:rsidP="00224FCC">
            <w:pPr>
              <w:shd w:val="clear" w:color="auto" w:fill="FFFFFF"/>
              <w:rPr>
                <w:rFonts w:asciiTheme="minorHAnsi" w:hAnsiTheme="minorHAnsi" w:cstheme="minorHAnsi"/>
                <w:bCs/>
                <w:sz w:val="20"/>
                <w:szCs w:val="20"/>
              </w:rPr>
            </w:pPr>
            <w:r>
              <w:rPr>
                <w:rFonts w:asciiTheme="minorHAnsi" w:hAnsiTheme="minorHAnsi" w:cstheme="minorHAnsi"/>
                <w:bCs/>
                <w:sz w:val="20"/>
                <w:szCs w:val="20"/>
              </w:rPr>
              <w:t>10</w:t>
            </w:r>
            <w:r w:rsidR="00455A90" w:rsidRPr="00455A90">
              <w:rPr>
                <w:rFonts w:asciiTheme="minorHAnsi" w:hAnsiTheme="minorHAnsi" w:cstheme="minorHAnsi"/>
                <w:bCs/>
                <w:sz w:val="20"/>
                <w:szCs w:val="20"/>
              </w:rPr>
              <w:t xml:space="preserve">% payment </w:t>
            </w:r>
            <w:r>
              <w:rPr>
                <w:rFonts w:asciiTheme="minorHAnsi" w:hAnsiTheme="minorHAnsi" w:cstheme="minorHAnsi"/>
                <w:bCs/>
                <w:sz w:val="20"/>
                <w:szCs w:val="20"/>
              </w:rPr>
              <w:t>upon</w:t>
            </w:r>
            <w:r w:rsidR="00455A90" w:rsidRPr="00455A90">
              <w:rPr>
                <w:rFonts w:asciiTheme="minorHAnsi" w:hAnsiTheme="minorHAnsi" w:cstheme="minorHAnsi"/>
                <w:bCs/>
                <w:sz w:val="20"/>
                <w:szCs w:val="20"/>
              </w:rPr>
              <w:t xml:space="preserve"> submission </w:t>
            </w:r>
            <w:r>
              <w:rPr>
                <w:rFonts w:asciiTheme="minorHAnsi" w:hAnsiTheme="minorHAnsi" w:cstheme="minorHAnsi"/>
                <w:bCs/>
                <w:sz w:val="20"/>
                <w:szCs w:val="20"/>
              </w:rPr>
              <w:t xml:space="preserve">of the inception report. </w:t>
            </w:r>
          </w:p>
        </w:tc>
      </w:tr>
      <w:tr w:rsidR="00455A90" w:rsidRPr="00224FCC" w14:paraId="0E64F928" w14:textId="77777777" w:rsidTr="00D76C5E">
        <w:trPr>
          <w:trHeight w:val="2348"/>
          <w:jc w:val="center"/>
        </w:trPr>
        <w:tc>
          <w:tcPr>
            <w:tcW w:w="2970" w:type="dxa"/>
            <w:shd w:val="clear" w:color="auto" w:fill="auto"/>
          </w:tcPr>
          <w:p w14:paraId="32274DCE" w14:textId="77777777" w:rsidR="00BA1B2F" w:rsidRPr="00BA1B2F" w:rsidRDefault="00BA1B2F" w:rsidP="00BA1B2F">
            <w:pPr>
              <w:pStyle w:val="ListParagraph"/>
              <w:numPr>
                <w:ilvl w:val="0"/>
                <w:numId w:val="6"/>
              </w:numPr>
              <w:shd w:val="clear" w:color="auto" w:fill="FFFFFF"/>
              <w:spacing w:line="240" w:lineRule="auto"/>
              <w:jc w:val="both"/>
              <w:textAlignment w:val="baseline"/>
              <w:rPr>
                <w:rFonts w:asciiTheme="minorHAnsi" w:hAnsiTheme="minorHAnsi" w:cstheme="minorHAnsi"/>
                <w:b/>
                <w:bCs/>
                <w:sz w:val="20"/>
                <w:szCs w:val="20"/>
                <w:lang w:val="en-US"/>
              </w:rPr>
            </w:pPr>
            <w:r w:rsidRPr="00BA1B2F">
              <w:rPr>
                <w:rFonts w:asciiTheme="minorHAnsi" w:hAnsiTheme="minorHAnsi" w:cstheme="minorHAnsi"/>
                <w:b/>
                <w:bCs/>
                <w:sz w:val="20"/>
                <w:szCs w:val="20"/>
                <w:lang w:val="en-US"/>
              </w:rPr>
              <w:t xml:space="preserve">Carry out bilateral meetings/consultations with UNICEF and other key government and development partners to gather information on key actions on water safety, available policy frameworks, plans and implementation challenges. </w:t>
            </w:r>
          </w:p>
          <w:p w14:paraId="4D606D82" w14:textId="0165820F" w:rsidR="00455A90" w:rsidRPr="00BA1B2F" w:rsidRDefault="00455A90" w:rsidP="00BA1B2F">
            <w:pPr>
              <w:pStyle w:val="ListParagraph"/>
              <w:shd w:val="clear" w:color="auto" w:fill="FFFFFF"/>
              <w:spacing w:line="240" w:lineRule="auto"/>
              <w:ind w:left="360"/>
              <w:jc w:val="both"/>
              <w:textAlignment w:val="baseline"/>
              <w:rPr>
                <w:rFonts w:asciiTheme="minorHAnsi" w:hAnsiTheme="minorHAnsi" w:cstheme="minorHAnsi"/>
                <w:b/>
                <w:bCs/>
                <w:sz w:val="20"/>
                <w:szCs w:val="20"/>
                <w:lang w:val="en-US"/>
              </w:rPr>
            </w:pPr>
          </w:p>
        </w:tc>
        <w:tc>
          <w:tcPr>
            <w:tcW w:w="3955" w:type="dxa"/>
          </w:tcPr>
          <w:p w14:paraId="11297D19" w14:textId="77777777" w:rsidR="00455A90" w:rsidRPr="00BA1B2F" w:rsidRDefault="00BA1B2F" w:rsidP="00BA1B2F">
            <w:pPr>
              <w:spacing w:line="240" w:lineRule="auto"/>
              <w:jc w:val="both"/>
              <w:rPr>
                <w:rFonts w:asciiTheme="minorHAnsi" w:hAnsiTheme="minorHAnsi" w:cstheme="minorHAnsi"/>
                <w:sz w:val="20"/>
                <w:szCs w:val="20"/>
              </w:rPr>
            </w:pPr>
            <w:r w:rsidRPr="00BA1B2F">
              <w:rPr>
                <w:rFonts w:asciiTheme="minorHAnsi" w:hAnsiTheme="minorHAnsi" w:cstheme="minorHAnsi"/>
                <w:sz w:val="20"/>
                <w:szCs w:val="20"/>
              </w:rPr>
              <w:t>Minutes of bilateral discussions with key stakeholders and a joint summary highlighting key aspects of the discussions and important take away points in terms of suggested revisions.</w:t>
            </w:r>
          </w:p>
          <w:p w14:paraId="3DC73B6D" w14:textId="77777777" w:rsidR="00BA1B2F" w:rsidRPr="00BA1B2F" w:rsidRDefault="00BA1B2F" w:rsidP="00BA1B2F">
            <w:pPr>
              <w:rPr>
                <w:rFonts w:asciiTheme="minorHAnsi" w:hAnsiTheme="minorHAnsi" w:cstheme="minorHAnsi"/>
                <w:sz w:val="20"/>
                <w:szCs w:val="20"/>
              </w:rPr>
            </w:pPr>
          </w:p>
          <w:p w14:paraId="64861930" w14:textId="77777777" w:rsidR="00BA1B2F" w:rsidRPr="00BA1B2F" w:rsidRDefault="00BA1B2F" w:rsidP="00BA1B2F">
            <w:pPr>
              <w:rPr>
                <w:rFonts w:asciiTheme="minorHAnsi" w:hAnsiTheme="minorHAnsi" w:cstheme="minorHAnsi"/>
                <w:sz w:val="20"/>
                <w:szCs w:val="20"/>
              </w:rPr>
            </w:pPr>
          </w:p>
          <w:p w14:paraId="0346ACDC" w14:textId="77777777" w:rsidR="00BA1B2F" w:rsidRPr="00BA1B2F" w:rsidRDefault="00BA1B2F" w:rsidP="00BA1B2F">
            <w:pPr>
              <w:rPr>
                <w:rFonts w:asciiTheme="minorHAnsi" w:hAnsiTheme="minorHAnsi" w:cstheme="minorHAnsi"/>
                <w:sz w:val="20"/>
                <w:szCs w:val="20"/>
              </w:rPr>
            </w:pPr>
          </w:p>
          <w:p w14:paraId="5709B4A8" w14:textId="77777777" w:rsidR="00BA1B2F" w:rsidRPr="00BA1B2F" w:rsidRDefault="00BA1B2F" w:rsidP="00BA1B2F">
            <w:pPr>
              <w:rPr>
                <w:rFonts w:asciiTheme="minorHAnsi" w:hAnsiTheme="minorHAnsi" w:cstheme="minorHAnsi"/>
                <w:sz w:val="20"/>
                <w:szCs w:val="20"/>
              </w:rPr>
            </w:pPr>
          </w:p>
          <w:p w14:paraId="60708C1C" w14:textId="77777777" w:rsidR="00BA1B2F" w:rsidRPr="00BA1B2F" w:rsidRDefault="00BA1B2F" w:rsidP="00BA1B2F">
            <w:pPr>
              <w:tabs>
                <w:tab w:val="left" w:pos="3710"/>
              </w:tabs>
              <w:rPr>
                <w:rFonts w:asciiTheme="minorHAnsi" w:hAnsiTheme="minorHAnsi" w:cstheme="minorHAnsi"/>
                <w:sz w:val="20"/>
                <w:szCs w:val="20"/>
              </w:rPr>
            </w:pPr>
            <w:r w:rsidRPr="00BA1B2F">
              <w:rPr>
                <w:rFonts w:asciiTheme="minorHAnsi" w:hAnsiTheme="minorHAnsi" w:cstheme="minorHAnsi"/>
                <w:sz w:val="20"/>
                <w:szCs w:val="20"/>
              </w:rPr>
              <w:tab/>
            </w:r>
          </w:p>
          <w:p w14:paraId="7873C8AA" w14:textId="156A1CAF" w:rsidR="00BA1B2F" w:rsidRPr="00BA1B2F" w:rsidRDefault="00BA1B2F" w:rsidP="00BA1B2F">
            <w:pPr>
              <w:tabs>
                <w:tab w:val="left" w:pos="3710"/>
              </w:tabs>
              <w:rPr>
                <w:rFonts w:asciiTheme="minorHAnsi" w:hAnsiTheme="minorHAnsi" w:cstheme="minorHAnsi"/>
                <w:sz w:val="20"/>
                <w:szCs w:val="20"/>
              </w:rPr>
            </w:pPr>
          </w:p>
        </w:tc>
        <w:tc>
          <w:tcPr>
            <w:tcW w:w="1530" w:type="dxa"/>
          </w:tcPr>
          <w:p w14:paraId="0CE6100E" w14:textId="6FD664F7" w:rsidR="00455A90" w:rsidRPr="00BA1B2F" w:rsidRDefault="00BA1B2F" w:rsidP="00E7688B">
            <w:pPr>
              <w:shd w:val="clear" w:color="auto" w:fill="FFFFFF"/>
              <w:jc w:val="center"/>
              <w:rPr>
                <w:rFonts w:asciiTheme="minorHAnsi" w:hAnsiTheme="minorHAnsi" w:cstheme="minorHAnsi"/>
                <w:b/>
                <w:caps/>
                <w:sz w:val="20"/>
                <w:szCs w:val="20"/>
                <w:highlight w:val="yellow"/>
              </w:rPr>
            </w:pPr>
            <w:r w:rsidRPr="00BA1B2F">
              <w:rPr>
                <w:rFonts w:asciiTheme="minorHAnsi" w:hAnsiTheme="minorHAnsi" w:cstheme="minorHAnsi"/>
                <w:sz w:val="20"/>
                <w:szCs w:val="20"/>
              </w:rPr>
              <w:t>3</w:t>
            </w:r>
            <w:r w:rsidR="00455A90" w:rsidRPr="00BA1B2F">
              <w:rPr>
                <w:rFonts w:asciiTheme="minorHAnsi" w:hAnsiTheme="minorHAnsi" w:cstheme="minorHAnsi"/>
                <w:sz w:val="20"/>
                <w:szCs w:val="20"/>
              </w:rPr>
              <w:t xml:space="preserve"> days</w:t>
            </w:r>
          </w:p>
        </w:tc>
        <w:tc>
          <w:tcPr>
            <w:tcW w:w="1289" w:type="dxa"/>
            <w:vMerge/>
            <w:shd w:val="clear" w:color="auto" w:fill="auto"/>
          </w:tcPr>
          <w:p w14:paraId="7102AAF2" w14:textId="0DEBC7A3" w:rsidR="00455A90" w:rsidRPr="00A4563C" w:rsidRDefault="00455A90" w:rsidP="00D02AA9">
            <w:pPr>
              <w:shd w:val="clear" w:color="auto" w:fill="FFFFFF"/>
              <w:rPr>
                <w:rFonts w:asciiTheme="minorHAnsi" w:hAnsiTheme="minorHAnsi" w:cstheme="minorHAnsi"/>
                <w:sz w:val="20"/>
                <w:szCs w:val="20"/>
                <w:highlight w:val="yellow"/>
              </w:rPr>
            </w:pPr>
          </w:p>
        </w:tc>
      </w:tr>
      <w:tr w:rsidR="00BA1B2F" w:rsidRPr="00224FCC" w14:paraId="6E42046D" w14:textId="77777777" w:rsidTr="00D76C5E">
        <w:trPr>
          <w:trHeight w:val="2348"/>
          <w:jc w:val="center"/>
        </w:trPr>
        <w:tc>
          <w:tcPr>
            <w:tcW w:w="2970" w:type="dxa"/>
            <w:shd w:val="clear" w:color="auto" w:fill="auto"/>
          </w:tcPr>
          <w:p w14:paraId="5636CA7B" w14:textId="762E4674" w:rsidR="00BA1B2F" w:rsidRPr="00BA1B2F" w:rsidRDefault="00AB40E3" w:rsidP="00BA1B2F">
            <w:pPr>
              <w:numPr>
                <w:ilvl w:val="0"/>
                <w:numId w:val="6"/>
              </w:numPr>
              <w:shd w:val="clear" w:color="auto" w:fill="FFFFFF"/>
              <w:spacing w:before="100" w:beforeAutospacing="1" w:after="100" w:afterAutospacing="1" w:line="240" w:lineRule="auto"/>
              <w:rPr>
                <w:rFonts w:asciiTheme="minorHAnsi" w:eastAsia="Times New Roman" w:hAnsiTheme="minorHAnsi" w:cstheme="minorHAnsi"/>
                <w:b/>
                <w:bCs/>
                <w:color w:val="191A23"/>
                <w:sz w:val="20"/>
                <w:szCs w:val="20"/>
                <w:lang w:val="en-US"/>
              </w:rPr>
            </w:pPr>
            <w:r>
              <w:rPr>
                <w:rFonts w:asciiTheme="minorHAnsi" w:eastAsia="Times New Roman" w:hAnsiTheme="minorHAnsi" w:cstheme="minorHAnsi"/>
                <w:b/>
                <w:bCs/>
                <w:color w:val="191A23"/>
                <w:sz w:val="20"/>
                <w:szCs w:val="20"/>
                <w:lang w:val="en-US"/>
              </w:rPr>
              <w:t>C</w:t>
            </w:r>
            <w:r w:rsidR="00BA1B2F" w:rsidRPr="00BA1B2F">
              <w:rPr>
                <w:rFonts w:asciiTheme="minorHAnsi" w:eastAsia="Times New Roman" w:hAnsiTheme="minorHAnsi" w:cstheme="minorHAnsi"/>
                <w:b/>
                <w:bCs/>
                <w:color w:val="191A23"/>
                <w:sz w:val="20"/>
                <w:szCs w:val="20"/>
                <w:lang w:val="en-US"/>
              </w:rPr>
              <w:t xml:space="preserve">onduct an in-depth desk review of the available literature and materials relating to water supply system and water safety in Tajikistan. </w:t>
            </w:r>
          </w:p>
          <w:p w14:paraId="2B944092" w14:textId="77777777" w:rsidR="00BA1B2F" w:rsidRPr="00BA1B2F" w:rsidRDefault="00BA1B2F" w:rsidP="00BA1B2F">
            <w:pPr>
              <w:shd w:val="clear" w:color="auto" w:fill="FFFFFF"/>
              <w:spacing w:line="240" w:lineRule="auto"/>
              <w:jc w:val="both"/>
              <w:textAlignment w:val="baseline"/>
              <w:rPr>
                <w:rFonts w:asciiTheme="minorHAnsi" w:hAnsiTheme="minorHAnsi" w:cstheme="minorHAnsi"/>
                <w:b/>
                <w:bCs/>
                <w:sz w:val="20"/>
                <w:szCs w:val="20"/>
                <w:lang w:val="en-US"/>
              </w:rPr>
            </w:pPr>
          </w:p>
        </w:tc>
        <w:tc>
          <w:tcPr>
            <w:tcW w:w="3955" w:type="dxa"/>
          </w:tcPr>
          <w:p w14:paraId="2A13EB8E" w14:textId="0440EDD9" w:rsidR="00BA1B2F" w:rsidRPr="00BA1B2F" w:rsidRDefault="00AB40E3" w:rsidP="00BA1B2F">
            <w:pPr>
              <w:pStyle w:val="ListParagraph"/>
              <w:numPr>
                <w:ilvl w:val="0"/>
                <w:numId w:val="5"/>
              </w:numPr>
              <w:spacing w:line="240"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D</w:t>
            </w:r>
            <w:r w:rsidR="00BA1B2F" w:rsidRPr="00BA1B2F">
              <w:rPr>
                <w:rFonts w:asciiTheme="minorHAnsi" w:hAnsiTheme="minorHAnsi" w:cstheme="minorHAnsi"/>
                <w:color w:val="auto"/>
                <w:sz w:val="20"/>
                <w:szCs w:val="20"/>
              </w:rPr>
              <w:t>etailed review of all documents including National policies, strategies, relevant regulatory documents (relevant SanPiNs</w:t>
            </w:r>
            <w:r w:rsidR="00BA1B2F" w:rsidRPr="00BA1B2F">
              <w:rPr>
                <w:rStyle w:val="FootnoteReference"/>
                <w:rFonts w:asciiTheme="minorHAnsi" w:hAnsiTheme="minorHAnsi" w:cstheme="minorHAnsi"/>
                <w:color w:val="auto"/>
                <w:sz w:val="20"/>
                <w:szCs w:val="20"/>
              </w:rPr>
              <w:footnoteReference w:id="1"/>
            </w:r>
            <w:r w:rsidR="00BA1B2F" w:rsidRPr="00BA1B2F">
              <w:rPr>
                <w:rFonts w:asciiTheme="minorHAnsi" w:hAnsiTheme="minorHAnsi" w:cstheme="minorHAnsi"/>
                <w:color w:val="auto"/>
                <w:sz w:val="20"/>
                <w:szCs w:val="20"/>
              </w:rPr>
              <w:t>), standards, relevant project documents and studies/researches by development sector partners on water supply and water quality/safety in Tajikistan</w:t>
            </w:r>
            <w:r>
              <w:rPr>
                <w:rFonts w:asciiTheme="minorHAnsi" w:hAnsiTheme="minorHAnsi" w:cstheme="minorHAnsi"/>
                <w:color w:val="auto"/>
                <w:sz w:val="20"/>
                <w:szCs w:val="20"/>
              </w:rPr>
              <w:t xml:space="preserve"> is conducted</w:t>
            </w:r>
          </w:p>
          <w:p w14:paraId="717DED17" w14:textId="37B6C6F8" w:rsidR="00BA1B2F" w:rsidRPr="00BD55ED" w:rsidRDefault="00AB40E3" w:rsidP="00BA1B2F">
            <w:pPr>
              <w:pStyle w:val="ListParagraph"/>
              <w:numPr>
                <w:ilvl w:val="0"/>
                <w:numId w:val="5"/>
              </w:numPr>
              <w:spacing w:line="240"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F</w:t>
            </w:r>
            <w:r w:rsidR="00BA1B2F" w:rsidRPr="00BA1B2F">
              <w:rPr>
                <w:rFonts w:asciiTheme="minorHAnsi" w:hAnsiTheme="minorHAnsi" w:cstheme="minorHAnsi"/>
                <w:color w:val="auto"/>
                <w:sz w:val="20"/>
                <w:szCs w:val="20"/>
              </w:rPr>
              <w:t xml:space="preserve">indings of the review </w:t>
            </w:r>
            <w:r>
              <w:rPr>
                <w:rFonts w:asciiTheme="minorHAnsi" w:hAnsiTheme="minorHAnsi" w:cstheme="minorHAnsi"/>
                <w:color w:val="auto"/>
                <w:sz w:val="20"/>
                <w:szCs w:val="20"/>
              </w:rPr>
              <w:t xml:space="preserve">are shared </w:t>
            </w:r>
            <w:r w:rsidR="00BA1B2F" w:rsidRPr="00BA1B2F">
              <w:rPr>
                <w:rFonts w:asciiTheme="minorHAnsi" w:hAnsiTheme="minorHAnsi" w:cstheme="minorHAnsi"/>
                <w:color w:val="auto"/>
                <w:sz w:val="20"/>
                <w:szCs w:val="20"/>
              </w:rPr>
              <w:t>and key areas of discussion to gather feedback</w:t>
            </w:r>
            <w:r>
              <w:rPr>
                <w:rFonts w:asciiTheme="minorHAnsi" w:hAnsiTheme="minorHAnsi" w:cstheme="minorHAnsi"/>
                <w:color w:val="auto"/>
                <w:sz w:val="20"/>
                <w:szCs w:val="20"/>
              </w:rPr>
              <w:t xml:space="preserve"> are presented to relevant stakeholders</w:t>
            </w:r>
          </w:p>
        </w:tc>
        <w:tc>
          <w:tcPr>
            <w:tcW w:w="1530" w:type="dxa"/>
          </w:tcPr>
          <w:p w14:paraId="06FD7336" w14:textId="1AD9C239" w:rsidR="00BA1B2F" w:rsidRPr="00BA1B2F" w:rsidRDefault="00BA1B2F" w:rsidP="00E7688B">
            <w:pPr>
              <w:shd w:val="clear" w:color="auto" w:fill="FFFFFF"/>
              <w:jc w:val="center"/>
              <w:rPr>
                <w:rFonts w:asciiTheme="minorHAnsi" w:hAnsiTheme="minorHAnsi" w:cstheme="minorHAnsi"/>
                <w:sz w:val="20"/>
                <w:szCs w:val="20"/>
              </w:rPr>
            </w:pPr>
            <w:r w:rsidRPr="00BA1B2F">
              <w:rPr>
                <w:rFonts w:asciiTheme="minorHAnsi" w:hAnsiTheme="minorHAnsi" w:cstheme="minorHAnsi"/>
                <w:sz w:val="20"/>
                <w:szCs w:val="20"/>
              </w:rPr>
              <w:t>1</w:t>
            </w:r>
            <w:r>
              <w:rPr>
                <w:rFonts w:asciiTheme="minorHAnsi" w:hAnsiTheme="minorHAnsi" w:cstheme="minorHAnsi"/>
                <w:sz w:val="20"/>
                <w:szCs w:val="20"/>
              </w:rPr>
              <w:t>5</w:t>
            </w:r>
            <w:r w:rsidRPr="00BA1B2F">
              <w:rPr>
                <w:rFonts w:asciiTheme="minorHAnsi" w:hAnsiTheme="minorHAnsi" w:cstheme="minorHAnsi"/>
                <w:sz w:val="20"/>
                <w:szCs w:val="20"/>
              </w:rPr>
              <w:t xml:space="preserve"> days</w:t>
            </w:r>
          </w:p>
        </w:tc>
        <w:tc>
          <w:tcPr>
            <w:tcW w:w="1289" w:type="dxa"/>
            <w:shd w:val="clear" w:color="auto" w:fill="auto"/>
          </w:tcPr>
          <w:p w14:paraId="443988CD" w14:textId="7BB8E197" w:rsidR="00BA1B2F" w:rsidRPr="00A4563C" w:rsidRDefault="00DE4214" w:rsidP="00D02AA9">
            <w:pPr>
              <w:shd w:val="clear" w:color="auto" w:fill="FFFFFF"/>
              <w:rPr>
                <w:rFonts w:asciiTheme="minorHAnsi" w:hAnsiTheme="minorHAnsi" w:cstheme="minorHAnsi"/>
                <w:sz w:val="20"/>
                <w:szCs w:val="20"/>
                <w:highlight w:val="yellow"/>
              </w:rPr>
            </w:pPr>
            <w:r>
              <w:rPr>
                <w:rFonts w:asciiTheme="minorHAnsi" w:hAnsiTheme="minorHAnsi" w:cstheme="minorHAnsi"/>
                <w:bCs/>
                <w:sz w:val="20"/>
                <w:szCs w:val="20"/>
              </w:rPr>
              <w:t>30</w:t>
            </w:r>
            <w:r w:rsidRPr="00455A90">
              <w:rPr>
                <w:rFonts w:asciiTheme="minorHAnsi" w:hAnsiTheme="minorHAnsi" w:cstheme="minorHAnsi"/>
                <w:bCs/>
                <w:sz w:val="20"/>
                <w:szCs w:val="20"/>
              </w:rPr>
              <w:t xml:space="preserve">% payment </w:t>
            </w:r>
            <w:r>
              <w:rPr>
                <w:rFonts w:asciiTheme="minorHAnsi" w:hAnsiTheme="minorHAnsi" w:cstheme="minorHAnsi"/>
                <w:bCs/>
                <w:sz w:val="20"/>
                <w:szCs w:val="20"/>
              </w:rPr>
              <w:t>upon</w:t>
            </w:r>
            <w:r w:rsidRPr="00455A90">
              <w:rPr>
                <w:rFonts w:asciiTheme="minorHAnsi" w:hAnsiTheme="minorHAnsi" w:cstheme="minorHAnsi"/>
                <w:bCs/>
                <w:sz w:val="20"/>
                <w:szCs w:val="20"/>
              </w:rPr>
              <w:t xml:space="preserve"> </w:t>
            </w:r>
            <w:r>
              <w:rPr>
                <w:rFonts w:asciiTheme="minorHAnsi" w:hAnsiTheme="minorHAnsi" w:cstheme="minorHAnsi"/>
                <w:bCs/>
                <w:sz w:val="20"/>
                <w:szCs w:val="20"/>
              </w:rPr>
              <w:t>discussion and submission of the detailed review and analysis</w:t>
            </w:r>
          </w:p>
        </w:tc>
      </w:tr>
      <w:tr w:rsidR="00455A90" w:rsidRPr="00224FCC" w14:paraId="1123F4B9" w14:textId="77777777" w:rsidTr="00D76C5E">
        <w:trPr>
          <w:trHeight w:val="1385"/>
          <w:jc w:val="center"/>
        </w:trPr>
        <w:tc>
          <w:tcPr>
            <w:tcW w:w="2970" w:type="dxa"/>
            <w:shd w:val="clear" w:color="auto" w:fill="auto"/>
          </w:tcPr>
          <w:p w14:paraId="2C2940E5" w14:textId="6780AA13" w:rsidR="00BA1B2F" w:rsidRPr="00BA1B2F" w:rsidRDefault="00AB40E3" w:rsidP="00BA1B2F">
            <w:pPr>
              <w:numPr>
                <w:ilvl w:val="0"/>
                <w:numId w:val="6"/>
              </w:numPr>
              <w:shd w:val="clear" w:color="auto" w:fill="FFFFFF"/>
              <w:spacing w:before="100" w:beforeAutospacing="1" w:after="100" w:afterAutospacing="1" w:line="240" w:lineRule="auto"/>
              <w:rPr>
                <w:rFonts w:asciiTheme="minorHAnsi" w:eastAsia="Times New Roman" w:hAnsiTheme="minorHAnsi" w:cstheme="minorHAnsi"/>
                <w:b/>
                <w:bCs/>
                <w:color w:val="191A23"/>
                <w:sz w:val="20"/>
                <w:szCs w:val="20"/>
                <w:lang w:val="en-US"/>
              </w:rPr>
            </w:pPr>
            <w:r>
              <w:rPr>
                <w:rFonts w:asciiTheme="minorHAnsi" w:eastAsia="Times New Roman" w:hAnsiTheme="minorHAnsi" w:cstheme="minorHAnsi"/>
                <w:b/>
                <w:bCs/>
                <w:color w:val="191A23"/>
                <w:sz w:val="20"/>
                <w:szCs w:val="20"/>
                <w:lang w:val="en-US"/>
              </w:rPr>
              <w:t>D</w:t>
            </w:r>
            <w:r w:rsidR="00BA1B2F" w:rsidRPr="00BA1B2F">
              <w:rPr>
                <w:rFonts w:asciiTheme="minorHAnsi" w:eastAsia="Times New Roman" w:hAnsiTheme="minorHAnsi" w:cstheme="minorHAnsi"/>
                <w:b/>
                <w:bCs/>
                <w:color w:val="191A23"/>
                <w:sz w:val="20"/>
                <w:szCs w:val="20"/>
                <w:lang w:val="en-US"/>
              </w:rPr>
              <w:t>evelop a national level Water Safety strategy through close consultations with MoHSP, MoEWR, SUE-KMK, Vodokanals (water utilities) and WASH actors. This should also include development of a costed action plan for the safety of public water supply systems with specific focus on O&amp;M.</w:t>
            </w:r>
          </w:p>
          <w:p w14:paraId="517CDD53" w14:textId="2D43E34A" w:rsidR="00455A90" w:rsidRPr="00BA1B2F" w:rsidRDefault="00455A90" w:rsidP="00BA1B2F">
            <w:pPr>
              <w:pStyle w:val="ListParagraph"/>
              <w:shd w:val="clear" w:color="auto" w:fill="FFFFFF"/>
              <w:spacing w:line="240" w:lineRule="auto"/>
              <w:ind w:left="360"/>
              <w:jc w:val="both"/>
              <w:textAlignment w:val="baseline"/>
              <w:rPr>
                <w:rFonts w:asciiTheme="minorHAnsi" w:hAnsiTheme="minorHAnsi" w:cstheme="minorHAnsi"/>
                <w:b/>
                <w:bCs/>
                <w:sz w:val="20"/>
                <w:szCs w:val="20"/>
                <w:lang w:val="en-US"/>
              </w:rPr>
            </w:pPr>
          </w:p>
        </w:tc>
        <w:tc>
          <w:tcPr>
            <w:tcW w:w="3955" w:type="dxa"/>
          </w:tcPr>
          <w:p w14:paraId="32C98341" w14:textId="4E098E37" w:rsidR="00BA1B2F" w:rsidRPr="00BA1B2F" w:rsidRDefault="00AB40E3" w:rsidP="00BA1B2F">
            <w:pPr>
              <w:pStyle w:val="ListParagraph"/>
              <w:numPr>
                <w:ilvl w:val="0"/>
                <w:numId w:val="8"/>
              </w:numPr>
              <w:spacing w:line="240" w:lineRule="auto"/>
              <w:jc w:val="both"/>
              <w:rPr>
                <w:rFonts w:asciiTheme="minorHAnsi" w:hAnsiTheme="minorHAnsi" w:cstheme="minorHAnsi"/>
                <w:sz w:val="20"/>
                <w:szCs w:val="20"/>
              </w:rPr>
            </w:pPr>
            <w:r>
              <w:rPr>
                <w:rFonts w:asciiTheme="minorHAnsi" w:hAnsiTheme="minorHAnsi" w:cstheme="minorHAnsi"/>
                <w:sz w:val="20"/>
                <w:szCs w:val="20"/>
              </w:rPr>
              <w:t>D</w:t>
            </w:r>
            <w:r w:rsidR="00BA1B2F" w:rsidRPr="00BA1B2F">
              <w:rPr>
                <w:rFonts w:asciiTheme="minorHAnsi" w:hAnsiTheme="minorHAnsi" w:cstheme="minorHAnsi"/>
                <w:sz w:val="20"/>
                <w:szCs w:val="20"/>
              </w:rPr>
              <w:t xml:space="preserve">raft of the water safety strategy </w:t>
            </w:r>
            <w:r w:rsidR="00E4778B">
              <w:rPr>
                <w:rFonts w:asciiTheme="minorHAnsi" w:hAnsiTheme="minorHAnsi" w:cstheme="minorHAnsi"/>
                <w:sz w:val="20"/>
                <w:szCs w:val="20"/>
              </w:rPr>
              <w:t xml:space="preserve">(on agreed structure) </w:t>
            </w:r>
            <w:r w:rsidR="00BA1B2F" w:rsidRPr="00BA1B2F">
              <w:rPr>
                <w:rFonts w:asciiTheme="minorHAnsi" w:hAnsiTheme="minorHAnsi" w:cstheme="minorHAnsi"/>
                <w:sz w:val="20"/>
                <w:szCs w:val="20"/>
              </w:rPr>
              <w:t xml:space="preserve">and costed </w:t>
            </w:r>
            <w:r w:rsidR="00BA1B2F" w:rsidRPr="00BA1B2F">
              <w:rPr>
                <w:rFonts w:asciiTheme="minorHAnsi" w:eastAsia="Times New Roman" w:hAnsiTheme="minorHAnsi" w:cstheme="minorHAnsi"/>
                <w:color w:val="191A23"/>
                <w:sz w:val="20"/>
                <w:szCs w:val="20"/>
                <w:lang w:val="en-US"/>
              </w:rPr>
              <w:t>plan for the safety of public water supply systems</w:t>
            </w:r>
            <w:r w:rsidR="00BA1B2F" w:rsidRPr="00BA1B2F">
              <w:rPr>
                <w:rFonts w:asciiTheme="minorHAnsi" w:hAnsiTheme="minorHAnsi" w:cstheme="minorHAnsi"/>
                <w:sz w:val="20"/>
                <w:szCs w:val="20"/>
              </w:rPr>
              <w:t xml:space="preserve"> with MoHSPP, MoEWR, SUE-KMK and other relevant Government departments and development partners </w:t>
            </w:r>
            <w:r>
              <w:rPr>
                <w:rFonts w:asciiTheme="minorHAnsi" w:hAnsiTheme="minorHAnsi" w:cstheme="minorHAnsi"/>
                <w:sz w:val="20"/>
                <w:szCs w:val="20"/>
              </w:rPr>
              <w:t>is shared.</w:t>
            </w:r>
          </w:p>
          <w:p w14:paraId="3E439CA8" w14:textId="5BB81EE1" w:rsidR="00455A90" w:rsidRPr="00BA1B2F" w:rsidRDefault="00AB40E3" w:rsidP="00BA1B2F">
            <w:pPr>
              <w:pStyle w:val="ListParagraph"/>
              <w:numPr>
                <w:ilvl w:val="0"/>
                <w:numId w:val="8"/>
              </w:numPr>
              <w:spacing w:line="240" w:lineRule="auto"/>
              <w:jc w:val="both"/>
              <w:rPr>
                <w:rFonts w:asciiTheme="minorHAnsi" w:hAnsiTheme="minorHAnsi" w:cstheme="minorHAnsi"/>
                <w:sz w:val="20"/>
                <w:szCs w:val="20"/>
              </w:rPr>
            </w:pPr>
            <w:r>
              <w:rPr>
                <w:rFonts w:asciiTheme="minorHAnsi" w:hAnsiTheme="minorHAnsi" w:cstheme="minorHAnsi"/>
                <w:sz w:val="20"/>
                <w:szCs w:val="20"/>
              </w:rPr>
              <w:t>J</w:t>
            </w:r>
            <w:r w:rsidR="00BA1B2F" w:rsidRPr="00BA1B2F">
              <w:rPr>
                <w:rFonts w:asciiTheme="minorHAnsi" w:hAnsiTheme="minorHAnsi" w:cstheme="minorHAnsi"/>
                <w:sz w:val="20"/>
                <w:szCs w:val="20"/>
              </w:rPr>
              <w:t xml:space="preserve">oint meetings </w:t>
            </w:r>
            <w:r>
              <w:rPr>
                <w:rFonts w:asciiTheme="minorHAnsi" w:hAnsiTheme="minorHAnsi" w:cstheme="minorHAnsi"/>
                <w:sz w:val="20"/>
                <w:szCs w:val="20"/>
              </w:rPr>
              <w:t xml:space="preserve">are conducted </w:t>
            </w:r>
            <w:r w:rsidR="00BA1B2F" w:rsidRPr="00BA1B2F">
              <w:rPr>
                <w:rFonts w:asciiTheme="minorHAnsi" w:hAnsiTheme="minorHAnsi" w:cstheme="minorHAnsi"/>
                <w:sz w:val="20"/>
                <w:szCs w:val="20"/>
              </w:rPr>
              <w:t xml:space="preserve">and feedback </w:t>
            </w:r>
            <w:r>
              <w:rPr>
                <w:rFonts w:asciiTheme="minorHAnsi" w:hAnsiTheme="minorHAnsi" w:cstheme="minorHAnsi"/>
                <w:sz w:val="20"/>
                <w:szCs w:val="20"/>
              </w:rPr>
              <w:t xml:space="preserve">is gathered </w:t>
            </w:r>
            <w:r w:rsidR="00BA1B2F" w:rsidRPr="00BA1B2F">
              <w:rPr>
                <w:rFonts w:asciiTheme="minorHAnsi" w:hAnsiTheme="minorHAnsi" w:cstheme="minorHAnsi"/>
                <w:sz w:val="20"/>
                <w:szCs w:val="20"/>
              </w:rPr>
              <w:t xml:space="preserve">to make relevant clarifications and final changes. </w:t>
            </w:r>
          </w:p>
        </w:tc>
        <w:tc>
          <w:tcPr>
            <w:tcW w:w="1530" w:type="dxa"/>
          </w:tcPr>
          <w:p w14:paraId="42DDBB43" w14:textId="43B406A7" w:rsidR="00455A90" w:rsidRPr="00BA1B2F" w:rsidRDefault="00BA1B2F" w:rsidP="00E7688B">
            <w:pPr>
              <w:shd w:val="clear" w:color="auto" w:fill="FFFFFF"/>
              <w:jc w:val="center"/>
              <w:rPr>
                <w:rFonts w:asciiTheme="minorHAnsi" w:hAnsiTheme="minorHAnsi" w:cstheme="minorHAnsi"/>
                <w:sz w:val="20"/>
                <w:szCs w:val="20"/>
              </w:rPr>
            </w:pPr>
            <w:r>
              <w:rPr>
                <w:rFonts w:asciiTheme="minorHAnsi" w:hAnsiTheme="minorHAnsi" w:cstheme="minorHAnsi"/>
                <w:sz w:val="20"/>
                <w:szCs w:val="20"/>
              </w:rPr>
              <w:t>10</w:t>
            </w:r>
            <w:r w:rsidR="00455A90" w:rsidRPr="00BA1B2F">
              <w:rPr>
                <w:rFonts w:asciiTheme="minorHAnsi" w:hAnsiTheme="minorHAnsi" w:cstheme="minorHAnsi"/>
                <w:sz w:val="20"/>
                <w:szCs w:val="20"/>
              </w:rPr>
              <w:t xml:space="preserve"> days</w:t>
            </w:r>
          </w:p>
        </w:tc>
        <w:tc>
          <w:tcPr>
            <w:tcW w:w="1289" w:type="dxa"/>
            <w:vMerge w:val="restart"/>
            <w:shd w:val="clear" w:color="auto" w:fill="auto"/>
          </w:tcPr>
          <w:p w14:paraId="445F2FDC" w14:textId="77777777" w:rsidR="00DE4214" w:rsidRDefault="00DE4214" w:rsidP="00D02AA9">
            <w:pPr>
              <w:shd w:val="clear" w:color="auto" w:fill="FFFFFF"/>
              <w:rPr>
                <w:rFonts w:asciiTheme="minorHAnsi" w:hAnsiTheme="minorHAnsi" w:cstheme="minorHAnsi"/>
                <w:sz w:val="20"/>
                <w:szCs w:val="20"/>
              </w:rPr>
            </w:pPr>
          </w:p>
          <w:p w14:paraId="4B9A71A7" w14:textId="77777777" w:rsidR="00DE4214" w:rsidRDefault="00DE4214" w:rsidP="00D02AA9">
            <w:pPr>
              <w:shd w:val="clear" w:color="auto" w:fill="FFFFFF"/>
              <w:rPr>
                <w:rFonts w:asciiTheme="minorHAnsi" w:hAnsiTheme="minorHAnsi" w:cstheme="minorHAnsi"/>
                <w:sz w:val="20"/>
                <w:szCs w:val="20"/>
              </w:rPr>
            </w:pPr>
          </w:p>
          <w:p w14:paraId="472BAD66" w14:textId="77777777" w:rsidR="00DE4214" w:rsidRDefault="00DE4214" w:rsidP="00D02AA9">
            <w:pPr>
              <w:shd w:val="clear" w:color="auto" w:fill="FFFFFF"/>
              <w:rPr>
                <w:rFonts w:asciiTheme="minorHAnsi" w:hAnsiTheme="minorHAnsi" w:cstheme="minorHAnsi"/>
                <w:sz w:val="20"/>
                <w:szCs w:val="20"/>
              </w:rPr>
            </w:pPr>
          </w:p>
          <w:p w14:paraId="55B94361" w14:textId="77777777" w:rsidR="00DE4214" w:rsidRDefault="00DE4214" w:rsidP="00D02AA9">
            <w:pPr>
              <w:shd w:val="clear" w:color="auto" w:fill="FFFFFF"/>
              <w:rPr>
                <w:rFonts w:asciiTheme="minorHAnsi" w:hAnsiTheme="minorHAnsi" w:cstheme="minorHAnsi"/>
                <w:sz w:val="20"/>
                <w:szCs w:val="20"/>
              </w:rPr>
            </w:pPr>
          </w:p>
          <w:p w14:paraId="1667E587" w14:textId="77777777" w:rsidR="00DE4214" w:rsidRDefault="00DE4214" w:rsidP="00D02AA9">
            <w:pPr>
              <w:shd w:val="clear" w:color="auto" w:fill="FFFFFF"/>
              <w:rPr>
                <w:rFonts w:asciiTheme="minorHAnsi" w:hAnsiTheme="minorHAnsi" w:cstheme="minorHAnsi"/>
                <w:sz w:val="20"/>
                <w:szCs w:val="20"/>
              </w:rPr>
            </w:pPr>
          </w:p>
          <w:p w14:paraId="00D839F1" w14:textId="77777777" w:rsidR="00DE4214" w:rsidRDefault="00DE4214" w:rsidP="00D02AA9">
            <w:pPr>
              <w:shd w:val="clear" w:color="auto" w:fill="FFFFFF"/>
              <w:rPr>
                <w:rFonts w:asciiTheme="minorHAnsi" w:hAnsiTheme="minorHAnsi" w:cstheme="minorHAnsi"/>
                <w:sz w:val="20"/>
                <w:szCs w:val="20"/>
              </w:rPr>
            </w:pPr>
          </w:p>
          <w:p w14:paraId="0A9BAF65" w14:textId="77777777" w:rsidR="00DE4214" w:rsidRDefault="00DE4214" w:rsidP="00D02AA9">
            <w:pPr>
              <w:shd w:val="clear" w:color="auto" w:fill="FFFFFF"/>
              <w:rPr>
                <w:rFonts w:asciiTheme="minorHAnsi" w:hAnsiTheme="minorHAnsi" w:cstheme="minorHAnsi"/>
                <w:sz w:val="20"/>
                <w:szCs w:val="20"/>
              </w:rPr>
            </w:pPr>
          </w:p>
          <w:p w14:paraId="6ADBF3F4" w14:textId="77777777" w:rsidR="00DE4214" w:rsidRDefault="00DE4214" w:rsidP="00D02AA9">
            <w:pPr>
              <w:shd w:val="clear" w:color="auto" w:fill="FFFFFF"/>
              <w:rPr>
                <w:rFonts w:asciiTheme="minorHAnsi" w:hAnsiTheme="minorHAnsi" w:cstheme="minorHAnsi"/>
                <w:sz w:val="20"/>
                <w:szCs w:val="20"/>
              </w:rPr>
            </w:pPr>
          </w:p>
          <w:p w14:paraId="4F65D833" w14:textId="1E16C6F9" w:rsidR="00455A90" w:rsidRPr="00A4563C" w:rsidRDefault="00DE4214" w:rsidP="00D02AA9">
            <w:pPr>
              <w:shd w:val="clear" w:color="auto" w:fill="FFFFFF"/>
              <w:rPr>
                <w:rFonts w:asciiTheme="minorHAnsi" w:hAnsiTheme="minorHAnsi" w:cstheme="minorHAnsi"/>
                <w:sz w:val="20"/>
                <w:szCs w:val="20"/>
              </w:rPr>
            </w:pPr>
            <w:r>
              <w:rPr>
                <w:rFonts w:asciiTheme="minorHAnsi" w:hAnsiTheme="minorHAnsi" w:cstheme="minorHAnsi"/>
                <w:sz w:val="20"/>
                <w:szCs w:val="20"/>
              </w:rPr>
              <w:t xml:space="preserve">60% upon submission of final strategy and acceptance by UNICEF and MoHSPP. </w:t>
            </w:r>
          </w:p>
        </w:tc>
      </w:tr>
      <w:tr w:rsidR="00455A90" w:rsidRPr="00224FCC" w14:paraId="01D31880" w14:textId="77777777" w:rsidTr="00D76C5E">
        <w:trPr>
          <w:trHeight w:val="1043"/>
          <w:jc w:val="center"/>
        </w:trPr>
        <w:tc>
          <w:tcPr>
            <w:tcW w:w="2970" w:type="dxa"/>
            <w:shd w:val="clear" w:color="auto" w:fill="auto"/>
          </w:tcPr>
          <w:p w14:paraId="43B842DE" w14:textId="77777777" w:rsidR="00BA1B2F" w:rsidRPr="00BA1B2F" w:rsidRDefault="00BA1B2F" w:rsidP="00BA1B2F">
            <w:pPr>
              <w:numPr>
                <w:ilvl w:val="0"/>
                <w:numId w:val="6"/>
              </w:numPr>
              <w:shd w:val="clear" w:color="auto" w:fill="FFFFFF"/>
              <w:spacing w:before="100" w:beforeAutospacing="1" w:after="100" w:afterAutospacing="1" w:line="240" w:lineRule="auto"/>
              <w:rPr>
                <w:rFonts w:asciiTheme="minorHAnsi" w:eastAsia="Times New Roman" w:hAnsiTheme="minorHAnsi" w:cstheme="minorHAnsi"/>
                <w:b/>
                <w:bCs/>
                <w:color w:val="191A23"/>
                <w:sz w:val="20"/>
                <w:szCs w:val="20"/>
                <w:lang w:val="en-US"/>
              </w:rPr>
            </w:pPr>
            <w:r w:rsidRPr="00BA1B2F">
              <w:rPr>
                <w:rFonts w:asciiTheme="minorHAnsi" w:hAnsiTheme="minorHAnsi" w:cstheme="minorHAnsi"/>
                <w:b/>
                <w:bCs/>
                <w:sz w:val="20"/>
                <w:szCs w:val="20"/>
                <w:lang w:val="en-US"/>
              </w:rPr>
              <w:t xml:space="preserve">Submission of final strategy that is reviewed and accepted by UNICEF and MoHSPP and making a presentation to relevant stakeholders. </w:t>
            </w:r>
          </w:p>
          <w:p w14:paraId="6B0B2E29" w14:textId="77777777" w:rsidR="00455A90" w:rsidRPr="00BA1B2F" w:rsidRDefault="00455A90" w:rsidP="00BA1B2F">
            <w:pPr>
              <w:pStyle w:val="ListParagraph"/>
              <w:shd w:val="clear" w:color="auto" w:fill="FFFFFF"/>
              <w:spacing w:line="240" w:lineRule="auto"/>
              <w:ind w:left="360"/>
              <w:jc w:val="both"/>
              <w:textAlignment w:val="baseline"/>
              <w:rPr>
                <w:rFonts w:asciiTheme="minorHAnsi" w:hAnsiTheme="minorHAnsi" w:cstheme="minorHAnsi"/>
                <w:b/>
                <w:bCs/>
                <w:sz w:val="20"/>
                <w:szCs w:val="20"/>
                <w:lang w:val="en-US"/>
              </w:rPr>
            </w:pPr>
          </w:p>
        </w:tc>
        <w:tc>
          <w:tcPr>
            <w:tcW w:w="3955" w:type="dxa"/>
          </w:tcPr>
          <w:p w14:paraId="25230CF3" w14:textId="600E82E6" w:rsidR="00BA1B2F" w:rsidRPr="00BA1B2F" w:rsidRDefault="00BA1B2F" w:rsidP="00E7688B">
            <w:pPr>
              <w:pStyle w:val="ListParagraph"/>
              <w:numPr>
                <w:ilvl w:val="0"/>
                <w:numId w:val="9"/>
              </w:numPr>
              <w:spacing w:line="240" w:lineRule="auto"/>
              <w:jc w:val="both"/>
              <w:rPr>
                <w:rFonts w:asciiTheme="minorHAnsi" w:hAnsiTheme="minorHAnsi" w:cstheme="minorHAnsi"/>
                <w:sz w:val="20"/>
                <w:szCs w:val="20"/>
              </w:rPr>
            </w:pPr>
            <w:r w:rsidRPr="00BA1B2F">
              <w:rPr>
                <w:rFonts w:asciiTheme="minorHAnsi" w:hAnsiTheme="minorHAnsi" w:cstheme="minorHAnsi"/>
                <w:sz w:val="20"/>
                <w:szCs w:val="20"/>
              </w:rPr>
              <w:t>Final presentation to key stakeholders</w:t>
            </w:r>
          </w:p>
          <w:p w14:paraId="50FACDD7" w14:textId="38631946" w:rsidR="00E7688B" w:rsidRPr="00BA1B2F" w:rsidRDefault="00AB40E3" w:rsidP="00E7688B">
            <w:pPr>
              <w:pStyle w:val="ListParagraph"/>
              <w:numPr>
                <w:ilvl w:val="0"/>
                <w:numId w:val="9"/>
              </w:numPr>
              <w:spacing w:line="240" w:lineRule="auto"/>
              <w:jc w:val="both"/>
              <w:rPr>
                <w:rFonts w:asciiTheme="minorHAnsi" w:hAnsiTheme="minorHAnsi" w:cstheme="minorHAnsi"/>
                <w:sz w:val="20"/>
                <w:szCs w:val="20"/>
              </w:rPr>
            </w:pPr>
            <w:r>
              <w:rPr>
                <w:rFonts w:asciiTheme="minorHAnsi" w:hAnsiTheme="minorHAnsi" w:cstheme="minorHAnsi"/>
                <w:sz w:val="20"/>
                <w:szCs w:val="20"/>
              </w:rPr>
              <w:t>F</w:t>
            </w:r>
            <w:r w:rsidR="00BA1B2F" w:rsidRPr="00BA1B2F">
              <w:rPr>
                <w:rFonts w:asciiTheme="minorHAnsi" w:hAnsiTheme="minorHAnsi" w:cstheme="minorHAnsi"/>
                <w:sz w:val="20"/>
                <w:szCs w:val="20"/>
              </w:rPr>
              <w:t xml:space="preserve">inal strategy </w:t>
            </w:r>
            <w:r w:rsidR="00E4778B">
              <w:rPr>
                <w:rFonts w:asciiTheme="minorHAnsi" w:hAnsiTheme="minorHAnsi" w:cstheme="minorHAnsi"/>
                <w:sz w:val="20"/>
                <w:szCs w:val="20"/>
              </w:rPr>
              <w:t xml:space="preserve">(on agreed structure) </w:t>
            </w:r>
            <w:r>
              <w:rPr>
                <w:rFonts w:asciiTheme="minorHAnsi" w:hAnsiTheme="minorHAnsi" w:cstheme="minorHAnsi"/>
                <w:sz w:val="20"/>
                <w:szCs w:val="20"/>
              </w:rPr>
              <w:t xml:space="preserve">is shared </w:t>
            </w:r>
            <w:r w:rsidR="00BA1B2F" w:rsidRPr="00BA1B2F">
              <w:rPr>
                <w:rFonts w:asciiTheme="minorHAnsi" w:hAnsiTheme="minorHAnsi" w:cstheme="minorHAnsi"/>
                <w:sz w:val="20"/>
                <w:szCs w:val="20"/>
              </w:rPr>
              <w:t xml:space="preserve">that is accepted by UNICEF and MoHSPP. </w:t>
            </w:r>
          </w:p>
          <w:p w14:paraId="26F6D79D" w14:textId="27C0A1E0" w:rsidR="00BA1B2F" w:rsidRPr="00BA1B2F" w:rsidRDefault="00BA1B2F" w:rsidP="00BA1B2F">
            <w:pPr>
              <w:pStyle w:val="ListParagraph"/>
              <w:spacing w:line="240" w:lineRule="auto"/>
              <w:ind w:left="360"/>
              <w:jc w:val="both"/>
              <w:rPr>
                <w:rFonts w:asciiTheme="minorHAnsi" w:hAnsiTheme="minorHAnsi" w:cstheme="minorHAnsi"/>
                <w:sz w:val="20"/>
                <w:szCs w:val="20"/>
              </w:rPr>
            </w:pPr>
          </w:p>
        </w:tc>
        <w:tc>
          <w:tcPr>
            <w:tcW w:w="1530" w:type="dxa"/>
          </w:tcPr>
          <w:p w14:paraId="66BA75E1" w14:textId="1DFED06F" w:rsidR="00455A90" w:rsidRPr="00BA1B2F" w:rsidRDefault="00E4778B" w:rsidP="00D02AA9">
            <w:pPr>
              <w:shd w:val="clear" w:color="auto" w:fill="FFFFFF"/>
              <w:jc w:val="center"/>
              <w:rPr>
                <w:rFonts w:asciiTheme="minorHAnsi" w:hAnsiTheme="minorHAnsi" w:cstheme="minorHAnsi"/>
                <w:sz w:val="20"/>
                <w:szCs w:val="20"/>
              </w:rPr>
            </w:pPr>
            <w:r>
              <w:rPr>
                <w:rFonts w:asciiTheme="minorHAnsi" w:hAnsiTheme="minorHAnsi" w:cstheme="minorHAnsi"/>
                <w:sz w:val="20"/>
                <w:szCs w:val="20"/>
              </w:rPr>
              <w:t>3</w:t>
            </w:r>
            <w:r w:rsidR="00455A90" w:rsidRPr="00BA1B2F">
              <w:rPr>
                <w:rFonts w:asciiTheme="minorHAnsi" w:hAnsiTheme="minorHAnsi" w:cstheme="minorHAnsi"/>
                <w:sz w:val="20"/>
                <w:szCs w:val="20"/>
              </w:rPr>
              <w:t xml:space="preserve"> days</w:t>
            </w:r>
          </w:p>
        </w:tc>
        <w:tc>
          <w:tcPr>
            <w:tcW w:w="1289" w:type="dxa"/>
            <w:vMerge/>
            <w:shd w:val="clear" w:color="auto" w:fill="auto"/>
          </w:tcPr>
          <w:p w14:paraId="1A491C65" w14:textId="77777777" w:rsidR="00455A90" w:rsidRPr="00A4563C" w:rsidRDefault="00455A90" w:rsidP="00D02AA9">
            <w:pPr>
              <w:shd w:val="clear" w:color="auto" w:fill="FFFFFF"/>
              <w:rPr>
                <w:rFonts w:asciiTheme="minorHAnsi" w:hAnsiTheme="minorHAnsi" w:cstheme="minorHAnsi"/>
                <w:sz w:val="20"/>
                <w:szCs w:val="20"/>
              </w:rPr>
            </w:pPr>
          </w:p>
        </w:tc>
      </w:tr>
    </w:tbl>
    <w:p w14:paraId="7010A10A" w14:textId="500F924E" w:rsidR="00701D34" w:rsidRPr="00D22D06" w:rsidRDefault="00701D34" w:rsidP="00BD55ED">
      <w:pPr>
        <w:shd w:val="clear" w:color="auto" w:fill="FFFFFF" w:themeFill="background1"/>
        <w:contextualSpacing/>
        <w:jc w:val="center"/>
        <w:rPr>
          <w:rFonts w:asciiTheme="minorHAnsi" w:eastAsia="Calibri" w:hAnsiTheme="minorHAnsi" w:cstheme="minorHAnsi"/>
          <w:color w:val="FF0000"/>
        </w:rPr>
      </w:pPr>
      <w:r w:rsidRPr="00D22D06">
        <w:rPr>
          <w:rFonts w:asciiTheme="minorHAnsi" w:hAnsiTheme="minorHAnsi" w:cstheme="minorHAnsi"/>
          <w:b/>
          <w:bCs/>
          <w:iCs/>
          <w:color w:val="FF0000"/>
        </w:rPr>
        <w:t xml:space="preserve">Note: </w:t>
      </w:r>
      <w:r w:rsidRPr="00D22D06">
        <w:rPr>
          <w:rFonts w:asciiTheme="minorHAnsi" w:hAnsiTheme="minorHAnsi" w:cstheme="minorHAnsi"/>
          <w:iCs/>
          <w:color w:val="FF0000"/>
        </w:rPr>
        <w:t>Due to COVID 19, the work and deliverables are subject to change. Consultant need to be flexible to adjust to any unforeseen adjustments that might occur during the implementation</w:t>
      </w:r>
    </w:p>
    <w:p w14:paraId="56D386D0" w14:textId="77777777" w:rsidR="00D60D62" w:rsidRDefault="00D60D62" w:rsidP="00701D34">
      <w:pPr>
        <w:ind w:right="-3"/>
        <w:rPr>
          <w:rFonts w:asciiTheme="minorHAnsi" w:hAnsiTheme="minorHAnsi" w:cstheme="minorHAnsi"/>
          <w:b/>
        </w:rPr>
      </w:pPr>
    </w:p>
    <w:p w14:paraId="76621013" w14:textId="05102120" w:rsidR="00701D34" w:rsidRPr="008E6EEC" w:rsidRDefault="00701D34" w:rsidP="00701D34">
      <w:pPr>
        <w:ind w:right="-3"/>
        <w:rPr>
          <w:rFonts w:asciiTheme="minorHAnsi" w:hAnsiTheme="minorHAnsi" w:cstheme="minorHAnsi"/>
          <w:i/>
        </w:rPr>
      </w:pPr>
      <w:r w:rsidRPr="008E6EEC">
        <w:rPr>
          <w:rFonts w:asciiTheme="minorHAnsi" w:hAnsiTheme="minorHAnsi" w:cstheme="minorHAnsi"/>
          <w:b/>
        </w:rPr>
        <w:t>Performance indicators for the evaluation of results:</w:t>
      </w:r>
    </w:p>
    <w:p w14:paraId="1438D2BA" w14:textId="77777777" w:rsidR="00701D34" w:rsidRPr="008E6EEC" w:rsidRDefault="00701D34" w:rsidP="00701D34">
      <w:pPr>
        <w:jc w:val="both"/>
        <w:rPr>
          <w:rFonts w:asciiTheme="minorHAnsi" w:hAnsiTheme="minorHAnsi" w:cstheme="minorHAnsi"/>
        </w:rPr>
      </w:pPr>
      <w:r w:rsidRPr="008E6EEC">
        <w:rPr>
          <w:rFonts w:asciiTheme="minorHAnsi" w:hAnsiTheme="minorHAnsi" w:cstheme="minorHAnsi"/>
        </w:rPr>
        <w:t>The evaluation of the results will be based on:</w:t>
      </w:r>
    </w:p>
    <w:p w14:paraId="62F8E25D" w14:textId="77777777" w:rsidR="00701D34" w:rsidRPr="008E6EEC" w:rsidRDefault="00701D34" w:rsidP="00F11AD6">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Technical and professional competence (quality of the products delivered to UNICEF);</w:t>
      </w:r>
    </w:p>
    <w:p w14:paraId="0110FDDA" w14:textId="77777777" w:rsidR="00701D34" w:rsidRPr="008E6EEC" w:rsidRDefault="00701D34" w:rsidP="00F11AD6">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 xml:space="preserve">Scope of work (e.g. </w:t>
      </w:r>
      <w:r>
        <w:rPr>
          <w:rFonts w:asciiTheme="minorHAnsi" w:hAnsiTheme="minorHAnsi" w:cstheme="minorHAnsi"/>
          <w:iCs/>
        </w:rPr>
        <w:t>clarity of work plan</w:t>
      </w:r>
      <w:r w:rsidRPr="008E6EEC">
        <w:rPr>
          <w:rFonts w:asciiTheme="minorHAnsi" w:hAnsiTheme="minorHAnsi" w:cstheme="minorHAnsi"/>
          <w:iCs/>
        </w:rPr>
        <w:t>);</w:t>
      </w:r>
    </w:p>
    <w:p w14:paraId="03E75589" w14:textId="77777777" w:rsidR="00701D34" w:rsidRPr="008E6EEC" w:rsidRDefault="00701D34" w:rsidP="00F11AD6">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Quality of work (quality of methodology, draft, and final report);</w:t>
      </w:r>
    </w:p>
    <w:p w14:paraId="5077906E" w14:textId="77777777" w:rsidR="00DE4214" w:rsidRDefault="00701D34" w:rsidP="00701D3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Quantity of work (completing the tasks indicated in the table above within the set timeframe)</w:t>
      </w:r>
    </w:p>
    <w:p w14:paraId="2C0CA6F2" w14:textId="12A39917" w:rsidR="00701D34" w:rsidRPr="00BD55ED" w:rsidRDefault="00701D34" w:rsidP="00BD55E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DE4214">
        <w:rPr>
          <w:rFonts w:asciiTheme="minorHAnsi" w:hAnsiTheme="minorHAnsi" w:cstheme="minorHAnsi"/>
        </w:rPr>
        <w:t>In addition, such indicators as work relations, responsibility, drive for results, and communication will be taken into account during the evaluation of the Consultant’s work.</w:t>
      </w:r>
    </w:p>
    <w:p w14:paraId="7C6D4C21" w14:textId="77777777" w:rsidR="00701D34" w:rsidRDefault="00701D34" w:rsidP="00701D34">
      <w:pPr>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QUALIFICATION REQUIREMENTS:</w:t>
      </w:r>
    </w:p>
    <w:p w14:paraId="080E935D" w14:textId="77777777" w:rsidR="00701D34" w:rsidRDefault="00701D34" w:rsidP="00701D34">
      <w:pPr>
        <w:spacing w:line="240" w:lineRule="auto"/>
        <w:jc w:val="both"/>
        <w:rPr>
          <w:rFonts w:asciiTheme="minorHAnsi" w:eastAsia="Times New Roman" w:hAnsiTheme="minorHAnsi" w:cstheme="minorHAnsi"/>
          <w:b/>
          <w:color w:val="4472C4" w:themeColor="accent1"/>
        </w:rPr>
      </w:pPr>
    </w:p>
    <w:p w14:paraId="516F8F65" w14:textId="77777777" w:rsidR="00BD55ED" w:rsidRDefault="00701D34" w:rsidP="00BD55ED">
      <w:pPr>
        <w:jc w:val="both"/>
      </w:pPr>
      <w:r w:rsidRPr="007A2110">
        <w:rPr>
          <w:rFonts w:asciiTheme="minorHAnsi" w:eastAsia="Times New Roman" w:hAnsiTheme="minorHAnsi" w:cstheme="minorHAnsi"/>
          <w:b/>
          <w:i/>
        </w:rPr>
        <w:t>Education:</w:t>
      </w:r>
      <w:r w:rsidRPr="007A2110">
        <w:rPr>
          <w:rFonts w:asciiTheme="minorHAnsi" w:hAnsiTheme="minorHAnsi" w:cstheme="minorHAnsi"/>
        </w:rPr>
        <w:t xml:space="preserve"> </w:t>
      </w:r>
      <w:r w:rsidRPr="00637EA8">
        <w:rPr>
          <w:rFonts w:asciiTheme="minorHAnsi" w:hAnsiTheme="minorHAnsi" w:cstheme="minorHAnsi"/>
        </w:rPr>
        <w:t>A</w:t>
      </w:r>
      <w:r w:rsidR="00DE4214">
        <w:rPr>
          <w:rFonts w:asciiTheme="minorHAnsi" w:hAnsiTheme="minorHAnsi" w:cstheme="minorHAnsi"/>
        </w:rPr>
        <w:t>n advanced</w:t>
      </w:r>
      <w:r>
        <w:rPr>
          <w:rFonts w:asciiTheme="minorHAnsi" w:hAnsiTheme="minorHAnsi" w:cstheme="minorHAnsi"/>
        </w:rPr>
        <w:t xml:space="preserve"> </w:t>
      </w:r>
      <w:r w:rsidRPr="00637EA8">
        <w:rPr>
          <w:rFonts w:asciiTheme="minorHAnsi" w:hAnsiTheme="minorHAnsi" w:cstheme="minorHAnsi"/>
        </w:rPr>
        <w:t>university degree</w:t>
      </w:r>
      <w:r>
        <w:rPr>
          <w:rFonts w:asciiTheme="minorHAnsi" w:hAnsiTheme="minorHAnsi" w:cstheme="minorHAnsi"/>
        </w:rPr>
        <w:t xml:space="preserve"> </w:t>
      </w:r>
      <w:r w:rsidRPr="00637EA8">
        <w:rPr>
          <w:rFonts w:asciiTheme="minorHAnsi" w:hAnsiTheme="minorHAnsi" w:cstheme="minorHAnsi"/>
        </w:rPr>
        <w:t xml:space="preserve">in one of the following fields is required: </w:t>
      </w:r>
      <w:r>
        <w:rPr>
          <w:rFonts w:asciiTheme="minorHAnsi" w:hAnsiTheme="minorHAnsi" w:cstheme="minorHAnsi"/>
        </w:rPr>
        <w:t xml:space="preserve">public health, </w:t>
      </w:r>
      <w:r w:rsidR="00DE4214">
        <w:rPr>
          <w:rFonts w:asciiTheme="minorHAnsi" w:hAnsiTheme="minorHAnsi" w:cstheme="minorHAnsi"/>
        </w:rPr>
        <w:t>water quality</w:t>
      </w:r>
      <w:r w:rsidRPr="00637EA8">
        <w:rPr>
          <w:rFonts w:asciiTheme="minorHAnsi" w:hAnsiTheme="minorHAnsi" w:cstheme="minorHAnsi"/>
        </w:rPr>
        <w:t xml:space="preserve">, water engineering, </w:t>
      </w:r>
      <w:r w:rsidR="00DE4214">
        <w:rPr>
          <w:rFonts w:asciiTheme="minorHAnsi" w:hAnsiTheme="minorHAnsi" w:cstheme="minorHAnsi"/>
        </w:rPr>
        <w:t>water resource management</w:t>
      </w:r>
      <w:r w:rsidR="00D60D62">
        <w:rPr>
          <w:rFonts w:asciiTheme="minorHAnsi" w:hAnsiTheme="minorHAnsi" w:cstheme="minorHAnsi"/>
        </w:rPr>
        <w:t>,</w:t>
      </w:r>
      <w:r>
        <w:rPr>
          <w:rFonts w:asciiTheme="minorHAnsi" w:hAnsiTheme="minorHAnsi" w:cstheme="minorHAnsi"/>
        </w:rPr>
        <w:t xml:space="preserve"> </w:t>
      </w:r>
      <w:r w:rsidRPr="00637EA8">
        <w:rPr>
          <w:rFonts w:asciiTheme="minorHAnsi" w:hAnsiTheme="minorHAnsi" w:cstheme="minorHAnsi"/>
        </w:rPr>
        <w:t>or another relevant technical field.</w:t>
      </w:r>
    </w:p>
    <w:p w14:paraId="3F80E88C" w14:textId="67520AA7" w:rsidR="00701D34" w:rsidRPr="00BD55ED" w:rsidRDefault="00701D34" w:rsidP="00BD55ED">
      <w:pPr>
        <w:jc w:val="both"/>
      </w:pPr>
      <w:r w:rsidRPr="00DE4214">
        <w:rPr>
          <w:rFonts w:asciiTheme="minorHAnsi" w:hAnsiTheme="minorHAnsi" w:cstheme="minorHAnsi"/>
          <w:b/>
          <w:bCs/>
          <w:i/>
          <w:iCs/>
        </w:rPr>
        <w:t>Work Experience:</w:t>
      </w:r>
      <w:r w:rsidR="00DE4214">
        <w:rPr>
          <w:rFonts w:asciiTheme="minorHAnsi" w:hAnsiTheme="minorHAnsi" w:cstheme="minorHAnsi"/>
          <w:b/>
          <w:bCs/>
          <w:i/>
          <w:iCs/>
        </w:rPr>
        <w:t xml:space="preserve"> </w:t>
      </w:r>
      <w:r w:rsidR="00DE4214" w:rsidRPr="00DE4214">
        <w:rPr>
          <w:rFonts w:asciiTheme="minorHAnsi" w:hAnsiTheme="minorHAnsi" w:cstheme="minorHAnsi"/>
          <w:i/>
          <w:iCs/>
        </w:rPr>
        <w:t>a minimum of</w:t>
      </w:r>
      <w:r w:rsidRPr="00DE4214">
        <w:rPr>
          <w:rFonts w:asciiTheme="minorHAnsi" w:hAnsiTheme="minorHAnsi" w:cstheme="minorHAnsi"/>
        </w:rPr>
        <w:t xml:space="preserve"> </w:t>
      </w:r>
      <w:r w:rsidR="0066600C">
        <w:rPr>
          <w:rFonts w:asciiTheme="minorHAnsi" w:eastAsia="Times New Roman" w:hAnsiTheme="minorHAnsi" w:cstheme="minorHAnsi"/>
          <w:color w:val="191A23"/>
          <w:lang w:val="en-US"/>
        </w:rPr>
        <w:t>5</w:t>
      </w:r>
      <w:r w:rsidR="00DE4214" w:rsidRPr="00DE4214">
        <w:rPr>
          <w:rFonts w:asciiTheme="minorHAnsi" w:eastAsia="Times New Roman" w:hAnsiTheme="minorHAnsi" w:cstheme="minorHAnsi"/>
          <w:color w:val="191A23"/>
          <w:lang w:val="en-US"/>
        </w:rPr>
        <w:t xml:space="preserve"> years’ experience at a senior level working </w:t>
      </w:r>
      <w:r w:rsidR="00DE4214">
        <w:rPr>
          <w:rFonts w:asciiTheme="minorHAnsi" w:eastAsia="Times New Roman" w:hAnsiTheme="minorHAnsi" w:cstheme="minorHAnsi"/>
          <w:color w:val="191A23"/>
          <w:lang w:val="en-US"/>
        </w:rPr>
        <w:t xml:space="preserve">on </w:t>
      </w:r>
      <w:r w:rsidR="00DE4214" w:rsidRPr="00DE4214">
        <w:rPr>
          <w:rFonts w:asciiTheme="minorHAnsi" w:eastAsia="Times New Roman" w:hAnsiTheme="minorHAnsi" w:cstheme="minorHAnsi"/>
          <w:color w:val="191A23"/>
          <w:lang w:val="en-US"/>
        </w:rPr>
        <w:t>strategy development</w:t>
      </w:r>
      <w:r w:rsidR="00DE4214">
        <w:rPr>
          <w:rFonts w:asciiTheme="minorHAnsi" w:eastAsia="Times New Roman" w:hAnsiTheme="minorHAnsi" w:cstheme="minorHAnsi"/>
          <w:color w:val="191A23"/>
          <w:lang w:val="en-US"/>
        </w:rPr>
        <w:t xml:space="preserve"> particularly on supporting the governments in the WASH sector. </w:t>
      </w:r>
      <w:r w:rsidR="00DE4214" w:rsidRPr="00DE4214">
        <w:rPr>
          <w:rFonts w:asciiTheme="minorHAnsi" w:eastAsia="Times New Roman" w:hAnsiTheme="minorHAnsi" w:cstheme="minorHAnsi"/>
          <w:color w:val="191A23"/>
          <w:lang w:val="en-US"/>
        </w:rPr>
        <w:t>Previous experience in developing water safety plan</w:t>
      </w:r>
      <w:r w:rsidR="00DE4214">
        <w:rPr>
          <w:rFonts w:asciiTheme="minorHAnsi" w:eastAsia="Times New Roman" w:hAnsiTheme="minorHAnsi" w:cstheme="minorHAnsi"/>
          <w:color w:val="191A23"/>
          <w:lang w:val="en-US"/>
        </w:rPr>
        <w:t xml:space="preserve">s and strategies </w:t>
      </w:r>
      <w:r w:rsidR="00DE4214" w:rsidRPr="00DE4214">
        <w:rPr>
          <w:rFonts w:asciiTheme="minorHAnsi" w:eastAsia="Times New Roman" w:hAnsiTheme="minorHAnsi" w:cstheme="minorHAnsi"/>
          <w:color w:val="191A23"/>
          <w:lang w:val="en-US"/>
        </w:rPr>
        <w:t>will be an asset</w:t>
      </w:r>
      <w:r w:rsidR="00DE4214">
        <w:rPr>
          <w:rFonts w:asciiTheme="minorHAnsi" w:eastAsia="Times New Roman" w:hAnsiTheme="minorHAnsi" w:cstheme="minorHAnsi"/>
          <w:color w:val="191A23"/>
          <w:lang w:val="en-US"/>
        </w:rPr>
        <w:t>.</w:t>
      </w:r>
    </w:p>
    <w:p w14:paraId="4F662829" w14:textId="77777777" w:rsidR="00701D34" w:rsidRDefault="00701D34" w:rsidP="00BD55ED">
      <w:pPr>
        <w:autoSpaceDE w:val="0"/>
        <w:autoSpaceDN w:val="0"/>
        <w:adjustRightInd w:val="0"/>
        <w:spacing w:line="240" w:lineRule="auto"/>
        <w:jc w:val="both"/>
        <w:rPr>
          <w:rFonts w:asciiTheme="minorHAnsi" w:eastAsia="Times New Roman" w:hAnsiTheme="minorHAnsi" w:cstheme="minorHAnsi"/>
          <w:bCs/>
          <w:iCs/>
        </w:rPr>
      </w:pPr>
      <w:r w:rsidRPr="007A2110">
        <w:rPr>
          <w:rFonts w:asciiTheme="minorHAnsi" w:eastAsia="Times New Roman" w:hAnsiTheme="minorHAnsi" w:cstheme="minorHAnsi"/>
          <w:b/>
          <w:i/>
        </w:rPr>
        <w:t>Competencies:</w:t>
      </w:r>
      <w:r w:rsidRPr="007A2110">
        <w:rPr>
          <w:rFonts w:asciiTheme="minorHAnsi" w:hAnsiTheme="minorHAnsi" w:cstheme="minorHAnsi"/>
        </w:rPr>
        <w:t xml:space="preserve"> </w:t>
      </w:r>
      <w:r>
        <w:rPr>
          <w:rFonts w:asciiTheme="minorHAnsi" w:hAnsiTheme="minorHAnsi" w:cstheme="minorHAnsi"/>
        </w:rPr>
        <w:t xml:space="preserve"> </w:t>
      </w:r>
      <w:r w:rsidRPr="00E10F4F">
        <w:rPr>
          <w:rFonts w:asciiTheme="minorHAnsi" w:eastAsia="Times New Roman" w:hAnsiTheme="minorHAnsi" w:cstheme="minorHAnsi"/>
          <w:bCs/>
          <w:iCs/>
        </w:rPr>
        <w:t>Strong analytical and conceptual thinking. Excellent writing skills. Excellent communication and presentation skills with stakeholders and the ability to work under pressure and commitment to work to a tight timeframe.</w:t>
      </w:r>
    </w:p>
    <w:p w14:paraId="60D385B0" w14:textId="116107E6" w:rsidR="00701D34" w:rsidRPr="008E6EEC" w:rsidRDefault="00701D34" w:rsidP="00BD55ED">
      <w:pPr>
        <w:pStyle w:val="ListBullet"/>
        <w:spacing w:after="0" w:line="240" w:lineRule="auto"/>
        <w:rPr>
          <w:rFonts w:asciiTheme="minorHAnsi" w:eastAsia="Arial" w:hAnsiTheme="minorHAnsi" w:cstheme="minorHAnsi"/>
          <w:szCs w:val="22"/>
        </w:rPr>
      </w:pPr>
      <w:r w:rsidRPr="007A2110">
        <w:rPr>
          <w:rFonts w:asciiTheme="minorHAnsi" w:hAnsiTheme="minorHAnsi" w:cstheme="minorHAnsi"/>
          <w:b/>
          <w:i/>
        </w:rPr>
        <w:t xml:space="preserve">Language: </w:t>
      </w:r>
      <w:r w:rsidRPr="007A2110">
        <w:rPr>
          <w:rFonts w:asciiTheme="minorHAnsi" w:hAnsiTheme="minorHAnsi" w:cstheme="minorHAnsi"/>
        </w:rPr>
        <w:t xml:space="preserve"> </w:t>
      </w:r>
      <w:r>
        <w:rPr>
          <w:rFonts w:asciiTheme="minorHAnsi" w:hAnsiTheme="minorHAnsi" w:cstheme="minorHAnsi"/>
        </w:rPr>
        <w:t>Excellent working knowledge and c</w:t>
      </w:r>
      <w:r w:rsidRPr="007A2110">
        <w:rPr>
          <w:rFonts w:asciiTheme="minorHAnsi" w:hAnsiTheme="minorHAnsi" w:cstheme="minorHAnsi"/>
        </w:rPr>
        <w:t xml:space="preserve">ommunication in </w:t>
      </w:r>
      <w:r w:rsidR="00D60D62">
        <w:rPr>
          <w:rFonts w:asciiTheme="minorHAnsi" w:hAnsiTheme="minorHAnsi" w:cstheme="minorHAnsi"/>
        </w:rPr>
        <w:t>English</w:t>
      </w:r>
      <w:r w:rsidR="00455A90">
        <w:rPr>
          <w:rFonts w:asciiTheme="minorHAnsi" w:hAnsiTheme="minorHAnsi" w:cstheme="minorHAnsi"/>
        </w:rPr>
        <w:t xml:space="preserve"> </w:t>
      </w:r>
      <w:r>
        <w:rPr>
          <w:rFonts w:asciiTheme="minorHAnsi" w:hAnsiTheme="minorHAnsi" w:cstheme="minorHAnsi"/>
        </w:rPr>
        <w:t xml:space="preserve">is required. Knowledge of </w:t>
      </w:r>
      <w:r w:rsidR="00D60D62">
        <w:rPr>
          <w:rFonts w:asciiTheme="minorHAnsi" w:hAnsiTheme="minorHAnsi" w:cstheme="minorHAnsi"/>
        </w:rPr>
        <w:t>Tajik (Farsi) and Russian</w:t>
      </w:r>
      <w:r w:rsidR="00D60D62" w:rsidRPr="007A2110">
        <w:rPr>
          <w:rFonts w:asciiTheme="minorHAnsi" w:hAnsiTheme="minorHAnsi" w:cstheme="minorHAnsi"/>
        </w:rPr>
        <w:t xml:space="preserve"> </w:t>
      </w:r>
      <w:r w:rsidRPr="007A2110">
        <w:rPr>
          <w:rFonts w:asciiTheme="minorHAnsi" w:hAnsiTheme="minorHAnsi" w:cstheme="minorHAnsi"/>
        </w:rPr>
        <w:t>is an asset</w:t>
      </w:r>
      <w:r>
        <w:rPr>
          <w:rFonts w:asciiTheme="minorHAnsi" w:hAnsiTheme="minorHAnsi" w:cstheme="minorHAnsi"/>
        </w:rPr>
        <w:t xml:space="preserve"> and preferable</w:t>
      </w:r>
      <w:r w:rsidR="00455A90">
        <w:rPr>
          <w:rFonts w:asciiTheme="minorHAnsi" w:hAnsiTheme="minorHAnsi" w:cstheme="minorHAnsi"/>
        </w:rPr>
        <w:t>.</w:t>
      </w:r>
    </w:p>
    <w:p w14:paraId="2DBC921F" w14:textId="77777777" w:rsidR="00701D34" w:rsidRPr="008E6EEC" w:rsidRDefault="00701D34" w:rsidP="00701D34">
      <w:pPr>
        <w:spacing w:line="240" w:lineRule="auto"/>
        <w:jc w:val="both"/>
        <w:rPr>
          <w:rFonts w:asciiTheme="minorHAnsi" w:eastAsia="Times New Roman" w:hAnsiTheme="minorHAnsi" w:cstheme="minorHAnsi"/>
          <w:b/>
          <w:color w:val="4472C4" w:themeColor="accent1"/>
        </w:rPr>
      </w:pPr>
    </w:p>
    <w:p w14:paraId="363E794B" w14:textId="77777777" w:rsidR="00701D34" w:rsidRPr="008E6EEC" w:rsidRDefault="00701D34" w:rsidP="00701D34">
      <w:pPr>
        <w:spacing w:line="240" w:lineRule="auto"/>
        <w:jc w:val="both"/>
        <w:rPr>
          <w:rFonts w:asciiTheme="minorHAnsi" w:eastAsia="Times New Roman" w:hAnsiTheme="minorHAnsi" w:cstheme="minorHAnsi"/>
          <w:b/>
          <w:color w:val="4472C4" w:themeColor="accent1"/>
        </w:rPr>
      </w:pPr>
      <w:r>
        <w:rPr>
          <w:rFonts w:asciiTheme="minorHAnsi" w:eastAsia="Times New Roman" w:hAnsiTheme="minorHAnsi" w:cstheme="minorHAnsi"/>
          <w:b/>
          <w:color w:val="4472C4" w:themeColor="accent1"/>
        </w:rPr>
        <w:t>REQUIREMENTS:</w:t>
      </w:r>
    </w:p>
    <w:p w14:paraId="15BFF768" w14:textId="77777777" w:rsidR="00701D34" w:rsidRPr="008E6EEC" w:rsidRDefault="00701D34" w:rsidP="00701D34">
      <w:pPr>
        <w:spacing w:line="240" w:lineRule="auto"/>
        <w:jc w:val="both"/>
        <w:rPr>
          <w:rFonts w:asciiTheme="minorHAnsi" w:hAnsiTheme="minorHAnsi" w:cstheme="minorHAnsi"/>
          <w:b/>
          <w:i/>
        </w:rPr>
      </w:pPr>
    </w:p>
    <w:p w14:paraId="00831D5D" w14:textId="77777777" w:rsidR="00701D34" w:rsidRPr="008E6EEC" w:rsidRDefault="00701D34" w:rsidP="00701D34">
      <w:pPr>
        <w:spacing w:line="240" w:lineRule="auto"/>
        <w:jc w:val="both"/>
        <w:rPr>
          <w:rFonts w:asciiTheme="minorHAnsi" w:hAnsiTheme="minorHAnsi" w:cstheme="minorHAnsi"/>
          <w:b/>
          <w:i/>
        </w:rPr>
      </w:pPr>
      <w:r w:rsidRPr="008E6EEC">
        <w:rPr>
          <w:rFonts w:asciiTheme="minorHAnsi" w:hAnsiTheme="minorHAnsi" w:cstheme="minorHAnsi"/>
          <w:b/>
          <w:i/>
        </w:rPr>
        <w:t>Qualified candidates are requested to submit:</w:t>
      </w:r>
    </w:p>
    <w:p w14:paraId="410A1E53" w14:textId="77777777" w:rsidR="00701D34" w:rsidRPr="008E6EEC" w:rsidRDefault="00701D34" w:rsidP="00701D34">
      <w:pPr>
        <w:numPr>
          <w:ilvl w:val="0"/>
          <w:numId w:val="1"/>
        </w:numPr>
        <w:spacing w:line="240" w:lineRule="auto"/>
        <w:jc w:val="both"/>
        <w:rPr>
          <w:rFonts w:asciiTheme="minorHAnsi" w:hAnsiTheme="minorHAnsi" w:cstheme="minorHAnsi"/>
          <w:u w:val="single"/>
        </w:rPr>
      </w:pPr>
      <w:r w:rsidRPr="008E6EEC">
        <w:rPr>
          <w:rFonts w:asciiTheme="minorHAnsi" w:hAnsiTheme="minorHAnsi" w:cstheme="minorHAnsi"/>
        </w:rPr>
        <w:t>Cover letter/application/CV.</w:t>
      </w:r>
    </w:p>
    <w:p w14:paraId="3C3A3011" w14:textId="77777777" w:rsidR="00701D34" w:rsidRPr="00286EAB" w:rsidRDefault="00701D34" w:rsidP="00701D34">
      <w:pPr>
        <w:numPr>
          <w:ilvl w:val="0"/>
          <w:numId w:val="1"/>
        </w:numPr>
        <w:spacing w:line="240" w:lineRule="auto"/>
        <w:jc w:val="both"/>
        <w:rPr>
          <w:rFonts w:asciiTheme="minorHAnsi" w:hAnsiTheme="minorHAnsi" w:cstheme="minorHAnsi"/>
          <w:u w:val="single"/>
        </w:rPr>
      </w:pPr>
      <w:r w:rsidRPr="008E6EEC">
        <w:rPr>
          <w:rFonts w:asciiTheme="minorHAnsi" w:hAnsiTheme="minorHAnsi" w:cstheme="minorHAnsi"/>
        </w:rPr>
        <w:t>A technical proposal with the proposed methodology/approach to managing the project, showing understanding of tasks</w:t>
      </w:r>
      <w:r>
        <w:rPr>
          <w:rFonts w:asciiTheme="minorHAnsi" w:hAnsiTheme="minorHAnsi" w:cstheme="minorHAnsi"/>
        </w:rPr>
        <w:t>.</w:t>
      </w:r>
    </w:p>
    <w:p w14:paraId="1F52E048" w14:textId="77777777" w:rsidR="00701D34" w:rsidRPr="008E6EEC" w:rsidRDefault="00701D34" w:rsidP="00701D34">
      <w:pPr>
        <w:numPr>
          <w:ilvl w:val="0"/>
          <w:numId w:val="1"/>
        </w:numPr>
        <w:spacing w:line="240" w:lineRule="auto"/>
        <w:jc w:val="both"/>
        <w:rPr>
          <w:rFonts w:asciiTheme="minorHAnsi" w:hAnsiTheme="minorHAnsi" w:cstheme="minorHAnsi"/>
          <w:u w:val="single"/>
        </w:rPr>
      </w:pPr>
      <w:r>
        <w:rPr>
          <w:rFonts w:asciiTheme="minorHAnsi" w:hAnsiTheme="minorHAnsi" w:cstheme="minorHAnsi"/>
        </w:rPr>
        <w:t>Work plan.</w:t>
      </w:r>
    </w:p>
    <w:p w14:paraId="4972F768" w14:textId="0332FFC4" w:rsidR="00701D34" w:rsidRPr="008E6EEC" w:rsidRDefault="00701D34" w:rsidP="00701D34">
      <w:pPr>
        <w:numPr>
          <w:ilvl w:val="0"/>
          <w:numId w:val="1"/>
        </w:numPr>
        <w:spacing w:line="240" w:lineRule="auto"/>
        <w:jc w:val="both"/>
        <w:rPr>
          <w:rFonts w:asciiTheme="minorHAnsi" w:hAnsiTheme="minorHAnsi" w:cstheme="minorHAnsi"/>
          <w:u w:val="single"/>
        </w:rPr>
      </w:pPr>
      <w:r w:rsidRPr="00917172">
        <w:rPr>
          <w:rFonts w:asciiTheme="minorHAnsi" w:hAnsiTheme="minorHAnsi" w:cstheme="minorHAnsi"/>
        </w:rPr>
        <w:t xml:space="preserve">Financial quote for the consultancy in </w:t>
      </w:r>
      <w:r w:rsidR="00D60D62">
        <w:rPr>
          <w:rFonts w:asciiTheme="minorHAnsi" w:hAnsiTheme="minorHAnsi" w:cstheme="minorHAnsi"/>
        </w:rPr>
        <w:t>USD</w:t>
      </w:r>
      <w:r>
        <w:rPr>
          <w:rFonts w:asciiTheme="minorHAnsi" w:hAnsiTheme="minorHAnsi" w:cstheme="minorHAnsi"/>
        </w:rPr>
        <w:t xml:space="preserve"> </w:t>
      </w:r>
      <w:r w:rsidRPr="00917172">
        <w:rPr>
          <w:rFonts w:asciiTheme="minorHAnsi" w:hAnsiTheme="minorHAnsi" w:cstheme="minorHAnsi"/>
        </w:rPr>
        <w:t xml:space="preserve">per deliverable, stating also the timeframe for completion of deliverable and/or daily rate in </w:t>
      </w:r>
      <w:r w:rsidR="00D60D62">
        <w:rPr>
          <w:rFonts w:asciiTheme="minorHAnsi" w:hAnsiTheme="minorHAnsi" w:cstheme="minorHAnsi"/>
        </w:rPr>
        <w:t>USD</w:t>
      </w:r>
    </w:p>
    <w:p w14:paraId="5A8A3509" w14:textId="77777777" w:rsidR="00701D34" w:rsidRPr="008E6EEC" w:rsidRDefault="00701D34" w:rsidP="00701D34">
      <w:pPr>
        <w:numPr>
          <w:ilvl w:val="0"/>
          <w:numId w:val="1"/>
        </w:numPr>
        <w:spacing w:line="240" w:lineRule="auto"/>
        <w:jc w:val="both"/>
        <w:rPr>
          <w:rFonts w:asciiTheme="minorHAnsi" w:hAnsiTheme="minorHAnsi" w:cstheme="minorHAnsi"/>
        </w:rPr>
      </w:pPr>
      <w:r w:rsidRPr="008E6EEC">
        <w:rPr>
          <w:rFonts w:asciiTheme="minorHAnsi" w:hAnsiTheme="minorHAnsi" w:cstheme="minorHAnsi"/>
        </w:rPr>
        <w:t>Examples of previous, relevant work related to the deliverables.</w:t>
      </w:r>
    </w:p>
    <w:p w14:paraId="03217576" w14:textId="77777777" w:rsidR="00701D34" w:rsidRPr="008E6EEC" w:rsidRDefault="00701D34" w:rsidP="00701D34">
      <w:pPr>
        <w:numPr>
          <w:ilvl w:val="0"/>
          <w:numId w:val="1"/>
        </w:numPr>
        <w:spacing w:line="240" w:lineRule="auto"/>
        <w:jc w:val="both"/>
        <w:rPr>
          <w:rFonts w:asciiTheme="minorHAnsi" w:hAnsiTheme="minorHAnsi" w:cstheme="minorHAnsi"/>
        </w:rPr>
      </w:pPr>
      <w:r w:rsidRPr="008E6EEC">
        <w:rPr>
          <w:rFonts w:asciiTheme="minorHAnsi" w:hAnsiTheme="minorHAnsi" w:cstheme="minorHAnsi"/>
        </w:rPr>
        <w:t>At least two references</w:t>
      </w:r>
    </w:p>
    <w:p w14:paraId="35A3E584" w14:textId="77777777" w:rsidR="00701D34" w:rsidRPr="008E6EEC" w:rsidRDefault="00701D34" w:rsidP="00701D34">
      <w:pPr>
        <w:shd w:val="clear" w:color="auto" w:fill="FFFFFF" w:themeFill="background1"/>
        <w:contextualSpacing/>
        <w:jc w:val="both"/>
        <w:rPr>
          <w:rFonts w:asciiTheme="minorHAnsi" w:eastAsiaTheme="minorEastAsia" w:hAnsiTheme="minorHAnsi" w:cstheme="minorHAnsi"/>
        </w:rPr>
      </w:pPr>
    </w:p>
    <w:p w14:paraId="6BA8D4E4" w14:textId="00991EAF" w:rsidR="00701D34" w:rsidRPr="008E6EEC" w:rsidRDefault="00701D34" w:rsidP="00701D34">
      <w:pPr>
        <w:pStyle w:val="NormalWeb"/>
        <w:jc w:val="both"/>
        <w:rPr>
          <w:rFonts w:asciiTheme="minorHAnsi" w:eastAsia="Arial" w:hAnsiTheme="minorHAnsi" w:cstheme="minorHAnsi"/>
          <w:color w:val="000000"/>
          <w:sz w:val="22"/>
          <w:szCs w:val="22"/>
          <w:lang w:eastAsia="en-US"/>
        </w:rPr>
      </w:pPr>
      <w:r w:rsidRPr="006C4E8C">
        <w:rPr>
          <w:rFonts w:ascii="Calibri" w:eastAsia="Arial" w:hAnsi="Calibri" w:cs="Calibri"/>
          <w:color w:val="000000"/>
          <w:sz w:val="22"/>
          <w:szCs w:val="22"/>
          <w:lang w:eastAsia="en-US"/>
        </w:rPr>
        <w:t xml:space="preserve">Queries can be sent to: </w:t>
      </w:r>
      <w:hyperlink r:id="rId9" w:history="1">
        <w:r w:rsidR="0066600C" w:rsidRPr="00682127">
          <w:rPr>
            <w:rStyle w:val="Hyperlink"/>
            <w:rFonts w:asciiTheme="minorHAnsi" w:hAnsiTheme="minorHAnsi" w:cstheme="minorHAnsi"/>
            <w:sz w:val="22"/>
            <w:szCs w:val="22"/>
          </w:rPr>
          <w:t>tad-procurement@unicef.org</w:t>
        </w:r>
      </w:hyperlink>
      <w:r w:rsidR="0066600C">
        <w:rPr>
          <w:rFonts w:asciiTheme="minorHAnsi" w:hAnsiTheme="minorHAnsi" w:cstheme="minorHAnsi"/>
          <w:sz w:val="22"/>
          <w:szCs w:val="22"/>
        </w:rPr>
        <w:t xml:space="preserve"> </w:t>
      </w:r>
      <w:r w:rsidRPr="006C4E8C">
        <w:rPr>
          <w:rFonts w:ascii="Calibri" w:eastAsia="Arial" w:hAnsi="Calibri" w:cs="Calibri"/>
          <w:color w:val="000000"/>
          <w:sz w:val="22"/>
          <w:szCs w:val="22"/>
          <w:lang w:eastAsia="en-US"/>
        </w:rPr>
        <w:t xml:space="preserve">with subject line </w:t>
      </w:r>
      <w:r w:rsidRPr="00066535">
        <w:rPr>
          <w:rFonts w:ascii="Calibri" w:eastAsia="Arial" w:hAnsi="Calibri" w:cs="Calibri"/>
          <w:b/>
          <w:bCs/>
          <w:color w:val="000000"/>
          <w:sz w:val="18"/>
          <w:szCs w:val="18"/>
          <w:lang w:eastAsia="en-US"/>
        </w:rPr>
        <w:t>“</w:t>
      </w:r>
      <w:r w:rsidR="00DE4214" w:rsidRPr="00066535">
        <w:rPr>
          <w:rFonts w:ascii="Calibri" w:hAnsi="Calibri" w:cs="Calibri"/>
          <w:b/>
          <w:bCs/>
          <w:sz w:val="22"/>
          <w:szCs w:val="22"/>
        </w:rPr>
        <w:t xml:space="preserve">Consultancy to provide technical assistance to the Ministry of Health and Social Protection of the population of Tajikistan (MoHSPP) </w:t>
      </w:r>
      <w:r w:rsidR="00DE4214" w:rsidRPr="00066535">
        <w:rPr>
          <w:rFonts w:asciiTheme="minorHAnsi" w:hAnsiTheme="minorHAnsi" w:cstheme="minorHAnsi"/>
          <w:b/>
          <w:bCs/>
          <w:sz w:val="22"/>
          <w:szCs w:val="22"/>
        </w:rPr>
        <w:t xml:space="preserve">on the </w:t>
      </w:r>
      <w:r w:rsidR="00DE4214" w:rsidRPr="00066535">
        <w:rPr>
          <w:rFonts w:ascii="Calibri" w:hAnsi="Calibri" w:cs="Calibri"/>
          <w:b/>
          <w:bCs/>
          <w:sz w:val="22"/>
          <w:szCs w:val="22"/>
        </w:rPr>
        <w:t>development of National Water Safety Strategy, Tajikistan</w:t>
      </w:r>
      <w:r w:rsidRPr="00066535">
        <w:rPr>
          <w:rFonts w:ascii="Calibri" w:eastAsia="Arial" w:hAnsi="Calibri" w:cs="Calibri"/>
          <w:b/>
          <w:bCs/>
          <w:color w:val="000000"/>
          <w:sz w:val="18"/>
          <w:szCs w:val="18"/>
          <w:lang w:eastAsia="en-US"/>
        </w:rPr>
        <w:t>”</w:t>
      </w:r>
      <w:r w:rsidRPr="00066535" w:rsidDel="000F2F96">
        <w:rPr>
          <w:rFonts w:ascii="Calibri" w:eastAsia="Arial" w:hAnsi="Calibri" w:cs="Calibri"/>
          <w:b/>
          <w:bCs/>
          <w:color w:val="000000"/>
          <w:sz w:val="18"/>
          <w:szCs w:val="18"/>
          <w:lang w:eastAsia="en-US"/>
        </w:rPr>
        <w:t xml:space="preserve"> </w:t>
      </w:r>
      <w:r w:rsidRPr="006C4E8C">
        <w:rPr>
          <w:rFonts w:ascii="Calibri" w:eastAsia="Arial" w:hAnsi="Calibri" w:cs="Calibri"/>
          <w:color w:val="000000"/>
          <w:sz w:val="22"/>
          <w:szCs w:val="22"/>
          <w:lang w:eastAsia="en-US"/>
        </w:rPr>
        <w:t xml:space="preserve">Applications must be received in the system by </w:t>
      </w:r>
      <w:r w:rsidR="0066600C" w:rsidRPr="0066600C">
        <w:rPr>
          <w:rFonts w:ascii="Calibri" w:eastAsia="Arial" w:hAnsi="Calibri" w:cs="Calibri"/>
          <w:b/>
          <w:bCs/>
          <w:color w:val="000000"/>
          <w:sz w:val="22"/>
          <w:szCs w:val="22"/>
          <w:lang w:eastAsia="en-US"/>
        </w:rPr>
        <w:t xml:space="preserve">August 23, </w:t>
      </w:r>
      <w:r w:rsidRPr="006C4E8C">
        <w:rPr>
          <w:rFonts w:ascii="Calibri" w:eastAsia="Arial" w:hAnsi="Calibri" w:cs="Calibri"/>
          <w:b/>
          <w:color w:val="000000"/>
          <w:sz w:val="22"/>
          <w:szCs w:val="22"/>
          <w:lang w:eastAsia="en-US"/>
        </w:rPr>
        <w:t>2021</w:t>
      </w:r>
      <w:r w:rsidRPr="006C4E8C">
        <w:rPr>
          <w:rFonts w:ascii="Calibri" w:eastAsia="Arial" w:hAnsi="Calibri" w:cs="Calibri"/>
          <w:color w:val="000000"/>
          <w:sz w:val="22"/>
          <w:szCs w:val="22"/>
          <w:lang w:eastAsia="en-US"/>
        </w:rPr>
        <w:t xml:space="preserve"> at our website: </w:t>
      </w:r>
      <w:hyperlink r:id="rId10" w:history="1">
        <w:r w:rsidRPr="006C4E8C">
          <w:rPr>
            <w:rFonts w:ascii="Calibri" w:eastAsia="Arial" w:hAnsi="Calibri" w:cs="Calibri"/>
            <w:color w:val="0000FF"/>
            <w:sz w:val="22"/>
            <w:szCs w:val="22"/>
            <w:u w:val="single"/>
            <w:lang w:val="en-US" w:eastAsia="en-US"/>
          </w:rPr>
          <w:t>http://www.unicef.org/about/employ/index.php</w:t>
        </w:r>
      </w:hyperlink>
      <w:r w:rsidRPr="008E6EEC">
        <w:rPr>
          <w:rFonts w:asciiTheme="minorHAnsi" w:eastAsia="Arial" w:hAnsiTheme="minorHAnsi" w:cstheme="minorHAnsi"/>
          <w:color w:val="000000"/>
          <w:sz w:val="22"/>
          <w:szCs w:val="22"/>
          <w:lang w:eastAsia="en-US"/>
        </w:rPr>
        <w:t xml:space="preserve"> </w:t>
      </w:r>
    </w:p>
    <w:p w14:paraId="46FC1ACD" w14:textId="77777777" w:rsidR="00701D34" w:rsidRPr="008E6EEC" w:rsidRDefault="00701D34" w:rsidP="00701D34">
      <w:pPr>
        <w:pStyle w:val="Default"/>
        <w:jc w:val="both"/>
        <w:rPr>
          <w:rFonts w:asciiTheme="minorHAnsi" w:hAnsiTheme="minorHAnsi" w:cstheme="minorHAnsi"/>
          <w:sz w:val="22"/>
          <w:szCs w:val="22"/>
        </w:rPr>
      </w:pPr>
    </w:p>
    <w:p w14:paraId="553A39E6" w14:textId="0AF31BF2" w:rsidR="00701D34" w:rsidRPr="00BD55ED" w:rsidRDefault="00701D34" w:rsidP="00701D34">
      <w:pPr>
        <w:pStyle w:val="Default"/>
        <w:jc w:val="both"/>
        <w:rPr>
          <w:rFonts w:asciiTheme="minorHAnsi" w:hAnsiTheme="minorHAnsi" w:cstheme="minorHAnsi"/>
          <w:sz w:val="22"/>
          <w:szCs w:val="22"/>
        </w:rPr>
      </w:pPr>
      <w:r w:rsidRPr="000D3A0F">
        <w:rPr>
          <w:rFonts w:asciiTheme="minorHAnsi" w:hAnsiTheme="minorHAnsi" w:cstheme="minorHAnsi"/>
          <w:sz w:val="22"/>
          <w:szCs w:val="22"/>
        </w:rPr>
        <w:t>Travel costs and DSA will be covered in accordance with UN rules and regulations. No other remunerations apply. As a general principle, the fees payable to a consultant or individual contractor follow the “best value for money” principle,</w:t>
      </w:r>
      <w:r w:rsidRPr="000D3A0F">
        <w:rPr>
          <w:rFonts w:asciiTheme="minorHAnsi" w:eastAsia="Arial" w:hAnsiTheme="minorHAnsi" w:cstheme="minorHAnsi"/>
          <w:sz w:val="22"/>
          <w:szCs w:val="22"/>
          <w:lang w:val="en-GB"/>
        </w:rPr>
        <w:t xml:space="preserve"> i.e., achieving the desired outcome at the lowest possible cost.</w:t>
      </w:r>
      <w:r w:rsidRPr="000D3A0F">
        <w:rPr>
          <w:rFonts w:asciiTheme="minorHAnsi" w:hAnsiTheme="minorHAnsi" w:cstheme="minorHAnsi"/>
          <w:sz w:val="22"/>
          <w:szCs w:val="22"/>
        </w:rPr>
        <w:t xml:space="preserve"> Please note that consultants and individual contractors are responsible for assuming costs for obtaining visas and travel insurance.</w:t>
      </w:r>
    </w:p>
    <w:p w14:paraId="35CC16CE" w14:textId="77777777" w:rsidR="00701D34" w:rsidRDefault="00701D34" w:rsidP="00701D34">
      <w:pPr>
        <w:pStyle w:val="NormalWeb"/>
        <w:spacing w:line="288" w:lineRule="auto"/>
        <w:jc w:val="both"/>
        <w:rPr>
          <w:rFonts w:asciiTheme="minorHAnsi" w:eastAsia="Arial" w:hAnsiTheme="minorHAnsi" w:cstheme="minorHAnsi"/>
          <w:color w:val="000000"/>
          <w:sz w:val="22"/>
          <w:szCs w:val="22"/>
          <w:lang w:eastAsia="en-US"/>
        </w:rPr>
      </w:pPr>
    </w:p>
    <w:p w14:paraId="7193A60A" w14:textId="77777777" w:rsidR="00701D34" w:rsidRDefault="00701D34" w:rsidP="00701D34">
      <w:pPr>
        <w:pStyle w:val="NormalWeb"/>
        <w:spacing w:line="288" w:lineRule="auto"/>
        <w:jc w:val="both"/>
        <w:rPr>
          <w:rFonts w:asciiTheme="minorHAnsi" w:hAnsiTheme="minorHAnsi" w:cstheme="minorHAnsi"/>
          <w:b/>
          <w:color w:val="4472C4" w:themeColor="accent1"/>
          <w:sz w:val="22"/>
          <w:szCs w:val="22"/>
        </w:rPr>
      </w:pPr>
      <w:r w:rsidRPr="005874C8">
        <w:rPr>
          <w:rFonts w:asciiTheme="minorHAnsi" w:hAnsiTheme="minorHAnsi" w:cstheme="minorHAnsi"/>
          <w:b/>
          <w:color w:val="4472C4" w:themeColor="accent1"/>
          <w:sz w:val="22"/>
          <w:szCs w:val="22"/>
        </w:rPr>
        <w:t>EVALUATION PROCESS AND METHODS</w:t>
      </w:r>
      <w:r w:rsidRPr="008E6EEC">
        <w:rPr>
          <w:rFonts w:asciiTheme="minorHAnsi" w:hAnsiTheme="minorHAnsi" w:cstheme="minorHAnsi"/>
          <w:b/>
          <w:color w:val="4472C4" w:themeColor="accent1"/>
          <w:sz w:val="22"/>
          <w:szCs w:val="22"/>
        </w:rPr>
        <w:t>:</w:t>
      </w:r>
    </w:p>
    <w:p w14:paraId="4855B93B"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Individual consultants</w:t>
      </w:r>
      <w:r>
        <w:rPr>
          <w:rFonts w:asciiTheme="minorHAnsi" w:eastAsia="Times" w:hAnsiTheme="minorHAnsi" w:cstheme="minorHAnsi"/>
          <w:lang w:eastAsia="en-GB"/>
        </w:rPr>
        <w:t>/contractors</w:t>
      </w:r>
      <w:r w:rsidRPr="008E6EEC">
        <w:rPr>
          <w:rFonts w:asciiTheme="minorHAnsi" w:eastAsia="Times" w:hAnsiTheme="minorHAnsi" w:cstheme="minorHAnsi"/>
          <w:lang w:eastAsia="en-GB"/>
        </w:rPr>
        <w:t xml:space="preserve"> will be evaluated based on a cumulative analysis methodology. The award of the Contract shall be made to the individual consultant whose offer has been evaluated and determined as:</w:t>
      </w:r>
    </w:p>
    <w:p w14:paraId="1BAFDFFB"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p>
    <w:p w14:paraId="453067F7"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a) responsive/compliant/acceptable, and</w:t>
      </w:r>
    </w:p>
    <w:p w14:paraId="6D114904" w14:textId="77777777" w:rsidR="00701D34" w:rsidRDefault="00701D34" w:rsidP="00701D34">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 xml:space="preserve">b) </w:t>
      </w:r>
      <w:r>
        <w:rPr>
          <w:rFonts w:asciiTheme="minorHAnsi" w:eastAsia="Times" w:hAnsiTheme="minorHAnsi" w:cstheme="minorHAnsi"/>
          <w:lang w:eastAsia="en-GB"/>
        </w:rPr>
        <w:t>h</w:t>
      </w:r>
      <w:r w:rsidRPr="008E6EEC">
        <w:rPr>
          <w:rFonts w:asciiTheme="minorHAnsi" w:eastAsia="Times" w:hAnsiTheme="minorHAnsi" w:cstheme="minorHAnsi"/>
          <w:lang w:eastAsia="en-GB"/>
        </w:rPr>
        <w:t>aving received the highest score out of a weighted set of technical and financial criteria.</w:t>
      </w:r>
    </w:p>
    <w:p w14:paraId="4B2B19EF" w14:textId="77777777" w:rsidR="00701D34" w:rsidRDefault="00701D34" w:rsidP="00701D34">
      <w:pPr>
        <w:autoSpaceDE w:val="0"/>
        <w:autoSpaceDN w:val="0"/>
        <w:spacing w:line="260" w:lineRule="exact"/>
        <w:jc w:val="both"/>
        <w:rPr>
          <w:rFonts w:asciiTheme="minorHAnsi" w:eastAsia="Times" w:hAnsiTheme="minorHAnsi" w:cstheme="minorHAnsi"/>
          <w:lang w:eastAsia="en-GB"/>
        </w:rPr>
      </w:pPr>
    </w:p>
    <w:p w14:paraId="4F8ECCDA" w14:textId="77777777" w:rsidR="00701D34" w:rsidRPr="008E6EEC" w:rsidRDefault="00701D34" w:rsidP="00701D34">
      <w:pPr>
        <w:autoSpaceDE w:val="0"/>
        <w:autoSpaceDN w:val="0"/>
        <w:spacing w:line="260" w:lineRule="exact"/>
        <w:jc w:val="both"/>
        <w:rPr>
          <w:rFonts w:asciiTheme="minorHAnsi" w:eastAsia="Times" w:hAnsiTheme="minorHAnsi" w:cstheme="minorHAnsi"/>
          <w:lang w:eastAsia="en-GB"/>
        </w:rPr>
      </w:pPr>
      <w:r w:rsidRPr="00382450">
        <w:rPr>
          <w:rFonts w:asciiTheme="minorHAnsi" w:eastAsia="Times" w:hAnsiTheme="minorHAnsi" w:cstheme="minorHAnsi"/>
          <w:lang w:eastAsia="en-GB"/>
        </w:rPr>
        <w:t>During the selection, the ratio between the technical evaluation and commercial offer is 70 to 30.</w:t>
      </w:r>
    </w:p>
    <w:p w14:paraId="345597AB" w14:textId="77777777" w:rsidR="00701D34" w:rsidRPr="008E6EEC" w:rsidRDefault="00701D34" w:rsidP="00701D34">
      <w:pPr>
        <w:autoSpaceDE w:val="0"/>
        <w:autoSpaceDN w:val="0"/>
        <w:spacing w:line="260" w:lineRule="exact"/>
        <w:ind w:left="708"/>
        <w:jc w:val="both"/>
        <w:rPr>
          <w:rFonts w:asciiTheme="minorHAnsi" w:eastAsia="Times" w:hAnsiTheme="minorHAnsi" w:cstheme="minorHAnsi"/>
          <w:lang w:eastAsia="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5"/>
        <w:gridCol w:w="1170"/>
        <w:gridCol w:w="2070"/>
      </w:tblGrid>
      <w:tr w:rsidR="00701D34" w:rsidRPr="00BD55ED" w14:paraId="1613FB09" w14:textId="77777777" w:rsidTr="004A1333">
        <w:trPr>
          <w:trHeight w:val="342"/>
        </w:trPr>
        <w:tc>
          <w:tcPr>
            <w:tcW w:w="6655" w:type="dxa"/>
            <w:tcMar>
              <w:top w:w="0" w:type="dxa"/>
              <w:left w:w="108" w:type="dxa"/>
              <w:bottom w:w="0" w:type="dxa"/>
              <w:right w:w="108" w:type="dxa"/>
            </w:tcMar>
            <w:vAlign w:val="center"/>
            <w:hideMark/>
          </w:tcPr>
          <w:p w14:paraId="52A8581B" w14:textId="77777777" w:rsidR="00701D34" w:rsidRPr="00BD55ED" w:rsidRDefault="00701D34" w:rsidP="004A1333">
            <w:pPr>
              <w:spacing w:line="260" w:lineRule="exact"/>
              <w:jc w:val="center"/>
              <w:rPr>
                <w:rFonts w:asciiTheme="minorHAnsi" w:eastAsia="Times" w:hAnsiTheme="minorHAnsi" w:cstheme="minorHAnsi"/>
                <w:b/>
                <w:bCs/>
                <w:i/>
                <w:iCs/>
                <w:color w:val="auto"/>
                <w:lang w:val="en-US" w:eastAsia="ru-RU"/>
              </w:rPr>
            </w:pPr>
            <w:r w:rsidRPr="00BD55ED">
              <w:rPr>
                <w:rFonts w:asciiTheme="minorHAnsi" w:eastAsia="Times" w:hAnsiTheme="minorHAnsi" w:cstheme="minorHAnsi"/>
                <w:b/>
                <w:bCs/>
                <w:i/>
                <w:iCs/>
                <w:lang w:val="en-US" w:eastAsia="ru-RU"/>
              </w:rPr>
              <w:t>Criteria</w:t>
            </w:r>
          </w:p>
        </w:tc>
        <w:tc>
          <w:tcPr>
            <w:tcW w:w="1170" w:type="dxa"/>
            <w:tcMar>
              <w:top w:w="0" w:type="dxa"/>
              <w:left w:w="108" w:type="dxa"/>
              <w:bottom w:w="0" w:type="dxa"/>
              <w:right w:w="108" w:type="dxa"/>
            </w:tcMar>
            <w:vAlign w:val="center"/>
            <w:hideMark/>
          </w:tcPr>
          <w:p w14:paraId="1F48ED9C" w14:textId="77777777" w:rsidR="00701D34" w:rsidRPr="00BD55ED" w:rsidRDefault="00701D34" w:rsidP="004A1333">
            <w:pPr>
              <w:spacing w:line="260" w:lineRule="exact"/>
              <w:jc w:val="center"/>
              <w:rPr>
                <w:rFonts w:asciiTheme="minorHAnsi" w:eastAsia="Times" w:hAnsiTheme="minorHAnsi" w:cstheme="minorHAnsi"/>
                <w:b/>
                <w:bCs/>
                <w:i/>
                <w:iCs/>
                <w:lang w:val="en-US" w:eastAsia="ru-RU"/>
              </w:rPr>
            </w:pPr>
            <w:r w:rsidRPr="00BD55ED">
              <w:rPr>
                <w:rFonts w:asciiTheme="minorHAnsi" w:eastAsia="Times" w:hAnsiTheme="minorHAnsi" w:cstheme="minorHAnsi"/>
                <w:b/>
                <w:bCs/>
                <w:i/>
                <w:iCs/>
                <w:lang w:val="ru-RU" w:eastAsia="ru-RU"/>
              </w:rPr>
              <w:t>Weigh</w:t>
            </w:r>
            <w:r w:rsidRPr="00BD55ED">
              <w:rPr>
                <w:rFonts w:asciiTheme="minorHAnsi" w:eastAsia="Times" w:hAnsiTheme="minorHAnsi" w:cstheme="minorHAnsi"/>
                <w:b/>
                <w:bCs/>
                <w:i/>
                <w:iCs/>
                <w:lang w:val="en-US" w:eastAsia="ru-RU"/>
              </w:rPr>
              <w:t>t</w:t>
            </w:r>
          </w:p>
        </w:tc>
        <w:tc>
          <w:tcPr>
            <w:tcW w:w="2070" w:type="dxa"/>
            <w:tcMar>
              <w:top w:w="0" w:type="dxa"/>
              <w:left w:w="108" w:type="dxa"/>
              <w:bottom w:w="0" w:type="dxa"/>
              <w:right w:w="108" w:type="dxa"/>
            </w:tcMar>
            <w:hideMark/>
          </w:tcPr>
          <w:p w14:paraId="4BD03F6E" w14:textId="77777777" w:rsidR="00701D34" w:rsidRPr="00BD55ED" w:rsidRDefault="00701D34" w:rsidP="004A1333">
            <w:pPr>
              <w:spacing w:line="260" w:lineRule="exact"/>
              <w:jc w:val="center"/>
              <w:rPr>
                <w:rFonts w:asciiTheme="minorHAnsi" w:eastAsia="Times" w:hAnsiTheme="minorHAnsi" w:cstheme="minorHAnsi"/>
                <w:b/>
                <w:bCs/>
                <w:i/>
                <w:iCs/>
                <w:lang w:val="en-US" w:eastAsia="ru-RU"/>
              </w:rPr>
            </w:pPr>
            <w:r w:rsidRPr="00BD55ED">
              <w:rPr>
                <w:rFonts w:asciiTheme="minorHAnsi" w:eastAsia="Times" w:hAnsiTheme="minorHAnsi" w:cstheme="minorHAnsi"/>
                <w:b/>
                <w:bCs/>
                <w:i/>
                <w:iCs/>
                <w:lang w:val="en-US" w:eastAsia="ru-RU"/>
              </w:rPr>
              <w:t>Max. Point</w:t>
            </w:r>
          </w:p>
          <w:p w14:paraId="0F1E3CED" w14:textId="77777777" w:rsidR="00701D34" w:rsidRPr="00BD55ED" w:rsidRDefault="00701D34" w:rsidP="004A1333">
            <w:pPr>
              <w:spacing w:line="260" w:lineRule="exact"/>
              <w:jc w:val="center"/>
              <w:rPr>
                <w:rFonts w:asciiTheme="minorHAnsi" w:eastAsia="Times" w:hAnsiTheme="minorHAnsi" w:cstheme="minorHAnsi"/>
                <w:b/>
                <w:bCs/>
                <w:i/>
                <w:iCs/>
                <w:lang w:val="en-US" w:eastAsia="ru-RU"/>
              </w:rPr>
            </w:pPr>
          </w:p>
        </w:tc>
      </w:tr>
      <w:tr w:rsidR="00701D34" w:rsidRPr="00BD55ED" w14:paraId="445B76A5" w14:textId="77777777" w:rsidTr="004A1333">
        <w:trPr>
          <w:trHeight w:val="377"/>
        </w:trPr>
        <w:tc>
          <w:tcPr>
            <w:tcW w:w="6655" w:type="dxa"/>
            <w:shd w:val="clear" w:color="auto" w:fill="C6D9F1"/>
            <w:tcMar>
              <w:top w:w="0" w:type="dxa"/>
              <w:left w:w="108" w:type="dxa"/>
              <w:bottom w:w="0" w:type="dxa"/>
              <w:right w:w="108" w:type="dxa"/>
            </w:tcMar>
            <w:vAlign w:val="center"/>
            <w:hideMark/>
          </w:tcPr>
          <w:p w14:paraId="17923ED2" w14:textId="77777777" w:rsidR="00701D34" w:rsidRPr="00BD55ED" w:rsidRDefault="00701D34" w:rsidP="004A1333">
            <w:pPr>
              <w:spacing w:line="260" w:lineRule="exact"/>
              <w:rPr>
                <w:rFonts w:asciiTheme="minorHAnsi" w:eastAsia="Times" w:hAnsiTheme="minorHAnsi" w:cstheme="minorHAnsi"/>
                <w:b/>
                <w:bCs/>
                <w:i/>
                <w:iCs/>
                <w:lang w:val="en-US" w:eastAsia="ru-RU"/>
              </w:rPr>
            </w:pPr>
            <w:r w:rsidRPr="00BD55ED">
              <w:rPr>
                <w:rFonts w:asciiTheme="minorHAnsi" w:eastAsia="Times" w:hAnsiTheme="minorHAnsi" w:cstheme="minorHAnsi"/>
                <w:b/>
                <w:bCs/>
                <w:i/>
                <w:iCs/>
                <w:lang w:val="en-US" w:eastAsia="ru-RU"/>
              </w:rPr>
              <w:t>TECHNICAL QUALIFICATION (max. 70 points)</w:t>
            </w:r>
          </w:p>
        </w:tc>
        <w:tc>
          <w:tcPr>
            <w:tcW w:w="1170" w:type="dxa"/>
            <w:shd w:val="clear" w:color="auto" w:fill="C6D9F1"/>
            <w:tcMar>
              <w:top w:w="0" w:type="dxa"/>
              <w:left w:w="108" w:type="dxa"/>
              <w:bottom w:w="0" w:type="dxa"/>
              <w:right w:w="108" w:type="dxa"/>
            </w:tcMar>
            <w:vAlign w:val="center"/>
            <w:hideMark/>
          </w:tcPr>
          <w:p w14:paraId="6080BAC1" w14:textId="77777777" w:rsidR="00701D34" w:rsidRPr="00BD55ED" w:rsidRDefault="00701D34" w:rsidP="004A1333">
            <w:pPr>
              <w:spacing w:line="260" w:lineRule="exact"/>
              <w:jc w:val="center"/>
              <w:rPr>
                <w:rFonts w:asciiTheme="minorHAnsi" w:eastAsia="Times" w:hAnsiTheme="minorHAnsi" w:cstheme="minorHAnsi"/>
                <w:b/>
                <w:bCs/>
                <w:i/>
                <w:iCs/>
                <w:lang w:val="en-US" w:eastAsia="ru-RU"/>
              </w:rPr>
            </w:pPr>
            <w:r w:rsidRPr="00BD55ED">
              <w:rPr>
                <w:rFonts w:asciiTheme="minorHAnsi" w:eastAsia="Times" w:hAnsiTheme="minorHAnsi" w:cstheme="minorHAnsi"/>
                <w:b/>
                <w:bCs/>
                <w:i/>
                <w:iCs/>
                <w:lang w:val="en-US" w:eastAsia="ru-RU"/>
              </w:rPr>
              <w:t>70%</w:t>
            </w:r>
          </w:p>
        </w:tc>
        <w:tc>
          <w:tcPr>
            <w:tcW w:w="2070" w:type="dxa"/>
            <w:shd w:val="clear" w:color="auto" w:fill="C6D9F1"/>
            <w:tcMar>
              <w:top w:w="0" w:type="dxa"/>
              <w:left w:w="108" w:type="dxa"/>
              <w:bottom w:w="0" w:type="dxa"/>
              <w:right w:w="108" w:type="dxa"/>
            </w:tcMar>
            <w:vAlign w:val="center"/>
            <w:hideMark/>
          </w:tcPr>
          <w:p w14:paraId="45896E5B" w14:textId="77777777" w:rsidR="00701D34" w:rsidRPr="00BD55ED" w:rsidRDefault="00701D34" w:rsidP="004A1333">
            <w:pPr>
              <w:spacing w:line="260" w:lineRule="exact"/>
              <w:jc w:val="center"/>
              <w:rPr>
                <w:rFonts w:asciiTheme="minorHAnsi" w:eastAsia="Times" w:hAnsiTheme="minorHAnsi" w:cstheme="minorHAnsi"/>
                <w:b/>
                <w:bCs/>
                <w:i/>
                <w:iCs/>
                <w:lang w:val="en-US" w:eastAsia="ru-RU"/>
              </w:rPr>
            </w:pPr>
            <w:r w:rsidRPr="00BD55ED">
              <w:rPr>
                <w:rFonts w:asciiTheme="minorHAnsi" w:eastAsia="Times" w:hAnsiTheme="minorHAnsi" w:cstheme="minorHAnsi"/>
                <w:b/>
                <w:bCs/>
                <w:i/>
                <w:iCs/>
                <w:lang w:val="en-US" w:eastAsia="ru-RU"/>
              </w:rPr>
              <w:t>70</w:t>
            </w:r>
          </w:p>
        </w:tc>
      </w:tr>
      <w:tr w:rsidR="00701D34" w:rsidRPr="00BD55ED" w14:paraId="3E33D43B" w14:textId="77777777" w:rsidTr="004A1333">
        <w:trPr>
          <w:trHeight w:val="289"/>
        </w:trPr>
        <w:tc>
          <w:tcPr>
            <w:tcW w:w="6655" w:type="dxa"/>
            <w:tcMar>
              <w:top w:w="0" w:type="dxa"/>
              <w:left w:w="108" w:type="dxa"/>
              <w:bottom w:w="0" w:type="dxa"/>
              <w:right w:w="108" w:type="dxa"/>
            </w:tcMar>
            <w:vAlign w:val="center"/>
          </w:tcPr>
          <w:p w14:paraId="03E36CC4" w14:textId="77777777" w:rsidR="00701D34" w:rsidRPr="00BD55ED" w:rsidRDefault="00701D34" w:rsidP="004A1333">
            <w:pPr>
              <w:spacing w:line="260" w:lineRule="exact"/>
              <w:rPr>
                <w:rFonts w:asciiTheme="minorHAnsi" w:eastAsia="Times" w:hAnsiTheme="minorHAnsi" w:cstheme="minorHAnsi"/>
                <w:b/>
                <w:bCs/>
                <w:i/>
                <w:iCs/>
                <w:lang w:val="en-US" w:eastAsia="ru-RU"/>
              </w:rPr>
            </w:pPr>
            <w:r w:rsidRPr="00BD55ED">
              <w:rPr>
                <w:rFonts w:asciiTheme="minorHAnsi" w:eastAsia="Times" w:hAnsiTheme="minorHAnsi" w:cstheme="minorHAnsi"/>
                <w:b/>
                <w:bCs/>
                <w:i/>
                <w:iCs/>
                <w:lang w:val="en-US" w:eastAsia="ru-RU"/>
              </w:rPr>
              <w:t>Overall Response (20 points)</w:t>
            </w:r>
          </w:p>
        </w:tc>
        <w:tc>
          <w:tcPr>
            <w:tcW w:w="3240" w:type="dxa"/>
            <w:gridSpan w:val="2"/>
            <w:tcMar>
              <w:top w:w="0" w:type="dxa"/>
              <w:left w:w="108" w:type="dxa"/>
              <w:bottom w:w="0" w:type="dxa"/>
              <w:right w:w="108" w:type="dxa"/>
            </w:tcMar>
            <w:vAlign w:val="center"/>
          </w:tcPr>
          <w:p w14:paraId="46D03FFE" w14:textId="77777777" w:rsidR="00701D34" w:rsidRPr="00BD55ED" w:rsidRDefault="00701D34" w:rsidP="004A1333">
            <w:pPr>
              <w:spacing w:line="260" w:lineRule="exact"/>
              <w:jc w:val="center"/>
              <w:rPr>
                <w:rFonts w:asciiTheme="minorHAnsi" w:eastAsia="Times" w:hAnsiTheme="minorHAnsi" w:cstheme="minorHAnsi"/>
                <w:b/>
                <w:bCs/>
                <w:i/>
                <w:iCs/>
                <w:lang w:val="en-US" w:eastAsia="ru-RU"/>
              </w:rPr>
            </w:pPr>
          </w:p>
        </w:tc>
      </w:tr>
      <w:tr w:rsidR="00701D34" w:rsidRPr="00BD55ED" w14:paraId="1FF55A81" w14:textId="77777777" w:rsidTr="004A1333">
        <w:trPr>
          <w:trHeight w:val="289"/>
        </w:trPr>
        <w:tc>
          <w:tcPr>
            <w:tcW w:w="6655" w:type="dxa"/>
            <w:tcMar>
              <w:top w:w="0" w:type="dxa"/>
              <w:left w:w="108" w:type="dxa"/>
              <w:bottom w:w="0" w:type="dxa"/>
              <w:right w:w="108" w:type="dxa"/>
            </w:tcMar>
            <w:vAlign w:val="center"/>
          </w:tcPr>
          <w:p w14:paraId="6561B6EB" w14:textId="77777777" w:rsidR="00701D34" w:rsidRPr="00BD55ED" w:rsidRDefault="00701D34" w:rsidP="004A1333">
            <w:pPr>
              <w:spacing w:line="260" w:lineRule="exact"/>
              <w:rPr>
                <w:rFonts w:asciiTheme="minorHAnsi" w:eastAsia="Times" w:hAnsiTheme="minorHAnsi" w:cstheme="minorHAnsi"/>
                <w:bCs/>
                <w:iCs/>
                <w:lang w:val="en-US" w:eastAsia="ru-RU"/>
              </w:rPr>
            </w:pPr>
            <w:r w:rsidRPr="00BD55ED">
              <w:rPr>
                <w:rFonts w:asciiTheme="minorHAnsi" w:eastAsia="Times" w:hAnsiTheme="minorHAnsi" w:cstheme="minorHAnsi"/>
                <w:bCs/>
                <w:iCs/>
                <w:lang w:val="en-US" w:eastAsia="ru-RU"/>
              </w:rPr>
              <w:t>Understanding of tasks, objectives and completeness and coherence of response</w:t>
            </w:r>
          </w:p>
        </w:tc>
        <w:tc>
          <w:tcPr>
            <w:tcW w:w="1170" w:type="dxa"/>
            <w:tcMar>
              <w:top w:w="0" w:type="dxa"/>
              <w:left w:w="108" w:type="dxa"/>
              <w:bottom w:w="0" w:type="dxa"/>
              <w:right w:w="108" w:type="dxa"/>
            </w:tcMar>
            <w:vAlign w:val="center"/>
          </w:tcPr>
          <w:p w14:paraId="70B34D41" w14:textId="77777777" w:rsidR="00701D34" w:rsidRPr="00BD55ED" w:rsidRDefault="00701D34" w:rsidP="004A1333">
            <w:pPr>
              <w:spacing w:line="260" w:lineRule="exact"/>
              <w:jc w:val="center"/>
              <w:rPr>
                <w:rFonts w:asciiTheme="minorHAnsi" w:eastAsia="Times" w:hAnsiTheme="minorHAnsi" w:cstheme="minorHAnsi"/>
                <w:b/>
                <w:bCs/>
                <w:i/>
                <w:iCs/>
                <w:lang w:val="en-US" w:eastAsia="ru-RU"/>
              </w:rPr>
            </w:pPr>
          </w:p>
        </w:tc>
        <w:tc>
          <w:tcPr>
            <w:tcW w:w="2070" w:type="dxa"/>
            <w:tcMar>
              <w:top w:w="0" w:type="dxa"/>
              <w:left w:w="108" w:type="dxa"/>
              <w:bottom w:w="0" w:type="dxa"/>
              <w:right w:w="108" w:type="dxa"/>
            </w:tcMar>
            <w:vAlign w:val="center"/>
          </w:tcPr>
          <w:p w14:paraId="29A7A86E" w14:textId="77777777" w:rsidR="00701D34" w:rsidRPr="00BD55ED" w:rsidRDefault="00701D34" w:rsidP="004A1333">
            <w:pPr>
              <w:spacing w:line="260" w:lineRule="exact"/>
              <w:jc w:val="center"/>
              <w:rPr>
                <w:rFonts w:asciiTheme="minorHAnsi" w:eastAsia="Times" w:hAnsiTheme="minorHAnsi" w:cstheme="minorHAnsi"/>
                <w:bCs/>
                <w:i/>
                <w:iCs/>
                <w:lang w:val="en-US" w:eastAsia="ru-RU"/>
              </w:rPr>
            </w:pPr>
            <w:r w:rsidRPr="00BD55ED">
              <w:rPr>
                <w:rFonts w:asciiTheme="minorHAnsi" w:eastAsia="Times" w:hAnsiTheme="minorHAnsi" w:cstheme="minorHAnsi"/>
                <w:bCs/>
                <w:i/>
                <w:iCs/>
                <w:lang w:val="en-US" w:eastAsia="ru-RU"/>
              </w:rPr>
              <w:t>10</w:t>
            </w:r>
          </w:p>
        </w:tc>
      </w:tr>
      <w:tr w:rsidR="00701D34" w:rsidRPr="00BD55ED" w14:paraId="24DE59D4" w14:textId="77777777" w:rsidTr="004A1333">
        <w:trPr>
          <w:trHeight w:val="422"/>
        </w:trPr>
        <w:tc>
          <w:tcPr>
            <w:tcW w:w="6655" w:type="dxa"/>
            <w:tcMar>
              <w:top w:w="0" w:type="dxa"/>
              <w:left w:w="108" w:type="dxa"/>
              <w:bottom w:w="0" w:type="dxa"/>
              <w:right w:w="108" w:type="dxa"/>
            </w:tcMar>
            <w:vAlign w:val="center"/>
          </w:tcPr>
          <w:p w14:paraId="229DD8D6" w14:textId="77777777" w:rsidR="00701D34" w:rsidRPr="00BD55ED" w:rsidRDefault="00701D34" w:rsidP="004A1333">
            <w:pPr>
              <w:spacing w:line="260" w:lineRule="exact"/>
              <w:rPr>
                <w:rFonts w:asciiTheme="minorHAnsi" w:eastAsia="Times" w:hAnsiTheme="minorHAnsi" w:cstheme="minorHAnsi"/>
                <w:bCs/>
                <w:iCs/>
                <w:lang w:val="en-US" w:eastAsia="ru-RU"/>
              </w:rPr>
            </w:pPr>
            <w:r w:rsidRPr="00BD55ED">
              <w:rPr>
                <w:rFonts w:asciiTheme="minorHAnsi" w:eastAsia="Times" w:hAnsiTheme="minorHAnsi" w:cstheme="minorHAnsi"/>
                <w:bCs/>
                <w:iCs/>
                <w:lang w:val="en-US" w:eastAsia="ru-RU"/>
              </w:rPr>
              <w:t>Overall match between the TOR requirements and proposal</w:t>
            </w:r>
          </w:p>
        </w:tc>
        <w:tc>
          <w:tcPr>
            <w:tcW w:w="1170" w:type="dxa"/>
            <w:tcMar>
              <w:top w:w="0" w:type="dxa"/>
              <w:left w:w="108" w:type="dxa"/>
              <w:bottom w:w="0" w:type="dxa"/>
              <w:right w:w="108" w:type="dxa"/>
            </w:tcMar>
            <w:vAlign w:val="center"/>
          </w:tcPr>
          <w:p w14:paraId="1C9458A5" w14:textId="77777777" w:rsidR="00701D34" w:rsidRPr="00BD55ED" w:rsidRDefault="00701D34" w:rsidP="004A1333">
            <w:pPr>
              <w:spacing w:line="260" w:lineRule="exact"/>
              <w:jc w:val="center"/>
              <w:rPr>
                <w:rFonts w:asciiTheme="minorHAnsi" w:eastAsia="Times" w:hAnsiTheme="minorHAnsi" w:cstheme="minorHAnsi"/>
                <w:b/>
                <w:bCs/>
                <w:i/>
                <w:iCs/>
                <w:lang w:val="en-US" w:eastAsia="ru-RU"/>
              </w:rPr>
            </w:pPr>
          </w:p>
        </w:tc>
        <w:tc>
          <w:tcPr>
            <w:tcW w:w="2070" w:type="dxa"/>
            <w:tcMar>
              <w:top w:w="0" w:type="dxa"/>
              <w:left w:w="108" w:type="dxa"/>
              <w:bottom w:w="0" w:type="dxa"/>
              <w:right w:w="108" w:type="dxa"/>
            </w:tcMar>
            <w:vAlign w:val="center"/>
          </w:tcPr>
          <w:p w14:paraId="02196FB0" w14:textId="77777777" w:rsidR="00701D34" w:rsidRPr="00BD55ED" w:rsidRDefault="00701D34" w:rsidP="004A1333">
            <w:pPr>
              <w:spacing w:line="260" w:lineRule="exact"/>
              <w:jc w:val="center"/>
              <w:rPr>
                <w:rFonts w:asciiTheme="minorHAnsi" w:eastAsia="Times" w:hAnsiTheme="minorHAnsi" w:cstheme="minorHAnsi"/>
                <w:bCs/>
                <w:i/>
                <w:iCs/>
                <w:lang w:val="en-US" w:eastAsia="ru-RU"/>
              </w:rPr>
            </w:pPr>
            <w:r w:rsidRPr="00BD55ED">
              <w:rPr>
                <w:rFonts w:asciiTheme="minorHAnsi" w:eastAsia="Times" w:hAnsiTheme="minorHAnsi" w:cstheme="minorHAnsi"/>
                <w:bCs/>
                <w:i/>
                <w:iCs/>
                <w:lang w:val="en-US" w:eastAsia="ru-RU"/>
              </w:rPr>
              <w:t>10</w:t>
            </w:r>
          </w:p>
        </w:tc>
      </w:tr>
      <w:tr w:rsidR="00701D34" w:rsidRPr="00BD55ED" w14:paraId="0943E1E8" w14:textId="77777777" w:rsidTr="004A1333">
        <w:trPr>
          <w:trHeight w:val="359"/>
        </w:trPr>
        <w:tc>
          <w:tcPr>
            <w:tcW w:w="6655" w:type="dxa"/>
            <w:tcMar>
              <w:top w:w="0" w:type="dxa"/>
              <w:left w:w="108" w:type="dxa"/>
              <w:bottom w:w="0" w:type="dxa"/>
              <w:right w:w="108" w:type="dxa"/>
            </w:tcMar>
            <w:vAlign w:val="center"/>
          </w:tcPr>
          <w:p w14:paraId="0128D7EA" w14:textId="77777777" w:rsidR="00701D34" w:rsidRPr="00BD55ED" w:rsidRDefault="00701D34" w:rsidP="004A1333">
            <w:pPr>
              <w:spacing w:line="260" w:lineRule="exact"/>
              <w:ind w:right="-90"/>
              <w:jc w:val="both"/>
              <w:rPr>
                <w:rFonts w:asciiTheme="minorHAnsi" w:eastAsia="Times" w:hAnsiTheme="minorHAnsi" w:cstheme="minorHAnsi"/>
                <w:b/>
                <w:i/>
                <w:lang w:val="en-US" w:eastAsia="en-GB"/>
              </w:rPr>
            </w:pPr>
            <w:r w:rsidRPr="00BD55ED">
              <w:rPr>
                <w:rFonts w:asciiTheme="minorHAnsi" w:eastAsia="Times" w:hAnsiTheme="minorHAnsi" w:cstheme="minorHAnsi"/>
                <w:b/>
                <w:i/>
                <w:lang w:val="en-US" w:eastAsia="en-GB"/>
              </w:rPr>
              <w:t>Proposed work plan (10 points)</w:t>
            </w:r>
          </w:p>
        </w:tc>
        <w:tc>
          <w:tcPr>
            <w:tcW w:w="3240" w:type="dxa"/>
            <w:gridSpan w:val="2"/>
            <w:tcMar>
              <w:top w:w="0" w:type="dxa"/>
              <w:left w:w="108" w:type="dxa"/>
              <w:bottom w:w="0" w:type="dxa"/>
              <w:right w:w="108" w:type="dxa"/>
            </w:tcMar>
            <w:vAlign w:val="center"/>
          </w:tcPr>
          <w:p w14:paraId="16EFD17A" w14:textId="77777777" w:rsidR="00701D34" w:rsidRPr="00BD55ED" w:rsidRDefault="00701D34" w:rsidP="004A1333">
            <w:pPr>
              <w:spacing w:line="260" w:lineRule="exact"/>
              <w:jc w:val="center"/>
              <w:rPr>
                <w:rFonts w:asciiTheme="minorHAnsi" w:eastAsia="Times" w:hAnsiTheme="minorHAnsi" w:cstheme="minorHAnsi"/>
                <w:i/>
                <w:iCs/>
                <w:lang w:val="en-US" w:eastAsia="ru-RU"/>
              </w:rPr>
            </w:pPr>
          </w:p>
        </w:tc>
      </w:tr>
      <w:tr w:rsidR="00701D34" w:rsidRPr="00BD55ED" w14:paraId="7B642262" w14:textId="77777777" w:rsidTr="004A1333">
        <w:trPr>
          <w:trHeight w:val="369"/>
        </w:trPr>
        <w:tc>
          <w:tcPr>
            <w:tcW w:w="6655" w:type="dxa"/>
            <w:tcMar>
              <w:top w:w="0" w:type="dxa"/>
              <w:left w:w="108" w:type="dxa"/>
              <w:bottom w:w="0" w:type="dxa"/>
              <w:right w:w="108" w:type="dxa"/>
            </w:tcMar>
            <w:vAlign w:val="center"/>
          </w:tcPr>
          <w:p w14:paraId="0C3E432F" w14:textId="77777777" w:rsidR="00701D34" w:rsidRPr="00BD55ED" w:rsidRDefault="00701D34" w:rsidP="004A1333">
            <w:pPr>
              <w:spacing w:line="260" w:lineRule="exact"/>
              <w:rPr>
                <w:rFonts w:asciiTheme="minorHAnsi" w:eastAsia="Times" w:hAnsiTheme="minorHAnsi" w:cstheme="minorHAnsi"/>
                <w:lang w:val="en-US" w:eastAsia="en-GB"/>
              </w:rPr>
            </w:pPr>
            <w:r w:rsidRPr="00BD55ED">
              <w:rPr>
                <w:rFonts w:asciiTheme="minorHAnsi" w:eastAsia="Times" w:hAnsiTheme="minorHAnsi" w:cstheme="minorHAnsi"/>
                <w:lang w:val="en-US" w:eastAsia="en-GB"/>
              </w:rPr>
              <w:t>Quality of proposed work plan</w:t>
            </w:r>
          </w:p>
        </w:tc>
        <w:tc>
          <w:tcPr>
            <w:tcW w:w="1170" w:type="dxa"/>
            <w:tcMar>
              <w:top w:w="0" w:type="dxa"/>
              <w:left w:w="108" w:type="dxa"/>
              <w:bottom w:w="0" w:type="dxa"/>
              <w:right w:w="108" w:type="dxa"/>
            </w:tcMar>
            <w:vAlign w:val="center"/>
          </w:tcPr>
          <w:p w14:paraId="4BA41F41" w14:textId="77777777" w:rsidR="00701D34" w:rsidRPr="00BD55ED" w:rsidRDefault="00701D34" w:rsidP="004A1333">
            <w:pPr>
              <w:spacing w:line="260" w:lineRule="exact"/>
              <w:rPr>
                <w:rFonts w:asciiTheme="minorHAnsi" w:eastAsia="Times" w:hAnsiTheme="minorHAnsi" w:cstheme="minorHAnsi"/>
                <w:i/>
                <w:iCs/>
                <w:lang w:val="en-US" w:eastAsia="ru-RU"/>
              </w:rPr>
            </w:pPr>
          </w:p>
        </w:tc>
        <w:tc>
          <w:tcPr>
            <w:tcW w:w="2070" w:type="dxa"/>
            <w:tcMar>
              <w:top w:w="0" w:type="dxa"/>
              <w:left w:w="108" w:type="dxa"/>
              <w:bottom w:w="0" w:type="dxa"/>
              <w:right w:w="108" w:type="dxa"/>
            </w:tcMar>
            <w:vAlign w:val="center"/>
          </w:tcPr>
          <w:p w14:paraId="724FD325" w14:textId="77777777" w:rsidR="00701D34" w:rsidRPr="00BD55ED" w:rsidRDefault="00701D34" w:rsidP="004A1333">
            <w:pPr>
              <w:spacing w:line="260" w:lineRule="exact"/>
              <w:jc w:val="center"/>
              <w:rPr>
                <w:rFonts w:asciiTheme="minorHAnsi" w:eastAsia="Times" w:hAnsiTheme="minorHAnsi" w:cstheme="minorHAnsi"/>
                <w:i/>
                <w:iCs/>
                <w:lang w:val="en-US" w:eastAsia="ru-RU"/>
              </w:rPr>
            </w:pPr>
            <w:r w:rsidRPr="00BD55ED">
              <w:rPr>
                <w:rFonts w:asciiTheme="minorHAnsi" w:eastAsia="Times" w:hAnsiTheme="minorHAnsi" w:cstheme="minorHAnsi"/>
                <w:i/>
                <w:iCs/>
                <w:lang w:val="en-US" w:eastAsia="ru-RU"/>
              </w:rPr>
              <w:t>10</w:t>
            </w:r>
          </w:p>
        </w:tc>
      </w:tr>
      <w:tr w:rsidR="00701D34" w:rsidRPr="00BD55ED" w14:paraId="1191D87A" w14:textId="77777777" w:rsidTr="004A1333">
        <w:trPr>
          <w:trHeight w:val="369"/>
        </w:trPr>
        <w:tc>
          <w:tcPr>
            <w:tcW w:w="6655" w:type="dxa"/>
            <w:tcMar>
              <w:top w:w="0" w:type="dxa"/>
              <w:left w:w="108" w:type="dxa"/>
              <w:bottom w:w="0" w:type="dxa"/>
              <w:right w:w="108" w:type="dxa"/>
            </w:tcMar>
            <w:vAlign w:val="center"/>
          </w:tcPr>
          <w:p w14:paraId="4B87F1D4" w14:textId="77777777" w:rsidR="00701D34" w:rsidRPr="00BD55ED" w:rsidRDefault="00701D34" w:rsidP="004A1333">
            <w:pPr>
              <w:spacing w:line="260" w:lineRule="exact"/>
              <w:rPr>
                <w:rFonts w:asciiTheme="minorHAnsi" w:eastAsia="Times" w:hAnsiTheme="minorHAnsi" w:cstheme="minorHAnsi"/>
                <w:lang w:val="en-US" w:eastAsia="en-GB"/>
              </w:rPr>
            </w:pPr>
            <w:r w:rsidRPr="00BD55ED">
              <w:rPr>
                <w:rFonts w:asciiTheme="minorHAnsi" w:eastAsia="Times New Roman" w:hAnsiTheme="minorHAnsi" w:cstheme="minorHAnsi"/>
                <w:b/>
                <w:bCs/>
                <w:i/>
                <w:lang w:val="en-US"/>
              </w:rPr>
              <w:t>Technical Capacity (40 points)</w:t>
            </w:r>
          </w:p>
        </w:tc>
        <w:tc>
          <w:tcPr>
            <w:tcW w:w="3240" w:type="dxa"/>
            <w:gridSpan w:val="2"/>
            <w:tcMar>
              <w:top w:w="0" w:type="dxa"/>
              <w:left w:w="108" w:type="dxa"/>
              <w:bottom w:w="0" w:type="dxa"/>
              <w:right w:w="108" w:type="dxa"/>
            </w:tcMar>
            <w:vAlign w:val="center"/>
          </w:tcPr>
          <w:p w14:paraId="39551EF8" w14:textId="77777777" w:rsidR="00701D34" w:rsidRPr="00BD55ED" w:rsidRDefault="00701D34" w:rsidP="004A1333">
            <w:pPr>
              <w:spacing w:line="260" w:lineRule="exact"/>
              <w:jc w:val="center"/>
              <w:rPr>
                <w:rFonts w:asciiTheme="minorHAnsi" w:eastAsia="Times" w:hAnsiTheme="minorHAnsi" w:cstheme="minorHAnsi"/>
                <w:i/>
                <w:iCs/>
                <w:lang w:val="en-US" w:eastAsia="ru-RU"/>
              </w:rPr>
            </w:pPr>
          </w:p>
        </w:tc>
      </w:tr>
      <w:tr w:rsidR="00701D34" w:rsidRPr="00BD55ED" w14:paraId="428F6ED8" w14:textId="77777777" w:rsidTr="004A1333">
        <w:trPr>
          <w:trHeight w:val="773"/>
        </w:trPr>
        <w:tc>
          <w:tcPr>
            <w:tcW w:w="6655" w:type="dxa"/>
            <w:tcMar>
              <w:top w:w="0" w:type="dxa"/>
              <w:left w:w="108" w:type="dxa"/>
              <w:bottom w:w="0" w:type="dxa"/>
              <w:right w:w="108" w:type="dxa"/>
            </w:tcMar>
            <w:vAlign w:val="center"/>
          </w:tcPr>
          <w:p w14:paraId="232A85A2" w14:textId="50702C87" w:rsidR="00701D34" w:rsidRPr="00BD55ED" w:rsidRDefault="00701D34" w:rsidP="004A1333">
            <w:pPr>
              <w:jc w:val="both"/>
              <w:rPr>
                <w:rFonts w:asciiTheme="minorHAnsi" w:eastAsia="Times New Roman" w:hAnsiTheme="minorHAnsi" w:cstheme="minorHAnsi"/>
                <w:b/>
                <w:i/>
                <w:lang w:val="en-US"/>
              </w:rPr>
            </w:pPr>
            <w:r w:rsidRPr="00BD55ED">
              <w:rPr>
                <w:rFonts w:asciiTheme="minorHAnsi" w:eastAsia="Times New Roman" w:hAnsiTheme="minorHAnsi" w:cstheme="minorHAnsi"/>
                <w:b/>
                <w:i/>
                <w:lang w:val="en-US"/>
              </w:rPr>
              <w:t xml:space="preserve">Education: </w:t>
            </w:r>
            <w:r w:rsidR="00DE4214" w:rsidRPr="00BD55ED">
              <w:rPr>
                <w:rFonts w:asciiTheme="minorHAnsi" w:hAnsiTheme="minorHAnsi" w:cstheme="minorHAnsi"/>
              </w:rPr>
              <w:t>An advanced university degree in one of the following fields is required: public health, water quality, water engineering, water resource management, or another relevant technical field.</w:t>
            </w:r>
          </w:p>
        </w:tc>
        <w:tc>
          <w:tcPr>
            <w:tcW w:w="1170" w:type="dxa"/>
            <w:tcMar>
              <w:top w:w="0" w:type="dxa"/>
              <w:left w:w="108" w:type="dxa"/>
              <w:bottom w:w="0" w:type="dxa"/>
              <w:right w:w="108" w:type="dxa"/>
            </w:tcMar>
            <w:vAlign w:val="center"/>
          </w:tcPr>
          <w:p w14:paraId="31554C01" w14:textId="77777777" w:rsidR="00701D34" w:rsidRPr="00BD55ED" w:rsidRDefault="00701D34" w:rsidP="004A1333">
            <w:pPr>
              <w:spacing w:line="260" w:lineRule="exact"/>
              <w:rPr>
                <w:rFonts w:asciiTheme="minorHAnsi" w:eastAsia="Times" w:hAnsiTheme="minorHAnsi" w:cstheme="minorHAnsi"/>
                <w:i/>
                <w:iCs/>
                <w:lang w:val="en-US" w:eastAsia="ru-RU"/>
              </w:rPr>
            </w:pPr>
          </w:p>
        </w:tc>
        <w:tc>
          <w:tcPr>
            <w:tcW w:w="2070" w:type="dxa"/>
            <w:tcMar>
              <w:top w:w="0" w:type="dxa"/>
              <w:left w:w="108" w:type="dxa"/>
              <w:bottom w:w="0" w:type="dxa"/>
              <w:right w:w="108" w:type="dxa"/>
            </w:tcMar>
            <w:vAlign w:val="center"/>
          </w:tcPr>
          <w:p w14:paraId="30518606" w14:textId="77777777" w:rsidR="00701D34" w:rsidRPr="00BD55ED" w:rsidRDefault="00701D34" w:rsidP="004A1333">
            <w:pPr>
              <w:spacing w:line="260" w:lineRule="exact"/>
              <w:jc w:val="center"/>
              <w:rPr>
                <w:rFonts w:asciiTheme="minorHAnsi" w:eastAsia="Times" w:hAnsiTheme="minorHAnsi" w:cstheme="minorHAnsi"/>
                <w:i/>
                <w:iCs/>
                <w:lang w:val="en-US" w:eastAsia="ru-RU"/>
              </w:rPr>
            </w:pPr>
            <w:r w:rsidRPr="00BD55ED">
              <w:rPr>
                <w:rFonts w:asciiTheme="minorHAnsi" w:eastAsia="Times" w:hAnsiTheme="minorHAnsi" w:cstheme="minorHAnsi"/>
                <w:i/>
                <w:iCs/>
                <w:lang w:val="en-US" w:eastAsia="ru-RU"/>
              </w:rPr>
              <w:t>10</w:t>
            </w:r>
          </w:p>
        </w:tc>
      </w:tr>
      <w:tr w:rsidR="00701D34" w:rsidRPr="00BD55ED" w14:paraId="30BA64D7" w14:textId="77777777" w:rsidTr="004A1333">
        <w:trPr>
          <w:trHeight w:val="899"/>
        </w:trPr>
        <w:tc>
          <w:tcPr>
            <w:tcW w:w="6655" w:type="dxa"/>
            <w:tcMar>
              <w:top w:w="0" w:type="dxa"/>
              <w:left w:w="108" w:type="dxa"/>
              <w:bottom w:w="0" w:type="dxa"/>
              <w:right w:w="108" w:type="dxa"/>
            </w:tcMar>
            <w:vAlign w:val="center"/>
          </w:tcPr>
          <w:p w14:paraId="139C2612" w14:textId="25212700" w:rsidR="00701D34" w:rsidRPr="00BD55ED" w:rsidRDefault="00701D34" w:rsidP="004A1333">
            <w:pPr>
              <w:rPr>
                <w:rFonts w:asciiTheme="minorHAnsi" w:hAnsiTheme="minorHAnsi" w:cstheme="minorHAnsi"/>
              </w:rPr>
            </w:pPr>
            <w:r w:rsidRPr="00BD55ED">
              <w:rPr>
                <w:rFonts w:asciiTheme="minorHAnsi" w:hAnsiTheme="minorHAnsi" w:cstheme="minorHAnsi"/>
                <w:b/>
                <w:bCs/>
                <w:i/>
                <w:iCs/>
              </w:rPr>
              <w:t>Work Experience:</w:t>
            </w:r>
            <w:r w:rsidRPr="00BD55ED">
              <w:rPr>
                <w:rFonts w:asciiTheme="minorHAnsi" w:hAnsiTheme="minorHAnsi" w:cstheme="minorHAnsi"/>
              </w:rPr>
              <w:t xml:space="preserve"> </w:t>
            </w:r>
            <w:r w:rsidR="00DE4214" w:rsidRPr="00BD55ED">
              <w:rPr>
                <w:rFonts w:asciiTheme="minorHAnsi" w:hAnsiTheme="minorHAnsi" w:cstheme="minorHAnsi"/>
                <w:i/>
                <w:iCs/>
              </w:rPr>
              <w:t>a minimum of</w:t>
            </w:r>
            <w:r w:rsidR="00DE4214" w:rsidRPr="00BD55ED">
              <w:rPr>
                <w:rFonts w:asciiTheme="minorHAnsi" w:hAnsiTheme="minorHAnsi" w:cstheme="minorHAnsi"/>
              </w:rPr>
              <w:t xml:space="preserve"> </w:t>
            </w:r>
            <w:r w:rsidR="0066600C" w:rsidRPr="00BD55ED">
              <w:rPr>
                <w:rFonts w:asciiTheme="minorHAnsi" w:eastAsia="Times New Roman" w:hAnsiTheme="minorHAnsi" w:cstheme="minorHAnsi"/>
                <w:color w:val="191A23"/>
                <w:lang w:val="en-US"/>
              </w:rPr>
              <w:t>5</w:t>
            </w:r>
            <w:r w:rsidR="00DE4214" w:rsidRPr="00BD55ED">
              <w:rPr>
                <w:rFonts w:asciiTheme="minorHAnsi" w:eastAsia="Times New Roman" w:hAnsiTheme="minorHAnsi" w:cstheme="minorHAnsi"/>
                <w:color w:val="191A23"/>
                <w:lang w:val="en-US"/>
              </w:rPr>
              <w:t xml:space="preserve"> years’ experience at a senior level working on strategy development particularly on supporting the governments in the WASH sector. Previous experience in developing water safety plans and strategies will be an asset.</w:t>
            </w:r>
          </w:p>
        </w:tc>
        <w:tc>
          <w:tcPr>
            <w:tcW w:w="1170" w:type="dxa"/>
            <w:tcMar>
              <w:top w:w="0" w:type="dxa"/>
              <w:left w:w="108" w:type="dxa"/>
              <w:bottom w:w="0" w:type="dxa"/>
              <w:right w:w="108" w:type="dxa"/>
            </w:tcMar>
            <w:vAlign w:val="center"/>
          </w:tcPr>
          <w:p w14:paraId="686D2C98" w14:textId="77777777" w:rsidR="00701D34" w:rsidRPr="00BD55ED" w:rsidRDefault="00701D34" w:rsidP="004A1333">
            <w:pPr>
              <w:spacing w:line="260" w:lineRule="exact"/>
              <w:rPr>
                <w:rFonts w:asciiTheme="minorHAnsi" w:eastAsia="Times" w:hAnsiTheme="minorHAnsi" w:cstheme="minorHAnsi"/>
                <w:i/>
                <w:iCs/>
                <w:lang w:val="en-US" w:eastAsia="ru-RU"/>
              </w:rPr>
            </w:pPr>
          </w:p>
        </w:tc>
        <w:tc>
          <w:tcPr>
            <w:tcW w:w="2070" w:type="dxa"/>
            <w:tcMar>
              <w:top w:w="0" w:type="dxa"/>
              <w:left w:w="108" w:type="dxa"/>
              <w:bottom w:w="0" w:type="dxa"/>
              <w:right w:w="108" w:type="dxa"/>
            </w:tcMar>
            <w:vAlign w:val="center"/>
          </w:tcPr>
          <w:p w14:paraId="3F54BBEE" w14:textId="77777777" w:rsidR="00701D34" w:rsidRPr="00BD55ED" w:rsidRDefault="00701D34" w:rsidP="004A1333">
            <w:pPr>
              <w:spacing w:line="260" w:lineRule="exact"/>
              <w:jc w:val="center"/>
              <w:rPr>
                <w:rFonts w:asciiTheme="minorHAnsi" w:eastAsia="Times" w:hAnsiTheme="minorHAnsi" w:cstheme="minorHAnsi"/>
                <w:i/>
                <w:iCs/>
                <w:lang w:val="en-US" w:eastAsia="ru-RU"/>
              </w:rPr>
            </w:pPr>
            <w:r w:rsidRPr="00BD55ED">
              <w:rPr>
                <w:rFonts w:asciiTheme="minorHAnsi" w:eastAsia="Times" w:hAnsiTheme="minorHAnsi" w:cstheme="minorHAnsi"/>
                <w:i/>
                <w:iCs/>
                <w:lang w:val="en-US" w:eastAsia="ru-RU"/>
              </w:rPr>
              <w:t>10</w:t>
            </w:r>
          </w:p>
        </w:tc>
      </w:tr>
      <w:tr w:rsidR="00701D34" w:rsidRPr="00BD55ED" w14:paraId="35CE0D59" w14:textId="77777777" w:rsidTr="004A1333">
        <w:trPr>
          <w:trHeight w:val="369"/>
        </w:trPr>
        <w:tc>
          <w:tcPr>
            <w:tcW w:w="6655" w:type="dxa"/>
            <w:tcMar>
              <w:top w:w="0" w:type="dxa"/>
              <w:left w:w="108" w:type="dxa"/>
              <w:bottom w:w="0" w:type="dxa"/>
              <w:right w:w="108" w:type="dxa"/>
            </w:tcMar>
            <w:vAlign w:val="center"/>
          </w:tcPr>
          <w:p w14:paraId="79BB5B9A" w14:textId="77777777" w:rsidR="00701D34" w:rsidRPr="00BD55ED" w:rsidRDefault="00701D34" w:rsidP="004A1333">
            <w:pPr>
              <w:autoSpaceDE w:val="0"/>
              <w:autoSpaceDN w:val="0"/>
              <w:adjustRightInd w:val="0"/>
              <w:spacing w:line="240" w:lineRule="auto"/>
              <w:jc w:val="both"/>
              <w:rPr>
                <w:rFonts w:asciiTheme="minorHAnsi" w:eastAsia="Times New Roman" w:hAnsiTheme="minorHAnsi" w:cstheme="minorHAnsi"/>
                <w:bCs/>
                <w:iCs/>
                <w:lang w:val="en-US"/>
              </w:rPr>
            </w:pPr>
            <w:r w:rsidRPr="00BD55ED">
              <w:rPr>
                <w:rFonts w:asciiTheme="minorHAnsi" w:eastAsia="Times New Roman" w:hAnsiTheme="minorHAnsi" w:cstheme="minorHAnsi"/>
                <w:b/>
                <w:i/>
                <w:lang w:val="en-US"/>
              </w:rPr>
              <w:t>Competencies:</w:t>
            </w:r>
            <w:r w:rsidRPr="00BD55ED">
              <w:rPr>
                <w:rFonts w:asciiTheme="minorHAnsi" w:hAnsiTheme="minorHAnsi" w:cstheme="minorHAnsi"/>
                <w:lang w:val="en-US"/>
              </w:rPr>
              <w:t xml:space="preserve">  </w:t>
            </w:r>
            <w:r w:rsidRPr="00BD55ED">
              <w:rPr>
                <w:rFonts w:asciiTheme="minorHAnsi" w:eastAsia="Times New Roman" w:hAnsiTheme="minorHAnsi" w:cstheme="minorHAnsi"/>
                <w:bCs/>
                <w:iCs/>
                <w:lang w:val="en-US"/>
              </w:rPr>
              <w:t>Strong analytical and conceptual thinking. Excellent writing skills. Excellent communication and presentation skills with stakeholders and the ability to work under pressure and commitment to work to a tight timeframe.</w:t>
            </w:r>
          </w:p>
        </w:tc>
        <w:tc>
          <w:tcPr>
            <w:tcW w:w="1170" w:type="dxa"/>
            <w:tcMar>
              <w:top w:w="0" w:type="dxa"/>
              <w:left w:w="108" w:type="dxa"/>
              <w:bottom w:w="0" w:type="dxa"/>
              <w:right w:w="108" w:type="dxa"/>
            </w:tcMar>
            <w:vAlign w:val="center"/>
          </w:tcPr>
          <w:p w14:paraId="23B6186F" w14:textId="77777777" w:rsidR="00701D34" w:rsidRPr="00BD55ED" w:rsidRDefault="00701D34" w:rsidP="004A1333">
            <w:pPr>
              <w:spacing w:line="260" w:lineRule="exact"/>
              <w:rPr>
                <w:rFonts w:asciiTheme="minorHAnsi" w:eastAsia="Times" w:hAnsiTheme="minorHAnsi" w:cstheme="minorHAnsi"/>
                <w:i/>
                <w:iCs/>
                <w:lang w:val="en-US" w:eastAsia="ru-RU"/>
              </w:rPr>
            </w:pPr>
          </w:p>
        </w:tc>
        <w:tc>
          <w:tcPr>
            <w:tcW w:w="2070" w:type="dxa"/>
            <w:tcMar>
              <w:top w:w="0" w:type="dxa"/>
              <w:left w:w="108" w:type="dxa"/>
              <w:bottom w:w="0" w:type="dxa"/>
              <w:right w:w="108" w:type="dxa"/>
            </w:tcMar>
            <w:vAlign w:val="center"/>
          </w:tcPr>
          <w:p w14:paraId="1BD42CF9" w14:textId="77777777" w:rsidR="00701D34" w:rsidRPr="00BD55ED" w:rsidRDefault="00701D34" w:rsidP="004A1333">
            <w:pPr>
              <w:spacing w:line="260" w:lineRule="exact"/>
              <w:jc w:val="center"/>
              <w:rPr>
                <w:rFonts w:asciiTheme="minorHAnsi" w:eastAsia="Times" w:hAnsiTheme="minorHAnsi" w:cstheme="minorHAnsi"/>
                <w:i/>
                <w:iCs/>
                <w:lang w:val="en-US" w:eastAsia="ru-RU"/>
              </w:rPr>
            </w:pPr>
            <w:r w:rsidRPr="00BD55ED">
              <w:rPr>
                <w:rFonts w:asciiTheme="minorHAnsi" w:eastAsia="Times" w:hAnsiTheme="minorHAnsi" w:cstheme="minorHAnsi"/>
                <w:i/>
                <w:iCs/>
                <w:lang w:val="en-US" w:eastAsia="ru-RU"/>
              </w:rPr>
              <w:t>10</w:t>
            </w:r>
          </w:p>
        </w:tc>
      </w:tr>
      <w:tr w:rsidR="00701D34" w:rsidRPr="00BD55ED" w14:paraId="6F5200DE" w14:textId="77777777" w:rsidTr="004A1333">
        <w:trPr>
          <w:trHeight w:val="611"/>
        </w:trPr>
        <w:tc>
          <w:tcPr>
            <w:tcW w:w="6655" w:type="dxa"/>
            <w:tcMar>
              <w:top w:w="0" w:type="dxa"/>
              <w:left w:w="108" w:type="dxa"/>
              <w:bottom w:w="0" w:type="dxa"/>
              <w:right w:w="108" w:type="dxa"/>
            </w:tcMar>
            <w:vAlign w:val="center"/>
          </w:tcPr>
          <w:p w14:paraId="3CE2CE59" w14:textId="153649F1" w:rsidR="00701D34" w:rsidRPr="00BD55ED" w:rsidRDefault="00D60D62" w:rsidP="00455A90">
            <w:pPr>
              <w:pStyle w:val="ListBullet"/>
              <w:spacing w:line="240" w:lineRule="auto"/>
              <w:rPr>
                <w:rFonts w:asciiTheme="minorHAnsi" w:eastAsia="Arial" w:hAnsiTheme="minorHAnsi" w:cstheme="minorHAnsi"/>
                <w:szCs w:val="22"/>
              </w:rPr>
            </w:pPr>
            <w:r w:rsidRPr="00BD55ED">
              <w:rPr>
                <w:rFonts w:asciiTheme="minorHAnsi" w:hAnsiTheme="minorHAnsi" w:cstheme="minorHAnsi"/>
                <w:szCs w:val="22"/>
              </w:rPr>
              <w:t>Excellent working knowledge and communication in English is required. Knowledge of Tajik (Farsi) and Russian is an asset and preferable.</w:t>
            </w:r>
          </w:p>
        </w:tc>
        <w:tc>
          <w:tcPr>
            <w:tcW w:w="1170" w:type="dxa"/>
            <w:tcMar>
              <w:top w:w="0" w:type="dxa"/>
              <w:left w:w="108" w:type="dxa"/>
              <w:bottom w:w="0" w:type="dxa"/>
              <w:right w:w="108" w:type="dxa"/>
            </w:tcMar>
            <w:vAlign w:val="center"/>
          </w:tcPr>
          <w:p w14:paraId="6412FCF4" w14:textId="77777777" w:rsidR="00701D34" w:rsidRPr="00BD55ED" w:rsidRDefault="00701D34" w:rsidP="004A1333">
            <w:pPr>
              <w:spacing w:line="260" w:lineRule="exact"/>
              <w:rPr>
                <w:rFonts w:asciiTheme="minorHAnsi" w:eastAsia="Times" w:hAnsiTheme="minorHAnsi" w:cstheme="minorHAnsi"/>
                <w:i/>
                <w:iCs/>
                <w:lang w:val="en-US" w:eastAsia="ru-RU"/>
              </w:rPr>
            </w:pPr>
          </w:p>
        </w:tc>
        <w:tc>
          <w:tcPr>
            <w:tcW w:w="2070" w:type="dxa"/>
            <w:tcMar>
              <w:top w:w="0" w:type="dxa"/>
              <w:left w:w="108" w:type="dxa"/>
              <w:bottom w:w="0" w:type="dxa"/>
              <w:right w:w="108" w:type="dxa"/>
            </w:tcMar>
            <w:vAlign w:val="center"/>
            <w:hideMark/>
          </w:tcPr>
          <w:p w14:paraId="477F0790" w14:textId="77777777" w:rsidR="00701D34" w:rsidRPr="00BD55ED" w:rsidRDefault="00701D34" w:rsidP="004A1333">
            <w:pPr>
              <w:spacing w:line="260" w:lineRule="exact"/>
              <w:jc w:val="center"/>
              <w:rPr>
                <w:rFonts w:asciiTheme="minorHAnsi" w:eastAsia="Times" w:hAnsiTheme="minorHAnsi" w:cstheme="minorHAnsi"/>
                <w:i/>
                <w:iCs/>
                <w:lang w:val="en-US" w:eastAsia="ru-RU"/>
              </w:rPr>
            </w:pPr>
            <w:r w:rsidRPr="00BD55ED">
              <w:rPr>
                <w:rFonts w:asciiTheme="minorHAnsi" w:eastAsia="Times" w:hAnsiTheme="minorHAnsi" w:cstheme="minorHAnsi"/>
                <w:i/>
                <w:iCs/>
                <w:lang w:val="en-US" w:eastAsia="ru-RU"/>
              </w:rPr>
              <w:t>10</w:t>
            </w:r>
          </w:p>
        </w:tc>
      </w:tr>
      <w:tr w:rsidR="00701D34" w:rsidRPr="00BD55ED" w14:paraId="76DC796F" w14:textId="77777777" w:rsidTr="004A1333">
        <w:trPr>
          <w:trHeight w:val="431"/>
        </w:trPr>
        <w:tc>
          <w:tcPr>
            <w:tcW w:w="6655" w:type="dxa"/>
            <w:shd w:val="clear" w:color="auto" w:fill="C6D9F1"/>
            <w:tcMar>
              <w:top w:w="0" w:type="dxa"/>
              <w:left w:w="108" w:type="dxa"/>
              <w:bottom w:w="0" w:type="dxa"/>
              <w:right w:w="108" w:type="dxa"/>
            </w:tcMar>
            <w:hideMark/>
          </w:tcPr>
          <w:p w14:paraId="37F83185" w14:textId="77777777" w:rsidR="00701D34" w:rsidRPr="00BD55ED" w:rsidRDefault="00701D34" w:rsidP="004A1333">
            <w:pPr>
              <w:spacing w:line="260" w:lineRule="exact"/>
              <w:rPr>
                <w:rFonts w:asciiTheme="minorHAnsi" w:eastAsia="Times" w:hAnsiTheme="minorHAnsi" w:cstheme="minorHAnsi"/>
                <w:b/>
                <w:bCs/>
                <w:i/>
                <w:iCs/>
                <w:lang w:val="en-US" w:eastAsia="ru-RU"/>
              </w:rPr>
            </w:pPr>
            <w:r w:rsidRPr="00BD55ED">
              <w:rPr>
                <w:rFonts w:asciiTheme="minorHAnsi" w:eastAsia="Times" w:hAnsiTheme="minorHAnsi" w:cstheme="minorHAnsi"/>
                <w:b/>
                <w:bCs/>
                <w:i/>
                <w:iCs/>
                <w:lang w:val="en-US" w:eastAsia="ru-RU"/>
              </w:rPr>
              <w:t xml:space="preserve">FINANCIAL PROPOSAL (max. 30 points) </w:t>
            </w:r>
            <w:r w:rsidRPr="00BD55ED">
              <w:rPr>
                <w:rFonts w:asciiTheme="minorHAnsi" w:eastAsia="Times" w:hAnsiTheme="minorHAnsi" w:cstheme="minorHAnsi"/>
                <w:bCs/>
                <w:iCs/>
                <w:lang w:val="en-US" w:eastAsia="ru-RU"/>
              </w:rPr>
              <w:t>(daily rate)</w:t>
            </w:r>
          </w:p>
        </w:tc>
        <w:tc>
          <w:tcPr>
            <w:tcW w:w="1170" w:type="dxa"/>
            <w:shd w:val="clear" w:color="auto" w:fill="C6D9F1"/>
            <w:tcMar>
              <w:top w:w="0" w:type="dxa"/>
              <w:left w:w="108" w:type="dxa"/>
              <w:bottom w:w="0" w:type="dxa"/>
              <w:right w:w="108" w:type="dxa"/>
            </w:tcMar>
            <w:vAlign w:val="center"/>
            <w:hideMark/>
          </w:tcPr>
          <w:p w14:paraId="4790924F" w14:textId="77777777" w:rsidR="00701D34" w:rsidRPr="00BD55ED" w:rsidRDefault="00701D34" w:rsidP="004A1333">
            <w:pPr>
              <w:spacing w:line="260" w:lineRule="exact"/>
              <w:jc w:val="center"/>
              <w:rPr>
                <w:rFonts w:asciiTheme="minorHAnsi" w:eastAsia="Times" w:hAnsiTheme="minorHAnsi" w:cstheme="minorHAnsi"/>
                <w:b/>
                <w:bCs/>
                <w:i/>
                <w:iCs/>
                <w:lang w:val="en-US" w:eastAsia="ru-RU"/>
              </w:rPr>
            </w:pPr>
            <w:r w:rsidRPr="00BD55ED">
              <w:rPr>
                <w:rFonts w:asciiTheme="minorHAnsi" w:eastAsia="Times" w:hAnsiTheme="minorHAnsi" w:cstheme="minorHAnsi"/>
                <w:b/>
                <w:bCs/>
                <w:i/>
                <w:iCs/>
                <w:lang w:val="en-US" w:eastAsia="ru-RU"/>
              </w:rPr>
              <w:t>30%</w:t>
            </w:r>
          </w:p>
        </w:tc>
        <w:tc>
          <w:tcPr>
            <w:tcW w:w="2070" w:type="dxa"/>
            <w:shd w:val="clear" w:color="auto" w:fill="C6D9F1"/>
            <w:tcMar>
              <w:top w:w="0" w:type="dxa"/>
              <w:left w:w="108" w:type="dxa"/>
              <w:bottom w:w="0" w:type="dxa"/>
              <w:right w:w="108" w:type="dxa"/>
            </w:tcMar>
            <w:vAlign w:val="center"/>
            <w:hideMark/>
          </w:tcPr>
          <w:p w14:paraId="1049B61F" w14:textId="77777777" w:rsidR="00701D34" w:rsidRPr="00BD55ED" w:rsidRDefault="00701D34" w:rsidP="004A1333">
            <w:pPr>
              <w:spacing w:line="260" w:lineRule="exact"/>
              <w:jc w:val="center"/>
              <w:rPr>
                <w:rFonts w:asciiTheme="minorHAnsi" w:eastAsia="Times" w:hAnsiTheme="minorHAnsi" w:cstheme="minorHAnsi"/>
                <w:b/>
                <w:bCs/>
                <w:i/>
                <w:iCs/>
                <w:lang w:val="en-US" w:eastAsia="ru-RU"/>
              </w:rPr>
            </w:pPr>
            <w:r w:rsidRPr="00BD55ED">
              <w:rPr>
                <w:rFonts w:asciiTheme="minorHAnsi" w:eastAsia="Times" w:hAnsiTheme="minorHAnsi" w:cstheme="minorHAnsi"/>
                <w:b/>
                <w:bCs/>
                <w:i/>
                <w:iCs/>
                <w:lang w:val="en-US" w:eastAsia="ru-RU"/>
              </w:rPr>
              <w:t>30</w:t>
            </w:r>
          </w:p>
        </w:tc>
      </w:tr>
      <w:tr w:rsidR="00701D34" w:rsidRPr="00BD55ED" w14:paraId="17627E12" w14:textId="77777777" w:rsidTr="004A1333">
        <w:trPr>
          <w:trHeight w:val="458"/>
        </w:trPr>
        <w:tc>
          <w:tcPr>
            <w:tcW w:w="6655" w:type="dxa"/>
            <w:shd w:val="clear" w:color="auto" w:fill="8DB3E2"/>
            <w:tcMar>
              <w:top w:w="0" w:type="dxa"/>
              <w:left w:w="108" w:type="dxa"/>
              <w:bottom w:w="0" w:type="dxa"/>
              <w:right w:w="108" w:type="dxa"/>
            </w:tcMar>
            <w:vAlign w:val="center"/>
          </w:tcPr>
          <w:p w14:paraId="032B7DAE" w14:textId="77777777" w:rsidR="00701D34" w:rsidRPr="00BD55ED" w:rsidRDefault="00701D34" w:rsidP="004A1333">
            <w:pPr>
              <w:spacing w:line="260" w:lineRule="exact"/>
              <w:rPr>
                <w:rFonts w:asciiTheme="minorHAnsi" w:eastAsia="Times" w:hAnsiTheme="minorHAnsi" w:cstheme="minorHAnsi"/>
                <w:b/>
                <w:bCs/>
                <w:i/>
                <w:iCs/>
                <w:lang w:val="en-US" w:eastAsia="ru-RU"/>
              </w:rPr>
            </w:pPr>
            <w:r w:rsidRPr="00BD55ED">
              <w:rPr>
                <w:rFonts w:asciiTheme="minorHAnsi" w:eastAsia="Times New Roman" w:hAnsiTheme="minorHAnsi" w:cstheme="minorHAnsi"/>
                <w:b/>
                <w:bCs/>
                <w:lang w:val="en-US"/>
              </w:rPr>
              <w:t xml:space="preserve">TOTAL SCORE </w:t>
            </w:r>
            <w:r w:rsidRPr="00BD55ED">
              <w:rPr>
                <w:rFonts w:asciiTheme="minorHAnsi" w:eastAsia="Times New Roman" w:hAnsiTheme="minorHAnsi" w:cstheme="minorHAnsi"/>
                <w:b/>
                <w:bCs/>
                <w:i/>
                <w:lang w:val="en-US"/>
              </w:rPr>
              <w:t>(max. 100 points)</w:t>
            </w:r>
          </w:p>
        </w:tc>
        <w:tc>
          <w:tcPr>
            <w:tcW w:w="1170" w:type="dxa"/>
            <w:shd w:val="clear" w:color="auto" w:fill="8DB3E2"/>
            <w:tcMar>
              <w:top w:w="0" w:type="dxa"/>
              <w:left w:w="108" w:type="dxa"/>
              <w:bottom w:w="0" w:type="dxa"/>
              <w:right w:w="108" w:type="dxa"/>
            </w:tcMar>
            <w:vAlign w:val="center"/>
          </w:tcPr>
          <w:p w14:paraId="3681347C" w14:textId="77777777" w:rsidR="00701D34" w:rsidRPr="00BD55ED" w:rsidRDefault="00701D34" w:rsidP="004A1333">
            <w:pPr>
              <w:spacing w:line="260" w:lineRule="exact"/>
              <w:jc w:val="center"/>
              <w:rPr>
                <w:rFonts w:asciiTheme="minorHAnsi" w:eastAsia="Times" w:hAnsiTheme="minorHAnsi" w:cstheme="minorHAnsi"/>
                <w:b/>
                <w:bCs/>
                <w:i/>
                <w:iCs/>
                <w:lang w:val="en-US" w:eastAsia="ru-RU"/>
              </w:rPr>
            </w:pPr>
          </w:p>
        </w:tc>
        <w:tc>
          <w:tcPr>
            <w:tcW w:w="2070" w:type="dxa"/>
            <w:shd w:val="clear" w:color="auto" w:fill="8DB3E2"/>
            <w:tcMar>
              <w:top w:w="0" w:type="dxa"/>
              <w:left w:w="108" w:type="dxa"/>
              <w:bottom w:w="0" w:type="dxa"/>
              <w:right w:w="108" w:type="dxa"/>
            </w:tcMar>
            <w:vAlign w:val="center"/>
          </w:tcPr>
          <w:p w14:paraId="15C73C56" w14:textId="77777777" w:rsidR="00701D34" w:rsidRPr="00BD55ED" w:rsidRDefault="00701D34" w:rsidP="004A1333">
            <w:pPr>
              <w:spacing w:line="260" w:lineRule="exact"/>
              <w:jc w:val="center"/>
              <w:rPr>
                <w:rFonts w:asciiTheme="minorHAnsi" w:eastAsia="Times" w:hAnsiTheme="minorHAnsi" w:cstheme="minorHAnsi"/>
                <w:b/>
                <w:bCs/>
                <w:i/>
                <w:iCs/>
                <w:lang w:val="en-US" w:eastAsia="ru-RU"/>
              </w:rPr>
            </w:pPr>
          </w:p>
        </w:tc>
      </w:tr>
    </w:tbl>
    <w:p w14:paraId="388B2F50" w14:textId="77777777" w:rsidR="00701D34" w:rsidRPr="008E6EEC" w:rsidRDefault="00701D34" w:rsidP="00701D34">
      <w:pPr>
        <w:autoSpaceDE w:val="0"/>
        <w:autoSpaceDN w:val="0"/>
        <w:spacing w:line="260" w:lineRule="exact"/>
        <w:jc w:val="both"/>
        <w:rPr>
          <w:rFonts w:asciiTheme="minorHAnsi" w:eastAsia="Calibri" w:hAnsiTheme="minorHAnsi" w:cstheme="minorHAnsi"/>
          <w:lang w:eastAsia="ru-RU"/>
        </w:rPr>
      </w:pPr>
    </w:p>
    <w:p w14:paraId="4EA2E16F" w14:textId="77777777" w:rsidR="00701D34" w:rsidRPr="008E6EEC" w:rsidRDefault="00701D34" w:rsidP="00701D34">
      <w:pPr>
        <w:autoSpaceDE w:val="0"/>
        <w:autoSpaceDN w:val="0"/>
        <w:spacing w:line="260" w:lineRule="exact"/>
        <w:jc w:val="both"/>
        <w:rPr>
          <w:rFonts w:asciiTheme="minorHAnsi" w:eastAsia="Times" w:hAnsiTheme="minorHAnsi" w:cstheme="minorHAnsi"/>
        </w:rPr>
      </w:pPr>
      <w:r w:rsidRPr="008E6EEC">
        <w:rPr>
          <w:rFonts w:asciiTheme="minorHAnsi" w:eastAsia="Times" w:hAnsiTheme="minorHAnsi" w:cstheme="minorHAnsi"/>
          <w:bCs/>
          <w:lang w:eastAsia="en-GB"/>
        </w:rPr>
        <w:t xml:space="preserve">Only candidates who obtain a minimum of </w:t>
      </w:r>
      <w:r>
        <w:rPr>
          <w:rFonts w:asciiTheme="minorHAnsi" w:eastAsia="Times" w:hAnsiTheme="minorHAnsi" w:cstheme="minorHAnsi"/>
          <w:bCs/>
          <w:lang w:eastAsia="en-GB"/>
        </w:rPr>
        <w:t>49</w:t>
      </w:r>
      <w:r w:rsidRPr="008E6EEC">
        <w:rPr>
          <w:rFonts w:asciiTheme="minorHAnsi" w:eastAsia="Times" w:hAnsiTheme="minorHAnsi" w:cstheme="minorHAnsi"/>
          <w:bCs/>
          <w:lang w:eastAsia="en-GB"/>
        </w:rPr>
        <w:t xml:space="preserve"> points in the Technical Criteria evaluation will be considered for the Financial Evaluation</w:t>
      </w:r>
      <w:r w:rsidRPr="008E6EEC">
        <w:rPr>
          <w:rFonts w:asciiTheme="minorHAnsi" w:eastAsia="Times" w:hAnsiTheme="minorHAnsi" w:cstheme="minorHAnsi"/>
          <w:lang w:eastAsia="en-GB"/>
        </w:rPr>
        <w:t>.</w:t>
      </w:r>
    </w:p>
    <w:p w14:paraId="59AF4334" w14:textId="77777777" w:rsidR="00701D34" w:rsidRPr="008E6EEC" w:rsidRDefault="00701D34" w:rsidP="00701D34">
      <w:pPr>
        <w:autoSpaceDE w:val="0"/>
        <w:autoSpaceDN w:val="0"/>
        <w:spacing w:line="260" w:lineRule="exact"/>
        <w:jc w:val="both"/>
        <w:rPr>
          <w:rFonts w:asciiTheme="minorHAnsi" w:eastAsia="Times" w:hAnsiTheme="minorHAnsi" w:cstheme="minorHAnsi"/>
          <w:b/>
        </w:rPr>
      </w:pPr>
    </w:p>
    <w:p w14:paraId="33B2009A" w14:textId="77777777" w:rsidR="00701D34" w:rsidRPr="008E6EEC" w:rsidRDefault="00701D34" w:rsidP="00701D34">
      <w:pPr>
        <w:autoSpaceDE w:val="0"/>
        <w:autoSpaceDN w:val="0"/>
        <w:spacing w:line="260" w:lineRule="exact"/>
        <w:jc w:val="both"/>
        <w:rPr>
          <w:rFonts w:asciiTheme="minorHAnsi" w:eastAsia="Times" w:hAnsiTheme="minorHAnsi" w:cstheme="minorHAnsi"/>
          <w:b/>
        </w:rPr>
      </w:pPr>
      <w:r w:rsidRPr="008E6EEC">
        <w:rPr>
          <w:rFonts w:asciiTheme="minorHAnsi" w:eastAsia="Times" w:hAnsiTheme="minorHAnsi" w:cstheme="minorHAnsi"/>
          <w:b/>
        </w:rPr>
        <w:t>Financial Proposal</w:t>
      </w:r>
    </w:p>
    <w:p w14:paraId="4ECDDE33" w14:textId="77777777" w:rsidR="00701D34" w:rsidRPr="008E6EEC" w:rsidRDefault="00701D34" w:rsidP="00701D34">
      <w:pPr>
        <w:autoSpaceDE w:val="0"/>
        <w:autoSpaceDN w:val="0"/>
        <w:spacing w:line="260" w:lineRule="exact"/>
        <w:jc w:val="both"/>
        <w:rPr>
          <w:rFonts w:asciiTheme="minorHAnsi" w:eastAsia="Times" w:hAnsiTheme="minorHAnsi" w:cstheme="minorHAnsi"/>
          <w:b/>
        </w:rPr>
      </w:pPr>
    </w:p>
    <w:p w14:paraId="7CA1BE59" w14:textId="55FCA08D" w:rsidR="00701D34" w:rsidRPr="00892295" w:rsidRDefault="00701D34" w:rsidP="00892295">
      <w:pPr>
        <w:autoSpaceDE w:val="0"/>
        <w:autoSpaceDN w:val="0"/>
        <w:adjustRightInd w:val="0"/>
        <w:spacing w:after="200"/>
        <w:contextualSpacing/>
        <w:jc w:val="both"/>
        <w:rPr>
          <w:rFonts w:asciiTheme="minorHAnsi" w:eastAsiaTheme="minorHAnsi" w:hAnsiTheme="minorHAnsi" w:cstheme="minorHAnsi"/>
          <w:bCs/>
          <w:iCs/>
        </w:rPr>
      </w:pPr>
      <w:bookmarkStart w:id="3" w:name="_Hlk526514722"/>
      <w:r w:rsidRPr="008E6EEC">
        <w:rPr>
          <w:rFonts w:asciiTheme="minorHAnsi" w:eastAsiaTheme="minorHAnsi" w:hAnsiTheme="minorHAnsi" w:cstheme="minorHAnsi"/>
          <w:bCs/>
          <w:iCs/>
        </w:rPr>
        <w:t xml:space="preserve">Please provide an all-inclusive price for delivering professional services in accordance with the assignment described under this TOR. </w:t>
      </w:r>
      <w:r w:rsidRPr="008E6EEC">
        <w:rPr>
          <w:rFonts w:asciiTheme="minorHAnsi" w:eastAsia="Times" w:hAnsiTheme="minorHAnsi" w:cstheme="minorHAnsi"/>
          <w:lang w:eastAsia="en-GB"/>
        </w:rPr>
        <w:t>The formula for the rating of the Financial Proposals will be as follows:</w:t>
      </w:r>
    </w:p>
    <w:p w14:paraId="6410520B"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p>
    <w:p w14:paraId="6128579F"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 xml:space="preserve">FP Rating = (Lowest Priced Offer / Price of the Offer Being Reviewed) x </w:t>
      </w:r>
      <w:r>
        <w:rPr>
          <w:rFonts w:asciiTheme="minorHAnsi" w:eastAsia="Times" w:hAnsiTheme="minorHAnsi" w:cstheme="minorHAnsi"/>
          <w:lang w:eastAsia="en-GB"/>
        </w:rPr>
        <w:t>100</w:t>
      </w:r>
    </w:p>
    <w:bookmarkEnd w:id="3"/>
    <w:p w14:paraId="63B6509E" w14:textId="77777777" w:rsidR="00701D34" w:rsidRPr="008E6EEC" w:rsidRDefault="00701D34" w:rsidP="00701D34">
      <w:pPr>
        <w:pBdr>
          <w:bottom w:val="single" w:sz="12" w:space="1" w:color="auto"/>
        </w:pBdr>
        <w:spacing w:line="260" w:lineRule="exact"/>
        <w:jc w:val="both"/>
        <w:rPr>
          <w:rFonts w:asciiTheme="minorHAnsi" w:eastAsia="Times" w:hAnsiTheme="minorHAnsi" w:cstheme="minorHAnsi"/>
          <w:lang w:eastAsia="en-GB"/>
        </w:rPr>
      </w:pPr>
    </w:p>
    <w:p w14:paraId="21487C4E" w14:textId="77777777" w:rsidR="00701D34" w:rsidRPr="008E6EEC" w:rsidRDefault="00701D34" w:rsidP="00BD55ED">
      <w:pPr>
        <w:rPr>
          <w:rFonts w:asciiTheme="minorHAnsi" w:hAnsiTheme="minorHAnsi" w:cstheme="minorHAnsi"/>
          <w:b/>
          <w:kern w:val="2"/>
        </w:rPr>
      </w:pPr>
    </w:p>
    <w:tbl>
      <w:tblPr>
        <w:tblStyle w:val="TableGrid"/>
        <w:tblW w:w="9895" w:type="dxa"/>
        <w:tblLook w:val="04A0" w:firstRow="1" w:lastRow="0" w:firstColumn="1" w:lastColumn="0" w:noHBand="0" w:noVBand="1"/>
      </w:tblPr>
      <w:tblGrid>
        <w:gridCol w:w="5755"/>
        <w:gridCol w:w="4140"/>
      </w:tblGrid>
      <w:tr w:rsidR="00701D34" w:rsidRPr="008D55FA" w14:paraId="5391F9DA" w14:textId="77777777" w:rsidTr="00F24FA7">
        <w:trPr>
          <w:trHeight w:val="728"/>
        </w:trPr>
        <w:tc>
          <w:tcPr>
            <w:tcW w:w="5755" w:type="dxa"/>
            <w:vAlign w:val="center"/>
          </w:tcPr>
          <w:p w14:paraId="74D58EFB" w14:textId="17BD1EEF" w:rsidR="00701D34" w:rsidRPr="008D55FA" w:rsidRDefault="00544711" w:rsidP="004A1333">
            <w:pPr>
              <w:spacing w:line="288" w:lineRule="auto"/>
              <w:jc w:val="both"/>
              <w:rPr>
                <w:rFonts w:ascii="Calibri" w:hAnsi="Calibri" w:cs="Calibri"/>
              </w:rPr>
            </w:pPr>
            <w:r>
              <w:rPr>
                <w:rFonts w:ascii="Calibri" w:hAnsi="Calibri" w:cs="Calibri"/>
              </w:rPr>
              <w:t>/</w:t>
            </w:r>
            <w:r w:rsidR="00701D34" w:rsidRPr="008D55FA">
              <w:rPr>
                <w:rFonts w:ascii="Calibri" w:hAnsi="Calibri" w:cs="Calibri"/>
              </w:rPr>
              <w:t>Prepared by</w:t>
            </w:r>
            <w:r w:rsidR="00701D34">
              <w:rPr>
                <w:rFonts w:ascii="Calibri" w:hAnsi="Calibri" w:cs="Calibri"/>
              </w:rPr>
              <w:t xml:space="preserve"> WASH Specialist</w:t>
            </w:r>
            <w:r w:rsidR="00701D34" w:rsidRPr="008D55FA">
              <w:rPr>
                <w:rFonts w:ascii="Calibri" w:hAnsi="Calibri" w:cs="Calibri"/>
              </w:rPr>
              <w:t xml:space="preserve">: </w:t>
            </w:r>
            <w:r w:rsidR="00701D34" w:rsidRPr="003A42F1">
              <w:rPr>
                <w:rFonts w:ascii="Calibri" w:hAnsi="Calibri" w:cs="Calibri"/>
                <w:b/>
                <w:bCs/>
              </w:rPr>
              <w:t>Ammar Orakzai</w:t>
            </w:r>
          </w:p>
        </w:tc>
        <w:tc>
          <w:tcPr>
            <w:tcW w:w="4140" w:type="dxa"/>
            <w:vAlign w:val="center"/>
          </w:tcPr>
          <w:p w14:paraId="3FDB1A6F" w14:textId="77777777" w:rsidR="00701D34" w:rsidRPr="000D3A0F" w:rsidRDefault="00701D34" w:rsidP="004A1333">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r>
              <w:rPr>
                <w:rFonts w:ascii="Calibri" w:hAnsi="Calibri" w:cs="Calibri"/>
              </w:rPr>
              <w:t xml:space="preserve"> </w:t>
            </w:r>
          </w:p>
        </w:tc>
      </w:tr>
      <w:tr w:rsidR="00701D34" w:rsidRPr="008D55FA" w14:paraId="0F390F4C" w14:textId="77777777" w:rsidTr="00F24FA7">
        <w:trPr>
          <w:trHeight w:val="683"/>
        </w:trPr>
        <w:tc>
          <w:tcPr>
            <w:tcW w:w="5755" w:type="dxa"/>
            <w:vAlign w:val="center"/>
          </w:tcPr>
          <w:p w14:paraId="667C14CB" w14:textId="7EE8D563" w:rsidR="00701D34" w:rsidRPr="008D55FA" w:rsidRDefault="00701D34" w:rsidP="004A1333">
            <w:pPr>
              <w:spacing w:line="288" w:lineRule="auto"/>
              <w:jc w:val="both"/>
              <w:rPr>
                <w:rFonts w:ascii="Calibri" w:hAnsi="Calibri" w:cs="Calibri"/>
              </w:rPr>
            </w:pPr>
            <w:r w:rsidRPr="008D55FA">
              <w:rPr>
                <w:rFonts w:ascii="Calibri" w:hAnsi="Calibri" w:cs="Calibri"/>
              </w:rPr>
              <w:t>Reviewed by</w:t>
            </w:r>
            <w:r>
              <w:t xml:space="preserve"> </w:t>
            </w:r>
            <w:r>
              <w:rPr>
                <w:rFonts w:ascii="Calibri" w:hAnsi="Calibri" w:cs="Calibri"/>
              </w:rPr>
              <w:t>Deputy Representative Operations</w:t>
            </w:r>
            <w:r w:rsidRPr="008D55FA">
              <w:rPr>
                <w:rFonts w:ascii="Calibri" w:hAnsi="Calibri" w:cs="Calibri"/>
              </w:rPr>
              <w:t>:</w:t>
            </w:r>
            <w:r>
              <w:rPr>
                <w:rFonts w:ascii="Calibri" w:hAnsi="Calibri" w:cs="Calibri"/>
              </w:rPr>
              <w:t xml:space="preserve"> </w:t>
            </w:r>
            <w:r w:rsidRPr="00701D34">
              <w:rPr>
                <w:rFonts w:ascii="Calibri" w:hAnsi="Calibri" w:cs="Calibri"/>
                <w:b/>
                <w:bCs/>
              </w:rPr>
              <w:t>Samson Chibada</w:t>
            </w:r>
            <w:r w:rsidRPr="008D55FA">
              <w:rPr>
                <w:rFonts w:ascii="Calibri" w:hAnsi="Calibri" w:cs="Calibri"/>
              </w:rPr>
              <w:t xml:space="preserve"> </w:t>
            </w:r>
          </w:p>
        </w:tc>
        <w:tc>
          <w:tcPr>
            <w:tcW w:w="4140" w:type="dxa"/>
            <w:vAlign w:val="center"/>
          </w:tcPr>
          <w:p w14:paraId="658DE28C" w14:textId="77777777" w:rsidR="00701D34" w:rsidRPr="008D55FA" w:rsidRDefault="00701D34" w:rsidP="004A1333">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r w:rsidR="00701D34" w:rsidRPr="008D55FA" w14:paraId="7ACA1505" w14:textId="77777777" w:rsidTr="00F24FA7">
        <w:trPr>
          <w:trHeight w:val="710"/>
        </w:trPr>
        <w:tc>
          <w:tcPr>
            <w:tcW w:w="5755" w:type="dxa"/>
            <w:vAlign w:val="center"/>
          </w:tcPr>
          <w:p w14:paraId="49F50CDB" w14:textId="5B2A1FD4" w:rsidR="00701D34" w:rsidRPr="008D55FA" w:rsidRDefault="00701D34" w:rsidP="004A1333">
            <w:pPr>
              <w:spacing w:line="288" w:lineRule="auto"/>
              <w:jc w:val="both"/>
              <w:rPr>
                <w:rFonts w:ascii="Calibri" w:hAnsi="Calibri" w:cs="Calibri"/>
              </w:rPr>
            </w:pPr>
            <w:r>
              <w:rPr>
                <w:rFonts w:ascii="Calibri" w:hAnsi="Calibri" w:cs="Calibri"/>
              </w:rPr>
              <w:t>Endorsed</w:t>
            </w:r>
            <w:r w:rsidRPr="008D55FA">
              <w:rPr>
                <w:rFonts w:ascii="Calibri" w:hAnsi="Calibri" w:cs="Calibri"/>
              </w:rPr>
              <w:t xml:space="preserve"> by</w:t>
            </w:r>
            <w:r>
              <w:rPr>
                <w:rFonts w:ascii="Calibri" w:hAnsi="Calibri" w:cs="Calibri"/>
              </w:rPr>
              <w:t xml:space="preserve"> </w:t>
            </w:r>
            <w:r w:rsidRPr="002F48F3">
              <w:rPr>
                <w:rFonts w:ascii="Calibri" w:hAnsi="Calibri" w:cs="Calibri"/>
              </w:rPr>
              <w:t>Section Chief</w:t>
            </w:r>
            <w:r w:rsidRPr="008D55FA">
              <w:rPr>
                <w:rFonts w:ascii="Calibri" w:hAnsi="Calibri" w:cs="Calibri"/>
              </w:rPr>
              <w:t xml:space="preserve">: </w:t>
            </w:r>
            <w:r w:rsidRPr="00701D34">
              <w:rPr>
                <w:rFonts w:ascii="Calibri" w:hAnsi="Calibri" w:cs="Calibri"/>
                <w:b/>
                <w:bCs/>
              </w:rPr>
              <w:t>Anthony Asije</w:t>
            </w:r>
          </w:p>
        </w:tc>
        <w:tc>
          <w:tcPr>
            <w:tcW w:w="4140" w:type="dxa"/>
            <w:vAlign w:val="center"/>
          </w:tcPr>
          <w:p w14:paraId="31072959" w14:textId="77777777" w:rsidR="00701D34" w:rsidRPr="008D55FA" w:rsidRDefault="00701D34" w:rsidP="004A1333">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r w:rsidR="00701D34" w:rsidRPr="008D55FA" w14:paraId="34EAC5F7" w14:textId="77777777" w:rsidTr="00F24FA7">
        <w:trPr>
          <w:trHeight w:val="710"/>
        </w:trPr>
        <w:tc>
          <w:tcPr>
            <w:tcW w:w="5755" w:type="dxa"/>
            <w:vAlign w:val="center"/>
          </w:tcPr>
          <w:p w14:paraId="28944973" w14:textId="161B6258" w:rsidR="00701D34" w:rsidRPr="008D55FA" w:rsidRDefault="00701D34" w:rsidP="004A1333">
            <w:pPr>
              <w:spacing w:line="288" w:lineRule="auto"/>
              <w:jc w:val="both"/>
              <w:rPr>
                <w:rFonts w:ascii="Calibri" w:hAnsi="Calibri" w:cs="Calibri"/>
              </w:rPr>
            </w:pPr>
            <w:r>
              <w:rPr>
                <w:rFonts w:ascii="Calibri" w:hAnsi="Calibri" w:cs="Calibri"/>
              </w:rPr>
              <w:t xml:space="preserve">Approved by Deputy Representative: </w:t>
            </w:r>
            <w:r w:rsidRPr="00701D34">
              <w:rPr>
                <w:rFonts w:ascii="Calibri" w:hAnsi="Calibri" w:cs="Calibri"/>
                <w:b/>
                <w:bCs/>
              </w:rPr>
              <w:t>Zainab Al-Azzawi</w:t>
            </w:r>
            <w:r>
              <w:rPr>
                <w:rFonts w:ascii="Calibri" w:hAnsi="Calibri" w:cs="Calibri"/>
              </w:rPr>
              <w:t xml:space="preserve"> </w:t>
            </w:r>
          </w:p>
        </w:tc>
        <w:tc>
          <w:tcPr>
            <w:tcW w:w="4140" w:type="dxa"/>
            <w:vAlign w:val="center"/>
          </w:tcPr>
          <w:p w14:paraId="5BD27BF8" w14:textId="00E489AF" w:rsidR="00701D34" w:rsidRPr="008D55FA" w:rsidRDefault="00054055" w:rsidP="004A1333">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bl>
    <w:p w14:paraId="18654780" w14:textId="62FAE96D" w:rsidR="00455A90" w:rsidRDefault="00455A90" w:rsidP="00455A90">
      <w:pPr>
        <w:tabs>
          <w:tab w:val="left" w:pos="520"/>
        </w:tabs>
        <w:spacing w:after="160" w:line="259" w:lineRule="auto"/>
        <w:jc w:val="both"/>
        <w:rPr>
          <w:rFonts w:asciiTheme="minorHAnsi" w:hAnsiTheme="minorHAnsi" w:cstheme="minorHAnsi"/>
          <w:b/>
          <w:kern w:val="2"/>
        </w:rPr>
      </w:pPr>
    </w:p>
    <w:sectPr w:rsidR="00455A90" w:rsidSect="00896325">
      <w:headerReference w:type="default" r:id="rId11"/>
      <w:pgSz w:w="12240" w:h="15840" w:code="1"/>
      <w:pgMar w:top="432" w:right="1166" w:bottom="90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64F9C" w14:textId="77777777" w:rsidR="008B04F7" w:rsidRDefault="008B04F7" w:rsidP="00CF4A6B">
      <w:pPr>
        <w:spacing w:line="240" w:lineRule="auto"/>
      </w:pPr>
      <w:r>
        <w:separator/>
      </w:r>
    </w:p>
  </w:endnote>
  <w:endnote w:type="continuationSeparator" w:id="0">
    <w:p w14:paraId="2107DBFC" w14:textId="77777777" w:rsidR="008B04F7" w:rsidRDefault="008B04F7"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9B46C" w14:textId="77777777" w:rsidR="008B04F7" w:rsidRDefault="008B04F7" w:rsidP="00CF4A6B">
      <w:pPr>
        <w:spacing w:line="240" w:lineRule="auto"/>
      </w:pPr>
      <w:r>
        <w:separator/>
      </w:r>
    </w:p>
  </w:footnote>
  <w:footnote w:type="continuationSeparator" w:id="0">
    <w:p w14:paraId="57EA1A05" w14:textId="77777777" w:rsidR="008B04F7" w:rsidRDefault="008B04F7" w:rsidP="00CF4A6B">
      <w:pPr>
        <w:spacing w:line="240" w:lineRule="auto"/>
      </w:pPr>
      <w:r>
        <w:continuationSeparator/>
      </w:r>
    </w:p>
  </w:footnote>
  <w:footnote w:id="1">
    <w:p w14:paraId="3EFC189E" w14:textId="77777777" w:rsidR="00BA1B2F" w:rsidRPr="004F4DEE" w:rsidRDefault="00BA1B2F" w:rsidP="00BA1B2F">
      <w:pPr>
        <w:pStyle w:val="CommentText"/>
        <w:numPr>
          <w:ilvl w:val="0"/>
          <w:numId w:val="11"/>
        </w:numPr>
        <w:jc w:val="both"/>
        <w:rPr>
          <w:rFonts w:asciiTheme="minorHAnsi" w:hAnsiTheme="minorHAnsi" w:cstheme="minorHAnsi"/>
          <w:sz w:val="16"/>
          <w:szCs w:val="16"/>
          <w:lang w:val="en-US"/>
        </w:rPr>
      </w:pPr>
      <w:r w:rsidRPr="00BA1B2F">
        <w:rPr>
          <w:rStyle w:val="FootnoteReference"/>
          <w:rFonts w:asciiTheme="minorHAnsi" w:hAnsiTheme="minorHAnsi" w:cstheme="minorHAnsi"/>
          <w:sz w:val="16"/>
          <w:szCs w:val="16"/>
        </w:rPr>
        <w:footnoteRef/>
      </w:r>
      <w:r w:rsidRPr="004F4DEE">
        <w:rPr>
          <w:rFonts w:asciiTheme="minorHAnsi" w:hAnsiTheme="minorHAnsi" w:cstheme="minorHAnsi"/>
          <w:sz w:val="16"/>
          <w:szCs w:val="16"/>
          <w:lang w:val="en-US"/>
        </w:rPr>
        <w:t xml:space="preserve"> SanPiN 3.02.003.04 – Sanitary-epidemiological requirements for protection of surface waters from contamination;</w:t>
      </w:r>
    </w:p>
    <w:p w14:paraId="684935A6" w14:textId="77777777" w:rsidR="00BA1B2F" w:rsidRPr="004F4DEE" w:rsidRDefault="00BA1B2F" w:rsidP="00BA1B2F">
      <w:pPr>
        <w:pStyle w:val="CommentText"/>
        <w:numPr>
          <w:ilvl w:val="0"/>
          <w:numId w:val="11"/>
        </w:numPr>
        <w:jc w:val="both"/>
        <w:rPr>
          <w:rFonts w:asciiTheme="minorHAnsi" w:hAnsiTheme="minorHAnsi" w:cstheme="minorHAnsi"/>
          <w:sz w:val="16"/>
          <w:szCs w:val="16"/>
          <w:lang w:val="en-US"/>
        </w:rPr>
      </w:pPr>
      <w:r w:rsidRPr="004F4DEE">
        <w:rPr>
          <w:rFonts w:asciiTheme="minorHAnsi" w:hAnsiTheme="minorHAnsi" w:cstheme="minorHAnsi"/>
          <w:sz w:val="16"/>
          <w:szCs w:val="16"/>
          <w:lang w:val="en-US"/>
        </w:rPr>
        <w:t>SanPiN 2.1.4.006-07 – Zones of sanitary protection of sources of water supply and water supply systems for household water supply (MoHSP, 01 March 2007, #243);</w:t>
      </w:r>
    </w:p>
    <w:p w14:paraId="5B9C0063" w14:textId="77777777" w:rsidR="00BA1B2F" w:rsidRPr="00BA1B2F" w:rsidRDefault="00BA1B2F" w:rsidP="00BA1B2F">
      <w:pPr>
        <w:pStyle w:val="CommentText"/>
        <w:numPr>
          <w:ilvl w:val="0"/>
          <w:numId w:val="11"/>
        </w:numPr>
        <w:jc w:val="both"/>
        <w:rPr>
          <w:rFonts w:asciiTheme="minorHAnsi" w:hAnsiTheme="minorHAnsi" w:cstheme="minorHAnsi"/>
          <w:sz w:val="16"/>
          <w:szCs w:val="16"/>
        </w:rPr>
      </w:pPr>
      <w:r w:rsidRPr="004F4DEE">
        <w:rPr>
          <w:rFonts w:asciiTheme="minorHAnsi" w:hAnsiTheme="minorHAnsi" w:cstheme="minorHAnsi"/>
          <w:sz w:val="16"/>
          <w:szCs w:val="16"/>
          <w:lang w:val="en-US"/>
        </w:rPr>
        <w:t xml:space="preserve">SanPiN 2.1.4.005-07 – Requirements for quality of water supplied by non-centralized systems. </w:t>
      </w:r>
      <w:r w:rsidRPr="00BA1B2F">
        <w:rPr>
          <w:rFonts w:asciiTheme="minorHAnsi" w:hAnsiTheme="minorHAnsi" w:cstheme="minorHAnsi"/>
          <w:sz w:val="16"/>
          <w:szCs w:val="16"/>
        </w:rPr>
        <w:t>Sanitary protection of water sources (MoHSP, 01 March 2007, #244);</w:t>
      </w:r>
    </w:p>
    <w:p w14:paraId="0AC7C310" w14:textId="77777777" w:rsidR="00BA1B2F" w:rsidRPr="00BA1B2F" w:rsidRDefault="00BA1B2F" w:rsidP="00BA1B2F">
      <w:pPr>
        <w:pStyle w:val="CommentText"/>
        <w:numPr>
          <w:ilvl w:val="0"/>
          <w:numId w:val="11"/>
        </w:numPr>
        <w:jc w:val="both"/>
        <w:rPr>
          <w:rFonts w:asciiTheme="minorHAnsi" w:hAnsiTheme="minorHAnsi" w:cstheme="minorHAnsi"/>
          <w:sz w:val="16"/>
          <w:szCs w:val="16"/>
        </w:rPr>
      </w:pPr>
      <w:r w:rsidRPr="004F4DEE">
        <w:rPr>
          <w:rFonts w:asciiTheme="minorHAnsi" w:hAnsiTheme="minorHAnsi" w:cstheme="minorHAnsi"/>
          <w:sz w:val="16"/>
          <w:szCs w:val="16"/>
          <w:lang w:val="en-US"/>
        </w:rPr>
        <w:t xml:space="preserve">SanPiN 2.1.4.004-07 – Drinking Water. Hygienic requirements for quality of water of centralized drinking water supply systems. </w:t>
      </w:r>
      <w:r w:rsidRPr="00BA1B2F">
        <w:rPr>
          <w:rFonts w:asciiTheme="minorHAnsi" w:hAnsiTheme="minorHAnsi" w:cstheme="minorHAnsi"/>
          <w:sz w:val="16"/>
          <w:szCs w:val="16"/>
        </w:rPr>
        <w:t>Quality control (MoHSP, 01 March 2007, #245);</w:t>
      </w:r>
    </w:p>
    <w:p w14:paraId="2C930246" w14:textId="77777777" w:rsidR="00BA1B2F" w:rsidRPr="004F4DEE" w:rsidRDefault="00BA1B2F" w:rsidP="00BA1B2F">
      <w:pPr>
        <w:pStyle w:val="CommentText"/>
        <w:numPr>
          <w:ilvl w:val="0"/>
          <w:numId w:val="11"/>
        </w:numPr>
        <w:jc w:val="both"/>
        <w:rPr>
          <w:rFonts w:asciiTheme="minorHAnsi" w:hAnsiTheme="minorHAnsi" w:cstheme="minorHAnsi"/>
          <w:sz w:val="16"/>
          <w:szCs w:val="16"/>
          <w:lang w:val="en-US"/>
        </w:rPr>
      </w:pPr>
      <w:r w:rsidRPr="004F4DEE">
        <w:rPr>
          <w:rFonts w:asciiTheme="minorHAnsi" w:hAnsiTheme="minorHAnsi" w:cstheme="minorHAnsi"/>
          <w:sz w:val="16"/>
          <w:szCs w:val="16"/>
          <w:lang w:val="en-US"/>
        </w:rPr>
        <w:t>SanPin 2.3.2.0083-13 – Hygiene requirements to pre-school educational institutions (MoHSP, 07 April 2014, #181).</w:t>
      </w:r>
    </w:p>
    <w:p w14:paraId="60B1C143" w14:textId="1ECAF985" w:rsidR="00BA1B2F" w:rsidRPr="00BA1B2F" w:rsidRDefault="00BA1B2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6534" w14:textId="77777777" w:rsidR="007E4DC4" w:rsidRPr="003C6CA4" w:rsidRDefault="007E4DC4">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sidR="002F73B7">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sidR="002F73B7">
      <w:rPr>
        <w:b/>
        <w:bCs/>
        <w:noProof/>
        <w:sz w:val="18"/>
        <w:szCs w:val="18"/>
      </w:rPr>
      <w:t>11</w:t>
    </w:r>
    <w:r w:rsidRPr="003C6CA4">
      <w:rPr>
        <w:b/>
        <w:bCs/>
        <w:sz w:val="18"/>
        <w:szCs w:val="18"/>
      </w:rPr>
      <w:fldChar w:fldCharType="end"/>
    </w:r>
  </w:p>
  <w:p w14:paraId="5AD573B3" w14:textId="77777777" w:rsidR="007E4DC4" w:rsidRDefault="007E4DC4">
    <w:pPr>
      <w:pStyle w:val="Header"/>
    </w:pPr>
  </w:p>
  <w:p w14:paraId="49C484F3" w14:textId="77777777" w:rsidR="00BD0027" w:rsidRDefault="00BD00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3EBA"/>
    <w:multiLevelType w:val="hybridMultilevel"/>
    <w:tmpl w:val="9A90EE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172E0B"/>
    <w:multiLevelType w:val="hybridMultilevel"/>
    <w:tmpl w:val="A3A450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44913"/>
    <w:multiLevelType w:val="multilevel"/>
    <w:tmpl w:val="4842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F48C9"/>
    <w:multiLevelType w:val="hybridMultilevel"/>
    <w:tmpl w:val="E54881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444784"/>
    <w:multiLevelType w:val="hybridMultilevel"/>
    <w:tmpl w:val="23D88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CA2064"/>
    <w:multiLevelType w:val="hybridMultilevel"/>
    <w:tmpl w:val="BCD010B6"/>
    <w:lvl w:ilvl="0" w:tplc="8C9E0D3A">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D86E66"/>
    <w:multiLevelType w:val="hybridMultilevel"/>
    <w:tmpl w:val="7A50DC56"/>
    <w:lvl w:ilvl="0" w:tplc="6D92D55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55F1F"/>
    <w:multiLevelType w:val="hybridMultilevel"/>
    <w:tmpl w:val="C2E0B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CC6907"/>
    <w:multiLevelType w:val="hybridMultilevel"/>
    <w:tmpl w:val="7A50DC56"/>
    <w:lvl w:ilvl="0" w:tplc="6D92D55A">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E15C7E"/>
    <w:multiLevelType w:val="hybridMultilevel"/>
    <w:tmpl w:val="28EE907E"/>
    <w:lvl w:ilvl="0" w:tplc="04090005">
      <w:start w:val="1"/>
      <w:numFmt w:val="bullet"/>
      <w:lvlText w:val=""/>
      <w:lvlJc w:val="left"/>
      <w:pPr>
        <w:tabs>
          <w:tab w:val="num" w:pos="360"/>
        </w:tabs>
        <w:ind w:left="360" w:hanging="360"/>
      </w:pPr>
      <w:rPr>
        <w:rFonts w:ascii="Wingdings" w:hAnsi="Wingdings" w:hint="default"/>
      </w:rPr>
    </w:lvl>
    <w:lvl w:ilvl="1" w:tplc="4516E942" w:tentative="1">
      <w:start w:val="1"/>
      <w:numFmt w:val="bullet"/>
      <w:lvlText w:val=""/>
      <w:lvlJc w:val="left"/>
      <w:pPr>
        <w:tabs>
          <w:tab w:val="num" w:pos="1440"/>
        </w:tabs>
        <w:ind w:left="1440" w:hanging="360"/>
      </w:pPr>
      <w:rPr>
        <w:rFonts w:ascii="Wingdings" w:hAnsi="Wingdings" w:hint="default"/>
      </w:rPr>
    </w:lvl>
    <w:lvl w:ilvl="2" w:tplc="411C3042" w:tentative="1">
      <w:start w:val="1"/>
      <w:numFmt w:val="bullet"/>
      <w:lvlText w:val=""/>
      <w:lvlJc w:val="left"/>
      <w:pPr>
        <w:tabs>
          <w:tab w:val="num" w:pos="2160"/>
        </w:tabs>
        <w:ind w:left="2160" w:hanging="360"/>
      </w:pPr>
      <w:rPr>
        <w:rFonts w:ascii="Wingdings" w:hAnsi="Wingdings" w:hint="default"/>
      </w:rPr>
    </w:lvl>
    <w:lvl w:ilvl="3" w:tplc="E49A9CA4" w:tentative="1">
      <w:start w:val="1"/>
      <w:numFmt w:val="bullet"/>
      <w:lvlText w:val=""/>
      <w:lvlJc w:val="left"/>
      <w:pPr>
        <w:tabs>
          <w:tab w:val="num" w:pos="2880"/>
        </w:tabs>
        <w:ind w:left="2880" w:hanging="360"/>
      </w:pPr>
      <w:rPr>
        <w:rFonts w:ascii="Wingdings" w:hAnsi="Wingdings" w:hint="default"/>
      </w:rPr>
    </w:lvl>
    <w:lvl w:ilvl="4" w:tplc="B1B054F8" w:tentative="1">
      <w:start w:val="1"/>
      <w:numFmt w:val="bullet"/>
      <w:lvlText w:val=""/>
      <w:lvlJc w:val="left"/>
      <w:pPr>
        <w:tabs>
          <w:tab w:val="num" w:pos="3600"/>
        </w:tabs>
        <w:ind w:left="3600" w:hanging="360"/>
      </w:pPr>
      <w:rPr>
        <w:rFonts w:ascii="Wingdings" w:hAnsi="Wingdings" w:hint="default"/>
      </w:rPr>
    </w:lvl>
    <w:lvl w:ilvl="5" w:tplc="052EF01C" w:tentative="1">
      <w:start w:val="1"/>
      <w:numFmt w:val="bullet"/>
      <w:lvlText w:val=""/>
      <w:lvlJc w:val="left"/>
      <w:pPr>
        <w:tabs>
          <w:tab w:val="num" w:pos="4320"/>
        </w:tabs>
        <w:ind w:left="4320" w:hanging="360"/>
      </w:pPr>
      <w:rPr>
        <w:rFonts w:ascii="Wingdings" w:hAnsi="Wingdings" w:hint="default"/>
      </w:rPr>
    </w:lvl>
    <w:lvl w:ilvl="6" w:tplc="2744A2F8" w:tentative="1">
      <w:start w:val="1"/>
      <w:numFmt w:val="bullet"/>
      <w:lvlText w:val=""/>
      <w:lvlJc w:val="left"/>
      <w:pPr>
        <w:tabs>
          <w:tab w:val="num" w:pos="5040"/>
        </w:tabs>
        <w:ind w:left="5040" w:hanging="360"/>
      </w:pPr>
      <w:rPr>
        <w:rFonts w:ascii="Wingdings" w:hAnsi="Wingdings" w:hint="default"/>
      </w:rPr>
    </w:lvl>
    <w:lvl w:ilvl="7" w:tplc="6DEC74C0" w:tentative="1">
      <w:start w:val="1"/>
      <w:numFmt w:val="bullet"/>
      <w:lvlText w:val=""/>
      <w:lvlJc w:val="left"/>
      <w:pPr>
        <w:tabs>
          <w:tab w:val="num" w:pos="5760"/>
        </w:tabs>
        <w:ind w:left="5760" w:hanging="360"/>
      </w:pPr>
      <w:rPr>
        <w:rFonts w:ascii="Wingdings" w:hAnsi="Wingdings" w:hint="default"/>
      </w:rPr>
    </w:lvl>
    <w:lvl w:ilvl="8" w:tplc="83F836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223A31"/>
    <w:multiLevelType w:val="multilevel"/>
    <w:tmpl w:val="4CDE74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6"/>
  </w:num>
  <w:num w:numId="5">
    <w:abstractNumId w:val="8"/>
  </w:num>
  <w:num w:numId="6">
    <w:abstractNumId w:val="5"/>
  </w:num>
  <w:num w:numId="7">
    <w:abstractNumId w:val="0"/>
  </w:num>
  <w:num w:numId="8">
    <w:abstractNumId w:val="3"/>
  </w:num>
  <w:num w:numId="9">
    <w:abstractNumId w:val="1"/>
  </w:num>
  <w:num w:numId="10">
    <w:abstractNumId w:val="11"/>
  </w:num>
  <w:num w:numId="11">
    <w:abstractNumId w:val="10"/>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kwMqgFAHRuqlQtAAAA"/>
  </w:docVars>
  <w:rsids>
    <w:rsidRoot w:val="00A73976"/>
    <w:rsid w:val="000004D5"/>
    <w:rsid w:val="00005E8F"/>
    <w:rsid w:val="00010CC5"/>
    <w:rsid w:val="00014268"/>
    <w:rsid w:val="000168BF"/>
    <w:rsid w:val="000208C4"/>
    <w:rsid w:val="000220BD"/>
    <w:rsid w:val="00022E04"/>
    <w:rsid w:val="0003314B"/>
    <w:rsid w:val="000434EB"/>
    <w:rsid w:val="00054055"/>
    <w:rsid w:val="0005484D"/>
    <w:rsid w:val="000622D5"/>
    <w:rsid w:val="0006419A"/>
    <w:rsid w:val="00066535"/>
    <w:rsid w:val="00066D04"/>
    <w:rsid w:val="00072EEE"/>
    <w:rsid w:val="00076E17"/>
    <w:rsid w:val="000771E1"/>
    <w:rsid w:val="00086F16"/>
    <w:rsid w:val="000A0A73"/>
    <w:rsid w:val="000A621B"/>
    <w:rsid w:val="000B1461"/>
    <w:rsid w:val="000B5C48"/>
    <w:rsid w:val="000C5F2E"/>
    <w:rsid w:val="000C7562"/>
    <w:rsid w:val="000D3A0F"/>
    <w:rsid w:val="000E3BA3"/>
    <w:rsid w:val="000E6671"/>
    <w:rsid w:val="00105656"/>
    <w:rsid w:val="00116FE4"/>
    <w:rsid w:val="00121E6F"/>
    <w:rsid w:val="0012784E"/>
    <w:rsid w:val="00133190"/>
    <w:rsid w:val="00134E6C"/>
    <w:rsid w:val="00135451"/>
    <w:rsid w:val="00153E4C"/>
    <w:rsid w:val="0016693E"/>
    <w:rsid w:val="00166ABD"/>
    <w:rsid w:val="00192BE0"/>
    <w:rsid w:val="00196695"/>
    <w:rsid w:val="00197ED7"/>
    <w:rsid w:val="001A7FC3"/>
    <w:rsid w:val="001C473F"/>
    <w:rsid w:val="001D2E74"/>
    <w:rsid w:val="001E62E3"/>
    <w:rsid w:val="001F009D"/>
    <w:rsid w:val="00204581"/>
    <w:rsid w:val="002065DD"/>
    <w:rsid w:val="0020715A"/>
    <w:rsid w:val="00220629"/>
    <w:rsid w:val="00221890"/>
    <w:rsid w:val="00224FCC"/>
    <w:rsid w:val="00227F01"/>
    <w:rsid w:val="00241877"/>
    <w:rsid w:val="00242577"/>
    <w:rsid w:val="002657C9"/>
    <w:rsid w:val="00286664"/>
    <w:rsid w:val="00286EAB"/>
    <w:rsid w:val="00291B56"/>
    <w:rsid w:val="00291E5F"/>
    <w:rsid w:val="00296D14"/>
    <w:rsid w:val="002977B3"/>
    <w:rsid w:val="002A407B"/>
    <w:rsid w:val="002A44A2"/>
    <w:rsid w:val="002A4E3B"/>
    <w:rsid w:val="002B2E31"/>
    <w:rsid w:val="002D5376"/>
    <w:rsid w:val="002D66C3"/>
    <w:rsid w:val="002E6706"/>
    <w:rsid w:val="002F03FC"/>
    <w:rsid w:val="002F0570"/>
    <w:rsid w:val="002F48F3"/>
    <w:rsid w:val="002F73B7"/>
    <w:rsid w:val="003165AA"/>
    <w:rsid w:val="00332639"/>
    <w:rsid w:val="0033469C"/>
    <w:rsid w:val="00345B24"/>
    <w:rsid w:val="00356864"/>
    <w:rsid w:val="00362E5C"/>
    <w:rsid w:val="00366E40"/>
    <w:rsid w:val="00375408"/>
    <w:rsid w:val="0038087D"/>
    <w:rsid w:val="00381767"/>
    <w:rsid w:val="00382450"/>
    <w:rsid w:val="0039057E"/>
    <w:rsid w:val="003945CE"/>
    <w:rsid w:val="003A30B6"/>
    <w:rsid w:val="003A41CC"/>
    <w:rsid w:val="003A42F1"/>
    <w:rsid w:val="003B5FE5"/>
    <w:rsid w:val="003C1C4F"/>
    <w:rsid w:val="003E41B6"/>
    <w:rsid w:val="003F2898"/>
    <w:rsid w:val="003F2CB6"/>
    <w:rsid w:val="003F4D88"/>
    <w:rsid w:val="0040591E"/>
    <w:rsid w:val="00405D8F"/>
    <w:rsid w:val="00425EB8"/>
    <w:rsid w:val="0043078C"/>
    <w:rsid w:val="00432446"/>
    <w:rsid w:val="00433196"/>
    <w:rsid w:val="00434A68"/>
    <w:rsid w:val="00455A90"/>
    <w:rsid w:val="00457F6B"/>
    <w:rsid w:val="00463EFA"/>
    <w:rsid w:val="00465D6E"/>
    <w:rsid w:val="004660A5"/>
    <w:rsid w:val="00476507"/>
    <w:rsid w:val="0049130C"/>
    <w:rsid w:val="00493033"/>
    <w:rsid w:val="00494B9A"/>
    <w:rsid w:val="00495D08"/>
    <w:rsid w:val="004A0F1D"/>
    <w:rsid w:val="004B15A1"/>
    <w:rsid w:val="004C5163"/>
    <w:rsid w:val="004C6A3E"/>
    <w:rsid w:val="004D111C"/>
    <w:rsid w:val="004E2056"/>
    <w:rsid w:val="004F4DEE"/>
    <w:rsid w:val="004F71C9"/>
    <w:rsid w:val="004F7D17"/>
    <w:rsid w:val="004F7D42"/>
    <w:rsid w:val="004F7FAB"/>
    <w:rsid w:val="0050227D"/>
    <w:rsid w:val="00505120"/>
    <w:rsid w:val="00506DC4"/>
    <w:rsid w:val="00516F55"/>
    <w:rsid w:val="00520CD8"/>
    <w:rsid w:val="00525370"/>
    <w:rsid w:val="00526465"/>
    <w:rsid w:val="00532E0B"/>
    <w:rsid w:val="00544711"/>
    <w:rsid w:val="005455A2"/>
    <w:rsid w:val="0054588F"/>
    <w:rsid w:val="00551EF3"/>
    <w:rsid w:val="00555AC9"/>
    <w:rsid w:val="0056297F"/>
    <w:rsid w:val="00576C3A"/>
    <w:rsid w:val="00584392"/>
    <w:rsid w:val="005874C8"/>
    <w:rsid w:val="00593311"/>
    <w:rsid w:val="005939F2"/>
    <w:rsid w:val="005A04DE"/>
    <w:rsid w:val="005A2DF5"/>
    <w:rsid w:val="005A53D1"/>
    <w:rsid w:val="005B33A0"/>
    <w:rsid w:val="005C097A"/>
    <w:rsid w:val="005C14B7"/>
    <w:rsid w:val="005D6142"/>
    <w:rsid w:val="005D62BC"/>
    <w:rsid w:val="005D7A7C"/>
    <w:rsid w:val="005F45B6"/>
    <w:rsid w:val="005F649D"/>
    <w:rsid w:val="00600097"/>
    <w:rsid w:val="00653473"/>
    <w:rsid w:val="006555C0"/>
    <w:rsid w:val="00662BA0"/>
    <w:rsid w:val="006638F0"/>
    <w:rsid w:val="0066600C"/>
    <w:rsid w:val="00672762"/>
    <w:rsid w:val="00676D03"/>
    <w:rsid w:val="00682E9C"/>
    <w:rsid w:val="00685D13"/>
    <w:rsid w:val="006970E5"/>
    <w:rsid w:val="006B3F84"/>
    <w:rsid w:val="006C0798"/>
    <w:rsid w:val="006C08DE"/>
    <w:rsid w:val="006C2FFD"/>
    <w:rsid w:val="006C4E8C"/>
    <w:rsid w:val="006C63F0"/>
    <w:rsid w:val="006D4886"/>
    <w:rsid w:val="006D5DE2"/>
    <w:rsid w:val="006E65E6"/>
    <w:rsid w:val="006E6EC0"/>
    <w:rsid w:val="006F124E"/>
    <w:rsid w:val="006F1D27"/>
    <w:rsid w:val="007010DF"/>
    <w:rsid w:val="00701D34"/>
    <w:rsid w:val="00704A70"/>
    <w:rsid w:val="00715A92"/>
    <w:rsid w:val="007246C8"/>
    <w:rsid w:val="00731F2E"/>
    <w:rsid w:val="00736B25"/>
    <w:rsid w:val="007428F1"/>
    <w:rsid w:val="00743279"/>
    <w:rsid w:val="00757CF0"/>
    <w:rsid w:val="007A7A14"/>
    <w:rsid w:val="007D2263"/>
    <w:rsid w:val="007D44CC"/>
    <w:rsid w:val="007E4DC4"/>
    <w:rsid w:val="007F0E3D"/>
    <w:rsid w:val="007F66B6"/>
    <w:rsid w:val="00800D6B"/>
    <w:rsid w:val="0080571A"/>
    <w:rsid w:val="00816FE2"/>
    <w:rsid w:val="00817001"/>
    <w:rsid w:val="008310A6"/>
    <w:rsid w:val="00832442"/>
    <w:rsid w:val="00833170"/>
    <w:rsid w:val="008340C5"/>
    <w:rsid w:val="00845C0C"/>
    <w:rsid w:val="00845FF9"/>
    <w:rsid w:val="00846207"/>
    <w:rsid w:val="00861C38"/>
    <w:rsid w:val="0087003B"/>
    <w:rsid w:val="00881C23"/>
    <w:rsid w:val="0088354E"/>
    <w:rsid w:val="00883B93"/>
    <w:rsid w:val="00884A3E"/>
    <w:rsid w:val="00887116"/>
    <w:rsid w:val="00892295"/>
    <w:rsid w:val="00896325"/>
    <w:rsid w:val="008A3015"/>
    <w:rsid w:val="008A4741"/>
    <w:rsid w:val="008B04F7"/>
    <w:rsid w:val="008B75C4"/>
    <w:rsid w:val="008C6D61"/>
    <w:rsid w:val="008D1ABE"/>
    <w:rsid w:val="008D55FA"/>
    <w:rsid w:val="008E05AB"/>
    <w:rsid w:val="008E6EEC"/>
    <w:rsid w:val="00906CC8"/>
    <w:rsid w:val="00917172"/>
    <w:rsid w:val="009219D2"/>
    <w:rsid w:val="00923F00"/>
    <w:rsid w:val="009241AB"/>
    <w:rsid w:val="00933A8E"/>
    <w:rsid w:val="0094277F"/>
    <w:rsid w:val="009476CA"/>
    <w:rsid w:val="009510DC"/>
    <w:rsid w:val="00957ACA"/>
    <w:rsid w:val="00960CF4"/>
    <w:rsid w:val="0096364C"/>
    <w:rsid w:val="00975136"/>
    <w:rsid w:val="00976BE0"/>
    <w:rsid w:val="0097712C"/>
    <w:rsid w:val="009810EB"/>
    <w:rsid w:val="00984AE6"/>
    <w:rsid w:val="009866BB"/>
    <w:rsid w:val="0098753A"/>
    <w:rsid w:val="009A0B2A"/>
    <w:rsid w:val="009A1305"/>
    <w:rsid w:val="009A707C"/>
    <w:rsid w:val="009D6416"/>
    <w:rsid w:val="009F092F"/>
    <w:rsid w:val="00A021B7"/>
    <w:rsid w:val="00A10B56"/>
    <w:rsid w:val="00A27840"/>
    <w:rsid w:val="00A4416B"/>
    <w:rsid w:val="00A4563C"/>
    <w:rsid w:val="00A50CF2"/>
    <w:rsid w:val="00A5419C"/>
    <w:rsid w:val="00A73976"/>
    <w:rsid w:val="00A836C3"/>
    <w:rsid w:val="00A91EC1"/>
    <w:rsid w:val="00AB25EA"/>
    <w:rsid w:val="00AB40E3"/>
    <w:rsid w:val="00AB4735"/>
    <w:rsid w:val="00AB6486"/>
    <w:rsid w:val="00AB7094"/>
    <w:rsid w:val="00AD012E"/>
    <w:rsid w:val="00AD24DB"/>
    <w:rsid w:val="00AD749F"/>
    <w:rsid w:val="00AE10D3"/>
    <w:rsid w:val="00AF14AB"/>
    <w:rsid w:val="00AF31E5"/>
    <w:rsid w:val="00AF57A6"/>
    <w:rsid w:val="00B2360A"/>
    <w:rsid w:val="00B277B6"/>
    <w:rsid w:val="00B2789A"/>
    <w:rsid w:val="00B36998"/>
    <w:rsid w:val="00B41857"/>
    <w:rsid w:val="00B632C9"/>
    <w:rsid w:val="00B73A7E"/>
    <w:rsid w:val="00B74284"/>
    <w:rsid w:val="00B76844"/>
    <w:rsid w:val="00B80FE3"/>
    <w:rsid w:val="00BA1B2F"/>
    <w:rsid w:val="00BA6D66"/>
    <w:rsid w:val="00BB3807"/>
    <w:rsid w:val="00BD0027"/>
    <w:rsid w:val="00BD4096"/>
    <w:rsid w:val="00BD55ED"/>
    <w:rsid w:val="00BE136F"/>
    <w:rsid w:val="00BE4670"/>
    <w:rsid w:val="00BE6B64"/>
    <w:rsid w:val="00BE6CBE"/>
    <w:rsid w:val="00BF21DB"/>
    <w:rsid w:val="00BF579E"/>
    <w:rsid w:val="00C02E0C"/>
    <w:rsid w:val="00C14039"/>
    <w:rsid w:val="00C15F5E"/>
    <w:rsid w:val="00C20D25"/>
    <w:rsid w:val="00C24C76"/>
    <w:rsid w:val="00C329F5"/>
    <w:rsid w:val="00C40444"/>
    <w:rsid w:val="00C45647"/>
    <w:rsid w:val="00C52675"/>
    <w:rsid w:val="00C71414"/>
    <w:rsid w:val="00C7279B"/>
    <w:rsid w:val="00C75703"/>
    <w:rsid w:val="00C80FC7"/>
    <w:rsid w:val="00C818E1"/>
    <w:rsid w:val="00C846C5"/>
    <w:rsid w:val="00C8495D"/>
    <w:rsid w:val="00C949A5"/>
    <w:rsid w:val="00CB11E0"/>
    <w:rsid w:val="00CB2225"/>
    <w:rsid w:val="00CC3D05"/>
    <w:rsid w:val="00CD1F84"/>
    <w:rsid w:val="00CD377A"/>
    <w:rsid w:val="00CE055F"/>
    <w:rsid w:val="00CE395B"/>
    <w:rsid w:val="00CE5B03"/>
    <w:rsid w:val="00CF06FD"/>
    <w:rsid w:val="00CF09C1"/>
    <w:rsid w:val="00CF2865"/>
    <w:rsid w:val="00CF4A6B"/>
    <w:rsid w:val="00CF4D3D"/>
    <w:rsid w:val="00D00C11"/>
    <w:rsid w:val="00D02AA9"/>
    <w:rsid w:val="00D0443A"/>
    <w:rsid w:val="00D117B2"/>
    <w:rsid w:val="00D14BE8"/>
    <w:rsid w:val="00D16916"/>
    <w:rsid w:val="00D16F0F"/>
    <w:rsid w:val="00D22D06"/>
    <w:rsid w:val="00D34C45"/>
    <w:rsid w:val="00D43A15"/>
    <w:rsid w:val="00D60D62"/>
    <w:rsid w:val="00D62A45"/>
    <w:rsid w:val="00D62AFA"/>
    <w:rsid w:val="00D63861"/>
    <w:rsid w:val="00D640BC"/>
    <w:rsid w:val="00D66680"/>
    <w:rsid w:val="00D740AC"/>
    <w:rsid w:val="00D76C5E"/>
    <w:rsid w:val="00D90127"/>
    <w:rsid w:val="00DA6A31"/>
    <w:rsid w:val="00DC6E37"/>
    <w:rsid w:val="00DE4214"/>
    <w:rsid w:val="00DF6DC1"/>
    <w:rsid w:val="00E03353"/>
    <w:rsid w:val="00E03B83"/>
    <w:rsid w:val="00E03FF2"/>
    <w:rsid w:val="00E05A6C"/>
    <w:rsid w:val="00E15EDD"/>
    <w:rsid w:val="00E172AD"/>
    <w:rsid w:val="00E175EB"/>
    <w:rsid w:val="00E17A15"/>
    <w:rsid w:val="00E32220"/>
    <w:rsid w:val="00E43EDC"/>
    <w:rsid w:val="00E44933"/>
    <w:rsid w:val="00E4778B"/>
    <w:rsid w:val="00E52CE0"/>
    <w:rsid w:val="00E5450C"/>
    <w:rsid w:val="00E60D2C"/>
    <w:rsid w:val="00E65308"/>
    <w:rsid w:val="00E655AC"/>
    <w:rsid w:val="00E70ADC"/>
    <w:rsid w:val="00E70D96"/>
    <w:rsid w:val="00E73311"/>
    <w:rsid w:val="00E741F9"/>
    <w:rsid w:val="00E7688B"/>
    <w:rsid w:val="00E802DD"/>
    <w:rsid w:val="00E815AA"/>
    <w:rsid w:val="00E83853"/>
    <w:rsid w:val="00E8592C"/>
    <w:rsid w:val="00E91347"/>
    <w:rsid w:val="00E95C07"/>
    <w:rsid w:val="00EA2E90"/>
    <w:rsid w:val="00EA30CF"/>
    <w:rsid w:val="00EA36A0"/>
    <w:rsid w:val="00EA7EDE"/>
    <w:rsid w:val="00EB0332"/>
    <w:rsid w:val="00EB0A67"/>
    <w:rsid w:val="00EB79F8"/>
    <w:rsid w:val="00EE1CD0"/>
    <w:rsid w:val="00EE3492"/>
    <w:rsid w:val="00F014F9"/>
    <w:rsid w:val="00F05D8E"/>
    <w:rsid w:val="00F11AD6"/>
    <w:rsid w:val="00F1470D"/>
    <w:rsid w:val="00F24FA7"/>
    <w:rsid w:val="00F303A1"/>
    <w:rsid w:val="00F64B7D"/>
    <w:rsid w:val="00F64B89"/>
    <w:rsid w:val="00F7589A"/>
    <w:rsid w:val="00F8307A"/>
    <w:rsid w:val="00F857FB"/>
    <w:rsid w:val="00F94036"/>
    <w:rsid w:val="00FA66F3"/>
    <w:rsid w:val="00FB19F6"/>
    <w:rsid w:val="00FB1C45"/>
    <w:rsid w:val="00FD261D"/>
    <w:rsid w:val="00FD4C96"/>
    <w:rsid w:val="00FE2BB5"/>
    <w:rsid w:val="00FE6B4D"/>
    <w:rsid w:val="00FF321E"/>
    <w:rsid w:val="00FF5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A45"/>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CF4A6B"/>
    <w:pPr>
      <w:ind w:left="720"/>
      <w:contextualSpacing/>
    </w:pPr>
  </w:style>
  <w:style w:type="character" w:styleId="Hyperlink">
    <w:name w:val="Hyperlink"/>
    <w:uiPriority w:val="99"/>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iPriority w:val="99"/>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uiPriority w:val="99"/>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uiPriority w:val="99"/>
    <w:qForma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table" w:styleId="TableGrid">
    <w:name w:val="Table Grid"/>
    <w:basedOn w:val="TableNormal"/>
    <w:uiPriority w:val="39"/>
    <w:rsid w:val="008D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8307A"/>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F8307A"/>
    <w:rPr>
      <w:rFonts w:ascii="Times New Roman" w:eastAsia="Times New Roman" w:hAnsi="Times New Roman" w:cs="Times New Roman"/>
      <w:color w:val="000000"/>
      <w:sz w:val="19"/>
    </w:rPr>
  </w:style>
  <w:style w:type="character" w:customStyle="1" w:styleId="footnotemark">
    <w:name w:val="footnote mark"/>
    <w:hidden/>
    <w:rsid w:val="00F8307A"/>
    <w:rPr>
      <w:rFonts w:ascii="Times New Roman" w:eastAsia="Times New Roman" w:hAnsi="Times New Roman" w:cs="Times New Roman"/>
      <w:color w:val="000000"/>
      <w:sz w:val="19"/>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8B75C4"/>
    <w:pPr>
      <w:spacing w:line="240" w:lineRule="auto"/>
      <w:jc w:val="both"/>
    </w:pPr>
    <w:rPr>
      <w:rFonts w:ascii="Times New Roman" w:eastAsia="Times New Roman" w:hAnsi="Times New Roman" w:cs="Times New Roman"/>
      <w:color w:val="auto"/>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7460">
      <w:bodyDiv w:val="1"/>
      <w:marLeft w:val="0"/>
      <w:marRight w:val="0"/>
      <w:marTop w:val="0"/>
      <w:marBottom w:val="0"/>
      <w:divBdr>
        <w:top w:val="none" w:sz="0" w:space="0" w:color="auto"/>
        <w:left w:val="none" w:sz="0" w:space="0" w:color="auto"/>
        <w:bottom w:val="none" w:sz="0" w:space="0" w:color="auto"/>
        <w:right w:val="none" w:sz="0" w:space="0" w:color="auto"/>
      </w:divBdr>
    </w:div>
    <w:div w:id="95902550">
      <w:bodyDiv w:val="1"/>
      <w:marLeft w:val="0"/>
      <w:marRight w:val="0"/>
      <w:marTop w:val="0"/>
      <w:marBottom w:val="0"/>
      <w:divBdr>
        <w:top w:val="none" w:sz="0" w:space="0" w:color="auto"/>
        <w:left w:val="none" w:sz="0" w:space="0" w:color="auto"/>
        <w:bottom w:val="none" w:sz="0" w:space="0" w:color="auto"/>
        <w:right w:val="none" w:sz="0" w:space="0" w:color="auto"/>
      </w:divBdr>
    </w:div>
    <w:div w:id="210729771">
      <w:bodyDiv w:val="1"/>
      <w:marLeft w:val="0"/>
      <w:marRight w:val="0"/>
      <w:marTop w:val="0"/>
      <w:marBottom w:val="0"/>
      <w:divBdr>
        <w:top w:val="none" w:sz="0" w:space="0" w:color="auto"/>
        <w:left w:val="none" w:sz="0" w:space="0" w:color="auto"/>
        <w:bottom w:val="none" w:sz="0" w:space="0" w:color="auto"/>
        <w:right w:val="none" w:sz="0" w:space="0" w:color="auto"/>
      </w:divBdr>
    </w:div>
    <w:div w:id="388648381">
      <w:bodyDiv w:val="1"/>
      <w:marLeft w:val="0"/>
      <w:marRight w:val="0"/>
      <w:marTop w:val="0"/>
      <w:marBottom w:val="0"/>
      <w:divBdr>
        <w:top w:val="none" w:sz="0" w:space="0" w:color="auto"/>
        <w:left w:val="none" w:sz="0" w:space="0" w:color="auto"/>
        <w:bottom w:val="none" w:sz="0" w:space="0" w:color="auto"/>
        <w:right w:val="none" w:sz="0" w:space="0" w:color="auto"/>
      </w:divBdr>
    </w:div>
    <w:div w:id="759182356">
      <w:bodyDiv w:val="1"/>
      <w:marLeft w:val="0"/>
      <w:marRight w:val="0"/>
      <w:marTop w:val="0"/>
      <w:marBottom w:val="0"/>
      <w:divBdr>
        <w:top w:val="none" w:sz="0" w:space="0" w:color="auto"/>
        <w:left w:val="none" w:sz="0" w:space="0" w:color="auto"/>
        <w:bottom w:val="none" w:sz="0" w:space="0" w:color="auto"/>
        <w:right w:val="none" w:sz="0" w:space="0" w:color="auto"/>
      </w:divBdr>
    </w:div>
    <w:div w:id="12347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cef.org/about/employ/index.php" TargetMode="External"/><Relationship Id="rId4" Type="http://schemas.openxmlformats.org/officeDocument/2006/relationships/settings" Target="settings.xml"/><Relationship Id="rId9" Type="http://schemas.openxmlformats.org/officeDocument/2006/relationships/hyperlink" Target="mailto:tad-procurement@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A4CD9F0-6FA4-4C0B-AD0B-52CBEE48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Orakzai</dc:creator>
  <cp:keywords/>
  <dc:description/>
  <cp:lastModifiedBy>Ruslan Ziganshin</cp:lastModifiedBy>
  <cp:revision>10</cp:revision>
  <cp:lastPrinted>2021-08-03T07:59:00Z</cp:lastPrinted>
  <dcterms:created xsi:type="dcterms:W3CDTF">2021-07-12T07:26:00Z</dcterms:created>
  <dcterms:modified xsi:type="dcterms:W3CDTF">2021-08-03T07:59:00Z</dcterms:modified>
</cp:coreProperties>
</file>