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590"/>
        <w:gridCol w:w="3490"/>
        <w:gridCol w:w="1820"/>
      </w:tblGrid>
      <w:tr w:rsidR="00565E65" w:rsidRPr="00254B4D" w14:paraId="1A1669A9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noWrap/>
          </w:tcPr>
          <w:p w14:paraId="0CCC7B90" w14:textId="77777777" w:rsidR="00565E65" w:rsidRPr="00254B4D" w:rsidRDefault="00565E65" w:rsidP="00BE1C57">
            <w:pPr>
              <w:ind w:left="12" w:hanging="12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bookmarkStart w:id="0" w:name="_Hlk138234774"/>
            <w:r w:rsidRPr="00254B4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Work Assignments Overview</w:t>
            </w:r>
          </w:p>
        </w:tc>
        <w:tc>
          <w:tcPr>
            <w:tcW w:w="34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1BACE987" w14:textId="77777777" w:rsidR="00565E65" w:rsidRPr="00254B4D" w:rsidRDefault="00565E65" w:rsidP="00BE1C57">
            <w:pPr>
              <w:ind w:left="12" w:hanging="12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254B4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Deliverables/Outputs</w:t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5387ABF2" w14:textId="77777777" w:rsidR="00565E65" w:rsidRPr="00254B4D" w:rsidRDefault="00565E65" w:rsidP="00BE1C57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254B4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Delivery deadline</w:t>
            </w:r>
          </w:p>
        </w:tc>
      </w:tr>
      <w:tr w:rsidR="00565E65" w:rsidRPr="00254B4D" w14:paraId="68EDB397" w14:textId="77777777" w:rsidTr="00E07D4D">
        <w:trPr>
          <w:trHeight w:val="343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8E0274C" w14:textId="77777777" w:rsidR="00565E65" w:rsidRDefault="00565E65" w:rsidP="00BE1C57">
            <w:pPr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Bi-monthly data collection from 40 GPs in the target municipalities/localities </w:t>
            </w:r>
          </w:p>
          <w:p w14:paraId="7A508392" w14:textId="77777777" w:rsidR="00565E65" w:rsidRPr="00254B4D" w:rsidRDefault="00565E65" w:rsidP="00BE1C5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3490" w:type="dxa"/>
          </w:tcPr>
          <w:p w14:paraId="7DD466A1" w14:textId="261ED4EE" w:rsidR="00565E65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- 12 d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>etailed technical report</w:t>
            </w:r>
            <w:r w:rsidR="00A24F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containing aggregated data on child developmental screenings for children born in Nova Zagora and Haskovo municipalities 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723296" w14:textId="77777777" w:rsidR="00565E65" w:rsidRPr="00254B4D" w:rsidRDefault="00565E65" w:rsidP="00BE1C57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820" w:type="dxa"/>
          </w:tcPr>
          <w:p w14:paraId="300B8753" w14:textId="77777777" w:rsidR="00565E65" w:rsidRPr="00254B4D" w:rsidRDefault="00565E65" w:rsidP="00BE1C57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December 2025 (every second month) </w:t>
            </w:r>
          </w:p>
        </w:tc>
      </w:tr>
      <w:tr w:rsidR="00565E65" w:rsidRPr="00254B4D" w14:paraId="1452B1C4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20F9960" w14:textId="77777777" w:rsidR="00565E65" w:rsidRPr="00254B4D" w:rsidRDefault="00565E65" w:rsidP="00BE1C57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Bi-monthly data collection from 10 hospitals (the hospitals to be identified by UNICEF)</w:t>
            </w:r>
          </w:p>
        </w:tc>
        <w:tc>
          <w:tcPr>
            <w:tcW w:w="3490" w:type="dxa"/>
          </w:tcPr>
          <w:p w14:paraId="2B7BB278" w14:textId="1B9E871B" w:rsidR="00565E65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- 12 </w:t>
            </w:r>
            <w:r w:rsidR="00A24F56">
              <w:rPr>
                <w:rFonts w:asciiTheme="minorHAnsi" w:hAnsiTheme="minorHAnsi" w:cstheme="minorHAnsi"/>
                <w:sz w:val="22"/>
                <w:szCs w:val="22"/>
              </w:rPr>
              <w:t>detail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>ed technical report</w:t>
            </w:r>
            <w:r w:rsidR="00A24F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containing aggregated data on vision and hearing screening for children born in Nova Zagora and Haskovo municipalities 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7A8115" w14:textId="77777777" w:rsidR="00565E65" w:rsidRPr="00254B4D" w:rsidRDefault="00565E65" w:rsidP="00BE1C57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820" w:type="dxa"/>
          </w:tcPr>
          <w:p w14:paraId="4DB6EB27" w14:textId="77777777" w:rsidR="00565E65" w:rsidRPr="00254B4D" w:rsidRDefault="00565E65" w:rsidP="00BE1C57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December 2024 (every second month)</w:t>
            </w:r>
          </w:p>
        </w:tc>
      </w:tr>
      <w:tr w:rsidR="00565E65" w:rsidRPr="00254B4D" w14:paraId="354EDF2D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37A58DC" w14:textId="77777777" w:rsidR="00565E65" w:rsidRPr="00254B4D" w:rsidDel="002F0A29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Bi-monthly data collection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from ECEC services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the selected municipalities</w:t>
            </w:r>
          </w:p>
        </w:tc>
        <w:tc>
          <w:tcPr>
            <w:tcW w:w="3490" w:type="dxa"/>
          </w:tcPr>
          <w:p w14:paraId="47AFD3A7" w14:textId="2B21E83B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- 12 </w:t>
            </w:r>
            <w:r w:rsidR="00A24F5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24F56" w:rsidRPr="00254B4D">
              <w:rPr>
                <w:rFonts w:asciiTheme="minorHAnsi" w:hAnsiTheme="minorHAnsi" w:cstheme="minorHAnsi"/>
                <w:sz w:val="22"/>
                <w:szCs w:val="22"/>
              </w:rPr>
              <w:t>etailed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technical report</w:t>
            </w:r>
            <w:r w:rsidR="00A24F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about the inclusion of children with disabilities and developmental difficulties in ECEC services</w:t>
            </w:r>
          </w:p>
        </w:tc>
        <w:tc>
          <w:tcPr>
            <w:tcW w:w="1820" w:type="dxa"/>
          </w:tcPr>
          <w:p w14:paraId="3F577E71" w14:textId="77777777" w:rsidR="00565E65" w:rsidRDefault="00565E65" w:rsidP="00BE1C5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December 2025 (every second month)</w:t>
            </w:r>
          </w:p>
        </w:tc>
      </w:tr>
      <w:tr w:rsidR="00565E65" w:rsidRPr="00254B4D" w14:paraId="2786AD60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DD4889B" w14:textId="77777777" w:rsidR="00565E65" w:rsidRPr="00254B4D" w:rsidDel="002F0A29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D53">
              <w:rPr>
                <w:rFonts w:asciiTheme="minorHAnsi" w:hAnsiTheme="minorHAnsi" w:cstheme="minorHAnsi"/>
                <w:sz w:val="22"/>
                <w:szCs w:val="22"/>
              </w:rPr>
              <w:t xml:space="preserve">Support the data preparation for the analyses </w:t>
            </w:r>
          </w:p>
        </w:tc>
        <w:tc>
          <w:tcPr>
            <w:tcW w:w="3490" w:type="dxa"/>
          </w:tcPr>
          <w:p w14:paraId="4D89722F" w14:textId="77777777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submit and clarify database specifics to researchers in the Medical University of Plovdiv via working meetings (4 meetings per month) </w:t>
            </w:r>
          </w:p>
        </w:tc>
        <w:tc>
          <w:tcPr>
            <w:tcW w:w="1820" w:type="dxa"/>
          </w:tcPr>
          <w:p w14:paraId="2CEE40AE" w14:textId="77777777" w:rsidR="00565E65" w:rsidRPr="002F67D2" w:rsidRDefault="00565E65" w:rsidP="00BE1C5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 2025</w:t>
            </w:r>
          </w:p>
        </w:tc>
      </w:tr>
      <w:tr w:rsidR="00565E65" w:rsidRPr="00254B4D" w14:paraId="76339833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4B60FA4" w14:textId="77777777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the organization of the capacity building</w:t>
            </w:r>
          </w:p>
          <w:p w14:paraId="078309A2" w14:textId="77777777" w:rsidR="00565E65" w:rsidRPr="00254B4D" w:rsidRDefault="00565E65" w:rsidP="00BE1C57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medical professionals</w:t>
            </w:r>
          </w:p>
        </w:tc>
        <w:tc>
          <w:tcPr>
            <w:tcW w:w="3490" w:type="dxa"/>
          </w:tcPr>
          <w:p w14:paraId="4915337D" w14:textId="77777777" w:rsidR="00565E65" w:rsidRPr="00254B4D" w:rsidRDefault="00565E65" w:rsidP="00BE1C5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List of participants, including all 30 neurologists, pediatricians who works in the regions of Nova Zagora and Haskovo in the early identification of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cerebral palsy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training provided by experts preselected by HQ Working group.</w:t>
            </w:r>
          </w:p>
        </w:tc>
        <w:tc>
          <w:tcPr>
            <w:tcW w:w="1820" w:type="dxa"/>
          </w:tcPr>
          <w:p w14:paraId="4D651F9F" w14:textId="77777777" w:rsidR="00565E65" w:rsidRPr="00254B4D" w:rsidRDefault="00565E65" w:rsidP="00BE1C57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2024</w:t>
            </w:r>
          </w:p>
        </w:tc>
      </w:tr>
      <w:tr w:rsidR="00565E65" w:rsidRPr="00254B4D" w14:paraId="2C52BE45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462E1FA" w14:textId="77777777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the organization of the capacity building</w:t>
            </w:r>
          </w:p>
          <w:p w14:paraId="5083FAA0" w14:textId="77777777" w:rsidR="00565E65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rehabilitation staff </w:t>
            </w:r>
          </w:p>
          <w:p w14:paraId="7232BEEA" w14:textId="77777777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1FD2FB57" w14:textId="77777777" w:rsidR="00565E65" w:rsidRPr="00254B4D" w:rsidDel="006D0907" w:rsidRDefault="00565E65" w:rsidP="00BE1C57">
            <w:pPr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List of participants, including all 30 rehabilitators, occupational therapists who works in the regions of Nova Zagora and Haskovo in the early identification of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cerebral palsy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training provided by experts preselected by HQ Working group.</w:t>
            </w:r>
          </w:p>
        </w:tc>
        <w:tc>
          <w:tcPr>
            <w:tcW w:w="1820" w:type="dxa"/>
          </w:tcPr>
          <w:p w14:paraId="7C00F478" w14:textId="77777777" w:rsidR="00565E65" w:rsidRPr="00254B4D" w:rsidDel="006D0907" w:rsidRDefault="00565E65" w:rsidP="00BE1C5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2024</w:t>
            </w:r>
          </w:p>
        </w:tc>
      </w:tr>
      <w:tr w:rsidR="00565E65" w:rsidRPr="00254B4D" w14:paraId="0C4C9D39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D5A1675" w14:textId="77777777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 the organization of  capacity building training for practitioners </w:t>
            </w:r>
          </w:p>
        </w:tc>
        <w:tc>
          <w:tcPr>
            <w:tcW w:w="3490" w:type="dxa"/>
          </w:tcPr>
          <w:p w14:paraId="041C8BF5" w14:textId="77777777" w:rsidR="00565E65" w:rsidRPr="00254B4D" w:rsidRDefault="00565E65" w:rsidP="00BE1C57">
            <w:pPr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Report, documenting the process of training and 10 reached fidelity practitioners, ready to support families with children with high risk of autism spectrum disorders </w:t>
            </w:r>
          </w:p>
        </w:tc>
        <w:tc>
          <w:tcPr>
            <w:tcW w:w="1820" w:type="dxa"/>
          </w:tcPr>
          <w:p w14:paraId="5631D672" w14:textId="77777777" w:rsidR="00565E65" w:rsidRDefault="00565E65" w:rsidP="00BE1C5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2024</w:t>
            </w:r>
          </w:p>
        </w:tc>
      </w:tr>
      <w:tr w:rsidR="00565E65" w:rsidRPr="00254B4D" w14:paraId="0FD89A01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2384F7F" w14:textId="77777777" w:rsidR="00565E65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Technical support for SBC:</w:t>
            </w:r>
          </w:p>
          <w:p w14:paraId="754EB963" w14:textId="77777777" w:rsidR="00565E65" w:rsidRPr="00254B4D" w:rsidRDefault="00565E65" w:rsidP="00BE1C57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3490" w:type="dxa"/>
          </w:tcPr>
          <w:p w14:paraId="682B0DB6" w14:textId="77777777" w:rsidR="00565E65" w:rsidRDefault="00565E65" w:rsidP="00BE1C57">
            <w:pPr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Concept note for SBC change in Nova Zagora and Haskovo, including short situational analyses, roles and responsibilities, vision and 3 concrete activities per municipality to be implemented</w:t>
            </w:r>
          </w:p>
          <w:p w14:paraId="56B9FDF8" w14:textId="77777777" w:rsidR="00565E65" w:rsidRDefault="00565E65" w:rsidP="00BE1C57">
            <w:pPr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Theory of SBC change based on the 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>collect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 xml:space="preserve"> feedback from parents FG discussions</w:t>
            </w:r>
          </w:p>
          <w:p w14:paraId="385100CA" w14:textId="77777777" w:rsidR="00565E65" w:rsidRPr="00D56E99" w:rsidRDefault="00565E65" w:rsidP="00BE1C57">
            <w:pPr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14:paraId="16981C3A" w14:textId="77777777" w:rsidR="00565E65" w:rsidRPr="00254B4D" w:rsidRDefault="00565E65" w:rsidP="00BE1C57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2024</w:t>
            </w:r>
          </w:p>
        </w:tc>
      </w:tr>
      <w:tr w:rsidR="00565E65" w:rsidRPr="00254B4D" w14:paraId="715B975B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398D79B" w14:textId="77777777" w:rsidR="00565E65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support for SBC:</w:t>
            </w:r>
          </w:p>
          <w:p w14:paraId="1994147A" w14:textId="77777777" w:rsidR="00565E65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0E24484" w14:textId="77777777" w:rsidR="00565E65" w:rsidRDefault="00565E65" w:rsidP="00BE1C57">
            <w:pPr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proposed into the Concept 3 activities for each municipality are implemented and documented</w:t>
            </w:r>
          </w:p>
        </w:tc>
        <w:tc>
          <w:tcPr>
            <w:tcW w:w="1820" w:type="dxa"/>
          </w:tcPr>
          <w:p w14:paraId="636B5EA2" w14:textId="77777777" w:rsidR="00565E65" w:rsidRDefault="00565E65" w:rsidP="00BE1C5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2025</w:t>
            </w:r>
          </w:p>
        </w:tc>
      </w:tr>
      <w:tr w:rsidR="00565E65" w:rsidRPr="00254B4D" w14:paraId="35D3F09A" w14:textId="77777777" w:rsidTr="00E07D4D">
        <w:trPr>
          <w:trHeight w:val="368"/>
        </w:trPr>
        <w:tc>
          <w:tcPr>
            <w:tcW w:w="3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1CA787D" w14:textId="77777777" w:rsidR="00565E65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support for SBC:</w:t>
            </w:r>
          </w:p>
          <w:p w14:paraId="2F7D4C1F" w14:textId="77777777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74DE0CA3" w14:textId="77777777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>Available package of materials for parents, addressing negative stereotypes, stigma and self-stigma.</w:t>
            </w:r>
          </w:p>
          <w:p w14:paraId="0597BF15" w14:textId="77777777" w:rsidR="00565E65" w:rsidRPr="00254B4D" w:rsidRDefault="00565E65" w:rsidP="00BE1C57">
            <w:pPr>
              <w:ind w:left="12" w:hanging="12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254B4D">
              <w:rPr>
                <w:rFonts w:asciiTheme="minorHAnsi" w:hAnsiTheme="minorHAnsi" w:cstheme="minorHAnsi"/>
                <w:sz w:val="22"/>
                <w:szCs w:val="22"/>
              </w:rPr>
              <w:t>Based on the results of the FGDs, developing a plan and collaborating with a creative agency (UNICEF LTA-holder) for production/adaptation of various materials for parents in the 2 pilot regions (mini-campaign) on addressing the negative stereotypes, stigma and self-stigma;</w:t>
            </w:r>
          </w:p>
        </w:tc>
        <w:tc>
          <w:tcPr>
            <w:tcW w:w="1820" w:type="dxa"/>
          </w:tcPr>
          <w:p w14:paraId="298A3177" w14:textId="77777777" w:rsidR="00565E65" w:rsidRPr="00254B4D" w:rsidRDefault="00565E65" w:rsidP="00BE1C57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August 2024 </w:t>
            </w:r>
          </w:p>
        </w:tc>
      </w:tr>
      <w:tr w:rsidR="00565E65" w:rsidRPr="00254B4D" w14:paraId="578CE21D" w14:textId="77777777" w:rsidTr="00E07D4D">
        <w:trPr>
          <w:trHeight w:val="368"/>
        </w:trPr>
        <w:tc>
          <w:tcPr>
            <w:tcW w:w="3590" w:type="dxa"/>
            <w:noWrap/>
          </w:tcPr>
          <w:p w14:paraId="1EC20356" w14:textId="77777777" w:rsidR="00565E65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support for advocacy:</w:t>
            </w:r>
          </w:p>
          <w:p w14:paraId="1406C759" w14:textId="77777777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for identification of 10 families, who can share their stories related to ECI service</w:t>
            </w:r>
          </w:p>
        </w:tc>
        <w:tc>
          <w:tcPr>
            <w:tcW w:w="3490" w:type="dxa"/>
          </w:tcPr>
          <w:p w14:paraId="631A5149" w14:textId="77777777" w:rsidR="00565E65" w:rsidRPr="00254B4D" w:rsidRDefault="00565E65" w:rsidP="00BE1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- 12 human interested stories are identified and documented</w:t>
            </w:r>
          </w:p>
        </w:tc>
        <w:tc>
          <w:tcPr>
            <w:tcW w:w="1820" w:type="dxa"/>
          </w:tcPr>
          <w:p w14:paraId="03AD40F4" w14:textId="77777777" w:rsidR="00565E65" w:rsidRPr="00254B4D" w:rsidDel="0068315E" w:rsidRDefault="00565E65" w:rsidP="00BE1C5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 2025</w:t>
            </w:r>
          </w:p>
        </w:tc>
      </w:tr>
      <w:bookmarkEnd w:id="0"/>
    </w:tbl>
    <w:p w14:paraId="52CB4A5A" w14:textId="77777777" w:rsidR="00565E65" w:rsidRPr="00254B4D" w:rsidRDefault="00565E65" w:rsidP="00565E6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F0340A" w14:textId="77777777" w:rsidR="00565E65" w:rsidRPr="00254B4D" w:rsidRDefault="00565E65" w:rsidP="00565E6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093934" w14:textId="77777777" w:rsidR="00565E65" w:rsidRPr="00254B4D" w:rsidRDefault="00565E65" w:rsidP="00565E6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E44400" w14:textId="77777777" w:rsidR="00565E65" w:rsidRPr="00254B4D" w:rsidRDefault="00565E65" w:rsidP="00565E6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D11921D" w14:textId="77777777" w:rsidR="00565E65" w:rsidRPr="00254B4D" w:rsidRDefault="00565E65" w:rsidP="00565E6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FDE0A6" w14:textId="77777777" w:rsidR="00862C4B" w:rsidRDefault="00862C4B"/>
    <w:sectPr w:rsidR="0086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65"/>
    <w:rsid w:val="00167B37"/>
    <w:rsid w:val="004821BA"/>
    <w:rsid w:val="00565E65"/>
    <w:rsid w:val="00862C4B"/>
    <w:rsid w:val="00A24F56"/>
    <w:rsid w:val="00BE1C57"/>
    <w:rsid w:val="00E07D4D"/>
    <w:rsid w:val="00E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34EB"/>
  <w15:chartTrackingRefBased/>
  <w15:docId w15:val="{7401B201-6CAE-4F32-8886-27D1E650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65"/>
    <w:pPr>
      <w:spacing w:after="0" w:line="276" w:lineRule="auto"/>
    </w:pPr>
    <w:rPr>
      <w:rFonts w:ascii="Arial" w:eastAsia="MS PGothic" w:hAnsi="Arial" w:cs="Times New Roman"/>
      <w:color w:val="00000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>UNICEF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Ikonomova</dc:creator>
  <cp:keywords/>
  <dc:description/>
  <cp:lastModifiedBy>Rositsa Ikonomova</cp:lastModifiedBy>
  <cp:revision>4</cp:revision>
  <dcterms:created xsi:type="dcterms:W3CDTF">2024-02-12T12:21:00Z</dcterms:created>
  <dcterms:modified xsi:type="dcterms:W3CDTF">2024-02-12T13:47:00Z</dcterms:modified>
</cp:coreProperties>
</file>