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6E55" w14:textId="77777777" w:rsidR="00B14BE6" w:rsidRDefault="00B14BE6" w:rsidP="002108C6">
      <w:pPr>
        <w:spacing w:line="240" w:lineRule="auto"/>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936"/>
        <w:gridCol w:w="2468"/>
        <w:gridCol w:w="2468"/>
      </w:tblGrid>
      <w:tr w:rsidR="00F4114E" w:rsidRPr="007613B3" w14:paraId="3B7DB214" w14:textId="77777777" w:rsidTr="000C5A50">
        <w:trPr>
          <w:trHeight w:val="300"/>
        </w:trPr>
        <w:tc>
          <w:tcPr>
            <w:tcW w:w="4936" w:type="dxa"/>
            <w:tcBorders>
              <w:bottom w:val="nil"/>
            </w:tcBorders>
            <w:shd w:val="clear" w:color="auto" w:fill="auto"/>
            <w:noWrap/>
            <w:hideMark/>
          </w:tcPr>
          <w:p w14:paraId="7AB56075" w14:textId="77777777" w:rsidR="00F4114E" w:rsidRPr="007A0550" w:rsidRDefault="00F4114E" w:rsidP="00377BF5">
            <w:pPr>
              <w:spacing w:before="100" w:beforeAutospacing="1" w:after="100" w:afterAutospacing="1" w:line="240" w:lineRule="auto"/>
              <w:rPr>
                <w:rFonts w:ascii="Calibri" w:eastAsia="Arial Unicode MS" w:hAnsi="Calibri" w:cs="Calibri"/>
                <w:b/>
                <w:color w:val="auto"/>
                <w:lang w:val="fr-FR"/>
              </w:rPr>
            </w:pPr>
            <w:r w:rsidRPr="007A0550">
              <w:rPr>
                <w:rFonts w:ascii="Calibri" w:eastAsia="Arial Unicode MS" w:hAnsi="Calibri" w:cs="Calibri"/>
                <w:b/>
                <w:color w:val="auto"/>
                <w:lang w:val="fr-FR"/>
              </w:rPr>
              <w:t>Title</w:t>
            </w:r>
          </w:p>
          <w:p w14:paraId="4514947C" w14:textId="29EE1635" w:rsidR="00F4114E" w:rsidRPr="004B3215" w:rsidRDefault="00F4114E" w:rsidP="00F4114E">
            <w:pPr>
              <w:spacing w:before="100" w:beforeAutospacing="1" w:after="100" w:afterAutospacing="1" w:line="240" w:lineRule="auto"/>
              <w:rPr>
                <w:rFonts w:ascii="Calibri" w:eastAsia="Arial Unicode MS" w:hAnsi="Calibri" w:cs="Calibri"/>
                <w:bCs/>
                <w:color w:val="auto"/>
                <w:lang w:val="fr-FR"/>
              </w:rPr>
            </w:pPr>
            <w:r w:rsidRPr="007A0550">
              <w:rPr>
                <w:rFonts w:ascii="Calibri" w:eastAsia="Arial Unicode MS" w:hAnsi="Calibri" w:cs="Calibri"/>
                <w:color w:val="4472C4" w:themeColor="accent5"/>
                <w:lang w:val="fr-FR"/>
              </w:rPr>
              <w:t>Recrutement d’un (e) expert (e)</w:t>
            </w:r>
            <w:r>
              <w:rPr>
                <w:rFonts w:ascii="Calibri" w:eastAsia="Arial Unicode MS" w:hAnsi="Calibri" w:cs="Calibri"/>
                <w:color w:val="4472C4" w:themeColor="accent5"/>
                <w:lang w:val="fr-FR"/>
              </w:rPr>
              <w:t xml:space="preserve"> national (e) en finances publiques (B</w:t>
            </w:r>
            <w:r w:rsidR="004B3215">
              <w:rPr>
                <w:rFonts w:ascii="Calibri" w:eastAsia="Arial Unicode MS" w:hAnsi="Calibri" w:cs="Calibri"/>
                <w:color w:val="4472C4" w:themeColor="accent5"/>
                <w:lang w:val="fr-FR"/>
              </w:rPr>
              <w:t xml:space="preserve">udgétisation </w:t>
            </w:r>
            <w:r>
              <w:rPr>
                <w:rFonts w:ascii="Calibri" w:eastAsia="Arial Unicode MS" w:hAnsi="Calibri" w:cs="Calibri"/>
                <w:color w:val="4472C4" w:themeColor="accent5"/>
                <w:lang w:val="fr-FR"/>
              </w:rPr>
              <w:t>S</w:t>
            </w:r>
            <w:r w:rsidR="004B3215">
              <w:rPr>
                <w:rFonts w:ascii="Calibri" w:eastAsia="Arial Unicode MS" w:hAnsi="Calibri" w:cs="Calibri"/>
                <w:color w:val="4472C4" w:themeColor="accent5"/>
                <w:lang w:val="fr-FR"/>
              </w:rPr>
              <w:t>ensible à l’Enfant</w:t>
            </w:r>
            <w:r>
              <w:rPr>
                <w:rFonts w:ascii="Calibri" w:eastAsia="Arial Unicode MS" w:hAnsi="Calibri" w:cs="Calibri"/>
                <w:color w:val="4472C4" w:themeColor="accent5"/>
                <w:lang w:val="fr-FR"/>
              </w:rPr>
              <w:t xml:space="preserve"> &amp; </w:t>
            </w:r>
            <w:r w:rsidR="004B3215">
              <w:rPr>
                <w:rFonts w:ascii="Calibri" w:eastAsia="Arial Unicode MS" w:hAnsi="Calibri" w:cs="Calibri"/>
                <w:color w:val="4472C4" w:themeColor="accent5"/>
                <w:lang w:val="fr-FR"/>
              </w:rPr>
              <w:t xml:space="preserve"> </w:t>
            </w:r>
            <w:r w:rsidR="004B3215">
              <w:rPr>
                <w:rFonts w:ascii="Calibri" w:eastAsia="Arial Unicode MS" w:hAnsi="Calibri" w:cs="Calibri"/>
                <w:color w:val="4472C4" w:themeColor="accent5"/>
                <w:lang w:val="fr-FR"/>
              </w:rPr>
              <w:t xml:space="preserve">Budgétisation Sensible </w:t>
            </w:r>
            <w:r w:rsidR="004B3215">
              <w:rPr>
                <w:rFonts w:ascii="Calibri" w:eastAsia="Arial Unicode MS" w:hAnsi="Calibri" w:cs="Calibri"/>
                <w:color w:val="4472C4" w:themeColor="accent5"/>
                <w:lang w:val="fr-FR"/>
              </w:rPr>
              <w:t xml:space="preserve">au </w:t>
            </w:r>
            <w:r>
              <w:rPr>
                <w:rFonts w:ascii="Calibri" w:eastAsia="Arial Unicode MS" w:hAnsi="Calibri" w:cs="Calibri"/>
                <w:color w:val="4472C4" w:themeColor="accent5"/>
                <w:lang w:val="fr-FR"/>
              </w:rPr>
              <w:t>G</w:t>
            </w:r>
            <w:r w:rsidR="004B3215">
              <w:rPr>
                <w:rFonts w:ascii="Calibri" w:eastAsia="Arial Unicode MS" w:hAnsi="Calibri" w:cs="Calibri"/>
                <w:color w:val="4472C4" w:themeColor="accent5"/>
                <w:lang w:val="fr-FR"/>
              </w:rPr>
              <w:t>enre</w:t>
            </w:r>
            <w:r>
              <w:rPr>
                <w:rFonts w:ascii="Calibri" w:eastAsia="Arial Unicode MS" w:hAnsi="Calibri" w:cs="Calibri"/>
                <w:color w:val="4472C4" w:themeColor="accent5"/>
                <w:lang w:val="fr-FR"/>
              </w:rPr>
              <w:t>)</w:t>
            </w:r>
          </w:p>
        </w:tc>
        <w:tc>
          <w:tcPr>
            <w:tcW w:w="2468" w:type="dxa"/>
            <w:tcBorders>
              <w:bottom w:val="nil"/>
            </w:tcBorders>
            <w:shd w:val="clear" w:color="auto" w:fill="auto"/>
          </w:tcPr>
          <w:p w14:paraId="41914325" w14:textId="77777777" w:rsidR="00F4114E" w:rsidRPr="007613B3" w:rsidRDefault="00F4114E"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7CC9C412" w14:textId="77777777" w:rsidR="00F4114E" w:rsidRDefault="00F4114E"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0"/>
            <w:r w:rsidRPr="007613B3">
              <w:rPr>
                <w:rFonts w:ascii="Calibri" w:eastAsia="Arial Unicode MS" w:hAnsi="Calibri" w:cs="Calibri"/>
                <w:color w:val="auto"/>
                <w:lang w:val="en-AU"/>
              </w:rPr>
              <w:t xml:space="preserve"> </w:t>
            </w:r>
            <w:r w:rsidRPr="007A0550">
              <w:rPr>
                <w:rFonts w:ascii="Calibri" w:eastAsia="Arial Unicode MS" w:hAnsi="Calibri" w:cs="Calibri"/>
                <w:color w:val="4472C4" w:themeColor="accent5"/>
                <w:lang w:val="en-AU"/>
              </w:rPr>
              <w:t xml:space="preserve">Consultant  </w:t>
            </w:r>
          </w:p>
          <w:p w14:paraId="6373DA60" w14:textId="77777777" w:rsidR="00F4114E" w:rsidRDefault="00F4114E"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shd w:val="clear" w:color="auto" w:fill="E6E6E6"/>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bookmarkEnd w:id="1"/>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Part-Time</w:t>
            </w:r>
          </w:p>
          <w:p w14:paraId="6E8D8E2E" w14:textId="77777777" w:rsidR="00F4114E" w:rsidRPr="007613B3" w:rsidRDefault="00F4114E"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shd w:val="clear" w:color="auto" w:fill="E6E6E6"/>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2468" w:type="dxa"/>
            <w:tcBorders>
              <w:bottom w:val="nil"/>
            </w:tcBorders>
            <w:shd w:val="clear" w:color="auto" w:fill="auto"/>
          </w:tcPr>
          <w:p w14:paraId="47947DD6" w14:textId="77777777" w:rsidR="00F4114E" w:rsidRPr="007613B3" w:rsidRDefault="00F4114E"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26AC4FCA" w14:textId="77777777" w:rsidR="00F4114E" w:rsidRPr="007613B3" w:rsidRDefault="00F4114E" w:rsidP="00377BF5">
            <w:pPr>
              <w:spacing w:before="100" w:beforeAutospacing="1" w:after="100" w:afterAutospacing="1" w:line="240" w:lineRule="auto"/>
              <w:rPr>
                <w:rFonts w:ascii="Calibri" w:eastAsia="Arial Unicode MS" w:hAnsi="Calibri" w:cs="Calibri"/>
                <w:color w:val="auto"/>
                <w:lang w:val="en-AU"/>
              </w:rPr>
            </w:pPr>
            <w:r w:rsidRPr="00FE2A80">
              <w:rPr>
                <w:rFonts w:ascii="Calibri" w:eastAsia="Arial Unicode MS" w:hAnsi="Calibri" w:cs="Calibri"/>
                <w:color w:val="4472C4" w:themeColor="accent5"/>
                <w:lang w:val="en-AU"/>
              </w:rPr>
              <w:t>Tunisia Country Office</w:t>
            </w:r>
          </w:p>
        </w:tc>
      </w:tr>
      <w:tr w:rsidR="007613B3" w:rsidRPr="004B3215" w14:paraId="35F777BA" w14:textId="77777777" w:rsidTr="5B8122D3">
        <w:trPr>
          <w:trHeight w:val="828"/>
        </w:trPr>
        <w:tc>
          <w:tcPr>
            <w:tcW w:w="9872" w:type="dxa"/>
            <w:gridSpan w:val="3"/>
            <w:tcBorders>
              <w:bottom w:val="nil"/>
            </w:tcBorders>
            <w:shd w:val="clear" w:color="auto" w:fill="auto"/>
            <w:noWrap/>
            <w:hideMark/>
          </w:tcPr>
          <w:p w14:paraId="60257DDC" w14:textId="77777777" w:rsidR="00EF186E" w:rsidRPr="006C7E0F" w:rsidRDefault="007613B3" w:rsidP="00EF186E">
            <w:pPr>
              <w:spacing w:before="60" w:after="60" w:line="240" w:lineRule="auto"/>
              <w:rPr>
                <w:rFonts w:ascii="Calibri" w:eastAsia="Arial Unicode MS" w:hAnsi="Calibri" w:cs="Calibri"/>
                <w:b/>
                <w:color w:val="auto"/>
                <w:sz w:val="22"/>
                <w:szCs w:val="22"/>
                <w:lang w:val="fr-FR"/>
              </w:rPr>
            </w:pPr>
            <w:r w:rsidRPr="006C7E0F">
              <w:rPr>
                <w:rFonts w:ascii="Calibri" w:eastAsia="Arial Unicode MS" w:hAnsi="Calibri" w:cs="Calibri"/>
                <w:b/>
                <w:color w:val="auto"/>
                <w:sz w:val="22"/>
                <w:szCs w:val="22"/>
                <w:lang w:val="fr-FR"/>
              </w:rPr>
              <w:t xml:space="preserve">Purpose of Activity/Assignment: </w:t>
            </w:r>
          </w:p>
          <w:p w14:paraId="195A3D89" w14:textId="77777777" w:rsidR="007A0550" w:rsidRPr="00EF186E" w:rsidRDefault="00EF186E" w:rsidP="002108C6">
            <w:pPr>
              <w:tabs>
                <w:tab w:val="left" w:pos="2505"/>
              </w:tabs>
              <w:spacing w:before="60" w:after="60" w:line="240" w:lineRule="auto"/>
              <w:jc w:val="both"/>
              <w:rPr>
                <w:rFonts w:ascii="Calibri" w:hAnsi="Calibri" w:cs="Calibri"/>
                <w:lang w:val="fr-FR"/>
              </w:rPr>
            </w:pPr>
            <w:r w:rsidRPr="00EF186E">
              <w:rPr>
                <w:rFonts w:ascii="Calibri" w:hAnsi="Calibri" w:cs="Calibri"/>
                <w:color w:val="4472C4" w:themeColor="accent5"/>
                <w:sz w:val="22"/>
                <w:szCs w:val="22"/>
                <w:lang w:val="fr-FR"/>
              </w:rPr>
              <w:t>Appui technique à l’institutionnalisation d</w:t>
            </w:r>
            <w:r w:rsidR="007C28EB">
              <w:rPr>
                <w:rFonts w:ascii="Calibri" w:hAnsi="Calibri" w:cs="Calibri"/>
                <w:color w:val="4472C4" w:themeColor="accent5"/>
                <w:sz w:val="22"/>
                <w:szCs w:val="22"/>
                <w:lang w:val="fr-FR"/>
              </w:rPr>
              <w:t xml:space="preserve">e </w:t>
            </w:r>
            <w:r w:rsidR="00172EC6">
              <w:rPr>
                <w:rFonts w:ascii="Calibri" w:hAnsi="Calibri" w:cs="Calibri"/>
                <w:color w:val="4472C4" w:themeColor="accent5"/>
                <w:sz w:val="22"/>
                <w:szCs w:val="22"/>
                <w:lang w:val="fr-FR"/>
              </w:rPr>
              <w:t xml:space="preserve">la </w:t>
            </w:r>
            <w:r w:rsidR="00172EC6" w:rsidRPr="00EF186E">
              <w:rPr>
                <w:rFonts w:ascii="Calibri" w:hAnsi="Calibri" w:cs="Calibri"/>
                <w:color w:val="4472C4" w:themeColor="accent5"/>
                <w:sz w:val="22"/>
                <w:szCs w:val="22"/>
                <w:lang w:val="fr-FR"/>
              </w:rPr>
              <w:t>budgétisation</w:t>
            </w:r>
            <w:r w:rsidRPr="00EF186E">
              <w:rPr>
                <w:rFonts w:ascii="Calibri" w:hAnsi="Calibri" w:cs="Calibri"/>
                <w:color w:val="4472C4" w:themeColor="accent5"/>
                <w:sz w:val="22"/>
                <w:szCs w:val="22"/>
                <w:lang w:val="fr-FR"/>
              </w:rPr>
              <w:t xml:space="preserve"> sensible à l’enfance</w:t>
            </w:r>
            <w:r>
              <w:rPr>
                <w:rFonts w:ascii="Calibri" w:hAnsi="Calibri" w:cs="Calibri"/>
                <w:color w:val="4472C4" w:themeColor="accent5"/>
                <w:sz w:val="22"/>
                <w:szCs w:val="22"/>
                <w:lang w:val="fr-FR"/>
              </w:rPr>
              <w:t xml:space="preserve"> en Tunisie</w:t>
            </w:r>
          </w:p>
        </w:tc>
      </w:tr>
      <w:tr w:rsidR="007613B3" w:rsidRPr="004B3215" w14:paraId="72703F24" w14:textId="77777777" w:rsidTr="5B8122D3">
        <w:trPr>
          <w:trHeight w:val="1880"/>
        </w:trPr>
        <w:tc>
          <w:tcPr>
            <w:tcW w:w="9872" w:type="dxa"/>
            <w:gridSpan w:val="3"/>
            <w:tcBorders>
              <w:bottom w:val="nil"/>
            </w:tcBorders>
            <w:shd w:val="clear" w:color="auto" w:fill="auto"/>
            <w:noWrap/>
          </w:tcPr>
          <w:p w14:paraId="71B8F4EE" w14:textId="77777777" w:rsidR="005B07CD" w:rsidRPr="000B5D1E" w:rsidRDefault="0028551C" w:rsidP="00230913">
            <w:pPr>
              <w:pStyle w:val="ListParagraph"/>
              <w:numPr>
                <w:ilvl w:val="0"/>
                <w:numId w:val="3"/>
              </w:numPr>
              <w:spacing w:before="60" w:after="60" w:line="240" w:lineRule="auto"/>
              <w:rPr>
                <w:rFonts w:ascii="Calibri" w:eastAsia="Arial Unicode MS" w:hAnsi="Calibri" w:cs="Calibri"/>
                <w:b/>
                <w:bCs/>
                <w:color w:val="4472C4" w:themeColor="accent5"/>
                <w:sz w:val="24"/>
                <w:szCs w:val="24"/>
                <w:lang w:val="fr-FR"/>
              </w:rPr>
            </w:pPr>
            <w:r w:rsidRPr="000B5D1E">
              <w:rPr>
                <w:rFonts w:ascii="Calibri" w:eastAsia="Arial Unicode MS" w:hAnsi="Calibri" w:cs="Calibri"/>
                <w:b/>
                <w:bCs/>
                <w:color w:val="4472C4" w:themeColor="accent5"/>
                <w:sz w:val="24"/>
                <w:szCs w:val="24"/>
                <w:lang w:val="fr-FR"/>
              </w:rPr>
              <w:t xml:space="preserve">Contexte de la consultation : </w:t>
            </w:r>
          </w:p>
          <w:p w14:paraId="5F9950E9" w14:textId="77777777" w:rsidR="00EF186E" w:rsidRPr="000B5D1E" w:rsidRDefault="00EF186E" w:rsidP="00230913">
            <w:pPr>
              <w:pStyle w:val="paragraph"/>
              <w:spacing w:before="0" w:beforeAutospacing="0" w:after="0" w:afterAutospacing="0"/>
              <w:jc w:val="both"/>
              <w:textAlignment w:val="baseline"/>
              <w:rPr>
                <w:color w:val="4472C4" w:themeColor="accent5"/>
                <w:sz w:val="16"/>
                <w:szCs w:val="16"/>
                <w:lang w:val="fr-FR"/>
              </w:rPr>
            </w:pPr>
            <w:r w:rsidRPr="000B5D1E">
              <w:rPr>
                <w:rStyle w:val="normaltextrun"/>
                <w:rFonts w:ascii="Calibri" w:hAnsi="Calibri" w:cs="Calibri"/>
                <w:color w:val="4472C4" w:themeColor="accent5"/>
                <w:sz w:val="22"/>
                <w:szCs w:val="22"/>
                <w:lang w:val="fr-FR"/>
              </w:rPr>
              <w:t>La Tunisie reconnaît l'importance d'investir dans les ODD, le genre et les enfants pour stimuler le développement de son capital économique et humain. La Constitution Tunisienne stipule dans son article 52 l’obligation de de la famille et de l’Etat de « garantir la dignité, la santé, les soins, l’éducation et l’enseignement « de tous les enfants. Parmi ces droits, certains sont également consacrés dans les conventions internationales en matière de la promotion des droits des droits humains, de l'égalité de genre et de l'enfant dont principalement CEDEF 2014, la Convention Internationale relative aux Droits de l’Enfant (CDE) ratifié en 1992.</w:t>
            </w:r>
            <w:r w:rsidRPr="000B5D1E">
              <w:rPr>
                <w:rStyle w:val="eop"/>
                <w:rFonts w:ascii="Calibri" w:hAnsi="Calibri" w:cs="Calibri"/>
                <w:color w:val="4472C4" w:themeColor="accent5"/>
                <w:sz w:val="22"/>
                <w:szCs w:val="22"/>
                <w:lang w:val="fr-FR"/>
              </w:rPr>
              <w:t> </w:t>
            </w:r>
          </w:p>
          <w:p w14:paraId="17C1DDA1" w14:textId="77777777" w:rsidR="00EF186E" w:rsidRPr="000B5D1E" w:rsidRDefault="00EF186E" w:rsidP="00230913">
            <w:pPr>
              <w:pStyle w:val="paragraph"/>
              <w:spacing w:before="0" w:beforeAutospacing="0" w:after="0" w:afterAutospacing="0"/>
              <w:jc w:val="both"/>
              <w:textAlignment w:val="baseline"/>
              <w:rPr>
                <w:rFonts w:ascii="Calibri" w:hAnsi="Calibri" w:cs="Calibri"/>
                <w:color w:val="4472C4" w:themeColor="accent5"/>
                <w:sz w:val="16"/>
                <w:szCs w:val="16"/>
                <w:lang w:val="fr-FR"/>
              </w:rPr>
            </w:pPr>
            <w:r w:rsidRPr="000B5D1E">
              <w:rPr>
                <w:rStyle w:val="normaltextrun"/>
                <w:rFonts w:ascii="Calibri" w:hAnsi="Calibri" w:cs="Calibri"/>
                <w:color w:val="4472C4" w:themeColor="accent5"/>
                <w:sz w:val="22"/>
                <w:szCs w:val="22"/>
                <w:lang w:val="fr-FR"/>
              </w:rPr>
              <w:t xml:space="preserve">L’article 4 de la CDE stipule également l’obligation des Etats Parties </w:t>
            </w:r>
            <w:r w:rsidRPr="000B5D1E">
              <w:rPr>
                <w:rStyle w:val="normaltextrun"/>
                <w:rFonts w:ascii="Calibri" w:hAnsi="Calibri" w:cs="Calibri"/>
                <w:i/>
                <w:iCs/>
                <w:color w:val="4472C4" w:themeColor="accent5"/>
                <w:sz w:val="22"/>
                <w:szCs w:val="22"/>
                <w:lang w:val="fr-FR"/>
              </w:rPr>
              <w:t>« à prendre toutes les mesures législatives, administratives et autres qui sont nécessaires pour mettre en œuvre les droits reconnus par la présente convention. Dans le cas des droits économiques, sociaux et culturels, ils prennent ces mesures dans toutes les limites des ressources dont ils disposent et, s’il y a lieu, dans le cadre de la coopération internationale »</w:t>
            </w:r>
            <w:r w:rsidRPr="000B5D1E">
              <w:rPr>
                <w:rStyle w:val="normaltextrun"/>
                <w:rFonts w:ascii="Calibri" w:hAnsi="Calibri" w:cs="Calibri"/>
                <w:color w:val="4472C4" w:themeColor="accent5"/>
                <w:sz w:val="22"/>
                <w:szCs w:val="22"/>
                <w:lang w:val="fr-FR"/>
              </w:rPr>
              <w:t>. En outre, l’agenda 2030 relatif aux objectifs du développement durable engage les pays à éliminer la pauvreté d’ici 2030 qui est traduit dans les cibles et les indicateurs de l’ODD 1.  </w:t>
            </w:r>
            <w:r w:rsidRPr="000B5D1E">
              <w:rPr>
                <w:rStyle w:val="eop"/>
                <w:rFonts w:ascii="Calibri" w:hAnsi="Calibri" w:cs="Calibri"/>
                <w:color w:val="4472C4" w:themeColor="accent5"/>
                <w:sz w:val="22"/>
                <w:szCs w:val="22"/>
                <w:lang w:val="fr-FR"/>
              </w:rPr>
              <w:t> </w:t>
            </w:r>
          </w:p>
          <w:p w14:paraId="03601AF2" w14:textId="77777777" w:rsidR="00EF186E" w:rsidRPr="000B5D1E" w:rsidRDefault="00EF186E" w:rsidP="00230913">
            <w:pPr>
              <w:pStyle w:val="paragraph"/>
              <w:spacing w:before="0" w:beforeAutospacing="0" w:after="0" w:afterAutospacing="0"/>
              <w:jc w:val="both"/>
              <w:textAlignment w:val="baseline"/>
              <w:rPr>
                <w:rFonts w:ascii="Calibri" w:hAnsi="Calibri" w:cs="Calibri"/>
                <w:color w:val="4472C4" w:themeColor="accent5"/>
                <w:sz w:val="16"/>
                <w:szCs w:val="16"/>
                <w:lang w:val="fr-FR"/>
              </w:rPr>
            </w:pPr>
            <w:r w:rsidRPr="000B5D1E">
              <w:rPr>
                <w:rStyle w:val="normaltextrun"/>
                <w:rFonts w:ascii="Calibri" w:hAnsi="Calibri" w:cs="Calibri"/>
                <w:color w:val="4472C4" w:themeColor="accent5"/>
                <w:sz w:val="22"/>
                <w:szCs w:val="22"/>
                <w:lang w:val="fr-FR"/>
              </w:rPr>
              <w:t>Dans ce contexte, la Tunisie s’est engagée dans la réalisation des ODD et dans la mise en œuvre de la budgétisation sensible à l’enfant (BSE)</w:t>
            </w:r>
            <w:r w:rsidR="00210B02" w:rsidRPr="000B5D1E">
              <w:rPr>
                <w:rStyle w:val="normaltextrun"/>
                <w:rFonts w:ascii="Calibri" w:hAnsi="Calibri" w:cs="Calibri"/>
                <w:color w:val="4472C4" w:themeColor="accent5"/>
                <w:sz w:val="22"/>
                <w:szCs w:val="22"/>
                <w:lang w:val="fr-FR"/>
              </w:rPr>
              <w:t xml:space="preserve"> et dans la budgétisation sensible au genre (BSG)</w:t>
            </w:r>
            <w:r w:rsidRPr="000B5D1E">
              <w:rPr>
                <w:rStyle w:val="normaltextrun"/>
                <w:rFonts w:ascii="Calibri" w:hAnsi="Calibri" w:cs="Calibri"/>
                <w:color w:val="4472C4" w:themeColor="accent5"/>
                <w:sz w:val="22"/>
                <w:szCs w:val="22"/>
                <w:lang w:val="fr-FR"/>
              </w:rPr>
              <w:t xml:space="preserve"> dans le but de promouvoir les droits des enfants et l’égalité genre tout en s’alignant aux engagements internationaux. </w:t>
            </w:r>
            <w:r w:rsidRPr="000B5D1E">
              <w:rPr>
                <w:rStyle w:val="eop"/>
                <w:rFonts w:ascii="Calibri" w:hAnsi="Calibri" w:cs="Calibri"/>
                <w:color w:val="4472C4" w:themeColor="accent5"/>
                <w:sz w:val="22"/>
                <w:szCs w:val="22"/>
                <w:lang w:val="fr-FR"/>
              </w:rPr>
              <w:t> </w:t>
            </w:r>
          </w:p>
          <w:p w14:paraId="18F664E6" w14:textId="77777777" w:rsidR="00172EC6" w:rsidRPr="000B5D1E" w:rsidRDefault="00EF186E" w:rsidP="00230913">
            <w:pPr>
              <w:pStyle w:val="paragraph"/>
              <w:spacing w:before="0" w:beforeAutospacing="0" w:after="0" w:afterAutospacing="0"/>
              <w:jc w:val="both"/>
              <w:textAlignment w:val="baseline"/>
              <w:rPr>
                <w:rStyle w:val="eop"/>
                <w:color w:val="4472C4" w:themeColor="accent5"/>
                <w:lang w:val="fr-FR"/>
              </w:rPr>
            </w:pPr>
            <w:r w:rsidRPr="000B5D1E">
              <w:rPr>
                <w:rStyle w:val="normaltextrun"/>
                <w:rFonts w:ascii="Calibri" w:hAnsi="Calibri" w:cs="Calibri"/>
                <w:color w:val="4472C4" w:themeColor="accent5"/>
                <w:sz w:val="22"/>
                <w:szCs w:val="22"/>
                <w:lang w:val="fr-FR"/>
              </w:rPr>
              <w:t>Toutefois, ces engagements ne sont pas traduits dans les politiques publiques et dans les budgets des missions (ministères) ce qui creuse les inégalités entre les femmes et les hommes ainsi que les enfants et ce qui constituent un manque à gagner pour la Tunisie en termes de création de la valeur</w:t>
            </w:r>
            <w:r w:rsidR="002D0754" w:rsidRPr="000B5D1E">
              <w:rPr>
                <w:rStyle w:val="eop"/>
                <w:color w:val="4472C4" w:themeColor="accent5"/>
                <w:lang w:val="fr-FR"/>
              </w:rPr>
              <w:t>.</w:t>
            </w:r>
          </w:p>
          <w:p w14:paraId="6479EAD9" w14:textId="77777777" w:rsidR="00E82013" w:rsidRDefault="00E82013" w:rsidP="00230913">
            <w:pPr>
              <w:pStyle w:val="paragraph"/>
              <w:spacing w:before="0" w:beforeAutospacing="0" w:after="0" w:afterAutospacing="0"/>
              <w:jc w:val="both"/>
              <w:textAlignment w:val="baseline"/>
              <w:rPr>
                <w:rStyle w:val="eop"/>
                <w:rFonts w:ascii="Calibri" w:hAnsi="Calibri" w:cs="Calibri"/>
                <w:color w:val="4472C4" w:themeColor="accent5"/>
                <w:sz w:val="22"/>
                <w:szCs w:val="22"/>
                <w:lang w:val="fr-FR"/>
              </w:rPr>
            </w:pPr>
          </w:p>
          <w:p w14:paraId="18374EF4" w14:textId="4E2D3E90" w:rsidR="002D0754" w:rsidRPr="000B5D1E" w:rsidRDefault="002D0754" w:rsidP="00E82013">
            <w:pPr>
              <w:pStyle w:val="paragraph"/>
              <w:spacing w:before="0" w:beforeAutospacing="0" w:after="0" w:afterAutospacing="0"/>
              <w:jc w:val="both"/>
              <w:textAlignment w:val="baseline"/>
              <w:rPr>
                <w:rFonts w:ascii="Calibri" w:hAnsi="Calibri" w:cs="Calibri"/>
                <w:color w:val="4472C4" w:themeColor="accent5"/>
                <w:sz w:val="22"/>
                <w:szCs w:val="22"/>
                <w:lang w:val="fr-FR"/>
              </w:rPr>
            </w:pPr>
            <w:r w:rsidRPr="000B5D1E">
              <w:rPr>
                <w:rStyle w:val="eop"/>
                <w:rFonts w:ascii="Calibri" w:hAnsi="Calibri" w:cs="Calibri"/>
                <w:color w:val="4472C4" w:themeColor="accent5"/>
                <w:sz w:val="22"/>
                <w:szCs w:val="22"/>
                <w:lang w:val="fr-FR"/>
              </w:rPr>
              <w:t xml:space="preserve">Le programme de </w:t>
            </w:r>
            <w:r w:rsidR="005B5C7D" w:rsidRPr="000B5D1E">
              <w:rPr>
                <w:rStyle w:val="eop"/>
                <w:rFonts w:ascii="Calibri" w:hAnsi="Calibri" w:cs="Calibri"/>
                <w:color w:val="4472C4" w:themeColor="accent5"/>
                <w:sz w:val="22"/>
                <w:szCs w:val="22"/>
                <w:lang w:val="fr-FR"/>
              </w:rPr>
              <w:t>coopération</w:t>
            </w:r>
            <w:r w:rsidRPr="000B5D1E">
              <w:rPr>
                <w:rStyle w:val="eop"/>
                <w:rFonts w:ascii="Calibri" w:hAnsi="Calibri" w:cs="Calibri"/>
                <w:color w:val="4472C4" w:themeColor="accent5"/>
                <w:sz w:val="22"/>
                <w:szCs w:val="22"/>
                <w:lang w:val="fr-FR"/>
              </w:rPr>
              <w:t xml:space="preserve"> entre la Tunisie et l’UNICEF </w:t>
            </w:r>
            <w:r w:rsidR="002C48ED" w:rsidRPr="000B5D1E">
              <w:rPr>
                <w:rStyle w:val="eop"/>
                <w:rFonts w:ascii="Calibri" w:hAnsi="Calibri" w:cs="Calibri"/>
                <w:color w:val="4472C4" w:themeColor="accent5"/>
                <w:sz w:val="22"/>
                <w:szCs w:val="22"/>
                <w:lang w:val="fr-FR"/>
              </w:rPr>
              <w:t xml:space="preserve">pour la période 2023-2025 priorise des interventions importantes dans le domaine des finances </w:t>
            </w:r>
            <w:r w:rsidR="005B5C7D" w:rsidRPr="000B5D1E">
              <w:rPr>
                <w:rStyle w:val="eop"/>
                <w:rFonts w:ascii="Calibri" w:hAnsi="Calibri" w:cs="Calibri"/>
                <w:color w:val="4472C4" w:themeColor="accent5"/>
                <w:sz w:val="22"/>
                <w:szCs w:val="22"/>
                <w:lang w:val="fr-FR"/>
              </w:rPr>
              <w:t xml:space="preserve">publiques pour les enfants dans le cadre des réformes engagées par le Gouvernement dont celle relative à la réforme budgétaire en cours de mise en œuvre et particulièrement dans sa composante « Budgétisation sensible </w:t>
            </w:r>
            <w:r w:rsidR="008C1ECF" w:rsidRPr="000B5D1E">
              <w:rPr>
                <w:rStyle w:val="eop"/>
                <w:rFonts w:ascii="Calibri" w:hAnsi="Calibri" w:cs="Calibri"/>
                <w:color w:val="4472C4" w:themeColor="accent5"/>
                <w:sz w:val="22"/>
                <w:szCs w:val="22"/>
                <w:lang w:val="fr-FR"/>
              </w:rPr>
              <w:t>à</w:t>
            </w:r>
            <w:r w:rsidR="00210B02" w:rsidRPr="000B5D1E">
              <w:rPr>
                <w:rStyle w:val="eop"/>
                <w:rFonts w:ascii="Calibri" w:hAnsi="Calibri" w:cs="Calibri"/>
                <w:color w:val="4472C4" w:themeColor="accent5"/>
                <w:sz w:val="22"/>
                <w:szCs w:val="22"/>
                <w:lang w:val="fr-FR"/>
              </w:rPr>
              <w:t xml:space="preserve"> l’</w:t>
            </w:r>
            <w:r w:rsidR="005B5C7D" w:rsidRPr="000B5D1E">
              <w:rPr>
                <w:rStyle w:val="eop"/>
                <w:rFonts w:ascii="Calibri" w:hAnsi="Calibri" w:cs="Calibri"/>
                <w:color w:val="4472C4" w:themeColor="accent5"/>
                <w:sz w:val="22"/>
                <w:szCs w:val="22"/>
                <w:lang w:val="fr-FR"/>
              </w:rPr>
              <w:t>enfant</w:t>
            </w:r>
            <w:r w:rsidR="00210B02" w:rsidRPr="000B5D1E">
              <w:rPr>
                <w:rStyle w:val="eop"/>
                <w:rFonts w:ascii="Calibri" w:hAnsi="Calibri" w:cs="Calibri"/>
                <w:color w:val="4472C4" w:themeColor="accent5"/>
                <w:sz w:val="22"/>
                <w:szCs w:val="22"/>
                <w:lang w:val="fr-FR"/>
              </w:rPr>
              <w:t xml:space="preserve"> et budgétisation sensible au genre</w:t>
            </w:r>
            <w:r w:rsidR="005B5C7D" w:rsidRPr="000B5D1E">
              <w:rPr>
                <w:rStyle w:val="eop"/>
                <w:rFonts w:ascii="Calibri" w:hAnsi="Calibri" w:cs="Calibri"/>
                <w:color w:val="4472C4" w:themeColor="accent5"/>
                <w:sz w:val="22"/>
                <w:szCs w:val="22"/>
                <w:lang w:val="fr-FR"/>
              </w:rPr>
              <w:t xml:space="preserve"> ». Les objectifs d</w:t>
            </w:r>
            <w:r w:rsidR="00E82013">
              <w:rPr>
                <w:rStyle w:val="eop"/>
                <w:rFonts w:ascii="Calibri" w:hAnsi="Calibri" w:cs="Calibri"/>
                <w:color w:val="4472C4" w:themeColor="accent5"/>
                <w:sz w:val="22"/>
                <w:szCs w:val="22"/>
                <w:lang w:val="fr-FR"/>
              </w:rPr>
              <w:t>u</w:t>
            </w:r>
            <w:r w:rsidR="005B5C7D" w:rsidRPr="000B5D1E">
              <w:rPr>
                <w:rStyle w:val="eop"/>
                <w:rFonts w:ascii="Calibri" w:hAnsi="Calibri" w:cs="Calibri"/>
                <w:color w:val="4472C4" w:themeColor="accent5"/>
                <w:sz w:val="22"/>
                <w:szCs w:val="22"/>
                <w:lang w:val="fr-FR"/>
              </w:rPr>
              <w:t xml:space="preserve"> programme s’alignent aux priorités nationales qui donnent une très grande importance à l’investissement public dans les domaines du développement humain et de l’action sociale tout en recherchant la performance</w:t>
            </w:r>
            <w:r w:rsidR="00210B02" w:rsidRPr="000B5D1E">
              <w:rPr>
                <w:rStyle w:val="eop"/>
                <w:rFonts w:ascii="Calibri" w:hAnsi="Calibri" w:cs="Calibri"/>
                <w:color w:val="4472C4" w:themeColor="accent5"/>
                <w:sz w:val="22"/>
                <w:szCs w:val="22"/>
                <w:lang w:val="fr-FR"/>
              </w:rPr>
              <w:t xml:space="preserve"> des politiques </w:t>
            </w:r>
            <w:r w:rsidR="00754378" w:rsidRPr="000B5D1E">
              <w:rPr>
                <w:rStyle w:val="eop"/>
                <w:rFonts w:ascii="Calibri" w:hAnsi="Calibri" w:cs="Calibri"/>
                <w:color w:val="4472C4" w:themeColor="accent5"/>
                <w:sz w:val="22"/>
                <w:szCs w:val="22"/>
                <w:lang w:val="fr-FR"/>
              </w:rPr>
              <w:t>publiques et</w:t>
            </w:r>
            <w:r w:rsidR="005B5C7D" w:rsidRPr="000B5D1E">
              <w:rPr>
                <w:rStyle w:val="eop"/>
                <w:rFonts w:ascii="Calibri" w:hAnsi="Calibri" w:cs="Calibri"/>
                <w:color w:val="4472C4" w:themeColor="accent5"/>
                <w:sz w:val="22"/>
                <w:szCs w:val="22"/>
                <w:lang w:val="fr-FR"/>
              </w:rPr>
              <w:t xml:space="preserve"> un impact plus élevé sur la population et les enfants en particulier.</w:t>
            </w:r>
          </w:p>
          <w:p w14:paraId="1DC6E73F" w14:textId="77777777" w:rsidR="00E82013" w:rsidRDefault="00E82013" w:rsidP="00230913">
            <w:pPr>
              <w:pStyle w:val="paragraph"/>
              <w:spacing w:before="0" w:beforeAutospacing="0" w:after="0" w:afterAutospacing="0"/>
              <w:jc w:val="both"/>
              <w:textAlignment w:val="baseline"/>
              <w:rPr>
                <w:rStyle w:val="normaltextrun"/>
                <w:rFonts w:ascii="Calibri" w:hAnsi="Calibri" w:cs="Calibri"/>
                <w:color w:val="4472C4" w:themeColor="accent5"/>
                <w:sz w:val="22"/>
                <w:szCs w:val="22"/>
                <w:lang w:val="fr-FR"/>
              </w:rPr>
            </w:pPr>
          </w:p>
          <w:p w14:paraId="1CDC9E64" w14:textId="38C5F7F9" w:rsidR="00EF186E" w:rsidRPr="000B5D1E" w:rsidRDefault="00EF186E" w:rsidP="00230913">
            <w:pPr>
              <w:pStyle w:val="paragraph"/>
              <w:spacing w:before="0" w:beforeAutospacing="0" w:after="0" w:afterAutospacing="0"/>
              <w:jc w:val="both"/>
              <w:textAlignment w:val="baseline"/>
              <w:rPr>
                <w:rFonts w:ascii="Calibri" w:hAnsi="Calibri" w:cs="Calibri"/>
                <w:color w:val="4472C4" w:themeColor="accent5"/>
                <w:sz w:val="16"/>
                <w:szCs w:val="16"/>
                <w:lang w:val="fr-FR"/>
              </w:rPr>
            </w:pPr>
            <w:r w:rsidRPr="000B5D1E">
              <w:rPr>
                <w:rStyle w:val="normaltextrun"/>
                <w:rFonts w:ascii="Calibri" w:hAnsi="Calibri" w:cs="Calibri"/>
                <w:color w:val="4472C4" w:themeColor="accent5"/>
                <w:sz w:val="22"/>
                <w:szCs w:val="22"/>
                <w:lang w:val="fr-FR"/>
              </w:rPr>
              <w:t>A cet effet, un partenariat entre ministère des finances et l’UNICEF a été lancé depuis janvier 2023 permettant l’institutionnalisation de la BSE et la BSG. Ce partenariat a porté sur le renforcement des compétences et l’accompagnement technique des acteurs clés en matière de l’indentification, le suivi et l’analyse des allocations budgétaires destinées aux personnes les plus vulnérables y compris les enfants et les femmes.</w:t>
            </w:r>
            <w:r w:rsidRPr="000B5D1E">
              <w:rPr>
                <w:rStyle w:val="eop"/>
                <w:rFonts w:ascii="Calibri" w:hAnsi="Calibri" w:cs="Calibri"/>
                <w:color w:val="4472C4" w:themeColor="accent5"/>
                <w:sz w:val="22"/>
                <w:szCs w:val="22"/>
                <w:lang w:val="fr-FR"/>
              </w:rPr>
              <w:t> </w:t>
            </w:r>
          </w:p>
          <w:p w14:paraId="56B51B33" w14:textId="77777777" w:rsidR="008C1ECF" w:rsidRPr="000B5D1E" w:rsidRDefault="00EF186E" w:rsidP="00230913">
            <w:pPr>
              <w:pStyle w:val="paragraph"/>
              <w:spacing w:before="0" w:beforeAutospacing="0" w:after="0" w:afterAutospacing="0"/>
              <w:jc w:val="both"/>
              <w:textAlignment w:val="baseline"/>
              <w:rPr>
                <w:rStyle w:val="eop"/>
                <w:rFonts w:ascii="Calibri" w:hAnsi="Calibri" w:cs="Calibri"/>
                <w:color w:val="4472C4" w:themeColor="accent5"/>
                <w:sz w:val="22"/>
                <w:szCs w:val="22"/>
                <w:lang w:val="fr-FR"/>
              </w:rPr>
            </w:pPr>
            <w:r w:rsidRPr="000B5D1E">
              <w:rPr>
                <w:rStyle w:val="normaltextrun"/>
                <w:rFonts w:ascii="Calibri" w:hAnsi="Calibri" w:cs="Calibri"/>
                <w:color w:val="4472C4" w:themeColor="accent5"/>
                <w:sz w:val="22"/>
                <w:szCs w:val="22"/>
                <w:lang w:val="fr-FR"/>
              </w:rPr>
              <w:t xml:space="preserve">Dans le cadre de ce partenariat entre le </w:t>
            </w:r>
            <w:r w:rsidR="00493391" w:rsidRPr="000B5D1E">
              <w:rPr>
                <w:rStyle w:val="normaltextrun"/>
                <w:rFonts w:ascii="Calibri" w:hAnsi="Calibri" w:cs="Calibri"/>
                <w:color w:val="4472C4" w:themeColor="accent5"/>
                <w:sz w:val="22"/>
                <w:szCs w:val="22"/>
                <w:lang w:val="fr-FR"/>
              </w:rPr>
              <w:t>ministère</w:t>
            </w:r>
            <w:r w:rsidRPr="000B5D1E">
              <w:rPr>
                <w:rStyle w:val="normaltextrun"/>
                <w:rFonts w:ascii="Calibri" w:hAnsi="Calibri" w:cs="Calibri"/>
                <w:color w:val="4472C4" w:themeColor="accent5"/>
                <w:sz w:val="22"/>
                <w:szCs w:val="22"/>
                <w:lang w:val="fr-FR"/>
              </w:rPr>
              <w:t xml:space="preserve"> des Finances et le bureau UNICEF Tunisie, plusieurs activités ont été réalisées en 2023, ce qui a permis d’atteindre </w:t>
            </w:r>
            <w:r w:rsidR="008C1ECF" w:rsidRPr="000B5D1E">
              <w:rPr>
                <w:rStyle w:val="normaltextrun"/>
                <w:rFonts w:ascii="Calibri" w:hAnsi="Calibri" w:cs="Calibri"/>
                <w:color w:val="4472C4" w:themeColor="accent5"/>
                <w:sz w:val="22"/>
                <w:szCs w:val="22"/>
                <w:lang w:val="fr-FR"/>
              </w:rPr>
              <w:t>les principales réalisations suivantes :</w:t>
            </w:r>
          </w:p>
          <w:p w14:paraId="7CE14831" w14:textId="77777777" w:rsidR="00EF186E" w:rsidRPr="000B5D1E" w:rsidRDefault="00EF186E" w:rsidP="00230913">
            <w:pPr>
              <w:pStyle w:val="paragraph"/>
              <w:numPr>
                <w:ilvl w:val="0"/>
                <w:numId w:val="13"/>
              </w:numPr>
              <w:spacing w:before="0" w:beforeAutospacing="0" w:after="0" w:afterAutospacing="0"/>
              <w:jc w:val="both"/>
              <w:textAlignment w:val="baseline"/>
              <w:rPr>
                <w:rStyle w:val="normaltextrun"/>
                <w:rFonts w:ascii="Calibri" w:hAnsi="Calibri" w:cs="Calibri"/>
                <w:color w:val="4472C4" w:themeColor="accent5"/>
                <w:sz w:val="22"/>
                <w:szCs w:val="22"/>
                <w:lang w:val="fr-FR"/>
              </w:rPr>
            </w:pPr>
            <w:r w:rsidRPr="000B5D1E">
              <w:rPr>
                <w:rStyle w:val="normaltextrun"/>
                <w:rFonts w:ascii="Calibri" w:hAnsi="Calibri" w:cs="Calibri"/>
                <w:color w:val="4472C4" w:themeColor="accent5"/>
                <w:sz w:val="22"/>
                <w:szCs w:val="22"/>
                <w:lang w:val="fr-FR"/>
              </w:rPr>
              <w:lastRenderedPageBreak/>
              <w:t>Renforcement de</w:t>
            </w:r>
            <w:r w:rsidR="00754378" w:rsidRPr="000B5D1E">
              <w:rPr>
                <w:rStyle w:val="normaltextrun"/>
                <w:rFonts w:ascii="Calibri" w:hAnsi="Calibri" w:cs="Calibri"/>
                <w:color w:val="4472C4" w:themeColor="accent5"/>
                <w:sz w:val="22"/>
                <w:szCs w:val="22"/>
                <w:lang w:val="fr-FR"/>
              </w:rPr>
              <w:t>s</w:t>
            </w:r>
            <w:r w:rsidRPr="000B5D1E">
              <w:rPr>
                <w:rStyle w:val="normaltextrun"/>
                <w:rFonts w:ascii="Calibri" w:hAnsi="Calibri" w:cs="Calibri"/>
                <w:color w:val="4472C4" w:themeColor="accent5"/>
                <w:sz w:val="22"/>
                <w:szCs w:val="22"/>
                <w:lang w:val="fr-FR"/>
              </w:rPr>
              <w:t xml:space="preserve"> capacités des unités GBOs, des membres du comité de pilotage BSG auprès du M. Finances, des administrateurs de budget et des acteurs clés de 7 </w:t>
            </w:r>
            <w:r w:rsidRPr="000B5D1E">
              <w:rPr>
                <w:rFonts w:asciiTheme="minorHAnsi" w:hAnsiTheme="minorHAnsi" w:cstheme="minorHAnsi"/>
                <w:color w:val="4472C4" w:themeColor="accent5"/>
                <w:sz w:val="22"/>
                <w:szCs w:val="22"/>
                <w:lang w:val="fr-FR"/>
              </w:rPr>
              <w:t>ministères</w:t>
            </w:r>
            <w:r w:rsidRPr="000B5D1E">
              <w:rPr>
                <w:rStyle w:val="normaltextrun"/>
                <w:rFonts w:ascii="Calibri" w:hAnsi="Calibri" w:cs="Calibri"/>
                <w:color w:val="4472C4" w:themeColor="accent5"/>
                <w:lang w:val="fr-FR"/>
              </w:rPr>
              <w:t xml:space="preserve"> </w:t>
            </w:r>
            <w:r w:rsidRPr="000B5D1E">
              <w:rPr>
                <w:rStyle w:val="normaltextrun"/>
                <w:rFonts w:ascii="Calibri" w:hAnsi="Calibri" w:cs="Calibri"/>
                <w:color w:val="4472C4" w:themeColor="accent5"/>
                <w:sz w:val="22"/>
                <w:szCs w:val="22"/>
                <w:lang w:val="fr-FR"/>
              </w:rPr>
              <w:t xml:space="preserve">pilotes sur les expériences comparées en matière de la nomenclature sensible à l’enfant (NSE) à et la nomenclature sensible au genre (NSG). </w:t>
            </w:r>
          </w:p>
          <w:p w14:paraId="699B89BE" w14:textId="547D0794" w:rsidR="00EF186E" w:rsidRPr="000B5D1E" w:rsidRDefault="00EF186E" w:rsidP="00230913">
            <w:pPr>
              <w:pStyle w:val="ListParagraph"/>
              <w:numPr>
                <w:ilvl w:val="0"/>
                <w:numId w:val="2"/>
              </w:numPr>
              <w:spacing w:line="240" w:lineRule="auto"/>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Ministère des Affaires Sociales, Ministère de la Femme, Ministère de l’Education, Ministère de la Justice, Ministère de la Santé, et Ministère de l’Equipement</w:t>
            </w:r>
            <w:r w:rsidR="0052228D" w:rsidRPr="000B5D1E">
              <w:rPr>
                <w:rStyle w:val="normaltextrun"/>
                <w:rFonts w:ascii="Calibri" w:eastAsia="Times New Roman" w:hAnsi="Calibri" w:cs="Calibri"/>
                <w:color w:val="4472C4" w:themeColor="accent5"/>
                <w:sz w:val="22"/>
                <w:szCs w:val="22"/>
                <w:lang w:val="fr-FR"/>
              </w:rPr>
              <w:t xml:space="preserve"> et l’Enseignement </w:t>
            </w:r>
            <w:r w:rsidR="00264B61" w:rsidRPr="000B5D1E">
              <w:rPr>
                <w:rStyle w:val="normaltextrun"/>
                <w:rFonts w:ascii="Calibri" w:eastAsia="Times New Roman" w:hAnsi="Calibri" w:cs="Calibri"/>
                <w:color w:val="4472C4" w:themeColor="accent5"/>
                <w:sz w:val="22"/>
                <w:szCs w:val="22"/>
                <w:lang w:val="fr-FR"/>
              </w:rPr>
              <w:t>supérieur.</w:t>
            </w:r>
          </w:p>
          <w:p w14:paraId="0F00274D" w14:textId="77777777" w:rsidR="00EF186E" w:rsidRPr="000B5D1E" w:rsidRDefault="00EF186E" w:rsidP="00230913">
            <w:pPr>
              <w:pStyle w:val="ListParagraph"/>
              <w:numPr>
                <w:ilvl w:val="0"/>
                <w:numId w:val="13"/>
              </w:numPr>
              <w:spacing w:before="60" w:after="60" w:line="240" w:lineRule="auto"/>
              <w:jc w:val="both"/>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 xml:space="preserve">Elaboration et expérimentation de deux notes d’orientation en matière de la NSE et NSG sur les ministères impliqués.  </w:t>
            </w:r>
          </w:p>
          <w:p w14:paraId="13F07052" w14:textId="77777777" w:rsidR="00EF186E" w:rsidRPr="000B5D1E" w:rsidRDefault="00EF186E" w:rsidP="00230913">
            <w:pPr>
              <w:pStyle w:val="ListParagraph"/>
              <w:numPr>
                <w:ilvl w:val="0"/>
                <w:numId w:val="13"/>
              </w:numPr>
              <w:spacing w:before="60" w:after="60" w:line="240" w:lineRule="auto"/>
              <w:jc w:val="both"/>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 xml:space="preserve">Elaboration d’un référentiel de déploiement de la NSE et la NSG. </w:t>
            </w:r>
          </w:p>
          <w:p w14:paraId="0A11A7E0" w14:textId="77777777" w:rsidR="00EF186E" w:rsidRPr="000B5D1E" w:rsidRDefault="00EF186E" w:rsidP="00230913">
            <w:pPr>
              <w:pStyle w:val="ListParagraph"/>
              <w:numPr>
                <w:ilvl w:val="0"/>
                <w:numId w:val="13"/>
              </w:numPr>
              <w:spacing w:before="60" w:after="60" w:line="240" w:lineRule="auto"/>
              <w:jc w:val="both"/>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 xml:space="preserve">Développement d’une vidéo de sensibilisation sur la BSE et NSE. </w:t>
            </w:r>
          </w:p>
          <w:p w14:paraId="2D8A591F" w14:textId="77777777" w:rsidR="00854F3A" w:rsidRDefault="00854F3A" w:rsidP="00230913">
            <w:pPr>
              <w:spacing w:before="60" w:after="60" w:line="240" w:lineRule="auto"/>
              <w:rPr>
                <w:rStyle w:val="normaltextrun"/>
                <w:rFonts w:ascii="Calibri" w:eastAsia="Times New Roman" w:hAnsi="Calibri" w:cs="Calibri"/>
                <w:b/>
                <w:bCs/>
                <w:color w:val="4472C4" w:themeColor="accent5"/>
                <w:sz w:val="22"/>
                <w:szCs w:val="22"/>
                <w:lang w:val="fr-FR"/>
              </w:rPr>
            </w:pPr>
          </w:p>
          <w:p w14:paraId="6261E4AF" w14:textId="18206333" w:rsidR="00EF186E" w:rsidRPr="000B5D1E" w:rsidRDefault="00EF186E" w:rsidP="00230913">
            <w:pPr>
              <w:spacing w:before="60" w:after="60" w:line="240" w:lineRule="auto"/>
              <w:rPr>
                <w:rStyle w:val="normaltextrun"/>
                <w:rFonts w:ascii="Calibri" w:eastAsia="Times New Roman" w:hAnsi="Calibri" w:cs="Calibri"/>
                <w:b/>
                <w:bCs/>
                <w:color w:val="4472C4" w:themeColor="accent5"/>
                <w:sz w:val="22"/>
                <w:szCs w:val="22"/>
                <w:lang w:val="fr-FR"/>
              </w:rPr>
            </w:pPr>
            <w:r w:rsidRPr="000B5D1E">
              <w:rPr>
                <w:rStyle w:val="normaltextrun"/>
                <w:rFonts w:ascii="Calibri" w:eastAsia="Times New Roman" w:hAnsi="Calibri" w:cs="Calibri"/>
                <w:b/>
                <w:bCs/>
                <w:color w:val="4472C4" w:themeColor="accent5"/>
                <w:sz w:val="22"/>
                <w:szCs w:val="22"/>
                <w:lang w:val="fr-FR"/>
              </w:rPr>
              <w:t>Ceci a permet d’atteindre</w:t>
            </w:r>
            <w:r w:rsidR="00754378" w:rsidRPr="000B5D1E">
              <w:rPr>
                <w:rStyle w:val="normaltextrun"/>
                <w:rFonts w:ascii="Calibri" w:eastAsia="Times New Roman" w:hAnsi="Calibri" w:cs="Calibri"/>
                <w:b/>
                <w:bCs/>
                <w:color w:val="4472C4" w:themeColor="accent5"/>
                <w:sz w:val="22"/>
                <w:szCs w:val="22"/>
                <w:lang w:val="fr-FR"/>
              </w:rPr>
              <w:t xml:space="preserve"> les résultats suivants</w:t>
            </w:r>
            <w:r w:rsidRPr="000B5D1E">
              <w:rPr>
                <w:rStyle w:val="normaltextrun"/>
                <w:rFonts w:ascii="Calibri" w:eastAsia="Times New Roman" w:hAnsi="Calibri" w:cs="Calibri"/>
                <w:b/>
                <w:bCs/>
                <w:color w:val="4472C4" w:themeColor="accent5"/>
                <w:sz w:val="22"/>
                <w:szCs w:val="22"/>
                <w:lang w:val="fr-FR"/>
              </w:rPr>
              <w:t xml:space="preserve"> : </w:t>
            </w:r>
          </w:p>
          <w:p w14:paraId="608F0323" w14:textId="77777777" w:rsidR="00EF186E" w:rsidRPr="000B5D1E" w:rsidRDefault="00EF186E" w:rsidP="00230913">
            <w:pPr>
              <w:spacing w:before="60" w:after="60" w:line="240" w:lineRule="auto"/>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w:t>
            </w:r>
            <w:r w:rsidRPr="000B5D1E">
              <w:rPr>
                <w:rStyle w:val="normaltextrun"/>
                <w:rFonts w:ascii="Calibri" w:eastAsia="Times New Roman" w:hAnsi="Calibri" w:cs="Calibri"/>
                <w:color w:val="4472C4" w:themeColor="accent5"/>
                <w:sz w:val="22"/>
                <w:szCs w:val="22"/>
                <w:lang w:val="fr-FR"/>
              </w:rPr>
              <w:tab/>
              <w:t>Une plus grande visibilité par rapport aux orientations à retenir en matière de la NSE et la NSG ainsi que les défis restants.</w:t>
            </w:r>
          </w:p>
          <w:p w14:paraId="69782F54" w14:textId="77777777" w:rsidR="00EF186E" w:rsidRPr="000B5D1E" w:rsidRDefault="00EF186E" w:rsidP="00230913">
            <w:pPr>
              <w:spacing w:before="60" w:after="60" w:line="240" w:lineRule="auto"/>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w:t>
            </w:r>
            <w:r w:rsidRPr="000B5D1E">
              <w:rPr>
                <w:rStyle w:val="normaltextrun"/>
                <w:rFonts w:ascii="Calibri" w:eastAsia="Times New Roman" w:hAnsi="Calibri" w:cs="Calibri"/>
                <w:color w:val="4472C4" w:themeColor="accent5"/>
                <w:sz w:val="22"/>
                <w:szCs w:val="22"/>
                <w:lang w:val="fr-FR"/>
              </w:rPr>
              <w:tab/>
              <w:t xml:space="preserve">Une appropriation de la démarche de l’élaboration de la NSE et la NSG par quelques acteurs clés  </w:t>
            </w:r>
          </w:p>
          <w:p w14:paraId="42BC8CA5" w14:textId="77777777" w:rsidR="00FE2A80" w:rsidRPr="000B5D1E" w:rsidRDefault="00EF186E" w:rsidP="00230913">
            <w:pPr>
              <w:spacing w:before="60" w:after="60" w:line="240" w:lineRule="auto"/>
              <w:jc w:val="both"/>
              <w:rPr>
                <w:rStyle w:val="normaltextrun"/>
                <w:rFonts w:ascii="Calibri" w:eastAsia="Times New Roman" w:hAnsi="Calibri" w:cs="Calibri"/>
                <w:color w:val="4472C4" w:themeColor="accent5"/>
                <w:sz w:val="22"/>
                <w:szCs w:val="22"/>
                <w:lang w:val="fr-FR"/>
              </w:rPr>
            </w:pPr>
            <w:r w:rsidRPr="000B5D1E">
              <w:rPr>
                <w:rStyle w:val="normaltextrun"/>
                <w:rFonts w:ascii="Calibri" w:eastAsia="Times New Roman" w:hAnsi="Calibri" w:cs="Calibri"/>
                <w:color w:val="4472C4" w:themeColor="accent5"/>
                <w:sz w:val="22"/>
                <w:szCs w:val="22"/>
                <w:lang w:val="fr-FR"/>
              </w:rPr>
              <w:t>•</w:t>
            </w:r>
            <w:r w:rsidRPr="000B5D1E">
              <w:rPr>
                <w:rStyle w:val="normaltextrun"/>
                <w:rFonts w:ascii="Calibri" w:eastAsia="Times New Roman" w:hAnsi="Calibri" w:cs="Calibri"/>
                <w:color w:val="4472C4" w:themeColor="accent5"/>
                <w:sz w:val="22"/>
                <w:szCs w:val="22"/>
                <w:lang w:val="fr-FR"/>
              </w:rPr>
              <w:tab/>
              <w:t>Un plus grand réseautage des acteurs clés sensibilisés et formés sur la BSE et la BSG.</w:t>
            </w:r>
          </w:p>
          <w:p w14:paraId="566C7BB1" w14:textId="77777777" w:rsidR="00754378" w:rsidRPr="000B5D1E" w:rsidRDefault="00754378" w:rsidP="00230913">
            <w:pPr>
              <w:spacing w:line="240" w:lineRule="auto"/>
              <w:jc w:val="both"/>
              <w:rPr>
                <w:rFonts w:ascii="Calibri" w:eastAsia="Times New Roman" w:hAnsi="Calibri" w:cs="Calibri"/>
                <w:color w:val="4472C4" w:themeColor="accent5"/>
                <w:lang w:val="fr-FR" w:eastAsia="fr-FR"/>
              </w:rPr>
            </w:pPr>
          </w:p>
          <w:p w14:paraId="1AD228C5" w14:textId="77777777" w:rsidR="00440C76" w:rsidRPr="000B5D1E" w:rsidRDefault="00EF186E" w:rsidP="00230913">
            <w:pPr>
              <w:pStyle w:val="ListParagraph"/>
              <w:numPr>
                <w:ilvl w:val="0"/>
                <w:numId w:val="3"/>
              </w:numPr>
              <w:spacing w:line="240" w:lineRule="auto"/>
              <w:rPr>
                <w:rFonts w:ascii="Calibri" w:eastAsia="Times New Roman" w:hAnsi="Calibri" w:cs="Calibri"/>
                <w:b/>
                <w:bCs/>
                <w:color w:val="4472C4" w:themeColor="accent5"/>
                <w:sz w:val="24"/>
                <w:szCs w:val="24"/>
                <w:lang w:val="fr-FR"/>
              </w:rPr>
            </w:pPr>
            <w:r w:rsidRPr="000B5D1E">
              <w:rPr>
                <w:rFonts w:ascii="Calibri" w:eastAsia="Times New Roman" w:hAnsi="Calibri" w:cs="Calibri"/>
                <w:b/>
                <w:bCs/>
                <w:color w:val="4472C4" w:themeColor="accent5"/>
                <w:sz w:val="24"/>
                <w:szCs w:val="24"/>
                <w:lang w:val="fr-FR"/>
              </w:rPr>
              <w:t xml:space="preserve"> </w:t>
            </w:r>
            <w:r w:rsidR="00440C76" w:rsidRPr="000B5D1E">
              <w:rPr>
                <w:rFonts w:ascii="Calibri" w:eastAsia="Times New Roman" w:hAnsi="Calibri" w:cs="Calibri"/>
                <w:b/>
                <w:bCs/>
                <w:color w:val="4472C4" w:themeColor="accent5"/>
                <w:sz w:val="24"/>
                <w:szCs w:val="24"/>
                <w:lang w:val="fr-FR"/>
              </w:rPr>
              <w:t xml:space="preserve">Objectif </w:t>
            </w:r>
            <w:r w:rsidR="005675C8" w:rsidRPr="000B5D1E">
              <w:rPr>
                <w:rFonts w:ascii="Calibri" w:eastAsia="Times New Roman" w:hAnsi="Calibri" w:cs="Calibri"/>
                <w:b/>
                <w:bCs/>
                <w:color w:val="4472C4" w:themeColor="accent5"/>
                <w:sz w:val="24"/>
                <w:szCs w:val="24"/>
                <w:lang w:val="fr-FR"/>
              </w:rPr>
              <w:t>g</w:t>
            </w:r>
            <w:r w:rsidR="00440C76" w:rsidRPr="000B5D1E">
              <w:rPr>
                <w:rFonts w:ascii="Calibri" w:eastAsia="Times New Roman" w:hAnsi="Calibri" w:cs="Calibri"/>
                <w:b/>
                <w:bCs/>
                <w:color w:val="4472C4" w:themeColor="accent5"/>
                <w:sz w:val="24"/>
                <w:szCs w:val="24"/>
                <w:lang w:val="fr-FR"/>
              </w:rPr>
              <w:t xml:space="preserve">énéral de la consultation </w:t>
            </w:r>
            <w:r w:rsidR="005675C8" w:rsidRPr="000B5D1E">
              <w:rPr>
                <w:rFonts w:ascii="Calibri" w:eastAsia="Times New Roman" w:hAnsi="Calibri" w:cs="Calibri"/>
                <w:b/>
                <w:bCs/>
                <w:color w:val="4472C4" w:themeColor="accent5"/>
                <w:sz w:val="24"/>
                <w:szCs w:val="24"/>
                <w:lang w:val="fr-FR"/>
              </w:rPr>
              <w:t xml:space="preserve">en </w:t>
            </w:r>
            <w:r w:rsidR="00754378" w:rsidRPr="000B5D1E">
              <w:rPr>
                <w:rFonts w:ascii="Calibri" w:eastAsia="Times New Roman" w:hAnsi="Calibri" w:cs="Calibri"/>
                <w:b/>
                <w:bCs/>
                <w:color w:val="4472C4" w:themeColor="accent5"/>
                <w:sz w:val="24"/>
                <w:szCs w:val="24"/>
                <w:lang w:val="fr-FR"/>
              </w:rPr>
              <w:t>cours :</w:t>
            </w:r>
          </w:p>
          <w:p w14:paraId="0B72BD86" w14:textId="77777777" w:rsidR="00EF186E" w:rsidRPr="000B5D1E" w:rsidRDefault="00F506CE" w:rsidP="00230913">
            <w:pPr>
              <w:pStyle w:val="ListParagraph"/>
              <w:numPr>
                <w:ilvl w:val="0"/>
                <w:numId w:val="8"/>
              </w:numPr>
              <w:spacing w:line="240" w:lineRule="auto"/>
              <w:rPr>
                <w:rFonts w:ascii="Calibri" w:eastAsia="Times New Roman" w:hAnsi="Calibri" w:cs="Calibri"/>
                <w:b/>
                <w:bCs/>
                <w:color w:val="4472C4" w:themeColor="accent5"/>
                <w:sz w:val="24"/>
                <w:szCs w:val="24"/>
                <w:lang w:val="fr-FR"/>
              </w:rPr>
            </w:pPr>
            <w:r w:rsidRPr="000B5D1E">
              <w:rPr>
                <w:rFonts w:ascii="Calibri" w:eastAsia="Times New Roman" w:hAnsi="Calibri" w:cs="Calibri"/>
                <w:b/>
                <w:bCs/>
                <w:color w:val="4472C4" w:themeColor="accent5"/>
                <w:sz w:val="24"/>
                <w:szCs w:val="24"/>
                <w:lang w:val="fr-FR"/>
              </w:rPr>
              <w:t xml:space="preserve">Objectifs </w:t>
            </w:r>
            <w:r w:rsidR="00174EB7" w:rsidRPr="000B5D1E">
              <w:rPr>
                <w:rFonts w:ascii="Calibri" w:eastAsia="Times New Roman" w:hAnsi="Calibri" w:cs="Calibri"/>
                <w:b/>
                <w:bCs/>
                <w:color w:val="4472C4" w:themeColor="accent5"/>
                <w:sz w:val="24"/>
                <w:szCs w:val="24"/>
                <w:lang w:val="fr-FR"/>
              </w:rPr>
              <w:t>généraux :</w:t>
            </w:r>
          </w:p>
          <w:p w14:paraId="4BDD7ABF" w14:textId="77777777" w:rsidR="005B4C04" w:rsidRPr="000B5D1E" w:rsidRDefault="00EF186E" w:rsidP="00230913">
            <w:pPr>
              <w:pStyle w:val="Default"/>
              <w:jc w:val="both"/>
              <w:rPr>
                <w:rFonts w:ascii="Calibri" w:hAnsi="Calibri" w:cs="Calibri"/>
                <w:color w:val="4472C4" w:themeColor="accent5"/>
                <w:sz w:val="22"/>
                <w:szCs w:val="22"/>
                <w:lang w:val="fr-FR"/>
              </w:rPr>
            </w:pPr>
            <w:r w:rsidRPr="000B5D1E">
              <w:rPr>
                <w:rFonts w:ascii="Calibri" w:hAnsi="Calibri" w:cs="Calibri"/>
                <w:color w:val="4472C4" w:themeColor="accent5"/>
                <w:sz w:val="22"/>
                <w:szCs w:val="22"/>
                <w:lang w:val="fr-FR"/>
              </w:rPr>
              <w:t xml:space="preserve">A ce titre, en capitalisant sur les travaux </w:t>
            </w:r>
            <w:r w:rsidR="002E7709" w:rsidRPr="000B5D1E">
              <w:rPr>
                <w:rFonts w:ascii="Calibri" w:hAnsi="Calibri" w:cs="Calibri"/>
                <w:color w:val="4472C4" w:themeColor="accent5"/>
                <w:sz w:val="22"/>
                <w:szCs w:val="22"/>
                <w:lang w:val="fr-FR"/>
              </w:rPr>
              <w:t xml:space="preserve">menés </w:t>
            </w:r>
            <w:r w:rsidRPr="000B5D1E">
              <w:rPr>
                <w:rFonts w:ascii="Calibri" w:hAnsi="Calibri" w:cs="Calibri"/>
                <w:color w:val="4472C4" w:themeColor="accent5"/>
                <w:sz w:val="22"/>
                <w:szCs w:val="22"/>
                <w:lang w:val="fr-FR"/>
              </w:rPr>
              <w:t xml:space="preserve"> dans le cadre de ce partenariat et dans le but d’une pérennisation de la mise en œuvre de la BSE et la BSG, </w:t>
            </w:r>
            <w:r w:rsidR="00557C47" w:rsidRPr="000B5D1E">
              <w:rPr>
                <w:rFonts w:ascii="Calibri" w:hAnsi="Calibri" w:cs="Calibri"/>
                <w:color w:val="4472C4" w:themeColor="accent5"/>
                <w:sz w:val="22"/>
                <w:szCs w:val="22"/>
                <w:lang w:val="fr-FR"/>
              </w:rPr>
              <w:t>un consultant national ayant une expérience et une expertise confirmée en budgétisation sociale sera recruté dans le but de produire des documents conceptuels et/ou analytiques qui abordent les questions d’adéquation, d’efficacité et d’optimisation des dépenses publiques pour les enfants</w:t>
            </w:r>
            <w:r w:rsidR="00754378" w:rsidRPr="000B5D1E">
              <w:rPr>
                <w:rFonts w:ascii="Calibri" w:hAnsi="Calibri" w:cs="Calibri"/>
                <w:color w:val="4472C4" w:themeColor="accent5"/>
                <w:sz w:val="22"/>
                <w:szCs w:val="22"/>
                <w:lang w:val="fr-FR"/>
              </w:rPr>
              <w:t xml:space="preserve"> et l’égalité genre </w:t>
            </w:r>
            <w:r w:rsidR="00557C47" w:rsidRPr="000B5D1E">
              <w:rPr>
                <w:rFonts w:ascii="Calibri" w:hAnsi="Calibri" w:cs="Calibri"/>
                <w:color w:val="4472C4" w:themeColor="accent5"/>
                <w:sz w:val="22"/>
                <w:szCs w:val="22"/>
                <w:lang w:val="fr-FR"/>
              </w:rPr>
              <w:t xml:space="preserve"> et d’apporter une revue critique aux productions analytiques réalisées dans le cadre des plans d’action avec les institutions nationales dans le domaine des finances publiques pour les enfants</w:t>
            </w:r>
            <w:r w:rsidR="00754378" w:rsidRPr="000B5D1E">
              <w:rPr>
                <w:rFonts w:ascii="Calibri" w:hAnsi="Calibri" w:cs="Calibri"/>
                <w:color w:val="4472C4" w:themeColor="accent5"/>
                <w:sz w:val="22"/>
                <w:szCs w:val="22"/>
                <w:lang w:val="fr-FR"/>
              </w:rPr>
              <w:t xml:space="preserve"> et pour l’égalité genre </w:t>
            </w:r>
            <w:r w:rsidR="00557C47" w:rsidRPr="000B5D1E">
              <w:rPr>
                <w:rFonts w:ascii="Calibri" w:hAnsi="Calibri" w:cs="Calibri"/>
                <w:color w:val="4472C4" w:themeColor="accent5"/>
                <w:sz w:val="22"/>
                <w:szCs w:val="22"/>
                <w:lang w:val="fr-FR"/>
              </w:rPr>
              <w:t>. Cette collaboration</w:t>
            </w:r>
            <w:r w:rsidRPr="000B5D1E">
              <w:rPr>
                <w:rFonts w:ascii="Calibri" w:hAnsi="Calibri" w:cs="Calibri"/>
                <w:color w:val="4472C4" w:themeColor="accent5"/>
                <w:sz w:val="22"/>
                <w:szCs w:val="22"/>
                <w:lang w:val="fr-FR"/>
              </w:rPr>
              <w:t xml:space="preserve"> entre ministère des Finances et UNICEF </w:t>
            </w:r>
            <w:r w:rsidR="00546F24" w:rsidRPr="000B5D1E">
              <w:rPr>
                <w:rFonts w:ascii="Calibri" w:hAnsi="Calibri" w:cs="Calibri"/>
                <w:color w:val="4472C4" w:themeColor="accent5"/>
                <w:sz w:val="22"/>
                <w:szCs w:val="22"/>
                <w:lang w:val="fr-FR"/>
              </w:rPr>
              <w:t xml:space="preserve">se </w:t>
            </w:r>
            <w:r w:rsidR="00DF4EA5" w:rsidRPr="000B5D1E">
              <w:rPr>
                <w:rFonts w:ascii="Calibri" w:hAnsi="Calibri" w:cs="Calibri"/>
                <w:color w:val="4472C4" w:themeColor="accent5"/>
                <w:sz w:val="22"/>
                <w:szCs w:val="22"/>
                <w:lang w:val="fr-FR"/>
              </w:rPr>
              <w:t>renforce en</w:t>
            </w:r>
            <w:r w:rsidR="00546F24" w:rsidRPr="000B5D1E">
              <w:rPr>
                <w:rFonts w:ascii="Calibri" w:hAnsi="Calibri" w:cs="Calibri"/>
                <w:color w:val="4472C4" w:themeColor="accent5"/>
                <w:sz w:val="22"/>
                <w:szCs w:val="22"/>
                <w:lang w:val="fr-FR"/>
              </w:rPr>
              <w:t xml:space="preserve"> s’appuyant </w:t>
            </w:r>
            <w:r w:rsidRPr="000B5D1E">
              <w:rPr>
                <w:rFonts w:ascii="Calibri" w:hAnsi="Calibri" w:cs="Calibri"/>
                <w:color w:val="4472C4" w:themeColor="accent5"/>
                <w:sz w:val="22"/>
                <w:szCs w:val="22"/>
                <w:lang w:val="fr-FR"/>
              </w:rPr>
              <w:t xml:space="preserve">sur les grandes activités suivantes : </w:t>
            </w:r>
          </w:p>
          <w:p w14:paraId="020F387F" w14:textId="0CA95257" w:rsidR="00C926AE" w:rsidRPr="000B5D1E" w:rsidRDefault="00C926AE" w:rsidP="00230913">
            <w:pPr>
              <w:pStyle w:val="ListParagraph"/>
              <w:numPr>
                <w:ilvl w:val="0"/>
                <w:numId w:val="4"/>
              </w:numPr>
              <w:spacing w:line="240" w:lineRule="auto"/>
              <w:jc w:val="both"/>
              <w:rPr>
                <w:rFonts w:ascii="Calibri" w:eastAsia="Times New Roman" w:hAnsi="Calibri" w:cs="Calibri"/>
                <w:color w:val="4472C4" w:themeColor="accent5"/>
                <w:sz w:val="22"/>
                <w:szCs w:val="22"/>
                <w:lang w:val="fr-FR"/>
              </w:rPr>
            </w:pPr>
            <w:r w:rsidRPr="000B5D1E">
              <w:rPr>
                <w:rFonts w:ascii="Calibri" w:eastAsia="Times New Roman" w:hAnsi="Calibri" w:cs="Calibri"/>
                <w:color w:val="4472C4" w:themeColor="accent5"/>
                <w:sz w:val="22"/>
                <w:szCs w:val="22"/>
                <w:lang w:val="fr-FR"/>
              </w:rPr>
              <w:t xml:space="preserve">Renforcement des capacités des acteurs clés des </w:t>
            </w:r>
            <w:r w:rsidR="00264B61" w:rsidRPr="000B5D1E">
              <w:rPr>
                <w:rFonts w:ascii="Calibri" w:eastAsia="Times New Roman" w:hAnsi="Calibri" w:cs="Calibri"/>
                <w:color w:val="4472C4" w:themeColor="accent5"/>
                <w:sz w:val="22"/>
                <w:szCs w:val="22"/>
                <w:lang w:val="fr-FR"/>
              </w:rPr>
              <w:t>6</w:t>
            </w:r>
            <w:r w:rsidRPr="000B5D1E">
              <w:rPr>
                <w:rFonts w:ascii="Calibri" w:eastAsia="Times New Roman" w:hAnsi="Calibri" w:cs="Calibri"/>
                <w:color w:val="4472C4" w:themeColor="accent5"/>
                <w:sz w:val="22"/>
                <w:szCs w:val="22"/>
                <w:lang w:val="fr-FR"/>
              </w:rPr>
              <w:t xml:space="preserve"> ministères sociaux (</w:t>
            </w:r>
            <w:r w:rsidRPr="000B5D1E">
              <w:rPr>
                <w:rFonts w:ascii="Calibri" w:eastAsia="Times New Roman" w:hAnsi="Calibri" w:cs="Calibri"/>
                <w:i/>
                <w:iCs/>
                <w:color w:val="4472C4" w:themeColor="accent5"/>
                <w:sz w:val="22"/>
                <w:szCs w:val="22"/>
                <w:lang w:val="fr-FR"/>
              </w:rPr>
              <w:t>Ministère de la Femme, de l’Education, de la Santé, des Affaires Sociales, de la Justice, de l’Equipement, de l’Agriculture et du Tourisme)</w:t>
            </w:r>
            <w:r w:rsidRPr="000B5D1E">
              <w:rPr>
                <w:rFonts w:ascii="Calibri" w:eastAsia="Times New Roman" w:hAnsi="Calibri" w:cs="Calibri"/>
                <w:color w:val="4472C4" w:themeColor="accent5"/>
                <w:sz w:val="22"/>
                <w:szCs w:val="22"/>
                <w:lang w:val="fr-FR"/>
              </w:rPr>
              <w:t xml:space="preserve"> en matière de déclinaison des droits des enfants au niveau des politiques publiques et du budget, et accompagnement technique pour l’élaboration des plans d’action sectoriels BSE.</w:t>
            </w:r>
          </w:p>
          <w:p w14:paraId="5DACA148" w14:textId="07A4EEAA" w:rsidR="00C926AE" w:rsidRPr="000B5D1E" w:rsidRDefault="00C926AE" w:rsidP="00230913">
            <w:pPr>
              <w:pStyle w:val="ListParagraph"/>
              <w:numPr>
                <w:ilvl w:val="0"/>
                <w:numId w:val="4"/>
              </w:numPr>
              <w:spacing w:line="240" w:lineRule="auto"/>
              <w:jc w:val="both"/>
              <w:rPr>
                <w:rFonts w:ascii="Calibri" w:eastAsia="Times New Roman" w:hAnsi="Calibri" w:cs="Calibri"/>
                <w:color w:val="4472C4" w:themeColor="accent5"/>
                <w:sz w:val="22"/>
                <w:szCs w:val="22"/>
                <w:lang w:val="fr-FR"/>
              </w:rPr>
            </w:pPr>
            <w:r w:rsidRPr="000B5D1E">
              <w:rPr>
                <w:rFonts w:ascii="Calibri" w:eastAsia="Times New Roman" w:hAnsi="Calibri" w:cs="Calibri"/>
                <w:color w:val="4472C4" w:themeColor="accent5"/>
                <w:sz w:val="22"/>
                <w:szCs w:val="22"/>
                <w:lang w:val="fr-FR"/>
              </w:rPr>
              <w:t xml:space="preserve">Renforcement de l’engagement des points focaux GBO des </w:t>
            </w:r>
            <w:r w:rsidR="00264B61" w:rsidRPr="000B5D1E">
              <w:rPr>
                <w:rFonts w:ascii="Calibri" w:eastAsia="Times New Roman" w:hAnsi="Calibri" w:cs="Calibri"/>
                <w:color w:val="4472C4" w:themeColor="accent5"/>
                <w:sz w:val="22"/>
                <w:szCs w:val="22"/>
                <w:lang w:val="fr-FR"/>
              </w:rPr>
              <w:t xml:space="preserve">6 </w:t>
            </w:r>
            <w:r w:rsidRPr="000B5D1E">
              <w:rPr>
                <w:rFonts w:ascii="Calibri" w:eastAsia="Times New Roman" w:hAnsi="Calibri" w:cs="Calibri"/>
                <w:color w:val="4472C4" w:themeColor="accent5"/>
                <w:sz w:val="22"/>
                <w:szCs w:val="22"/>
                <w:lang w:val="fr-FR"/>
              </w:rPr>
              <w:t>ministères sociaux en matière de la BSE.</w:t>
            </w:r>
          </w:p>
          <w:p w14:paraId="7ED269F4" w14:textId="32F5F1FE" w:rsidR="00C926AE" w:rsidRDefault="00C926AE" w:rsidP="00230913">
            <w:pPr>
              <w:pStyle w:val="ListParagraph"/>
              <w:numPr>
                <w:ilvl w:val="0"/>
                <w:numId w:val="4"/>
              </w:numPr>
              <w:spacing w:line="240" w:lineRule="auto"/>
              <w:jc w:val="both"/>
              <w:rPr>
                <w:rFonts w:ascii="Calibri" w:eastAsia="Times New Roman" w:hAnsi="Calibri" w:cs="Calibri"/>
                <w:color w:val="4472C4" w:themeColor="accent5"/>
                <w:sz w:val="22"/>
                <w:szCs w:val="22"/>
                <w:lang w:val="fr-FR"/>
              </w:rPr>
            </w:pPr>
            <w:r w:rsidRPr="000B5D1E">
              <w:rPr>
                <w:rFonts w:ascii="Calibri" w:eastAsia="Times New Roman" w:hAnsi="Calibri" w:cs="Calibri"/>
                <w:color w:val="4472C4" w:themeColor="accent5"/>
                <w:sz w:val="22"/>
                <w:szCs w:val="22"/>
                <w:lang w:val="fr-FR"/>
              </w:rPr>
              <w:t>Accompagnement technique des acteurs clés des 6 ministères pilotes (</w:t>
            </w:r>
            <w:r w:rsidRPr="000B5D1E">
              <w:rPr>
                <w:rFonts w:ascii="Calibri" w:eastAsia="Times New Roman" w:hAnsi="Calibri" w:cs="Calibri"/>
                <w:i/>
                <w:iCs/>
                <w:color w:val="4472C4" w:themeColor="accent5"/>
                <w:sz w:val="22"/>
                <w:szCs w:val="22"/>
                <w:lang w:val="fr-FR"/>
              </w:rPr>
              <w:t>Ministère de la Femme, de l’Education, de la Santé, des Affaires Sociales, de la Justice, et de l’Equipement)</w:t>
            </w:r>
            <w:r w:rsidRPr="000B5D1E">
              <w:rPr>
                <w:rFonts w:ascii="Calibri" w:eastAsia="Times New Roman" w:hAnsi="Calibri" w:cs="Calibri"/>
                <w:color w:val="4472C4" w:themeColor="accent5"/>
                <w:sz w:val="22"/>
                <w:szCs w:val="22"/>
                <w:lang w:val="fr-FR"/>
              </w:rPr>
              <w:t xml:space="preserve"> pour renforcer la mise en œuvre de la NSE et la NSG.</w:t>
            </w:r>
          </w:p>
          <w:p w14:paraId="211A2359" w14:textId="77777777" w:rsidR="0085213F" w:rsidRPr="0085213F" w:rsidRDefault="0085213F" w:rsidP="0085213F">
            <w:pPr>
              <w:spacing w:line="240" w:lineRule="auto"/>
              <w:jc w:val="both"/>
              <w:rPr>
                <w:rFonts w:ascii="Calibri" w:eastAsia="Times New Roman" w:hAnsi="Calibri" w:cs="Calibri"/>
                <w:color w:val="4472C4" w:themeColor="accent5"/>
                <w:sz w:val="22"/>
                <w:szCs w:val="22"/>
                <w:lang w:val="fr-FR"/>
              </w:rPr>
            </w:pPr>
          </w:p>
          <w:p w14:paraId="35B3485B" w14:textId="77777777" w:rsidR="004E0027" w:rsidRPr="000B5D1E" w:rsidRDefault="004E0027" w:rsidP="00230913">
            <w:pPr>
              <w:pStyle w:val="ListParagraph"/>
              <w:numPr>
                <w:ilvl w:val="0"/>
                <w:numId w:val="8"/>
              </w:numPr>
              <w:spacing w:line="240" w:lineRule="auto"/>
              <w:rPr>
                <w:rFonts w:ascii="Calibri" w:eastAsia="Times New Roman" w:hAnsi="Calibri" w:cs="Calibri"/>
                <w:b/>
                <w:bCs/>
                <w:color w:val="4472C4" w:themeColor="accent5"/>
                <w:sz w:val="24"/>
                <w:szCs w:val="24"/>
                <w:lang w:val="fr-FR"/>
              </w:rPr>
            </w:pPr>
            <w:r w:rsidRPr="000B5D1E">
              <w:rPr>
                <w:rFonts w:ascii="Calibri" w:eastAsia="Times New Roman" w:hAnsi="Calibri" w:cs="Calibri"/>
                <w:b/>
                <w:bCs/>
                <w:color w:val="4472C4" w:themeColor="accent5"/>
                <w:sz w:val="24"/>
                <w:szCs w:val="24"/>
                <w:lang w:val="fr-FR"/>
              </w:rPr>
              <w:t>Résultats attendus :</w:t>
            </w:r>
          </w:p>
          <w:p w14:paraId="0B4627AB" w14:textId="77777777" w:rsidR="00264B61" w:rsidRPr="000B5D1E" w:rsidRDefault="00EF186E" w:rsidP="00230913">
            <w:pPr>
              <w:pStyle w:val="ListParagraph"/>
              <w:numPr>
                <w:ilvl w:val="0"/>
                <w:numId w:val="5"/>
              </w:numPr>
              <w:spacing w:line="240" w:lineRule="auto"/>
              <w:rPr>
                <w:rFonts w:ascii="Calibri" w:eastAsia="Times New Roman" w:hAnsi="Calibri" w:cs="Calibri"/>
                <w:color w:val="4472C4" w:themeColor="accent5"/>
                <w:sz w:val="22"/>
                <w:szCs w:val="22"/>
                <w:lang w:val="fr-FR"/>
              </w:rPr>
            </w:pPr>
            <w:r w:rsidRPr="000B5D1E">
              <w:rPr>
                <w:rFonts w:ascii="Calibri" w:eastAsia="Times New Roman" w:hAnsi="Calibri" w:cs="Calibri"/>
                <w:color w:val="4472C4" w:themeColor="accent5"/>
                <w:sz w:val="22"/>
                <w:szCs w:val="22"/>
                <w:lang w:val="fr-FR"/>
              </w:rPr>
              <w:t>Les cadres des ministères sociaux sont dotés de connaissances et de compétences nécessaires</w:t>
            </w:r>
            <w:r w:rsidR="002E6250" w:rsidRPr="000B5D1E">
              <w:rPr>
                <w:rFonts w:ascii="Calibri" w:eastAsia="Times New Roman" w:hAnsi="Calibri" w:cs="Calibri"/>
                <w:color w:val="4472C4" w:themeColor="accent5"/>
                <w:sz w:val="22"/>
                <w:szCs w:val="22"/>
                <w:lang w:val="fr-FR"/>
              </w:rPr>
              <w:t xml:space="preserve"> en matière de déclinaison des droits des enfants dans les politiques publiques et le budget. Ceci sera traduit par l’élaboration de plans d’action sectoriels BSE.</w:t>
            </w:r>
          </w:p>
          <w:p w14:paraId="4CD2087A" w14:textId="0A16D76A" w:rsidR="002E6250" w:rsidRPr="000B5D1E" w:rsidRDefault="002E6250" w:rsidP="00230913">
            <w:pPr>
              <w:pStyle w:val="ListParagraph"/>
              <w:numPr>
                <w:ilvl w:val="0"/>
                <w:numId w:val="5"/>
              </w:numPr>
              <w:spacing w:line="240" w:lineRule="auto"/>
              <w:rPr>
                <w:rFonts w:ascii="Calibri" w:eastAsia="Times New Roman" w:hAnsi="Calibri" w:cs="Calibri"/>
                <w:color w:val="4472C4" w:themeColor="accent5"/>
                <w:sz w:val="22"/>
                <w:szCs w:val="22"/>
                <w:lang w:val="fr-FR"/>
              </w:rPr>
            </w:pPr>
            <w:r w:rsidRPr="000B5D1E">
              <w:rPr>
                <w:rFonts w:ascii="Calibri" w:hAnsi="Calibri" w:cs="Calibri"/>
                <w:color w:val="4472C4" w:themeColor="accent5"/>
                <w:sz w:val="22"/>
                <w:szCs w:val="22"/>
                <w:lang w:val="fr-FR"/>
              </w:rPr>
              <w:t>Une fiche sur la budgétisation sensible à l’enfant contenant les</w:t>
            </w:r>
            <w:r w:rsidR="0052228D" w:rsidRPr="000B5D1E">
              <w:rPr>
                <w:rFonts w:ascii="Calibri" w:hAnsi="Calibri" w:cs="Calibri"/>
                <w:color w:val="4472C4" w:themeColor="accent5"/>
                <w:sz w:val="22"/>
                <w:szCs w:val="22"/>
                <w:lang w:val="fr-FR"/>
              </w:rPr>
              <w:t xml:space="preserve"> engagements des ministères en matière des droits des enfant</w:t>
            </w:r>
            <w:r w:rsidR="00264B61" w:rsidRPr="000B5D1E">
              <w:rPr>
                <w:rFonts w:ascii="Calibri" w:hAnsi="Calibri" w:cs="Calibri"/>
                <w:color w:val="4472C4" w:themeColor="accent5"/>
                <w:sz w:val="22"/>
                <w:szCs w:val="22"/>
                <w:lang w:val="fr-FR"/>
              </w:rPr>
              <w:t xml:space="preserve">s. </w:t>
            </w:r>
            <w:r w:rsidR="001C54B8" w:rsidRPr="000B5D1E">
              <w:rPr>
                <w:rFonts w:ascii="Calibri" w:hAnsi="Calibri" w:cs="Calibri"/>
                <w:color w:val="4472C4" w:themeColor="accent5"/>
                <w:sz w:val="22"/>
                <w:szCs w:val="22"/>
                <w:lang w:val="fr-FR"/>
              </w:rPr>
              <w:t xml:space="preserve"> </w:t>
            </w:r>
          </w:p>
          <w:p w14:paraId="50CA0D62" w14:textId="58BA76D4" w:rsidR="002E6250" w:rsidRPr="000B5D1E" w:rsidRDefault="002E6250" w:rsidP="00230913">
            <w:pPr>
              <w:pStyle w:val="Default"/>
              <w:numPr>
                <w:ilvl w:val="0"/>
                <w:numId w:val="5"/>
              </w:numPr>
              <w:jc w:val="both"/>
              <w:rPr>
                <w:rFonts w:ascii="Calibri" w:hAnsi="Calibri" w:cs="Calibri"/>
                <w:color w:val="4472C4" w:themeColor="accent5"/>
                <w:sz w:val="22"/>
                <w:szCs w:val="22"/>
                <w:lang w:val="fr-FR"/>
              </w:rPr>
            </w:pPr>
            <w:r w:rsidRPr="000B5D1E">
              <w:rPr>
                <w:rFonts w:ascii="Calibri" w:hAnsi="Calibri" w:cs="Calibri"/>
                <w:color w:val="4472C4" w:themeColor="accent5"/>
                <w:sz w:val="22"/>
                <w:szCs w:val="22"/>
                <w:lang w:val="fr-FR"/>
              </w:rPr>
              <w:t xml:space="preserve">Les capacités des acteurs clés des 6 ministères pilotes sont renforcés en matière de mise en œuvre et d’appropriation de la NSE et la NSG. </w:t>
            </w:r>
          </w:p>
        </w:tc>
      </w:tr>
      <w:tr w:rsidR="007613B3" w:rsidRPr="004B3215" w14:paraId="643AF18E" w14:textId="77777777" w:rsidTr="5B8122D3">
        <w:trPr>
          <w:trHeight w:val="60"/>
        </w:trPr>
        <w:tc>
          <w:tcPr>
            <w:tcW w:w="9872" w:type="dxa"/>
            <w:gridSpan w:val="3"/>
            <w:tcBorders>
              <w:top w:val="nil"/>
            </w:tcBorders>
            <w:shd w:val="clear" w:color="auto" w:fill="auto"/>
            <w:noWrap/>
          </w:tcPr>
          <w:p w14:paraId="57334069" w14:textId="77777777" w:rsidR="007613B3" w:rsidRPr="00DB419B" w:rsidRDefault="007613B3" w:rsidP="00377BF5">
            <w:pPr>
              <w:spacing w:before="60" w:after="60" w:line="240" w:lineRule="auto"/>
              <w:rPr>
                <w:rFonts w:ascii="Calibri" w:eastAsia="Arial Unicode MS" w:hAnsi="Calibri" w:cs="Calibri"/>
                <w:i/>
                <w:color w:val="auto"/>
                <w:lang w:val="fr-FR"/>
              </w:rPr>
            </w:pPr>
          </w:p>
        </w:tc>
      </w:tr>
      <w:tr w:rsidR="00B14BE6" w:rsidRPr="007613B3" w14:paraId="7033E0E0" w14:textId="77777777" w:rsidTr="5B8122D3">
        <w:trPr>
          <w:trHeight w:val="60"/>
        </w:trPr>
        <w:tc>
          <w:tcPr>
            <w:tcW w:w="9872" w:type="dxa"/>
            <w:gridSpan w:val="3"/>
            <w:tcBorders>
              <w:top w:val="nil"/>
            </w:tcBorders>
            <w:shd w:val="clear" w:color="auto" w:fill="auto"/>
            <w:noWrap/>
          </w:tcPr>
          <w:p w14:paraId="4451C6A0"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103DD380"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2EE79424"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052AFD3A" w14:textId="77777777"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YES    </w:t>
            </w:r>
            <w:r w:rsidR="00DB419B">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1"/>
                  </w:checkBox>
                </w:ffData>
              </w:fldChar>
            </w:r>
            <w:bookmarkStart w:id="2" w:name="Check9"/>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00DB419B">
              <w:rPr>
                <w:rFonts w:ascii="Calibri" w:eastAsia="Arial Unicode MS" w:hAnsi="Calibri" w:cs="Calibri"/>
                <w:color w:val="2B579A"/>
                <w:sz w:val="20"/>
                <w:szCs w:val="20"/>
                <w:shd w:val="clear" w:color="auto" w:fill="E6E6E6"/>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5D414CDF"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2D2EE6B2"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7B5512C7"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B419B">
              <w:rPr>
                <w:rFonts w:ascii="Calibri" w:eastAsia="Arial Unicode MS" w:hAnsi="Calibri" w:cs="Calibri"/>
                <w:color w:val="2B579A"/>
                <w:sz w:val="20"/>
                <w:szCs w:val="20"/>
                <w:shd w:val="clear" w:color="auto" w:fill="E6E6E6"/>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00DB419B">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09BE4D83"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64B05FBF"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38F8F9C9" w14:textId="77777777" w:rsidTr="00C756A2">
              <w:tc>
                <w:tcPr>
                  <w:tcW w:w="9661" w:type="dxa"/>
                </w:tcPr>
                <w:p w14:paraId="5D561553" w14:textId="77777777" w:rsidR="00C756A2" w:rsidRPr="00FE2A80" w:rsidRDefault="00DB419B" w:rsidP="004B3215">
                  <w:pPr>
                    <w:pStyle w:val="paragraph"/>
                    <w:framePr w:hSpace="180" w:wrap="around" w:hAnchor="margin" w:y="530"/>
                    <w:spacing w:before="0" w:beforeAutospacing="0" w:after="0" w:afterAutospacing="0"/>
                    <w:textAlignment w:val="baseline"/>
                    <w:rPr>
                      <w:rFonts w:ascii="Segoe UI" w:hAnsi="Segoe UI" w:cs="Segoe UI"/>
                      <w:color w:val="4472C4" w:themeColor="accent5"/>
                      <w:sz w:val="18"/>
                      <w:szCs w:val="18"/>
                    </w:rPr>
                  </w:pPr>
                  <w:r w:rsidRPr="00FE2A80">
                    <w:rPr>
                      <w:rFonts w:ascii="Segoe UI" w:hAnsi="Segoe UI" w:cs="Segoe UI"/>
                      <w:color w:val="4472C4" w:themeColor="accent5"/>
                      <w:sz w:val="18"/>
                      <w:szCs w:val="18"/>
                    </w:rPr>
                    <w:t>0</w:t>
                  </w:r>
                </w:p>
                <w:p w14:paraId="4A7D036B" w14:textId="77777777" w:rsidR="00C756A2" w:rsidRDefault="00C756A2" w:rsidP="004B3215">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42936CA9"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2CBC64A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DB419B">
              <w:rPr>
                <w:rFonts w:ascii="Calibri" w:eastAsia="Arial Unicode MS" w:hAnsi="Calibri" w:cs="Calibri"/>
                <w:color w:val="2B579A"/>
                <w:sz w:val="20"/>
                <w:szCs w:val="20"/>
                <w:shd w:val="clear" w:color="auto" w:fill="E6E6E6"/>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00DB419B">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26E9C5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8713DA6" w14:textId="77777777"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77E6022" w14:textId="77777777" w:rsidTr="00C756A2">
              <w:tc>
                <w:tcPr>
                  <w:tcW w:w="9661" w:type="dxa"/>
                </w:tcPr>
                <w:p w14:paraId="2B570D68" w14:textId="77777777" w:rsidR="00C756A2" w:rsidRPr="00FE2A80" w:rsidRDefault="00CB3017" w:rsidP="004B3215">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r w:rsidRPr="00FE2A80">
                    <w:rPr>
                      <w:rStyle w:val="eop"/>
                      <w:rFonts w:ascii="Calibri" w:hAnsi="Calibri" w:cs="Calibri"/>
                      <w:color w:val="4472C4" w:themeColor="accent5"/>
                      <w:sz w:val="20"/>
                      <w:szCs w:val="20"/>
                    </w:rPr>
                    <w:t>0</w:t>
                  </w:r>
                </w:p>
                <w:p w14:paraId="45AA0B40" w14:textId="77777777" w:rsidR="00C756A2" w:rsidRPr="00FE2A80" w:rsidRDefault="00C756A2" w:rsidP="004B3215">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p>
              </w:tc>
            </w:tr>
          </w:tbl>
          <w:p w14:paraId="363AAF93" w14:textId="77777777"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46E6F3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1BADA8DD" w14:textId="208AB10D"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r w:rsidR="009F21CA">
              <w:rPr>
                <w:rStyle w:val="eop"/>
                <w:rFonts w:ascii="Calibri" w:hAnsi="Calibri" w:cs="Calibri"/>
                <w:sz w:val="20"/>
                <w:szCs w:val="20"/>
              </w:rPr>
              <w:t>S</w:t>
            </w:r>
          </w:p>
        </w:tc>
      </w:tr>
    </w:tbl>
    <w:p w14:paraId="1146F33B" w14:textId="77777777" w:rsidR="007613B3" w:rsidRDefault="007613B3" w:rsidP="002108C6">
      <w:pPr>
        <w:spacing w:line="240" w:lineRule="auto"/>
        <w:rPr>
          <w:rFonts w:ascii="Calibri" w:hAnsi="Calibri" w:cs="Calibri"/>
          <w:b/>
          <w:bCs/>
          <w:sz w:val="24"/>
          <w:szCs w:val="24"/>
          <w:u w:val="single"/>
        </w:rPr>
      </w:pPr>
    </w:p>
    <w:p w14:paraId="69EDC9AA" w14:textId="77777777" w:rsidR="00840AAE" w:rsidRPr="00EC0480" w:rsidRDefault="00840AAE" w:rsidP="002108C6">
      <w:pPr>
        <w:tabs>
          <w:tab w:val="left" w:pos="2100"/>
        </w:tabs>
        <w:spacing w:line="240" w:lineRule="auto"/>
        <w:rPr>
          <w:rFonts w:ascii="Calibri" w:hAnsi="Calibri" w:cs="Calibri"/>
          <w:sz w:val="24"/>
          <w:szCs w:val="24"/>
        </w:rPr>
      </w:pPr>
    </w:p>
    <w:tbl>
      <w:tblPr>
        <w:tblStyle w:val="TableGrid"/>
        <w:tblpPr w:leftFromText="180" w:rightFromText="180" w:vertAnchor="text" w:horzAnchor="margin" w:tblpY="-287"/>
        <w:tblOverlap w:val="never"/>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0"/>
        <w:gridCol w:w="4831"/>
      </w:tblGrid>
      <w:tr w:rsidR="009536EF" w:rsidRPr="009D7B4B" w14:paraId="3810E6D9" w14:textId="77777777" w:rsidTr="005160D0">
        <w:tc>
          <w:tcPr>
            <w:tcW w:w="4830" w:type="dxa"/>
            <w:shd w:val="clear" w:color="auto" w:fill="auto"/>
          </w:tcPr>
          <w:p w14:paraId="625E778A" w14:textId="77777777" w:rsidR="009536EF" w:rsidRPr="00EC0480" w:rsidRDefault="009536EF" w:rsidP="009718F0">
            <w:pPr>
              <w:autoSpaceDE w:val="0"/>
              <w:autoSpaceDN w:val="0"/>
              <w:adjustRightInd w:val="0"/>
              <w:spacing w:line="240" w:lineRule="auto"/>
              <w:rPr>
                <w:rFonts w:ascii="CIDFont+F2" w:eastAsia="Times New Roman" w:hAnsi="CIDFont+F2" w:cs="CIDFont+F2"/>
                <w:color w:val="auto"/>
                <w:sz w:val="19"/>
                <w:szCs w:val="19"/>
              </w:rPr>
            </w:pPr>
          </w:p>
        </w:tc>
        <w:tc>
          <w:tcPr>
            <w:tcW w:w="4831" w:type="dxa"/>
            <w:shd w:val="clear" w:color="auto" w:fill="auto"/>
          </w:tcPr>
          <w:p w14:paraId="5D1CE1D7" w14:textId="77777777" w:rsidR="009536EF" w:rsidRPr="00EC0480" w:rsidRDefault="009536EF" w:rsidP="009718F0">
            <w:pPr>
              <w:autoSpaceDE w:val="0"/>
              <w:autoSpaceDN w:val="0"/>
              <w:adjustRightInd w:val="0"/>
              <w:spacing w:line="240" w:lineRule="auto"/>
              <w:jc w:val="both"/>
              <w:rPr>
                <w:rFonts w:ascii="CIDFont+F1" w:eastAsia="Times New Roman" w:hAnsi="CIDFont+F1" w:cs="CIDFont+F1"/>
                <w:color w:val="000000" w:themeColor="text1"/>
                <w:sz w:val="19"/>
                <w:szCs w:val="19"/>
              </w:rPr>
            </w:pPr>
          </w:p>
        </w:tc>
      </w:tr>
      <w:tr w:rsidR="009536EF" w14:paraId="15BC4703" w14:textId="77777777" w:rsidTr="005160D0">
        <w:tc>
          <w:tcPr>
            <w:tcW w:w="4830" w:type="dxa"/>
            <w:shd w:val="clear" w:color="auto" w:fill="auto"/>
          </w:tcPr>
          <w:p w14:paraId="7B74E254" w14:textId="77777777" w:rsidR="009536EF" w:rsidRPr="00EC0480" w:rsidRDefault="009536EF" w:rsidP="009718F0">
            <w:pPr>
              <w:spacing w:before="60" w:after="60" w:line="240" w:lineRule="auto"/>
              <w:rPr>
                <w:rFonts w:ascii="Calibri" w:eastAsia="Arial Unicode MS" w:hAnsi="Calibri" w:cs="Calibri"/>
                <w:b/>
                <w:bCs/>
                <w:i/>
                <w:color w:val="4472C4" w:themeColor="accent5"/>
              </w:rPr>
            </w:pPr>
          </w:p>
        </w:tc>
        <w:tc>
          <w:tcPr>
            <w:tcW w:w="4831" w:type="dxa"/>
            <w:shd w:val="clear" w:color="auto" w:fill="auto"/>
          </w:tcPr>
          <w:p w14:paraId="4E1BA601" w14:textId="77777777" w:rsidR="009536EF" w:rsidRPr="00FE2A80" w:rsidRDefault="009536EF" w:rsidP="009718F0">
            <w:pPr>
              <w:spacing w:before="60" w:after="60" w:line="240" w:lineRule="auto"/>
              <w:rPr>
                <w:rFonts w:ascii="Calibri" w:eastAsia="Arial Unicode MS" w:hAnsi="Calibri" w:cs="Calibri"/>
                <w:b/>
                <w:bCs/>
                <w:i/>
                <w:color w:val="4472C4" w:themeColor="accent5"/>
              </w:rPr>
            </w:pPr>
          </w:p>
        </w:tc>
      </w:tr>
      <w:tr w:rsidR="009536EF" w:rsidRPr="00C62593" w14:paraId="08314F3B" w14:textId="77777777" w:rsidTr="005160D0">
        <w:tc>
          <w:tcPr>
            <w:tcW w:w="4830" w:type="dxa"/>
            <w:shd w:val="clear" w:color="auto" w:fill="auto"/>
          </w:tcPr>
          <w:p w14:paraId="72FCFEFA" w14:textId="77777777" w:rsidR="009536EF" w:rsidRPr="00EC0480" w:rsidRDefault="009536EF" w:rsidP="009718F0">
            <w:pPr>
              <w:autoSpaceDE w:val="0"/>
              <w:autoSpaceDN w:val="0"/>
              <w:adjustRightInd w:val="0"/>
              <w:spacing w:line="240" w:lineRule="auto"/>
              <w:rPr>
                <w:rFonts w:ascii="CIDFont+F2" w:eastAsia="Times New Roman" w:hAnsi="CIDFont+F2" w:cs="CIDFont+F2"/>
                <w:color w:val="4472C4" w:themeColor="accent5"/>
                <w:sz w:val="19"/>
                <w:szCs w:val="19"/>
              </w:rPr>
            </w:pPr>
          </w:p>
        </w:tc>
        <w:tc>
          <w:tcPr>
            <w:tcW w:w="4831" w:type="dxa"/>
            <w:shd w:val="clear" w:color="auto" w:fill="auto"/>
          </w:tcPr>
          <w:p w14:paraId="6ECEA232" w14:textId="77777777" w:rsidR="009536EF" w:rsidRPr="00EC0480" w:rsidRDefault="009536EF" w:rsidP="009718F0">
            <w:pPr>
              <w:autoSpaceDE w:val="0"/>
              <w:autoSpaceDN w:val="0"/>
              <w:adjustRightInd w:val="0"/>
              <w:spacing w:line="240" w:lineRule="auto"/>
              <w:jc w:val="both"/>
              <w:rPr>
                <w:rFonts w:ascii="CIDFont+F1" w:eastAsia="Times New Roman" w:hAnsi="CIDFont+F1" w:cs="CIDFont+F1"/>
                <w:color w:val="4472C4" w:themeColor="accent5"/>
                <w:sz w:val="19"/>
                <w:szCs w:val="19"/>
              </w:rPr>
            </w:pPr>
          </w:p>
        </w:tc>
      </w:tr>
      <w:tr w:rsidR="009536EF" w:rsidRPr="00C62593" w14:paraId="258F9697" w14:textId="77777777" w:rsidTr="005160D0">
        <w:tc>
          <w:tcPr>
            <w:tcW w:w="4830" w:type="dxa"/>
            <w:shd w:val="clear" w:color="auto" w:fill="auto"/>
          </w:tcPr>
          <w:p w14:paraId="66B92FAC" w14:textId="77777777" w:rsidR="009536EF" w:rsidRPr="00EC0480" w:rsidRDefault="009536EF" w:rsidP="009718F0">
            <w:pPr>
              <w:autoSpaceDE w:val="0"/>
              <w:autoSpaceDN w:val="0"/>
              <w:adjustRightInd w:val="0"/>
              <w:spacing w:line="240" w:lineRule="auto"/>
              <w:rPr>
                <w:rFonts w:ascii="CIDFont+F2" w:eastAsia="Times New Roman" w:hAnsi="CIDFont+F2" w:cs="CIDFont+F2"/>
                <w:color w:val="auto"/>
                <w:sz w:val="19"/>
                <w:szCs w:val="19"/>
              </w:rPr>
            </w:pPr>
          </w:p>
        </w:tc>
        <w:tc>
          <w:tcPr>
            <w:tcW w:w="4831" w:type="dxa"/>
            <w:shd w:val="clear" w:color="auto" w:fill="auto"/>
          </w:tcPr>
          <w:p w14:paraId="6966BDE3" w14:textId="77777777" w:rsidR="009536EF" w:rsidRPr="00EC0480" w:rsidRDefault="009536EF" w:rsidP="009718F0">
            <w:pPr>
              <w:autoSpaceDE w:val="0"/>
              <w:autoSpaceDN w:val="0"/>
              <w:adjustRightInd w:val="0"/>
              <w:spacing w:line="240" w:lineRule="auto"/>
              <w:jc w:val="both"/>
              <w:rPr>
                <w:rFonts w:ascii="CIDFont+F1" w:eastAsia="Times New Roman" w:hAnsi="CIDFont+F1" w:cs="CIDFont+F1"/>
                <w:color w:val="000000" w:themeColor="text1"/>
                <w:sz w:val="19"/>
                <w:szCs w:val="19"/>
              </w:rPr>
            </w:pPr>
          </w:p>
        </w:tc>
      </w:tr>
    </w:tbl>
    <w:p w14:paraId="1090F2A1" w14:textId="77777777" w:rsidR="009536EF" w:rsidRPr="00EC0480" w:rsidRDefault="009536EF" w:rsidP="002108C6">
      <w:pPr>
        <w:tabs>
          <w:tab w:val="left" w:pos="2100"/>
        </w:tabs>
        <w:spacing w:line="240" w:lineRule="auto"/>
        <w:rPr>
          <w:rFonts w:ascii="Calibri" w:hAnsi="Calibri" w:cs="Calibri"/>
          <w:sz w:val="24"/>
          <w:szCs w:val="24"/>
        </w:rPr>
      </w:pPr>
    </w:p>
    <w:p w14:paraId="23B8C0D0" w14:textId="77777777" w:rsidR="00840AAE" w:rsidRPr="00EC0480" w:rsidRDefault="00840AAE" w:rsidP="002108C6">
      <w:pPr>
        <w:tabs>
          <w:tab w:val="left" w:pos="2100"/>
        </w:tabs>
        <w:spacing w:line="240" w:lineRule="auto"/>
        <w:rPr>
          <w:rFonts w:ascii="Calibri" w:hAnsi="Calibri" w:cs="Calibri"/>
          <w:sz w:val="24"/>
          <w:szCs w:val="24"/>
        </w:rPr>
      </w:pPr>
    </w:p>
    <w:p w14:paraId="01C9B97E" w14:textId="77777777" w:rsidR="00F627BE" w:rsidRPr="00EC0480" w:rsidRDefault="00F627BE" w:rsidP="002108C6">
      <w:pPr>
        <w:tabs>
          <w:tab w:val="left" w:pos="2100"/>
        </w:tabs>
        <w:spacing w:line="240" w:lineRule="auto"/>
        <w:rPr>
          <w:rFonts w:ascii="Calibri" w:hAnsi="Calibri" w:cs="Calibri"/>
          <w:sz w:val="24"/>
          <w:szCs w:val="24"/>
        </w:rPr>
      </w:pPr>
    </w:p>
    <w:p w14:paraId="32DDC6A7" w14:textId="77777777" w:rsidR="00F627BE" w:rsidRPr="00EC0480" w:rsidRDefault="00F627BE" w:rsidP="002108C6">
      <w:pPr>
        <w:tabs>
          <w:tab w:val="left" w:pos="2100"/>
        </w:tabs>
        <w:spacing w:line="240" w:lineRule="auto"/>
        <w:rPr>
          <w:rFonts w:ascii="Calibri" w:hAnsi="Calibri" w:cs="Calibri"/>
          <w:sz w:val="24"/>
          <w:szCs w:val="24"/>
        </w:rPr>
      </w:pPr>
    </w:p>
    <w:tbl>
      <w:tblPr>
        <w:tblpPr w:leftFromText="180" w:rightFromText="180" w:vertAnchor="page" w:horzAnchor="margin" w:tblpY="228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9536EF" w:rsidRPr="007613B3" w14:paraId="4C0ED348" w14:textId="77777777" w:rsidTr="009718F0">
        <w:trPr>
          <w:trHeight w:val="70"/>
        </w:trPr>
        <w:tc>
          <w:tcPr>
            <w:tcW w:w="1636" w:type="dxa"/>
            <w:tcBorders>
              <w:bottom w:val="nil"/>
            </w:tcBorders>
            <w:shd w:val="clear" w:color="auto" w:fill="auto"/>
            <w:noWrap/>
            <w:hideMark/>
          </w:tcPr>
          <w:p w14:paraId="011AD123" w14:textId="77777777" w:rsidR="009536EF" w:rsidRPr="007613B3" w:rsidRDefault="009536EF" w:rsidP="009718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7CD5D55F" w14:textId="77777777" w:rsidR="009536EF" w:rsidRPr="007613B3" w:rsidRDefault="009536EF" w:rsidP="009718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32679D6B" w14:textId="77777777" w:rsidR="009536EF" w:rsidRPr="007613B3" w:rsidRDefault="009536EF" w:rsidP="009718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9536EF" w:rsidRPr="007613B3" w14:paraId="2A4995DD" w14:textId="77777777" w:rsidTr="009718F0">
        <w:tc>
          <w:tcPr>
            <w:tcW w:w="1636" w:type="dxa"/>
            <w:tcBorders>
              <w:top w:val="nil"/>
            </w:tcBorders>
            <w:shd w:val="clear" w:color="auto" w:fill="auto"/>
            <w:noWrap/>
          </w:tcPr>
          <w:p w14:paraId="6FCC60F2" w14:textId="77777777" w:rsidR="009536EF" w:rsidRPr="00FE2A80" w:rsidRDefault="009536EF" w:rsidP="009718F0">
            <w:pPr>
              <w:spacing w:before="60" w:after="60" w:line="240" w:lineRule="auto"/>
              <w:rPr>
                <w:rFonts w:ascii="Calibri" w:eastAsia="Arial Unicode MS" w:hAnsi="Calibri" w:cs="Calibri"/>
                <w:b/>
                <w:bCs/>
                <w:i/>
                <w:color w:val="4472C4" w:themeColor="accent5"/>
              </w:rPr>
            </w:pPr>
            <w:r w:rsidRPr="00FE2A80">
              <w:rPr>
                <w:rFonts w:ascii="Calibri" w:eastAsia="Arial Unicode MS" w:hAnsi="Calibri" w:cs="Calibri"/>
                <w:b/>
                <w:bCs/>
                <w:i/>
                <w:color w:val="4472C4" w:themeColor="accent5"/>
              </w:rPr>
              <w:t>2024</w:t>
            </w:r>
          </w:p>
        </w:tc>
        <w:tc>
          <w:tcPr>
            <w:tcW w:w="3205" w:type="dxa"/>
            <w:gridSpan w:val="2"/>
            <w:tcBorders>
              <w:top w:val="nil"/>
            </w:tcBorders>
            <w:shd w:val="clear" w:color="auto" w:fill="auto"/>
            <w:noWrap/>
          </w:tcPr>
          <w:p w14:paraId="0EB0246B" w14:textId="77777777" w:rsidR="009536EF" w:rsidRPr="00FE2A80" w:rsidRDefault="009536EF" w:rsidP="009718F0">
            <w:pPr>
              <w:spacing w:before="60" w:after="60" w:line="240" w:lineRule="auto"/>
              <w:rPr>
                <w:rFonts w:ascii="Calibri" w:eastAsia="Arial Unicode MS" w:hAnsi="Calibri" w:cs="Calibri"/>
                <w:b/>
                <w:bCs/>
                <w:i/>
                <w:color w:val="4472C4" w:themeColor="accent5"/>
                <w:lang w:val="en-AU"/>
              </w:rPr>
            </w:pPr>
            <w:r w:rsidRPr="00FE2A80">
              <w:rPr>
                <w:rFonts w:ascii="Calibri" w:eastAsia="Arial Unicode MS" w:hAnsi="Calibri" w:cs="Calibri"/>
                <w:b/>
                <w:bCs/>
                <w:i/>
                <w:color w:val="4472C4" w:themeColor="accent5"/>
                <w:lang w:val="en-AU"/>
              </w:rPr>
              <w:t xml:space="preserve">Social Policy Section – Tunisia </w:t>
            </w:r>
          </w:p>
        </w:tc>
        <w:tc>
          <w:tcPr>
            <w:tcW w:w="5046" w:type="dxa"/>
            <w:gridSpan w:val="4"/>
            <w:tcBorders>
              <w:top w:val="nil"/>
            </w:tcBorders>
            <w:shd w:val="clear" w:color="auto" w:fill="auto"/>
          </w:tcPr>
          <w:p w14:paraId="1671E421" w14:textId="77777777" w:rsidR="009536EF" w:rsidRPr="00091E2B" w:rsidRDefault="009536EF" w:rsidP="009718F0">
            <w:pPr>
              <w:spacing w:before="60" w:after="60" w:line="240" w:lineRule="auto"/>
              <w:rPr>
                <w:rFonts w:ascii="Calibri" w:eastAsia="Arial Unicode MS" w:hAnsi="Calibri" w:cs="Calibri"/>
                <w:b/>
                <w:bCs/>
                <w:iCs/>
                <w:color w:val="auto"/>
              </w:rPr>
            </w:pPr>
            <w:r w:rsidRPr="00091E2B">
              <w:rPr>
                <w:rFonts w:ascii="Calibri" w:eastAsia="Arial Unicode MS" w:hAnsi="Calibri" w:cs="Calibri"/>
                <w:b/>
                <w:bCs/>
                <w:iCs/>
                <w:color w:val="4472C4" w:themeColor="accent5"/>
              </w:rPr>
              <w:t>Need of external expertise</w:t>
            </w:r>
          </w:p>
        </w:tc>
      </w:tr>
      <w:tr w:rsidR="009536EF" w:rsidRPr="004B3215" w14:paraId="1482794D" w14:textId="77777777" w:rsidTr="009718F0">
        <w:tc>
          <w:tcPr>
            <w:tcW w:w="9887" w:type="dxa"/>
            <w:gridSpan w:val="7"/>
            <w:tcBorders>
              <w:top w:val="nil"/>
            </w:tcBorders>
            <w:shd w:val="clear" w:color="auto" w:fill="auto"/>
            <w:noWrap/>
          </w:tcPr>
          <w:p w14:paraId="64070AE3" w14:textId="77777777" w:rsidR="009536EF" w:rsidRPr="009536EF" w:rsidRDefault="009536EF" w:rsidP="009536EF">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Pr>
                <w:rFonts w:ascii="Calibri" w:eastAsia="Arial Unicode MS" w:hAnsi="Calibri" w:cs="Calibri"/>
                <w:color w:val="auto"/>
                <w:lang w:val="en-AU"/>
              </w:rPr>
              <w:t xml:space="preserve"> No, please justify:</w:t>
            </w:r>
          </w:p>
          <w:p w14:paraId="7D398ADE" w14:textId="77777777" w:rsidR="009536EF" w:rsidRPr="009536EF" w:rsidRDefault="009536EF" w:rsidP="009536EF">
            <w:pPr>
              <w:spacing w:before="60" w:after="60" w:line="240" w:lineRule="auto"/>
              <w:rPr>
                <w:rFonts w:ascii="Calibri" w:eastAsia="Arial Unicode MS" w:hAnsi="Calibri" w:cs="Calibri"/>
                <w:b/>
                <w:bCs/>
                <w:i/>
                <w:color w:val="5B9BD5" w:themeColor="accent1"/>
                <w:lang w:val="fr-FR"/>
              </w:rPr>
            </w:pPr>
            <w:r w:rsidRPr="009536EF">
              <w:rPr>
                <w:rFonts w:ascii="Calibri" w:eastAsia="Arial Unicode MS" w:hAnsi="Calibri" w:cs="Calibri"/>
                <w:b/>
                <w:bCs/>
                <w:i/>
                <w:color w:val="5B9BD5" w:themeColor="accent1"/>
                <w:lang w:val="fr-FR"/>
              </w:rPr>
              <w:t>Résultats PTBA 2024-2025</w:t>
            </w:r>
            <w:r w:rsidRPr="009536EF">
              <w:rPr>
                <w:rFonts w:ascii="Calibri" w:eastAsia="Arial Unicode MS" w:hAnsi="Calibri" w:cs="Calibri"/>
                <w:b/>
                <w:bCs/>
                <w:i/>
                <w:color w:val="5B9BD5" w:themeColor="accent1"/>
                <w:lang w:val="fr-FR"/>
              </w:rPr>
              <w:tab/>
            </w:r>
          </w:p>
          <w:p w14:paraId="23914FC6" w14:textId="77777777" w:rsidR="009536EF" w:rsidRPr="009536EF" w:rsidRDefault="009536EF" w:rsidP="009536EF">
            <w:pPr>
              <w:spacing w:before="60" w:after="60" w:line="240" w:lineRule="auto"/>
              <w:rPr>
                <w:rFonts w:ascii="Calibri" w:eastAsia="Arial Unicode MS" w:hAnsi="Calibri" w:cs="Calibri"/>
                <w:i/>
                <w:color w:val="4472C4" w:themeColor="accent5"/>
                <w:lang w:val="fr-FR"/>
              </w:rPr>
            </w:pPr>
            <w:r w:rsidRPr="009536EF">
              <w:rPr>
                <w:rFonts w:ascii="Calibri" w:eastAsia="Arial Unicode MS" w:hAnsi="Calibri" w:cs="Calibri"/>
                <w:i/>
                <w:color w:val="4472C4" w:themeColor="accent5"/>
                <w:lang w:val="fr-FR"/>
              </w:rPr>
              <w:t>1.1.2 Appui technique aux processus nationaux de planification stratégique y compris sectoriels et participation des enfants</w:t>
            </w:r>
            <w:r w:rsidRPr="009536EF">
              <w:rPr>
                <w:rFonts w:ascii="Calibri" w:eastAsia="Arial Unicode MS" w:hAnsi="Calibri" w:cs="Calibri"/>
                <w:i/>
                <w:color w:val="4472C4" w:themeColor="accent5"/>
                <w:lang w:val="fr-FR"/>
              </w:rPr>
              <w:tab/>
            </w:r>
          </w:p>
          <w:p w14:paraId="18AE32C7" w14:textId="77777777" w:rsidR="009536EF" w:rsidRDefault="009536EF" w:rsidP="009536EF">
            <w:pPr>
              <w:spacing w:before="60" w:after="60" w:line="240" w:lineRule="auto"/>
              <w:rPr>
                <w:rFonts w:ascii="Calibri" w:eastAsia="Arial Unicode MS" w:hAnsi="Calibri" w:cs="Calibri"/>
                <w:i/>
                <w:color w:val="auto"/>
                <w:lang w:val="fr-FR"/>
              </w:rPr>
            </w:pPr>
            <w:r w:rsidRPr="009536EF">
              <w:rPr>
                <w:rFonts w:ascii="Calibri" w:eastAsia="Arial Unicode MS" w:hAnsi="Calibri" w:cs="Calibri"/>
                <w:b/>
                <w:bCs/>
                <w:i/>
                <w:color w:val="5B9BD5" w:themeColor="accent1"/>
                <w:lang w:val="fr-FR"/>
              </w:rPr>
              <w:t>Activités PTBA 2024-2025</w:t>
            </w:r>
          </w:p>
          <w:p w14:paraId="6DDEB995" w14:textId="77777777" w:rsidR="009536EF" w:rsidRPr="009536EF" w:rsidRDefault="009536EF" w:rsidP="009536EF">
            <w:pPr>
              <w:spacing w:before="60" w:after="60" w:line="240" w:lineRule="auto"/>
              <w:rPr>
                <w:rFonts w:ascii="Calibri" w:eastAsia="Arial Unicode MS" w:hAnsi="Calibri" w:cs="Calibri"/>
                <w:i/>
                <w:color w:val="auto"/>
                <w:lang w:val="fr-FR"/>
              </w:rPr>
            </w:pPr>
            <w:r w:rsidRPr="009536EF">
              <w:rPr>
                <w:rFonts w:ascii="Calibri" w:eastAsia="Arial Unicode MS" w:hAnsi="Calibri" w:cs="Calibri"/>
                <w:i/>
                <w:color w:val="4472C4" w:themeColor="accent5"/>
                <w:lang w:val="fr-FR"/>
              </w:rPr>
              <w:t>1.1.2.2 Continuer l'appui technique pour l'institutionnalisation de la nomenclature BSE et BSG dans le budget national, la mise en ligne de la plateforme Budget Ouvert (Miziatuna) et le renforcement des capacités en finances publiques sensibles à l'enfance (PF4C)</w:t>
            </w:r>
          </w:p>
        </w:tc>
      </w:tr>
      <w:tr w:rsidR="009536EF" w:rsidRPr="007613B3" w14:paraId="5F0D6A9E" w14:textId="77777777" w:rsidTr="009718F0">
        <w:tc>
          <w:tcPr>
            <w:tcW w:w="6390" w:type="dxa"/>
            <w:gridSpan w:val="5"/>
            <w:tcBorders>
              <w:bottom w:val="nil"/>
            </w:tcBorders>
            <w:shd w:val="clear" w:color="auto" w:fill="auto"/>
          </w:tcPr>
          <w:p w14:paraId="6C742F4D" w14:textId="77777777" w:rsidR="009536EF" w:rsidRDefault="009536EF" w:rsidP="009718F0">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0477CE2" w14:textId="77777777" w:rsidR="009536EF" w:rsidRPr="007613B3" w:rsidRDefault="00EF186E" w:rsidP="009718F0">
            <w:pPr>
              <w:spacing w:before="120" w:after="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9536EF" w:rsidRPr="007613B3">
              <w:rPr>
                <w:rFonts w:ascii="Calibri" w:eastAsia="Arial Unicode MS" w:hAnsi="Calibri" w:cs="Calibri"/>
                <w:color w:val="auto"/>
                <w:lang w:val="en-AU"/>
              </w:rPr>
              <w:t xml:space="preserve"> National  </w:t>
            </w:r>
            <w:r w:rsidR="009536EF"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009536EF"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9536EF" w:rsidRPr="007613B3">
              <w:rPr>
                <w:rFonts w:ascii="Calibri" w:eastAsia="Arial Unicode MS" w:hAnsi="Calibri" w:cs="Calibri"/>
                <w:color w:val="auto"/>
                <w:shd w:val="clear" w:color="auto" w:fill="E6E6E6"/>
                <w:lang w:val="en-AU"/>
              </w:rPr>
              <w:fldChar w:fldCharType="end"/>
            </w:r>
            <w:r w:rsidR="009536EF" w:rsidRPr="007613B3">
              <w:rPr>
                <w:rFonts w:ascii="Calibri" w:eastAsia="Arial Unicode MS" w:hAnsi="Calibri" w:cs="Calibri"/>
                <w:color w:val="auto"/>
                <w:lang w:val="en-AU"/>
              </w:rPr>
              <w:t xml:space="preserve"> International </w:t>
            </w:r>
            <w:r>
              <w:rPr>
                <w:rFonts w:ascii="Calibri" w:eastAsia="Arial Unicode MS" w:hAnsi="Calibri" w:cs="Calibri"/>
                <w:color w:val="auto"/>
                <w:shd w:val="clear" w:color="auto" w:fill="E6E6E6"/>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9536EF" w:rsidRPr="007613B3">
              <w:rPr>
                <w:rFonts w:ascii="Calibri" w:eastAsia="Arial Unicode MS" w:hAnsi="Calibri" w:cs="Calibri"/>
                <w:color w:val="auto"/>
                <w:lang w:val="en-AU"/>
              </w:rPr>
              <w:t xml:space="preserve"> Both</w:t>
            </w:r>
          </w:p>
          <w:p w14:paraId="118EB0C3" w14:textId="77777777" w:rsidR="009536EF" w:rsidRDefault="009536EF" w:rsidP="009718F0">
            <w:pPr>
              <w:spacing w:before="120" w:after="60" w:line="240" w:lineRule="auto"/>
              <w:rPr>
                <w:rFonts w:ascii="Calibri" w:eastAsia="Arial Unicode MS" w:hAnsi="Calibri" w:cs="Calibri"/>
                <w:b/>
                <w:color w:val="auto"/>
                <w:lang w:val="en-AU"/>
              </w:rPr>
            </w:pPr>
          </w:p>
          <w:p w14:paraId="2A1FE755" w14:textId="77777777" w:rsidR="009536EF" w:rsidRPr="00214E11" w:rsidRDefault="009536EF" w:rsidP="009718F0">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24FA6E17" w14:textId="77777777" w:rsidR="009536EF" w:rsidRDefault="009536EF" w:rsidP="009718F0">
            <w:pPr>
              <w:spacing w:before="120" w:after="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Pr>
                <w:rFonts w:ascii="Calibri" w:eastAsia="Arial Unicode MS" w:hAnsi="Calibri" w:cs="Calibri"/>
                <w:color w:val="auto"/>
                <w:lang w:val="en-AU"/>
              </w:rPr>
              <w:t xml:space="preserve"> Desk Review             </w:t>
            </w:r>
            <w:r>
              <w:rPr>
                <w:rFonts w:ascii="Calibri" w:eastAsia="Arial Unicode MS" w:hAnsi="Calibri" w:cs="Calibri"/>
                <w:color w:val="auto"/>
                <w:shd w:val="clear" w:color="auto" w:fill="E6E6E6"/>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365E2366" w14:textId="77777777" w:rsidR="009536EF" w:rsidRDefault="009536EF" w:rsidP="009718F0">
            <w:pPr>
              <w:spacing w:before="120" w:after="60" w:line="240" w:lineRule="auto"/>
              <w:rPr>
                <w:rFonts w:ascii="Calibri" w:eastAsia="Arial Unicode MS" w:hAnsi="Calibri" w:cs="Calibri"/>
                <w:color w:val="auto"/>
                <w:lang w:val="en-AU"/>
              </w:rPr>
            </w:pPr>
          </w:p>
          <w:p w14:paraId="5480DEFD" w14:textId="77777777" w:rsidR="009536EF" w:rsidRPr="007613B3" w:rsidRDefault="009536EF" w:rsidP="009718F0">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Pr>
                <w:rFonts w:ascii="Calibri" w:eastAsia="Arial Unicode MS" w:hAnsi="Calibri" w:cs="Calibri"/>
                <w:color w:val="auto"/>
                <w:lang w:val="en-AU"/>
              </w:rPr>
              <w:t xml:space="preserve"> </w:t>
            </w:r>
          </w:p>
        </w:tc>
        <w:tc>
          <w:tcPr>
            <w:tcW w:w="3497" w:type="dxa"/>
            <w:gridSpan w:val="2"/>
            <w:tcBorders>
              <w:bottom w:val="nil"/>
            </w:tcBorders>
            <w:shd w:val="clear" w:color="auto" w:fill="auto"/>
          </w:tcPr>
          <w:p w14:paraId="6EF76F11" w14:textId="77777777" w:rsidR="009536EF" w:rsidRPr="007613B3" w:rsidRDefault="009536EF" w:rsidP="009718F0">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256CD33E" w14:textId="77777777" w:rsidR="009536EF" w:rsidRPr="007613B3" w:rsidRDefault="009536EF" w:rsidP="009718F0">
            <w:pPr>
              <w:spacing w:before="120" w:after="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5AF0B2EF" w14:textId="77777777" w:rsidR="009536EF" w:rsidRPr="007613B3" w:rsidRDefault="009536EF" w:rsidP="009718F0">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Extension/ Amendment</w:t>
            </w:r>
          </w:p>
        </w:tc>
      </w:tr>
      <w:tr w:rsidR="009536EF" w:rsidRPr="007613B3" w14:paraId="023ABA52" w14:textId="77777777" w:rsidTr="009718F0">
        <w:trPr>
          <w:trHeight w:val="410"/>
        </w:trPr>
        <w:tc>
          <w:tcPr>
            <w:tcW w:w="9887" w:type="dxa"/>
            <w:gridSpan w:val="7"/>
            <w:tcBorders>
              <w:bottom w:val="nil"/>
            </w:tcBorders>
            <w:shd w:val="clear" w:color="auto" w:fill="auto"/>
          </w:tcPr>
          <w:p w14:paraId="20C0098A" w14:textId="77777777" w:rsidR="009536EF" w:rsidRPr="00DB419B" w:rsidRDefault="009536EF" w:rsidP="009718F0">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9536EF" w:rsidRPr="007613B3" w14:paraId="505A3957" w14:textId="77777777" w:rsidTr="00890D0C">
        <w:trPr>
          <w:trHeight w:val="897"/>
        </w:trPr>
        <w:tc>
          <w:tcPr>
            <w:tcW w:w="4138" w:type="dxa"/>
            <w:gridSpan w:val="2"/>
            <w:tcBorders>
              <w:bottom w:val="nil"/>
            </w:tcBorders>
            <w:shd w:val="clear" w:color="auto" w:fill="auto"/>
            <w:noWrap/>
            <w:hideMark/>
          </w:tcPr>
          <w:p w14:paraId="220A7E55" w14:textId="77777777" w:rsidR="009536EF" w:rsidRPr="00DB419B" w:rsidRDefault="009536EF" w:rsidP="009718F0">
            <w:pPr>
              <w:spacing w:before="100" w:beforeAutospacing="1" w:after="100" w:afterAutospacing="1" w:line="240" w:lineRule="auto"/>
              <w:rPr>
                <w:rFonts w:ascii="Calibri" w:eastAsia="Arial Unicode MS" w:hAnsi="Calibri" w:cs="Calibri"/>
                <w:b/>
                <w:color w:val="auto"/>
                <w:lang w:val="en-AU"/>
              </w:rPr>
            </w:pPr>
            <w:r w:rsidRPr="00DB419B">
              <w:rPr>
                <w:rFonts w:ascii="Calibri" w:eastAsia="Arial Unicode MS" w:hAnsi="Calibri" w:cs="Calibri"/>
                <w:b/>
                <w:color w:val="auto"/>
                <w:lang w:val="en-AU"/>
              </w:rPr>
              <w:t>Supervisor:</w:t>
            </w:r>
          </w:p>
          <w:p w14:paraId="079D529C" w14:textId="41DBAB84" w:rsidR="009536EF" w:rsidRPr="00DB419B" w:rsidRDefault="009536EF" w:rsidP="009718F0">
            <w:pPr>
              <w:spacing w:before="100" w:beforeAutospacing="1" w:after="100" w:afterAutospacing="1" w:line="240" w:lineRule="auto"/>
              <w:rPr>
                <w:rFonts w:ascii="Calibri" w:eastAsia="Arial Unicode MS" w:hAnsi="Calibri" w:cs="Calibri"/>
                <w:bCs/>
                <w:color w:val="auto"/>
                <w:lang w:val="en-AU"/>
              </w:rPr>
            </w:pPr>
            <w:r w:rsidRPr="00DB419B">
              <w:rPr>
                <w:rFonts w:ascii="Calibri" w:eastAsia="Arial Unicode MS" w:hAnsi="Calibri" w:cs="Calibri"/>
                <w:bCs/>
                <w:color w:val="4472C4" w:themeColor="accent5"/>
                <w:lang w:val="en-AU"/>
              </w:rPr>
              <w:t xml:space="preserve"> Social Policy Specialist</w:t>
            </w:r>
          </w:p>
        </w:tc>
        <w:tc>
          <w:tcPr>
            <w:tcW w:w="1980" w:type="dxa"/>
            <w:gridSpan w:val="2"/>
            <w:tcBorders>
              <w:bottom w:val="nil"/>
            </w:tcBorders>
            <w:shd w:val="clear" w:color="auto" w:fill="auto"/>
            <w:noWrap/>
            <w:hideMark/>
          </w:tcPr>
          <w:p w14:paraId="3976D8FA" w14:textId="77777777" w:rsidR="009536EF" w:rsidRDefault="009536EF" w:rsidP="009718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1F6ED267" w14:textId="79AF16EE" w:rsidR="009536EF" w:rsidRPr="00DB419B" w:rsidRDefault="00C75465" w:rsidP="009718F0">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4472C4" w:themeColor="accent5"/>
                <w:lang w:val="en-AU"/>
              </w:rPr>
              <w:t>6</w:t>
            </w:r>
            <w:r w:rsidR="009536EF" w:rsidRPr="00DB419B">
              <w:rPr>
                <w:rFonts w:ascii="Calibri" w:eastAsia="Arial Unicode MS" w:hAnsi="Calibri" w:cs="Calibri"/>
                <w:bCs/>
                <w:color w:val="4472C4" w:themeColor="accent5"/>
                <w:lang w:val="en-AU"/>
              </w:rPr>
              <w:t>.0</w:t>
            </w:r>
            <w:r w:rsidR="00EF186E">
              <w:rPr>
                <w:rFonts w:ascii="Calibri" w:eastAsia="Arial Unicode MS" w:hAnsi="Calibri" w:cs="Calibri"/>
                <w:bCs/>
                <w:color w:val="4472C4" w:themeColor="accent5"/>
                <w:lang w:val="en-AU"/>
              </w:rPr>
              <w:t>3</w:t>
            </w:r>
            <w:r w:rsidR="009536EF" w:rsidRPr="00DB419B">
              <w:rPr>
                <w:rFonts w:ascii="Calibri" w:eastAsia="Arial Unicode MS" w:hAnsi="Calibri" w:cs="Calibri"/>
                <w:bCs/>
                <w:color w:val="4472C4" w:themeColor="accent5"/>
                <w:lang w:val="en-AU"/>
              </w:rPr>
              <w:t>.2024</w:t>
            </w:r>
          </w:p>
        </w:tc>
        <w:tc>
          <w:tcPr>
            <w:tcW w:w="2070" w:type="dxa"/>
            <w:gridSpan w:val="2"/>
            <w:tcBorders>
              <w:bottom w:val="nil"/>
            </w:tcBorders>
            <w:shd w:val="clear" w:color="auto" w:fill="auto"/>
          </w:tcPr>
          <w:p w14:paraId="798A7C40" w14:textId="77777777" w:rsidR="009536EF" w:rsidRDefault="009536EF" w:rsidP="009718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50CDA45A" w14:textId="77777777" w:rsidR="009536EF" w:rsidRPr="00DB419B" w:rsidRDefault="00EF186E" w:rsidP="002108C6">
            <w:pPr>
              <w:spacing w:line="240" w:lineRule="auto"/>
              <w:rPr>
                <w:rFonts w:ascii="Calibri" w:eastAsia="Arial Unicode MS" w:hAnsi="Calibri" w:cs="Calibri"/>
                <w:lang w:val="en-AU"/>
              </w:rPr>
            </w:pPr>
            <w:r>
              <w:rPr>
                <w:rFonts w:ascii="Calibri" w:eastAsia="Arial Unicode MS" w:hAnsi="Calibri" w:cs="Calibri"/>
                <w:color w:val="4472C4" w:themeColor="accent5"/>
                <w:lang w:val="en-AU"/>
              </w:rPr>
              <w:t>31.12</w:t>
            </w:r>
            <w:r w:rsidR="009536EF" w:rsidRPr="00DB419B">
              <w:rPr>
                <w:rFonts w:ascii="Calibri" w:eastAsia="Arial Unicode MS" w:hAnsi="Calibri" w:cs="Calibri"/>
                <w:color w:val="4472C4" w:themeColor="accent5"/>
                <w:lang w:val="en-AU"/>
              </w:rPr>
              <w:t>.2024</w:t>
            </w:r>
          </w:p>
        </w:tc>
        <w:tc>
          <w:tcPr>
            <w:tcW w:w="1699" w:type="dxa"/>
            <w:tcBorders>
              <w:bottom w:val="nil"/>
            </w:tcBorders>
            <w:shd w:val="clear" w:color="auto" w:fill="auto"/>
          </w:tcPr>
          <w:p w14:paraId="7C26E955" w14:textId="77777777" w:rsidR="009536EF" w:rsidRDefault="009536EF" w:rsidP="00EF18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w:t>
            </w:r>
            <w:r>
              <w:rPr>
                <w:rFonts w:ascii="Calibri" w:eastAsia="Arial Unicode MS" w:hAnsi="Calibri" w:cs="Calibri"/>
                <w:b/>
                <w:color w:val="auto"/>
                <w:lang w:val="en-AU"/>
              </w:rPr>
              <w:t xml:space="preserve"> working</w:t>
            </w:r>
            <w:r w:rsidRPr="007613B3">
              <w:rPr>
                <w:rFonts w:ascii="Calibri" w:eastAsia="Arial Unicode MS" w:hAnsi="Calibri" w:cs="Calibri"/>
                <w:b/>
                <w:color w:val="auto"/>
                <w:lang w:val="en-AU"/>
              </w:rPr>
              <w:t xml:space="preserve"> Days </w:t>
            </w:r>
          </w:p>
          <w:p w14:paraId="7BD25D82" w14:textId="388EFAA6" w:rsidR="00EF186E" w:rsidRPr="00EF186E" w:rsidRDefault="000B5D1E" w:rsidP="00EF186E">
            <w:pPr>
              <w:spacing w:before="100" w:beforeAutospacing="1" w:after="100" w:afterAutospacing="1" w:line="240" w:lineRule="auto"/>
              <w:jc w:val="center"/>
              <w:rPr>
                <w:rFonts w:ascii="Calibri" w:eastAsia="Arial Unicode MS" w:hAnsi="Calibri" w:cs="Calibri"/>
                <w:b/>
                <w:color w:val="auto"/>
                <w:lang w:val="en-AU"/>
              </w:rPr>
            </w:pPr>
            <w:r>
              <w:rPr>
                <w:rFonts w:ascii="Calibri" w:eastAsia="Arial Unicode MS" w:hAnsi="Calibri" w:cs="Calibri"/>
                <w:b/>
                <w:color w:val="4472C4" w:themeColor="accent5"/>
                <w:lang w:val="en-AU"/>
              </w:rPr>
              <w:t>68</w:t>
            </w:r>
            <w:r w:rsidR="00D37AFB" w:rsidRPr="00D37AFB">
              <w:rPr>
                <w:rFonts w:ascii="Calibri" w:eastAsia="Arial Unicode MS" w:hAnsi="Calibri" w:cs="Calibri"/>
                <w:b/>
                <w:color w:val="4472C4" w:themeColor="accent5"/>
                <w:lang w:val="en-AU"/>
              </w:rPr>
              <w:t>H/J</w:t>
            </w:r>
          </w:p>
        </w:tc>
      </w:tr>
    </w:tbl>
    <w:p w14:paraId="305694D9" w14:textId="77777777" w:rsidR="009536EF" w:rsidRPr="00890D0C" w:rsidRDefault="009536EF" w:rsidP="002108C6">
      <w:pPr>
        <w:tabs>
          <w:tab w:val="left" w:pos="2100"/>
        </w:tabs>
        <w:spacing w:line="240" w:lineRule="auto"/>
        <w:rPr>
          <w:rFonts w:ascii="Calibri" w:hAnsi="Calibri" w:cs="Calibri"/>
          <w:sz w:val="24"/>
          <w:szCs w:val="24"/>
        </w:rPr>
      </w:pPr>
    </w:p>
    <w:p w14:paraId="0499254C" w14:textId="77777777" w:rsidR="00F627BE" w:rsidRPr="007F4229" w:rsidRDefault="00F627BE" w:rsidP="002108C6">
      <w:pPr>
        <w:tabs>
          <w:tab w:val="left" w:pos="2100"/>
        </w:tabs>
        <w:spacing w:line="240" w:lineRule="auto"/>
        <w:rPr>
          <w:rFonts w:ascii="Calibri" w:hAnsi="Calibri" w:cs="Calibri"/>
          <w:sz w:val="2"/>
          <w:szCs w:val="2"/>
        </w:rPr>
      </w:pPr>
    </w:p>
    <w:p w14:paraId="02388DA2" w14:textId="77777777" w:rsidR="00F627BE" w:rsidRPr="00890D0C" w:rsidRDefault="00F627BE" w:rsidP="002108C6">
      <w:pPr>
        <w:tabs>
          <w:tab w:val="left" w:pos="2100"/>
        </w:tabs>
        <w:spacing w:line="240" w:lineRule="auto"/>
        <w:rPr>
          <w:rFonts w:ascii="Calibri" w:hAnsi="Calibri" w:cs="Calibri"/>
          <w:sz w:val="24"/>
          <w:szCs w:val="24"/>
        </w:rPr>
      </w:pPr>
    </w:p>
    <w:tbl>
      <w:tblPr>
        <w:tblStyle w:val="TableGrid"/>
        <w:tblpPr w:leftFromText="180" w:rightFromText="180" w:vertAnchor="text" w:tblpY="1"/>
        <w:tblOverlap w:val="never"/>
        <w:tblW w:w="9895" w:type="dxa"/>
        <w:tblLook w:val="04A0" w:firstRow="1" w:lastRow="0" w:firstColumn="1" w:lastColumn="0" w:noHBand="0" w:noVBand="1"/>
      </w:tblPr>
      <w:tblGrid>
        <w:gridCol w:w="4267"/>
        <w:gridCol w:w="4362"/>
        <w:gridCol w:w="1266"/>
      </w:tblGrid>
      <w:tr w:rsidR="00EF186E" w14:paraId="3AECFC43" w14:textId="77777777" w:rsidTr="2FCEBBFA">
        <w:tc>
          <w:tcPr>
            <w:tcW w:w="4267" w:type="dxa"/>
            <w:shd w:val="clear" w:color="auto" w:fill="DEEAF6" w:themeFill="accent1" w:themeFillTint="33"/>
          </w:tcPr>
          <w:p w14:paraId="4E9E3C18" w14:textId="77777777" w:rsidR="00EF186E" w:rsidRPr="008F1D76" w:rsidRDefault="00EF186E" w:rsidP="003B215B">
            <w:pPr>
              <w:spacing w:line="240" w:lineRule="auto"/>
              <w:jc w:val="center"/>
              <w:rPr>
                <w:b/>
                <w:bCs/>
              </w:rPr>
            </w:pPr>
            <w:r w:rsidRPr="008F1D76">
              <w:rPr>
                <w:rFonts w:ascii="Calibri" w:eastAsia="Arial Unicode MS" w:hAnsi="Calibri" w:cs="Calibri"/>
                <w:b/>
                <w:bCs/>
                <w:color w:val="auto"/>
                <w:lang w:val="en-AU"/>
              </w:rPr>
              <w:lastRenderedPageBreak/>
              <w:t>Assignments Overview</w:t>
            </w:r>
          </w:p>
        </w:tc>
        <w:tc>
          <w:tcPr>
            <w:tcW w:w="4362" w:type="dxa"/>
            <w:shd w:val="clear" w:color="auto" w:fill="DEEAF6" w:themeFill="accent1" w:themeFillTint="33"/>
          </w:tcPr>
          <w:p w14:paraId="2774400F" w14:textId="77777777" w:rsidR="00EF186E" w:rsidRPr="008F1D76" w:rsidRDefault="00EF186E" w:rsidP="003B215B">
            <w:pPr>
              <w:spacing w:line="240" w:lineRule="auto"/>
              <w:jc w:val="center"/>
              <w:rPr>
                <w:b/>
                <w:bCs/>
              </w:rPr>
            </w:pPr>
            <w:r w:rsidRPr="008F1D76">
              <w:rPr>
                <w:rFonts w:ascii="Calibri" w:eastAsia="Arial Unicode MS" w:hAnsi="Calibri" w:cs="Calibri"/>
                <w:b/>
                <w:bCs/>
                <w:color w:val="auto"/>
                <w:lang w:val="en-AU"/>
              </w:rPr>
              <w:t>Deliverables/Outputs</w:t>
            </w:r>
          </w:p>
        </w:tc>
        <w:tc>
          <w:tcPr>
            <w:tcW w:w="1266" w:type="dxa"/>
            <w:shd w:val="clear" w:color="auto" w:fill="DEEAF6" w:themeFill="accent1" w:themeFillTint="33"/>
          </w:tcPr>
          <w:p w14:paraId="31CA5A0A" w14:textId="77777777" w:rsidR="00EF186E" w:rsidRPr="008F1D76" w:rsidRDefault="00EF186E" w:rsidP="003B215B">
            <w:pPr>
              <w:spacing w:line="240" w:lineRule="auto"/>
              <w:jc w:val="center"/>
              <w:rPr>
                <w:b/>
                <w:bCs/>
              </w:rPr>
            </w:pPr>
            <w:r w:rsidRPr="008F1D76">
              <w:rPr>
                <w:rFonts w:ascii="Calibri" w:eastAsia="Arial Unicode MS" w:hAnsi="Calibri" w:cs="Calibri"/>
                <w:b/>
                <w:bCs/>
                <w:color w:val="auto"/>
                <w:lang w:val="en-AU"/>
              </w:rPr>
              <w:t>Estimate Budget</w:t>
            </w:r>
          </w:p>
        </w:tc>
      </w:tr>
      <w:tr w:rsidR="00E96CA2" w:rsidRPr="00E96CA2" w14:paraId="6DE1BF87" w14:textId="77777777" w:rsidTr="2FCEBBFA">
        <w:trPr>
          <w:trHeight w:val="1169"/>
        </w:trPr>
        <w:tc>
          <w:tcPr>
            <w:tcW w:w="4267" w:type="dxa"/>
            <w:vMerge w:val="restart"/>
            <w:shd w:val="clear" w:color="auto" w:fill="auto"/>
          </w:tcPr>
          <w:p w14:paraId="0443561F" w14:textId="77777777" w:rsidR="00E96CA2" w:rsidRDefault="00E96CA2" w:rsidP="00E96CA2">
            <w:pPr>
              <w:spacing w:line="240" w:lineRule="auto"/>
              <w:jc w:val="both"/>
              <w:rPr>
                <w:rFonts w:ascii="Calibri" w:eastAsia="Arial Unicode MS" w:hAnsi="Calibri" w:cs="Calibri"/>
                <w:b/>
                <w:bCs/>
                <w:color w:val="auto"/>
                <w:sz w:val="2"/>
                <w:szCs w:val="2"/>
                <w:lang w:val="fr-FR"/>
              </w:rPr>
            </w:pPr>
          </w:p>
          <w:p w14:paraId="3EBCECFE" w14:textId="77777777" w:rsidR="00E96CA2" w:rsidRDefault="00E96CA2" w:rsidP="00E96CA2">
            <w:pPr>
              <w:spacing w:line="240" w:lineRule="auto"/>
              <w:jc w:val="both"/>
              <w:rPr>
                <w:rFonts w:ascii="Calibri" w:eastAsia="Arial Unicode MS" w:hAnsi="Calibri" w:cs="Calibri"/>
                <w:b/>
                <w:bCs/>
                <w:color w:val="auto"/>
                <w:sz w:val="2"/>
                <w:szCs w:val="2"/>
                <w:lang w:val="fr-FR"/>
              </w:rPr>
            </w:pPr>
          </w:p>
          <w:p w14:paraId="1B9A21E9" w14:textId="3449C9F8" w:rsidR="00E96CA2" w:rsidRPr="00642426" w:rsidRDefault="00E96CA2" w:rsidP="00A84F8F">
            <w:pPr>
              <w:pStyle w:val="ListParagraph"/>
              <w:numPr>
                <w:ilvl w:val="0"/>
                <w:numId w:val="14"/>
              </w:numPr>
              <w:spacing w:line="240" w:lineRule="auto"/>
              <w:jc w:val="both"/>
              <w:rPr>
                <w:rFonts w:ascii="Calibri" w:eastAsia="Arial Unicode MS" w:hAnsi="Calibri" w:cs="Calibri"/>
                <w:b/>
                <w:bCs/>
                <w:color w:val="auto"/>
                <w:lang w:val="fr-FR"/>
              </w:rPr>
            </w:pPr>
            <w:r w:rsidRPr="00642426">
              <w:rPr>
                <w:rFonts w:ascii="Calibri" w:hAnsi="Calibri" w:cs="Calibri"/>
                <w:color w:val="4472C4" w:themeColor="accent5"/>
                <w:lang w:val="fr-FR"/>
              </w:rPr>
              <w:t xml:space="preserve">Renforcement des capacités des acteurs clés des </w:t>
            </w:r>
            <w:r w:rsidR="00AA3BE0">
              <w:rPr>
                <w:rFonts w:ascii="Calibri" w:hAnsi="Calibri" w:cs="Calibri"/>
                <w:color w:val="4472C4" w:themeColor="accent5"/>
                <w:lang w:val="fr-FR"/>
              </w:rPr>
              <w:t>6</w:t>
            </w:r>
            <w:r w:rsidR="00AA3BE0" w:rsidRPr="00642426">
              <w:rPr>
                <w:rFonts w:ascii="Calibri" w:hAnsi="Calibri" w:cs="Calibri"/>
                <w:color w:val="4472C4" w:themeColor="accent5"/>
                <w:lang w:val="fr-FR"/>
              </w:rPr>
              <w:t xml:space="preserve"> </w:t>
            </w:r>
            <w:r w:rsidRPr="00642426">
              <w:rPr>
                <w:rFonts w:ascii="Calibri" w:hAnsi="Calibri" w:cs="Calibri"/>
                <w:color w:val="4472C4" w:themeColor="accent5"/>
                <w:lang w:val="fr-FR"/>
              </w:rPr>
              <w:t>ministères sociaux en matière de déclinaison des droits des enfants au niveau des politiques publiques et du budget, et accompagnement technique pour l’élaboration des plans d’action sectoriels BSE</w:t>
            </w:r>
            <w:r w:rsidR="00642426">
              <w:rPr>
                <w:rFonts w:ascii="Calibri" w:hAnsi="Calibri" w:cs="Calibri"/>
                <w:color w:val="4472C4" w:themeColor="accent5"/>
                <w:lang w:val="fr-FR"/>
              </w:rPr>
              <w:t xml:space="preserve"> (Mars- Juin 2024)</w:t>
            </w:r>
          </w:p>
          <w:p w14:paraId="68AEACDA" w14:textId="78616483" w:rsidR="00E96CA2" w:rsidRPr="00E96CA2" w:rsidRDefault="00E96CA2" w:rsidP="00E96CA2">
            <w:pPr>
              <w:spacing w:line="240" w:lineRule="auto"/>
              <w:jc w:val="both"/>
              <w:rPr>
                <w:rFonts w:ascii="Calibri" w:eastAsia="Arial Unicode MS" w:hAnsi="Calibri" w:cs="Calibri"/>
                <w:color w:val="auto"/>
                <w:sz w:val="22"/>
                <w:szCs w:val="22"/>
                <w:lang w:val="fr-FR"/>
              </w:rPr>
            </w:pPr>
          </w:p>
        </w:tc>
        <w:tc>
          <w:tcPr>
            <w:tcW w:w="4362" w:type="dxa"/>
            <w:shd w:val="clear" w:color="auto" w:fill="auto"/>
            <w:vAlign w:val="center"/>
          </w:tcPr>
          <w:p w14:paraId="102A19FD" w14:textId="72918780" w:rsidR="00E96CA2" w:rsidRPr="00E96CA2" w:rsidRDefault="00DA7EFE" w:rsidP="00E96CA2">
            <w:pPr>
              <w:spacing w:line="240" w:lineRule="auto"/>
              <w:rPr>
                <w:rFonts w:ascii="Calibri" w:eastAsia="Arial Unicode MS" w:hAnsi="Calibri" w:cs="Calibri"/>
                <w:b/>
                <w:bCs/>
                <w:color w:val="4472C4" w:themeColor="accent5"/>
                <w:lang w:val="fr-FR"/>
              </w:rPr>
            </w:pPr>
            <w:r>
              <w:rPr>
                <w:rFonts w:ascii="Calibri" w:hAnsi="Calibri" w:cs="Calibri"/>
                <w:color w:val="4472C4" w:themeColor="accent5"/>
                <w:lang w:val="fr-FR"/>
              </w:rPr>
              <w:t>1</w:t>
            </w:r>
            <w:r w:rsidR="00E96CA2">
              <w:rPr>
                <w:rFonts w:ascii="Calibri" w:hAnsi="Calibri" w:cs="Calibri"/>
                <w:color w:val="4472C4" w:themeColor="accent5"/>
                <w:lang w:val="fr-FR"/>
              </w:rPr>
              <w:t xml:space="preserve">.1 </w:t>
            </w:r>
            <w:r w:rsidR="00E96CA2" w:rsidRPr="00EF186E">
              <w:rPr>
                <w:rFonts w:ascii="Calibri" w:hAnsi="Calibri" w:cs="Calibri"/>
                <w:color w:val="4472C4" w:themeColor="accent5"/>
                <w:lang w:val="fr-FR"/>
              </w:rPr>
              <w:t>Une PPT sur la méthodologie en matière de déclinaison des droits au niveau des stratégies et politiques publiques</w:t>
            </w:r>
          </w:p>
        </w:tc>
        <w:tc>
          <w:tcPr>
            <w:tcW w:w="1266" w:type="dxa"/>
            <w:shd w:val="clear" w:color="auto" w:fill="auto"/>
            <w:vAlign w:val="center"/>
          </w:tcPr>
          <w:p w14:paraId="3A33BCE0" w14:textId="51FB63BD" w:rsidR="00E96CA2" w:rsidRPr="00EF186E" w:rsidRDefault="00BA3C42" w:rsidP="00E96CA2">
            <w:pPr>
              <w:spacing w:line="240" w:lineRule="auto"/>
              <w:jc w:val="center"/>
              <w:rPr>
                <w:rFonts w:asciiTheme="minorHAnsi" w:hAnsiTheme="minorHAnsi" w:cstheme="minorHAnsi"/>
                <w:color w:val="4472C4" w:themeColor="accent5"/>
                <w:lang w:val="fr-FR"/>
              </w:rPr>
            </w:pPr>
            <w:r>
              <w:rPr>
                <w:rFonts w:asciiTheme="minorHAnsi" w:hAnsiTheme="minorHAnsi" w:cstheme="minorHAnsi"/>
                <w:color w:val="4472C4" w:themeColor="accent5"/>
              </w:rPr>
              <w:t>2</w:t>
            </w:r>
            <w:r w:rsidR="00E96CA2" w:rsidRPr="00DB419B">
              <w:rPr>
                <w:rFonts w:ascii="Calibri" w:eastAsia="Arial Unicode MS" w:hAnsi="Calibri" w:cs="Calibri"/>
                <w:color w:val="4472C4" w:themeColor="accent5"/>
                <w:lang w:val="fr-FR"/>
              </w:rPr>
              <w:t xml:space="preserve"> H/J</w:t>
            </w:r>
          </w:p>
        </w:tc>
      </w:tr>
      <w:tr w:rsidR="00E96CA2" w:rsidRPr="004B3215" w14:paraId="1EB5CF74" w14:textId="77777777" w:rsidTr="2FCEBBFA">
        <w:trPr>
          <w:trHeight w:val="1169"/>
        </w:trPr>
        <w:tc>
          <w:tcPr>
            <w:tcW w:w="4267" w:type="dxa"/>
            <w:vMerge/>
          </w:tcPr>
          <w:p w14:paraId="087D9C4D" w14:textId="77777777" w:rsidR="00E96CA2" w:rsidRPr="008F1D76" w:rsidRDefault="00E96CA2" w:rsidP="00E96CA2">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55E1EBFF" w14:textId="5AB73ED8" w:rsidR="00E96CA2" w:rsidRPr="00A348EA" w:rsidRDefault="00DA7EFE" w:rsidP="00E96CA2">
            <w:pPr>
              <w:spacing w:line="240" w:lineRule="auto"/>
              <w:rPr>
                <w:rFonts w:ascii="Calibri" w:eastAsia="Arial Unicode MS" w:hAnsi="Calibri" w:cs="Calibri"/>
                <w:color w:val="4472C4" w:themeColor="accent5"/>
                <w:lang w:val="fr-FR"/>
              </w:rPr>
            </w:pPr>
            <w:r>
              <w:rPr>
                <w:rFonts w:ascii="Calibri" w:hAnsi="Calibri" w:cs="Calibri"/>
                <w:color w:val="4472C4" w:themeColor="accent5"/>
                <w:lang w:val="fr-FR"/>
              </w:rPr>
              <w:t>1</w:t>
            </w:r>
            <w:r w:rsidR="00E96CA2" w:rsidRPr="2357187D">
              <w:rPr>
                <w:rFonts w:ascii="Calibri" w:hAnsi="Calibri" w:cs="Calibri"/>
                <w:color w:val="4472C4" w:themeColor="accent5"/>
                <w:lang w:val="fr-FR"/>
              </w:rPr>
              <w:t xml:space="preserve">.2 Animation d'une série d'ateliers de formation avec les représentants des </w:t>
            </w:r>
            <w:r w:rsidR="00882875">
              <w:rPr>
                <w:rFonts w:ascii="Calibri" w:hAnsi="Calibri" w:cs="Calibri"/>
                <w:color w:val="4472C4" w:themeColor="accent5"/>
                <w:lang w:val="fr-FR"/>
              </w:rPr>
              <w:t>6</w:t>
            </w:r>
            <w:r w:rsidR="00882875" w:rsidRPr="2357187D">
              <w:rPr>
                <w:rFonts w:ascii="Calibri" w:hAnsi="Calibri" w:cs="Calibri"/>
                <w:color w:val="4472C4" w:themeColor="accent5"/>
                <w:lang w:val="fr-FR"/>
              </w:rPr>
              <w:t xml:space="preserve"> </w:t>
            </w:r>
            <w:r w:rsidR="00E96CA2" w:rsidRPr="2357187D">
              <w:rPr>
                <w:rFonts w:ascii="Calibri" w:hAnsi="Calibri" w:cs="Calibri"/>
                <w:color w:val="4472C4" w:themeColor="accent5"/>
                <w:lang w:val="fr-FR"/>
              </w:rPr>
              <w:t xml:space="preserve">ministères autour de la déclinaison des droits des enfants au niveau des politiques publiques et du budget. </w:t>
            </w:r>
          </w:p>
        </w:tc>
        <w:tc>
          <w:tcPr>
            <w:tcW w:w="1266" w:type="dxa"/>
            <w:shd w:val="clear" w:color="auto" w:fill="auto"/>
            <w:vAlign w:val="center"/>
          </w:tcPr>
          <w:p w14:paraId="782FED0B" w14:textId="43CC9020" w:rsidR="00776A0C" w:rsidRPr="00EF186E" w:rsidRDefault="00776A0C" w:rsidP="49F413A5">
            <w:pPr>
              <w:spacing w:line="240" w:lineRule="auto"/>
              <w:jc w:val="center"/>
              <w:rPr>
                <w:rFonts w:asciiTheme="minorHAnsi" w:hAnsiTheme="minorHAnsi" w:cstheme="minorBidi"/>
                <w:color w:val="4472C4" w:themeColor="accent5"/>
                <w:lang w:val="fr-FR"/>
              </w:rPr>
            </w:pPr>
            <w:r w:rsidRPr="49F413A5">
              <w:rPr>
                <w:rFonts w:asciiTheme="minorHAnsi" w:hAnsiTheme="minorHAnsi" w:cstheme="minorBidi"/>
                <w:color w:val="4472C4" w:themeColor="accent5"/>
                <w:lang w:val="fr-FR"/>
              </w:rPr>
              <w:t xml:space="preserve">6H/J </w:t>
            </w:r>
          </w:p>
          <w:p w14:paraId="128A7239" w14:textId="31F8136D" w:rsidR="00776A0C" w:rsidRPr="00EF186E" w:rsidRDefault="2F7D6615" w:rsidP="49F413A5">
            <w:pPr>
              <w:spacing w:line="240" w:lineRule="auto"/>
              <w:jc w:val="center"/>
              <w:rPr>
                <w:rFonts w:asciiTheme="minorHAnsi" w:hAnsiTheme="minorHAnsi" w:cstheme="minorBidi"/>
                <w:color w:val="4472C4" w:themeColor="accent5"/>
                <w:sz w:val="12"/>
                <w:szCs w:val="12"/>
                <w:lang w:val="fr-FR"/>
              </w:rPr>
            </w:pPr>
            <w:r w:rsidRPr="002029A7">
              <w:rPr>
                <w:rFonts w:asciiTheme="minorHAnsi" w:hAnsiTheme="minorHAnsi" w:cstheme="minorBidi"/>
                <w:color w:val="4472C4" w:themeColor="accent5"/>
                <w:sz w:val="14"/>
                <w:szCs w:val="14"/>
                <w:lang w:val="fr-FR"/>
              </w:rPr>
              <w:t>(1.5J *2 sessions)</w:t>
            </w:r>
          </w:p>
          <w:p w14:paraId="57276E0D" w14:textId="7BCF781C" w:rsidR="00776A0C" w:rsidRPr="002029A7" w:rsidRDefault="2F7D6615" w:rsidP="00B5546B">
            <w:pPr>
              <w:spacing w:line="240" w:lineRule="auto"/>
              <w:jc w:val="center"/>
              <w:rPr>
                <w:rFonts w:asciiTheme="minorHAnsi" w:hAnsiTheme="minorHAnsi" w:cstheme="minorBidi"/>
                <w:color w:val="4472C4" w:themeColor="accent5"/>
                <w:sz w:val="14"/>
                <w:szCs w:val="14"/>
                <w:lang w:val="fr-FR"/>
              </w:rPr>
            </w:pPr>
            <w:r w:rsidRPr="49F413A5">
              <w:rPr>
                <w:rFonts w:asciiTheme="minorHAnsi" w:hAnsiTheme="minorHAnsi" w:cstheme="minorBidi"/>
                <w:color w:val="4472C4" w:themeColor="accent5"/>
                <w:sz w:val="14"/>
                <w:szCs w:val="14"/>
                <w:lang w:val="fr-FR"/>
              </w:rPr>
              <w:t>(3 J -préparation)</w:t>
            </w:r>
          </w:p>
        </w:tc>
      </w:tr>
      <w:tr w:rsidR="00E96CA2" w:rsidRPr="008F6F72" w14:paraId="6210C9BA" w14:textId="77777777" w:rsidTr="2FCEBBFA">
        <w:trPr>
          <w:trHeight w:val="999"/>
        </w:trPr>
        <w:tc>
          <w:tcPr>
            <w:tcW w:w="4267" w:type="dxa"/>
            <w:vMerge/>
          </w:tcPr>
          <w:p w14:paraId="3FE449BE" w14:textId="77777777" w:rsidR="00E96CA2" w:rsidRPr="008F1D76" w:rsidRDefault="00E96CA2" w:rsidP="00E96CA2">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33EDC522" w14:textId="76088808" w:rsidR="00E96CA2" w:rsidRPr="00A348EA" w:rsidRDefault="00DA7EFE" w:rsidP="00E96CA2">
            <w:pPr>
              <w:spacing w:line="240" w:lineRule="auto"/>
              <w:rPr>
                <w:rFonts w:ascii="Calibri" w:eastAsia="Arial Unicode MS" w:hAnsi="Calibri" w:cs="Calibri"/>
                <w:color w:val="4472C4" w:themeColor="accent5"/>
                <w:lang w:val="fr-FR"/>
              </w:rPr>
            </w:pPr>
            <w:r>
              <w:rPr>
                <w:rFonts w:ascii="Calibri" w:hAnsi="Calibri" w:cs="Calibri"/>
                <w:color w:val="4472C4" w:themeColor="accent5"/>
                <w:lang w:val="fr-FR"/>
              </w:rPr>
              <w:t>1</w:t>
            </w:r>
            <w:r w:rsidR="00E96CA2">
              <w:rPr>
                <w:rFonts w:ascii="Calibri" w:hAnsi="Calibri" w:cs="Calibri"/>
                <w:color w:val="4472C4" w:themeColor="accent5"/>
                <w:lang w:val="fr-FR"/>
              </w:rPr>
              <w:t>.3 Conduite des r</w:t>
            </w:r>
            <w:r w:rsidR="00E96CA2" w:rsidRPr="00EB4CD4">
              <w:rPr>
                <w:rFonts w:ascii="Calibri" w:hAnsi="Calibri" w:cs="Calibri"/>
                <w:color w:val="4472C4" w:themeColor="accent5"/>
                <w:lang w:val="fr-FR"/>
              </w:rPr>
              <w:t xml:space="preserve">encontres d’échanges avec les ministères </w:t>
            </w:r>
            <w:r w:rsidR="00E96CA2">
              <w:rPr>
                <w:rFonts w:ascii="Calibri" w:hAnsi="Calibri" w:cs="Calibri"/>
                <w:color w:val="4472C4" w:themeColor="accent5"/>
                <w:lang w:val="fr-FR"/>
              </w:rPr>
              <w:t>pour accompagner les ministères dans l’élaboration des plans BSE</w:t>
            </w:r>
          </w:p>
        </w:tc>
        <w:tc>
          <w:tcPr>
            <w:tcW w:w="1266" w:type="dxa"/>
            <w:shd w:val="clear" w:color="auto" w:fill="auto"/>
            <w:vAlign w:val="center"/>
          </w:tcPr>
          <w:p w14:paraId="6989E635" w14:textId="77777777" w:rsidR="008F6F72" w:rsidRDefault="00BB479A" w:rsidP="00E96CA2">
            <w:pPr>
              <w:spacing w:line="240" w:lineRule="auto"/>
              <w:jc w:val="center"/>
              <w:rPr>
                <w:rFonts w:asciiTheme="minorHAnsi" w:hAnsiTheme="minorHAnsi" w:cstheme="minorBidi"/>
                <w:color w:val="4472C4" w:themeColor="accent5"/>
                <w:lang w:val="fr-FR"/>
              </w:rPr>
            </w:pPr>
            <w:r>
              <w:rPr>
                <w:rFonts w:asciiTheme="minorHAnsi" w:hAnsiTheme="minorHAnsi" w:cstheme="minorBidi"/>
                <w:color w:val="4472C4" w:themeColor="accent5"/>
                <w:lang w:val="fr-FR"/>
              </w:rPr>
              <w:t>3</w:t>
            </w:r>
            <w:r w:rsidRPr="2357187D">
              <w:rPr>
                <w:rFonts w:asciiTheme="minorHAnsi" w:hAnsiTheme="minorHAnsi" w:cstheme="minorBidi"/>
                <w:color w:val="4472C4" w:themeColor="accent5"/>
                <w:lang w:val="fr-FR"/>
              </w:rPr>
              <w:t>H</w:t>
            </w:r>
            <w:r w:rsidR="00E96CA2" w:rsidRPr="2357187D">
              <w:rPr>
                <w:rFonts w:asciiTheme="minorHAnsi" w:hAnsiTheme="minorHAnsi" w:cstheme="minorBidi"/>
                <w:color w:val="4472C4" w:themeColor="accent5"/>
                <w:lang w:val="fr-FR"/>
              </w:rPr>
              <w:t>/J</w:t>
            </w:r>
          </w:p>
          <w:p w14:paraId="43B06B4A" w14:textId="173AEA40" w:rsidR="00E96CA2" w:rsidRPr="00EF186E" w:rsidRDefault="008F6F72" w:rsidP="00E96CA2">
            <w:pPr>
              <w:spacing w:line="240" w:lineRule="auto"/>
              <w:jc w:val="center"/>
              <w:rPr>
                <w:rFonts w:asciiTheme="minorHAnsi" w:hAnsiTheme="minorHAnsi" w:cstheme="minorHAnsi"/>
                <w:color w:val="4472C4" w:themeColor="accent5"/>
                <w:lang w:val="fr-FR"/>
              </w:rPr>
            </w:pPr>
            <w:r w:rsidRPr="008F6F72">
              <w:rPr>
                <w:rFonts w:asciiTheme="minorHAnsi" w:hAnsiTheme="minorHAnsi" w:cstheme="minorBidi"/>
                <w:color w:val="4472C4" w:themeColor="accent5"/>
                <w:sz w:val="14"/>
                <w:szCs w:val="14"/>
                <w:lang w:val="fr-FR"/>
              </w:rPr>
              <w:t>(</w:t>
            </w:r>
            <w:r w:rsidR="00776A0C" w:rsidRPr="008F6F72">
              <w:rPr>
                <w:rFonts w:asciiTheme="minorHAnsi" w:hAnsiTheme="minorHAnsi" w:cstheme="minorBidi"/>
                <w:color w:val="4472C4" w:themeColor="accent5"/>
                <w:sz w:val="14"/>
                <w:szCs w:val="14"/>
                <w:lang w:val="fr-FR"/>
              </w:rPr>
              <w:t>0.5j*6</w:t>
            </w:r>
            <w:r w:rsidRPr="008F6F72">
              <w:rPr>
                <w:rFonts w:asciiTheme="minorHAnsi" w:hAnsiTheme="minorHAnsi" w:cstheme="minorBidi"/>
                <w:color w:val="4472C4" w:themeColor="accent5"/>
                <w:sz w:val="14"/>
                <w:szCs w:val="14"/>
                <w:lang w:val="fr-FR"/>
              </w:rPr>
              <w:t xml:space="preserve"> </w:t>
            </w:r>
            <w:r w:rsidR="00776A0C" w:rsidRPr="008F6F72">
              <w:rPr>
                <w:rFonts w:asciiTheme="minorHAnsi" w:hAnsiTheme="minorHAnsi" w:cstheme="minorBidi"/>
                <w:color w:val="4472C4" w:themeColor="accent5"/>
                <w:sz w:val="14"/>
                <w:szCs w:val="14"/>
                <w:lang w:val="fr-FR"/>
              </w:rPr>
              <w:t>Ministère</w:t>
            </w:r>
            <w:r w:rsidRPr="008F6F72">
              <w:rPr>
                <w:rFonts w:asciiTheme="minorHAnsi" w:hAnsiTheme="minorHAnsi" w:cstheme="minorBidi"/>
                <w:color w:val="4472C4" w:themeColor="accent5"/>
                <w:sz w:val="14"/>
                <w:szCs w:val="14"/>
                <w:lang w:val="fr-FR"/>
              </w:rPr>
              <w:t>)</w:t>
            </w:r>
          </w:p>
        </w:tc>
      </w:tr>
      <w:tr w:rsidR="00E96CA2" w:rsidRPr="00E96CA2" w14:paraId="0CFE0637" w14:textId="77777777" w:rsidTr="2FCEBBFA">
        <w:trPr>
          <w:trHeight w:val="1169"/>
        </w:trPr>
        <w:tc>
          <w:tcPr>
            <w:tcW w:w="4267" w:type="dxa"/>
            <w:vMerge/>
          </w:tcPr>
          <w:p w14:paraId="3917C83A" w14:textId="77777777" w:rsidR="00E96CA2" w:rsidRPr="008F1D76" w:rsidRDefault="00E96CA2" w:rsidP="00E96CA2">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606922DF" w14:textId="7A51053A" w:rsidR="00E96CA2" w:rsidRPr="00A348EA" w:rsidRDefault="00DA7EFE" w:rsidP="00E96CA2">
            <w:pPr>
              <w:spacing w:line="240" w:lineRule="auto"/>
              <w:rPr>
                <w:rFonts w:ascii="Calibri" w:eastAsia="Arial Unicode MS" w:hAnsi="Calibri" w:cs="Calibri"/>
                <w:color w:val="4472C4" w:themeColor="accent5"/>
                <w:lang w:val="fr-FR"/>
              </w:rPr>
            </w:pPr>
            <w:r>
              <w:rPr>
                <w:rFonts w:ascii="Calibri" w:hAnsi="Calibri" w:cs="Calibri"/>
                <w:color w:val="4472C4" w:themeColor="accent5"/>
                <w:lang w:val="fr-FR"/>
              </w:rPr>
              <w:t>1</w:t>
            </w:r>
            <w:r w:rsidR="00E96CA2" w:rsidRPr="2357187D">
              <w:rPr>
                <w:rFonts w:ascii="Calibri" w:hAnsi="Calibri" w:cs="Calibri"/>
                <w:color w:val="4472C4" w:themeColor="accent5"/>
                <w:lang w:val="fr-FR"/>
              </w:rPr>
              <w:t xml:space="preserve">.4 Examen des projets des plans d’action BSE de chacun des </w:t>
            </w:r>
            <w:r w:rsidR="00BB479A">
              <w:rPr>
                <w:rFonts w:ascii="Calibri" w:hAnsi="Calibri" w:cs="Calibri"/>
                <w:color w:val="4472C4" w:themeColor="accent5"/>
                <w:lang w:val="fr-FR"/>
              </w:rPr>
              <w:t>6</w:t>
            </w:r>
            <w:r w:rsidR="00BB479A" w:rsidRPr="2357187D">
              <w:rPr>
                <w:rFonts w:ascii="Calibri" w:hAnsi="Calibri" w:cs="Calibri"/>
                <w:color w:val="4472C4" w:themeColor="accent5"/>
                <w:lang w:val="fr-FR"/>
              </w:rPr>
              <w:t xml:space="preserve"> </w:t>
            </w:r>
            <w:r w:rsidR="00E96CA2" w:rsidRPr="2357187D">
              <w:rPr>
                <w:rFonts w:ascii="Calibri" w:hAnsi="Calibri" w:cs="Calibri"/>
                <w:color w:val="4472C4" w:themeColor="accent5"/>
                <w:lang w:val="fr-FR"/>
              </w:rPr>
              <w:t xml:space="preserve">ministères </w:t>
            </w:r>
          </w:p>
        </w:tc>
        <w:tc>
          <w:tcPr>
            <w:tcW w:w="1266" w:type="dxa"/>
            <w:shd w:val="clear" w:color="auto" w:fill="auto"/>
            <w:vAlign w:val="center"/>
          </w:tcPr>
          <w:p w14:paraId="3C6BC1FE" w14:textId="0DD2B603" w:rsidR="00E96CA2" w:rsidRPr="00EF186E" w:rsidRDefault="00A51CFE" w:rsidP="00E96CA2">
            <w:pPr>
              <w:spacing w:line="240" w:lineRule="auto"/>
              <w:jc w:val="center"/>
              <w:rPr>
                <w:rFonts w:asciiTheme="minorHAnsi" w:hAnsiTheme="minorHAnsi" w:cstheme="minorHAnsi"/>
                <w:color w:val="4472C4" w:themeColor="accent5"/>
                <w:lang w:val="fr-FR"/>
              </w:rPr>
            </w:pPr>
            <w:r>
              <w:rPr>
                <w:rFonts w:ascii="Calibri" w:hAnsi="Calibri" w:cs="Calibri"/>
                <w:color w:val="4472C4" w:themeColor="accent5"/>
                <w:lang w:val="fr-FR"/>
              </w:rPr>
              <w:t>6</w:t>
            </w:r>
            <w:r w:rsidRPr="2357187D">
              <w:rPr>
                <w:rFonts w:ascii="Calibri" w:hAnsi="Calibri" w:cs="Calibri"/>
                <w:color w:val="4472C4" w:themeColor="accent5"/>
                <w:lang w:val="fr-FR"/>
              </w:rPr>
              <w:t>H</w:t>
            </w:r>
            <w:r w:rsidR="00E96CA2" w:rsidRPr="2357187D">
              <w:rPr>
                <w:rFonts w:ascii="Calibri" w:hAnsi="Calibri" w:cs="Calibri"/>
                <w:color w:val="4472C4" w:themeColor="accent5"/>
                <w:lang w:val="fr-FR"/>
              </w:rPr>
              <w:t>/J</w:t>
            </w:r>
          </w:p>
        </w:tc>
      </w:tr>
      <w:tr w:rsidR="00E96CA2" w:rsidRPr="00E96CA2" w14:paraId="4B2AAFF2" w14:textId="77777777" w:rsidTr="2FCEBBFA">
        <w:trPr>
          <w:trHeight w:val="890"/>
        </w:trPr>
        <w:tc>
          <w:tcPr>
            <w:tcW w:w="4267" w:type="dxa"/>
            <w:vMerge/>
          </w:tcPr>
          <w:p w14:paraId="084136C3" w14:textId="77777777" w:rsidR="00E96CA2" w:rsidRPr="008F1D76" w:rsidRDefault="00E96CA2" w:rsidP="00E96CA2">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48DE94F5" w14:textId="3CA9CA7D" w:rsidR="00E96CA2" w:rsidRPr="00A348EA" w:rsidRDefault="00DA7EFE" w:rsidP="00E96CA2">
            <w:pPr>
              <w:spacing w:line="240" w:lineRule="auto"/>
              <w:rPr>
                <w:rFonts w:ascii="Calibri" w:eastAsia="Arial Unicode MS" w:hAnsi="Calibri" w:cs="Calibri"/>
                <w:color w:val="4472C4" w:themeColor="accent5"/>
                <w:lang w:val="fr-FR"/>
              </w:rPr>
            </w:pPr>
            <w:r>
              <w:rPr>
                <w:rFonts w:ascii="Calibri" w:hAnsi="Calibri" w:cs="Calibri"/>
                <w:color w:val="4472C4" w:themeColor="accent5"/>
                <w:lang w:val="fr-FR"/>
              </w:rPr>
              <w:t>1</w:t>
            </w:r>
            <w:r w:rsidR="00E96CA2" w:rsidRPr="2357187D">
              <w:rPr>
                <w:rFonts w:ascii="Calibri" w:hAnsi="Calibri" w:cs="Calibri"/>
                <w:color w:val="4472C4" w:themeColor="accent5"/>
                <w:lang w:val="fr-FR"/>
              </w:rPr>
              <w:t>.5 Animation d'un atelier de validation des projets des plans d'action BSE en présence</w:t>
            </w:r>
            <w:r w:rsidR="00EE71D9">
              <w:rPr>
                <w:rFonts w:ascii="Calibri" w:hAnsi="Calibri" w:cs="Calibri"/>
                <w:color w:val="4472C4" w:themeColor="accent5"/>
                <w:lang w:val="fr-FR"/>
              </w:rPr>
              <w:t xml:space="preserve"> </w:t>
            </w:r>
            <w:r w:rsidR="00E96CA2" w:rsidRPr="2357187D">
              <w:rPr>
                <w:rFonts w:ascii="Calibri" w:hAnsi="Calibri" w:cs="Calibri"/>
                <w:color w:val="4472C4" w:themeColor="accent5"/>
                <w:lang w:val="fr-FR"/>
              </w:rPr>
              <w:t xml:space="preserve">des ministères </w:t>
            </w:r>
          </w:p>
        </w:tc>
        <w:tc>
          <w:tcPr>
            <w:tcW w:w="1266" w:type="dxa"/>
            <w:shd w:val="clear" w:color="auto" w:fill="auto"/>
            <w:vAlign w:val="center"/>
          </w:tcPr>
          <w:p w14:paraId="701442D6" w14:textId="753E1A29" w:rsidR="00776A0C" w:rsidRPr="00D867C4" w:rsidRDefault="00776A0C" w:rsidP="00686A3A">
            <w:pPr>
              <w:spacing w:line="240" w:lineRule="auto"/>
              <w:jc w:val="center"/>
              <w:rPr>
                <w:rFonts w:asciiTheme="minorHAnsi" w:hAnsiTheme="minorHAnsi" w:cstheme="minorBidi"/>
                <w:color w:val="4472C4" w:themeColor="accent5"/>
                <w:lang w:val="fr-FR"/>
              </w:rPr>
            </w:pPr>
            <w:r w:rsidRPr="00D867C4">
              <w:rPr>
                <w:rFonts w:asciiTheme="minorHAnsi" w:hAnsiTheme="minorHAnsi" w:cstheme="minorBidi"/>
                <w:color w:val="4472C4" w:themeColor="accent5"/>
                <w:lang w:val="fr-FR"/>
              </w:rPr>
              <w:t>3H/</w:t>
            </w:r>
            <w:r w:rsidR="00D867C4">
              <w:rPr>
                <w:rFonts w:asciiTheme="minorHAnsi" w:hAnsiTheme="minorHAnsi" w:cstheme="minorBidi"/>
                <w:color w:val="4472C4" w:themeColor="accent5"/>
                <w:lang w:val="fr-FR"/>
              </w:rPr>
              <w:t>J</w:t>
            </w:r>
          </w:p>
          <w:p w14:paraId="1E0544BC" w14:textId="77777777" w:rsidR="00686A3A" w:rsidRPr="00D867C4" w:rsidRDefault="00686A3A" w:rsidP="00686A3A">
            <w:pPr>
              <w:spacing w:line="240" w:lineRule="auto"/>
              <w:jc w:val="center"/>
              <w:rPr>
                <w:rFonts w:asciiTheme="minorHAnsi" w:hAnsiTheme="minorHAnsi" w:cstheme="minorHAnsi"/>
                <w:color w:val="4472C4" w:themeColor="accent5"/>
                <w:lang w:val="fr-FR"/>
              </w:rPr>
            </w:pPr>
          </w:p>
        </w:tc>
      </w:tr>
      <w:tr w:rsidR="00E96CA2" w:rsidRPr="00E96CA2" w14:paraId="4787F017" w14:textId="77777777" w:rsidTr="2FCEBBFA">
        <w:trPr>
          <w:trHeight w:val="800"/>
        </w:trPr>
        <w:tc>
          <w:tcPr>
            <w:tcW w:w="4267" w:type="dxa"/>
            <w:vMerge/>
          </w:tcPr>
          <w:p w14:paraId="3FACB3FA" w14:textId="77777777" w:rsidR="00E96CA2" w:rsidRPr="008F1D76" w:rsidRDefault="00E96CA2" w:rsidP="00E96CA2">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5F814839" w14:textId="5FC67B97" w:rsidR="00E96CA2" w:rsidRPr="00A348EA" w:rsidRDefault="00DA7EFE" w:rsidP="00E96CA2">
            <w:pPr>
              <w:spacing w:line="240" w:lineRule="auto"/>
              <w:rPr>
                <w:rFonts w:ascii="Calibri" w:eastAsia="Arial Unicode MS" w:hAnsi="Calibri" w:cs="Calibri"/>
                <w:color w:val="4472C4" w:themeColor="accent5"/>
                <w:lang w:val="fr-FR"/>
              </w:rPr>
            </w:pPr>
            <w:r>
              <w:rPr>
                <w:rFonts w:ascii="Calibri" w:hAnsi="Calibri" w:cs="Calibri"/>
                <w:color w:val="4472C4" w:themeColor="accent5"/>
                <w:lang w:val="fr-FR"/>
              </w:rPr>
              <w:t xml:space="preserve">1.6 </w:t>
            </w:r>
            <w:r w:rsidR="00E96CA2" w:rsidRPr="2357187D">
              <w:rPr>
                <w:rFonts w:ascii="Calibri" w:hAnsi="Calibri" w:cs="Calibri"/>
                <w:color w:val="4472C4" w:themeColor="accent5"/>
                <w:lang w:val="fr-FR"/>
              </w:rPr>
              <w:t xml:space="preserve">Un rapport final comprenant les plans d'actions sectoriel et les recommandations sur les dernières versions des plans d’action BSE. </w:t>
            </w:r>
          </w:p>
        </w:tc>
        <w:tc>
          <w:tcPr>
            <w:tcW w:w="1266" w:type="dxa"/>
            <w:shd w:val="clear" w:color="auto" w:fill="auto"/>
            <w:vAlign w:val="center"/>
          </w:tcPr>
          <w:p w14:paraId="7DBC9AB4" w14:textId="1C6060B1" w:rsidR="00776A0C" w:rsidRPr="00D867C4" w:rsidRDefault="00E04E14" w:rsidP="00E96CA2">
            <w:pPr>
              <w:spacing w:line="240" w:lineRule="auto"/>
              <w:jc w:val="center"/>
              <w:rPr>
                <w:rFonts w:asciiTheme="minorHAnsi" w:hAnsiTheme="minorHAnsi" w:cstheme="minorHAnsi"/>
                <w:color w:val="4472C4" w:themeColor="accent5"/>
                <w:lang w:val="fr-FR"/>
              </w:rPr>
            </w:pPr>
            <w:r w:rsidRPr="00D867C4">
              <w:rPr>
                <w:rFonts w:asciiTheme="minorHAnsi" w:hAnsiTheme="minorHAnsi" w:cstheme="minorBidi"/>
                <w:color w:val="4472C4" w:themeColor="accent5"/>
                <w:lang w:val="fr-FR"/>
              </w:rPr>
              <w:t>3H/J</w:t>
            </w:r>
          </w:p>
        </w:tc>
      </w:tr>
      <w:tr w:rsidR="00642426" w:rsidRPr="00E96CA2" w14:paraId="75E57ED1" w14:textId="77777777" w:rsidTr="2FCEBBFA">
        <w:trPr>
          <w:trHeight w:val="800"/>
        </w:trPr>
        <w:tc>
          <w:tcPr>
            <w:tcW w:w="4267" w:type="dxa"/>
            <w:vMerge w:val="restart"/>
            <w:shd w:val="clear" w:color="auto" w:fill="auto"/>
          </w:tcPr>
          <w:p w14:paraId="0CCD0A55" w14:textId="785E9EA4" w:rsidR="00642426" w:rsidRPr="00642426" w:rsidRDefault="00642426" w:rsidP="00727382">
            <w:pPr>
              <w:pStyle w:val="ListParagraph"/>
              <w:numPr>
                <w:ilvl w:val="0"/>
                <w:numId w:val="14"/>
              </w:numPr>
              <w:spacing w:line="240" w:lineRule="auto"/>
              <w:jc w:val="both"/>
              <w:rPr>
                <w:rFonts w:ascii="Calibri" w:eastAsia="Arial Unicode MS" w:hAnsi="Calibri" w:cs="Calibri"/>
                <w:color w:val="auto"/>
                <w:lang w:val="fr-FR"/>
              </w:rPr>
            </w:pPr>
            <w:r w:rsidRPr="00642426">
              <w:rPr>
                <w:rFonts w:ascii="Calibri" w:eastAsia="Arial Unicode MS" w:hAnsi="Calibri" w:cs="Calibri"/>
                <w:color w:val="4472C4" w:themeColor="accent5"/>
                <w:lang w:val="fr-FR"/>
              </w:rPr>
              <w:t>Renforcement de l’engagement des points focaux GBO des ministères sociaux en matière de la BSE</w:t>
            </w:r>
            <w:r>
              <w:rPr>
                <w:rFonts w:ascii="Calibri" w:eastAsia="Arial Unicode MS" w:hAnsi="Calibri" w:cs="Calibri"/>
                <w:color w:val="4472C4" w:themeColor="accent5"/>
                <w:lang w:val="fr-FR"/>
              </w:rPr>
              <w:t xml:space="preserve"> (Mars</w:t>
            </w:r>
            <w:r w:rsidR="00DF0A9B">
              <w:rPr>
                <w:rFonts w:ascii="Calibri" w:eastAsia="Arial Unicode MS" w:hAnsi="Calibri" w:cs="Calibri"/>
                <w:color w:val="4472C4" w:themeColor="accent5"/>
                <w:lang w:val="fr-FR"/>
              </w:rPr>
              <w:t xml:space="preserve"> 2024) </w:t>
            </w:r>
          </w:p>
          <w:p w14:paraId="575C139B" w14:textId="77777777" w:rsidR="00642426" w:rsidRPr="008F1D76" w:rsidRDefault="00642426" w:rsidP="00642426">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0269172D" w14:textId="47E9C265" w:rsidR="00642426" w:rsidRPr="2357187D" w:rsidRDefault="00642426" w:rsidP="00642426">
            <w:pPr>
              <w:spacing w:line="240" w:lineRule="auto"/>
              <w:rPr>
                <w:rFonts w:ascii="Calibri" w:hAnsi="Calibri" w:cs="Calibri"/>
                <w:color w:val="4472C4" w:themeColor="accent5"/>
                <w:lang w:val="fr-FR"/>
              </w:rPr>
            </w:pPr>
            <w:r>
              <w:rPr>
                <w:rFonts w:ascii="Calibri" w:hAnsi="Calibri" w:cs="Calibri"/>
                <w:color w:val="4472C4" w:themeColor="accent5"/>
                <w:lang w:val="fr-FR"/>
              </w:rPr>
              <w:t>2</w:t>
            </w:r>
            <w:r w:rsidRPr="2357187D">
              <w:rPr>
                <w:rFonts w:ascii="Calibri" w:hAnsi="Calibri" w:cs="Calibri"/>
                <w:color w:val="4472C4" w:themeColor="accent5"/>
                <w:lang w:val="fr-FR"/>
              </w:rPr>
              <w:t>.</w:t>
            </w:r>
            <w:r>
              <w:rPr>
                <w:rFonts w:ascii="Calibri" w:hAnsi="Calibri" w:cs="Calibri"/>
                <w:color w:val="4472C4" w:themeColor="accent5"/>
                <w:lang w:val="fr-FR"/>
              </w:rPr>
              <w:t>1</w:t>
            </w:r>
            <w:r w:rsidRPr="2357187D">
              <w:rPr>
                <w:rFonts w:ascii="Calibri" w:hAnsi="Calibri" w:cs="Calibri"/>
                <w:color w:val="4472C4" w:themeColor="accent5"/>
                <w:lang w:val="fr-FR"/>
              </w:rPr>
              <w:t xml:space="preserve"> Une fiche BSE conçue et une note explicative élaborée</w:t>
            </w:r>
          </w:p>
        </w:tc>
        <w:tc>
          <w:tcPr>
            <w:tcW w:w="1266" w:type="dxa"/>
            <w:shd w:val="clear" w:color="auto" w:fill="auto"/>
            <w:vAlign w:val="center"/>
          </w:tcPr>
          <w:p w14:paraId="14AAC21D" w14:textId="60F8F61B" w:rsidR="00642426" w:rsidRPr="2357187D" w:rsidRDefault="003D5035" w:rsidP="00642426">
            <w:pPr>
              <w:spacing w:line="240" w:lineRule="auto"/>
              <w:jc w:val="center"/>
              <w:rPr>
                <w:rFonts w:asciiTheme="minorHAnsi" w:hAnsiTheme="minorHAnsi" w:cstheme="minorBidi"/>
                <w:color w:val="4472C4" w:themeColor="accent5"/>
                <w:lang w:val="fr-FR"/>
              </w:rPr>
            </w:pPr>
            <w:r>
              <w:rPr>
                <w:rFonts w:ascii="Calibri" w:eastAsia="Arial Unicode MS" w:hAnsi="Calibri" w:cs="Calibri"/>
                <w:color w:val="4472C4" w:themeColor="accent5"/>
                <w:lang w:val="fr-FR"/>
              </w:rPr>
              <w:t>8</w:t>
            </w:r>
            <w:r w:rsidRPr="2357187D">
              <w:rPr>
                <w:rFonts w:ascii="Calibri" w:eastAsia="Arial Unicode MS" w:hAnsi="Calibri" w:cs="Calibri"/>
                <w:color w:val="4472C4" w:themeColor="accent5"/>
                <w:lang w:val="fr-FR"/>
              </w:rPr>
              <w:t>H</w:t>
            </w:r>
            <w:r w:rsidR="00642426" w:rsidRPr="2357187D">
              <w:rPr>
                <w:rFonts w:ascii="Calibri" w:eastAsia="Arial Unicode MS" w:hAnsi="Calibri" w:cs="Calibri"/>
                <w:color w:val="4472C4" w:themeColor="accent5"/>
                <w:lang w:val="fr-FR"/>
              </w:rPr>
              <w:t>/J</w:t>
            </w:r>
          </w:p>
        </w:tc>
      </w:tr>
      <w:tr w:rsidR="00642426" w:rsidRPr="00E96CA2" w14:paraId="29FBCF3C" w14:textId="77777777" w:rsidTr="2FCEBBFA">
        <w:trPr>
          <w:trHeight w:val="800"/>
        </w:trPr>
        <w:tc>
          <w:tcPr>
            <w:tcW w:w="4267" w:type="dxa"/>
            <w:vMerge/>
          </w:tcPr>
          <w:p w14:paraId="003F162F" w14:textId="77777777" w:rsidR="00642426" w:rsidRPr="008F1D76" w:rsidRDefault="00642426" w:rsidP="00642426">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0F42BF1A" w14:textId="1687969E" w:rsidR="00642426" w:rsidRPr="2357187D" w:rsidRDefault="00642426" w:rsidP="00642426">
            <w:pPr>
              <w:spacing w:line="240" w:lineRule="auto"/>
              <w:rPr>
                <w:rFonts w:ascii="Calibri" w:hAnsi="Calibri" w:cs="Calibri"/>
                <w:color w:val="4472C4" w:themeColor="accent5"/>
                <w:lang w:val="fr-FR"/>
              </w:rPr>
            </w:pPr>
            <w:r>
              <w:rPr>
                <w:rFonts w:ascii="Calibri" w:hAnsi="Calibri" w:cs="Calibri"/>
                <w:color w:val="4472C4" w:themeColor="accent5"/>
                <w:lang w:val="fr-FR"/>
              </w:rPr>
              <w:t>2</w:t>
            </w:r>
            <w:r w:rsidRPr="2357187D">
              <w:rPr>
                <w:rFonts w:ascii="Calibri" w:hAnsi="Calibri" w:cs="Calibri"/>
                <w:color w:val="4472C4" w:themeColor="accent5"/>
                <w:lang w:val="fr-FR"/>
              </w:rPr>
              <w:t>.</w:t>
            </w:r>
            <w:r>
              <w:rPr>
                <w:rFonts w:ascii="Calibri" w:hAnsi="Calibri" w:cs="Calibri"/>
                <w:color w:val="4472C4" w:themeColor="accent5"/>
                <w:lang w:val="fr-FR"/>
              </w:rPr>
              <w:t>2</w:t>
            </w:r>
            <w:r w:rsidRPr="2357187D">
              <w:rPr>
                <w:rFonts w:ascii="Calibri" w:hAnsi="Calibri" w:cs="Calibri"/>
                <w:color w:val="4472C4" w:themeColor="accent5"/>
                <w:lang w:val="fr-FR"/>
              </w:rPr>
              <w:t xml:space="preserve"> Animation d'un atelier de présentation de la fiche BSE en présence des acteurs clés </w:t>
            </w:r>
          </w:p>
        </w:tc>
        <w:tc>
          <w:tcPr>
            <w:tcW w:w="1266" w:type="dxa"/>
            <w:shd w:val="clear" w:color="auto" w:fill="auto"/>
            <w:vAlign w:val="center"/>
          </w:tcPr>
          <w:p w14:paraId="0EA9FA81" w14:textId="2D9F1CB2" w:rsidR="00642426" w:rsidRPr="2357187D" w:rsidRDefault="00576CA2" w:rsidP="00642426">
            <w:pPr>
              <w:spacing w:line="240" w:lineRule="auto"/>
              <w:jc w:val="center"/>
              <w:rPr>
                <w:rFonts w:asciiTheme="minorHAnsi" w:hAnsiTheme="minorHAnsi" w:cstheme="minorBidi"/>
                <w:color w:val="4472C4" w:themeColor="accent5"/>
                <w:lang w:val="fr-FR"/>
              </w:rPr>
            </w:pPr>
            <w:r>
              <w:rPr>
                <w:rFonts w:ascii="Calibri" w:hAnsi="Calibri" w:cs="Calibri"/>
                <w:color w:val="4472C4" w:themeColor="accent5"/>
                <w:lang w:val="fr-FR"/>
              </w:rPr>
              <w:t>2</w:t>
            </w:r>
            <w:r w:rsidRPr="2357187D">
              <w:rPr>
                <w:rFonts w:ascii="Calibri" w:hAnsi="Calibri" w:cs="Calibri"/>
                <w:color w:val="4472C4" w:themeColor="accent5"/>
                <w:lang w:val="fr-FR"/>
              </w:rPr>
              <w:t>H</w:t>
            </w:r>
            <w:r w:rsidR="00642426" w:rsidRPr="2357187D">
              <w:rPr>
                <w:rFonts w:ascii="Calibri" w:hAnsi="Calibri" w:cs="Calibri"/>
                <w:color w:val="4472C4" w:themeColor="accent5"/>
                <w:lang w:val="fr-FR"/>
              </w:rPr>
              <w:t xml:space="preserve">/J </w:t>
            </w:r>
          </w:p>
        </w:tc>
      </w:tr>
      <w:tr w:rsidR="00642426" w:rsidRPr="008F6F72" w14:paraId="5F1772E4" w14:textId="77777777" w:rsidTr="2FCEBBFA">
        <w:trPr>
          <w:trHeight w:val="800"/>
        </w:trPr>
        <w:tc>
          <w:tcPr>
            <w:tcW w:w="4267" w:type="dxa"/>
            <w:vMerge w:val="restart"/>
            <w:shd w:val="clear" w:color="auto" w:fill="auto"/>
          </w:tcPr>
          <w:p w14:paraId="6A3CFBAC" w14:textId="77DBF072" w:rsidR="00642426" w:rsidRPr="00E04E14" w:rsidRDefault="00642426" w:rsidP="00727382">
            <w:pPr>
              <w:pStyle w:val="ListParagraph"/>
              <w:numPr>
                <w:ilvl w:val="0"/>
                <w:numId w:val="14"/>
              </w:numPr>
              <w:spacing w:line="240" w:lineRule="auto"/>
              <w:jc w:val="both"/>
              <w:rPr>
                <w:rFonts w:ascii="Calibri" w:eastAsia="Arial Unicode MS" w:hAnsi="Calibri" w:cs="Calibri"/>
                <w:b/>
                <w:bCs/>
                <w:color w:val="4472C4" w:themeColor="accent5"/>
                <w:lang w:val="fr-FR"/>
              </w:rPr>
            </w:pPr>
            <w:r w:rsidRPr="00642426">
              <w:rPr>
                <w:rFonts w:ascii="Calibri" w:hAnsi="Calibri" w:cs="Calibri"/>
                <w:color w:val="4472C4" w:themeColor="accent5"/>
                <w:lang w:val="fr-FR"/>
              </w:rPr>
              <w:t xml:space="preserve">Accompagnement technique des acteurs clés des </w:t>
            </w:r>
            <w:r>
              <w:rPr>
                <w:rFonts w:ascii="Calibri" w:hAnsi="Calibri" w:cs="Calibri"/>
                <w:color w:val="4472C4" w:themeColor="accent5"/>
                <w:lang w:val="fr-FR"/>
              </w:rPr>
              <w:t xml:space="preserve">6 </w:t>
            </w:r>
            <w:r w:rsidRPr="00642426">
              <w:rPr>
                <w:rFonts w:ascii="Calibri" w:hAnsi="Calibri" w:cs="Calibri"/>
                <w:color w:val="4472C4" w:themeColor="accent5"/>
                <w:lang w:val="fr-FR"/>
              </w:rPr>
              <w:t xml:space="preserve">ministères </w:t>
            </w:r>
            <w:r>
              <w:rPr>
                <w:rFonts w:ascii="Calibri" w:hAnsi="Calibri" w:cs="Calibri"/>
                <w:color w:val="4472C4" w:themeColor="accent5"/>
                <w:lang w:val="fr-FR"/>
              </w:rPr>
              <w:t xml:space="preserve">pilotes </w:t>
            </w:r>
            <w:r w:rsidRPr="00642426">
              <w:rPr>
                <w:rFonts w:ascii="Calibri" w:hAnsi="Calibri" w:cs="Calibri"/>
                <w:color w:val="4472C4" w:themeColor="accent5"/>
                <w:lang w:val="fr-FR"/>
              </w:rPr>
              <w:t>pour renforcer la mise en œuvre de la NSE et la NSG– (Septembre 2024)</w:t>
            </w:r>
          </w:p>
          <w:p w14:paraId="592401F6" w14:textId="77777777" w:rsidR="00E04E14" w:rsidRDefault="00E04E14" w:rsidP="00E04E14">
            <w:pPr>
              <w:spacing w:line="360" w:lineRule="auto"/>
              <w:jc w:val="both"/>
              <w:rPr>
                <w:rFonts w:ascii="Calibri" w:eastAsia="Arial Unicode MS" w:hAnsi="Calibri" w:cs="Calibri"/>
                <w:b/>
                <w:bCs/>
                <w:color w:val="FF0000"/>
                <w:lang w:val="fr-FR"/>
              </w:rPr>
            </w:pPr>
          </w:p>
          <w:p w14:paraId="3C49E873" w14:textId="77777777" w:rsidR="00642426" w:rsidRPr="008F1D76" w:rsidRDefault="00642426" w:rsidP="00D867C4">
            <w:pPr>
              <w:spacing w:line="360" w:lineRule="auto"/>
              <w:jc w:val="both"/>
              <w:rPr>
                <w:rFonts w:ascii="Calibri" w:eastAsia="Arial Unicode MS" w:hAnsi="Calibri" w:cs="Calibri"/>
                <w:b/>
                <w:bCs/>
                <w:color w:val="auto"/>
                <w:sz w:val="2"/>
                <w:szCs w:val="2"/>
                <w:lang w:val="fr-FR"/>
              </w:rPr>
            </w:pPr>
          </w:p>
        </w:tc>
        <w:tc>
          <w:tcPr>
            <w:tcW w:w="4362" w:type="dxa"/>
            <w:shd w:val="clear" w:color="auto" w:fill="auto"/>
            <w:vAlign w:val="center"/>
          </w:tcPr>
          <w:p w14:paraId="7A6763E8" w14:textId="76DE9A8B" w:rsidR="00642426" w:rsidRPr="2357187D" w:rsidRDefault="00642426" w:rsidP="003C0D66">
            <w:pPr>
              <w:spacing w:line="240" w:lineRule="auto"/>
              <w:jc w:val="both"/>
              <w:rPr>
                <w:rFonts w:ascii="Calibri" w:hAnsi="Calibri" w:cs="Calibri"/>
                <w:color w:val="4472C4" w:themeColor="accent5"/>
                <w:lang w:val="fr-FR"/>
              </w:rPr>
            </w:pPr>
            <w:r w:rsidRPr="2FCEBBFA">
              <w:rPr>
                <w:rFonts w:ascii="Calibri" w:hAnsi="Calibri" w:cs="Calibri"/>
                <w:color w:val="4472C4" w:themeColor="accent5"/>
                <w:lang w:val="fr-FR"/>
              </w:rPr>
              <w:t xml:space="preserve">3.1 Animer des rencontres et échanges et du cadrage avec les acteurs clés (appartenant à la chaine des responsabilité) des Ministères sociaux sur les limites et les recommandations NSG et NSE y afférents ainsi que le suivi de </w:t>
            </w:r>
            <w:r w:rsidR="794A776C" w:rsidRPr="2FCEBBFA">
              <w:rPr>
                <w:rFonts w:ascii="Calibri" w:hAnsi="Calibri" w:cs="Calibri"/>
                <w:color w:val="4472C4" w:themeColor="accent5"/>
                <w:lang w:val="fr-FR"/>
              </w:rPr>
              <w:t xml:space="preserve">la contribution de chacun des ministères dans le </w:t>
            </w:r>
            <w:r w:rsidRPr="2FCEBBFA">
              <w:rPr>
                <w:rFonts w:ascii="Calibri" w:hAnsi="Calibri" w:cs="Calibri"/>
                <w:color w:val="4472C4" w:themeColor="accent5"/>
                <w:lang w:val="fr-FR"/>
              </w:rPr>
              <w:t xml:space="preserve"> plan </w:t>
            </w:r>
            <w:r w:rsidR="00D867C4" w:rsidRPr="2FCEBBFA">
              <w:rPr>
                <w:rFonts w:ascii="Calibri" w:hAnsi="Calibri" w:cs="Calibri"/>
                <w:color w:val="4472C4" w:themeColor="accent5"/>
                <w:lang w:val="fr-FR"/>
              </w:rPr>
              <w:t>d’action</w:t>
            </w:r>
            <w:r w:rsidR="007F3EB5">
              <w:rPr>
                <w:rFonts w:ascii="Calibri" w:hAnsi="Calibri" w:cs="Calibri"/>
                <w:color w:val="4472C4" w:themeColor="accent5"/>
                <w:lang w:val="fr-FR"/>
              </w:rPr>
              <w:t>s consolide sous le leadership du Ministère des Finances</w:t>
            </w:r>
            <w:r w:rsidR="000B5D1E" w:rsidRPr="2FCEBBFA">
              <w:rPr>
                <w:rFonts w:ascii="Calibri" w:hAnsi="Calibri" w:cs="Calibri"/>
                <w:color w:val="4472C4" w:themeColor="accent5"/>
                <w:lang w:val="fr-FR"/>
              </w:rPr>
              <w:t xml:space="preserve">. </w:t>
            </w:r>
          </w:p>
        </w:tc>
        <w:tc>
          <w:tcPr>
            <w:tcW w:w="1266" w:type="dxa"/>
            <w:shd w:val="clear" w:color="auto" w:fill="auto"/>
            <w:vAlign w:val="center"/>
          </w:tcPr>
          <w:p w14:paraId="6B70BD34" w14:textId="3DDB08CA" w:rsidR="00642426" w:rsidRPr="00E04E14" w:rsidRDefault="008F6F72" w:rsidP="00642426">
            <w:pPr>
              <w:spacing w:line="240" w:lineRule="auto"/>
              <w:jc w:val="center"/>
              <w:rPr>
                <w:rFonts w:asciiTheme="minorHAnsi" w:hAnsiTheme="minorHAnsi" w:cstheme="minorBidi"/>
                <w:color w:val="4472C4" w:themeColor="accent5"/>
                <w:highlight w:val="yellow"/>
                <w:lang w:val="fr-FR"/>
              </w:rPr>
            </w:pPr>
            <w:r w:rsidRPr="00D867C4">
              <w:rPr>
                <w:rFonts w:asciiTheme="minorHAnsi" w:hAnsiTheme="minorHAnsi" w:cstheme="minorHAnsi"/>
                <w:color w:val="4472C4" w:themeColor="accent5"/>
                <w:lang w:val="fr-FR"/>
              </w:rPr>
              <w:t>1</w:t>
            </w:r>
            <w:r w:rsidR="000B5D1E">
              <w:rPr>
                <w:rFonts w:asciiTheme="minorHAnsi" w:hAnsiTheme="minorHAnsi" w:cstheme="minorHAnsi"/>
                <w:color w:val="4472C4" w:themeColor="accent5"/>
                <w:lang w:val="fr-FR"/>
              </w:rPr>
              <w:t>5</w:t>
            </w:r>
            <w:r w:rsidR="00642426" w:rsidRPr="00D867C4">
              <w:rPr>
                <w:rFonts w:ascii="Calibri" w:eastAsia="Arial Unicode MS" w:hAnsi="Calibri" w:cs="Calibri"/>
                <w:color w:val="4472C4" w:themeColor="accent5"/>
                <w:lang w:val="fr-FR"/>
              </w:rPr>
              <w:t>H/J</w:t>
            </w:r>
          </w:p>
        </w:tc>
      </w:tr>
      <w:tr w:rsidR="00642426" w:rsidRPr="00E96CA2" w14:paraId="1A6E9898" w14:textId="77777777" w:rsidTr="2FCEBBFA">
        <w:trPr>
          <w:trHeight w:val="800"/>
        </w:trPr>
        <w:tc>
          <w:tcPr>
            <w:tcW w:w="4267" w:type="dxa"/>
            <w:vMerge/>
          </w:tcPr>
          <w:p w14:paraId="219F9089" w14:textId="77777777" w:rsidR="00642426" w:rsidRPr="008F1D76" w:rsidRDefault="00642426" w:rsidP="00642426">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0178AD57" w14:textId="2C1372B4" w:rsidR="00642426" w:rsidRPr="2357187D" w:rsidRDefault="00642426" w:rsidP="00642426">
            <w:pPr>
              <w:spacing w:line="240" w:lineRule="auto"/>
              <w:jc w:val="both"/>
              <w:rPr>
                <w:rFonts w:ascii="Calibri" w:hAnsi="Calibri" w:cs="Calibri"/>
                <w:color w:val="4472C4" w:themeColor="accent5"/>
                <w:lang w:val="fr-FR"/>
              </w:rPr>
            </w:pPr>
            <w:r w:rsidRPr="00642426">
              <w:rPr>
                <w:rFonts w:ascii="Calibri" w:hAnsi="Calibri" w:cs="Calibri"/>
                <w:color w:val="4472C4" w:themeColor="accent5"/>
                <w:lang w:val="fr-FR"/>
              </w:rPr>
              <w:t>3.</w:t>
            </w:r>
            <w:r>
              <w:rPr>
                <w:rFonts w:ascii="Calibri" w:hAnsi="Calibri" w:cs="Calibri"/>
                <w:color w:val="4472C4" w:themeColor="accent5"/>
                <w:lang w:val="fr-FR"/>
              </w:rPr>
              <w:t>2</w:t>
            </w:r>
            <w:r w:rsidRPr="00642426">
              <w:rPr>
                <w:rFonts w:ascii="Calibri" w:hAnsi="Calibri" w:cs="Calibri"/>
                <w:color w:val="4472C4" w:themeColor="accent5"/>
                <w:lang w:val="fr-FR"/>
              </w:rPr>
              <w:t xml:space="preserve"> Examen et analyse des versions actualisées de plan d’action</w:t>
            </w:r>
            <w:r w:rsidR="007F3EB5">
              <w:rPr>
                <w:rFonts w:ascii="Calibri" w:hAnsi="Calibri" w:cs="Calibri"/>
                <w:color w:val="4472C4" w:themeColor="accent5"/>
                <w:lang w:val="fr-FR"/>
              </w:rPr>
              <w:t>s du ministère des finances impliquant les 6</w:t>
            </w:r>
            <w:r w:rsidRPr="00642426">
              <w:rPr>
                <w:rFonts w:ascii="Calibri" w:hAnsi="Calibri" w:cs="Calibri"/>
                <w:color w:val="4472C4" w:themeColor="accent5"/>
                <w:lang w:val="fr-FR"/>
              </w:rPr>
              <w:t xml:space="preserve"> ministère</w:t>
            </w:r>
            <w:r w:rsidR="007F3EB5">
              <w:rPr>
                <w:rFonts w:ascii="Calibri" w:hAnsi="Calibri" w:cs="Calibri"/>
                <w:color w:val="4472C4" w:themeColor="accent5"/>
                <w:lang w:val="fr-FR"/>
              </w:rPr>
              <w:t>s</w:t>
            </w:r>
            <w:r w:rsidRPr="00642426">
              <w:rPr>
                <w:rFonts w:ascii="Calibri" w:hAnsi="Calibri" w:cs="Calibri"/>
                <w:color w:val="4472C4" w:themeColor="accent5"/>
                <w:lang w:val="fr-FR"/>
              </w:rPr>
              <w:t xml:space="preserve">.  </w:t>
            </w:r>
          </w:p>
        </w:tc>
        <w:tc>
          <w:tcPr>
            <w:tcW w:w="1266" w:type="dxa"/>
            <w:shd w:val="clear" w:color="auto" w:fill="auto"/>
            <w:vAlign w:val="center"/>
          </w:tcPr>
          <w:p w14:paraId="0D9EA6B8" w14:textId="333F4415" w:rsidR="00642426" w:rsidRPr="00D867C4" w:rsidRDefault="008F6F72" w:rsidP="00642426">
            <w:pPr>
              <w:spacing w:line="240" w:lineRule="auto"/>
              <w:jc w:val="center"/>
              <w:rPr>
                <w:rFonts w:asciiTheme="minorHAnsi" w:hAnsiTheme="minorHAnsi" w:cstheme="minorBidi"/>
                <w:color w:val="4472C4" w:themeColor="accent5"/>
                <w:lang w:val="fr-FR"/>
              </w:rPr>
            </w:pPr>
            <w:r w:rsidRPr="00D867C4">
              <w:rPr>
                <w:rFonts w:asciiTheme="minorHAnsi" w:hAnsiTheme="minorHAnsi" w:cstheme="minorHAnsi"/>
                <w:color w:val="4472C4" w:themeColor="accent5"/>
                <w:lang w:val="fr-FR"/>
              </w:rPr>
              <w:t>6</w:t>
            </w:r>
            <w:r w:rsidR="00553C3A" w:rsidRPr="00D867C4">
              <w:rPr>
                <w:rFonts w:asciiTheme="minorHAnsi" w:hAnsiTheme="minorHAnsi" w:cstheme="minorHAnsi"/>
                <w:color w:val="4472C4" w:themeColor="accent5"/>
                <w:lang w:val="fr-FR"/>
              </w:rPr>
              <w:t>H</w:t>
            </w:r>
          </w:p>
        </w:tc>
      </w:tr>
      <w:tr w:rsidR="00642426" w:rsidRPr="00E96CA2" w14:paraId="3EF5CB1D" w14:textId="77777777" w:rsidTr="2FCEBBFA">
        <w:trPr>
          <w:trHeight w:val="800"/>
        </w:trPr>
        <w:tc>
          <w:tcPr>
            <w:tcW w:w="4267" w:type="dxa"/>
            <w:vMerge/>
          </w:tcPr>
          <w:p w14:paraId="449985BA" w14:textId="77777777" w:rsidR="00642426" w:rsidRPr="008F1D76" w:rsidRDefault="00642426" w:rsidP="00642426">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50AC0B3C" w14:textId="619C4829" w:rsidR="00642426" w:rsidRPr="2357187D" w:rsidRDefault="00642426" w:rsidP="00642426">
            <w:pPr>
              <w:spacing w:line="240" w:lineRule="auto"/>
              <w:jc w:val="both"/>
              <w:rPr>
                <w:rFonts w:ascii="Calibri" w:hAnsi="Calibri" w:cs="Calibri"/>
                <w:color w:val="4472C4" w:themeColor="accent5"/>
                <w:lang w:val="fr-FR"/>
              </w:rPr>
            </w:pPr>
            <w:r w:rsidRPr="00642426">
              <w:rPr>
                <w:rFonts w:ascii="Calibri" w:hAnsi="Calibri" w:cs="Calibri"/>
                <w:color w:val="4472C4" w:themeColor="accent5"/>
                <w:lang w:val="fr-FR"/>
              </w:rPr>
              <w:t>3.</w:t>
            </w:r>
            <w:r>
              <w:rPr>
                <w:rFonts w:ascii="Calibri" w:hAnsi="Calibri" w:cs="Calibri"/>
                <w:color w:val="4472C4" w:themeColor="accent5"/>
                <w:lang w:val="fr-FR"/>
              </w:rPr>
              <w:t>3</w:t>
            </w:r>
            <w:r w:rsidRPr="00642426">
              <w:rPr>
                <w:rFonts w:ascii="Calibri" w:hAnsi="Calibri" w:cs="Calibri"/>
                <w:color w:val="4472C4" w:themeColor="accent5"/>
                <w:lang w:val="fr-FR"/>
              </w:rPr>
              <w:t xml:space="preserve"> Partage et conduite des rencontres avec les 6 ministères pour la validation finale d</w:t>
            </w:r>
            <w:r w:rsidR="007F3EB5">
              <w:rPr>
                <w:rFonts w:ascii="Calibri" w:hAnsi="Calibri" w:cs="Calibri"/>
                <w:color w:val="4472C4" w:themeColor="accent5"/>
                <w:lang w:val="fr-FR"/>
              </w:rPr>
              <w:t>u</w:t>
            </w:r>
            <w:r w:rsidRPr="00642426">
              <w:rPr>
                <w:rFonts w:ascii="Calibri" w:hAnsi="Calibri" w:cs="Calibri"/>
                <w:color w:val="4472C4" w:themeColor="accent5"/>
                <w:lang w:val="fr-FR"/>
              </w:rPr>
              <w:t xml:space="preserve"> plan d’action</w:t>
            </w:r>
            <w:r w:rsidR="007F3EB5">
              <w:rPr>
                <w:rFonts w:ascii="Calibri" w:hAnsi="Calibri" w:cs="Calibri"/>
                <w:color w:val="4472C4" w:themeColor="accent5"/>
                <w:lang w:val="fr-FR"/>
              </w:rPr>
              <w:t>s consolide</w:t>
            </w:r>
            <w:r w:rsidRPr="00642426">
              <w:rPr>
                <w:rFonts w:ascii="Calibri" w:hAnsi="Calibri" w:cs="Calibri"/>
                <w:color w:val="4472C4" w:themeColor="accent5"/>
                <w:lang w:val="fr-FR"/>
              </w:rPr>
              <w:t xml:space="preserve"> en présence des acteurs clés</w:t>
            </w:r>
          </w:p>
        </w:tc>
        <w:tc>
          <w:tcPr>
            <w:tcW w:w="1266" w:type="dxa"/>
            <w:shd w:val="clear" w:color="auto" w:fill="auto"/>
            <w:vAlign w:val="center"/>
          </w:tcPr>
          <w:p w14:paraId="7337CE64" w14:textId="430D4DB0" w:rsidR="00642426" w:rsidRPr="00D867C4" w:rsidRDefault="008F6F72" w:rsidP="00642426">
            <w:pPr>
              <w:spacing w:line="240" w:lineRule="auto"/>
              <w:jc w:val="center"/>
              <w:rPr>
                <w:rFonts w:asciiTheme="minorHAnsi" w:hAnsiTheme="minorHAnsi" w:cstheme="minorBidi"/>
                <w:color w:val="4472C4" w:themeColor="accent5"/>
                <w:lang w:val="fr-FR"/>
              </w:rPr>
            </w:pPr>
            <w:r w:rsidRPr="00D867C4">
              <w:rPr>
                <w:rFonts w:ascii="Calibri" w:hAnsi="Calibri" w:cs="Calibri"/>
                <w:color w:val="4472C4" w:themeColor="accent5"/>
                <w:lang w:val="fr-FR"/>
              </w:rPr>
              <w:t>12</w:t>
            </w:r>
            <w:r w:rsidR="00642426" w:rsidRPr="00D867C4">
              <w:rPr>
                <w:rFonts w:ascii="Calibri" w:hAnsi="Calibri" w:cs="Calibri"/>
                <w:color w:val="4472C4" w:themeColor="accent5"/>
                <w:lang w:val="fr-FR"/>
              </w:rPr>
              <w:t>H</w:t>
            </w:r>
          </w:p>
        </w:tc>
      </w:tr>
      <w:tr w:rsidR="00642426" w:rsidRPr="00E96CA2" w14:paraId="38E14AAF" w14:textId="77777777" w:rsidTr="2FCEBBFA">
        <w:trPr>
          <w:trHeight w:val="800"/>
        </w:trPr>
        <w:tc>
          <w:tcPr>
            <w:tcW w:w="4267" w:type="dxa"/>
            <w:vMerge/>
          </w:tcPr>
          <w:p w14:paraId="30B65E53" w14:textId="77777777" w:rsidR="00642426" w:rsidRPr="008F1D76" w:rsidRDefault="00642426" w:rsidP="00642426">
            <w:pPr>
              <w:pStyle w:val="ListParagraph"/>
              <w:spacing w:line="240" w:lineRule="auto"/>
              <w:ind w:left="360"/>
              <w:jc w:val="both"/>
              <w:rPr>
                <w:rFonts w:ascii="Calibri" w:eastAsia="Arial Unicode MS" w:hAnsi="Calibri" w:cs="Calibri"/>
                <w:b/>
                <w:bCs/>
                <w:color w:val="auto"/>
                <w:sz w:val="2"/>
                <w:szCs w:val="2"/>
                <w:lang w:val="fr-FR"/>
              </w:rPr>
            </w:pPr>
          </w:p>
        </w:tc>
        <w:tc>
          <w:tcPr>
            <w:tcW w:w="4362" w:type="dxa"/>
            <w:shd w:val="clear" w:color="auto" w:fill="auto"/>
            <w:vAlign w:val="center"/>
          </w:tcPr>
          <w:p w14:paraId="5F4D5A7C" w14:textId="0BAFC2DD" w:rsidR="00642426" w:rsidRPr="2357187D" w:rsidRDefault="00642426" w:rsidP="00642426">
            <w:pPr>
              <w:spacing w:line="240" w:lineRule="auto"/>
              <w:jc w:val="both"/>
              <w:rPr>
                <w:rFonts w:ascii="Calibri" w:hAnsi="Calibri" w:cs="Calibri"/>
                <w:color w:val="4472C4" w:themeColor="accent5"/>
                <w:lang w:val="fr-FR"/>
              </w:rPr>
            </w:pPr>
            <w:r>
              <w:rPr>
                <w:rFonts w:ascii="Calibri" w:hAnsi="Calibri" w:cs="Calibri"/>
                <w:color w:val="4472C4" w:themeColor="accent5"/>
                <w:lang w:val="fr-FR"/>
              </w:rPr>
              <w:t xml:space="preserve">3.4 </w:t>
            </w:r>
            <w:r w:rsidRPr="00EF186E">
              <w:rPr>
                <w:rFonts w:ascii="Calibri" w:hAnsi="Calibri" w:cs="Calibri"/>
                <w:color w:val="4472C4" w:themeColor="accent5"/>
                <w:lang w:val="fr-FR"/>
              </w:rPr>
              <w:t xml:space="preserve">Un rapport finalisé </w:t>
            </w:r>
            <w:r w:rsidRPr="005F24C0">
              <w:rPr>
                <w:rFonts w:ascii="Calibri" w:hAnsi="Calibri" w:cs="Calibri"/>
                <w:color w:val="4472C4" w:themeColor="accent5"/>
                <w:lang w:val="fr-FR"/>
              </w:rPr>
              <w:t xml:space="preserve">et l’élaboration </w:t>
            </w:r>
            <w:r w:rsidRPr="00EF186E">
              <w:rPr>
                <w:rFonts w:ascii="Calibri" w:hAnsi="Calibri" w:cs="Calibri"/>
                <w:color w:val="4472C4" w:themeColor="accent5"/>
                <w:lang w:val="fr-FR"/>
              </w:rPr>
              <w:t xml:space="preserve">des </w:t>
            </w:r>
            <w:r w:rsidRPr="00BF401A">
              <w:rPr>
                <w:rFonts w:ascii="Calibri" w:hAnsi="Calibri" w:cs="Calibri"/>
                <w:color w:val="4472C4" w:themeColor="accent5"/>
                <w:lang w:val="fr-FR"/>
              </w:rPr>
              <w:t>recommandations</w:t>
            </w:r>
            <w:r w:rsidRPr="00EF186E">
              <w:rPr>
                <w:rFonts w:ascii="Calibri" w:hAnsi="Calibri" w:cs="Calibri"/>
                <w:color w:val="4472C4" w:themeColor="accent5"/>
                <w:lang w:val="fr-FR"/>
              </w:rPr>
              <w:t xml:space="preserve"> à travers des échanges avec les acteurs clés</w:t>
            </w:r>
          </w:p>
        </w:tc>
        <w:tc>
          <w:tcPr>
            <w:tcW w:w="1266" w:type="dxa"/>
            <w:shd w:val="clear" w:color="auto" w:fill="auto"/>
            <w:vAlign w:val="center"/>
          </w:tcPr>
          <w:p w14:paraId="556D5F4E" w14:textId="77777777" w:rsidR="00642426" w:rsidRPr="00D867C4" w:rsidRDefault="006173E4" w:rsidP="00642426">
            <w:pPr>
              <w:spacing w:line="240" w:lineRule="auto"/>
              <w:jc w:val="center"/>
              <w:rPr>
                <w:rFonts w:asciiTheme="minorHAnsi" w:hAnsiTheme="minorHAnsi" w:cstheme="minorHAnsi"/>
                <w:color w:val="4472C4" w:themeColor="accent5"/>
                <w:lang w:val="fr-FR"/>
              </w:rPr>
            </w:pPr>
            <w:r w:rsidRPr="00D867C4">
              <w:rPr>
                <w:rFonts w:asciiTheme="minorHAnsi" w:hAnsiTheme="minorHAnsi" w:cstheme="minorHAnsi"/>
                <w:color w:val="4472C4" w:themeColor="accent5"/>
                <w:lang w:val="fr-FR"/>
              </w:rPr>
              <w:t>2H</w:t>
            </w:r>
            <w:r w:rsidR="00642426" w:rsidRPr="00D867C4">
              <w:rPr>
                <w:rFonts w:asciiTheme="minorHAnsi" w:hAnsiTheme="minorHAnsi" w:cstheme="minorHAnsi"/>
                <w:color w:val="4472C4" w:themeColor="accent5"/>
                <w:lang w:val="fr-FR"/>
              </w:rPr>
              <w:t>/J</w:t>
            </w:r>
          </w:p>
          <w:p w14:paraId="49B5F1F1" w14:textId="77777777" w:rsidR="00E04E14" w:rsidRPr="00D867C4" w:rsidRDefault="00E04E14" w:rsidP="00642426">
            <w:pPr>
              <w:spacing w:line="240" w:lineRule="auto"/>
              <w:jc w:val="center"/>
              <w:rPr>
                <w:rFonts w:asciiTheme="minorHAnsi" w:hAnsiTheme="minorHAnsi" w:cstheme="minorHAnsi"/>
                <w:color w:val="4472C4" w:themeColor="accent5"/>
                <w:lang w:val="fr-FR"/>
              </w:rPr>
            </w:pPr>
          </w:p>
          <w:p w14:paraId="35953A10" w14:textId="2C5C9C11" w:rsidR="00E04E14" w:rsidRPr="00D867C4" w:rsidRDefault="00E04E14" w:rsidP="00E04E14">
            <w:pPr>
              <w:spacing w:line="240" w:lineRule="auto"/>
              <w:rPr>
                <w:rFonts w:asciiTheme="minorHAnsi" w:hAnsiTheme="minorHAnsi" w:cstheme="minorBidi"/>
                <w:color w:val="4472C4" w:themeColor="accent5"/>
                <w:lang w:val="fr-FR"/>
              </w:rPr>
            </w:pPr>
          </w:p>
        </w:tc>
      </w:tr>
      <w:tr w:rsidR="00642426" w:rsidRPr="00EF186E" w14:paraId="5C24AABD" w14:textId="77777777" w:rsidTr="2FCEBBFA">
        <w:trPr>
          <w:trHeight w:val="647"/>
        </w:trPr>
        <w:tc>
          <w:tcPr>
            <w:tcW w:w="8629" w:type="dxa"/>
            <w:gridSpan w:val="2"/>
            <w:shd w:val="clear" w:color="auto" w:fill="auto"/>
          </w:tcPr>
          <w:p w14:paraId="440A1B92" w14:textId="77777777" w:rsidR="000B5D1E" w:rsidRDefault="000B5D1E" w:rsidP="00642426">
            <w:pPr>
              <w:spacing w:line="240" w:lineRule="auto"/>
              <w:jc w:val="center"/>
              <w:rPr>
                <w:rFonts w:ascii="Calibri" w:eastAsia="Arial Unicode MS" w:hAnsi="Calibri" w:cs="Calibri"/>
                <w:b/>
                <w:bCs/>
                <w:color w:val="4472C4" w:themeColor="accent5"/>
                <w:lang w:val="fr-FR"/>
              </w:rPr>
            </w:pPr>
          </w:p>
          <w:p w14:paraId="2BD779A7" w14:textId="62A73787" w:rsidR="00642426" w:rsidRPr="00EF186E" w:rsidRDefault="00642426" w:rsidP="00642426">
            <w:pPr>
              <w:spacing w:line="240" w:lineRule="auto"/>
              <w:jc w:val="center"/>
              <w:rPr>
                <w:rFonts w:ascii="Calibri" w:eastAsia="Arial Unicode MS" w:hAnsi="Calibri" w:cs="Calibri"/>
                <w:b/>
                <w:bCs/>
                <w:color w:val="4472C4" w:themeColor="accent5"/>
                <w:lang w:val="fr-FR"/>
              </w:rPr>
            </w:pPr>
            <w:r w:rsidRPr="00EF186E">
              <w:rPr>
                <w:rFonts w:ascii="Calibri" w:eastAsia="Arial Unicode MS" w:hAnsi="Calibri" w:cs="Calibri"/>
                <w:b/>
                <w:bCs/>
                <w:color w:val="4472C4" w:themeColor="accent5"/>
                <w:lang w:val="fr-FR"/>
              </w:rPr>
              <w:t>Total H/J</w:t>
            </w:r>
          </w:p>
        </w:tc>
        <w:tc>
          <w:tcPr>
            <w:tcW w:w="1266" w:type="dxa"/>
            <w:shd w:val="clear" w:color="auto" w:fill="auto"/>
            <w:vAlign w:val="center"/>
          </w:tcPr>
          <w:p w14:paraId="0462C4CD" w14:textId="748D0FE2" w:rsidR="00642426" w:rsidRPr="00EF186E" w:rsidRDefault="00642426" w:rsidP="00642426">
            <w:pPr>
              <w:spacing w:line="240" w:lineRule="auto"/>
              <w:jc w:val="center"/>
              <w:rPr>
                <w:rFonts w:ascii="Calibri" w:eastAsia="Arial Unicode MS" w:hAnsi="Calibri" w:cs="Calibri"/>
                <w:b/>
                <w:bCs/>
                <w:color w:val="4472C4" w:themeColor="accent5"/>
                <w:lang w:val="fr-FR"/>
              </w:rPr>
            </w:pPr>
            <w:r w:rsidRPr="2357187D">
              <w:rPr>
                <w:rFonts w:ascii="Calibri" w:hAnsi="Calibri" w:cs="Calibri"/>
                <w:b/>
                <w:bCs/>
                <w:color w:val="4472C4" w:themeColor="accent5"/>
              </w:rPr>
              <w:t xml:space="preserve"> </w:t>
            </w:r>
            <w:r w:rsidR="000B5D1E">
              <w:rPr>
                <w:rFonts w:ascii="Calibri" w:hAnsi="Calibri" w:cs="Calibri"/>
                <w:b/>
                <w:bCs/>
                <w:color w:val="4472C4" w:themeColor="accent5"/>
              </w:rPr>
              <w:t>68</w:t>
            </w:r>
            <w:r w:rsidR="00446B8A">
              <w:rPr>
                <w:rFonts w:ascii="Calibri" w:hAnsi="Calibri" w:cs="Calibri"/>
                <w:b/>
                <w:bCs/>
                <w:color w:val="4472C4" w:themeColor="accent5"/>
              </w:rPr>
              <w:t xml:space="preserve"> </w:t>
            </w:r>
            <w:r w:rsidRPr="2357187D">
              <w:rPr>
                <w:rFonts w:ascii="Calibri" w:hAnsi="Calibri" w:cs="Calibri"/>
                <w:b/>
                <w:bCs/>
                <w:color w:val="4472C4" w:themeColor="accent5"/>
              </w:rPr>
              <w:t>H/J</w:t>
            </w:r>
          </w:p>
        </w:tc>
      </w:tr>
    </w:tbl>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940"/>
        <w:gridCol w:w="3780"/>
        <w:gridCol w:w="1143"/>
        <w:gridCol w:w="27"/>
        <w:gridCol w:w="324"/>
      </w:tblGrid>
      <w:tr w:rsidR="000B5D1E" w:rsidRPr="007613B3" w14:paraId="5498A23D" w14:textId="77777777" w:rsidTr="00B82993">
        <w:trPr>
          <w:gridAfter w:val="1"/>
          <w:wAfter w:w="324" w:type="dxa"/>
          <w:trHeight w:val="406"/>
        </w:trPr>
        <w:tc>
          <w:tcPr>
            <w:tcW w:w="49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B1FAB4E" w14:textId="77777777" w:rsidR="000B5D1E" w:rsidRPr="007613B3" w:rsidRDefault="000B5D1E" w:rsidP="00B82993">
            <w:pPr>
              <w:spacing w:before="60" w:after="60" w:line="240" w:lineRule="auto"/>
              <w:rPr>
                <w:rFonts w:ascii="Calibri" w:eastAsia="Arial Unicode MS" w:hAnsi="Calibri" w:cs="Calibri"/>
                <w:b/>
                <w:color w:val="auto"/>
                <w:lang w:val="en-AU"/>
              </w:rPr>
            </w:pPr>
            <w:r>
              <w:rPr>
                <w:rFonts w:ascii="Calibri" w:eastAsia="Arial Unicode MS" w:hAnsi="Calibri" w:cs="Calibri"/>
                <w:b/>
                <w:color w:val="auto"/>
                <w:lang w:val="en-AU"/>
              </w:rPr>
              <w:lastRenderedPageBreak/>
              <w:t>E</w:t>
            </w:r>
            <w:r w:rsidRPr="007613B3">
              <w:rPr>
                <w:rFonts w:ascii="Calibri" w:eastAsia="Arial Unicode MS" w:hAnsi="Calibri" w:cs="Calibri"/>
                <w:b/>
                <w:color w:val="auto"/>
                <w:lang w:val="en-AU"/>
              </w:rPr>
              <w:t>stimated Consultancy fee</w:t>
            </w:r>
          </w:p>
        </w:tc>
        <w:tc>
          <w:tcPr>
            <w:tcW w:w="37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8FBCB6B" w14:textId="77777777" w:rsidR="000B5D1E" w:rsidRPr="007613B3" w:rsidRDefault="000B5D1E" w:rsidP="00B82993">
            <w:pPr>
              <w:spacing w:line="240" w:lineRule="auto"/>
              <w:ind w:left="12" w:hanging="12"/>
              <w:rPr>
                <w:rFonts w:ascii="Calibri" w:eastAsia="Arial Unicode MS" w:hAnsi="Calibri" w:cs="Calibri"/>
                <w:b/>
                <w:color w:val="auto"/>
                <w:lang w:val="en-AU"/>
              </w:rPr>
            </w:pPr>
          </w:p>
        </w:tc>
        <w:tc>
          <w:tcPr>
            <w:tcW w:w="1170"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EB799EB" w14:textId="77777777" w:rsidR="000B5D1E" w:rsidRPr="007613B3" w:rsidRDefault="000B5D1E" w:rsidP="00B82993">
            <w:pPr>
              <w:spacing w:before="60" w:after="60" w:line="240" w:lineRule="auto"/>
              <w:jc w:val="center"/>
              <w:rPr>
                <w:rFonts w:ascii="Calibri" w:eastAsia="Arial Unicode MS" w:hAnsi="Calibri" w:cs="Calibri"/>
                <w:b/>
                <w:color w:val="auto"/>
                <w:lang w:val="en-AU"/>
              </w:rPr>
            </w:pPr>
          </w:p>
        </w:tc>
      </w:tr>
      <w:tr w:rsidR="000B5D1E" w:rsidRPr="004B3215" w14:paraId="7A45A2F4" w14:textId="77777777" w:rsidTr="00B82993">
        <w:trPr>
          <w:gridAfter w:val="1"/>
          <w:wAfter w:w="324" w:type="dxa"/>
          <w:trHeight w:val="677"/>
        </w:trPr>
        <w:tc>
          <w:tcPr>
            <w:tcW w:w="4940" w:type="dxa"/>
            <w:tcBorders>
              <w:top w:val="single" w:sz="8" w:space="0" w:color="6D6D6D"/>
              <w:left w:val="single" w:sz="8" w:space="0" w:color="6D6D6D"/>
              <w:bottom w:val="single" w:sz="8" w:space="0" w:color="6D6D6D"/>
              <w:right w:val="single" w:sz="8" w:space="0" w:color="6D6D6D"/>
            </w:tcBorders>
            <w:shd w:val="clear" w:color="auto" w:fill="auto"/>
            <w:noWrap/>
          </w:tcPr>
          <w:p w14:paraId="7E94DE24" w14:textId="77777777" w:rsidR="000B5D1E" w:rsidRDefault="000B5D1E" w:rsidP="00B8299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301AFF12" w14:textId="77777777" w:rsidR="000B5D1E" w:rsidRPr="007613B3" w:rsidRDefault="000B5D1E" w:rsidP="00B82993">
            <w:pPr>
              <w:spacing w:before="60" w:after="60" w:line="240" w:lineRule="auto"/>
              <w:rPr>
                <w:rFonts w:ascii="Calibri" w:eastAsia="Arial Unicode MS" w:hAnsi="Calibri" w:cs="Calibri"/>
                <w:color w:val="auto"/>
                <w:lang w:val="en-AU"/>
              </w:rPr>
            </w:pPr>
          </w:p>
        </w:tc>
        <w:tc>
          <w:tcPr>
            <w:tcW w:w="3780" w:type="dxa"/>
            <w:tcBorders>
              <w:top w:val="single" w:sz="8" w:space="0" w:color="6D6D6D"/>
              <w:left w:val="single" w:sz="8" w:space="0" w:color="6D6D6D"/>
              <w:bottom w:val="single" w:sz="8" w:space="0" w:color="6D6D6D"/>
              <w:right w:val="single" w:sz="8" w:space="0" w:color="6D6D6D"/>
            </w:tcBorders>
            <w:shd w:val="clear" w:color="auto" w:fill="auto"/>
          </w:tcPr>
          <w:p w14:paraId="16B80FE9" w14:textId="77777777" w:rsidR="000B5D1E" w:rsidRPr="00857A90" w:rsidRDefault="000B5D1E" w:rsidP="00B82993">
            <w:pPr>
              <w:spacing w:line="240" w:lineRule="auto"/>
              <w:ind w:left="12" w:hanging="12"/>
              <w:rPr>
                <w:rFonts w:ascii="Calibri" w:eastAsia="Arial Unicode MS" w:hAnsi="Calibri" w:cs="Calibri"/>
                <w:color w:val="4472C4" w:themeColor="accent5"/>
                <w:lang w:val="fr-FR"/>
              </w:rPr>
            </w:pPr>
            <w:r w:rsidRPr="00857A90">
              <w:rPr>
                <w:rFonts w:ascii="Calibri" w:eastAsia="Arial Unicode MS" w:hAnsi="Calibri" w:cs="Calibri"/>
                <w:color w:val="4472C4" w:themeColor="accent5"/>
                <w:lang w:val="fr-FR"/>
              </w:rPr>
              <w:t>NA – Les ateliers de f</w:t>
            </w:r>
            <w:r>
              <w:rPr>
                <w:rFonts w:ascii="Calibri" w:eastAsia="Arial Unicode MS" w:hAnsi="Calibri" w:cs="Calibri"/>
                <w:color w:val="4472C4" w:themeColor="accent5"/>
                <w:lang w:val="fr-FR"/>
              </w:rPr>
              <w:t>ormation seront organisés sur le Grand Tunis</w:t>
            </w:r>
          </w:p>
        </w:tc>
        <w:tc>
          <w:tcPr>
            <w:tcW w:w="1170" w:type="dxa"/>
            <w:gridSpan w:val="2"/>
            <w:tcBorders>
              <w:top w:val="single" w:sz="8" w:space="0" w:color="6D6D6D"/>
              <w:left w:val="single" w:sz="8" w:space="0" w:color="6D6D6D"/>
              <w:bottom w:val="single" w:sz="8" w:space="0" w:color="6D6D6D"/>
              <w:right w:val="single" w:sz="8" w:space="0" w:color="6D6D6D"/>
            </w:tcBorders>
            <w:shd w:val="clear" w:color="auto" w:fill="auto"/>
          </w:tcPr>
          <w:p w14:paraId="2E47243A" w14:textId="77777777" w:rsidR="000B5D1E" w:rsidRPr="00857A90" w:rsidRDefault="000B5D1E" w:rsidP="00B82993">
            <w:pPr>
              <w:spacing w:before="60" w:after="60" w:line="240" w:lineRule="auto"/>
              <w:rPr>
                <w:rFonts w:ascii="Calibri" w:eastAsia="Arial Unicode MS" w:hAnsi="Calibri" w:cs="Calibri"/>
                <w:color w:val="auto"/>
                <w:lang w:val="fr-FR"/>
              </w:rPr>
            </w:pPr>
          </w:p>
        </w:tc>
      </w:tr>
      <w:tr w:rsidR="000B5D1E" w:rsidRPr="004B3215" w14:paraId="05A837DA" w14:textId="77777777" w:rsidTr="00B82993">
        <w:trPr>
          <w:gridAfter w:val="1"/>
          <w:wAfter w:w="324" w:type="dxa"/>
          <w:trHeight w:val="406"/>
        </w:trPr>
        <w:tc>
          <w:tcPr>
            <w:tcW w:w="4940" w:type="dxa"/>
            <w:tcBorders>
              <w:top w:val="single" w:sz="8" w:space="0" w:color="6D6D6D"/>
              <w:left w:val="single" w:sz="8" w:space="0" w:color="6D6D6D"/>
              <w:bottom w:val="single" w:sz="8" w:space="0" w:color="6D6D6D"/>
              <w:right w:val="single" w:sz="8" w:space="0" w:color="6D6D6D"/>
            </w:tcBorders>
            <w:shd w:val="clear" w:color="auto" w:fill="auto"/>
            <w:noWrap/>
          </w:tcPr>
          <w:p w14:paraId="5C895B55" w14:textId="77777777" w:rsidR="000B5D1E" w:rsidRPr="007613B3" w:rsidRDefault="000B5D1E" w:rsidP="00B8299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780" w:type="dxa"/>
            <w:tcBorders>
              <w:top w:val="single" w:sz="8" w:space="0" w:color="6D6D6D"/>
              <w:left w:val="single" w:sz="8" w:space="0" w:color="6D6D6D"/>
              <w:bottom w:val="single" w:sz="8" w:space="0" w:color="6D6D6D"/>
              <w:right w:val="single" w:sz="8" w:space="0" w:color="6D6D6D"/>
            </w:tcBorders>
            <w:shd w:val="clear" w:color="auto" w:fill="auto"/>
          </w:tcPr>
          <w:p w14:paraId="1C81ACEA" w14:textId="77777777" w:rsidR="000B5D1E" w:rsidRPr="006D78C5" w:rsidRDefault="000B5D1E" w:rsidP="00B82993">
            <w:pPr>
              <w:spacing w:line="240" w:lineRule="auto"/>
              <w:ind w:left="12" w:hanging="12"/>
              <w:rPr>
                <w:rFonts w:ascii="Calibri" w:eastAsia="Arial Unicode MS" w:hAnsi="Calibri" w:cs="Calibri"/>
                <w:color w:val="4472C4" w:themeColor="accent5"/>
                <w:lang w:val="fr-FR"/>
              </w:rPr>
            </w:pPr>
            <w:r w:rsidRPr="006D78C5">
              <w:rPr>
                <w:rFonts w:ascii="Calibri" w:eastAsia="Arial Unicode MS" w:hAnsi="Calibri" w:cs="Calibri"/>
                <w:color w:val="4472C4" w:themeColor="accent5"/>
                <w:lang w:val="fr-FR"/>
              </w:rPr>
              <w:t xml:space="preserve">NA- </w:t>
            </w:r>
            <w:r w:rsidRPr="00857A90">
              <w:rPr>
                <w:rFonts w:ascii="Calibri" w:eastAsia="Arial Unicode MS" w:hAnsi="Calibri" w:cs="Calibri"/>
                <w:color w:val="4472C4" w:themeColor="accent5"/>
                <w:lang w:val="fr-FR"/>
              </w:rPr>
              <w:t>Les ateliers de f</w:t>
            </w:r>
            <w:r>
              <w:rPr>
                <w:rFonts w:ascii="Calibri" w:eastAsia="Arial Unicode MS" w:hAnsi="Calibri" w:cs="Calibri"/>
                <w:color w:val="4472C4" w:themeColor="accent5"/>
                <w:lang w:val="fr-FR"/>
              </w:rPr>
              <w:t>ormation seront organisés sur le Grand Tunis</w:t>
            </w:r>
          </w:p>
        </w:tc>
        <w:tc>
          <w:tcPr>
            <w:tcW w:w="1170" w:type="dxa"/>
            <w:gridSpan w:val="2"/>
            <w:tcBorders>
              <w:top w:val="single" w:sz="8" w:space="0" w:color="6D6D6D"/>
              <w:left w:val="single" w:sz="8" w:space="0" w:color="6D6D6D"/>
              <w:bottom w:val="single" w:sz="8" w:space="0" w:color="6D6D6D"/>
              <w:right w:val="single" w:sz="8" w:space="0" w:color="6D6D6D"/>
            </w:tcBorders>
            <w:shd w:val="clear" w:color="auto" w:fill="auto"/>
          </w:tcPr>
          <w:p w14:paraId="35D3491A" w14:textId="77777777" w:rsidR="000B5D1E" w:rsidRPr="006D78C5" w:rsidRDefault="000B5D1E" w:rsidP="00B82993">
            <w:pPr>
              <w:spacing w:before="60" w:after="60" w:line="240" w:lineRule="auto"/>
              <w:rPr>
                <w:rFonts w:ascii="Calibri" w:eastAsia="Arial Unicode MS" w:hAnsi="Calibri" w:cs="Calibri"/>
                <w:color w:val="auto"/>
                <w:lang w:val="fr-FR"/>
              </w:rPr>
            </w:pPr>
          </w:p>
        </w:tc>
      </w:tr>
      <w:tr w:rsidR="000B5D1E" w:rsidRPr="004B3215" w14:paraId="2B81C60B" w14:textId="77777777" w:rsidTr="00B82993">
        <w:trPr>
          <w:gridAfter w:val="1"/>
          <w:wAfter w:w="324" w:type="dxa"/>
          <w:trHeight w:val="406"/>
        </w:trPr>
        <w:tc>
          <w:tcPr>
            <w:tcW w:w="4940" w:type="dxa"/>
            <w:tcBorders>
              <w:top w:val="single" w:sz="8" w:space="0" w:color="6D6D6D"/>
              <w:left w:val="single" w:sz="8" w:space="0" w:color="6D6D6D"/>
              <w:bottom w:val="single" w:sz="8" w:space="0" w:color="6D6D6D"/>
              <w:right w:val="single" w:sz="8" w:space="0" w:color="6D6D6D"/>
            </w:tcBorders>
            <w:shd w:val="clear" w:color="auto" w:fill="auto"/>
            <w:noWrap/>
          </w:tcPr>
          <w:p w14:paraId="21734BA9" w14:textId="77777777" w:rsidR="000B5D1E" w:rsidRPr="007613B3" w:rsidRDefault="000B5D1E" w:rsidP="00B8299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780" w:type="dxa"/>
            <w:tcBorders>
              <w:top w:val="single" w:sz="8" w:space="0" w:color="6D6D6D"/>
              <w:left w:val="single" w:sz="8" w:space="0" w:color="6D6D6D"/>
              <w:bottom w:val="single" w:sz="8" w:space="0" w:color="6D6D6D"/>
              <w:right w:val="single" w:sz="8" w:space="0" w:color="6D6D6D"/>
            </w:tcBorders>
            <w:shd w:val="clear" w:color="auto" w:fill="auto"/>
          </w:tcPr>
          <w:p w14:paraId="5F2A6557" w14:textId="77777777" w:rsidR="000B5D1E" w:rsidRPr="006D78C5" w:rsidRDefault="000B5D1E" w:rsidP="00B82993">
            <w:pPr>
              <w:spacing w:line="240" w:lineRule="auto"/>
              <w:ind w:left="12" w:hanging="12"/>
              <w:rPr>
                <w:rFonts w:ascii="Calibri" w:eastAsia="Arial Unicode MS" w:hAnsi="Calibri" w:cs="Calibri"/>
                <w:color w:val="4472C4" w:themeColor="accent5"/>
                <w:lang w:val="fr-FR"/>
              </w:rPr>
            </w:pPr>
            <w:r w:rsidRPr="006D78C5">
              <w:rPr>
                <w:rFonts w:ascii="Calibri" w:eastAsia="Arial Unicode MS" w:hAnsi="Calibri" w:cs="Calibri"/>
                <w:color w:val="4472C4" w:themeColor="accent5"/>
                <w:lang w:val="fr-FR"/>
              </w:rPr>
              <w:t xml:space="preserve">NA- </w:t>
            </w:r>
            <w:r w:rsidRPr="00857A90">
              <w:rPr>
                <w:rFonts w:ascii="Calibri" w:eastAsia="Arial Unicode MS" w:hAnsi="Calibri" w:cs="Calibri"/>
                <w:color w:val="4472C4" w:themeColor="accent5"/>
                <w:lang w:val="fr-FR"/>
              </w:rPr>
              <w:t>Les ateliers de f</w:t>
            </w:r>
            <w:r>
              <w:rPr>
                <w:rFonts w:ascii="Calibri" w:eastAsia="Arial Unicode MS" w:hAnsi="Calibri" w:cs="Calibri"/>
                <w:color w:val="4472C4" w:themeColor="accent5"/>
                <w:lang w:val="fr-FR"/>
              </w:rPr>
              <w:t>ormation seront organisés sur le Grand Tunis</w:t>
            </w:r>
          </w:p>
        </w:tc>
        <w:tc>
          <w:tcPr>
            <w:tcW w:w="1170" w:type="dxa"/>
            <w:gridSpan w:val="2"/>
            <w:tcBorders>
              <w:top w:val="single" w:sz="8" w:space="0" w:color="6D6D6D"/>
              <w:left w:val="single" w:sz="8" w:space="0" w:color="6D6D6D"/>
              <w:bottom w:val="single" w:sz="8" w:space="0" w:color="6D6D6D"/>
              <w:right w:val="single" w:sz="8" w:space="0" w:color="6D6D6D"/>
            </w:tcBorders>
            <w:shd w:val="clear" w:color="auto" w:fill="auto"/>
          </w:tcPr>
          <w:p w14:paraId="787E975D" w14:textId="77777777" w:rsidR="000B5D1E" w:rsidRPr="006D78C5" w:rsidRDefault="000B5D1E" w:rsidP="00B82993">
            <w:pPr>
              <w:spacing w:before="60" w:after="60" w:line="240" w:lineRule="auto"/>
              <w:jc w:val="center"/>
              <w:rPr>
                <w:rFonts w:ascii="Calibri" w:eastAsia="Arial Unicode MS" w:hAnsi="Calibri" w:cs="Calibri"/>
                <w:color w:val="auto"/>
                <w:lang w:val="fr-FR"/>
              </w:rPr>
            </w:pPr>
          </w:p>
        </w:tc>
      </w:tr>
      <w:tr w:rsidR="000B5D1E" w:rsidRPr="00EF186E" w14:paraId="41EB9C19" w14:textId="77777777" w:rsidTr="00B82993">
        <w:trPr>
          <w:gridAfter w:val="1"/>
          <w:wAfter w:w="324" w:type="dxa"/>
          <w:trHeight w:val="406"/>
        </w:trPr>
        <w:tc>
          <w:tcPr>
            <w:tcW w:w="49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2C976632" w14:textId="77777777" w:rsidR="000B5D1E" w:rsidRPr="0054592E" w:rsidRDefault="000B5D1E" w:rsidP="00B82993">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r>
              <w:rPr>
                <w:rFonts w:ascii="Calibri" w:eastAsia="Arial Unicode MS" w:hAnsi="Calibri" w:cs="Calibri"/>
                <w:b/>
                <w:color w:val="auto"/>
                <w:lang w:val="en-AU"/>
              </w:rPr>
              <w:t xml:space="preserve"> (110 H/J)</w:t>
            </w:r>
          </w:p>
        </w:tc>
        <w:tc>
          <w:tcPr>
            <w:tcW w:w="37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738499B" w14:textId="77777777" w:rsidR="000B5D1E" w:rsidRPr="007613B3" w:rsidRDefault="000B5D1E" w:rsidP="00B82993">
            <w:pPr>
              <w:spacing w:line="240" w:lineRule="auto"/>
              <w:ind w:left="12" w:hanging="12"/>
              <w:rPr>
                <w:rFonts w:ascii="Calibri" w:eastAsia="Arial Unicode MS" w:hAnsi="Calibri" w:cs="Calibri"/>
                <w:color w:val="auto"/>
                <w:lang w:val="en-AU"/>
              </w:rPr>
            </w:pPr>
          </w:p>
        </w:tc>
        <w:tc>
          <w:tcPr>
            <w:tcW w:w="1170"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56C970C" w14:textId="77777777" w:rsidR="000B5D1E" w:rsidRPr="00EF186E" w:rsidRDefault="000B5D1E" w:rsidP="00B82993">
            <w:pPr>
              <w:spacing w:before="60" w:after="60" w:line="240" w:lineRule="auto"/>
              <w:jc w:val="center"/>
              <w:rPr>
                <w:rFonts w:ascii="Calibri" w:eastAsia="Arial Unicode MS" w:hAnsi="Calibri" w:cs="Calibri"/>
                <w:b/>
                <w:bCs/>
                <w:color w:val="4472C4" w:themeColor="accent5"/>
                <w:lang w:val="en-AU"/>
              </w:rPr>
            </w:pPr>
          </w:p>
        </w:tc>
      </w:tr>
      <w:tr w:rsidR="000B5D1E" w:rsidRPr="007613B3" w14:paraId="1DC41264" w14:textId="77777777" w:rsidTr="00B82993">
        <w:trPr>
          <w:gridAfter w:val="2"/>
          <w:wAfter w:w="351" w:type="dxa"/>
          <w:trHeight w:val="401"/>
        </w:trPr>
        <w:tc>
          <w:tcPr>
            <w:tcW w:w="4940" w:type="dxa"/>
            <w:tcBorders>
              <w:top w:val="single" w:sz="4" w:space="0" w:color="auto"/>
              <w:left w:val="single" w:sz="4" w:space="0" w:color="auto"/>
              <w:bottom w:val="nil"/>
              <w:right w:val="single" w:sz="4" w:space="0" w:color="auto"/>
            </w:tcBorders>
            <w:shd w:val="clear" w:color="auto" w:fill="auto"/>
            <w:noWrap/>
            <w:hideMark/>
          </w:tcPr>
          <w:p w14:paraId="06D044C6" w14:textId="77777777" w:rsidR="000B5D1E" w:rsidRPr="007613B3" w:rsidRDefault="000B5D1E" w:rsidP="00B8299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4923" w:type="dxa"/>
            <w:gridSpan w:val="2"/>
            <w:tcBorders>
              <w:top w:val="single" w:sz="4" w:space="0" w:color="auto"/>
              <w:left w:val="single" w:sz="4" w:space="0" w:color="auto"/>
              <w:bottom w:val="nil"/>
              <w:right w:val="single" w:sz="4" w:space="0" w:color="auto"/>
            </w:tcBorders>
            <w:shd w:val="clear" w:color="auto" w:fill="auto"/>
            <w:noWrap/>
            <w:hideMark/>
          </w:tcPr>
          <w:p w14:paraId="7EEB23A9" w14:textId="77777777" w:rsidR="000B5D1E" w:rsidRPr="007613B3" w:rsidRDefault="000B5D1E" w:rsidP="00B8299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0B5D1E" w:rsidRPr="004B3215" w14:paraId="648AF86F" w14:textId="77777777" w:rsidTr="00B82993">
        <w:trPr>
          <w:gridAfter w:val="2"/>
          <w:wAfter w:w="351" w:type="dxa"/>
          <w:trHeight w:val="401"/>
        </w:trPr>
        <w:tc>
          <w:tcPr>
            <w:tcW w:w="4940" w:type="dxa"/>
            <w:tcBorders>
              <w:top w:val="nil"/>
              <w:left w:val="single" w:sz="4" w:space="0" w:color="auto"/>
              <w:bottom w:val="nil"/>
              <w:right w:val="single" w:sz="4" w:space="0" w:color="auto"/>
            </w:tcBorders>
            <w:shd w:val="clear" w:color="auto" w:fill="auto"/>
            <w:noWrap/>
          </w:tcPr>
          <w:p w14:paraId="060253E2" w14:textId="77777777" w:rsidR="000B5D1E" w:rsidRPr="00ED1C78" w:rsidRDefault="000B5D1E" w:rsidP="00B82993">
            <w:pPr>
              <w:spacing w:before="60" w:line="240" w:lineRule="auto"/>
              <w:rPr>
                <w:rFonts w:ascii="Calibri" w:eastAsia="Arial Unicode MS" w:hAnsi="Calibri" w:cs="Calibri"/>
                <w:color w:val="auto"/>
                <w:lang w:val="fr-FR"/>
              </w:rPr>
            </w:pPr>
            <w:r>
              <w:rPr>
                <w:rFonts w:ascii="Calibri" w:eastAsia="Arial Unicode MS" w:hAnsi="Calibri" w:cs="Calibri"/>
                <w:color w:val="auto"/>
                <w:shd w:val="clear" w:color="auto" w:fill="E6E6E6"/>
                <w:lang w:val="en-AU"/>
              </w:rPr>
              <w:fldChar w:fldCharType="begin">
                <w:ffData>
                  <w:name w:val="Check6"/>
                  <w:enabled/>
                  <w:calcOnExit w:val="0"/>
                  <w:checkBox>
                    <w:sizeAuto/>
                    <w:default w:val="0"/>
                  </w:checkBox>
                </w:ffData>
              </w:fldChar>
            </w:r>
            <w:r w:rsidRPr="00C717ED">
              <w:rPr>
                <w:rFonts w:ascii="Calibri" w:eastAsia="Arial Unicode MS" w:hAnsi="Calibri" w:cs="Calibri"/>
                <w:color w:val="auto"/>
                <w:lang w:val="fr-FR"/>
              </w:rPr>
              <w:instrText xml:space="preserve"> </w:instrText>
            </w:r>
            <w:bookmarkStart w:id="4" w:name="Check6"/>
            <w:r w:rsidRPr="00C717ED">
              <w:rPr>
                <w:rFonts w:ascii="Calibri" w:eastAsia="Arial Unicode MS" w:hAnsi="Calibri" w:cs="Calibri"/>
                <w:color w:val="auto"/>
                <w:lang w:val="fr-FR"/>
              </w:rPr>
              <w:instrText xml:space="preserve">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4"/>
            <w:r w:rsidRPr="00ED1C78">
              <w:rPr>
                <w:rFonts w:ascii="Calibri" w:eastAsia="Arial Unicode MS" w:hAnsi="Calibri" w:cs="Calibri"/>
                <w:color w:val="auto"/>
                <w:lang w:val="fr-FR"/>
              </w:rPr>
              <w:t xml:space="preserve"> Bachelors   </w:t>
            </w:r>
            <w:r>
              <w:rPr>
                <w:rFonts w:ascii="Calibri" w:eastAsia="Arial Unicode MS" w:hAnsi="Calibri" w:cs="Calibri"/>
                <w:color w:val="auto"/>
                <w:shd w:val="clear" w:color="auto" w:fill="E6E6E6"/>
                <w:lang w:val="en-AU"/>
              </w:rPr>
              <w:fldChar w:fldCharType="begin">
                <w:ffData>
                  <w:name w:val="Check7"/>
                  <w:enabled/>
                  <w:calcOnExit w:val="0"/>
                  <w:checkBox>
                    <w:sizeAuto/>
                    <w:default w:val="1"/>
                  </w:checkBox>
                </w:ffData>
              </w:fldChar>
            </w:r>
            <w:r w:rsidRPr="00C717ED">
              <w:rPr>
                <w:rFonts w:ascii="Calibri" w:eastAsia="Arial Unicode MS" w:hAnsi="Calibri" w:cs="Calibri"/>
                <w:color w:val="auto"/>
                <w:lang w:val="fr-FR"/>
              </w:rPr>
              <w:instrText xml:space="preserve"> </w:instrText>
            </w:r>
            <w:bookmarkStart w:id="5" w:name="Check7"/>
            <w:r w:rsidRPr="00C717ED">
              <w:rPr>
                <w:rFonts w:ascii="Calibri" w:eastAsia="Arial Unicode MS" w:hAnsi="Calibri" w:cs="Calibri"/>
                <w:color w:val="auto"/>
                <w:lang w:val="fr-FR"/>
              </w:rPr>
              <w:instrText xml:space="preserve">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5"/>
            <w:r w:rsidRPr="00ED1C78">
              <w:rPr>
                <w:rFonts w:ascii="Calibri" w:eastAsia="Arial Unicode MS" w:hAnsi="Calibri" w:cs="Calibri"/>
                <w:color w:val="auto"/>
                <w:lang w:val="fr-FR"/>
              </w:rPr>
              <w:t xml:space="preserve"> Masters   </w:t>
            </w:r>
            <w:r>
              <w:rPr>
                <w:rFonts w:ascii="Calibri" w:eastAsia="Arial Unicode MS" w:hAnsi="Calibri" w:cs="Calibri"/>
                <w:color w:val="auto"/>
                <w:shd w:val="clear" w:color="auto" w:fill="E6E6E6"/>
                <w:lang w:val="en-AU"/>
              </w:rPr>
              <w:fldChar w:fldCharType="begin">
                <w:ffData>
                  <w:name w:val="Check8"/>
                  <w:enabled/>
                  <w:calcOnExit w:val="0"/>
                  <w:checkBox>
                    <w:sizeAuto/>
                    <w:default w:val="1"/>
                  </w:checkBox>
                </w:ffData>
              </w:fldChar>
            </w:r>
            <w:bookmarkStart w:id="6" w:name="Check8"/>
            <w:r w:rsidRPr="00172EC6">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6"/>
            <w:r w:rsidRPr="00ED1C78">
              <w:rPr>
                <w:rFonts w:ascii="Calibri" w:eastAsia="Arial Unicode MS" w:hAnsi="Calibri" w:cs="Calibri"/>
                <w:color w:val="auto"/>
                <w:lang w:val="fr-FR"/>
              </w:rPr>
              <w:t xml:space="preserve"> PhD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ED1C78">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ED1C78">
              <w:rPr>
                <w:rFonts w:ascii="Calibri" w:eastAsia="Arial Unicode MS" w:hAnsi="Calibri" w:cs="Calibri"/>
                <w:color w:val="auto"/>
                <w:lang w:val="fr-FR"/>
              </w:rPr>
              <w:t xml:space="preserve"> Other  </w:t>
            </w:r>
          </w:p>
          <w:p w14:paraId="2258B881" w14:textId="77777777" w:rsidR="000B5D1E" w:rsidRPr="00ED1C78" w:rsidRDefault="000B5D1E" w:rsidP="00B82993">
            <w:pPr>
              <w:spacing w:before="60" w:line="240" w:lineRule="auto"/>
              <w:rPr>
                <w:rFonts w:ascii="Calibri" w:eastAsia="Arial Unicode MS" w:hAnsi="Calibri" w:cs="Calibri"/>
                <w:color w:val="auto"/>
                <w:lang w:val="fr-FR"/>
              </w:rPr>
            </w:pPr>
            <w:r w:rsidRPr="00ED1C78">
              <w:rPr>
                <w:rFonts w:ascii="Calibri" w:eastAsia="Arial Unicode MS" w:hAnsi="Calibri" w:cs="Calibri"/>
                <w:color w:val="auto"/>
                <w:lang w:val="fr-FR"/>
              </w:rPr>
              <w:t>Enter Disciplines</w:t>
            </w:r>
          </w:p>
          <w:p w14:paraId="40AAF791" w14:textId="77777777" w:rsidR="000B5D1E" w:rsidRDefault="000B5D1E" w:rsidP="00B82993">
            <w:pPr>
              <w:spacing w:before="60" w:line="240" w:lineRule="auto"/>
              <w:rPr>
                <w:rFonts w:ascii="Calibri" w:hAnsi="Calibri" w:cs="Calibri"/>
                <w:color w:val="4472C4" w:themeColor="accent5"/>
                <w:lang w:val="fr-FR"/>
              </w:rPr>
            </w:pPr>
            <w:r>
              <w:rPr>
                <w:rFonts w:ascii="Calibri" w:hAnsi="Calibri" w:cs="Calibri"/>
                <w:color w:val="4472C4" w:themeColor="accent5"/>
                <w:lang w:val="fr-FR"/>
              </w:rPr>
              <w:t>S</w:t>
            </w:r>
            <w:r w:rsidRPr="00EF186E">
              <w:rPr>
                <w:rFonts w:ascii="Calibri" w:hAnsi="Calibri" w:cs="Calibri"/>
                <w:color w:val="4472C4" w:themeColor="accent5"/>
                <w:lang w:val="fr-FR"/>
              </w:rPr>
              <w:t>ciences sociales et politiques, sciences économiques et développement, droits des enfants, etc.</w:t>
            </w:r>
          </w:p>
          <w:p w14:paraId="79E8532F" w14:textId="77777777" w:rsidR="000B5D1E" w:rsidRPr="00EF186E" w:rsidRDefault="000B5D1E" w:rsidP="00B82993">
            <w:pPr>
              <w:spacing w:before="60" w:line="240" w:lineRule="auto"/>
              <w:rPr>
                <w:rFonts w:ascii="Calibri" w:eastAsia="Arial Unicode MS" w:hAnsi="Calibri" w:cs="Calibri"/>
                <w:color w:val="auto"/>
                <w:sz w:val="4"/>
                <w:szCs w:val="4"/>
                <w:lang w:val="fr-FR"/>
              </w:rPr>
            </w:pPr>
          </w:p>
        </w:tc>
        <w:tc>
          <w:tcPr>
            <w:tcW w:w="4923" w:type="dxa"/>
            <w:gridSpan w:val="2"/>
            <w:tcBorders>
              <w:top w:val="nil"/>
              <w:left w:val="single" w:sz="4" w:space="0" w:color="auto"/>
              <w:bottom w:val="nil"/>
              <w:right w:val="single" w:sz="4" w:space="0" w:color="auto"/>
            </w:tcBorders>
            <w:shd w:val="clear" w:color="auto" w:fill="auto"/>
            <w:noWrap/>
          </w:tcPr>
          <w:p w14:paraId="60CC2649" w14:textId="77777777" w:rsidR="000B5D1E" w:rsidRDefault="000B5D1E" w:rsidP="00B82993">
            <w:pPr>
              <w:spacing w:line="300" w:lineRule="atLeast"/>
              <w:jc w:val="both"/>
              <w:rPr>
                <w:rFonts w:ascii="Calibri" w:hAnsi="Calibri" w:cs="Calibri"/>
                <w:color w:val="4472C4" w:themeColor="accent5"/>
                <w:lang w:val="fr-FR"/>
              </w:rPr>
            </w:pPr>
            <w:r>
              <w:rPr>
                <w:rFonts w:ascii="Calibri" w:hAnsi="Calibri" w:cs="Calibri"/>
                <w:color w:val="4472C4" w:themeColor="accent5"/>
                <w:lang w:val="fr-FR"/>
              </w:rPr>
              <w:t xml:space="preserve">Expériences en </w:t>
            </w:r>
            <w:r w:rsidRPr="00EF186E">
              <w:rPr>
                <w:rFonts w:ascii="Calibri" w:hAnsi="Calibri" w:cs="Calibri"/>
                <w:color w:val="4472C4" w:themeColor="accent5"/>
                <w:lang w:val="fr-FR"/>
              </w:rPr>
              <w:t>gestion</w:t>
            </w:r>
            <w:r>
              <w:rPr>
                <w:rFonts w:ascii="Calibri" w:hAnsi="Calibri" w:cs="Calibri"/>
                <w:color w:val="4472C4" w:themeColor="accent5"/>
                <w:lang w:val="fr-FR"/>
              </w:rPr>
              <w:t xml:space="preserve"> et </w:t>
            </w:r>
            <w:r w:rsidRPr="00EF186E">
              <w:rPr>
                <w:rFonts w:ascii="Calibri" w:hAnsi="Calibri" w:cs="Calibri"/>
                <w:color w:val="4472C4" w:themeColor="accent5"/>
                <w:lang w:val="fr-FR"/>
              </w:rPr>
              <w:t>analyse des finances publiques</w:t>
            </w:r>
            <w:r>
              <w:rPr>
                <w:rFonts w:ascii="Calibri" w:hAnsi="Calibri" w:cs="Calibri"/>
                <w:color w:val="4472C4" w:themeColor="accent5"/>
                <w:lang w:val="fr-FR"/>
              </w:rPr>
              <w:t xml:space="preserve">, la budgétisation sensible au genre, aux enfants ou aux jeunes, en gestion axée sur les résultats, etc. </w:t>
            </w:r>
          </w:p>
          <w:p w14:paraId="114022FD" w14:textId="68251CE6" w:rsidR="000B5D1E" w:rsidRPr="000B5D1E" w:rsidRDefault="000B5D1E" w:rsidP="000B5D1E">
            <w:pPr>
              <w:spacing w:line="300" w:lineRule="atLeast"/>
              <w:jc w:val="both"/>
              <w:rPr>
                <w:rFonts w:ascii="Calibri" w:hAnsi="Calibri" w:cs="Calibri"/>
                <w:color w:val="4472C4" w:themeColor="accent5"/>
                <w:lang w:val="fr-FR"/>
              </w:rPr>
            </w:pPr>
            <w:r w:rsidRPr="00EF186E">
              <w:rPr>
                <w:rFonts w:ascii="Calibri" w:hAnsi="Calibri" w:cs="Calibri"/>
                <w:color w:val="4472C4" w:themeColor="accent5"/>
                <w:lang w:val="fr-FR"/>
              </w:rPr>
              <w:t xml:space="preserve"> Compétences et expérience en analyses et outils de la gestion axée sur les résultats, notamment les techniques de planification et de budgétisation</w:t>
            </w:r>
            <w:r>
              <w:rPr>
                <w:rFonts w:ascii="Calibri" w:hAnsi="Calibri" w:cs="Calibri"/>
                <w:color w:val="4472C4" w:themeColor="accent5"/>
                <w:lang w:val="fr-FR"/>
              </w:rPr>
              <w:t>.</w:t>
            </w:r>
          </w:p>
        </w:tc>
      </w:tr>
      <w:tr w:rsidR="000B5D1E" w:rsidRPr="00D9215E" w14:paraId="094DD29D" w14:textId="77777777" w:rsidTr="00B82993">
        <w:trPr>
          <w:gridAfter w:val="2"/>
          <w:wAfter w:w="351" w:type="dxa"/>
          <w:trHeight w:val="153"/>
        </w:trPr>
        <w:tc>
          <w:tcPr>
            <w:tcW w:w="9863" w:type="dxa"/>
            <w:gridSpan w:val="3"/>
            <w:tcBorders>
              <w:top w:val="nil"/>
            </w:tcBorders>
            <w:shd w:val="clear" w:color="auto" w:fill="auto"/>
            <w:noWrap/>
          </w:tcPr>
          <w:p w14:paraId="4269A0D4" w14:textId="77777777" w:rsidR="000B5D1E" w:rsidRDefault="00000000" w:rsidP="00B82993">
            <w:pPr>
              <w:spacing w:before="60" w:line="240" w:lineRule="auto"/>
              <w:rPr>
                <w:rStyle w:val="Hyperlink"/>
                <w:rFonts w:ascii="Calibri" w:eastAsia="Arial Unicode MS" w:hAnsi="Calibri" w:cs="Calibri"/>
                <w:b/>
                <w:bCs/>
                <w:lang w:val="en-AU"/>
              </w:rPr>
            </w:pPr>
            <w:hyperlink r:id="rId16">
              <w:r w:rsidR="000B5D1E" w:rsidRPr="36894E2A">
                <w:rPr>
                  <w:rStyle w:val="Hyperlink"/>
                  <w:rFonts w:ascii="Calibri" w:eastAsia="Arial Unicode MS" w:hAnsi="Calibri" w:cs="Calibri"/>
                  <w:b/>
                  <w:bCs/>
                  <w:lang w:val="en-AU"/>
                </w:rPr>
                <w:t>Competitive Selection Criteria</w:t>
              </w:r>
            </w:hyperlink>
            <w:r w:rsidR="000B5D1E" w:rsidRPr="36894E2A">
              <w:rPr>
                <w:rFonts w:ascii="Calibri" w:eastAsia="Arial Unicode MS" w:hAnsi="Calibri" w:cs="Calibri"/>
                <w:b/>
                <w:bCs/>
                <w:color w:val="auto"/>
                <w:lang w:val="en-AU"/>
              </w:rPr>
              <w:t xml:space="preserve"> (for clarification see </w:t>
            </w:r>
            <w:hyperlink r:id="rId17">
              <w:r w:rsidR="000B5D1E" w:rsidRPr="36894E2A">
                <w:rPr>
                  <w:rStyle w:val="Hyperlink"/>
                  <w:rFonts w:ascii="Calibri" w:eastAsia="Arial Unicode MS" w:hAnsi="Calibri" w:cs="Calibri"/>
                  <w:b/>
                  <w:bCs/>
                  <w:lang w:val="en-AU"/>
                </w:rPr>
                <w:t>Guidance)</w:t>
              </w:r>
            </w:hyperlink>
          </w:p>
          <w:tbl>
            <w:tblPr>
              <w:tblStyle w:val="TableGrid"/>
              <w:tblW w:w="0" w:type="auto"/>
              <w:tblLayout w:type="fixed"/>
              <w:tblLook w:val="04A0" w:firstRow="1" w:lastRow="0" w:firstColumn="1" w:lastColumn="0" w:noHBand="0" w:noVBand="1"/>
            </w:tblPr>
            <w:tblGrid>
              <w:gridCol w:w="4818"/>
              <w:gridCol w:w="4819"/>
            </w:tblGrid>
            <w:tr w:rsidR="000B5D1E" w:rsidRPr="00CB3017" w14:paraId="3D915859" w14:textId="77777777" w:rsidTr="00B82993">
              <w:tc>
                <w:tcPr>
                  <w:tcW w:w="4818" w:type="dxa"/>
                  <w:shd w:val="clear" w:color="auto" w:fill="D9E2F3" w:themeFill="accent5" w:themeFillTint="33"/>
                </w:tcPr>
                <w:p w14:paraId="16EECB60" w14:textId="4C9B195E" w:rsidR="000B5D1E" w:rsidRPr="00EF186E" w:rsidRDefault="000B5D1E" w:rsidP="004B3215">
                  <w:pPr>
                    <w:framePr w:hSpace="180" w:wrap="around" w:vAnchor="page" w:hAnchor="margin" w:y="1531"/>
                    <w:spacing w:before="60" w:line="240" w:lineRule="auto"/>
                    <w:rPr>
                      <w:rFonts w:ascii="Calibri" w:hAnsi="Calibri" w:cs="Calibri"/>
                      <w:b/>
                      <w:bCs/>
                      <w:lang w:val="en-AU"/>
                    </w:rPr>
                  </w:pPr>
                  <w:r w:rsidRPr="00EF186E">
                    <w:rPr>
                      <w:rFonts w:ascii="Calibri" w:hAnsi="Calibri" w:cs="Calibri"/>
                      <w:b/>
                      <w:bCs/>
                      <w:lang w:val="en-AU"/>
                    </w:rPr>
                    <w:t xml:space="preserve">A) </w:t>
                  </w:r>
                  <w:r w:rsidRPr="00EF186E">
                    <w:rPr>
                      <w:rFonts w:ascii="Calibri" w:eastAsia="Arial Unicode MS" w:hAnsi="Calibri" w:cs="Calibri"/>
                      <w:b/>
                      <w:bCs/>
                      <w:color w:val="auto"/>
                      <w:lang w:val="en-AU"/>
                    </w:rPr>
                    <w:t xml:space="preserve"> Technical Evaluation (maximum 75 Points)  </w:t>
                  </w:r>
                </w:p>
              </w:tc>
              <w:tc>
                <w:tcPr>
                  <w:tcW w:w="4819" w:type="dxa"/>
                  <w:shd w:val="clear" w:color="auto" w:fill="D9E2F3" w:themeFill="accent5" w:themeFillTint="33"/>
                </w:tcPr>
                <w:p w14:paraId="61FCE2B0" w14:textId="77777777" w:rsidR="000B5D1E" w:rsidRPr="00EF186E" w:rsidRDefault="000B5D1E" w:rsidP="004B3215">
                  <w:pPr>
                    <w:framePr w:hSpace="180" w:wrap="around" w:vAnchor="page" w:hAnchor="margin" w:y="1531"/>
                    <w:spacing w:before="60" w:line="240" w:lineRule="auto"/>
                    <w:rPr>
                      <w:rFonts w:ascii="Calibri" w:hAnsi="Calibri" w:cs="Calibri"/>
                      <w:b/>
                      <w:bCs/>
                    </w:rPr>
                  </w:pPr>
                  <w:r w:rsidRPr="00EF186E">
                    <w:rPr>
                      <w:rFonts w:ascii="Calibri" w:eastAsia="Arial Unicode MS" w:hAnsi="Calibri" w:cs="Calibri"/>
                      <w:b/>
                      <w:bCs/>
                      <w:color w:val="auto"/>
                      <w:lang w:val="en-AU"/>
                    </w:rPr>
                    <w:t>B) Financial Proposal (maximum of 25 Points)</w:t>
                  </w:r>
                </w:p>
              </w:tc>
            </w:tr>
            <w:tr w:rsidR="000B5D1E" w:rsidRPr="004B3215" w14:paraId="3DAB72DB" w14:textId="77777777" w:rsidTr="00B82993">
              <w:tc>
                <w:tcPr>
                  <w:tcW w:w="4818" w:type="dxa"/>
                </w:tcPr>
                <w:p w14:paraId="0BF72314" w14:textId="3CB0812D" w:rsidR="000B5D1E" w:rsidRPr="00EF186E" w:rsidRDefault="000B5D1E" w:rsidP="004B3215">
                  <w:pPr>
                    <w:pStyle w:val="ListParagraph"/>
                    <w:framePr w:hSpace="180" w:wrap="around" w:vAnchor="page" w:hAnchor="margin" w:y="1531"/>
                    <w:numPr>
                      <w:ilvl w:val="0"/>
                      <w:numId w:val="6"/>
                    </w:numPr>
                    <w:spacing w:before="60" w:line="240" w:lineRule="auto"/>
                    <w:jc w:val="both"/>
                    <w:rPr>
                      <w:rFonts w:ascii="Calibri" w:hAnsi="Calibri" w:cs="Calibri"/>
                      <w:color w:val="4472C4" w:themeColor="accent5"/>
                      <w:lang w:val="fr-FR"/>
                    </w:rPr>
                  </w:pPr>
                  <w:r w:rsidRPr="00EF186E">
                    <w:rPr>
                      <w:rFonts w:ascii="Calibri" w:hAnsi="Calibri" w:cs="Calibri"/>
                      <w:b/>
                      <w:bCs/>
                      <w:color w:val="4472C4" w:themeColor="accent5"/>
                      <w:lang w:val="fr-FR"/>
                    </w:rPr>
                    <w:t xml:space="preserve">Education : </w:t>
                  </w:r>
                  <w:r w:rsidRPr="00EF186E">
                    <w:rPr>
                      <w:rFonts w:ascii="Calibri" w:hAnsi="Calibri" w:cs="Calibri"/>
                      <w:color w:val="4472C4" w:themeColor="accent5"/>
                      <w:lang w:val="fr-FR"/>
                    </w:rPr>
                    <w:t xml:space="preserve">sciences économiques et développement, droits des enfants, etc. </w:t>
                  </w:r>
                  <w:r w:rsidRPr="00451787">
                    <w:rPr>
                      <w:rFonts w:ascii="Calibri" w:hAnsi="Calibri" w:cs="Calibri"/>
                      <w:color w:val="4472C4" w:themeColor="accent5"/>
                      <w:lang w:val="fr-FR"/>
                    </w:rPr>
                    <w:t>Un diplôme de doctorat est un atout.</w:t>
                  </w:r>
                  <w:r w:rsidR="00580551">
                    <w:rPr>
                      <w:rFonts w:ascii="Calibri" w:hAnsi="Calibri" w:cs="Calibri"/>
                      <w:color w:val="4472C4" w:themeColor="accent5"/>
                      <w:lang w:val="fr-FR"/>
                    </w:rPr>
                    <w:t xml:space="preserve"> (Score : </w:t>
                  </w:r>
                  <w:r w:rsidR="007D2B45">
                    <w:rPr>
                      <w:rFonts w:ascii="Calibri" w:hAnsi="Calibri" w:cs="Calibri"/>
                      <w:color w:val="4472C4" w:themeColor="accent5"/>
                      <w:lang w:val="fr-FR"/>
                    </w:rPr>
                    <w:t>10 pts)</w:t>
                  </w:r>
                </w:p>
              </w:tc>
              <w:tc>
                <w:tcPr>
                  <w:tcW w:w="4819" w:type="dxa"/>
                  <w:vMerge w:val="restart"/>
                </w:tcPr>
                <w:p w14:paraId="23097A74" w14:textId="6539DD40" w:rsidR="000B5D1E" w:rsidRPr="00EF186E" w:rsidRDefault="000B5D1E" w:rsidP="004B3215">
                  <w:pPr>
                    <w:framePr w:hSpace="180" w:wrap="around" w:vAnchor="page" w:hAnchor="margin" w:y="1531"/>
                    <w:spacing w:before="60" w:line="240" w:lineRule="auto"/>
                    <w:rPr>
                      <w:rFonts w:ascii="Calibri" w:eastAsia="Arial Unicode MS" w:hAnsi="Calibri" w:cs="Calibri"/>
                      <w:color w:val="auto"/>
                      <w:lang w:val="fr-FR"/>
                    </w:rPr>
                  </w:pPr>
                  <w:r w:rsidRPr="00EF186E">
                    <w:rPr>
                      <w:rFonts w:ascii="Calibri" w:eastAsia="Arial Unicode MS" w:hAnsi="Calibri" w:cs="Calibri"/>
                      <w:color w:val="4472C4" w:themeColor="accent5"/>
                      <w:lang w:val="fr-FR"/>
                    </w:rPr>
                    <w:t>Pas de critères spécifiques</w:t>
                  </w:r>
                  <w:r w:rsidR="00580551">
                    <w:rPr>
                      <w:rFonts w:ascii="Calibri" w:eastAsia="Arial Unicode MS" w:hAnsi="Calibri" w:cs="Calibri"/>
                      <w:color w:val="4472C4" w:themeColor="accent5"/>
                      <w:lang w:val="fr-FR"/>
                    </w:rPr>
                    <w:t xml:space="preserve"> (25pts)</w:t>
                  </w:r>
                </w:p>
              </w:tc>
            </w:tr>
            <w:tr w:rsidR="000B5D1E" w:rsidRPr="00D9215E" w14:paraId="64F589E8" w14:textId="77777777" w:rsidTr="00B82993">
              <w:trPr>
                <w:trHeight w:val="1313"/>
              </w:trPr>
              <w:tc>
                <w:tcPr>
                  <w:tcW w:w="4818" w:type="dxa"/>
                </w:tcPr>
                <w:p w14:paraId="756216AB" w14:textId="77777777" w:rsidR="000B5D1E" w:rsidRPr="00FE45BF" w:rsidRDefault="000B5D1E" w:rsidP="004B3215">
                  <w:pPr>
                    <w:pStyle w:val="ListParagraph"/>
                    <w:framePr w:hSpace="180" w:wrap="around" w:vAnchor="page" w:hAnchor="margin" w:y="1531"/>
                    <w:numPr>
                      <w:ilvl w:val="0"/>
                      <w:numId w:val="6"/>
                    </w:numPr>
                    <w:spacing w:before="60" w:line="240" w:lineRule="auto"/>
                    <w:jc w:val="both"/>
                    <w:rPr>
                      <w:lang w:val="fr-FR"/>
                    </w:rPr>
                  </w:pPr>
                  <w:r w:rsidRPr="00FE45BF">
                    <w:rPr>
                      <w:rFonts w:ascii="Calibri" w:hAnsi="Calibri" w:cs="Calibri"/>
                      <w:b/>
                      <w:bCs/>
                      <w:color w:val="4472C4" w:themeColor="accent5"/>
                      <w:lang w:val="fr-FR"/>
                    </w:rPr>
                    <w:t>Expérience Professionnelle :</w:t>
                  </w:r>
                  <w:r w:rsidRPr="00FE45BF">
                    <w:rPr>
                      <w:rFonts w:ascii="Calibri" w:hAnsi="Calibri" w:cs="Calibri"/>
                      <w:color w:val="4472C4" w:themeColor="accent5"/>
                      <w:lang w:val="fr-FR"/>
                    </w:rPr>
                    <w:t xml:space="preserve"> </w:t>
                  </w:r>
                  <w:r w:rsidRPr="00FE45BF">
                    <w:rPr>
                      <w:color w:val="4472C4" w:themeColor="accent5"/>
                      <w:lang w:val="fr-FR"/>
                    </w:rPr>
                    <w:t xml:space="preserve"> </w:t>
                  </w:r>
                  <w:r w:rsidRPr="00FE45BF">
                    <w:rPr>
                      <w:lang w:val="fr-FR"/>
                    </w:rPr>
                    <w:t xml:space="preserve">  </w:t>
                  </w:r>
                  <w:r w:rsidRPr="00FE45BF">
                    <w:rPr>
                      <w:rFonts w:ascii="Calibri" w:hAnsi="Calibri" w:cs="Calibri"/>
                      <w:b/>
                      <w:bCs/>
                      <w:color w:val="4472C4" w:themeColor="accent5"/>
                      <w:lang w:val="fr-FR"/>
                    </w:rPr>
                    <w:t>Expérience de travail pertinente avérée dans la gestion et l’analyse des finances publiques, notamment :</w:t>
                  </w:r>
                </w:p>
                <w:p w14:paraId="4F0C9987" w14:textId="37341FEC" w:rsidR="000B5D1E" w:rsidRPr="00EF186E" w:rsidRDefault="000B5D1E" w:rsidP="004B3215">
                  <w:pPr>
                    <w:pStyle w:val="ListParagraph"/>
                    <w:framePr w:hSpace="180" w:wrap="around" w:vAnchor="page" w:hAnchor="margin" w:y="1531"/>
                    <w:spacing w:before="60" w:line="240" w:lineRule="auto"/>
                    <w:ind w:left="360"/>
                    <w:jc w:val="both"/>
                    <w:rPr>
                      <w:lang w:val="fr-FR"/>
                    </w:rPr>
                  </w:pPr>
                  <w:r w:rsidRPr="00FE45BF">
                    <w:rPr>
                      <w:rFonts w:asciiTheme="minorHAnsi" w:hAnsiTheme="minorHAnsi" w:cstheme="minorHAnsi"/>
                      <w:color w:val="4472C4" w:themeColor="accent5"/>
                      <w:lang w:val="fr-FR"/>
                    </w:rPr>
                    <w:t xml:space="preserve"> Une maitrise et une bonne connaissance des différentes initiatives BSG et BSE et leur implémentation au niveau international et national.</w:t>
                  </w:r>
                  <w:r w:rsidR="00E62D45">
                    <w:rPr>
                      <w:rFonts w:asciiTheme="minorHAnsi" w:hAnsiTheme="minorHAnsi" w:cstheme="minorHAnsi"/>
                      <w:color w:val="4472C4" w:themeColor="accent5"/>
                      <w:lang w:val="fr-FR"/>
                    </w:rPr>
                    <w:t xml:space="preserve"> (Score : 20 pts)</w:t>
                  </w:r>
                </w:p>
              </w:tc>
              <w:tc>
                <w:tcPr>
                  <w:tcW w:w="4819" w:type="dxa"/>
                  <w:vMerge/>
                </w:tcPr>
                <w:p w14:paraId="316AB02D" w14:textId="77777777" w:rsidR="000B5D1E" w:rsidRPr="00F813EA" w:rsidRDefault="000B5D1E" w:rsidP="004B3215">
                  <w:pPr>
                    <w:framePr w:hSpace="180" w:wrap="around" w:vAnchor="page" w:hAnchor="margin" w:y="1531"/>
                    <w:spacing w:before="60" w:line="240" w:lineRule="auto"/>
                    <w:rPr>
                      <w:rFonts w:ascii="Calibri" w:hAnsi="Calibri" w:cs="Calibri"/>
                      <w:lang w:val="fr-FR"/>
                    </w:rPr>
                  </w:pPr>
                </w:p>
              </w:tc>
            </w:tr>
            <w:tr w:rsidR="000B5D1E" w:rsidRPr="004B3215" w14:paraId="6CC99933" w14:textId="77777777" w:rsidTr="00B82993">
              <w:tc>
                <w:tcPr>
                  <w:tcW w:w="4818" w:type="dxa"/>
                </w:tcPr>
                <w:p w14:paraId="3AB88823" w14:textId="5E4CADBB" w:rsidR="000B5D1E" w:rsidRPr="00EF186E" w:rsidRDefault="008F7DB9" w:rsidP="004B3215">
                  <w:pPr>
                    <w:pStyle w:val="ListParagraph"/>
                    <w:framePr w:hSpace="180" w:wrap="around" w:vAnchor="page" w:hAnchor="margin" w:y="1531"/>
                    <w:numPr>
                      <w:ilvl w:val="0"/>
                      <w:numId w:val="6"/>
                    </w:numPr>
                    <w:spacing w:before="60" w:line="240" w:lineRule="auto"/>
                    <w:jc w:val="both"/>
                    <w:rPr>
                      <w:rFonts w:ascii="Calibri" w:hAnsi="Calibri" w:cs="Calibri"/>
                      <w:b/>
                      <w:bCs/>
                      <w:color w:val="4472C4" w:themeColor="accent5"/>
                      <w:lang w:val="fr-FR"/>
                    </w:rPr>
                  </w:pPr>
                  <w:r>
                    <w:rPr>
                      <w:rFonts w:ascii="Calibri" w:hAnsi="Calibri" w:cs="Calibri"/>
                      <w:color w:val="4472C4" w:themeColor="accent5"/>
                      <w:lang w:val="fr-FR"/>
                    </w:rPr>
                    <w:t>C</w:t>
                  </w:r>
                  <w:r w:rsidR="000B5D1E" w:rsidRPr="00EF186E">
                    <w:rPr>
                      <w:rFonts w:ascii="Calibri" w:hAnsi="Calibri" w:cs="Calibri"/>
                      <w:color w:val="4472C4" w:themeColor="accent5"/>
                      <w:lang w:val="fr-FR"/>
                    </w:rPr>
                    <w:t>ompétences et expérience</w:t>
                  </w:r>
                  <w:r w:rsidR="000B5D1E" w:rsidRPr="00EF186E">
                    <w:rPr>
                      <w:rFonts w:ascii="Calibri" w:hAnsi="Calibri" w:cs="Calibri"/>
                      <w:b/>
                      <w:bCs/>
                      <w:color w:val="4472C4" w:themeColor="accent5"/>
                      <w:lang w:val="fr-FR"/>
                    </w:rPr>
                    <w:t xml:space="preserve"> </w:t>
                  </w:r>
                  <w:r>
                    <w:rPr>
                      <w:rFonts w:ascii="Calibri" w:hAnsi="Calibri" w:cs="Calibri"/>
                      <w:b/>
                      <w:bCs/>
                      <w:color w:val="4472C4" w:themeColor="accent5"/>
                      <w:lang w:val="fr-FR"/>
                    </w:rPr>
                    <w:t xml:space="preserve">avérées </w:t>
                  </w:r>
                  <w:r w:rsidR="000B5D1E" w:rsidRPr="00EF186E">
                    <w:rPr>
                      <w:rFonts w:ascii="Calibri" w:hAnsi="Calibri" w:cs="Calibri"/>
                      <w:b/>
                      <w:bCs/>
                      <w:color w:val="4472C4" w:themeColor="accent5"/>
                      <w:lang w:val="fr-FR"/>
                    </w:rPr>
                    <w:t xml:space="preserve">en analyses et outils de la gestion axée sur les résultats, </w:t>
                  </w:r>
                  <w:r w:rsidR="000B5D1E" w:rsidRPr="00EF186E">
                    <w:rPr>
                      <w:rFonts w:ascii="Calibri" w:hAnsi="Calibri" w:cs="Calibri"/>
                      <w:color w:val="4472C4" w:themeColor="accent5"/>
                      <w:lang w:val="fr-FR"/>
                    </w:rPr>
                    <w:t xml:space="preserve">notamment </w:t>
                  </w:r>
                  <w:r w:rsidR="000B5D1E" w:rsidRPr="00EF186E">
                    <w:rPr>
                      <w:rFonts w:ascii="Calibri" w:hAnsi="Calibri" w:cs="Calibri"/>
                      <w:b/>
                      <w:bCs/>
                      <w:color w:val="4472C4" w:themeColor="accent5"/>
                      <w:lang w:val="fr-FR"/>
                    </w:rPr>
                    <w:t>les techniques de planification et de budgétisation</w:t>
                  </w:r>
                  <w:r w:rsidR="00E85D3A">
                    <w:rPr>
                      <w:rFonts w:ascii="Calibri" w:hAnsi="Calibri" w:cs="Calibri"/>
                      <w:b/>
                      <w:bCs/>
                      <w:color w:val="4472C4" w:themeColor="accent5"/>
                      <w:lang w:val="fr-FR"/>
                    </w:rPr>
                    <w:t xml:space="preserve"> </w:t>
                  </w:r>
                  <w:r w:rsidR="00E85D3A" w:rsidRPr="00E85D3A">
                    <w:rPr>
                      <w:rFonts w:ascii="Calibri" w:hAnsi="Calibri" w:cs="Calibri"/>
                      <w:color w:val="4472C4" w:themeColor="accent5"/>
                      <w:lang w:val="fr-FR"/>
                    </w:rPr>
                    <w:t>(score : 10 pts)</w:t>
                  </w:r>
                </w:p>
              </w:tc>
              <w:tc>
                <w:tcPr>
                  <w:tcW w:w="4819" w:type="dxa"/>
                  <w:vMerge/>
                </w:tcPr>
                <w:p w14:paraId="544B6E0C" w14:textId="77777777" w:rsidR="000B5D1E" w:rsidRPr="00F813EA" w:rsidRDefault="000B5D1E" w:rsidP="004B3215">
                  <w:pPr>
                    <w:framePr w:hSpace="180" w:wrap="around" w:vAnchor="page" w:hAnchor="margin" w:y="1531"/>
                    <w:spacing w:before="60" w:line="240" w:lineRule="auto"/>
                    <w:rPr>
                      <w:rFonts w:ascii="Calibri" w:hAnsi="Calibri" w:cs="Calibri"/>
                      <w:lang w:val="fr-FR"/>
                    </w:rPr>
                  </w:pPr>
                </w:p>
              </w:tc>
            </w:tr>
            <w:tr w:rsidR="000B5D1E" w:rsidRPr="00D9215E" w14:paraId="1647583B" w14:textId="77777777" w:rsidTr="00B82993">
              <w:tc>
                <w:tcPr>
                  <w:tcW w:w="4818" w:type="dxa"/>
                </w:tcPr>
                <w:p w14:paraId="0D072760" w14:textId="6D2A4F76" w:rsidR="000B5D1E" w:rsidRPr="00BC0D7B" w:rsidRDefault="004542B8" w:rsidP="004B3215">
                  <w:pPr>
                    <w:pStyle w:val="ListParagraph"/>
                    <w:framePr w:hSpace="180" w:wrap="around" w:vAnchor="page" w:hAnchor="margin" w:y="1531"/>
                    <w:numPr>
                      <w:ilvl w:val="0"/>
                      <w:numId w:val="6"/>
                    </w:numPr>
                    <w:spacing w:line="240" w:lineRule="auto"/>
                    <w:jc w:val="both"/>
                    <w:rPr>
                      <w:rFonts w:ascii="Calibri" w:hAnsi="Calibri" w:cs="Calibri"/>
                      <w:color w:val="4472C4" w:themeColor="accent5"/>
                      <w:lang w:val="fr-FR"/>
                    </w:rPr>
                  </w:pPr>
                  <w:r w:rsidRPr="00451787">
                    <w:rPr>
                      <w:rFonts w:ascii="Calibri" w:hAnsi="Calibri" w:cs="Calibri"/>
                      <w:color w:val="4472C4" w:themeColor="accent5"/>
                      <w:lang w:val="fr-FR"/>
                    </w:rPr>
                    <w:t>Connaissance</w:t>
                  </w:r>
                  <w:r w:rsidR="000B5D1E" w:rsidRPr="00451787">
                    <w:rPr>
                      <w:rFonts w:ascii="Calibri" w:hAnsi="Calibri" w:cs="Calibri"/>
                      <w:color w:val="4472C4" w:themeColor="accent5"/>
                      <w:lang w:val="fr-FR"/>
                    </w:rPr>
                    <w:t xml:space="preserve"> et compréhension </w:t>
                  </w:r>
                  <w:r w:rsidR="008F7DB9">
                    <w:rPr>
                      <w:rFonts w:ascii="Calibri" w:hAnsi="Calibri" w:cs="Calibri"/>
                      <w:color w:val="4472C4" w:themeColor="accent5"/>
                      <w:lang w:val="fr-FR"/>
                    </w:rPr>
                    <w:t xml:space="preserve">avérées </w:t>
                  </w:r>
                  <w:r w:rsidR="000B5D1E" w:rsidRPr="00451787">
                    <w:rPr>
                      <w:rFonts w:ascii="Calibri" w:hAnsi="Calibri" w:cs="Calibri"/>
                      <w:color w:val="4472C4" w:themeColor="accent5"/>
                      <w:lang w:val="fr-FR"/>
                    </w:rPr>
                    <w:t xml:space="preserve">des </w:t>
                  </w:r>
                  <w:r w:rsidR="000B5D1E" w:rsidRPr="00451787">
                    <w:rPr>
                      <w:rFonts w:ascii="Calibri" w:hAnsi="Calibri" w:cs="Calibri"/>
                      <w:b/>
                      <w:bCs/>
                      <w:color w:val="4472C4" w:themeColor="accent5"/>
                      <w:lang w:val="fr-FR"/>
                    </w:rPr>
                    <w:t>dispositions de la loi organique du budget et des textes d’application</w:t>
                  </w:r>
                  <w:r w:rsidR="000B5D1E" w:rsidRPr="00451787">
                    <w:rPr>
                      <w:rFonts w:ascii="Calibri" w:hAnsi="Calibri" w:cs="Calibri"/>
                      <w:color w:val="4472C4" w:themeColor="accent5"/>
                      <w:lang w:val="fr-FR"/>
                    </w:rPr>
                    <w:t xml:space="preserve"> régissant le budget de l’Etat ainsi que du contexte et de l’administration tunisienne en matière de la gestion de budget par objectif et en matière de la BSG et BSE.</w:t>
                  </w:r>
                  <w:r w:rsidR="00BC0D7B">
                    <w:rPr>
                      <w:rFonts w:ascii="Calibri" w:hAnsi="Calibri" w:cs="Calibri"/>
                      <w:color w:val="4472C4" w:themeColor="accent5"/>
                      <w:lang w:val="fr-FR"/>
                    </w:rPr>
                    <w:t xml:space="preserve"> </w:t>
                  </w:r>
                  <w:r w:rsidR="00BC0D7B" w:rsidRPr="00BC0D7B">
                    <w:rPr>
                      <w:rFonts w:ascii="Calibri" w:hAnsi="Calibri" w:cs="Calibri"/>
                      <w:color w:val="4472C4" w:themeColor="accent5"/>
                      <w:lang w:val="fr-FR"/>
                    </w:rPr>
                    <w:t xml:space="preserve">(Score : </w:t>
                  </w:r>
                  <w:r w:rsidR="007D2B45">
                    <w:rPr>
                      <w:rFonts w:ascii="Calibri" w:hAnsi="Calibri" w:cs="Calibri"/>
                      <w:color w:val="4472C4" w:themeColor="accent5"/>
                      <w:lang w:val="fr-FR"/>
                    </w:rPr>
                    <w:t>2</w:t>
                  </w:r>
                  <w:r w:rsidR="00BC0D7B" w:rsidRPr="00BC0D7B">
                    <w:rPr>
                      <w:rFonts w:ascii="Calibri" w:hAnsi="Calibri" w:cs="Calibri"/>
                      <w:color w:val="4472C4" w:themeColor="accent5"/>
                      <w:lang w:val="fr-FR"/>
                    </w:rPr>
                    <w:t>0 pts)</w:t>
                  </w:r>
                </w:p>
              </w:tc>
              <w:tc>
                <w:tcPr>
                  <w:tcW w:w="4819" w:type="dxa"/>
                  <w:vMerge/>
                </w:tcPr>
                <w:p w14:paraId="667E4C70" w14:textId="77777777" w:rsidR="000B5D1E" w:rsidRPr="00FE2A80" w:rsidRDefault="000B5D1E" w:rsidP="004B3215">
                  <w:pPr>
                    <w:framePr w:hSpace="180" w:wrap="around" w:vAnchor="page" w:hAnchor="margin" w:y="1531"/>
                    <w:spacing w:before="60" w:line="240" w:lineRule="auto"/>
                    <w:rPr>
                      <w:rFonts w:ascii="Calibri" w:hAnsi="Calibri" w:cs="Calibri"/>
                      <w:color w:val="4472C4" w:themeColor="accent5"/>
                      <w:lang w:val="fr-FR"/>
                    </w:rPr>
                  </w:pPr>
                </w:p>
              </w:tc>
            </w:tr>
            <w:tr w:rsidR="000B5D1E" w:rsidRPr="00D9215E" w14:paraId="36EF61C9" w14:textId="77777777" w:rsidTr="00B82993">
              <w:tc>
                <w:tcPr>
                  <w:tcW w:w="4818" w:type="dxa"/>
                </w:tcPr>
                <w:p w14:paraId="4A10865B" w14:textId="3010E522" w:rsidR="000B5D1E" w:rsidRPr="00451787" w:rsidRDefault="000B5D1E" w:rsidP="004B3215">
                  <w:pPr>
                    <w:pStyle w:val="ListParagraph"/>
                    <w:framePr w:hSpace="180" w:wrap="around" w:vAnchor="page" w:hAnchor="margin" w:y="1531"/>
                    <w:numPr>
                      <w:ilvl w:val="0"/>
                      <w:numId w:val="6"/>
                    </w:numPr>
                    <w:spacing w:line="240" w:lineRule="auto"/>
                    <w:jc w:val="both"/>
                    <w:rPr>
                      <w:rFonts w:asciiTheme="majorBidi" w:eastAsia="Times New Roman" w:hAnsiTheme="majorBidi" w:cstheme="majorBidi"/>
                      <w:sz w:val="24"/>
                      <w:szCs w:val="24"/>
                      <w:lang w:val="fr-FR"/>
                    </w:rPr>
                  </w:pPr>
                  <w:r w:rsidRPr="00451787">
                    <w:rPr>
                      <w:rFonts w:ascii="Calibri" w:hAnsi="Calibri" w:cs="Calibri"/>
                      <w:b/>
                      <w:bCs/>
                      <w:color w:val="4472C4" w:themeColor="accent5"/>
                      <w:lang w:val="fr-FR"/>
                    </w:rPr>
                    <w:t>Expérience avérée en formation avec les institutions nationales :</w:t>
                  </w:r>
                  <w:r w:rsidRPr="00451787">
                    <w:rPr>
                      <w:color w:val="4472C4" w:themeColor="accent5"/>
                      <w:lang w:val="fr-FR"/>
                    </w:rPr>
                    <w:t xml:space="preserve"> </w:t>
                  </w:r>
                  <w:r w:rsidRPr="00451787">
                    <w:rPr>
                      <w:lang w:val="fr-FR"/>
                    </w:rPr>
                    <w:t xml:space="preserve"> </w:t>
                  </w:r>
                  <w:r w:rsidRPr="00451787">
                    <w:rPr>
                      <w:rFonts w:ascii="Calibri" w:hAnsi="Calibri" w:cs="Calibri"/>
                      <w:color w:val="4472C4" w:themeColor="accent5"/>
                      <w:lang w:val="fr-FR"/>
                    </w:rPr>
                    <w:t xml:space="preserve"> Au moins 5 ans d'expérience en développement de programmes de formation, animation de sessions et utilisation d'approches pédagogiques adaptées aux différents niveaux de compréhension</w:t>
                  </w:r>
                  <w:r w:rsidR="00580551">
                    <w:rPr>
                      <w:rFonts w:asciiTheme="majorBidi" w:eastAsia="Times New Roman" w:hAnsiTheme="majorBidi" w:cstheme="majorBidi"/>
                      <w:sz w:val="24"/>
                      <w:szCs w:val="24"/>
                      <w:lang w:val="fr-FR"/>
                    </w:rPr>
                    <w:t xml:space="preserve">. </w:t>
                  </w:r>
                  <w:r w:rsidR="00580551" w:rsidRPr="00580551">
                    <w:rPr>
                      <w:rFonts w:asciiTheme="minorBidi" w:eastAsia="Times New Roman" w:hAnsiTheme="minorBidi" w:cstheme="minorBidi"/>
                      <w:sz w:val="18"/>
                      <w:szCs w:val="18"/>
                      <w:lang w:val="fr-FR"/>
                    </w:rPr>
                    <w:t xml:space="preserve">(Score : </w:t>
                  </w:r>
                  <w:r w:rsidR="004A0D81">
                    <w:rPr>
                      <w:rFonts w:asciiTheme="minorBidi" w:eastAsia="Times New Roman" w:hAnsiTheme="minorBidi" w:cstheme="minorBidi"/>
                      <w:sz w:val="18"/>
                      <w:szCs w:val="18"/>
                      <w:lang w:val="fr-FR"/>
                    </w:rPr>
                    <w:t>8</w:t>
                  </w:r>
                  <w:r w:rsidR="009F1B4A">
                    <w:rPr>
                      <w:rFonts w:asciiTheme="minorBidi" w:eastAsia="Times New Roman" w:hAnsiTheme="minorBidi" w:cstheme="minorBidi"/>
                      <w:sz w:val="18"/>
                      <w:szCs w:val="18"/>
                      <w:lang w:val="fr-FR"/>
                    </w:rPr>
                    <w:t xml:space="preserve"> pts</w:t>
                  </w:r>
                  <w:r w:rsidR="00580551" w:rsidRPr="00580551">
                    <w:rPr>
                      <w:rFonts w:asciiTheme="minorBidi" w:eastAsia="Times New Roman" w:hAnsiTheme="minorBidi" w:cstheme="minorBidi"/>
                      <w:sz w:val="18"/>
                      <w:szCs w:val="18"/>
                      <w:lang w:val="fr-FR"/>
                    </w:rPr>
                    <w:t>)</w:t>
                  </w:r>
                </w:p>
              </w:tc>
              <w:tc>
                <w:tcPr>
                  <w:tcW w:w="4819" w:type="dxa"/>
                  <w:vMerge/>
                </w:tcPr>
                <w:p w14:paraId="76FF305D" w14:textId="77777777" w:rsidR="000B5D1E" w:rsidRPr="00FE2A80" w:rsidRDefault="000B5D1E" w:rsidP="004B3215">
                  <w:pPr>
                    <w:framePr w:hSpace="180" w:wrap="around" w:vAnchor="page" w:hAnchor="margin" w:y="1531"/>
                    <w:spacing w:before="60" w:line="240" w:lineRule="auto"/>
                    <w:rPr>
                      <w:rFonts w:ascii="Calibri" w:hAnsi="Calibri" w:cs="Calibri"/>
                      <w:color w:val="4472C4" w:themeColor="accent5"/>
                      <w:lang w:val="fr-FR"/>
                    </w:rPr>
                  </w:pPr>
                </w:p>
              </w:tc>
            </w:tr>
            <w:tr w:rsidR="000B5D1E" w:rsidRPr="00D9215E" w14:paraId="22CCB24D" w14:textId="77777777" w:rsidTr="00B82993">
              <w:tc>
                <w:tcPr>
                  <w:tcW w:w="4818" w:type="dxa"/>
                </w:tcPr>
                <w:p w14:paraId="18873B8E" w14:textId="3EFAEDD2" w:rsidR="000B5D1E" w:rsidRPr="00EF186E" w:rsidRDefault="000B5D1E" w:rsidP="004B3215">
                  <w:pPr>
                    <w:pStyle w:val="ListParagraph"/>
                    <w:framePr w:hSpace="180" w:wrap="around" w:vAnchor="page" w:hAnchor="margin" w:y="1531"/>
                    <w:numPr>
                      <w:ilvl w:val="0"/>
                      <w:numId w:val="6"/>
                    </w:numPr>
                    <w:spacing w:line="240" w:lineRule="auto"/>
                    <w:jc w:val="both"/>
                    <w:rPr>
                      <w:rFonts w:ascii="Calibri" w:hAnsi="Calibri" w:cs="Calibri"/>
                      <w:color w:val="4472C4" w:themeColor="accent5"/>
                      <w:lang w:val="fr-FR"/>
                    </w:rPr>
                  </w:pPr>
                  <w:r w:rsidRPr="00EF186E">
                    <w:rPr>
                      <w:rFonts w:ascii="Calibri" w:hAnsi="Calibri" w:cs="Calibri"/>
                      <w:color w:val="4472C4" w:themeColor="accent5"/>
                      <w:lang w:val="fr-FR"/>
                    </w:rPr>
                    <w:t xml:space="preserve">Expérience étendue et capacité avérée à travailler avec des équipes techniques multidisciplinaires. </w:t>
                  </w:r>
                  <w:r w:rsidR="00E85D3A">
                    <w:rPr>
                      <w:rFonts w:ascii="Calibri" w:hAnsi="Calibri" w:cs="Calibri"/>
                      <w:color w:val="4472C4" w:themeColor="accent5"/>
                      <w:lang w:val="fr-FR"/>
                    </w:rPr>
                    <w:t xml:space="preserve">(Score : </w:t>
                  </w:r>
                  <w:r w:rsidR="008D38B4">
                    <w:rPr>
                      <w:rFonts w:ascii="Calibri" w:hAnsi="Calibri" w:cs="Calibri"/>
                      <w:color w:val="4472C4" w:themeColor="accent5"/>
                      <w:lang w:val="fr-FR"/>
                    </w:rPr>
                    <w:t xml:space="preserve">4 </w:t>
                  </w:r>
                  <w:r w:rsidR="00E85D3A">
                    <w:rPr>
                      <w:rFonts w:ascii="Calibri" w:hAnsi="Calibri" w:cs="Calibri"/>
                      <w:color w:val="4472C4" w:themeColor="accent5"/>
                      <w:lang w:val="fr-FR"/>
                    </w:rPr>
                    <w:t>pts)</w:t>
                  </w:r>
                </w:p>
              </w:tc>
              <w:tc>
                <w:tcPr>
                  <w:tcW w:w="4819" w:type="dxa"/>
                  <w:vMerge/>
                </w:tcPr>
                <w:p w14:paraId="170480C5" w14:textId="77777777" w:rsidR="000B5D1E" w:rsidRPr="00F813EA" w:rsidRDefault="000B5D1E" w:rsidP="004B3215">
                  <w:pPr>
                    <w:framePr w:hSpace="180" w:wrap="around" w:vAnchor="page" w:hAnchor="margin" w:y="1531"/>
                    <w:spacing w:before="60" w:line="240" w:lineRule="auto"/>
                    <w:rPr>
                      <w:rFonts w:ascii="Calibri" w:hAnsi="Calibri" w:cs="Calibri"/>
                      <w:lang w:val="fr-FR"/>
                    </w:rPr>
                  </w:pPr>
                </w:p>
              </w:tc>
            </w:tr>
            <w:tr w:rsidR="000B5D1E" w:rsidRPr="00D9215E" w14:paraId="53FA3E91" w14:textId="77777777" w:rsidTr="00B82993">
              <w:tc>
                <w:tcPr>
                  <w:tcW w:w="4818" w:type="dxa"/>
                </w:tcPr>
                <w:p w14:paraId="21E0F84F" w14:textId="3B43D852" w:rsidR="000B5D1E" w:rsidRPr="00EF186E" w:rsidRDefault="000B5D1E" w:rsidP="004B3215">
                  <w:pPr>
                    <w:pStyle w:val="ListParagraph"/>
                    <w:framePr w:hSpace="180" w:wrap="around" w:vAnchor="page" w:hAnchor="margin" w:y="1531"/>
                    <w:numPr>
                      <w:ilvl w:val="0"/>
                      <w:numId w:val="6"/>
                    </w:numPr>
                    <w:spacing w:before="60" w:line="240" w:lineRule="auto"/>
                    <w:rPr>
                      <w:rFonts w:ascii="Calibri" w:hAnsi="Calibri" w:cs="Calibri"/>
                      <w:b/>
                      <w:bCs/>
                      <w:lang w:val="fr-FR"/>
                    </w:rPr>
                  </w:pPr>
                  <w:r w:rsidRPr="00EF186E">
                    <w:rPr>
                      <w:rFonts w:ascii="Calibri" w:hAnsi="Calibri" w:cs="Calibri"/>
                      <w:color w:val="4472C4" w:themeColor="accent5"/>
                      <w:lang w:val="fr-FR"/>
                    </w:rPr>
                    <w:lastRenderedPageBreak/>
                    <w:t>Maitrise du français et de l’arabe écrits et oraux.</w:t>
                  </w:r>
                  <w:r w:rsidR="009F1B4A">
                    <w:rPr>
                      <w:rFonts w:ascii="Calibri" w:hAnsi="Calibri" w:cs="Calibri"/>
                      <w:color w:val="4472C4" w:themeColor="accent5"/>
                      <w:lang w:val="fr-FR"/>
                    </w:rPr>
                    <w:t xml:space="preserve"> (Score : </w:t>
                  </w:r>
                  <w:r w:rsidR="004A0D81">
                    <w:rPr>
                      <w:rFonts w:ascii="Calibri" w:hAnsi="Calibri" w:cs="Calibri"/>
                      <w:color w:val="4472C4" w:themeColor="accent5"/>
                      <w:lang w:val="fr-FR"/>
                    </w:rPr>
                    <w:t>3</w:t>
                  </w:r>
                  <w:r w:rsidR="009F1B4A">
                    <w:rPr>
                      <w:rFonts w:ascii="Calibri" w:hAnsi="Calibri" w:cs="Calibri"/>
                      <w:color w:val="4472C4" w:themeColor="accent5"/>
                      <w:lang w:val="fr-FR"/>
                    </w:rPr>
                    <w:t>pts)</w:t>
                  </w:r>
                </w:p>
              </w:tc>
              <w:tc>
                <w:tcPr>
                  <w:tcW w:w="4819" w:type="dxa"/>
                </w:tcPr>
                <w:p w14:paraId="4EA2BB5A" w14:textId="77777777" w:rsidR="000B5D1E" w:rsidRPr="00F813EA" w:rsidRDefault="000B5D1E" w:rsidP="004B3215">
                  <w:pPr>
                    <w:framePr w:hSpace="180" w:wrap="around" w:vAnchor="page" w:hAnchor="margin" w:y="1531"/>
                    <w:spacing w:before="60" w:line="240" w:lineRule="auto"/>
                    <w:rPr>
                      <w:rFonts w:ascii="Calibri" w:hAnsi="Calibri" w:cs="Calibri"/>
                      <w:lang w:val="fr-FR"/>
                    </w:rPr>
                  </w:pPr>
                </w:p>
              </w:tc>
            </w:tr>
          </w:tbl>
          <w:p w14:paraId="423F1678" w14:textId="77777777" w:rsidR="000B5D1E" w:rsidRPr="00F813EA" w:rsidRDefault="000B5D1E" w:rsidP="00B82993">
            <w:pPr>
              <w:spacing w:before="60" w:line="240" w:lineRule="auto"/>
              <w:rPr>
                <w:rFonts w:ascii="Calibri" w:hAnsi="Calibri" w:cs="Calibri"/>
                <w:lang w:val="fr-FR"/>
              </w:rPr>
            </w:pPr>
          </w:p>
        </w:tc>
      </w:tr>
      <w:tr w:rsidR="000B5D1E" w:rsidRPr="007613B3" w14:paraId="429BD842" w14:textId="77777777" w:rsidTr="00B82993">
        <w:trPr>
          <w:gridAfter w:val="2"/>
          <w:wAfter w:w="351" w:type="dxa"/>
          <w:trHeight w:val="153"/>
        </w:trPr>
        <w:tc>
          <w:tcPr>
            <w:tcW w:w="4940" w:type="dxa"/>
            <w:tcBorders>
              <w:top w:val="nil"/>
              <w:right w:val="single" w:sz="4" w:space="0" w:color="auto"/>
            </w:tcBorders>
            <w:shd w:val="clear" w:color="auto" w:fill="auto"/>
            <w:noWrap/>
          </w:tcPr>
          <w:p w14:paraId="09957C6C" w14:textId="77777777" w:rsidR="000B5D1E" w:rsidRDefault="000B5D1E" w:rsidP="00B8299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Pr>
                <w:rFonts w:ascii="Calibri" w:eastAsia="Arial Unicode MS" w:hAnsi="Calibri" w:cs="Calibri"/>
                <w:b/>
                <w:color w:val="auto"/>
                <w:lang w:val="en-AU"/>
              </w:rPr>
              <w:t>:</w:t>
            </w:r>
          </w:p>
          <w:p w14:paraId="46D2F53B" w14:textId="77777777" w:rsidR="000B5D1E" w:rsidRDefault="000B5D1E" w:rsidP="00B82993">
            <w:pPr>
              <w:spacing w:before="60" w:line="240" w:lineRule="auto"/>
              <w:rPr>
                <w:rFonts w:ascii="Calibri" w:eastAsia="Arial Unicode MS" w:hAnsi="Calibri" w:cs="Calibri"/>
                <w:b/>
                <w:color w:val="auto"/>
                <w:lang w:val="en-AU"/>
              </w:rPr>
            </w:pPr>
          </w:p>
          <w:p w14:paraId="2616A28A" w14:textId="77777777" w:rsidR="000B5D1E" w:rsidRDefault="000B5D1E" w:rsidP="00B82993">
            <w:pPr>
              <w:spacing w:line="240" w:lineRule="auto"/>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4D665442" w14:textId="77777777" w:rsidR="000B5D1E" w:rsidRDefault="000B5D1E" w:rsidP="00B82993">
            <w:pPr>
              <w:spacing w:line="240" w:lineRule="auto"/>
              <w:rPr>
                <w:rFonts w:ascii="Calibri" w:eastAsia="Arial Unicode MS" w:hAnsi="Calibri" w:cs="Calibri"/>
                <w:color w:val="auto"/>
                <w:lang w:val="en-AU"/>
              </w:rPr>
            </w:pPr>
          </w:p>
          <w:p w14:paraId="69BB56CB" w14:textId="77777777" w:rsidR="000B5D1E" w:rsidRPr="00527096" w:rsidRDefault="000B5D1E" w:rsidP="00B82993">
            <w:pPr>
              <w:spacing w:line="240" w:lineRule="auto"/>
              <w:rPr>
                <w:rFonts w:ascii="Calibri" w:eastAsia="Arial Unicode MS" w:hAnsi="Calibri" w:cs="Calibri"/>
                <w:color w:val="auto"/>
              </w:rPr>
            </w:pP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sidRPr="00172EC6">
              <w:rPr>
                <w:rFonts w:ascii="Calibri" w:eastAsia="Arial Unicode MS" w:hAnsi="Calibri" w:cs="Calibri"/>
                <w:color w:val="auto"/>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Pr="00527096">
              <w:rPr>
                <w:rFonts w:ascii="Calibri" w:eastAsia="Arial Unicode MS" w:hAnsi="Calibri" w:cs="Calibri"/>
                <w:color w:val="auto"/>
              </w:rPr>
              <w:t xml:space="preserve"> Home Based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172EC6">
              <w:rPr>
                <w:rFonts w:ascii="Calibri" w:eastAsia="Arial Unicode MS" w:hAnsi="Calibri" w:cs="Calibri"/>
                <w:color w:val="auto"/>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527096">
              <w:rPr>
                <w:rFonts w:ascii="Calibri" w:eastAsia="Arial Unicode MS" w:hAnsi="Calibri" w:cs="Calibri"/>
                <w:color w:val="auto"/>
              </w:rPr>
              <w:t xml:space="preserve"> Office Based:</w:t>
            </w:r>
          </w:p>
          <w:p w14:paraId="52FD9C63" w14:textId="77777777" w:rsidR="000B5D1E" w:rsidRDefault="000B5D1E" w:rsidP="00B82993">
            <w:pPr>
              <w:spacing w:before="60" w:line="240" w:lineRule="auto"/>
              <w:rPr>
                <w:rFonts w:ascii="Calibri" w:eastAsia="Arial Unicode MS" w:hAnsi="Calibri" w:cs="Calibri"/>
                <w:bCs/>
                <w:color w:val="4472C4" w:themeColor="accent5"/>
                <w:lang w:val="fr-FR"/>
              </w:rPr>
            </w:pPr>
            <w:r w:rsidRPr="00FE2A80">
              <w:rPr>
                <w:rFonts w:ascii="Calibri" w:eastAsia="Arial Unicode MS" w:hAnsi="Calibri" w:cs="Calibri"/>
                <w:bCs/>
                <w:color w:val="4472C4" w:themeColor="accent5"/>
                <w:lang w:val="fr-FR"/>
              </w:rPr>
              <w:t xml:space="preserve">Les déplacements seront pris en charge par le consultant.  Le consultant utilisera son propre PC.  </w:t>
            </w:r>
          </w:p>
          <w:p w14:paraId="6665585B" w14:textId="77777777" w:rsidR="000B5D1E" w:rsidRPr="00FE2A80" w:rsidRDefault="000B5D1E" w:rsidP="00B82993">
            <w:pPr>
              <w:spacing w:before="60" w:line="240" w:lineRule="auto"/>
              <w:rPr>
                <w:rFonts w:ascii="Calibri" w:eastAsia="Arial Unicode MS" w:hAnsi="Calibri" w:cs="Calibri"/>
                <w:bCs/>
                <w:color w:val="auto"/>
                <w:lang w:val="fr-FR"/>
              </w:rPr>
            </w:pPr>
          </w:p>
        </w:tc>
        <w:tc>
          <w:tcPr>
            <w:tcW w:w="4923" w:type="dxa"/>
            <w:gridSpan w:val="2"/>
            <w:tcBorders>
              <w:top w:val="nil"/>
              <w:left w:val="single" w:sz="4" w:space="0" w:color="auto"/>
            </w:tcBorders>
            <w:shd w:val="clear" w:color="auto" w:fill="auto"/>
            <w:noWrap/>
          </w:tcPr>
          <w:p w14:paraId="58FB8575" w14:textId="77777777" w:rsidR="000B5D1E" w:rsidRPr="00FE2A80" w:rsidRDefault="000B5D1E" w:rsidP="00B82993">
            <w:pPr>
              <w:spacing w:line="240" w:lineRule="auto"/>
              <w:rPr>
                <w:rFonts w:ascii="Calibri" w:eastAsia="Arial Unicode MS" w:hAnsi="Calibri" w:cs="Calibri"/>
                <w:color w:val="auto"/>
                <w:lang w:val="fr-FR"/>
              </w:rPr>
            </w:pPr>
            <w:r w:rsidRPr="00FE2A80">
              <w:rPr>
                <w:rFonts w:ascii="Calibri" w:eastAsia="Arial Unicode MS" w:hAnsi="Calibri" w:cs="Calibri"/>
                <w:color w:val="auto"/>
                <w:lang w:val="fr-FR"/>
              </w:rPr>
              <w:t xml:space="preserve"> </w:t>
            </w:r>
          </w:p>
          <w:p w14:paraId="443BB0A5" w14:textId="77777777" w:rsidR="000B5D1E" w:rsidRPr="00FE2A80" w:rsidRDefault="000B5D1E" w:rsidP="00B82993">
            <w:pPr>
              <w:spacing w:line="240" w:lineRule="auto"/>
              <w:rPr>
                <w:rFonts w:ascii="Calibri" w:eastAsia="Arial Unicode MS" w:hAnsi="Calibri" w:cs="Calibri"/>
                <w:color w:val="auto"/>
                <w:lang w:val="fr-FR"/>
              </w:rPr>
            </w:pPr>
          </w:p>
          <w:p w14:paraId="40F48D4C" w14:textId="77777777" w:rsidR="000B5D1E" w:rsidRPr="007613B3" w:rsidRDefault="000B5D1E" w:rsidP="00B82993">
            <w:pPr>
              <w:spacing w:line="240" w:lineRule="auto"/>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00DD70E8" w14:textId="77777777" w:rsidR="000B5D1E" w:rsidRDefault="000B5D1E" w:rsidP="00B82993">
            <w:pPr>
              <w:spacing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4A413505" w14:textId="77777777" w:rsidR="000B5D1E" w:rsidRPr="007613B3" w:rsidRDefault="000B5D1E" w:rsidP="00B82993">
            <w:pPr>
              <w:spacing w:line="240" w:lineRule="auto"/>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tc>
      </w:tr>
      <w:tr w:rsidR="000B5D1E" w:rsidRPr="007613B3" w14:paraId="7D0F03D0" w14:textId="77777777" w:rsidTr="00B82993">
        <w:trPr>
          <w:gridAfter w:val="2"/>
          <w:wAfter w:w="351" w:type="dxa"/>
          <w:trHeight w:val="240"/>
        </w:trPr>
        <w:tc>
          <w:tcPr>
            <w:tcW w:w="4940" w:type="dxa"/>
            <w:tcBorders>
              <w:bottom w:val="nil"/>
            </w:tcBorders>
            <w:shd w:val="clear" w:color="auto" w:fill="auto"/>
            <w:noWrap/>
            <w:hideMark/>
          </w:tcPr>
          <w:p w14:paraId="6FC4404E" w14:textId="77777777" w:rsidR="000B5D1E" w:rsidRPr="007613B3" w:rsidRDefault="000B5D1E" w:rsidP="00B8299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4923" w:type="dxa"/>
            <w:gridSpan w:val="2"/>
            <w:tcBorders>
              <w:bottom w:val="nil"/>
            </w:tcBorders>
            <w:shd w:val="clear" w:color="auto" w:fill="auto"/>
          </w:tcPr>
          <w:p w14:paraId="56E3D27E" w14:textId="77777777" w:rsidR="000B5D1E" w:rsidRPr="007613B3" w:rsidRDefault="000B5D1E" w:rsidP="00B8299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0B5D1E" w:rsidRPr="007613B3" w14:paraId="31203A8B" w14:textId="77777777" w:rsidTr="00B82993">
        <w:trPr>
          <w:gridAfter w:val="2"/>
          <w:wAfter w:w="351" w:type="dxa"/>
          <w:trHeight w:val="361"/>
        </w:trPr>
        <w:tc>
          <w:tcPr>
            <w:tcW w:w="4940" w:type="dxa"/>
            <w:tcBorders>
              <w:top w:val="nil"/>
            </w:tcBorders>
            <w:shd w:val="clear" w:color="auto" w:fill="auto"/>
            <w:noWrap/>
          </w:tcPr>
          <w:p w14:paraId="44122CD0" w14:textId="77777777" w:rsidR="000B5D1E" w:rsidRPr="007613B3" w:rsidRDefault="000B5D1E" w:rsidP="00B82993">
            <w:pPr>
              <w:spacing w:before="60" w:after="60" w:line="240" w:lineRule="auto"/>
              <w:rPr>
                <w:rFonts w:ascii="Calibri" w:eastAsia="Arial Unicode MS" w:hAnsi="Calibri" w:cs="Calibri"/>
                <w:i/>
                <w:color w:val="auto"/>
                <w:lang w:val="en-AU"/>
              </w:rPr>
            </w:pPr>
          </w:p>
        </w:tc>
        <w:tc>
          <w:tcPr>
            <w:tcW w:w="4923" w:type="dxa"/>
            <w:gridSpan w:val="2"/>
            <w:tcBorders>
              <w:top w:val="nil"/>
            </w:tcBorders>
            <w:shd w:val="clear" w:color="auto" w:fill="auto"/>
          </w:tcPr>
          <w:p w14:paraId="084DF0EC" w14:textId="77777777" w:rsidR="000B5D1E" w:rsidRPr="007613B3" w:rsidRDefault="000B5D1E" w:rsidP="00B82993">
            <w:pPr>
              <w:spacing w:before="60" w:after="60" w:line="240" w:lineRule="auto"/>
              <w:rPr>
                <w:rFonts w:ascii="Calibri" w:eastAsia="Arial Unicode MS" w:hAnsi="Calibri" w:cs="Calibri"/>
                <w:i/>
                <w:color w:val="auto"/>
                <w:lang w:val="es-US"/>
              </w:rPr>
            </w:pPr>
          </w:p>
        </w:tc>
      </w:tr>
      <w:tr w:rsidR="000B5D1E" w:rsidRPr="00555615" w14:paraId="47D37361" w14:textId="77777777" w:rsidTr="00B82993">
        <w:trPr>
          <w:gridAfter w:val="2"/>
          <w:wAfter w:w="351" w:type="dxa"/>
          <w:trHeight w:val="1580"/>
        </w:trPr>
        <w:tc>
          <w:tcPr>
            <w:tcW w:w="9863" w:type="dxa"/>
            <w:gridSpan w:val="3"/>
            <w:tcBorders>
              <w:top w:val="nil"/>
            </w:tcBorders>
            <w:shd w:val="clear" w:color="auto" w:fill="auto"/>
            <w:noWrap/>
          </w:tcPr>
          <w:p w14:paraId="3C72B1CD" w14:textId="77777777" w:rsidR="000B5D1E" w:rsidRPr="007613B3" w:rsidRDefault="000B5D1E" w:rsidP="00B8299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71BCE02" w14:textId="77777777" w:rsidR="000B5D1E" w:rsidRPr="007613B3" w:rsidRDefault="000B5D1E" w:rsidP="00B82993">
            <w:pPr>
              <w:spacing w:line="240" w:lineRule="auto"/>
              <w:rPr>
                <w:rFonts w:ascii="Calibri" w:eastAsia="Arial Unicode MS" w:hAnsi="Calibri" w:cs="Calibri"/>
                <w:i/>
                <w:color w:val="auto"/>
                <w:lang w:val="en-AU"/>
              </w:rPr>
            </w:pPr>
          </w:p>
          <w:p w14:paraId="20BACF9C" w14:textId="77777777" w:rsidR="000B5D1E" w:rsidRPr="007613B3" w:rsidRDefault="000B5D1E" w:rsidP="00B8299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39BB65F2" w14:textId="77777777" w:rsidR="000B5D1E" w:rsidRPr="007613B3" w:rsidRDefault="000B5D1E" w:rsidP="00B82993">
            <w:pPr>
              <w:spacing w:line="240" w:lineRule="auto"/>
              <w:rPr>
                <w:rFonts w:ascii="Calibri" w:eastAsia="Arial Unicode MS" w:hAnsi="Calibri" w:cs="Calibri"/>
                <w:i/>
                <w:color w:val="auto"/>
                <w:lang w:val="en-AU"/>
              </w:rPr>
            </w:pPr>
          </w:p>
          <w:p w14:paraId="6542B952" w14:textId="77777777" w:rsidR="000B5D1E" w:rsidRPr="007613B3" w:rsidRDefault="000B5D1E" w:rsidP="00B8299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4BCC78C6" w14:textId="77777777" w:rsidR="000B5D1E" w:rsidRDefault="000B5D1E" w:rsidP="00B82993">
            <w:pPr>
              <w:spacing w:before="60" w:after="60" w:line="240" w:lineRule="auto"/>
              <w:rPr>
                <w:rFonts w:ascii="Calibri" w:eastAsia="Arial Unicode MS" w:hAnsi="Calibri" w:cs="Calibri"/>
                <w:i/>
                <w:color w:val="auto"/>
                <w:lang w:val="en-AU"/>
              </w:rPr>
            </w:pPr>
          </w:p>
          <w:p w14:paraId="7E4212AD" w14:textId="77777777" w:rsidR="000B5D1E" w:rsidRPr="00555615" w:rsidRDefault="000B5D1E" w:rsidP="00B82993">
            <w:pPr>
              <w:spacing w:before="60" w:after="60" w:line="240" w:lineRule="auto"/>
              <w:rPr>
                <w:rFonts w:ascii="Calibri" w:eastAsia="Arial Unicode MS" w:hAnsi="Calibri" w:cs="Calibri"/>
                <w:i/>
                <w:color w:val="auto"/>
                <w:lang w:val="en-AU"/>
              </w:rPr>
            </w:pPr>
          </w:p>
        </w:tc>
      </w:tr>
      <w:tr w:rsidR="000B5D1E" w:rsidRPr="007613B3" w14:paraId="52001A2E" w14:textId="77777777" w:rsidTr="00B82993">
        <w:trPr>
          <w:trHeight w:val="144"/>
        </w:trPr>
        <w:tc>
          <w:tcPr>
            <w:tcW w:w="10214" w:type="dxa"/>
            <w:gridSpan w:val="5"/>
            <w:tcBorders>
              <w:top w:val="nil"/>
              <w:left w:val="nil"/>
              <w:bottom w:val="nil"/>
              <w:right w:val="nil"/>
            </w:tcBorders>
            <w:shd w:val="clear" w:color="auto" w:fill="auto"/>
            <w:noWrap/>
            <w:hideMark/>
          </w:tcPr>
          <w:p w14:paraId="15FE25E2" w14:textId="77777777" w:rsidR="000B5D1E" w:rsidRPr="007613B3" w:rsidRDefault="000B5D1E" w:rsidP="00B82993">
            <w:pPr>
              <w:spacing w:line="240" w:lineRule="auto"/>
              <w:ind w:left="342" w:hanging="342"/>
              <w:rPr>
                <w:rFonts w:ascii="Calibri" w:eastAsia="Arial Unicode MS" w:hAnsi="Calibri" w:cs="Calibri"/>
                <w:color w:val="auto"/>
                <w:sz w:val="16"/>
                <w:szCs w:val="16"/>
                <w:lang w:val="en-AU"/>
              </w:rPr>
            </w:pPr>
          </w:p>
        </w:tc>
      </w:tr>
      <w:tr w:rsidR="000B5D1E" w:rsidRPr="007613B3" w14:paraId="1113985E" w14:textId="77777777" w:rsidTr="00B82993">
        <w:trPr>
          <w:trHeight w:val="391"/>
        </w:trPr>
        <w:tc>
          <w:tcPr>
            <w:tcW w:w="10214" w:type="dxa"/>
            <w:gridSpan w:val="5"/>
            <w:tcBorders>
              <w:top w:val="nil"/>
              <w:left w:val="nil"/>
              <w:bottom w:val="nil"/>
              <w:right w:val="nil"/>
            </w:tcBorders>
            <w:shd w:val="clear" w:color="auto" w:fill="auto"/>
            <w:noWrap/>
          </w:tcPr>
          <w:p w14:paraId="68F930B3" w14:textId="77777777" w:rsidR="000B5D1E" w:rsidRDefault="000B5D1E" w:rsidP="00B82993">
            <w:pPr>
              <w:spacing w:line="240" w:lineRule="auto"/>
              <w:rPr>
                <w:rFonts w:ascii="Calibri" w:eastAsia="Arial Unicode MS" w:hAnsi="Calibri" w:cs="Calibri"/>
                <w:color w:val="auto"/>
                <w:sz w:val="16"/>
                <w:szCs w:val="16"/>
                <w:lang w:val="en-AU"/>
              </w:rPr>
            </w:pPr>
          </w:p>
          <w:p w14:paraId="3ACE22A3" w14:textId="77777777" w:rsidR="000B5D1E" w:rsidRPr="007613B3" w:rsidRDefault="000B5D1E" w:rsidP="00B82993">
            <w:pPr>
              <w:spacing w:line="240" w:lineRule="auto"/>
              <w:ind w:left="342" w:hanging="342"/>
              <w:rPr>
                <w:rFonts w:ascii="Calibri" w:eastAsia="Arial Unicode MS" w:hAnsi="Calibri" w:cs="Calibri"/>
                <w:color w:val="auto"/>
                <w:sz w:val="16"/>
                <w:szCs w:val="16"/>
                <w:lang w:val="en-AU"/>
              </w:rPr>
            </w:pPr>
          </w:p>
        </w:tc>
      </w:tr>
    </w:tbl>
    <w:p w14:paraId="05B6EC55" w14:textId="1742E8F9" w:rsidR="004E0027" w:rsidRPr="000B5D1E" w:rsidRDefault="004E0027" w:rsidP="002108C6">
      <w:pPr>
        <w:spacing w:line="240" w:lineRule="auto"/>
        <w:rPr>
          <w:rFonts w:ascii="Calibri" w:hAnsi="Calibri" w:cs="Calibri"/>
          <w:sz w:val="24"/>
          <w:szCs w:val="24"/>
        </w:rPr>
      </w:pPr>
    </w:p>
    <w:p w14:paraId="4B6CE796" w14:textId="77777777" w:rsidR="00ED1C78" w:rsidRDefault="00ED1C78" w:rsidP="00ED1C78">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2BFD4806" w14:textId="77777777" w:rsidR="00ED1C78" w:rsidRDefault="00ED1C78" w:rsidP="00ED1C78">
      <w:pPr>
        <w:pStyle w:val="EndnoteText"/>
      </w:pPr>
    </w:p>
    <w:p w14:paraId="2EC0E28D" w14:textId="77777777" w:rsidR="00ED1C78" w:rsidRDefault="00ED1C78" w:rsidP="00ED1C78">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38C002EE" w14:textId="77777777" w:rsidR="00ED1C78" w:rsidRDefault="00ED1C78" w:rsidP="00ED1C78">
      <w:pPr>
        <w:pStyle w:val="EndnoteText"/>
      </w:pPr>
    </w:p>
    <w:p w14:paraId="393D37C8" w14:textId="77777777" w:rsidR="00ED1C78" w:rsidRPr="000E4D76" w:rsidRDefault="00ED1C78" w:rsidP="00ED1C78">
      <w:pPr>
        <w:pStyle w:val="EndnoteText"/>
      </w:pPr>
      <w:r w:rsidRPr="5DD2836A">
        <w:rPr>
          <w:b/>
          <w:bCs/>
        </w:rPr>
        <w:t>Text to be added to all TORs:</w:t>
      </w:r>
    </w:p>
    <w:p w14:paraId="7C91CCE4" w14:textId="77777777" w:rsidR="00ED1C78" w:rsidRDefault="00ED1C78" w:rsidP="002108C6">
      <w:pPr>
        <w:spacing w:after="160" w:line="240"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006E53D9" w14:textId="77777777" w:rsidR="00ED1C78" w:rsidRDefault="00ED1C78" w:rsidP="002108C6">
      <w:pPr>
        <w:spacing w:after="160" w:line="240" w:lineRule="auto"/>
        <w:rPr>
          <w:color w:val="000000" w:themeColor="text1"/>
        </w:rPr>
      </w:pPr>
      <w:r w:rsidRPr="5DD2836A">
        <w:rPr>
          <w:rFonts w:eastAsia="Arial" w:cs="Arial"/>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2393599E" w14:textId="77777777" w:rsidR="5DD2836A" w:rsidRPr="00ED1C78" w:rsidRDefault="00ED1C78" w:rsidP="002108C6">
      <w:pPr>
        <w:spacing w:after="160" w:line="240" w:lineRule="auto"/>
        <w:rPr>
          <w:rFonts w:eastAsia="Arial" w:cs="Arial"/>
          <w:color w:val="000000" w:themeColor="text1"/>
        </w:rPr>
      </w:pPr>
      <w:r w:rsidRPr="5DD2836A">
        <w:rPr>
          <w:rFonts w:eastAsia="Arial" w:cs="Arial"/>
          <w:color w:val="000000" w:themeColor="text1"/>
        </w:rPr>
        <w:t xml:space="preserve">UNICEF offers </w:t>
      </w:r>
      <w:hyperlink r:id="rId18">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RPr="00ED1C78"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BBC6" w14:textId="77777777" w:rsidR="00275DC6" w:rsidRDefault="00275DC6" w:rsidP="000C3710">
      <w:r>
        <w:separator/>
      </w:r>
    </w:p>
  </w:endnote>
  <w:endnote w:type="continuationSeparator" w:id="0">
    <w:p w14:paraId="0873C5E7" w14:textId="77777777" w:rsidR="00275DC6" w:rsidRDefault="00275DC6" w:rsidP="000C3710">
      <w:r>
        <w:continuationSeparator/>
      </w:r>
    </w:p>
  </w:endnote>
  <w:endnote w:type="continuationNotice" w:id="1">
    <w:p w14:paraId="192D1CE8" w14:textId="77777777" w:rsidR="00275DC6" w:rsidRDefault="00275DC6">
      <w:pPr>
        <w:spacing w:line="240" w:lineRule="auto"/>
      </w:pPr>
    </w:p>
  </w:endnote>
  <w:endnote w:id="2">
    <w:p w14:paraId="37C8F6C3" w14:textId="77777777" w:rsidR="000B5D1E" w:rsidRPr="00A934E9" w:rsidRDefault="000B5D1E" w:rsidP="000B5D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637" w14:textId="777777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color w:val="2B579A"/>
        <w:shd w:val="clear" w:color="auto" w:fill="E6E6E6"/>
        <w:lang w:val="fr-FR" w:eastAsia="fr-FR"/>
      </w:rPr>
      <mc:AlternateContent>
        <mc:Choice Requires="wps">
          <w:drawing>
            <wp:anchor distT="0" distB="0" distL="114300" distR="114300" simplePos="0" relativeHeight="251658241" behindDoc="0" locked="1" layoutInCell="1" allowOverlap="1" wp14:anchorId="5499E5E1" wp14:editId="2F14C3ED">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661D50" w14:textId="77777777" w:rsidR="009247BD" w:rsidRPr="00B02636" w:rsidRDefault="009247BD" w:rsidP="009247BD">
                          <w:pPr>
                            <w:pStyle w:val="AddressText"/>
                            <w:spacing w:line="240" w:lineRule="auto"/>
                            <w:rPr>
                              <w:color w:val="00B0F0"/>
                            </w:rPr>
                          </w:pPr>
                        </w:p>
                        <w:p w14:paraId="6C7F57F5" w14:textId="77777777" w:rsidR="009247BD" w:rsidRPr="00A0375D" w:rsidRDefault="009247BD" w:rsidP="009247BD">
                          <w:pPr>
                            <w:pStyle w:val="AddressText"/>
                            <w:spacing w:line="240" w:lineRule="auto"/>
                            <w:rPr>
                              <w:color w:val="000000"/>
                            </w:rPr>
                          </w:pPr>
                        </w:p>
                        <w:p w14:paraId="6C5E404C" w14:textId="77777777" w:rsidR="009247BD" w:rsidRPr="00A0375D" w:rsidRDefault="009247BD" w:rsidP="009247BD">
                          <w:pPr>
                            <w:pStyle w:val="AddressText"/>
                            <w:spacing w:line="240" w:lineRule="auto"/>
                            <w:rPr>
                              <w:color w:val="000000"/>
                            </w:rPr>
                          </w:pPr>
                        </w:p>
                        <w:p w14:paraId="76D58BD5" w14:textId="77777777" w:rsidR="009247BD" w:rsidRPr="00A0375D" w:rsidRDefault="009247BD" w:rsidP="009247BD">
                          <w:pPr>
                            <w:pStyle w:val="AddressText"/>
                            <w:spacing w:line="240" w:lineRule="auto"/>
                            <w:rPr>
                              <w:color w:val="000000"/>
                            </w:rPr>
                          </w:pPr>
                        </w:p>
                        <w:p w14:paraId="79625DB1" w14:textId="77777777" w:rsidR="009247BD" w:rsidRPr="00A0375D" w:rsidRDefault="009247BD" w:rsidP="009247BD">
                          <w:pPr>
                            <w:pStyle w:val="AddressText"/>
                            <w:spacing w:line="240" w:lineRule="auto"/>
                            <w:rPr>
                              <w:color w:val="000000"/>
                            </w:rPr>
                          </w:pPr>
                        </w:p>
                        <w:p w14:paraId="4DB13E1F"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w14:anchorId="26C31DC7">
            <v:shapetype id="_x0000_t202" coordsize="21600,21600" o:spt="202" path="m,l,21600r21600,l21600,xe" w14:anchorId="5499E5E1">
              <v:stroke joinstyle="miter"/>
              <v:path gradientshapeok="t" o:connecttype="rect"/>
            </v:shapetype>
            <v:shape id="Text Box 6"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v:textbox inset="0,0,0,0">
                <w:txbxContent>
                  <w:p w:rsidRPr="00B02636" w:rsidR="009247BD" w:rsidP="009247BD" w:rsidRDefault="009247BD" w14:paraId="41C8F396" w14:textId="77777777">
                    <w:pPr>
                      <w:pStyle w:val="AddressText"/>
                      <w:spacing w:line="240" w:lineRule="auto"/>
                      <w:rPr>
                        <w:color w:val="00B0F0"/>
                      </w:rPr>
                    </w:pPr>
                  </w:p>
                  <w:p w:rsidRPr="00A0375D" w:rsidR="009247BD" w:rsidP="009247BD" w:rsidRDefault="009247BD" w14:paraId="72A3D3EC" w14:textId="77777777">
                    <w:pPr>
                      <w:pStyle w:val="AddressText"/>
                      <w:spacing w:line="240" w:lineRule="auto"/>
                      <w:rPr>
                        <w:color w:val="000000"/>
                      </w:rPr>
                    </w:pPr>
                  </w:p>
                  <w:p w:rsidRPr="00A0375D" w:rsidR="009247BD" w:rsidP="009247BD" w:rsidRDefault="009247BD" w14:paraId="0D0B940D" w14:textId="77777777">
                    <w:pPr>
                      <w:pStyle w:val="AddressText"/>
                      <w:spacing w:line="240" w:lineRule="auto"/>
                      <w:rPr>
                        <w:color w:val="000000"/>
                      </w:rPr>
                    </w:pPr>
                  </w:p>
                  <w:p w:rsidRPr="00A0375D" w:rsidR="009247BD" w:rsidP="009247BD" w:rsidRDefault="009247BD" w14:paraId="0E27B00A" w14:textId="77777777">
                    <w:pPr>
                      <w:pStyle w:val="AddressText"/>
                      <w:spacing w:line="240" w:lineRule="auto"/>
                      <w:rPr>
                        <w:color w:val="000000"/>
                      </w:rPr>
                    </w:pPr>
                  </w:p>
                  <w:p w:rsidRPr="00A0375D" w:rsidR="009247BD" w:rsidP="009247BD" w:rsidRDefault="009247BD" w14:paraId="60061E4C" w14:textId="77777777">
                    <w:pPr>
                      <w:pStyle w:val="AddressText"/>
                      <w:spacing w:line="240" w:lineRule="auto"/>
                      <w:rPr>
                        <w:color w:val="000000"/>
                      </w:rPr>
                    </w:pPr>
                  </w:p>
                  <w:p w:rsidRPr="00A0375D" w:rsidR="009247BD" w:rsidP="009247BD" w:rsidRDefault="009247BD" w14:paraId="44EAFD9C" w14:textId="77777777">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4111" w14:textId="77777777" w:rsidR="00275DC6" w:rsidRDefault="00275DC6" w:rsidP="000C3710">
      <w:r>
        <w:separator/>
      </w:r>
    </w:p>
  </w:footnote>
  <w:footnote w:type="continuationSeparator" w:id="0">
    <w:p w14:paraId="244179CB" w14:textId="77777777" w:rsidR="00275DC6" w:rsidRDefault="00275DC6" w:rsidP="000C3710">
      <w:r>
        <w:continuationSeparator/>
      </w:r>
    </w:p>
  </w:footnote>
  <w:footnote w:type="continuationNotice" w:id="1">
    <w:p w14:paraId="78CE1592" w14:textId="77777777" w:rsidR="00275DC6" w:rsidRDefault="00275D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08EA" w14:textId="77777777" w:rsidR="003B7251" w:rsidRDefault="00213A86" w:rsidP="0075490C">
    <w:pPr>
      <w:pStyle w:val="Heading3"/>
    </w:pPr>
    <w:r>
      <w:rPr>
        <w:noProof/>
        <w:color w:val="2B579A"/>
        <w:shd w:val="clear" w:color="auto" w:fill="E6E6E6"/>
        <w:lang w:val="fr-FR" w:eastAsia="fr-FR"/>
      </w:rPr>
      <w:drawing>
        <wp:anchor distT="0" distB="0" distL="114300" distR="114300" simplePos="0" relativeHeight="251658245" behindDoc="0" locked="0" layoutInCell="1" allowOverlap="1" wp14:anchorId="03984E80" wp14:editId="05082D0A">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color w:val="2B579A"/>
        <w:shd w:val="clear" w:color="auto" w:fill="E6E6E6"/>
        <w:lang w:val="fr-FR" w:eastAsia="fr-FR"/>
      </w:rPr>
      <mc:AlternateContent>
        <mc:Choice Requires="wps">
          <w:drawing>
            <wp:anchor distT="4294967295" distB="4294967295" distL="114300" distR="114300" simplePos="0" relativeHeight="251658240" behindDoc="0" locked="0" layoutInCell="1" allowOverlap="1" wp14:anchorId="25B49660" wp14:editId="1BF9AE21">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50A3F53F">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634C9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5425" w14:textId="77777777"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color w:val="2B579A"/>
        <w:sz w:val="20"/>
        <w:szCs w:val="20"/>
        <w:shd w:val="clear" w:color="auto" w:fill="E6E6E6"/>
        <w:lang w:val="fr-FR" w:eastAsia="fr-FR"/>
      </w:rPr>
      <w:drawing>
        <wp:anchor distT="0" distB="0" distL="114300" distR="114300" simplePos="0" relativeHeight="251658244" behindDoc="0" locked="0" layoutInCell="1" allowOverlap="1" wp14:anchorId="4AAD371C" wp14:editId="7228091B">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color w:val="2B579A"/>
        <w:sz w:val="20"/>
        <w:szCs w:val="20"/>
        <w:shd w:val="clear" w:color="auto" w:fill="E6E6E6"/>
        <w:lang w:val="fr-FR" w:eastAsia="fr-FR"/>
      </w:rPr>
      <mc:AlternateContent>
        <mc:Choice Requires="wps">
          <w:drawing>
            <wp:anchor distT="4294967295" distB="4294967295" distL="114300" distR="114300" simplePos="0" relativeHeight="251658242" behindDoc="0" locked="0" layoutInCell="1" allowOverlap="1" wp14:anchorId="04F24C25" wp14:editId="5E5FDA51">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03CF29F">
            <v:line id="Straight Connector 5"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065F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1A6BDA86" w14:textId="77777777" w:rsidR="00861563" w:rsidRDefault="00962F0B">
    <w:pPr>
      <w:pStyle w:val="Header"/>
    </w:pPr>
    <w:r w:rsidRPr="0075490C">
      <w:rPr>
        <w:noProof/>
        <w:color w:val="2B579A"/>
        <w:shd w:val="clear" w:color="auto" w:fill="E6E6E6"/>
        <w:lang w:val="fr-FR" w:eastAsia="fr-FR"/>
      </w:rPr>
      <mc:AlternateContent>
        <mc:Choice Requires="wps">
          <w:drawing>
            <wp:anchor distT="0" distB="0" distL="114300" distR="114300" simplePos="0" relativeHeight="251658243" behindDoc="0" locked="0" layoutInCell="1" allowOverlap="0" wp14:anchorId="1E473C14" wp14:editId="2DD89F43">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24301F66"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65314BF7" w14:textId="77777777"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F3C409D" w14:textId="77777777" w:rsidR="00861563" w:rsidRPr="00B02636" w:rsidRDefault="00861563" w:rsidP="00962F0B">
                          <w:pPr>
                            <w:pStyle w:val="AddressText"/>
                            <w:spacing w:line="240" w:lineRule="auto"/>
                            <w:jc w:val="both"/>
                            <w:rPr>
                              <w:color w:val="00B0F0"/>
                            </w:rPr>
                          </w:pPr>
                        </w:p>
                        <w:p w14:paraId="35878082" w14:textId="77777777" w:rsidR="00861563" w:rsidRPr="00A0375D" w:rsidRDefault="00861563" w:rsidP="00962F0B">
                          <w:pPr>
                            <w:pStyle w:val="AddressText"/>
                            <w:spacing w:line="240" w:lineRule="auto"/>
                            <w:jc w:val="both"/>
                            <w:rPr>
                              <w:color w:val="000000"/>
                            </w:rPr>
                          </w:pPr>
                        </w:p>
                        <w:p w14:paraId="2A59BAEB" w14:textId="77777777" w:rsidR="00861563" w:rsidRPr="00A0375D" w:rsidRDefault="00861563" w:rsidP="00962F0B">
                          <w:pPr>
                            <w:pStyle w:val="AddressText"/>
                            <w:spacing w:line="240" w:lineRule="auto"/>
                            <w:jc w:val="both"/>
                            <w:rPr>
                              <w:color w:val="000000"/>
                            </w:rPr>
                          </w:pPr>
                        </w:p>
                        <w:p w14:paraId="4F648BFB" w14:textId="77777777" w:rsidR="00861563" w:rsidRPr="00A0375D" w:rsidRDefault="00861563" w:rsidP="00962F0B">
                          <w:pPr>
                            <w:pStyle w:val="AddressText"/>
                            <w:spacing w:line="240" w:lineRule="auto"/>
                            <w:jc w:val="both"/>
                            <w:rPr>
                              <w:color w:val="000000"/>
                            </w:rPr>
                          </w:pPr>
                        </w:p>
                        <w:p w14:paraId="5F5B0861" w14:textId="77777777" w:rsidR="00861563" w:rsidRPr="00A0375D" w:rsidRDefault="00861563" w:rsidP="00962F0B">
                          <w:pPr>
                            <w:pStyle w:val="AddressText"/>
                            <w:spacing w:line="240" w:lineRule="auto"/>
                            <w:jc w:val="both"/>
                            <w:rPr>
                              <w:color w:val="000000"/>
                            </w:rPr>
                          </w:pPr>
                        </w:p>
                        <w:p w14:paraId="425D562B"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7F88BF3">
            <v:shapetype id="_x0000_t202" coordsize="21600,21600" o:spt="202" path="m,l,21600r21600,l21600,xe" w14:anchorId="1E473C14">
              <v:stroke joinstyle="miter"/>
              <v:path gradientshapeok="t" o:connecttype="rect"/>
            </v:shapetype>
            <v:shape id="Text Box 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v:textbox inset="0,0,0,0">
                <w:txbxContent>
                  <w:p w:rsidRPr="001637C2" w:rsidR="00861563" w:rsidP="00962F0B" w:rsidRDefault="00861563" w14:paraId="05F9EEB4" w14:textId="77777777">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9D6B04F" w14:textId="77777777">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672A6659" w14:textId="77777777">
                    <w:pPr>
                      <w:pStyle w:val="AddressText"/>
                      <w:spacing w:line="240" w:lineRule="auto"/>
                      <w:jc w:val="both"/>
                      <w:rPr>
                        <w:color w:val="00B0F0"/>
                      </w:rPr>
                    </w:pPr>
                  </w:p>
                  <w:p w:rsidRPr="00A0375D" w:rsidR="00861563" w:rsidP="00962F0B" w:rsidRDefault="00861563" w14:paraId="0A37501D" w14:textId="77777777">
                    <w:pPr>
                      <w:pStyle w:val="AddressText"/>
                      <w:spacing w:line="240" w:lineRule="auto"/>
                      <w:jc w:val="both"/>
                      <w:rPr>
                        <w:color w:val="000000"/>
                      </w:rPr>
                    </w:pPr>
                  </w:p>
                  <w:p w:rsidRPr="00A0375D" w:rsidR="00861563" w:rsidP="00962F0B" w:rsidRDefault="00861563" w14:paraId="5DAB6C7B" w14:textId="77777777">
                    <w:pPr>
                      <w:pStyle w:val="AddressText"/>
                      <w:spacing w:line="240" w:lineRule="auto"/>
                      <w:jc w:val="both"/>
                      <w:rPr>
                        <w:color w:val="000000"/>
                      </w:rPr>
                    </w:pPr>
                  </w:p>
                  <w:p w:rsidRPr="00A0375D" w:rsidR="00861563" w:rsidP="00962F0B" w:rsidRDefault="00861563" w14:paraId="02EB378F" w14:textId="77777777">
                    <w:pPr>
                      <w:pStyle w:val="AddressText"/>
                      <w:spacing w:line="240" w:lineRule="auto"/>
                      <w:jc w:val="both"/>
                      <w:rPr>
                        <w:color w:val="000000"/>
                      </w:rPr>
                    </w:pPr>
                  </w:p>
                  <w:p w:rsidRPr="00A0375D" w:rsidR="00861563" w:rsidP="00962F0B" w:rsidRDefault="00861563" w14:paraId="6A05A809" w14:textId="77777777">
                    <w:pPr>
                      <w:pStyle w:val="AddressText"/>
                      <w:spacing w:line="240" w:lineRule="auto"/>
                      <w:jc w:val="both"/>
                      <w:rPr>
                        <w:color w:val="000000"/>
                      </w:rPr>
                    </w:pPr>
                  </w:p>
                  <w:p w:rsidRPr="00A0375D" w:rsidR="00861563" w:rsidP="00962F0B" w:rsidRDefault="00861563" w14:paraId="5A39BBE3"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C86"/>
    <w:multiLevelType w:val="hybridMultilevel"/>
    <w:tmpl w:val="2764B1D0"/>
    <w:lvl w:ilvl="0" w:tplc="E276710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92B20"/>
    <w:multiLevelType w:val="hybridMultilevel"/>
    <w:tmpl w:val="F32A5974"/>
    <w:lvl w:ilvl="0" w:tplc="9D94A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01A89"/>
    <w:multiLevelType w:val="hybridMultilevel"/>
    <w:tmpl w:val="9C5A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74D81"/>
    <w:multiLevelType w:val="hybridMultilevel"/>
    <w:tmpl w:val="2070AA60"/>
    <w:lvl w:ilvl="0" w:tplc="4316F8F2">
      <w:start w:val="1"/>
      <w:numFmt w:val="decimal"/>
      <w:lvlText w:val="%1)"/>
      <w:lvlJc w:val="left"/>
      <w:pPr>
        <w:ind w:left="360" w:hanging="360"/>
      </w:pPr>
      <w:rPr>
        <w:rFonts w:eastAsia="MS PGothic" w:hint="default"/>
        <w:color w:val="4472C4" w:themeColor="accent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BD1938"/>
    <w:multiLevelType w:val="hybridMultilevel"/>
    <w:tmpl w:val="3880E0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FA7C7C"/>
    <w:multiLevelType w:val="hybridMultilevel"/>
    <w:tmpl w:val="D49278FA"/>
    <w:lvl w:ilvl="0" w:tplc="D75A35F8">
      <w:start w:val="1"/>
      <w:numFmt w:val="decimal"/>
      <w:lvlText w:val="%1)"/>
      <w:lvlJc w:val="left"/>
      <w:pPr>
        <w:ind w:left="720" w:hanging="360"/>
      </w:pPr>
      <w:rPr>
        <w:rFonts w:eastAsia="MS PGothic" w:hint="default"/>
        <w:b w:val="0"/>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B2564"/>
    <w:multiLevelType w:val="hybridMultilevel"/>
    <w:tmpl w:val="494446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021213"/>
    <w:multiLevelType w:val="multilevel"/>
    <w:tmpl w:val="5588CFC6"/>
    <w:styleLink w:val="CurrentList1"/>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C315C1"/>
    <w:multiLevelType w:val="hybridMultilevel"/>
    <w:tmpl w:val="7A78D790"/>
    <w:lvl w:ilvl="0" w:tplc="37C026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C57050"/>
    <w:multiLevelType w:val="hybridMultilevel"/>
    <w:tmpl w:val="C4161DF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455163"/>
    <w:multiLevelType w:val="hybridMultilevel"/>
    <w:tmpl w:val="253E3EB0"/>
    <w:lvl w:ilvl="0" w:tplc="A38EFA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1500EE"/>
    <w:multiLevelType w:val="hybridMultilevel"/>
    <w:tmpl w:val="03A8AD26"/>
    <w:lvl w:ilvl="0" w:tplc="1F86A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C6414"/>
    <w:multiLevelType w:val="hybridMultilevel"/>
    <w:tmpl w:val="8366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834A4"/>
    <w:multiLevelType w:val="hybridMultilevel"/>
    <w:tmpl w:val="EA846F04"/>
    <w:lvl w:ilvl="0" w:tplc="4866D03A">
      <w:start w:val="1"/>
      <w:numFmt w:val="decimal"/>
      <w:lvlText w:val="%1)"/>
      <w:lvlJc w:val="left"/>
      <w:pPr>
        <w:ind w:left="360" w:hanging="360"/>
      </w:pPr>
      <w:rPr>
        <w:rFonts w:eastAsia="MS PGoth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5E6218"/>
    <w:multiLevelType w:val="hybridMultilevel"/>
    <w:tmpl w:val="D500E3FC"/>
    <w:lvl w:ilvl="0" w:tplc="C166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0659367">
    <w:abstractNumId w:val="12"/>
  </w:num>
  <w:num w:numId="2" w16cid:durableId="1712611213">
    <w:abstractNumId w:val="9"/>
  </w:num>
  <w:num w:numId="3" w16cid:durableId="1611401281">
    <w:abstractNumId w:val="11"/>
  </w:num>
  <w:num w:numId="4" w16cid:durableId="1100030873">
    <w:abstractNumId w:val="14"/>
  </w:num>
  <w:num w:numId="5" w16cid:durableId="1197086973">
    <w:abstractNumId w:val="1"/>
  </w:num>
  <w:num w:numId="6" w16cid:durableId="48463024">
    <w:abstractNumId w:val="10"/>
  </w:num>
  <w:num w:numId="7" w16cid:durableId="1651322562">
    <w:abstractNumId w:val="3"/>
  </w:num>
  <w:num w:numId="8" w16cid:durableId="1489327748">
    <w:abstractNumId w:val="8"/>
  </w:num>
  <w:num w:numId="9" w16cid:durableId="1662662284">
    <w:abstractNumId w:val="6"/>
  </w:num>
  <w:num w:numId="10" w16cid:durableId="135413168">
    <w:abstractNumId w:val="4"/>
  </w:num>
  <w:num w:numId="11" w16cid:durableId="625820398">
    <w:abstractNumId w:val="13"/>
  </w:num>
  <w:num w:numId="12" w16cid:durableId="2043749009">
    <w:abstractNumId w:val="0"/>
  </w:num>
  <w:num w:numId="13" w16cid:durableId="1186215160">
    <w:abstractNumId w:val="2"/>
  </w:num>
  <w:num w:numId="14" w16cid:durableId="667709423">
    <w:abstractNumId w:val="5"/>
  </w:num>
  <w:num w:numId="15" w16cid:durableId="9964988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07F3B"/>
    <w:rsid w:val="000241D1"/>
    <w:rsid w:val="00025F29"/>
    <w:rsid w:val="00030834"/>
    <w:rsid w:val="000310DE"/>
    <w:rsid w:val="00032400"/>
    <w:rsid w:val="00035382"/>
    <w:rsid w:val="00035C50"/>
    <w:rsid w:val="00036D6A"/>
    <w:rsid w:val="0004132A"/>
    <w:rsid w:val="000415E9"/>
    <w:rsid w:val="0004433C"/>
    <w:rsid w:val="00051966"/>
    <w:rsid w:val="00056A18"/>
    <w:rsid w:val="000576DC"/>
    <w:rsid w:val="0006418C"/>
    <w:rsid w:val="00064448"/>
    <w:rsid w:val="00066CAF"/>
    <w:rsid w:val="0007046B"/>
    <w:rsid w:val="000733EB"/>
    <w:rsid w:val="000741B8"/>
    <w:rsid w:val="00075F62"/>
    <w:rsid w:val="00076437"/>
    <w:rsid w:val="00084D5C"/>
    <w:rsid w:val="00091E2B"/>
    <w:rsid w:val="00092141"/>
    <w:rsid w:val="00096574"/>
    <w:rsid w:val="000A0AFC"/>
    <w:rsid w:val="000A2080"/>
    <w:rsid w:val="000A2877"/>
    <w:rsid w:val="000A7045"/>
    <w:rsid w:val="000B27E4"/>
    <w:rsid w:val="000B5829"/>
    <w:rsid w:val="000B5D1E"/>
    <w:rsid w:val="000B6220"/>
    <w:rsid w:val="000C3710"/>
    <w:rsid w:val="000C3FE8"/>
    <w:rsid w:val="000C61F2"/>
    <w:rsid w:val="000C781A"/>
    <w:rsid w:val="000D1E0C"/>
    <w:rsid w:val="000D6CA1"/>
    <w:rsid w:val="000E1755"/>
    <w:rsid w:val="000E1BDB"/>
    <w:rsid w:val="000E3253"/>
    <w:rsid w:val="000E414F"/>
    <w:rsid w:val="000E4D25"/>
    <w:rsid w:val="000E4D76"/>
    <w:rsid w:val="000F1FC6"/>
    <w:rsid w:val="000F6440"/>
    <w:rsid w:val="00101247"/>
    <w:rsid w:val="00107B7A"/>
    <w:rsid w:val="00112DEE"/>
    <w:rsid w:val="00120864"/>
    <w:rsid w:val="00133984"/>
    <w:rsid w:val="001378E8"/>
    <w:rsid w:val="0014339E"/>
    <w:rsid w:val="00145A91"/>
    <w:rsid w:val="00151C82"/>
    <w:rsid w:val="001555CD"/>
    <w:rsid w:val="0015757A"/>
    <w:rsid w:val="001637C2"/>
    <w:rsid w:val="00164C95"/>
    <w:rsid w:val="00165C9B"/>
    <w:rsid w:val="001719A9"/>
    <w:rsid w:val="00172EC6"/>
    <w:rsid w:val="00174EB7"/>
    <w:rsid w:val="00175E9C"/>
    <w:rsid w:val="00176711"/>
    <w:rsid w:val="00182C1C"/>
    <w:rsid w:val="00183FA9"/>
    <w:rsid w:val="00186E13"/>
    <w:rsid w:val="00193BD3"/>
    <w:rsid w:val="001A4B63"/>
    <w:rsid w:val="001B0269"/>
    <w:rsid w:val="001B190C"/>
    <w:rsid w:val="001B5D66"/>
    <w:rsid w:val="001C1FEE"/>
    <w:rsid w:val="001C271D"/>
    <w:rsid w:val="001C54B8"/>
    <w:rsid w:val="001D199D"/>
    <w:rsid w:val="001D6B0A"/>
    <w:rsid w:val="001E112E"/>
    <w:rsid w:val="001E6D1D"/>
    <w:rsid w:val="001E7405"/>
    <w:rsid w:val="001F651F"/>
    <w:rsid w:val="001F6F15"/>
    <w:rsid w:val="002029A7"/>
    <w:rsid w:val="002065FB"/>
    <w:rsid w:val="002072D5"/>
    <w:rsid w:val="00207D09"/>
    <w:rsid w:val="002108C6"/>
    <w:rsid w:val="00210B02"/>
    <w:rsid w:val="00213A86"/>
    <w:rsid w:val="00214E11"/>
    <w:rsid w:val="00215E5E"/>
    <w:rsid w:val="00217EA2"/>
    <w:rsid w:val="0022123C"/>
    <w:rsid w:val="00222F56"/>
    <w:rsid w:val="00224A21"/>
    <w:rsid w:val="00230913"/>
    <w:rsid w:val="002333B2"/>
    <w:rsid w:val="00234AD4"/>
    <w:rsid w:val="00241B3E"/>
    <w:rsid w:val="00244E25"/>
    <w:rsid w:val="002460BE"/>
    <w:rsid w:val="00247353"/>
    <w:rsid w:val="002564E0"/>
    <w:rsid w:val="00257BD7"/>
    <w:rsid w:val="00264A4B"/>
    <w:rsid w:val="00264B61"/>
    <w:rsid w:val="00265739"/>
    <w:rsid w:val="002659AE"/>
    <w:rsid w:val="0026644B"/>
    <w:rsid w:val="0027015A"/>
    <w:rsid w:val="00275DC6"/>
    <w:rsid w:val="0028035A"/>
    <w:rsid w:val="0028551C"/>
    <w:rsid w:val="00285811"/>
    <w:rsid w:val="002911E6"/>
    <w:rsid w:val="00293255"/>
    <w:rsid w:val="002952E4"/>
    <w:rsid w:val="002A507C"/>
    <w:rsid w:val="002A7B5D"/>
    <w:rsid w:val="002B1BEF"/>
    <w:rsid w:val="002B2A26"/>
    <w:rsid w:val="002B6832"/>
    <w:rsid w:val="002B6C3D"/>
    <w:rsid w:val="002B7647"/>
    <w:rsid w:val="002B7E57"/>
    <w:rsid w:val="002C1FBB"/>
    <w:rsid w:val="002C48ED"/>
    <w:rsid w:val="002C5AA6"/>
    <w:rsid w:val="002D0754"/>
    <w:rsid w:val="002D0C54"/>
    <w:rsid w:val="002D16CD"/>
    <w:rsid w:val="002D38E9"/>
    <w:rsid w:val="002D477A"/>
    <w:rsid w:val="002D4DEF"/>
    <w:rsid w:val="002D62E4"/>
    <w:rsid w:val="002D7D3A"/>
    <w:rsid w:val="002E0BB0"/>
    <w:rsid w:val="002E443D"/>
    <w:rsid w:val="002E6250"/>
    <w:rsid w:val="002E7709"/>
    <w:rsid w:val="002F2367"/>
    <w:rsid w:val="002F363E"/>
    <w:rsid w:val="00306E1E"/>
    <w:rsid w:val="00311714"/>
    <w:rsid w:val="003117C2"/>
    <w:rsid w:val="00320886"/>
    <w:rsid w:val="0032151B"/>
    <w:rsid w:val="00325E38"/>
    <w:rsid w:val="00326D5E"/>
    <w:rsid w:val="003328A2"/>
    <w:rsid w:val="00332BDE"/>
    <w:rsid w:val="00332D2A"/>
    <w:rsid w:val="003345B4"/>
    <w:rsid w:val="00334DBD"/>
    <w:rsid w:val="0034354C"/>
    <w:rsid w:val="003454F4"/>
    <w:rsid w:val="00353547"/>
    <w:rsid w:val="00361834"/>
    <w:rsid w:val="003655B8"/>
    <w:rsid w:val="0036713C"/>
    <w:rsid w:val="0037152D"/>
    <w:rsid w:val="0037161D"/>
    <w:rsid w:val="00372E4B"/>
    <w:rsid w:val="003733EE"/>
    <w:rsid w:val="00373453"/>
    <w:rsid w:val="0037425C"/>
    <w:rsid w:val="003742A4"/>
    <w:rsid w:val="0037666E"/>
    <w:rsid w:val="00377BF5"/>
    <w:rsid w:val="00377E69"/>
    <w:rsid w:val="0038200F"/>
    <w:rsid w:val="00384894"/>
    <w:rsid w:val="0039037F"/>
    <w:rsid w:val="0039285B"/>
    <w:rsid w:val="00396BF0"/>
    <w:rsid w:val="003972E1"/>
    <w:rsid w:val="003A00B6"/>
    <w:rsid w:val="003A486E"/>
    <w:rsid w:val="003A6484"/>
    <w:rsid w:val="003A676A"/>
    <w:rsid w:val="003A7D0F"/>
    <w:rsid w:val="003B1D8F"/>
    <w:rsid w:val="003B215B"/>
    <w:rsid w:val="003B3F83"/>
    <w:rsid w:val="003B52AA"/>
    <w:rsid w:val="003B7251"/>
    <w:rsid w:val="003C0559"/>
    <w:rsid w:val="003C0D66"/>
    <w:rsid w:val="003C1BC1"/>
    <w:rsid w:val="003C418D"/>
    <w:rsid w:val="003C4672"/>
    <w:rsid w:val="003C48FF"/>
    <w:rsid w:val="003C551F"/>
    <w:rsid w:val="003D04D3"/>
    <w:rsid w:val="003D0F6C"/>
    <w:rsid w:val="003D2BCF"/>
    <w:rsid w:val="003D42F1"/>
    <w:rsid w:val="003D5035"/>
    <w:rsid w:val="003E4220"/>
    <w:rsid w:val="003E7E75"/>
    <w:rsid w:val="004026DD"/>
    <w:rsid w:val="00402901"/>
    <w:rsid w:val="00402D91"/>
    <w:rsid w:val="00404BF2"/>
    <w:rsid w:val="00407258"/>
    <w:rsid w:val="00407853"/>
    <w:rsid w:val="00411F46"/>
    <w:rsid w:val="004160E9"/>
    <w:rsid w:val="00416141"/>
    <w:rsid w:val="00416ED6"/>
    <w:rsid w:val="00422305"/>
    <w:rsid w:val="004348FB"/>
    <w:rsid w:val="00435AB0"/>
    <w:rsid w:val="00435F6C"/>
    <w:rsid w:val="0043646D"/>
    <w:rsid w:val="00440C76"/>
    <w:rsid w:val="004429D6"/>
    <w:rsid w:val="004453DE"/>
    <w:rsid w:val="00445CFF"/>
    <w:rsid w:val="00446B8A"/>
    <w:rsid w:val="00446F4F"/>
    <w:rsid w:val="00451787"/>
    <w:rsid w:val="004534F9"/>
    <w:rsid w:val="004542B8"/>
    <w:rsid w:val="00462455"/>
    <w:rsid w:val="00472BBD"/>
    <w:rsid w:val="004809D8"/>
    <w:rsid w:val="00481D11"/>
    <w:rsid w:val="00485F05"/>
    <w:rsid w:val="00487318"/>
    <w:rsid w:val="00493391"/>
    <w:rsid w:val="00494543"/>
    <w:rsid w:val="00495832"/>
    <w:rsid w:val="004A0D81"/>
    <w:rsid w:val="004A195A"/>
    <w:rsid w:val="004A34E8"/>
    <w:rsid w:val="004A64C8"/>
    <w:rsid w:val="004A6CA6"/>
    <w:rsid w:val="004B276A"/>
    <w:rsid w:val="004B3215"/>
    <w:rsid w:val="004C2C7B"/>
    <w:rsid w:val="004D08C1"/>
    <w:rsid w:val="004D2245"/>
    <w:rsid w:val="004D3F82"/>
    <w:rsid w:val="004D5D35"/>
    <w:rsid w:val="004E0027"/>
    <w:rsid w:val="004E06BE"/>
    <w:rsid w:val="004E2D0B"/>
    <w:rsid w:val="004E67BE"/>
    <w:rsid w:val="004F1A27"/>
    <w:rsid w:val="00500CAC"/>
    <w:rsid w:val="005032F9"/>
    <w:rsid w:val="005075C6"/>
    <w:rsid w:val="00511A6E"/>
    <w:rsid w:val="005160D0"/>
    <w:rsid w:val="0052228D"/>
    <w:rsid w:val="00523923"/>
    <w:rsid w:val="005246DC"/>
    <w:rsid w:val="005250E6"/>
    <w:rsid w:val="00526E80"/>
    <w:rsid w:val="00527096"/>
    <w:rsid w:val="005341E5"/>
    <w:rsid w:val="005352AD"/>
    <w:rsid w:val="005356FF"/>
    <w:rsid w:val="00544027"/>
    <w:rsid w:val="00544A89"/>
    <w:rsid w:val="0054592E"/>
    <w:rsid w:val="00546B76"/>
    <w:rsid w:val="00546F24"/>
    <w:rsid w:val="005500FC"/>
    <w:rsid w:val="00553C3A"/>
    <w:rsid w:val="00555615"/>
    <w:rsid w:val="00557C47"/>
    <w:rsid w:val="00557E5E"/>
    <w:rsid w:val="005642D4"/>
    <w:rsid w:val="005675C8"/>
    <w:rsid w:val="00576CA2"/>
    <w:rsid w:val="00577EAF"/>
    <w:rsid w:val="00580551"/>
    <w:rsid w:val="00584D14"/>
    <w:rsid w:val="00591246"/>
    <w:rsid w:val="0059671E"/>
    <w:rsid w:val="005A441E"/>
    <w:rsid w:val="005A4F97"/>
    <w:rsid w:val="005A643C"/>
    <w:rsid w:val="005B07CD"/>
    <w:rsid w:val="005B1513"/>
    <w:rsid w:val="005B3739"/>
    <w:rsid w:val="005B4C04"/>
    <w:rsid w:val="005B4D63"/>
    <w:rsid w:val="005B5C7D"/>
    <w:rsid w:val="005C103A"/>
    <w:rsid w:val="005D0BBF"/>
    <w:rsid w:val="005E629A"/>
    <w:rsid w:val="005E6FE1"/>
    <w:rsid w:val="005F24C0"/>
    <w:rsid w:val="005F3AFC"/>
    <w:rsid w:val="006007DA"/>
    <w:rsid w:val="00603F93"/>
    <w:rsid w:val="00605EE9"/>
    <w:rsid w:val="006139F8"/>
    <w:rsid w:val="006173E4"/>
    <w:rsid w:val="00622ED3"/>
    <w:rsid w:val="00626681"/>
    <w:rsid w:val="00632D59"/>
    <w:rsid w:val="00641AEF"/>
    <w:rsid w:val="00642426"/>
    <w:rsid w:val="006454E8"/>
    <w:rsid w:val="00653E0C"/>
    <w:rsid w:val="0065733E"/>
    <w:rsid w:val="006579B7"/>
    <w:rsid w:val="00660C62"/>
    <w:rsid w:val="00661965"/>
    <w:rsid w:val="00661BE1"/>
    <w:rsid w:val="00663447"/>
    <w:rsid w:val="006642C4"/>
    <w:rsid w:val="0066692F"/>
    <w:rsid w:val="006748F6"/>
    <w:rsid w:val="00674FCB"/>
    <w:rsid w:val="006765FB"/>
    <w:rsid w:val="00683663"/>
    <w:rsid w:val="00684A6E"/>
    <w:rsid w:val="00684DEE"/>
    <w:rsid w:val="0068655C"/>
    <w:rsid w:val="00686A3A"/>
    <w:rsid w:val="0068717F"/>
    <w:rsid w:val="006907A6"/>
    <w:rsid w:val="006921D1"/>
    <w:rsid w:val="006968C1"/>
    <w:rsid w:val="006A1162"/>
    <w:rsid w:val="006A1720"/>
    <w:rsid w:val="006A5CFB"/>
    <w:rsid w:val="006A6683"/>
    <w:rsid w:val="006B4298"/>
    <w:rsid w:val="006B7F68"/>
    <w:rsid w:val="006C47DD"/>
    <w:rsid w:val="006C5061"/>
    <w:rsid w:val="006C5703"/>
    <w:rsid w:val="006C688F"/>
    <w:rsid w:val="006C7D5A"/>
    <w:rsid w:val="006C7E0F"/>
    <w:rsid w:val="006D1BD7"/>
    <w:rsid w:val="006D4A7B"/>
    <w:rsid w:val="006D6C69"/>
    <w:rsid w:val="006D78C5"/>
    <w:rsid w:val="006E3839"/>
    <w:rsid w:val="006E50D6"/>
    <w:rsid w:val="006E791A"/>
    <w:rsid w:val="006F3357"/>
    <w:rsid w:val="006F3DFC"/>
    <w:rsid w:val="006F7A07"/>
    <w:rsid w:val="007001DA"/>
    <w:rsid w:val="007005C4"/>
    <w:rsid w:val="0070263C"/>
    <w:rsid w:val="00711C06"/>
    <w:rsid w:val="0071297F"/>
    <w:rsid w:val="007142C7"/>
    <w:rsid w:val="00715369"/>
    <w:rsid w:val="00720325"/>
    <w:rsid w:val="00727382"/>
    <w:rsid w:val="0073358F"/>
    <w:rsid w:val="00745587"/>
    <w:rsid w:val="00746FD9"/>
    <w:rsid w:val="00747582"/>
    <w:rsid w:val="00751237"/>
    <w:rsid w:val="00754378"/>
    <w:rsid w:val="0075490C"/>
    <w:rsid w:val="00756755"/>
    <w:rsid w:val="007613B3"/>
    <w:rsid w:val="00770F70"/>
    <w:rsid w:val="00771A98"/>
    <w:rsid w:val="00774438"/>
    <w:rsid w:val="0077559E"/>
    <w:rsid w:val="00776A0C"/>
    <w:rsid w:val="007826F8"/>
    <w:rsid w:val="0079338B"/>
    <w:rsid w:val="00796C20"/>
    <w:rsid w:val="007A0550"/>
    <w:rsid w:val="007A2955"/>
    <w:rsid w:val="007B3C09"/>
    <w:rsid w:val="007B4B5E"/>
    <w:rsid w:val="007B61E6"/>
    <w:rsid w:val="007B6BF8"/>
    <w:rsid w:val="007C28EB"/>
    <w:rsid w:val="007C7F78"/>
    <w:rsid w:val="007D02C5"/>
    <w:rsid w:val="007D2B45"/>
    <w:rsid w:val="007D5968"/>
    <w:rsid w:val="007D7750"/>
    <w:rsid w:val="007E06E9"/>
    <w:rsid w:val="007E5C04"/>
    <w:rsid w:val="007E73F5"/>
    <w:rsid w:val="007F3EB5"/>
    <w:rsid w:val="007F4229"/>
    <w:rsid w:val="007F46BE"/>
    <w:rsid w:val="007F7EFD"/>
    <w:rsid w:val="00801B06"/>
    <w:rsid w:val="00801C3E"/>
    <w:rsid w:val="00802DB2"/>
    <w:rsid w:val="00802FCB"/>
    <w:rsid w:val="0080603F"/>
    <w:rsid w:val="00806AF3"/>
    <w:rsid w:val="008112EB"/>
    <w:rsid w:val="00812FFA"/>
    <w:rsid w:val="00813889"/>
    <w:rsid w:val="00813D3A"/>
    <w:rsid w:val="00817672"/>
    <w:rsid w:val="008311B3"/>
    <w:rsid w:val="008346D9"/>
    <w:rsid w:val="00835781"/>
    <w:rsid w:val="00840AAE"/>
    <w:rsid w:val="00845125"/>
    <w:rsid w:val="0085213F"/>
    <w:rsid w:val="008542C0"/>
    <w:rsid w:val="00854F3A"/>
    <w:rsid w:val="00857A90"/>
    <w:rsid w:val="00857E01"/>
    <w:rsid w:val="00861563"/>
    <w:rsid w:val="00862605"/>
    <w:rsid w:val="00862E0B"/>
    <w:rsid w:val="00873C12"/>
    <w:rsid w:val="00882875"/>
    <w:rsid w:val="00883D70"/>
    <w:rsid w:val="00884DCD"/>
    <w:rsid w:val="00884F21"/>
    <w:rsid w:val="00884F6C"/>
    <w:rsid w:val="00887DC8"/>
    <w:rsid w:val="00890D0C"/>
    <w:rsid w:val="00896383"/>
    <w:rsid w:val="008974A1"/>
    <w:rsid w:val="008A2A60"/>
    <w:rsid w:val="008B0A0B"/>
    <w:rsid w:val="008B3BDE"/>
    <w:rsid w:val="008B60B5"/>
    <w:rsid w:val="008C1ECF"/>
    <w:rsid w:val="008C2CF9"/>
    <w:rsid w:val="008C5761"/>
    <w:rsid w:val="008C5FA4"/>
    <w:rsid w:val="008D38B4"/>
    <w:rsid w:val="008D79DD"/>
    <w:rsid w:val="008E375E"/>
    <w:rsid w:val="008F6F72"/>
    <w:rsid w:val="008F7DB9"/>
    <w:rsid w:val="0090065A"/>
    <w:rsid w:val="00900912"/>
    <w:rsid w:val="009032D4"/>
    <w:rsid w:val="00903E9D"/>
    <w:rsid w:val="00905953"/>
    <w:rsid w:val="00906E2A"/>
    <w:rsid w:val="0091026C"/>
    <w:rsid w:val="009109A5"/>
    <w:rsid w:val="0091382D"/>
    <w:rsid w:val="009149E6"/>
    <w:rsid w:val="009203FF"/>
    <w:rsid w:val="009215D3"/>
    <w:rsid w:val="00922852"/>
    <w:rsid w:val="009247BD"/>
    <w:rsid w:val="00934DCF"/>
    <w:rsid w:val="0094440D"/>
    <w:rsid w:val="009512AC"/>
    <w:rsid w:val="009523D4"/>
    <w:rsid w:val="00952A28"/>
    <w:rsid w:val="0095309F"/>
    <w:rsid w:val="009536EF"/>
    <w:rsid w:val="00960715"/>
    <w:rsid w:val="0096249B"/>
    <w:rsid w:val="00962DA6"/>
    <w:rsid w:val="00962F0B"/>
    <w:rsid w:val="0096378A"/>
    <w:rsid w:val="009637FF"/>
    <w:rsid w:val="00963C52"/>
    <w:rsid w:val="009657AF"/>
    <w:rsid w:val="00970EBD"/>
    <w:rsid w:val="009718F0"/>
    <w:rsid w:val="00975550"/>
    <w:rsid w:val="0098623F"/>
    <w:rsid w:val="00986BB3"/>
    <w:rsid w:val="009905DE"/>
    <w:rsid w:val="00994B1E"/>
    <w:rsid w:val="009A04EA"/>
    <w:rsid w:val="009A11FE"/>
    <w:rsid w:val="009A174E"/>
    <w:rsid w:val="009A1C63"/>
    <w:rsid w:val="009B3C84"/>
    <w:rsid w:val="009B6BAC"/>
    <w:rsid w:val="009B6EFC"/>
    <w:rsid w:val="009C3D1D"/>
    <w:rsid w:val="009C472F"/>
    <w:rsid w:val="009C71CD"/>
    <w:rsid w:val="009D5ED5"/>
    <w:rsid w:val="009E3DE2"/>
    <w:rsid w:val="009E5514"/>
    <w:rsid w:val="009E758D"/>
    <w:rsid w:val="009F1B4A"/>
    <w:rsid w:val="009F21CA"/>
    <w:rsid w:val="009F574B"/>
    <w:rsid w:val="009F5CA4"/>
    <w:rsid w:val="00A00690"/>
    <w:rsid w:val="00A0375D"/>
    <w:rsid w:val="00A11FA1"/>
    <w:rsid w:val="00A15D12"/>
    <w:rsid w:val="00A249A6"/>
    <w:rsid w:val="00A24FA9"/>
    <w:rsid w:val="00A26E41"/>
    <w:rsid w:val="00A30005"/>
    <w:rsid w:val="00A3477D"/>
    <w:rsid w:val="00A44188"/>
    <w:rsid w:val="00A51CFE"/>
    <w:rsid w:val="00A54DAA"/>
    <w:rsid w:val="00A56EC7"/>
    <w:rsid w:val="00A70C7D"/>
    <w:rsid w:val="00A71939"/>
    <w:rsid w:val="00A71AB3"/>
    <w:rsid w:val="00A7304B"/>
    <w:rsid w:val="00A73543"/>
    <w:rsid w:val="00A7722C"/>
    <w:rsid w:val="00A80C16"/>
    <w:rsid w:val="00A8354D"/>
    <w:rsid w:val="00A84F8F"/>
    <w:rsid w:val="00A86B7D"/>
    <w:rsid w:val="00A934E9"/>
    <w:rsid w:val="00A94248"/>
    <w:rsid w:val="00A97890"/>
    <w:rsid w:val="00A97B08"/>
    <w:rsid w:val="00AA3BE0"/>
    <w:rsid w:val="00AB0AF1"/>
    <w:rsid w:val="00AC0735"/>
    <w:rsid w:val="00AC083A"/>
    <w:rsid w:val="00AC1250"/>
    <w:rsid w:val="00AC78AC"/>
    <w:rsid w:val="00AD0A5D"/>
    <w:rsid w:val="00AD60FD"/>
    <w:rsid w:val="00AD6B42"/>
    <w:rsid w:val="00AE48C4"/>
    <w:rsid w:val="00AE74FB"/>
    <w:rsid w:val="00AF077A"/>
    <w:rsid w:val="00AF0D54"/>
    <w:rsid w:val="00AF3B0E"/>
    <w:rsid w:val="00B019F6"/>
    <w:rsid w:val="00B02636"/>
    <w:rsid w:val="00B05ABF"/>
    <w:rsid w:val="00B12254"/>
    <w:rsid w:val="00B12439"/>
    <w:rsid w:val="00B1410D"/>
    <w:rsid w:val="00B14BE6"/>
    <w:rsid w:val="00B22FF0"/>
    <w:rsid w:val="00B23510"/>
    <w:rsid w:val="00B253EC"/>
    <w:rsid w:val="00B25923"/>
    <w:rsid w:val="00B33574"/>
    <w:rsid w:val="00B35096"/>
    <w:rsid w:val="00B35161"/>
    <w:rsid w:val="00B35723"/>
    <w:rsid w:val="00B37562"/>
    <w:rsid w:val="00B4127F"/>
    <w:rsid w:val="00B415E7"/>
    <w:rsid w:val="00B522AC"/>
    <w:rsid w:val="00B5546B"/>
    <w:rsid w:val="00B62269"/>
    <w:rsid w:val="00B63E76"/>
    <w:rsid w:val="00B6608E"/>
    <w:rsid w:val="00B66698"/>
    <w:rsid w:val="00B677D8"/>
    <w:rsid w:val="00B814B7"/>
    <w:rsid w:val="00B82993"/>
    <w:rsid w:val="00B84938"/>
    <w:rsid w:val="00B85C05"/>
    <w:rsid w:val="00B92528"/>
    <w:rsid w:val="00B96CAE"/>
    <w:rsid w:val="00BA3C42"/>
    <w:rsid w:val="00BA4E76"/>
    <w:rsid w:val="00BB0329"/>
    <w:rsid w:val="00BB1006"/>
    <w:rsid w:val="00BB479A"/>
    <w:rsid w:val="00BB4A6F"/>
    <w:rsid w:val="00BC0092"/>
    <w:rsid w:val="00BC06E9"/>
    <w:rsid w:val="00BC0CF7"/>
    <w:rsid w:val="00BC0D7B"/>
    <w:rsid w:val="00BD2514"/>
    <w:rsid w:val="00BD6210"/>
    <w:rsid w:val="00BE7453"/>
    <w:rsid w:val="00BF401A"/>
    <w:rsid w:val="00BF605F"/>
    <w:rsid w:val="00C0266C"/>
    <w:rsid w:val="00C046B2"/>
    <w:rsid w:val="00C1551F"/>
    <w:rsid w:val="00C159E2"/>
    <w:rsid w:val="00C25DC0"/>
    <w:rsid w:val="00C34C2B"/>
    <w:rsid w:val="00C35BEB"/>
    <w:rsid w:val="00C401E7"/>
    <w:rsid w:val="00C4073B"/>
    <w:rsid w:val="00C427CA"/>
    <w:rsid w:val="00C4307C"/>
    <w:rsid w:val="00C448ED"/>
    <w:rsid w:val="00C62593"/>
    <w:rsid w:val="00C62EFB"/>
    <w:rsid w:val="00C67879"/>
    <w:rsid w:val="00C711EC"/>
    <w:rsid w:val="00C717ED"/>
    <w:rsid w:val="00C75465"/>
    <w:rsid w:val="00C756A2"/>
    <w:rsid w:val="00C77245"/>
    <w:rsid w:val="00C77B32"/>
    <w:rsid w:val="00C852E3"/>
    <w:rsid w:val="00C926AE"/>
    <w:rsid w:val="00C92726"/>
    <w:rsid w:val="00C962C7"/>
    <w:rsid w:val="00C972F8"/>
    <w:rsid w:val="00CA05AB"/>
    <w:rsid w:val="00CB085B"/>
    <w:rsid w:val="00CB2B43"/>
    <w:rsid w:val="00CB3017"/>
    <w:rsid w:val="00CB3A47"/>
    <w:rsid w:val="00CB7B98"/>
    <w:rsid w:val="00CC4FAD"/>
    <w:rsid w:val="00CD3149"/>
    <w:rsid w:val="00CD3E5C"/>
    <w:rsid w:val="00CE10A9"/>
    <w:rsid w:val="00CE46A7"/>
    <w:rsid w:val="00CE551E"/>
    <w:rsid w:val="00CE769B"/>
    <w:rsid w:val="00CF15F9"/>
    <w:rsid w:val="00CF2897"/>
    <w:rsid w:val="00CF486C"/>
    <w:rsid w:val="00CF5535"/>
    <w:rsid w:val="00D03797"/>
    <w:rsid w:val="00D042EF"/>
    <w:rsid w:val="00D05933"/>
    <w:rsid w:val="00D06C92"/>
    <w:rsid w:val="00D106AB"/>
    <w:rsid w:val="00D15626"/>
    <w:rsid w:val="00D24E21"/>
    <w:rsid w:val="00D26336"/>
    <w:rsid w:val="00D3303B"/>
    <w:rsid w:val="00D35998"/>
    <w:rsid w:val="00D37AFB"/>
    <w:rsid w:val="00D4158A"/>
    <w:rsid w:val="00D41D98"/>
    <w:rsid w:val="00D460BE"/>
    <w:rsid w:val="00D505DE"/>
    <w:rsid w:val="00D511CF"/>
    <w:rsid w:val="00D5235F"/>
    <w:rsid w:val="00D5258E"/>
    <w:rsid w:val="00D53102"/>
    <w:rsid w:val="00D541BC"/>
    <w:rsid w:val="00D60897"/>
    <w:rsid w:val="00D61A9A"/>
    <w:rsid w:val="00D64897"/>
    <w:rsid w:val="00D67207"/>
    <w:rsid w:val="00D675C4"/>
    <w:rsid w:val="00D72E5E"/>
    <w:rsid w:val="00D7341E"/>
    <w:rsid w:val="00D806F6"/>
    <w:rsid w:val="00D82109"/>
    <w:rsid w:val="00D84097"/>
    <w:rsid w:val="00D858B1"/>
    <w:rsid w:val="00D867C4"/>
    <w:rsid w:val="00D86D91"/>
    <w:rsid w:val="00D86DC1"/>
    <w:rsid w:val="00D87478"/>
    <w:rsid w:val="00D9215E"/>
    <w:rsid w:val="00D92AE1"/>
    <w:rsid w:val="00D94583"/>
    <w:rsid w:val="00D96AE5"/>
    <w:rsid w:val="00DA0AD0"/>
    <w:rsid w:val="00DA7EFE"/>
    <w:rsid w:val="00DB419B"/>
    <w:rsid w:val="00DB45DD"/>
    <w:rsid w:val="00DC623D"/>
    <w:rsid w:val="00DD2C60"/>
    <w:rsid w:val="00DD45BF"/>
    <w:rsid w:val="00DE40E3"/>
    <w:rsid w:val="00DE7BFC"/>
    <w:rsid w:val="00DF0A9B"/>
    <w:rsid w:val="00DF4EA5"/>
    <w:rsid w:val="00E00B53"/>
    <w:rsid w:val="00E03E35"/>
    <w:rsid w:val="00E04E14"/>
    <w:rsid w:val="00E05E8C"/>
    <w:rsid w:val="00E11D1F"/>
    <w:rsid w:val="00E13740"/>
    <w:rsid w:val="00E15E03"/>
    <w:rsid w:val="00E1640D"/>
    <w:rsid w:val="00E17BC1"/>
    <w:rsid w:val="00E2153C"/>
    <w:rsid w:val="00E24709"/>
    <w:rsid w:val="00E3374C"/>
    <w:rsid w:val="00E5163F"/>
    <w:rsid w:val="00E54A5D"/>
    <w:rsid w:val="00E55B2F"/>
    <w:rsid w:val="00E612AA"/>
    <w:rsid w:val="00E61D56"/>
    <w:rsid w:val="00E62D45"/>
    <w:rsid w:val="00E630F3"/>
    <w:rsid w:val="00E654DC"/>
    <w:rsid w:val="00E67201"/>
    <w:rsid w:val="00E7524E"/>
    <w:rsid w:val="00E80072"/>
    <w:rsid w:val="00E82013"/>
    <w:rsid w:val="00E82A93"/>
    <w:rsid w:val="00E85D3A"/>
    <w:rsid w:val="00E954F3"/>
    <w:rsid w:val="00E96CA2"/>
    <w:rsid w:val="00E96FE8"/>
    <w:rsid w:val="00EA177E"/>
    <w:rsid w:val="00EA423D"/>
    <w:rsid w:val="00EA6D4D"/>
    <w:rsid w:val="00EB4CD4"/>
    <w:rsid w:val="00EB76A6"/>
    <w:rsid w:val="00EC0480"/>
    <w:rsid w:val="00EC5E3A"/>
    <w:rsid w:val="00ED1473"/>
    <w:rsid w:val="00ED1C78"/>
    <w:rsid w:val="00ED65D3"/>
    <w:rsid w:val="00EE0C56"/>
    <w:rsid w:val="00EE3A60"/>
    <w:rsid w:val="00EE5CCA"/>
    <w:rsid w:val="00EE6EE9"/>
    <w:rsid w:val="00EE71D9"/>
    <w:rsid w:val="00EE7747"/>
    <w:rsid w:val="00EF186E"/>
    <w:rsid w:val="00EF5A83"/>
    <w:rsid w:val="00F02182"/>
    <w:rsid w:val="00F027D0"/>
    <w:rsid w:val="00F02913"/>
    <w:rsid w:val="00F04727"/>
    <w:rsid w:val="00F13F95"/>
    <w:rsid w:val="00F149D8"/>
    <w:rsid w:val="00F219DD"/>
    <w:rsid w:val="00F2296D"/>
    <w:rsid w:val="00F2300E"/>
    <w:rsid w:val="00F24528"/>
    <w:rsid w:val="00F246C3"/>
    <w:rsid w:val="00F31118"/>
    <w:rsid w:val="00F31886"/>
    <w:rsid w:val="00F31CBE"/>
    <w:rsid w:val="00F33392"/>
    <w:rsid w:val="00F349B0"/>
    <w:rsid w:val="00F35E74"/>
    <w:rsid w:val="00F4114E"/>
    <w:rsid w:val="00F506CE"/>
    <w:rsid w:val="00F509A4"/>
    <w:rsid w:val="00F576A2"/>
    <w:rsid w:val="00F60023"/>
    <w:rsid w:val="00F627BE"/>
    <w:rsid w:val="00F63E91"/>
    <w:rsid w:val="00F71E18"/>
    <w:rsid w:val="00F7484C"/>
    <w:rsid w:val="00F75912"/>
    <w:rsid w:val="00F813EA"/>
    <w:rsid w:val="00F834BF"/>
    <w:rsid w:val="00F8439C"/>
    <w:rsid w:val="00F90618"/>
    <w:rsid w:val="00F97B64"/>
    <w:rsid w:val="00FA55CB"/>
    <w:rsid w:val="00FB2897"/>
    <w:rsid w:val="00FB5D2C"/>
    <w:rsid w:val="00FB6F21"/>
    <w:rsid w:val="00FC1ABD"/>
    <w:rsid w:val="00FD2722"/>
    <w:rsid w:val="00FE0D59"/>
    <w:rsid w:val="00FE1530"/>
    <w:rsid w:val="00FE2A80"/>
    <w:rsid w:val="00FE3848"/>
    <w:rsid w:val="00FE45BF"/>
    <w:rsid w:val="00FE46C7"/>
    <w:rsid w:val="00FE4EFA"/>
    <w:rsid w:val="00FF713E"/>
    <w:rsid w:val="11300E6A"/>
    <w:rsid w:val="12297930"/>
    <w:rsid w:val="14F18F8C"/>
    <w:rsid w:val="174A7F70"/>
    <w:rsid w:val="1EFAFAE1"/>
    <w:rsid w:val="2357187D"/>
    <w:rsid w:val="2452B5F9"/>
    <w:rsid w:val="2B7F90FC"/>
    <w:rsid w:val="2F7D6615"/>
    <w:rsid w:val="2FCEBBFA"/>
    <w:rsid w:val="2FD02D48"/>
    <w:rsid w:val="321A874F"/>
    <w:rsid w:val="33189816"/>
    <w:rsid w:val="3380E50D"/>
    <w:rsid w:val="3571A924"/>
    <w:rsid w:val="35DAE2B0"/>
    <w:rsid w:val="36894E2A"/>
    <w:rsid w:val="385C6CFA"/>
    <w:rsid w:val="3907E6B1"/>
    <w:rsid w:val="39788DCD"/>
    <w:rsid w:val="448ACBCA"/>
    <w:rsid w:val="472EBBDE"/>
    <w:rsid w:val="49F413A5"/>
    <w:rsid w:val="538BD8A5"/>
    <w:rsid w:val="58A59A3E"/>
    <w:rsid w:val="591A5C37"/>
    <w:rsid w:val="5AE6B7CB"/>
    <w:rsid w:val="5B8122D3"/>
    <w:rsid w:val="5BEACBAE"/>
    <w:rsid w:val="5DD2836A"/>
    <w:rsid w:val="5EFBB10C"/>
    <w:rsid w:val="5F6EB76A"/>
    <w:rsid w:val="61716152"/>
    <w:rsid w:val="69861F26"/>
    <w:rsid w:val="6A9CBC84"/>
    <w:rsid w:val="70D091E6"/>
    <w:rsid w:val="72D1C02E"/>
    <w:rsid w:val="74432242"/>
    <w:rsid w:val="751D14E1"/>
    <w:rsid w:val="77B77510"/>
    <w:rsid w:val="794A776C"/>
    <w:rsid w:val="7AAA8294"/>
    <w:rsid w:val="7EA9C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3028A2"/>
  <w15:docId w15:val="{056C427C-3B4D-45D2-91BD-29F052C3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uiPriority w:val="34"/>
    <w:qFormat/>
    <w:rsid w:val="00DB419B"/>
    <w:pPr>
      <w:spacing w:line="240" w:lineRule="auto"/>
      <w:ind w:left="708"/>
    </w:pPr>
    <w:rPr>
      <w:rFonts w:ascii="Times New Roman" w:eastAsia="Times New Roman" w:hAnsi="Times New Roman"/>
      <w:color w:val="auto"/>
      <w:sz w:val="24"/>
      <w:szCs w:val="24"/>
      <w:lang w:val="fr-FR" w:eastAsia="fr-FR"/>
    </w:rPr>
  </w:style>
  <w:style w:type="paragraph" w:styleId="Revision">
    <w:name w:val="Revision"/>
    <w:hidden/>
    <w:uiPriority w:val="99"/>
    <w:semiHidden/>
    <w:rsid w:val="003A6484"/>
    <w:rPr>
      <w:rFonts w:ascii="Arial" w:eastAsia="MS PGothic" w:hAnsi="Arial"/>
      <w:color w:val="000000"/>
    </w:rPr>
  </w:style>
  <w:style w:type="character" w:styleId="CommentReference">
    <w:name w:val="annotation reference"/>
    <w:basedOn w:val="DefaultParagraphFont"/>
    <w:semiHidden/>
    <w:unhideWhenUsed/>
    <w:rsid w:val="00605EE9"/>
    <w:rPr>
      <w:sz w:val="16"/>
      <w:szCs w:val="16"/>
    </w:rPr>
  </w:style>
  <w:style w:type="paragraph" w:styleId="CommentSubject">
    <w:name w:val="annotation subject"/>
    <w:basedOn w:val="CommentText"/>
    <w:next w:val="CommentText"/>
    <w:link w:val="CommentSubjectChar"/>
    <w:semiHidden/>
    <w:unhideWhenUsed/>
    <w:rsid w:val="00605EE9"/>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05EE9"/>
    <w:rPr>
      <w:rFonts w:ascii="Arial" w:eastAsia="MS PGothic" w:hAnsi="Arial"/>
      <w:b/>
      <w:bCs/>
      <w:color w:val="000000"/>
      <w:lang w:val="en-GB"/>
    </w:rPr>
  </w:style>
  <w:style w:type="character" w:customStyle="1" w:styleId="Mention1">
    <w:name w:val="Mention1"/>
    <w:basedOn w:val="DefaultParagraphFont"/>
    <w:uiPriority w:val="99"/>
    <w:unhideWhenUsed/>
    <w:rsid w:val="00546B76"/>
    <w:rPr>
      <w:color w:val="2B579A"/>
      <w:shd w:val="clear" w:color="auto" w:fill="E1DFDD"/>
    </w:rPr>
  </w:style>
  <w:style w:type="paragraph" w:customStyle="1" w:styleId="TableParagraph">
    <w:name w:val="Table Paragraph"/>
    <w:basedOn w:val="Normal"/>
    <w:uiPriority w:val="1"/>
    <w:qFormat/>
    <w:rsid w:val="009523D4"/>
    <w:pPr>
      <w:widowControl w:val="0"/>
      <w:autoSpaceDE w:val="0"/>
      <w:autoSpaceDN w:val="0"/>
      <w:spacing w:line="240" w:lineRule="auto"/>
    </w:pPr>
    <w:rPr>
      <w:rFonts w:ascii="Calibri" w:eastAsia="Calibri" w:hAnsi="Calibri" w:cs="Calibri"/>
      <w:color w:val="auto"/>
      <w:sz w:val="22"/>
      <w:szCs w:val="22"/>
      <w:lang w:val="fr-FR" w:eastAsia="fr-FR" w:bidi="fr-FR"/>
    </w:rPr>
  </w:style>
  <w:style w:type="numbering" w:customStyle="1" w:styleId="CurrentList1">
    <w:name w:val="Current List1"/>
    <w:uiPriority w:val="99"/>
    <w:rsid w:val="00FE45BF"/>
    <w:pPr>
      <w:numPr>
        <w:numId w:val="15"/>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63277927">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2.xml><?xml version="1.0" encoding="utf-8"?>
<ds:datastoreItem xmlns:ds="http://schemas.openxmlformats.org/officeDocument/2006/customXml" ds:itemID="{D5756ED0-F206-4C52-A949-EA0169CF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7F6F216F-26FE-4847-BD0B-71C0A4C86BC8}">
  <ds:schemaRefs>
    <ds:schemaRef ds:uri="http://schemas.openxmlformats.org/officeDocument/2006/bibliography"/>
  </ds:schemaRefs>
</ds:datastoreItem>
</file>

<file path=customXml/itemProps5.xml><?xml version="1.0" encoding="utf-8"?>
<ds:datastoreItem xmlns:ds="http://schemas.openxmlformats.org/officeDocument/2006/customXml" ds:itemID="{6B082430-3ABE-4F71-98CA-6C1BB9F50233}">
  <ds:schemaRefs>
    <ds:schemaRef ds:uri="Microsoft.SharePoint.Taxonomy.ContentTypeSync"/>
  </ds:schemaRefs>
</ds:datastoreItem>
</file>

<file path=customXml/itemProps6.xml><?xml version="1.0" encoding="utf-8"?>
<ds:datastoreItem xmlns:ds="http://schemas.openxmlformats.org/officeDocument/2006/customXml" ds:itemID="{C9C64C5B-1D1B-45A0-8AC8-633C6A42853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2889</Words>
  <Characters>15894</Characters>
  <Application>Microsoft Office Word</Application>
  <DocSecurity>0</DocSecurity>
  <Lines>132</Lines>
  <Paragraphs>37</Paragraphs>
  <ScaleCrop>false</ScaleCrop>
  <Company>UNICEF</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Administrator</dc:creator>
  <cp:keywords>Consultant ; Terms of reference</cp:keywords>
  <dc:description/>
  <cp:lastModifiedBy>Ghassen Akrimi</cp:lastModifiedBy>
  <cp:revision>2</cp:revision>
  <cp:lastPrinted>2017-01-07T07:20:00Z</cp:lastPrinted>
  <dcterms:created xsi:type="dcterms:W3CDTF">2024-02-27T08:35:00Z</dcterms:created>
  <dcterms:modified xsi:type="dcterms:W3CDTF">2024-02-27T08:35:00Z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0x0101009D4933094DACBA4DACDBEF281E148814</vt:lpwstr>
  </property>
  <property fmtid="{D5CDD505-2E9C-101B-9397-08002B2CF9AE}" pid="3" name="TaxKeyword">
    <vt:lpwstr>4;#Consultant|97dbf340-afa5-45ee-bb2e-48a25e57c80a;#38;#Terms of reference|26e23d09-321c-47a9-b467-3d76284820e0</vt:lpwstr>
  </property>
  <property fmtid="{D5CDD505-2E9C-101B-9397-08002B2CF9AE}" pid="4" name="Topic">
    <vt:lpwstr/>
  </property>
  <property fmtid="{D5CDD505-2E9C-101B-9397-08002B2CF9AE}" pid="5" name="OfficeDivision">
    <vt:lpwstr/>
  </property>
  <property fmtid="{D5CDD505-2E9C-101B-9397-08002B2CF9AE}" pid="6" name="_dlc_DocIdItemGuid">
    <vt:lpwstr>40501985-388f-44a2-871f-4facccf89301</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SharedWithUsers">
    <vt:lpwstr>30;#Silvia Chiarucci;#572;#Ghassen Akrimi;#917;#Amani Aouadi;#49;#Samir Bouzekri;#125;#Ines Ghribi</vt:lpwstr>
  </property>
</Properties>
</file>