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374C" w14:textId="7F19238A" w:rsidR="00B14BE6" w:rsidRDefault="00B14BE6" w:rsidP="001D244C">
      <w:pPr>
        <w:spacing w:line="240" w:lineRule="auto"/>
        <w:jc w:val="center"/>
      </w:pPr>
      <w:r w:rsidRPr="29628587">
        <w:rPr>
          <w:rFonts w:ascii="Calibri" w:hAnsi="Calibri" w:cs="Calibri"/>
          <w:b/>
          <w:bCs/>
          <w:color w:val="00B0F0"/>
          <w:sz w:val="24"/>
          <w:szCs w:val="24"/>
          <w:u w:val="single"/>
        </w:rPr>
        <w:t xml:space="preserve">TERMS OF REFERENCE FOR INDIVIDUAL CONSULTANTS </w:t>
      </w:r>
    </w:p>
    <w:tbl>
      <w:tblPr>
        <w:tblpPr w:leftFromText="180" w:rightFromText="180" w:horzAnchor="margin" w:tblpY="530"/>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7195"/>
        <w:gridCol w:w="2692"/>
        <w:gridCol w:w="8"/>
      </w:tblGrid>
      <w:tr w:rsidR="00EA2244" w:rsidRPr="007613B3" w14:paraId="523C54D2" w14:textId="77777777" w:rsidTr="00EA2244">
        <w:tc>
          <w:tcPr>
            <w:tcW w:w="7195" w:type="dxa"/>
            <w:tcBorders>
              <w:bottom w:val="nil"/>
            </w:tcBorders>
            <w:shd w:val="clear" w:color="auto" w:fill="auto"/>
            <w:noWrap/>
            <w:hideMark/>
          </w:tcPr>
          <w:p w14:paraId="5B12A891" w14:textId="4D85B713" w:rsidR="00EA2244" w:rsidRPr="00411FE7" w:rsidRDefault="00EA2244" w:rsidP="001D244C">
            <w:pPr>
              <w:tabs>
                <w:tab w:val="center" w:pos="1241"/>
              </w:tabs>
              <w:spacing w:line="240" w:lineRule="auto"/>
              <w:rPr>
                <w:rFonts w:ascii="Calibri" w:eastAsia="Arial Unicode MS" w:hAnsi="Calibri" w:cs="Calibri"/>
                <w:b/>
                <w:color w:val="auto"/>
                <w:lang w:val="fr-FR"/>
              </w:rPr>
            </w:pPr>
            <w:proofErr w:type="spellStart"/>
            <w:r w:rsidRPr="00411FE7">
              <w:rPr>
                <w:rFonts w:ascii="Calibri" w:eastAsia="Arial Unicode MS" w:hAnsi="Calibri" w:cs="Calibri"/>
                <w:b/>
                <w:color w:val="auto"/>
                <w:lang w:val="fr-FR"/>
              </w:rPr>
              <w:t>Title</w:t>
            </w:r>
            <w:proofErr w:type="spellEnd"/>
            <w:r>
              <w:rPr>
                <w:rFonts w:ascii="Calibri" w:eastAsia="Arial Unicode MS" w:hAnsi="Calibri" w:cs="Calibri"/>
                <w:b/>
                <w:color w:val="auto"/>
                <w:lang w:val="fr-FR"/>
              </w:rPr>
              <w:tab/>
            </w:r>
          </w:p>
          <w:p w14:paraId="1FDF3E4F" w14:textId="50BBC004" w:rsidR="00EA2244" w:rsidRPr="00014714" w:rsidRDefault="00EA2244" w:rsidP="00851AF6">
            <w:pPr>
              <w:spacing w:line="240" w:lineRule="auto"/>
              <w:rPr>
                <w:rFonts w:ascii="Calibri" w:eastAsia="Arial Unicode MS" w:hAnsi="Calibri" w:cs="Calibri"/>
                <w:b/>
                <w:color w:val="auto"/>
                <w:lang w:val="fr-FR"/>
              </w:rPr>
            </w:pPr>
            <w:r w:rsidRPr="00014714">
              <w:rPr>
                <w:rFonts w:asciiTheme="minorHAnsi" w:hAnsiTheme="minorHAnsi" w:cstheme="minorHAnsi"/>
                <w:color w:val="auto"/>
                <w:lang w:val="fr-FR"/>
              </w:rPr>
              <w:t>Consultant Individuel pour</w:t>
            </w:r>
            <w:r>
              <w:rPr>
                <w:rFonts w:asciiTheme="minorHAnsi" w:hAnsiTheme="minorHAnsi" w:cstheme="minorHAnsi"/>
                <w:color w:val="auto"/>
                <w:lang w:val="fr-FR"/>
              </w:rPr>
              <w:t xml:space="preserve"> </w:t>
            </w:r>
            <w:r w:rsidRPr="00014714">
              <w:rPr>
                <w:rFonts w:asciiTheme="minorHAnsi" w:hAnsiTheme="minorHAnsi" w:cstheme="minorHAnsi"/>
                <w:color w:val="auto"/>
                <w:lang w:val="fr-FR"/>
              </w:rPr>
              <w:t>le renforcement du Registre Sociale Unique (RSU) de Madagascar</w:t>
            </w:r>
          </w:p>
          <w:p w14:paraId="75D9A581" w14:textId="77777777" w:rsidR="00EA2244" w:rsidRPr="00411FE7" w:rsidRDefault="00EA2244" w:rsidP="001D244C">
            <w:pPr>
              <w:spacing w:line="240" w:lineRule="auto"/>
              <w:rPr>
                <w:rFonts w:ascii="Calibri" w:eastAsia="Arial Unicode MS" w:hAnsi="Calibri" w:cs="Calibri"/>
                <w:color w:val="auto"/>
                <w:lang w:val="fr-FR"/>
              </w:rPr>
            </w:pPr>
          </w:p>
        </w:tc>
        <w:tc>
          <w:tcPr>
            <w:tcW w:w="2700" w:type="dxa"/>
            <w:gridSpan w:val="2"/>
            <w:tcBorders>
              <w:bottom w:val="nil"/>
            </w:tcBorders>
            <w:shd w:val="clear" w:color="auto" w:fill="auto"/>
          </w:tcPr>
          <w:p w14:paraId="2302C863" w14:textId="77777777" w:rsidR="00EA2244" w:rsidRDefault="00EA2244" w:rsidP="001D244C">
            <w:pPr>
              <w:spacing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Duty Station:</w:t>
            </w:r>
          </w:p>
          <w:p w14:paraId="37DC7471" w14:textId="75133CF4" w:rsidR="00EA2244" w:rsidRPr="007613B3" w:rsidRDefault="00EA2244" w:rsidP="001D244C">
            <w:pPr>
              <w:spacing w:line="240" w:lineRule="auto"/>
              <w:rPr>
                <w:rFonts w:ascii="Calibri" w:eastAsia="Arial Unicode MS" w:hAnsi="Calibri" w:cs="Calibri"/>
                <w:b/>
                <w:color w:val="auto"/>
                <w:lang w:val="en-AU"/>
              </w:rPr>
            </w:pPr>
            <w:r>
              <w:rPr>
                <w:rFonts w:asciiTheme="minorHAnsi" w:eastAsia="Arial Unicode MS" w:hAnsiTheme="minorHAnsi" w:cstheme="minorHAnsi"/>
                <w:bCs/>
                <w:color w:val="auto"/>
                <w:lang w:val="en-AU"/>
              </w:rPr>
              <w:t>Remote (with mission in Antananarivo if needed)</w:t>
            </w:r>
          </w:p>
          <w:p w14:paraId="3CCE5269" w14:textId="77777777" w:rsidR="00EA2244" w:rsidRPr="007613B3" w:rsidRDefault="00EA2244" w:rsidP="001D244C">
            <w:pPr>
              <w:spacing w:line="240" w:lineRule="auto"/>
              <w:rPr>
                <w:rFonts w:ascii="Calibri" w:eastAsia="Arial Unicode MS" w:hAnsi="Calibri" w:cs="Calibri"/>
                <w:color w:val="auto"/>
                <w:lang w:val="en-AU"/>
              </w:rPr>
            </w:pPr>
          </w:p>
        </w:tc>
      </w:tr>
      <w:tr w:rsidR="007613B3" w:rsidRPr="00A30319" w14:paraId="2F971280" w14:textId="77777777" w:rsidTr="00EA2244">
        <w:trPr>
          <w:gridAfter w:val="1"/>
          <w:wAfter w:w="8" w:type="dxa"/>
          <w:trHeight w:val="828"/>
        </w:trPr>
        <w:tc>
          <w:tcPr>
            <w:tcW w:w="9887" w:type="dxa"/>
            <w:gridSpan w:val="2"/>
            <w:tcBorders>
              <w:bottom w:val="nil"/>
            </w:tcBorders>
            <w:shd w:val="clear" w:color="auto" w:fill="auto"/>
            <w:noWrap/>
            <w:hideMark/>
          </w:tcPr>
          <w:p w14:paraId="226801C6" w14:textId="4FBE6AEB" w:rsidR="00A241F8" w:rsidRPr="00014714" w:rsidRDefault="007613B3" w:rsidP="001D244C">
            <w:pPr>
              <w:spacing w:line="240" w:lineRule="auto"/>
              <w:jc w:val="both"/>
              <w:rPr>
                <w:rFonts w:asciiTheme="minorHAnsi" w:hAnsiTheme="minorHAnsi" w:cstheme="minorHAnsi"/>
                <w:color w:val="auto"/>
                <w:lang w:val="fr-FR"/>
              </w:rPr>
            </w:pPr>
            <w:proofErr w:type="spellStart"/>
            <w:r w:rsidRPr="00014714">
              <w:rPr>
                <w:rFonts w:ascii="Calibri" w:eastAsia="Arial Unicode MS" w:hAnsi="Calibri" w:cs="Calibri"/>
                <w:b/>
                <w:color w:val="auto"/>
                <w:lang w:val="fr-FR"/>
              </w:rPr>
              <w:t>Purpose</w:t>
            </w:r>
            <w:proofErr w:type="spellEnd"/>
            <w:r w:rsidRPr="00014714">
              <w:rPr>
                <w:rFonts w:ascii="Calibri" w:eastAsia="Arial Unicode MS" w:hAnsi="Calibri" w:cs="Calibri"/>
                <w:b/>
                <w:color w:val="auto"/>
                <w:lang w:val="fr-FR"/>
              </w:rPr>
              <w:t xml:space="preserve"> of Activity/</w:t>
            </w:r>
            <w:proofErr w:type="spellStart"/>
            <w:r w:rsidRPr="00014714">
              <w:rPr>
                <w:rFonts w:ascii="Calibri" w:eastAsia="Arial Unicode MS" w:hAnsi="Calibri" w:cs="Calibri"/>
                <w:b/>
                <w:color w:val="auto"/>
                <w:lang w:val="fr-FR"/>
              </w:rPr>
              <w:t>Assignment</w:t>
            </w:r>
            <w:proofErr w:type="spellEnd"/>
            <w:r w:rsidRPr="00014714">
              <w:rPr>
                <w:rFonts w:ascii="Calibri" w:eastAsia="Arial Unicode MS" w:hAnsi="Calibri" w:cs="Calibri"/>
                <w:b/>
                <w:color w:val="auto"/>
                <w:lang w:val="fr-FR"/>
              </w:rPr>
              <w:t xml:space="preserve">: </w:t>
            </w:r>
            <w:r w:rsidR="00A241F8" w:rsidRPr="00014714">
              <w:rPr>
                <w:rFonts w:asciiTheme="minorHAnsi" w:hAnsiTheme="minorHAnsi" w:cstheme="minorHAnsi"/>
                <w:color w:val="auto"/>
                <w:lang w:val="fr-FR"/>
              </w:rPr>
              <w:t xml:space="preserve"> Consultance Internationale pour appuyer le renforcement du Registre Sociale Unique (RSU) de Madagascar dans l’identification, le suivi et la réponse aux vulnérabilités liées au changement climatique </w:t>
            </w:r>
          </w:p>
          <w:p w14:paraId="087CCFE4" w14:textId="0B18C15B" w:rsidR="007613B3" w:rsidRPr="00A241F8" w:rsidRDefault="007613B3" w:rsidP="001D244C">
            <w:pPr>
              <w:spacing w:line="240" w:lineRule="auto"/>
              <w:rPr>
                <w:rFonts w:ascii="Calibri" w:eastAsia="Arial Unicode MS" w:hAnsi="Calibri" w:cs="Calibri"/>
                <w:b/>
                <w:color w:val="auto"/>
                <w:lang w:val="fr-FR"/>
              </w:rPr>
            </w:pPr>
          </w:p>
          <w:p w14:paraId="37400F48" w14:textId="77777777" w:rsidR="007613B3" w:rsidRPr="00A241F8" w:rsidRDefault="007613B3" w:rsidP="001D244C">
            <w:pPr>
              <w:pStyle w:val="ListParagraph"/>
              <w:spacing w:line="240" w:lineRule="auto"/>
              <w:rPr>
                <w:rFonts w:ascii="Calibri" w:eastAsia="Arial Unicode MS" w:hAnsi="Calibri" w:cs="Calibri"/>
                <w:b/>
                <w:color w:val="auto"/>
                <w:lang w:val="fr-FR"/>
              </w:rPr>
            </w:pPr>
          </w:p>
        </w:tc>
      </w:tr>
      <w:tr w:rsidR="007613B3" w:rsidRPr="00A30319" w14:paraId="55B63C31" w14:textId="77777777" w:rsidTr="00EA2244">
        <w:trPr>
          <w:gridAfter w:val="1"/>
          <w:wAfter w:w="8" w:type="dxa"/>
          <w:trHeight w:val="3771"/>
        </w:trPr>
        <w:tc>
          <w:tcPr>
            <w:tcW w:w="9887" w:type="dxa"/>
            <w:gridSpan w:val="2"/>
            <w:tcBorders>
              <w:bottom w:val="nil"/>
            </w:tcBorders>
            <w:shd w:val="clear" w:color="auto" w:fill="auto"/>
            <w:noWrap/>
          </w:tcPr>
          <w:p w14:paraId="630E70CB" w14:textId="7B6F7403" w:rsidR="007613B3" w:rsidRPr="006F47D3" w:rsidRDefault="007613B3" w:rsidP="001D244C">
            <w:pPr>
              <w:spacing w:line="240" w:lineRule="auto"/>
              <w:rPr>
                <w:rFonts w:ascii="Calibri" w:eastAsia="Arial Unicode MS" w:hAnsi="Calibri" w:cs="Calibri"/>
                <w:b/>
                <w:bCs/>
                <w:color w:val="auto"/>
                <w:lang w:val="fr-FR"/>
              </w:rPr>
            </w:pPr>
          </w:p>
          <w:p w14:paraId="470377FF" w14:textId="77777777" w:rsidR="006F47D3" w:rsidRPr="003F4B85" w:rsidRDefault="006F47D3" w:rsidP="001D244C">
            <w:pPr>
              <w:pStyle w:val="Heading1"/>
              <w:spacing w:before="0" w:after="0"/>
              <w:rPr>
                <w:rFonts w:asciiTheme="minorHAnsi" w:hAnsiTheme="minorHAnsi" w:cstheme="minorHAnsi"/>
                <w:sz w:val="20"/>
                <w:szCs w:val="20"/>
                <w:lang w:val="fr-FR"/>
              </w:rPr>
            </w:pPr>
            <w:r w:rsidRPr="003F4B85">
              <w:rPr>
                <w:rFonts w:asciiTheme="minorHAnsi" w:hAnsiTheme="minorHAnsi" w:cstheme="minorHAnsi"/>
                <w:sz w:val="20"/>
                <w:szCs w:val="20"/>
                <w:lang w:val="fr-FR"/>
              </w:rPr>
              <w:t>Contexte</w:t>
            </w:r>
          </w:p>
          <w:p w14:paraId="6B1F54B1" w14:textId="6AD148E5" w:rsidR="006F47D3" w:rsidRPr="003F4B85" w:rsidRDefault="006F47D3" w:rsidP="001D244C">
            <w:pPr>
              <w:spacing w:line="240" w:lineRule="auto"/>
              <w:jc w:val="both"/>
              <w:rPr>
                <w:rFonts w:asciiTheme="minorHAnsi" w:hAnsiTheme="minorHAnsi" w:cstheme="minorHAnsi"/>
                <w:lang w:val="fr-FR"/>
              </w:rPr>
            </w:pPr>
            <w:r w:rsidRPr="003F4B85">
              <w:rPr>
                <w:rFonts w:asciiTheme="minorHAnsi" w:hAnsiTheme="minorHAnsi" w:cstheme="minorHAnsi"/>
                <w:lang w:val="fr-FR"/>
              </w:rPr>
              <w:t xml:space="preserve">Le Gouvernement de Madagascar est en train de déployer progressivement le Registre Social Unique (RSU) dans le pays. La phase pilote du registre sociale a été conduite en 2023 </w:t>
            </w:r>
            <w:r w:rsidR="009C05DF">
              <w:rPr>
                <w:rFonts w:asciiTheme="minorHAnsi" w:hAnsiTheme="minorHAnsi" w:cstheme="minorHAnsi"/>
                <w:lang w:val="fr-FR"/>
              </w:rPr>
              <w:t>sur</w:t>
            </w:r>
            <w:r w:rsidRPr="003F4B85">
              <w:rPr>
                <w:rFonts w:asciiTheme="minorHAnsi" w:hAnsiTheme="minorHAnsi" w:cstheme="minorHAnsi"/>
                <w:lang w:val="fr-FR"/>
              </w:rPr>
              <w:t xml:space="preserve"> 23 communes de la région </w:t>
            </w:r>
            <w:proofErr w:type="spellStart"/>
            <w:r w:rsidRPr="003F4B85">
              <w:rPr>
                <w:rFonts w:asciiTheme="minorHAnsi" w:hAnsiTheme="minorHAnsi" w:cstheme="minorHAnsi"/>
                <w:lang w:val="fr-FR"/>
              </w:rPr>
              <w:t>Atsimo</w:t>
            </w:r>
            <w:proofErr w:type="spellEnd"/>
            <w:r w:rsidRPr="003F4B85">
              <w:rPr>
                <w:rFonts w:asciiTheme="minorHAnsi" w:hAnsiTheme="minorHAnsi" w:cstheme="minorHAnsi"/>
                <w:lang w:val="fr-FR"/>
              </w:rPr>
              <w:t xml:space="preserve"> </w:t>
            </w:r>
            <w:proofErr w:type="spellStart"/>
            <w:r w:rsidRPr="003F4B85">
              <w:rPr>
                <w:rFonts w:asciiTheme="minorHAnsi" w:hAnsiTheme="minorHAnsi" w:cstheme="minorHAnsi"/>
                <w:lang w:val="fr-FR"/>
              </w:rPr>
              <w:t>Andrefana</w:t>
            </w:r>
            <w:proofErr w:type="spellEnd"/>
            <w:r w:rsidRPr="003F4B85">
              <w:rPr>
                <w:rFonts w:asciiTheme="minorHAnsi" w:hAnsiTheme="minorHAnsi" w:cstheme="minorHAnsi"/>
                <w:lang w:val="fr-FR"/>
              </w:rPr>
              <w:t xml:space="preserve"> dans le Sud de Madagascar et a permis d’enregistrer environ 70,000 ménages (environ 300,000 personnes). L’enregistrement sera progressivement porté à l’échelle en 2024 pour atteindre environ 500,000 ménages, soit 2.5 millions d’individus additionnel dans les 23 régions de Madagascar.</w:t>
            </w:r>
          </w:p>
          <w:p w14:paraId="2C00E916" w14:textId="77777777" w:rsidR="006F47D3" w:rsidRPr="003F4B85" w:rsidRDefault="006F47D3" w:rsidP="001D244C">
            <w:pPr>
              <w:spacing w:line="240" w:lineRule="auto"/>
              <w:jc w:val="both"/>
              <w:rPr>
                <w:rFonts w:asciiTheme="minorHAnsi" w:hAnsiTheme="minorHAnsi" w:cstheme="minorHAnsi"/>
                <w:lang w:val="fr-FR"/>
              </w:rPr>
            </w:pPr>
          </w:p>
          <w:p w14:paraId="39FAC24A" w14:textId="77777777" w:rsidR="006F47D3" w:rsidRPr="003F4B85" w:rsidRDefault="006F47D3" w:rsidP="001D244C">
            <w:pPr>
              <w:spacing w:line="240" w:lineRule="auto"/>
              <w:jc w:val="both"/>
              <w:rPr>
                <w:rFonts w:asciiTheme="minorHAnsi" w:hAnsiTheme="minorHAnsi" w:cstheme="minorHAnsi"/>
                <w:lang w:val="fr-FR"/>
              </w:rPr>
            </w:pPr>
            <w:r w:rsidRPr="003F4B85">
              <w:rPr>
                <w:rFonts w:asciiTheme="minorHAnsi" w:hAnsiTheme="minorHAnsi" w:cstheme="minorHAnsi"/>
                <w:lang w:val="fr-FR"/>
              </w:rPr>
              <w:t>L’objectif du RSU est de mettre en place un système national efficace « UNIQUE » pour la gestion des données sur les ménages et les individus afin de leur apporter les appuis appropriés correspondant aux objectifs stratégiques et aux programmes de la protection sociale du Gouvernement ou de ses partenaires.</w:t>
            </w:r>
          </w:p>
          <w:p w14:paraId="7D0EABCB" w14:textId="77777777" w:rsidR="007613B3" w:rsidRDefault="007613B3" w:rsidP="001D244C">
            <w:pPr>
              <w:spacing w:line="240" w:lineRule="auto"/>
              <w:rPr>
                <w:rFonts w:ascii="Calibri" w:eastAsia="Arial Unicode MS" w:hAnsi="Calibri" w:cs="Calibri"/>
                <w:b/>
                <w:bCs/>
                <w:color w:val="auto"/>
                <w:lang w:val="fr-FR"/>
              </w:rPr>
            </w:pPr>
          </w:p>
          <w:p w14:paraId="5F553038" w14:textId="77777777" w:rsidR="00CE5143" w:rsidRPr="003F4B85" w:rsidRDefault="00CE5143" w:rsidP="001D244C">
            <w:pPr>
              <w:pStyle w:val="Default"/>
              <w:jc w:val="both"/>
              <w:rPr>
                <w:rFonts w:asciiTheme="minorHAnsi" w:hAnsiTheme="minorHAnsi" w:cstheme="minorHAnsi"/>
                <w:sz w:val="20"/>
                <w:szCs w:val="20"/>
              </w:rPr>
            </w:pPr>
            <w:r w:rsidRPr="003F4B85">
              <w:rPr>
                <w:rFonts w:asciiTheme="minorHAnsi" w:hAnsiTheme="minorHAnsi" w:cstheme="minorHAnsi"/>
                <w:sz w:val="20"/>
                <w:szCs w:val="20"/>
              </w:rPr>
              <w:t xml:space="preserve">Le RSU </w:t>
            </w:r>
            <w:proofErr w:type="spellStart"/>
            <w:r w:rsidRPr="003F4B85">
              <w:rPr>
                <w:rFonts w:asciiTheme="minorHAnsi" w:hAnsiTheme="minorHAnsi" w:cstheme="minorHAnsi"/>
                <w:sz w:val="20"/>
                <w:szCs w:val="20"/>
              </w:rPr>
              <w:t>est</w:t>
            </w:r>
            <w:proofErr w:type="spellEnd"/>
            <w:r w:rsidRPr="003F4B85">
              <w:rPr>
                <w:rFonts w:asciiTheme="minorHAnsi" w:hAnsiTheme="minorHAnsi" w:cstheme="minorHAnsi"/>
                <w:sz w:val="20"/>
                <w:szCs w:val="20"/>
              </w:rPr>
              <w:t> :</w:t>
            </w:r>
          </w:p>
          <w:p w14:paraId="6227ADBB" w14:textId="77777777" w:rsidR="00CE5143" w:rsidRPr="003F4B85" w:rsidRDefault="00CE5143" w:rsidP="001D244C">
            <w:pPr>
              <w:pStyle w:val="Default"/>
              <w:numPr>
                <w:ilvl w:val="0"/>
                <w:numId w:val="25"/>
              </w:numPr>
              <w:jc w:val="both"/>
              <w:rPr>
                <w:rFonts w:asciiTheme="minorHAnsi" w:hAnsiTheme="minorHAnsi" w:cstheme="minorHAnsi"/>
                <w:sz w:val="20"/>
                <w:szCs w:val="20"/>
              </w:rPr>
            </w:pPr>
            <w:r w:rsidRPr="003F4B85">
              <w:rPr>
                <w:rFonts w:asciiTheme="minorHAnsi" w:hAnsiTheme="minorHAnsi" w:cstheme="minorHAnsi"/>
                <w:sz w:val="20"/>
                <w:szCs w:val="20"/>
                <w:lang w:val="fr-FR"/>
              </w:rPr>
              <w:t xml:space="preserve">un </w:t>
            </w:r>
            <w:r w:rsidRPr="003F4B85">
              <w:rPr>
                <w:rFonts w:asciiTheme="minorHAnsi" w:hAnsiTheme="minorHAnsi" w:cstheme="minorHAnsi"/>
                <w:b/>
                <w:bCs/>
                <w:sz w:val="20"/>
                <w:szCs w:val="20"/>
                <w:lang w:val="fr-FR"/>
              </w:rPr>
              <w:t xml:space="preserve">système d'information </w:t>
            </w:r>
            <w:r w:rsidRPr="003F4B85">
              <w:rPr>
                <w:rFonts w:asciiTheme="minorHAnsi" w:hAnsiTheme="minorHAnsi" w:cstheme="minorHAnsi"/>
                <w:sz w:val="20"/>
                <w:szCs w:val="20"/>
                <w:lang w:val="fr-FR"/>
              </w:rPr>
              <w:t xml:space="preserve">commun, unique, structuré et organisé qui consolide les informations démographiques, socio-économiques, et de vulnérabilité sur les ménages et les individus et les met à la disposition des acteurs des secteurs sociaux. </w:t>
            </w:r>
            <w:r w:rsidRPr="003F4B85">
              <w:rPr>
                <w:rFonts w:asciiTheme="minorHAnsi" w:hAnsiTheme="minorHAnsi" w:cstheme="minorHAnsi"/>
                <w:sz w:val="20"/>
                <w:szCs w:val="20"/>
              </w:rPr>
              <w:t xml:space="preserve">En tant que </w:t>
            </w:r>
            <w:proofErr w:type="spellStart"/>
            <w:r w:rsidRPr="003F4B85">
              <w:rPr>
                <w:rFonts w:asciiTheme="minorHAnsi" w:hAnsiTheme="minorHAnsi" w:cstheme="minorHAnsi"/>
                <w:sz w:val="20"/>
                <w:szCs w:val="20"/>
              </w:rPr>
              <w:t>système</w:t>
            </w:r>
            <w:proofErr w:type="spellEnd"/>
            <w:r w:rsidRPr="003F4B85">
              <w:rPr>
                <w:rFonts w:asciiTheme="minorHAnsi" w:hAnsiTheme="minorHAnsi" w:cstheme="minorHAnsi"/>
                <w:sz w:val="20"/>
                <w:szCs w:val="20"/>
              </w:rPr>
              <w:t xml:space="preserve"> </w:t>
            </w:r>
            <w:proofErr w:type="spellStart"/>
            <w:r w:rsidRPr="003F4B85">
              <w:rPr>
                <w:rFonts w:asciiTheme="minorHAnsi" w:hAnsiTheme="minorHAnsi" w:cstheme="minorHAnsi"/>
                <w:sz w:val="20"/>
                <w:szCs w:val="20"/>
              </w:rPr>
              <w:t>d'information</w:t>
            </w:r>
            <w:proofErr w:type="spellEnd"/>
            <w:r w:rsidRPr="003F4B85">
              <w:rPr>
                <w:rFonts w:asciiTheme="minorHAnsi" w:hAnsiTheme="minorHAnsi" w:cstheme="minorHAnsi"/>
                <w:sz w:val="20"/>
                <w:szCs w:val="20"/>
              </w:rPr>
              <w:t xml:space="preserve">, le RSU : </w:t>
            </w:r>
          </w:p>
          <w:p w14:paraId="2740D386" w14:textId="77777777" w:rsidR="00CE5143" w:rsidRPr="003F4B85" w:rsidRDefault="00CE5143" w:rsidP="001D244C">
            <w:pPr>
              <w:pStyle w:val="Default"/>
              <w:ind w:left="1440"/>
              <w:jc w:val="both"/>
              <w:rPr>
                <w:rFonts w:asciiTheme="minorHAnsi" w:hAnsiTheme="minorHAnsi" w:cstheme="minorHAnsi"/>
                <w:sz w:val="20"/>
                <w:szCs w:val="20"/>
                <w:lang w:val="fr-FR"/>
              </w:rPr>
            </w:pPr>
            <w:r w:rsidRPr="003F4B85">
              <w:rPr>
                <w:rFonts w:asciiTheme="minorHAnsi" w:hAnsiTheme="minorHAnsi" w:cstheme="minorHAnsi"/>
                <w:sz w:val="20"/>
                <w:szCs w:val="20"/>
                <w:lang w:val="fr-FR"/>
              </w:rPr>
              <w:t xml:space="preserve">• Assure l'unicité de l'identité des individus, et des ménages sur la base de l’interopérabilité avec le système nationale d’identification. </w:t>
            </w:r>
          </w:p>
          <w:p w14:paraId="7CFF876E" w14:textId="77777777" w:rsidR="00CE5143" w:rsidRPr="003F4B85" w:rsidRDefault="00CE5143" w:rsidP="001D244C">
            <w:pPr>
              <w:pStyle w:val="Default"/>
              <w:ind w:left="1440"/>
              <w:jc w:val="both"/>
              <w:rPr>
                <w:rFonts w:asciiTheme="minorHAnsi" w:hAnsiTheme="minorHAnsi" w:cstheme="minorHAnsi"/>
                <w:sz w:val="20"/>
                <w:szCs w:val="20"/>
                <w:lang w:val="fr-FR"/>
              </w:rPr>
            </w:pPr>
            <w:r w:rsidRPr="003F4B85">
              <w:rPr>
                <w:rFonts w:asciiTheme="minorHAnsi" w:hAnsiTheme="minorHAnsi" w:cstheme="minorHAnsi"/>
                <w:sz w:val="20"/>
                <w:szCs w:val="20"/>
                <w:lang w:val="fr-FR"/>
              </w:rPr>
              <w:t xml:space="preserve">• Interopère avec d'autres bases de données (via le système de gouvernance digitale), permettant une plus grande disponibilité des données. </w:t>
            </w:r>
          </w:p>
          <w:p w14:paraId="71FB794C" w14:textId="77777777" w:rsidR="00CE5143" w:rsidRPr="003F4B85" w:rsidRDefault="00CE5143" w:rsidP="001D244C">
            <w:pPr>
              <w:pStyle w:val="Default"/>
              <w:ind w:left="1440"/>
              <w:jc w:val="both"/>
              <w:rPr>
                <w:rFonts w:asciiTheme="minorHAnsi" w:hAnsiTheme="minorHAnsi" w:cstheme="minorHAnsi"/>
                <w:sz w:val="20"/>
                <w:szCs w:val="20"/>
                <w:lang w:val="fr-FR"/>
              </w:rPr>
            </w:pPr>
            <w:r w:rsidRPr="003F4B85">
              <w:rPr>
                <w:rFonts w:asciiTheme="minorHAnsi" w:hAnsiTheme="minorHAnsi" w:cstheme="minorHAnsi"/>
                <w:sz w:val="20"/>
                <w:szCs w:val="20"/>
                <w:lang w:val="fr-FR"/>
              </w:rPr>
              <w:t xml:space="preserve">• Améliore la qualité des données disponibles pour les programmes de protection sociale et les décideurs, en assurant la vérification, la validation et la mise à jour des données. </w:t>
            </w:r>
          </w:p>
          <w:p w14:paraId="57696001" w14:textId="77777777" w:rsidR="00CE5143" w:rsidRPr="003F4B85" w:rsidRDefault="00CE5143" w:rsidP="001D244C">
            <w:pPr>
              <w:pStyle w:val="Default"/>
              <w:ind w:left="1440"/>
              <w:jc w:val="both"/>
              <w:rPr>
                <w:rFonts w:asciiTheme="minorHAnsi" w:hAnsiTheme="minorHAnsi" w:cstheme="minorHAnsi"/>
                <w:sz w:val="20"/>
                <w:szCs w:val="20"/>
                <w:lang w:val="fr-FR"/>
              </w:rPr>
            </w:pPr>
            <w:r w:rsidRPr="003F4B85">
              <w:rPr>
                <w:rFonts w:asciiTheme="minorHAnsi" w:hAnsiTheme="minorHAnsi" w:cstheme="minorHAnsi"/>
                <w:sz w:val="20"/>
                <w:szCs w:val="20"/>
                <w:lang w:val="fr-FR"/>
              </w:rPr>
              <w:t xml:space="preserve">• Mutualise et optimise les ressources des acteurs de la protection sociale en utilisant et partageant le même système de gestion de l'information sur les ménages et les personnes vulnérables. </w:t>
            </w:r>
          </w:p>
          <w:p w14:paraId="0094E8E6" w14:textId="77777777" w:rsidR="00CE5143" w:rsidRPr="003F4B85" w:rsidRDefault="00CE5143" w:rsidP="001D244C">
            <w:pPr>
              <w:pStyle w:val="Default"/>
              <w:ind w:left="1440"/>
              <w:jc w:val="both"/>
              <w:rPr>
                <w:rFonts w:asciiTheme="minorHAnsi" w:hAnsiTheme="minorHAnsi" w:cstheme="minorHAnsi"/>
                <w:sz w:val="20"/>
                <w:szCs w:val="20"/>
                <w:lang w:val="fr-FR"/>
              </w:rPr>
            </w:pPr>
            <w:r w:rsidRPr="003F4B85">
              <w:rPr>
                <w:rFonts w:asciiTheme="minorHAnsi" w:hAnsiTheme="minorHAnsi" w:cstheme="minorHAnsi"/>
                <w:sz w:val="20"/>
                <w:szCs w:val="20"/>
                <w:lang w:val="fr-FR"/>
              </w:rPr>
              <w:t xml:space="preserve">• Génère des rapports et des statistiques descriptives sur la population, sa structure démographique, et son profil socio-économique, ainsi que sur la couverture des programmes de protection sociale, informant les décideurs sur la nécessité de réformes politiques sectorielles. </w:t>
            </w:r>
          </w:p>
          <w:p w14:paraId="6BB76D8F" w14:textId="77777777" w:rsidR="00CE5143" w:rsidRPr="003F4B85" w:rsidRDefault="00CE5143" w:rsidP="001D244C">
            <w:pPr>
              <w:pStyle w:val="Default"/>
              <w:ind w:left="1440"/>
              <w:jc w:val="both"/>
              <w:rPr>
                <w:rFonts w:asciiTheme="minorHAnsi" w:hAnsiTheme="minorHAnsi" w:cstheme="minorHAnsi"/>
                <w:sz w:val="20"/>
                <w:szCs w:val="20"/>
                <w:lang w:val="fr-FR"/>
              </w:rPr>
            </w:pPr>
            <w:r w:rsidRPr="003F4B85">
              <w:rPr>
                <w:rFonts w:asciiTheme="minorHAnsi" w:hAnsiTheme="minorHAnsi" w:cstheme="minorHAnsi"/>
                <w:sz w:val="20"/>
                <w:szCs w:val="20"/>
                <w:lang w:val="fr-FR"/>
              </w:rPr>
              <w:t xml:space="preserve">• Assure la sécurité et la confidentialité des informations conformément aux normes en matière de protection des données. </w:t>
            </w:r>
          </w:p>
          <w:p w14:paraId="76F2F504" w14:textId="77777777" w:rsidR="00CE5143" w:rsidRDefault="00CE5143" w:rsidP="001D244C">
            <w:pPr>
              <w:pStyle w:val="Default"/>
              <w:ind w:left="1440"/>
              <w:jc w:val="both"/>
              <w:rPr>
                <w:rFonts w:asciiTheme="minorHAnsi" w:hAnsiTheme="minorHAnsi" w:cstheme="minorHAnsi"/>
                <w:sz w:val="20"/>
                <w:szCs w:val="20"/>
                <w:lang w:val="fr-FR"/>
              </w:rPr>
            </w:pPr>
            <w:r w:rsidRPr="00467E93">
              <w:rPr>
                <w:rFonts w:asciiTheme="minorHAnsi" w:hAnsiTheme="minorHAnsi" w:cstheme="minorHAnsi"/>
                <w:color w:val="auto"/>
                <w:sz w:val="20"/>
                <w:szCs w:val="20"/>
                <w:lang w:val="fr-FR"/>
              </w:rPr>
              <w:t>• Garantit l’accessibilité ergonomique et permet de s’ass</w:t>
            </w:r>
            <w:r w:rsidRPr="003F4B85">
              <w:rPr>
                <w:rFonts w:asciiTheme="minorHAnsi" w:hAnsiTheme="minorHAnsi" w:cstheme="minorHAnsi"/>
                <w:sz w:val="20"/>
                <w:szCs w:val="20"/>
                <w:lang w:val="fr-FR"/>
              </w:rPr>
              <w:t xml:space="preserve">urer que le RSU est accessible pour les utilisateurs ce qui favorise une utilisation plus large et efficace par les parties prenantes. </w:t>
            </w:r>
          </w:p>
          <w:p w14:paraId="783A2B12" w14:textId="77777777" w:rsidR="00E47CD1" w:rsidRDefault="00E47CD1" w:rsidP="001D244C">
            <w:pPr>
              <w:pStyle w:val="Default"/>
              <w:ind w:left="1440"/>
              <w:jc w:val="both"/>
              <w:rPr>
                <w:rFonts w:asciiTheme="minorHAnsi" w:hAnsiTheme="minorHAnsi" w:cstheme="minorHAnsi"/>
                <w:sz w:val="20"/>
                <w:szCs w:val="20"/>
                <w:lang w:val="fr-FR"/>
              </w:rPr>
            </w:pPr>
          </w:p>
          <w:p w14:paraId="098FB015" w14:textId="77777777" w:rsidR="00E47CD1" w:rsidRPr="003F4B85" w:rsidRDefault="00E47CD1" w:rsidP="001D244C">
            <w:pPr>
              <w:pStyle w:val="Default"/>
              <w:numPr>
                <w:ilvl w:val="0"/>
                <w:numId w:val="25"/>
              </w:numPr>
              <w:jc w:val="both"/>
              <w:rPr>
                <w:rFonts w:asciiTheme="minorHAnsi" w:hAnsiTheme="minorHAnsi" w:cstheme="minorHAnsi"/>
                <w:sz w:val="20"/>
                <w:szCs w:val="20"/>
              </w:rPr>
            </w:pPr>
            <w:r w:rsidRPr="003F4B85">
              <w:rPr>
                <w:rFonts w:asciiTheme="minorHAnsi" w:hAnsiTheme="minorHAnsi" w:cstheme="minorHAnsi"/>
                <w:sz w:val="20"/>
                <w:szCs w:val="20"/>
                <w:lang w:val="fr-FR"/>
              </w:rPr>
              <w:t xml:space="preserve">un </w:t>
            </w:r>
            <w:r w:rsidRPr="003F4B85">
              <w:rPr>
                <w:rFonts w:asciiTheme="minorHAnsi" w:hAnsiTheme="minorHAnsi" w:cstheme="minorHAnsi"/>
                <w:b/>
                <w:bCs/>
                <w:sz w:val="20"/>
                <w:szCs w:val="20"/>
                <w:lang w:val="fr-FR"/>
              </w:rPr>
              <w:t xml:space="preserve">système d'inclusion </w:t>
            </w:r>
            <w:r w:rsidRPr="003F4B85">
              <w:rPr>
                <w:rFonts w:asciiTheme="minorHAnsi" w:hAnsiTheme="minorHAnsi" w:cstheme="minorHAnsi"/>
                <w:sz w:val="20"/>
                <w:szCs w:val="20"/>
                <w:lang w:val="fr-FR"/>
              </w:rPr>
              <w:t xml:space="preserve">qui fournit une « passerelle » permettant aux individus et ménages de s'inscrire et d'être considérés éligibles dans un ou plusieurs programmes sociaux sur la base d'une évaluation de leurs besoins et de leurs conditions. Cette évaluation prend généralement en compte à la fois des mesures du statut socio-économique et des facteurs catégoriels, qui sont souvent des facteurs utilisés par les programmes pour déterminer l'éligibilité. </w:t>
            </w:r>
            <w:r w:rsidRPr="003F4B85">
              <w:rPr>
                <w:rFonts w:asciiTheme="minorHAnsi" w:hAnsiTheme="minorHAnsi" w:cstheme="minorHAnsi"/>
                <w:sz w:val="20"/>
                <w:szCs w:val="20"/>
              </w:rPr>
              <w:t xml:space="preserve">En tant que </w:t>
            </w:r>
            <w:proofErr w:type="spellStart"/>
            <w:r w:rsidRPr="003F4B85">
              <w:rPr>
                <w:rFonts w:asciiTheme="minorHAnsi" w:hAnsiTheme="minorHAnsi" w:cstheme="minorHAnsi"/>
                <w:sz w:val="20"/>
                <w:szCs w:val="20"/>
              </w:rPr>
              <w:t>système</w:t>
            </w:r>
            <w:proofErr w:type="spellEnd"/>
            <w:r w:rsidRPr="003F4B85">
              <w:rPr>
                <w:rFonts w:asciiTheme="minorHAnsi" w:hAnsiTheme="minorHAnsi" w:cstheme="minorHAnsi"/>
                <w:sz w:val="20"/>
                <w:szCs w:val="20"/>
              </w:rPr>
              <w:t xml:space="preserve"> </w:t>
            </w:r>
            <w:proofErr w:type="spellStart"/>
            <w:r w:rsidRPr="003F4B85">
              <w:rPr>
                <w:rFonts w:asciiTheme="minorHAnsi" w:hAnsiTheme="minorHAnsi" w:cstheme="minorHAnsi"/>
                <w:sz w:val="20"/>
                <w:szCs w:val="20"/>
              </w:rPr>
              <w:t>d’inclusion</w:t>
            </w:r>
            <w:proofErr w:type="spellEnd"/>
            <w:r w:rsidRPr="003F4B85">
              <w:rPr>
                <w:rFonts w:asciiTheme="minorHAnsi" w:hAnsiTheme="minorHAnsi" w:cstheme="minorHAnsi"/>
                <w:sz w:val="20"/>
                <w:szCs w:val="20"/>
              </w:rPr>
              <w:t xml:space="preserve">, le RSU : </w:t>
            </w:r>
          </w:p>
          <w:p w14:paraId="6862B984" w14:textId="77777777" w:rsidR="00E47CD1" w:rsidRPr="003F4B85" w:rsidRDefault="00E47CD1" w:rsidP="001D244C">
            <w:pPr>
              <w:pStyle w:val="Default"/>
              <w:ind w:left="1440"/>
              <w:jc w:val="both"/>
              <w:rPr>
                <w:rFonts w:asciiTheme="minorHAnsi" w:hAnsiTheme="minorHAnsi" w:cstheme="minorHAnsi"/>
                <w:sz w:val="20"/>
                <w:szCs w:val="20"/>
                <w:lang w:val="fr-FR"/>
              </w:rPr>
            </w:pPr>
            <w:r w:rsidRPr="003F4B85">
              <w:rPr>
                <w:rFonts w:asciiTheme="minorHAnsi" w:hAnsiTheme="minorHAnsi" w:cstheme="minorHAnsi"/>
                <w:sz w:val="20"/>
                <w:szCs w:val="20"/>
                <w:lang w:val="fr-FR"/>
              </w:rPr>
              <w:t xml:space="preserve">• Évalue les besoins et les conditions des individus et des ménages enregistrés pour déterminer leur éligibilité aux programmes sociaux. </w:t>
            </w:r>
          </w:p>
          <w:p w14:paraId="2E73FD62" w14:textId="77777777" w:rsidR="00E47CD1" w:rsidRPr="003F4B85" w:rsidRDefault="00E47CD1" w:rsidP="001D244C">
            <w:pPr>
              <w:pStyle w:val="Default"/>
              <w:ind w:left="1440"/>
              <w:jc w:val="both"/>
              <w:rPr>
                <w:rFonts w:asciiTheme="minorHAnsi" w:hAnsiTheme="minorHAnsi" w:cstheme="minorHAnsi"/>
                <w:sz w:val="20"/>
                <w:szCs w:val="20"/>
                <w:lang w:val="fr-FR"/>
              </w:rPr>
            </w:pPr>
            <w:r w:rsidRPr="003F4B85">
              <w:rPr>
                <w:rFonts w:asciiTheme="minorHAnsi" w:hAnsiTheme="minorHAnsi" w:cstheme="minorHAnsi"/>
                <w:sz w:val="20"/>
                <w:szCs w:val="20"/>
                <w:lang w:val="fr-FR"/>
              </w:rPr>
              <w:t xml:space="preserve">• Met régulièrement à jour le statut des individus via les guichets sociaux, fournissant ainsi des informations en temps opportun aux programmes sociaux qui ciblent des groupes spécifiques. </w:t>
            </w:r>
          </w:p>
          <w:p w14:paraId="32CC58D1" w14:textId="77777777" w:rsidR="00E47CD1" w:rsidRPr="003F4B85" w:rsidRDefault="00E47CD1" w:rsidP="001D244C">
            <w:pPr>
              <w:pStyle w:val="Default"/>
              <w:ind w:left="1440"/>
              <w:jc w:val="both"/>
              <w:rPr>
                <w:rFonts w:asciiTheme="minorHAnsi" w:hAnsiTheme="minorHAnsi" w:cstheme="minorHAnsi"/>
                <w:sz w:val="20"/>
                <w:szCs w:val="20"/>
                <w:lang w:val="fr-FR"/>
              </w:rPr>
            </w:pPr>
            <w:r w:rsidRPr="003F4B85">
              <w:rPr>
                <w:rFonts w:asciiTheme="minorHAnsi" w:hAnsiTheme="minorHAnsi" w:cstheme="minorHAnsi"/>
                <w:sz w:val="20"/>
                <w:szCs w:val="20"/>
                <w:lang w:val="fr-FR"/>
              </w:rPr>
              <w:t xml:space="preserve">• Évalue la demande d’information des programmes sociaux afin de faciliter le ciblage. </w:t>
            </w:r>
          </w:p>
          <w:p w14:paraId="647816F3" w14:textId="77777777" w:rsidR="00E47CD1" w:rsidRPr="003F4B85" w:rsidRDefault="00E47CD1" w:rsidP="001D244C">
            <w:pPr>
              <w:pStyle w:val="Default"/>
              <w:ind w:left="1440"/>
              <w:jc w:val="both"/>
              <w:rPr>
                <w:rFonts w:asciiTheme="minorHAnsi" w:hAnsiTheme="minorHAnsi" w:cstheme="minorHAnsi"/>
                <w:sz w:val="20"/>
                <w:szCs w:val="20"/>
                <w:lang w:val="fr-FR"/>
              </w:rPr>
            </w:pPr>
            <w:r w:rsidRPr="003F4B85">
              <w:rPr>
                <w:rFonts w:asciiTheme="minorHAnsi" w:hAnsiTheme="minorHAnsi" w:cstheme="minorHAnsi"/>
                <w:sz w:val="20"/>
                <w:szCs w:val="20"/>
                <w:lang w:val="fr-FR"/>
              </w:rPr>
              <w:t xml:space="preserve">• Permet aux acteurs de la protection sociale d'avoir une idée précise des groupes de population les plus pauvres et les plus vulnérables. </w:t>
            </w:r>
          </w:p>
          <w:p w14:paraId="2F8E84F6" w14:textId="77777777" w:rsidR="00E47CD1" w:rsidRDefault="00E47CD1" w:rsidP="001D244C">
            <w:pPr>
              <w:pStyle w:val="Default"/>
              <w:ind w:left="1440"/>
              <w:jc w:val="both"/>
              <w:rPr>
                <w:rFonts w:asciiTheme="minorHAnsi" w:hAnsiTheme="minorHAnsi" w:cstheme="minorHAnsi"/>
                <w:sz w:val="20"/>
                <w:szCs w:val="20"/>
                <w:lang w:val="fr-FR"/>
              </w:rPr>
            </w:pPr>
          </w:p>
          <w:p w14:paraId="42D2C8CB" w14:textId="77777777" w:rsidR="00F64388" w:rsidRPr="003F4B85" w:rsidRDefault="00F64388" w:rsidP="001D244C">
            <w:pPr>
              <w:pStyle w:val="Default"/>
              <w:numPr>
                <w:ilvl w:val="0"/>
                <w:numId w:val="26"/>
              </w:numPr>
              <w:jc w:val="both"/>
              <w:rPr>
                <w:rFonts w:asciiTheme="minorHAnsi" w:hAnsiTheme="minorHAnsi" w:cstheme="minorHAnsi"/>
                <w:sz w:val="20"/>
                <w:szCs w:val="20"/>
              </w:rPr>
            </w:pPr>
            <w:r w:rsidRPr="003F4B85">
              <w:rPr>
                <w:rFonts w:asciiTheme="minorHAnsi" w:hAnsiTheme="minorHAnsi" w:cstheme="minorHAnsi"/>
                <w:sz w:val="20"/>
                <w:szCs w:val="20"/>
                <w:lang w:val="fr-FR"/>
              </w:rPr>
              <w:lastRenderedPageBreak/>
              <w:t xml:space="preserve">un </w:t>
            </w:r>
            <w:r w:rsidRPr="003F4B85">
              <w:rPr>
                <w:rFonts w:asciiTheme="minorHAnsi" w:hAnsiTheme="minorHAnsi" w:cstheme="minorHAnsi"/>
                <w:b/>
                <w:bCs/>
                <w:sz w:val="20"/>
                <w:szCs w:val="20"/>
                <w:lang w:val="fr-FR"/>
              </w:rPr>
              <w:t xml:space="preserve">outil de coordination </w:t>
            </w:r>
            <w:r w:rsidRPr="003F4B85">
              <w:rPr>
                <w:rFonts w:asciiTheme="minorHAnsi" w:hAnsiTheme="minorHAnsi" w:cstheme="minorHAnsi"/>
                <w:sz w:val="20"/>
                <w:szCs w:val="20"/>
                <w:lang w:val="fr-FR"/>
              </w:rPr>
              <w:t xml:space="preserve">qui facilite le partage d'informations et la prise de décision éclairée par de multiples parties prenantes menant des interventions complémentaires. </w:t>
            </w:r>
            <w:r w:rsidRPr="003F4B85">
              <w:rPr>
                <w:rFonts w:asciiTheme="minorHAnsi" w:hAnsiTheme="minorHAnsi" w:cstheme="minorHAnsi"/>
                <w:sz w:val="20"/>
                <w:szCs w:val="20"/>
              </w:rPr>
              <w:t xml:space="preserve">En tant </w:t>
            </w:r>
            <w:proofErr w:type="spellStart"/>
            <w:r w:rsidRPr="003F4B85">
              <w:rPr>
                <w:rFonts w:asciiTheme="minorHAnsi" w:hAnsiTheme="minorHAnsi" w:cstheme="minorHAnsi"/>
                <w:sz w:val="20"/>
                <w:szCs w:val="20"/>
              </w:rPr>
              <w:t>qu'outil</w:t>
            </w:r>
            <w:proofErr w:type="spellEnd"/>
            <w:r w:rsidRPr="003F4B85">
              <w:rPr>
                <w:rFonts w:asciiTheme="minorHAnsi" w:hAnsiTheme="minorHAnsi" w:cstheme="minorHAnsi"/>
                <w:sz w:val="20"/>
                <w:szCs w:val="20"/>
              </w:rPr>
              <w:t xml:space="preserve"> de coordination, le RSU :</w:t>
            </w:r>
          </w:p>
          <w:p w14:paraId="2B6DF6E1" w14:textId="77777777" w:rsidR="00F64388" w:rsidRPr="003F4B85" w:rsidRDefault="00F64388" w:rsidP="001D244C">
            <w:pPr>
              <w:pStyle w:val="Default"/>
              <w:ind w:left="1440"/>
              <w:jc w:val="both"/>
              <w:rPr>
                <w:rFonts w:asciiTheme="minorHAnsi" w:hAnsiTheme="minorHAnsi" w:cstheme="minorHAnsi"/>
                <w:sz w:val="20"/>
                <w:szCs w:val="20"/>
                <w:lang w:val="fr-FR"/>
              </w:rPr>
            </w:pPr>
            <w:r w:rsidRPr="003F4B85">
              <w:rPr>
                <w:rFonts w:asciiTheme="minorHAnsi" w:hAnsiTheme="minorHAnsi" w:cstheme="minorHAnsi"/>
                <w:sz w:val="20"/>
                <w:szCs w:val="20"/>
                <w:lang w:val="fr-FR"/>
              </w:rPr>
              <w:t xml:space="preserve">• Facilite l’identification rapide des bénéficiaires des programmes qui doivent être mise à l’échelle ou qui recherchent des synergies avec des interventions complémentaires pour améliorer leur impact. </w:t>
            </w:r>
          </w:p>
          <w:p w14:paraId="34A4D521" w14:textId="77777777" w:rsidR="00F64388" w:rsidRPr="003F4B85" w:rsidRDefault="00F64388" w:rsidP="001D244C">
            <w:pPr>
              <w:pStyle w:val="Default"/>
              <w:ind w:left="1440"/>
              <w:jc w:val="both"/>
              <w:rPr>
                <w:rFonts w:asciiTheme="minorHAnsi" w:hAnsiTheme="minorHAnsi" w:cstheme="minorHAnsi"/>
                <w:sz w:val="20"/>
                <w:szCs w:val="20"/>
                <w:lang w:val="fr-FR"/>
              </w:rPr>
            </w:pPr>
            <w:r w:rsidRPr="003F4B85">
              <w:rPr>
                <w:rFonts w:asciiTheme="minorHAnsi" w:hAnsiTheme="minorHAnsi" w:cstheme="minorHAnsi"/>
                <w:sz w:val="20"/>
                <w:szCs w:val="20"/>
                <w:lang w:val="fr-FR"/>
              </w:rPr>
              <w:t xml:space="preserve">• Renforce la réactivité aux chocs du système de protection sociale en permettant une disponibilité rapide des données sur les bénéficiaires potentiels éligibles dans les zones touchées ou sur le point d’être touchées. </w:t>
            </w:r>
          </w:p>
          <w:p w14:paraId="32912017" w14:textId="77777777" w:rsidR="00F64388" w:rsidRPr="003F4B85" w:rsidRDefault="00F64388" w:rsidP="001D244C">
            <w:pPr>
              <w:pStyle w:val="Default"/>
              <w:ind w:left="1440"/>
              <w:jc w:val="both"/>
              <w:rPr>
                <w:rFonts w:asciiTheme="minorHAnsi" w:hAnsiTheme="minorHAnsi" w:cstheme="minorHAnsi"/>
                <w:sz w:val="20"/>
                <w:szCs w:val="20"/>
                <w:lang w:val="fr-FR"/>
              </w:rPr>
            </w:pPr>
            <w:r w:rsidRPr="003F4B85">
              <w:rPr>
                <w:rFonts w:asciiTheme="minorHAnsi" w:hAnsiTheme="minorHAnsi" w:cstheme="minorHAnsi"/>
                <w:sz w:val="20"/>
                <w:szCs w:val="20"/>
                <w:lang w:val="fr-FR"/>
              </w:rPr>
              <w:t xml:space="preserve">• Enregistre et met à disposition les informations sur les ménages et individus bénéficiaires de différents programmes, ce qui facilite la mise à jour des informations. </w:t>
            </w:r>
          </w:p>
          <w:p w14:paraId="0488E8AD" w14:textId="54F8AC7E" w:rsidR="00F64388" w:rsidRPr="003F4B85" w:rsidRDefault="00F64388" w:rsidP="001D244C">
            <w:pPr>
              <w:pStyle w:val="Default"/>
              <w:ind w:left="1440"/>
              <w:jc w:val="both"/>
              <w:rPr>
                <w:rFonts w:asciiTheme="minorHAnsi" w:hAnsiTheme="minorHAnsi" w:cstheme="minorHAnsi"/>
                <w:sz w:val="20"/>
                <w:szCs w:val="20"/>
                <w:lang w:val="fr-FR"/>
              </w:rPr>
            </w:pPr>
            <w:r w:rsidRPr="003F4B85">
              <w:rPr>
                <w:rFonts w:asciiTheme="minorHAnsi" w:hAnsiTheme="minorHAnsi" w:cstheme="minorHAnsi"/>
                <w:sz w:val="20"/>
                <w:szCs w:val="20"/>
                <w:lang w:val="fr-FR"/>
              </w:rPr>
              <w:t xml:space="preserve">• Communique avec le Registre des Bénéficiaires du MPS </w:t>
            </w:r>
            <w:r w:rsidR="00467E93" w:rsidRPr="00A93A31">
              <w:rPr>
                <w:rFonts w:asciiTheme="minorHAnsi" w:hAnsiTheme="minorHAnsi" w:cstheme="minorHAnsi"/>
                <w:color w:val="auto"/>
                <w:sz w:val="20"/>
                <w:szCs w:val="20"/>
                <w:lang w:val="fr-FR"/>
              </w:rPr>
              <w:t>(Ministère de la Population et de Solidarités)</w:t>
            </w:r>
            <w:r w:rsidRPr="00A93A31">
              <w:rPr>
                <w:rFonts w:asciiTheme="minorHAnsi" w:hAnsiTheme="minorHAnsi" w:cstheme="minorHAnsi"/>
                <w:color w:val="auto"/>
                <w:sz w:val="20"/>
                <w:szCs w:val="20"/>
                <w:lang w:val="fr-FR"/>
              </w:rPr>
              <w:t xml:space="preserve"> pour fournir un répertoire des programmes, des acteurs in</w:t>
            </w:r>
            <w:r w:rsidRPr="003F4B85">
              <w:rPr>
                <w:rFonts w:asciiTheme="minorHAnsi" w:hAnsiTheme="minorHAnsi" w:cstheme="minorHAnsi"/>
                <w:sz w:val="20"/>
                <w:szCs w:val="20"/>
                <w:lang w:val="fr-FR"/>
              </w:rPr>
              <w:t xml:space="preserve">tervenants, des prestations et des services du secteur de la protection sociale. </w:t>
            </w:r>
          </w:p>
          <w:p w14:paraId="1352F1EB" w14:textId="77777777" w:rsidR="00F64388" w:rsidRPr="003F4B85" w:rsidRDefault="00F64388" w:rsidP="001D244C">
            <w:pPr>
              <w:pStyle w:val="Default"/>
              <w:ind w:left="1440"/>
              <w:jc w:val="both"/>
              <w:rPr>
                <w:rFonts w:asciiTheme="minorHAnsi" w:hAnsiTheme="minorHAnsi" w:cstheme="minorHAnsi"/>
                <w:sz w:val="20"/>
                <w:szCs w:val="20"/>
                <w:lang w:val="fr-FR"/>
              </w:rPr>
            </w:pPr>
            <w:r w:rsidRPr="003F4B85">
              <w:rPr>
                <w:rFonts w:asciiTheme="minorHAnsi" w:hAnsiTheme="minorHAnsi" w:cstheme="minorHAnsi"/>
                <w:sz w:val="20"/>
                <w:szCs w:val="20"/>
                <w:lang w:val="fr-FR"/>
              </w:rPr>
              <w:t xml:space="preserve">• Aide à déterminer la couverture, à éviter les duplications et chevauchements, et à rationaliser les interventions délivrées par plusieurs programmes sociaux. </w:t>
            </w:r>
          </w:p>
          <w:p w14:paraId="6E2CAC16" w14:textId="77777777" w:rsidR="00F64388" w:rsidRPr="003F4B85" w:rsidRDefault="00F64388" w:rsidP="001D244C">
            <w:pPr>
              <w:pStyle w:val="Default"/>
              <w:ind w:left="1440"/>
              <w:jc w:val="both"/>
              <w:rPr>
                <w:rFonts w:asciiTheme="minorHAnsi" w:hAnsiTheme="minorHAnsi" w:cstheme="minorHAnsi"/>
                <w:sz w:val="20"/>
                <w:szCs w:val="20"/>
                <w:lang w:val="fr-FR"/>
              </w:rPr>
            </w:pPr>
          </w:p>
          <w:p w14:paraId="2E34EFAC" w14:textId="20BC600E" w:rsidR="00EF4F4E" w:rsidRPr="003F4B85" w:rsidRDefault="00EF4F4E" w:rsidP="001D244C">
            <w:pPr>
              <w:pStyle w:val="Default"/>
              <w:jc w:val="both"/>
              <w:rPr>
                <w:rFonts w:asciiTheme="minorHAnsi" w:hAnsiTheme="minorHAnsi" w:cstheme="minorHAnsi"/>
                <w:sz w:val="20"/>
                <w:szCs w:val="20"/>
                <w:lang w:val="fr-FR"/>
              </w:rPr>
            </w:pPr>
            <w:r w:rsidRPr="003F4B85">
              <w:rPr>
                <w:rFonts w:asciiTheme="minorHAnsi" w:hAnsiTheme="minorHAnsi" w:cstheme="minorHAnsi"/>
                <w:sz w:val="20"/>
                <w:szCs w:val="20"/>
                <w:lang w:val="fr-FR"/>
              </w:rPr>
              <w:t>Dans la vision du Gouvernement</w:t>
            </w:r>
            <w:r>
              <w:rPr>
                <w:rFonts w:asciiTheme="minorHAnsi" w:hAnsiTheme="minorHAnsi" w:cstheme="minorHAnsi"/>
                <w:sz w:val="20"/>
                <w:szCs w:val="20"/>
                <w:lang w:val="fr-FR"/>
              </w:rPr>
              <w:t>,</w:t>
            </w:r>
            <w:r w:rsidRPr="003F4B85">
              <w:rPr>
                <w:rFonts w:asciiTheme="minorHAnsi" w:hAnsiTheme="minorHAnsi" w:cstheme="minorHAnsi"/>
                <w:sz w:val="20"/>
                <w:szCs w:val="20"/>
                <w:lang w:val="fr-FR"/>
              </w:rPr>
              <w:t xml:space="preserve"> le RSU est une base d’informations dynamique, mise à jour périodiquement à travers des structures décentralisées du Ministère de la Population et de la Solidarité (MPS)</w:t>
            </w:r>
            <w:r>
              <w:rPr>
                <w:rFonts w:asciiTheme="minorHAnsi" w:hAnsiTheme="minorHAnsi" w:cstheme="minorHAnsi"/>
                <w:sz w:val="20"/>
                <w:szCs w:val="20"/>
                <w:lang w:val="fr-FR"/>
              </w:rPr>
              <w:t> </w:t>
            </w:r>
            <w:r w:rsidRPr="003C3498">
              <w:rPr>
                <w:rFonts w:asciiTheme="minorHAnsi" w:hAnsiTheme="minorHAnsi" w:cstheme="minorHAnsi"/>
                <w:color w:val="FF0000"/>
                <w:sz w:val="20"/>
                <w:szCs w:val="20"/>
                <w:lang w:val="fr-FR"/>
              </w:rPr>
              <w:t>:</w:t>
            </w:r>
            <w:r w:rsidRPr="003F4B85">
              <w:rPr>
                <w:rFonts w:asciiTheme="minorHAnsi" w:hAnsiTheme="minorHAnsi" w:cstheme="minorHAnsi"/>
                <w:sz w:val="20"/>
                <w:szCs w:val="20"/>
                <w:lang w:val="fr-FR"/>
              </w:rPr>
              <w:t xml:space="preserve"> </w:t>
            </w:r>
            <w:r w:rsidRPr="003F4B85">
              <w:rPr>
                <w:rFonts w:asciiTheme="minorHAnsi" w:hAnsiTheme="minorHAnsi" w:cstheme="minorHAnsi"/>
                <w:b/>
                <w:bCs/>
                <w:sz w:val="20"/>
                <w:szCs w:val="20"/>
                <w:lang w:val="fr-FR"/>
              </w:rPr>
              <w:t>les guichet sociaux</w:t>
            </w:r>
            <w:r w:rsidRPr="003F4B85">
              <w:rPr>
                <w:rFonts w:asciiTheme="minorHAnsi" w:hAnsiTheme="minorHAnsi" w:cstheme="minorHAnsi"/>
                <w:sz w:val="20"/>
                <w:szCs w:val="20"/>
                <w:lang w:val="fr-FR"/>
              </w:rPr>
              <w:t xml:space="preserve">. Les guichets sociaux sont des structures de proximité du MPS déployées au niveau des communes et des districts dont le rôle principal est : i) la mise à jour régulière des données sur les individus et les ménages enregistrés, notamment sur les variables pouvant déterminer l’éligibilité aux programmes de protection sociale, ii) le référencement et l’orientation des ménages éligibles aux programmes, utilisant le registre, y compris dans le secteur de la protection sociale et d’autres secteurs, iii) le suivi des vulnérabilités des ménages et des enfants identifiés lors de enregistrements, des mises à jour et des signalements de protection et leur référencement aux institutions spécialisées, iv) la réception et le  traitement des plaintes concernant le RSU. </w:t>
            </w:r>
          </w:p>
          <w:p w14:paraId="4FED57FC" w14:textId="77777777" w:rsidR="00CE5143" w:rsidRDefault="00CE5143" w:rsidP="001D244C">
            <w:pPr>
              <w:spacing w:line="240" w:lineRule="auto"/>
              <w:rPr>
                <w:rFonts w:ascii="Calibri" w:eastAsia="Arial Unicode MS" w:hAnsi="Calibri" w:cs="Calibri"/>
                <w:b/>
                <w:bCs/>
                <w:color w:val="auto"/>
                <w:lang w:val="fr-FR"/>
              </w:rPr>
            </w:pPr>
          </w:p>
          <w:p w14:paraId="47DD4D2A" w14:textId="1EB8D522" w:rsidR="00A5479E" w:rsidRPr="003F4B85" w:rsidRDefault="00A5479E" w:rsidP="001D244C">
            <w:pPr>
              <w:pStyle w:val="Default"/>
              <w:jc w:val="both"/>
              <w:rPr>
                <w:rFonts w:asciiTheme="minorHAnsi" w:hAnsiTheme="minorHAnsi" w:cstheme="minorHAnsi"/>
                <w:sz w:val="20"/>
                <w:szCs w:val="20"/>
                <w:lang w:val="fr-FR"/>
              </w:rPr>
            </w:pPr>
            <w:r w:rsidRPr="003F4B85">
              <w:rPr>
                <w:rFonts w:asciiTheme="minorHAnsi" w:hAnsiTheme="minorHAnsi" w:cstheme="minorHAnsi"/>
                <w:sz w:val="20"/>
                <w:szCs w:val="20"/>
                <w:lang w:val="fr-FR"/>
              </w:rPr>
              <w:t xml:space="preserve">Le Gouvernement de Madagascar est actuellement en train d’envisager de lier le registre social à d’autres systèmes d’informations </w:t>
            </w:r>
            <w:r w:rsidR="007B1BE6" w:rsidRPr="007B1BE6">
              <w:rPr>
                <w:rFonts w:asciiTheme="minorHAnsi" w:hAnsiTheme="minorHAnsi" w:cstheme="minorHAnsi"/>
                <w:sz w:val="20"/>
                <w:szCs w:val="20"/>
                <w:lang w:val="fr-FR"/>
              </w:rPr>
              <w:t>Systèmes de Gestion d’Informations</w:t>
            </w:r>
            <w:r w:rsidR="007B1BE6">
              <w:rPr>
                <w:rFonts w:asciiTheme="minorHAnsi" w:hAnsiTheme="minorHAnsi" w:cstheme="minorHAnsi"/>
                <w:sz w:val="20"/>
                <w:szCs w:val="20"/>
                <w:lang w:val="fr-FR"/>
              </w:rPr>
              <w:t xml:space="preserve"> (</w:t>
            </w:r>
            <w:r w:rsidRPr="003F4B85">
              <w:rPr>
                <w:rFonts w:asciiTheme="minorHAnsi" w:hAnsiTheme="minorHAnsi" w:cstheme="minorHAnsi"/>
                <w:sz w:val="20"/>
                <w:szCs w:val="20"/>
                <w:lang w:val="fr-FR"/>
              </w:rPr>
              <w:t>SIG</w:t>
            </w:r>
            <w:r w:rsidR="007B1BE6">
              <w:rPr>
                <w:rFonts w:asciiTheme="minorHAnsi" w:hAnsiTheme="minorHAnsi" w:cstheme="minorHAnsi"/>
                <w:sz w:val="20"/>
                <w:szCs w:val="20"/>
                <w:lang w:val="fr-FR"/>
              </w:rPr>
              <w:t xml:space="preserve">) </w:t>
            </w:r>
            <w:r w:rsidRPr="003F4B85">
              <w:rPr>
                <w:rFonts w:asciiTheme="minorHAnsi" w:hAnsiTheme="minorHAnsi" w:cstheme="minorHAnsi"/>
                <w:sz w:val="20"/>
                <w:szCs w:val="20"/>
                <w:lang w:val="fr-FR"/>
              </w:rPr>
              <w:t xml:space="preserve">tels que nutrition, santé, éducation pour avoir une meilleure compréhension des vulnérabilités multisectorielles et de leur évolution en temps réel et mieux définir les interventions spécifiques et les liens entre programmes pour répondre de façon exhaustive aux vulnérabilités des ménages et des enfants. </w:t>
            </w:r>
          </w:p>
          <w:p w14:paraId="0FE6175B" w14:textId="77777777" w:rsidR="00A5479E" w:rsidRPr="003F4B85" w:rsidRDefault="00A5479E" w:rsidP="001D244C">
            <w:pPr>
              <w:pStyle w:val="Default"/>
              <w:jc w:val="both"/>
              <w:rPr>
                <w:rFonts w:asciiTheme="minorHAnsi" w:hAnsiTheme="minorHAnsi" w:cstheme="minorHAnsi"/>
                <w:sz w:val="20"/>
                <w:szCs w:val="20"/>
                <w:lang w:val="fr-FR"/>
              </w:rPr>
            </w:pPr>
          </w:p>
          <w:p w14:paraId="091AC266" w14:textId="77777777" w:rsidR="00A5479E" w:rsidRPr="007B1BE6" w:rsidRDefault="00A5479E" w:rsidP="001D244C">
            <w:pPr>
              <w:pStyle w:val="HTMLPreformatted"/>
              <w:jc w:val="both"/>
              <w:rPr>
                <w:rFonts w:asciiTheme="minorHAnsi" w:hAnsiTheme="minorHAnsi" w:cstheme="minorHAnsi"/>
                <w:color w:val="auto"/>
                <w:lang w:val="fr-FR"/>
              </w:rPr>
            </w:pPr>
            <w:r w:rsidRPr="003F4B85">
              <w:rPr>
                <w:rFonts w:asciiTheme="minorHAnsi" w:hAnsiTheme="minorHAnsi" w:cstheme="minorHAnsi"/>
                <w:lang w:val="fr-FR"/>
              </w:rPr>
              <w:t xml:space="preserve">L’ensemble des informations collectées par le RSU et sa nature dynamique, qui s’appuie sur des mises à jour régulières du profil des ménages, rendent le RSU un outil potentiellement très important pour </w:t>
            </w:r>
            <w:r w:rsidRPr="007B1BE6">
              <w:rPr>
                <w:rFonts w:asciiTheme="minorHAnsi" w:hAnsiTheme="minorHAnsi" w:cstheme="minorHAnsi"/>
                <w:color w:val="auto"/>
                <w:lang w:val="fr-FR"/>
              </w:rPr>
              <w:t xml:space="preserve">détecter en temps réel les vulnérabilités des ménages, identifier ceux qui sont les plus exposés aux risques et mettre en place des programmes de prévention, mitigation et réponses, y inclus face aux chocs climatiques. </w:t>
            </w:r>
          </w:p>
          <w:p w14:paraId="62A06957" w14:textId="77777777" w:rsidR="00A5479E" w:rsidRPr="007B1BE6" w:rsidRDefault="00A5479E" w:rsidP="001D244C">
            <w:pPr>
              <w:pStyle w:val="HTMLPreformatted"/>
              <w:jc w:val="both"/>
              <w:rPr>
                <w:rFonts w:asciiTheme="minorHAnsi" w:hAnsiTheme="minorHAnsi" w:cstheme="minorHAnsi"/>
                <w:color w:val="auto"/>
                <w:lang w:val="fr-FR"/>
              </w:rPr>
            </w:pPr>
          </w:p>
          <w:p w14:paraId="3EF627D7" w14:textId="77777777" w:rsidR="00A5479E" w:rsidRPr="003F4B85" w:rsidRDefault="00A5479E" w:rsidP="001D244C">
            <w:pPr>
              <w:pStyle w:val="HTMLPreformatted"/>
              <w:jc w:val="both"/>
              <w:rPr>
                <w:rFonts w:asciiTheme="minorHAnsi" w:hAnsiTheme="minorHAnsi" w:cstheme="minorHAnsi"/>
                <w:lang w:val="fr-FR"/>
              </w:rPr>
            </w:pPr>
            <w:r w:rsidRPr="007B1BE6">
              <w:rPr>
                <w:rFonts w:asciiTheme="minorHAnsi" w:hAnsiTheme="minorHAnsi" w:cstheme="minorHAnsi"/>
                <w:color w:val="auto"/>
                <w:lang w:val="fr-FR"/>
              </w:rPr>
              <w:t xml:space="preserve">Effectivement, Madagascar est fortement exposé aux catastrophes naturelles récurrentes et aux phénomènes climatiques sévères. Environ un quart (plus de 7 millions) de la population malgache réside dans des zones exposées aux risques de catastrophes naturelles. Le pays a été identifié comme le deuxième pays d'Afrique le plus exposé </w:t>
            </w:r>
            <w:r w:rsidRPr="003F4B85">
              <w:rPr>
                <w:rFonts w:asciiTheme="minorHAnsi" w:hAnsiTheme="minorHAnsi" w:cstheme="minorHAnsi"/>
                <w:lang w:val="fr-FR"/>
              </w:rPr>
              <w:t xml:space="preserve">aux risques de catastrophes multiples, confronté à une fréquence annuelle d'aléas climatiques chroniques (comme les cyclones, les inondations et la sécheresse…), lesquels contribuent à exacerber la pauvreté qui sévit dans le pays. </w:t>
            </w:r>
          </w:p>
          <w:p w14:paraId="381CE72C" w14:textId="77777777" w:rsidR="00A5479E" w:rsidRDefault="00A5479E" w:rsidP="001D244C">
            <w:pPr>
              <w:spacing w:line="240" w:lineRule="auto"/>
              <w:rPr>
                <w:rFonts w:ascii="Calibri" w:eastAsia="Arial Unicode MS" w:hAnsi="Calibri" w:cs="Calibri"/>
                <w:b/>
                <w:bCs/>
                <w:color w:val="auto"/>
                <w:lang w:val="fr-FR"/>
              </w:rPr>
            </w:pPr>
          </w:p>
          <w:p w14:paraId="3270ECDB" w14:textId="2F63075A" w:rsidR="00CC26CB" w:rsidRPr="003F4B85" w:rsidRDefault="00CC26CB" w:rsidP="001D244C">
            <w:pPr>
              <w:pStyle w:val="HTMLPreformatted"/>
              <w:jc w:val="both"/>
              <w:rPr>
                <w:rStyle w:val="y2iqfc"/>
                <w:rFonts w:asciiTheme="minorHAnsi" w:hAnsiTheme="minorHAnsi" w:cstheme="minorHAnsi"/>
                <w:lang w:val="fr-FR"/>
              </w:rPr>
            </w:pPr>
            <w:r w:rsidRPr="003F4B85">
              <w:rPr>
                <w:rFonts w:asciiTheme="minorHAnsi" w:hAnsiTheme="minorHAnsi" w:cstheme="minorHAnsi"/>
                <w:lang w:val="fr-FR"/>
              </w:rPr>
              <w:t xml:space="preserve">En plus d’être prône aux chocs climatiques récurrents, Madagascar est également le huitième pays le plus pauvre en termes de </w:t>
            </w:r>
            <w:r w:rsidR="00F14569" w:rsidRPr="00F14569">
              <w:rPr>
                <w:rFonts w:asciiTheme="minorHAnsi" w:hAnsiTheme="minorHAnsi" w:cstheme="minorHAnsi"/>
                <w:lang w:val="fr-FR"/>
              </w:rPr>
              <w:t>Produit Intérieur Brut</w:t>
            </w:r>
            <w:r w:rsidR="00F14569">
              <w:rPr>
                <w:rFonts w:asciiTheme="minorHAnsi" w:hAnsiTheme="minorHAnsi" w:cstheme="minorHAnsi"/>
                <w:lang w:val="fr-FR"/>
              </w:rPr>
              <w:t xml:space="preserve"> (</w:t>
            </w:r>
            <w:r w:rsidRPr="003F4B85">
              <w:rPr>
                <w:rFonts w:asciiTheme="minorHAnsi" w:hAnsiTheme="minorHAnsi" w:cstheme="minorHAnsi"/>
                <w:lang w:val="fr-FR"/>
              </w:rPr>
              <w:t>PIB</w:t>
            </w:r>
            <w:r w:rsidR="00F14569">
              <w:rPr>
                <w:rFonts w:asciiTheme="minorHAnsi" w:hAnsiTheme="minorHAnsi" w:cstheme="minorHAnsi"/>
                <w:lang w:val="fr-FR"/>
              </w:rPr>
              <w:t>)</w:t>
            </w:r>
            <w:r w:rsidRPr="00957F4E">
              <w:rPr>
                <w:rFonts w:asciiTheme="minorHAnsi" w:hAnsiTheme="minorHAnsi" w:cstheme="minorHAnsi"/>
                <w:color w:val="00B0F0"/>
                <w:lang w:val="fr-FR"/>
              </w:rPr>
              <w:t xml:space="preserve"> </w:t>
            </w:r>
            <w:r w:rsidRPr="003F4B85">
              <w:rPr>
                <w:rFonts w:asciiTheme="minorHAnsi" w:hAnsiTheme="minorHAnsi" w:cstheme="minorHAnsi"/>
                <w:lang w:val="fr-FR"/>
              </w:rPr>
              <w:t xml:space="preserve">par habitant, avec un peu plus des trois quarts de la population vivant dans une pauvreté extrême et 68 % des enfants vivant dans une pauvreté multidimensionnelle. </w:t>
            </w:r>
            <w:r w:rsidRPr="003F4B85">
              <w:rPr>
                <w:rStyle w:val="y2iqfc"/>
                <w:rFonts w:asciiTheme="minorHAnsi" w:hAnsiTheme="minorHAnsi" w:cstheme="minorHAnsi"/>
                <w:lang w:val="fr-FR"/>
              </w:rPr>
              <w:t xml:space="preserve">L’impact du changement climatique pourrait plonger les ménages déjà vulnérables dans une pauvreté encore plus profonde, avec un impact particulièrement négatif sur la survie, le développement et la protection des enfants et des personnes les plus vulnérables. Les enfants et les familles les plus pauvres –le moins résilient– sont susceptibles d’être les plus exposés aux conséquences négatives liés au changement climatique avec des impacts sur le long terme. </w:t>
            </w:r>
          </w:p>
          <w:p w14:paraId="313B4AB4" w14:textId="77777777" w:rsidR="00CC26CB" w:rsidRPr="003F4B85" w:rsidRDefault="00CC26CB" w:rsidP="001D244C">
            <w:pPr>
              <w:pStyle w:val="HTMLPreformatted"/>
              <w:jc w:val="both"/>
              <w:rPr>
                <w:rFonts w:asciiTheme="minorHAnsi" w:hAnsiTheme="minorHAnsi" w:cstheme="minorHAnsi"/>
                <w:lang w:val="fr-FR"/>
              </w:rPr>
            </w:pPr>
          </w:p>
          <w:p w14:paraId="4AAD9742" w14:textId="77777777" w:rsidR="00CC26CB" w:rsidRPr="003F4B85" w:rsidRDefault="00CC26CB" w:rsidP="001D244C">
            <w:pPr>
              <w:spacing w:line="240" w:lineRule="auto"/>
              <w:jc w:val="both"/>
              <w:rPr>
                <w:rFonts w:asciiTheme="minorHAnsi" w:eastAsia="Arial Unicode MS" w:hAnsiTheme="minorHAnsi" w:cstheme="minorHAnsi"/>
                <w:b/>
                <w:bCs/>
                <w:color w:val="auto"/>
                <w:lang w:val="fr-FR"/>
              </w:rPr>
            </w:pPr>
            <w:r w:rsidRPr="003F4B85">
              <w:rPr>
                <w:rFonts w:asciiTheme="minorHAnsi" w:hAnsiTheme="minorHAnsi" w:cstheme="minorHAnsi"/>
                <w:lang w:val="fr-FR"/>
              </w:rPr>
              <w:t>Dans ce contexte, la protection sociale réactive aux chocs joue un rôle crucial pour soutenir les ménages vulnérables à mieux renforcer leur résilience aux crises récurrentes. En effet, la capacité des systèmes de protection sociale à répondre rapidement aux chocs dépend principalement des outils opérationnels existants dont le Registre Social. Le Registre Social est un outil crucial de la protection sociale, pouvant jouer un rôle clé dans cet agenda national dans la mesure où avec des données mises à jour de façon régulière, il aidera à mieux anticiper les chocs et à y répondre.</w:t>
            </w:r>
          </w:p>
          <w:p w14:paraId="26D0C70C" w14:textId="77777777" w:rsidR="00CC26CB" w:rsidRDefault="00CC26CB" w:rsidP="001D244C">
            <w:pPr>
              <w:spacing w:line="240" w:lineRule="auto"/>
              <w:rPr>
                <w:rFonts w:ascii="Calibri" w:eastAsia="Arial Unicode MS" w:hAnsi="Calibri" w:cs="Calibri"/>
                <w:b/>
                <w:bCs/>
                <w:color w:val="auto"/>
                <w:lang w:val="fr-FR"/>
              </w:rPr>
            </w:pPr>
          </w:p>
          <w:p w14:paraId="5B3910BE" w14:textId="77777777" w:rsidR="00982689" w:rsidRPr="003F4B85" w:rsidRDefault="00982689" w:rsidP="001D244C">
            <w:pPr>
              <w:pStyle w:val="Heading1"/>
              <w:spacing w:before="0" w:after="0"/>
              <w:rPr>
                <w:rFonts w:asciiTheme="minorHAnsi" w:hAnsiTheme="minorHAnsi" w:cstheme="minorHAnsi"/>
                <w:sz w:val="20"/>
                <w:szCs w:val="20"/>
                <w:lang w:val="fr-FR"/>
              </w:rPr>
            </w:pPr>
            <w:r w:rsidRPr="003F4B85">
              <w:rPr>
                <w:rFonts w:asciiTheme="minorHAnsi" w:hAnsiTheme="minorHAnsi" w:cstheme="minorHAnsi"/>
                <w:sz w:val="20"/>
                <w:szCs w:val="20"/>
                <w:lang w:val="fr-FR"/>
              </w:rPr>
              <w:t xml:space="preserve">Objectifs de la consultance </w:t>
            </w:r>
          </w:p>
          <w:p w14:paraId="37442EED" w14:textId="493DFC33" w:rsidR="00982689" w:rsidRPr="00F14569" w:rsidRDefault="00982689" w:rsidP="001D244C">
            <w:pPr>
              <w:spacing w:line="240" w:lineRule="auto"/>
              <w:jc w:val="both"/>
              <w:rPr>
                <w:rFonts w:asciiTheme="minorHAnsi" w:hAnsiTheme="minorHAnsi" w:cstheme="minorHAnsi"/>
                <w:color w:val="auto"/>
                <w:lang w:val="fr-FR"/>
              </w:rPr>
            </w:pPr>
            <w:r w:rsidRPr="003F4B85">
              <w:rPr>
                <w:rFonts w:asciiTheme="minorHAnsi" w:hAnsiTheme="minorHAnsi" w:cstheme="minorHAnsi"/>
                <w:color w:val="000000" w:themeColor="text1"/>
                <w:lang w:val="fr-FR"/>
              </w:rPr>
              <w:t xml:space="preserve">L’objectif de la consultance est d’appuyer le Gouvernement à identifier des éléments de design, d’interopérabilité et de fonctionnement du RSU qui permettraient d’optimiser la </w:t>
            </w:r>
            <w:r w:rsidRPr="00F14569">
              <w:rPr>
                <w:rFonts w:asciiTheme="minorHAnsi" w:hAnsiTheme="minorHAnsi" w:cstheme="minorHAnsi"/>
                <w:color w:val="auto"/>
                <w:lang w:val="fr-FR"/>
              </w:rPr>
              <w:t xml:space="preserve">potentialité du registre en tant qu’outil de détection des risques, y inclus les risques liés au changement climatique, </w:t>
            </w:r>
            <w:r w:rsidR="00291EEE" w:rsidRPr="00F14569">
              <w:rPr>
                <w:rFonts w:asciiTheme="minorHAnsi" w:hAnsiTheme="minorHAnsi" w:cstheme="minorHAnsi"/>
                <w:color w:val="auto"/>
                <w:lang w:val="fr-FR"/>
              </w:rPr>
              <w:t xml:space="preserve">et </w:t>
            </w:r>
            <w:r w:rsidRPr="00F14569">
              <w:rPr>
                <w:rFonts w:asciiTheme="minorHAnsi" w:hAnsiTheme="minorHAnsi" w:cstheme="minorHAnsi"/>
                <w:color w:val="auto"/>
                <w:lang w:val="fr-FR"/>
              </w:rPr>
              <w:t>de faciliter le déclenchement d’alertes, la mise en place d’actions de réponse précoce, d’anticipation et d’assistance face aux crise récurrentes.</w:t>
            </w:r>
          </w:p>
          <w:p w14:paraId="4DC91523" w14:textId="77777777" w:rsidR="00982689" w:rsidRPr="00F14569" w:rsidRDefault="00982689" w:rsidP="001D244C">
            <w:pPr>
              <w:spacing w:line="240" w:lineRule="auto"/>
              <w:jc w:val="both"/>
              <w:rPr>
                <w:rFonts w:asciiTheme="minorHAnsi" w:hAnsiTheme="minorHAnsi" w:cstheme="minorHAnsi"/>
                <w:color w:val="auto"/>
                <w:lang w:val="fr-FR"/>
              </w:rPr>
            </w:pPr>
          </w:p>
          <w:p w14:paraId="363CADCB" w14:textId="74A7BDFD" w:rsidR="00982689" w:rsidRPr="00F14569" w:rsidRDefault="00982689" w:rsidP="001D244C">
            <w:pPr>
              <w:spacing w:line="240" w:lineRule="auto"/>
              <w:jc w:val="both"/>
              <w:rPr>
                <w:rFonts w:asciiTheme="minorHAnsi" w:hAnsiTheme="minorHAnsi" w:cstheme="minorHAnsi"/>
                <w:color w:val="auto"/>
                <w:lang w:val="fr-FR"/>
              </w:rPr>
            </w:pPr>
            <w:r w:rsidRPr="00F14569">
              <w:rPr>
                <w:rFonts w:asciiTheme="minorHAnsi" w:hAnsiTheme="minorHAnsi" w:cstheme="minorHAnsi"/>
                <w:color w:val="auto"/>
                <w:lang w:val="fr-FR"/>
              </w:rPr>
              <w:t>Plus particulièrement</w:t>
            </w:r>
            <w:r w:rsidR="00A30319">
              <w:rPr>
                <w:rFonts w:asciiTheme="minorHAnsi" w:hAnsiTheme="minorHAnsi" w:cstheme="minorHAnsi"/>
                <w:color w:val="auto"/>
                <w:lang w:val="fr-FR"/>
              </w:rPr>
              <w:t xml:space="preserve">, sous la supervision du Spécialiste en Politique Sociale, </w:t>
            </w:r>
            <w:r w:rsidRPr="00F14569">
              <w:rPr>
                <w:rFonts w:asciiTheme="minorHAnsi" w:hAnsiTheme="minorHAnsi" w:cstheme="minorHAnsi"/>
                <w:color w:val="auto"/>
                <w:lang w:val="fr-FR"/>
              </w:rPr>
              <w:t xml:space="preserve">le consultant devra : </w:t>
            </w:r>
          </w:p>
          <w:p w14:paraId="50E40290" w14:textId="77777777" w:rsidR="00982689" w:rsidRPr="00F14569" w:rsidRDefault="00982689" w:rsidP="001D244C">
            <w:pPr>
              <w:pStyle w:val="ListParagraph"/>
              <w:widowControl w:val="0"/>
              <w:numPr>
                <w:ilvl w:val="0"/>
                <w:numId w:val="27"/>
              </w:numPr>
              <w:autoSpaceDE w:val="0"/>
              <w:autoSpaceDN w:val="0"/>
              <w:spacing w:line="240" w:lineRule="auto"/>
              <w:contextualSpacing w:val="0"/>
              <w:jc w:val="both"/>
              <w:rPr>
                <w:rFonts w:asciiTheme="minorHAnsi" w:hAnsiTheme="minorHAnsi" w:cstheme="minorHAnsi"/>
                <w:color w:val="auto"/>
                <w:lang w:val="fr-FR"/>
              </w:rPr>
            </w:pPr>
            <w:r w:rsidRPr="00F14569">
              <w:rPr>
                <w:rFonts w:asciiTheme="minorHAnsi" w:hAnsiTheme="minorHAnsi" w:cstheme="minorHAnsi"/>
                <w:color w:val="auto"/>
                <w:lang w:val="fr-FR"/>
              </w:rPr>
              <w:t xml:space="preserve">Identifier les indicateurs de vulnérabilités déjà inclus dans le registre social, ou qui seront intégrés dans le cadre des efforts d’interopérabilité en cours avec les SIG sectoriels, qui sont étroitement liés aux conséquences du changement climatique, et proposer une utilisation optimale pour le déclenchement d’actions d’anticipation, de mitigation, de réponses précoce ou d’assistance des différents programmes existants (programme de protection sociale et programme sectoriel, tels que nutrition, appui </w:t>
            </w:r>
            <w:r w:rsidRPr="006D133D">
              <w:rPr>
                <w:rFonts w:asciiTheme="minorHAnsi" w:hAnsiTheme="minorHAnsi" w:cstheme="minorHAnsi"/>
                <w:color w:val="000000" w:themeColor="text1"/>
                <w:lang w:val="fr-FR"/>
              </w:rPr>
              <w:t>aux moyens d’existence, santé, protection</w:t>
            </w:r>
            <w:r>
              <w:rPr>
                <w:rFonts w:asciiTheme="minorHAnsi" w:hAnsiTheme="minorHAnsi" w:cstheme="minorHAnsi"/>
                <w:color w:val="000000" w:themeColor="text1"/>
                <w:lang w:val="fr-FR"/>
              </w:rPr>
              <w:t xml:space="preserve">, </w:t>
            </w:r>
            <w:r w:rsidRPr="006D133D">
              <w:rPr>
                <w:rFonts w:asciiTheme="minorHAnsi" w:hAnsiTheme="minorHAnsi" w:cstheme="minorHAnsi"/>
                <w:color w:val="000000" w:themeColor="text1"/>
                <w:lang w:val="fr-FR"/>
              </w:rPr>
              <w:t xml:space="preserve">…) </w:t>
            </w:r>
          </w:p>
          <w:p w14:paraId="56432288" w14:textId="77777777" w:rsidR="00982689" w:rsidRPr="00F14569" w:rsidRDefault="00982689" w:rsidP="001D244C">
            <w:pPr>
              <w:pStyle w:val="ListParagraph"/>
              <w:widowControl w:val="0"/>
              <w:numPr>
                <w:ilvl w:val="0"/>
                <w:numId w:val="27"/>
              </w:numPr>
              <w:autoSpaceDE w:val="0"/>
              <w:autoSpaceDN w:val="0"/>
              <w:spacing w:line="240" w:lineRule="auto"/>
              <w:contextualSpacing w:val="0"/>
              <w:jc w:val="both"/>
              <w:rPr>
                <w:rFonts w:asciiTheme="minorHAnsi" w:hAnsiTheme="minorHAnsi" w:cstheme="minorHAnsi"/>
                <w:color w:val="auto"/>
                <w:lang w:val="fr-FR"/>
              </w:rPr>
            </w:pPr>
            <w:r w:rsidRPr="00F14569">
              <w:rPr>
                <w:rFonts w:asciiTheme="minorHAnsi" w:hAnsiTheme="minorHAnsi" w:cstheme="minorHAnsi"/>
                <w:color w:val="auto"/>
                <w:lang w:val="fr-FR"/>
              </w:rPr>
              <w:t xml:space="preserve">Identifier d’autres indicateurs qui, éventuellement pourraient compléter ceux déjà inclus dans le registre ou d’autres SIG potentiellement interopérables avec le RSU, permettant de renforcer le système de déclenchement des alertes et les réponses. </w:t>
            </w:r>
          </w:p>
          <w:p w14:paraId="68909B89" w14:textId="77777777" w:rsidR="00982689" w:rsidRPr="00F14569" w:rsidRDefault="00982689" w:rsidP="001D244C">
            <w:pPr>
              <w:pStyle w:val="ListParagraph"/>
              <w:widowControl w:val="0"/>
              <w:numPr>
                <w:ilvl w:val="0"/>
                <w:numId w:val="27"/>
              </w:numPr>
              <w:autoSpaceDE w:val="0"/>
              <w:autoSpaceDN w:val="0"/>
              <w:spacing w:line="240" w:lineRule="auto"/>
              <w:contextualSpacing w:val="0"/>
              <w:jc w:val="both"/>
              <w:rPr>
                <w:rFonts w:asciiTheme="minorHAnsi" w:hAnsiTheme="minorHAnsi" w:cstheme="minorHAnsi"/>
                <w:color w:val="auto"/>
                <w:lang w:val="fr-FR"/>
              </w:rPr>
            </w:pPr>
            <w:r w:rsidRPr="00F14569">
              <w:rPr>
                <w:rFonts w:asciiTheme="minorHAnsi" w:hAnsiTheme="minorHAnsi" w:cstheme="minorHAnsi"/>
                <w:color w:val="auto"/>
                <w:lang w:val="fr-FR"/>
              </w:rPr>
              <w:t>Evaluer si le mode de fonctionnement des guichets sociaux permet un référencement approprié et efficace, et proposer des recommandations pour son renforcement afin d’en augmenter l’efficacité.</w:t>
            </w:r>
          </w:p>
          <w:p w14:paraId="0EABD8B3" w14:textId="22739A09" w:rsidR="00982689" w:rsidRPr="00F14569" w:rsidRDefault="00982689" w:rsidP="001D244C">
            <w:pPr>
              <w:pStyle w:val="ListParagraph"/>
              <w:widowControl w:val="0"/>
              <w:numPr>
                <w:ilvl w:val="0"/>
                <w:numId w:val="27"/>
              </w:numPr>
              <w:autoSpaceDE w:val="0"/>
              <w:autoSpaceDN w:val="0"/>
              <w:spacing w:line="240" w:lineRule="auto"/>
              <w:contextualSpacing w:val="0"/>
              <w:jc w:val="both"/>
              <w:rPr>
                <w:rFonts w:asciiTheme="minorHAnsi" w:hAnsiTheme="minorHAnsi" w:cstheme="minorHAnsi"/>
                <w:color w:val="auto"/>
                <w:lang w:val="fr-FR"/>
              </w:rPr>
            </w:pPr>
            <w:r w:rsidRPr="00F14569">
              <w:rPr>
                <w:rFonts w:asciiTheme="minorHAnsi" w:hAnsiTheme="minorHAnsi" w:cstheme="minorHAnsi"/>
                <w:color w:val="auto"/>
                <w:lang w:val="fr-FR"/>
              </w:rPr>
              <w:t>Préparer un « </w:t>
            </w:r>
            <w:proofErr w:type="spellStart"/>
            <w:r w:rsidRPr="00F14569">
              <w:rPr>
                <w:rFonts w:asciiTheme="minorHAnsi" w:hAnsiTheme="minorHAnsi" w:cstheme="minorHAnsi"/>
                <w:color w:val="auto"/>
                <w:lang w:val="fr-FR"/>
              </w:rPr>
              <w:t>policy</w:t>
            </w:r>
            <w:proofErr w:type="spellEnd"/>
            <w:r w:rsidRPr="00F14569">
              <w:rPr>
                <w:rFonts w:asciiTheme="minorHAnsi" w:hAnsiTheme="minorHAnsi" w:cstheme="minorHAnsi"/>
                <w:color w:val="auto"/>
                <w:lang w:val="fr-FR"/>
              </w:rPr>
              <w:t xml:space="preserve"> brief » avec les recommandations clés de l’analyse conduite, en mettant en lumière la potentialité du RSU dans le cadre du renforcement du système de protection sociale nationale réactif aux chocs et sensible au changement climatique. Le « </w:t>
            </w:r>
            <w:proofErr w:type="spellStart"/>
            <w:r w:rsidRPr="00F14569">
              <w:rPr>
                <w:rFonts w:asciiTheme="minorHAnsi" w:hAnsiTheme="minorHAnsi" w:cstheme="minorHAnsi"/>
                <w:color w:val="auto"/>
                <w:lang w:val="fr-FR"/>
              </w:rPr>
              <w:t>policy</w:t>
            </w:r>
            <w:proofErr w:type="spellEnd"/>
            <w:r w:rsidRPr="00F14569">
              <w:rPr>
                <w:rFonts w:asciiTheme="minorHAnsi" w:hAnsiTheme="minorHAnsi" w:cstheme="minorHAnsi"/>
                <w:color w:val="auto"/>
                <w:lang w:val="fr-FR"/>
              </w:rPr>
              <w:t xml:space="preserve"> brief » servira également de document de plaidoyer pour les décideurs nationaux et les partenaires au développement afin que le rôle du RSU dans les politiques de réponse aux chocs et d’adaptation au changement climatique soit compris et afin de développer un consensus qui permettrait de porter le RSU à </w:t>
            </w:r>
            <w:r w:rsidR="008A7823" w:rsidRPr="00F14569">
              <w:rPr>
                <w:rFonts w:asciiTheme="minorHAnsi" w:hAnsiTheme="minorHAnsi" w:cstheme="minorHAnsi"/>
                <w:color w:val="auto"/>
                <w:lang w:val="fr-FR"/>
              </w:rPr>
              <w:t>l’échelle</w:t>
            </w:r>
            <w:r w:rsidRPr="00F14569">
              <w:rPr>
                <w:rFonts w:asciiTheme="minorHAnsi" w:hAnsiTheme="minorHAnsi" w:cstheme="minorHAnsi"/>
                <w:color w:val="auto"/>
                <w:lang w:val="fr-FR"/>
              </w:rPr>
              <w:t xml:space="preserve"> nationale et d’en exploiter pleinement son potentiel. </w:t>
            </w:r>
          </w:p>
          <w:p w14:paraId="51F9121F" w14:textId="77777777" w:rsidR="00982689" w:rsidRPr="00F14569" w:rsidRDefault="00982689" w:rsidP="001D244C">
            <w:pPr>
              <w:spacing w:line="240" w:lineRule="auto"/>
              <w:rPr>
                <w:rFonts w:ascii="Calibri" w:eastAsia="Arial Unicode MS" w:hAnsi="Calibri" w:cs="Calibri"/>
                <w:b/>
                <w:bCs/>
                <w:color w:val="auto"/>
                <w:lang w:val="fr-FR"/>
              </w:rPr>
            </w:pPr>
          </w:p>
          <w:p w14:paraId="02ECBDB1" w14:textId="77777777" w:rsidR="00AA4B12" w:rsidRPr="00F14569" w:rsidRDefault="00AA4B12" w:rsidP="001D244C">
            <w:pPr>
              <w:spacing w:line="240" w:lineRule="auto"/>
              <w:rPr>
                <w:rFonts w:asciiTheme="minorHAnsi" w:hAnsiTheme="minorHAnsi" w:cstheme="minorHAnsi"/>
                <w:b/>
                <w:bCs/>
                <w:color w:val="auto"/>
                <w:lang w:val="fr-FR"/>
              </w:rPr>
            </w:pPr>
            <w:r w:rsidRPr="00F14569">
              <w:rPr>
                <w:rFonts w:asciiTheme="minorHAnsi" w:hAnsiTheme="minorHAnsi" w:cstheme="minorHAnsi"/>
                <w:b/>
                <w:bCs/>
                <w:color w:val="auto"/>
                <w:lang w:val="fr-FR"/>
              </w:rPr>
              <w:t>Profil du consultant</w:t>
            </w:r>
          </w:p>
          <w:p w14:paraId="4F35EDDE" w14:textId="77777777" w:rsidR="00AA4B12" w:rsidRPr="003F4B85" w:rsidRDefault="00AA4B12" w:rsidP="001D244C">
            <w:pPr>
              <w:spacing w:line="240" w:lineRule="auto"/>
              <w:contextualSpacing/>
              <w:jc w:val="both"/>
              <w:rPr>
                <w:rFonts w:asciiTheme="minorHAnsi" w:hAnsiTheme="minorHAnsi" w:cstheme="minorHAnsi"/>
                <w:lang w:val="fr-FR"/>
              </w:rPr>
            </w:pPr>
            <w:r w:rsidRPr="003F4B85">
              <w:rPr>
                <w:rFonts w:asciiTheme="minorHAnsi" w:hAnsiTheme="minorHAnsi" w:cstheme="minorHAnsi"/>
                <w:lang w:val="fr-FR"/>
              </w:rPr>
              <w:t>Le profil requis pour cette consultance est le suivant :</w:t>
            </w:r>
          </w:p>
          <w:p w14:paraId="0408E7E4" w14:textId="226F6D9E" w:rsidR="000F4346" w:rsidRPr="0069747D" w:rsidRDefault="000F4346" w:rsidP="000F4346">
            <w:pPr>
              <w:spacing w:line="240" w:lineRule="auto"/>
              <w:rPr>
                <w:rFonts w:ascii="Calibri" w:eastAsia="Arial Unicode MS" w:hAnsi="Calibri" w:cs="Calibri"/>
                <w:color w:val="00B0F0"/>
                <w:lang w:val="fr-FR"/>
              </w:rPr>
            </w:pPr>
          </w:p>
          <w:p w14:paraId="79EDE7F3" w14:textId="473316F8" w:rsidR="00F71F1D" w:rsidRPr="00660FA9" w:rsidRDefault="00D90A15" w:rsidP="00D90A15">
            <w:pPr>
              <w:pStyle w:val="ListParagraph"/>
              <w:numPr>
                <w:ilvl w:val="0"/>
                <w:numId w:val="28"/>
              </w:numPr>
              <w:autoSpaceDE w:val="0"/>
              <w:autoSpaceDN w:val="0"/>
              <w:adjustRightInd w:val="0"/>
              <w:spacing w:line="240" w:lineRule="auto"/>
              <w:jc w:val="both"/>
              <w:rPr>
                <w:rFonts w:asciiTheme="minorHAnsi" w:hAnsiTheme="minorHAnsi" w:cstheme="minorHAnsi"/>
                <w:color w:val="auto"/>
                <w:lang w:val="fr-FR"/>
              </w:rPr>
            </w:pPr>
            <w:r w:rsidRPr="00660FA9">
              <w:rPr>
                <w:rFonts w:asciiTheme="minorHAnsi" w:hAnsiTheme="minorHAnsi" w:cstheme="minorHAnsi"/>
                <w:color w:val="auto"/>
                <w:lang w:val="fr-FR"/>
              </w:rPr>
              <w:t xml:space="preserve">Une Maitrise en </w:t>
            </w:r>
            <w:r w:rsidRPr="00660FA9">
              <w:rPr>
                <w:rFonts w:ascii="Calibri" w:eastAsia="Arial Unicode MS" w:hAnsi="Calibri" w:cs="Calibri"/>
                <w:color w:val="auto"/>
                <w:lang w:val="fr-FR"/>
              </w:rPr>
              <w:t>Economie, sciences sociales ou discipline corrélée</w:t>
            </w:r>
          </w:p>
          <w:p w14:paraId="62F32AD3" w14:textId="0BC8375D" w:rsidR="00AA4B12" w:rsidRPr="00660FA9" w:rsidRDefault="00AA4B12" w:rsidP="001D244C">
            <w:pPr>
              <w:numPr>
                <w:ilvl w:val="0"/>
                <w:numId w:val="28"/>
              </w:numPr>
              <w:autoSpaceDE w:val="0"/>
              <w:autoSpaceDN w:val="0"/>
              <w:adjustRightInd w:val="0"/>
              <w:spacing w:line="240" w:lineRule="auto"/>
              <w:jc w:val="both"/>
              <w:rPr>
                <w:rFonts w:asciiTheme="minorHAnsi" w:hAnsiTheme="minorHAnsi" w:cstheme="minorHAnsi"/>
                <w:color w:val="auto"/>
                <w:lang w:val="fr-FR"/>
              </w:rPr>
            </w:pPr>
            <w:r w:rsidRPr="00660FA9">
              <w:rPr>
                <w:rFonts w:asciiTheme="minorHAnsi" w:hAnsiTheme="minorHAnsi" w:cstheme="minorHAnsi"/>
                <w:color w:val="auto"/>
                <w:lang w:val="fr-FR"/>
              </w:rPr>
              <w:t xml:space="preserve">Un expert senior de protection sociale avec minimum 15 ans d’expérience professionnelle dans l’appui institutionnel aux Gouvernements pour mettre en place des systèmes de protection sociale. De l’expérience préalable en Afrique et dans un pays à faible revenu est nécessaire </w:t>
            </w:r>
          </w:p>
          <w:p w14:paraId="25BED4F1" w14:textId="77777777" w:rsidR="00AA4B12" w:rsidRPr="00660FA9" w:rsidRDefault="00AA4B12" w:rsidP="001D244C">
            <w:pPr>
              <w:pStyle w:val="ListParagraph"/>
              <w:numPr>
                <w:ilvl w:val="0"/>
                <w:numId w:val="28"/>
              </w:numPr>
              <w:spacing w:line="240" w:lineRule="auto"/>
              <w:jc w:val="both"/>
              <w:rPr>
                <w:rFonts w:asciiTheme="minorHAnsi" w:hAnsiTheme="minorHAnsi" w:cstheme="minorHAnsi"/>
                <w:color w:val="auto"/>
                <w:lang w:val="fr-FR"/>
              </w:rPr>
            </w:pPr>
            <w:r w:rsidRPr="00660FA9">
              <w:rPr>
                <w:rFonts w:asciiTheme="minorHAnsi" w:hAnsiTheme="minorHAnsi" w:cstheme="minorHAnsi"/>
                <w:color w:val="auto"/>
                <w:lang w:val="fr-FR"/>
              </w:rPr>
              <w:t>Expérience préalable dans le travail de mise en place et de renforcement des Registres Sociaux dans des pays en voie de développement, et tout particulièrement en Afrique</w:t>
            </w:r>
          </w:p>
          <w:p w14:paraId="24FBF7CC" w14:textId="77777777" w:rsidR="00AA4B12" w:rsidRPr="00660FA9" w:rsidRDefault="00AA4B12" w:rsidP="001D244C">
            <w:pPr>
              <w:pStyle w:val="ListParagraph"/>
              <w:numPr>
                <w:ilvl w:val="0"/>
                <w:numId w:val="28"/>
              </w:numPr>
              <w:spacing w:line="240" w:lineRule="auto"/>
              <w:jc w:val="both"/>
              <w:rPr>
                <w:rFonts w:asciiTheme="minorHAnsi" w:hAnsiTheme="minorHAnsi" w:cstheme="minorHAnsi"/>
                <w:color w:val="auto"/>
                <w:lang w:val="fr-FR"/>
              </w:rPr>
            </w:pPr>
            <w:r w:rsidRPr="00660FA9">
              <w:rPr>
                <w:rFonts w:asciiTheme="minorHAnsi" w:hAnsiTheme="minorHAnsi" w:cstheme="minorHAnsi"/>
                <w:color w:val="auto"/>
                <w:lang w:val="fr-FR"/>
              </w:rPr>
              <w:t>Forte connaissance et expériences préalables de la protection sociale réactive aux chocs et du renforcement des systèmes nationaux de protection sociale dans la réponse aux crises</w:t>
            </w:r>
          </w:p>
          <w:p w14:paraId="715E0334" w14:textId="77777777" w:rsidR="00AA4B12" w:rsidRPr="00660FA9" w:rsidRDefault="00AA4B12" w:rsidP="001D244C">
            <w:pPr>
              <w:pStyle w:val="ListParagraph"/>
              <w:numPr>
                <w:ilvl w:val="0"/>
                <w:numId w:val="28"/>
              </w:numPr>
              <w:spacing w:line="240" w:lineRule="auto"/>
              <w:jc w:val="both"/>
              <w:rPr>
                <w:rFonts w:asciiTheme="minorHAnsi" w:hAnsiTheme="minorHAnsi" w:cstheme="minorHAnsi"/>
                <w:color w:val="auto"/>
                <w:lang w:val="fr-FR"/>
              </w:rPr>
            </w:pPr>
            <w:r w:rsidRPr="00660FA9">
              <w:rPr>
                <w:rFonts w:asciiTheme="minorHAnsi" w:hAnsiTheme="minorHAnsi" w:cstheme="minorHAnsi"/>
                <w:color w:val="auto"/>
                <w:lang w:val="fr-FR"/>
              </w:rPr>
              <w:t>Une connaissance du contexte de protection sociale à Madagascar est considérée comme un fort atout</w:t>
            </w:r>
          </w:p>
          <w:p w14:paraId="3EADE7A3" w14:textId="77777777" w:rsidR="00AA4B12" w:rsidRPr="00660FA9" w:rsidRDefault="00AA4B12" w:rsidP="001D244C">
            <w:pPr>
              <w:pStyle w:val="ListParagraph"/>
              <w:numPr>
                <w:ilvl w:val="0"/>
                <w:numId w:val="28"/>
              </w:numPr>
              <w:spacing w:line="240" w:lineRule="auto"/>
              <w:jc w:val="both"/>
              <w:rPr>
                <w:rFonts w:asciiTheme="minorHAnsi" w:hAnsiTheme="minorHAnsi" w:cstheme="minorHAnsi"/>
                <w:color w:val="auto"/>
                <w:lang w:val="fr-FR"/>
              </w:rPr>
            </w:pPr>
            <w:r w:rsidRPr="00660FA9">
              <w:rPr>
                <w:rFonts w:asciiTheme="minorHAnsi" w:hAnsiTheme="minorHAnsi" w:cstheme="minorHAnsi"/>
                <w:color w:val="auto"/>
                <w:lang w:val="fr-FR"/>
              </w:rPr>
              <w:t>Une expérience de travail/consultance préalable à l’UNICEF et la connaissance des orientations stratégiques de l’UNICEF en matière de protection sociale est considérée comme un atout</w:t>
            </w:r>
          </w:p>
          <w:p w14:paraId="309C3AE6" w14:textId="77777777" w:rsidR="00AA4B12" w:rsidRPr="00660FA9" w:rsidRDefault="00AA4B12" w:rsidP="001D244C">
            <w:pPr>
              <w:pStyle w:val="ListParagraph"/>
              <w:numPr>
                <w:ilvl w:val="0"/>
                <w:numId w:val="28"/>
              </w:numPr>
              <w:spacing w:line="240" w:lineRule="auto"/>
              <w:jc w:val="both"/>
              <w:rPr>
                <w:rFonts w:asciiTheme="minorHAnsi" w:hAnsiTheme="minorHAnsi" w:cstheme="minorHAnsi"/>
                <w:color w:val="auto"/>
                <w:lang w:val="fr-FR"/>
              </w:rPr>
            </w:pPr>
            <w:r w:rsidRPr="00660FA9">
              <w:rPr>
                <w:rFonts w:asciiTheme="minorHAnsi" w:hAnsiTheme="minorHAnsi" w:cstheme="minorHAnsi"/>
                <w:color w:val="auto"/>
                <w:lang w:val="fr-FR"/>
              </w:rPr>
              <w:t>Excellent niveau de français et d’anglais</w:t>
            </w:r>
          </w:p>
          <w:p w14:paraId="0856CB0D" w14:textId="77777777" w:rsidR="00EE2385" w:rsidRPr="00501AF5" w:rsidRDefault="00EE2385" w:rsidP="00501AF5">
            <w:pPr>
              <w:spacing w:line="240" w:lineRule="auto"/>
              <w:jc w:val="both"/>
              <w:rPr>
                <w:rFonts w:asciiTheme="minorHAnsi" w:hAnsiTheme="minorHAnsi" w:cstheme="minorHAnsi"/>
                <w:b/>
                <w:bCs/>
                <w:color w:val="00B0F0"/>
                <w:lang w:val="fr-FR"/>
              </w:rPr>
            </w:pPr>
          </w:p>
          <w:p w14:paraId="04B8632E" w14:textId="77777777" w:rsidR="00EE2385" w:rsidRPr="00660FA9" w:rsidRDefault="00EE2385" w:rsidP="001D244C">
            <w:pPr>
              <w:spacing w:line="240" w:lineRule="auto"/>
              <w:rPr>
                <w:rFonts w:asciiTheme="minorHAnsi" w:hAnsiTheme="minorHAnsi" w:cstheme="minorHAnsi"/>
                <w:b/>
                <w:bCs/>
                <w:color w:val="auto"/>
                <w:lang w:val="fr-FR"/>
              </w:rPr>
            </w:pPr>
            <w:r w:rsidRPr="00EE2385">
              <w:rPr>
                <w:rFonts w:asciiTheme="minorHAnsi" w:hAnsiTheme="minorHAnsi" w:cstheme="minorHAnsi"/>
                <w:b/>
                <w:bCs/>
                <w:color w:val="auto"/>
                <w:lang w:val="fr-FR"/>
              </w:rPr>
              <w:t xml:space="preserve">Timing and administrative </w:t>
            </w:r>
            <w:proofErr w:type="spellStart"/>
            <w:r w:rsidRPr="00660FA9">
              <w:rPr>
                <w:rFonts w:asciiTheme="minorHAnsi" w:hAnsiTheme="minorHAnsi" w:cstheme="minorHAnsi"/>
                <w:b/>
                <w:bCs/>
                <w:color w:val="auto"/>
                <w:lang w:val="fr-FR"/>
              </w:rPr>
              <w:t>details</w:t>
            </w:r>
            <w:proofErr w:type="spellEnd"/>
          </w:p>
          <w:p w14:paraId="30C18AB1" w14:textId="1C93CC91" w:rsidR="00EE2385" w:rsidRPr="00660FA9" w:rsidRDefault="00EE2385" w:rsidP="001D244C">
            <w:pPr>
              <w:spacing w:line="240" w:lineRule="auto"/>
              <w:contextualSpacing/>
              <w:jc w:val="both"/>
              <w:rPr>
                <w:rFonts w:asciiTheme="minorHAnsi" w:hAnsiTheme="minorHAnsi" w:cstheme="minorHAnsi"/>
                <w:color w:val="auto"/>
                <w:lang w:val="fr-FR"/>
              </w:rPr>
            </w:pPr>
            <w:r w:rsidRPr="00660FA9">
              <w:rPr>
                <w:rFonts w:asciiTheme="minorHAnsi" w:hAnsiTheme="minorHAnsi" w:cstheme="minorHAnsi"/>
                <w:color w:val="auto"/>
                <w:lang w:val="fr-FR"/>
              </w:rPr>
              <w:t>La consultance démarrera le 15 mars et se clôturera au plus tard le 30 juillet. Le travail de rédaction des livrables se fera surtout à distance. Le consultant proposera dans son offre financière et technique des éventuelles missions à Madagascar en fonction de l’approche méthodologique proposé</w:t>
            </w:r>
            <w:r w:rsidR="00374D2A" w:rsidRPr="00660FA9">
              <w:rPr>
                <w:rFonts w:asciiTheme="minorHAnsi" w:hAnsiTheme="minorHAnsi" w:cstheme="minorHAnsi"/>
                <w:color w:val="auto"/>
                <w:lang w:val="fr-FR"/>
              </w:rPr>
              <w:t>e</w:t>
            </w:r>
            <w:r w:rsidRPr="00660FA9">
              <w:rPr>
                <w:rFonts w:asciiTheme="minorHAnsi" w:hAnsiTheme="minorHAnsi" w:cstheme="minorHAnsi"/>
                <w:color w:val="auto"/>
                <w:lang w:val="fr-FR"/>
              </w:rPr>
              <w:t xml:space="preserve"> par le consultant. Le contrat sera sous la supervision du Spécialiste de Protection Sociale de l’UNICEF Madagascar.</w:t>
            </w:r>
          </w:p>
          <w:p w14:paraId="0BF27DDF" w14:textId="77777777" w:rsidR="00EE2385" w:rsidRPr="003F4B85" w:rsidRDefault="00EE2385" w:rsidP="001D244C">
            <w:pPr>
              <w:spacing w:line="240" w:lineRule="auto"/>
              <w:contextualSpacing/>
              <w:jc w:val="both"/>
              <w:rPr>
                <w:rFonts w:asciiTheme="minorHAnsi" w:hAnsiTheme="minorHAnsi" w:cstheme="minorHAnsi"/>
                <w:b/>
                <w:bCs/>
                <w:color w:val="00B0F0"/>
                <w:lang w:val="fr-FR"/>
              </w:rPr>
            </w:pPr>
          </w:p>
          <w:p w14:paraId="70D3981E" w14:textId="77777777" w:rsidR="00EE2385" w:rsidRPr="00846EF2" w:rsidRDefault="00EE2385" w:rsidP="001D244C">
            <w:pPr>
              <w:spacing w:line="240" w:lineRule="auto"/>
              <w:rPr>
                <w:rFonts w:asciiTheme="minorHAnsi" w:hAnsiTheme="minorHAnsi" w:cstheme="minorHAnsi"/>
                <w:b/>
                <w:bCs/>
                <w:color w:val="auto"/>
                <w:lang w:val="fr-FR"/>
              </w:rPr>
            </w:pPr>
            <w:r w:rsidRPr="00846EF2">
              <w:rPr>
                <w:rFonts w:asciiTheme="minorHAnsi" w:hAnsiTheme="minorHAnsi" w:cstheme="minorHAnsi"/>
                <w:b/>
                <w:bCs/>
                <w:color w:val="auto"/>
                <w:lang w:val="fr-FR"/>
              </w:rPr>
              <w:t>Offre technique et financière</w:t>
            </w:r>
          </w:p>
          <w:p w14:paraId="007FBB60" w14:textId="77777777" w:rsidR="00EE2385" w:rsidRPr="003F4B85" w:rsidRDefault="00EE2385" w:rsidP="001D244C">
            <w:pPr>
              <w:pStyle w:val="BodyText"/>
              <w:spacing w:after="0" w:line="240" w:lineRule="auto"/>
              <w:jc w:val="both"/>
              <w:rPr>
                <w:rFonts w:asciiTheme="minorHAnsi" w:hAnsiTheme="minorHAnsi" w:cstheme="minorHAnsi"/>
                <w:lang w:val="fr-FR"/>
              </w:rPr>
            </w:pPr>
            <w:r w:rsidRPr="003F4B85">
              <w:rPr>
                <w:rFonts w:asciiTheme="minorHAnsi" w:hAnsiTheme="minorHAnsi" w:cstheme="minorHAnsi"/>
                <w:lang w:val="fr-FR"/>
              </w:rPr>
              <w:t>L’offre technique devra inclure les éléments suivants :</w:t>
            </w:r>
          </w:p>
          <w:p w14:paraId="3F440ABF" w14:textId="77777777" w:rsidR="00EE2385" w:rsidRPr="003F4B85" w:rsidRDefault="00EE2385" w:rsidP="001D244C">
            <w:pPr>
              <w:pStyle w:val="Default"/>
              <w:rPr>
                <w:rFonts w:asciiTheme="minorHAnsi" w:hAnsiTheme="minorHAnsi" w:cstheme="minorHAnsi"/>
                <w:sz w:val="20"/>
                <w:szCs w:val="20"/>
                <w:lang w:val="fr-FR"/>
              </w:rPr>
            </w:pPr>
            <w:r w:rsidRPr="003F4B85">
              <w:rPr>
                <w:rFonts w:asciiTheme="minorHAnsi" w:hAnsiTheme="minorHAnsi" w:cstheme="minorHAnsi"/>
                <w:sz w:val="20"/>
                <w:szCs w:val="20"/>
                <w:lang w:val="fr-FR"/>
              </w:rPr>
              <w:t xml:space="preserve">1. Un résumé de la compréhension des </w:t>
            </w:r>
            <w:proofErr w:type="spellStart"/>
            <w:r w:rsidRPr="003F4B85">
              <w:rPr>
                <w:rFonts w:asciiTheme="minorHAnsi" w:hAnsiTheme="minorHAnsi" w:cstheme="minorHAnsi"/>
                <w:sz w:val="20"/>
                <w:szCs w:val="20"/>
                <w:lang w:val="fr-FR"/>
              </w:rPr>
              <w:t>TdR</w:t>
            </w:r>
            <w:proofErr w:type="spellEnd"/>
            <w:r w:rsidRPr="003F4B85">
              <w:rPr>
                <w:rFonts w:asciiTheme="minorHAnsi" w:hAnsiTheme="minorHAnsi" w:cstheme="minorHAnsi"/>
                <w:sz w:val="20"/>
                <w:szCs w:val="20"/>
                <w:lang w:val="fr-FR"/>
              </w:rPr>
              <w:t xml:space="preserve"> et de l’approche proposée </w:t>
            </w:r>
          </w:p>
          <w:p w14:paraId="305D160F" w14:textId="77777777" w:rsidR="00EE2385" w:rsidRPr="003F4B85" w:rsidRDefault="00EE2385" w:rsidP="001D244C">
            <w:pPr>
              <w:pStyle w:val="Default"/>
              <w:rPr>
                <w:rFonts w:asciiTheme="minorHAnsi" w:hAnsiTheme="minorHAnsi" w:cstheme="minorHAnsi"/>
                <w:sz w:val="20"/>
                <w:szCs w:val="20"/>
                <w:lang w:val="fr-FR"/>
              </w:rPr>
            </w:pPr>
            <w:r w:rsidRPr="003F4B85">
              <w:rPr>
                <w:rFonts w:asciiTheme="minorHAnsi" w:hAnsiTheme="minorHAnsi" w:cstheme="minorHAnsi"/>
                <w:sz w:val="20"/>
                <w:szCs w:val="20"/>
                <w:lang w:val="fr-FR"/>
              </w:rPr>
              <w:t xml:space="preserve">2. Le CV détaillé (y inclus 3 références) </w:t>
            </w:r>
          </w:p>
          <w:p w14:paraId="7E240620" w14:textId="77777777" w:rsidR="00EE2385" w:rsidRPr="00C24A9F" w:rsidRDefault="00EE2385" w:rsidP="001D244C">
            <w:pPr>
              <w:pStyle w:val="Default"/>
              <w:rPr>
                <w:rFonts w:asciiTheme="minorHAnsi" w:hAnsiTheme="minorHAnsi" w:cstheme="minorHAnsi"/>
                <w:color w:val="auto"/>
                <w:sz w:val="20"/>
                <w:szCs w:val="20"/>
                <w:lang w:val="fr-FR"/>
              </w:rPr>
            </w:pPr>
            <w:r w:rsidRPr="003F4B85">
              <w:rPr>
                <w:rFonts w:asciiTheme="minorHAnsi" w:hAnsiTheme="minorHAnsi" w:cstheme="minorHAnsi"/>
                <w:sz w:val="20"/>
                <w:szCs w:val="20"/>
                <w:lang w:val="fr-FR"/>
              </w:rPr>
              <w:t xml:space="preserve">3. La référence à deux travaux similaires conduits par le consultant dans le passé avec les éventuels documents associés </w:t>
            </w:r>
          </w:p>
          <w:p w14:paraId="470C012C" w14:textId="77777777" w:rsidR="00EE2385" w:rsidRPr="00C24A9F" w:rsidRDefault="00EE2385" w:rsidP="001D244C">
            <w:pPr>
              <w:pStyle w:val="Default"/>
              <w:rPr>
                <w:rFonts w:asciiTheme="minorHAnsi" w:hAnsiTheme="minorHAnsi" w:cstheme="minorHAnsi"/>
                <w:color w:val="auto"/>
                <w:sz w:val="20"/>
                <w:szCs w:val="20"/>
                <w:lang w:val="fr-FR"/>
              </w:rPr>
            </w:pPr>
          </w:p>
          <w:p w14:paraId="358EF40B" w14:textId="77777777" w:rsidR="007F28F7" w:rsidRPr="00C24A9F" w:rsidRDefault="00EE2385" w:rsidP="001D244C">
            <w:pPr>
              <w:pStyle w:val="BodyText"/>
              <w:spacing w:after="0" w:line="240" w:lineRule="auto"/>
              <w:jc w:val="both"/>
              <w:rPr>
                <w:rFonts w:asciiTheme="minorHAnsi" w:hAnsiTheme="minorHAnsi" w:cstheme="minorHAnsi"/>
                <w:color w:val="auto"/>
                <w:lang w:val="fr-FR"/>
              </w:rPr>
            </w:pPr>
            <w:r w:rsidRPr="00C24A9F">
              <w:rPr>
                <w:rFonts w:asciiTheme="minorHAnsi" w:hAnsiTheme="minorHAnsi" w:cstheme="minorHAnsi"/>
                <w:color w:val="auto"/>
                <w:lang w:val="fr-FR"/>
              </w:rPr>
              <w:lastRenderedPageBreak/>
              <w:t xml:space="preserve">Le consultant devra fournir une offre financière détaillée qui inclut </w:t>
            </w:r>
            <w:r w:rsidR="006617FE" w:rsidRPr="00C24A9F">
              <w:rPr>
                <w:rFonts w:asciiTheme="minorHAnsi" w:hAnsiTheme="minorHAnsi" w:cstheme="minorHAnsi"/>
                <w:color w:val="auto"/>
                <w:lang w:val="fr-FR"/>
              </w:rPr>
              <w:t xml:space="preserve">tous </w:t>
            </w:r>
            <w:r w:rsidRPr="00C24A9F">
              <w:rPr>
                <w:rFonts w:asciiTheme="minorHAnsi" w:hAnsiTheme="minorHAnsi" w:cstheme="minorHAnsi"/>
                <w:color w:val="auto"/>
                <w:lang w:val="fr-FR"/>
              </w:rPr>
              <w:t>les couts liés à la consultance (honoraires, cout de voyages internationaux et DSA à Tana</w:t>
            </w:r>
            <w:r w:rsidR="00B00552" w:rsidRPr="00C24A9F">
              <w:rPr>
                <w:rFonts w:asciiTheme="minorHAnsi" w:hAnsiTheme="minorHAnsi" w:cstheme="minorHAnsi"/>
                <w:color w:val="auto"/>
                <w:lang w:val="fr-FR"/>
              </w:rPr>
              <w:t>, les frais administratifs</w:t>
            </w:r>
            <w:r w:rsidR="00E8163F" w:rsidRPr="00C24A9F">
              <w:rPr>
                <w:rFonts w:asciiTheme="minorHAnsi" w:hAnsiTheme="minorHAnsi" w:cstheme="minorHAnsi"/>
                <w:color w:val="auto"/>
                <w:lang w:val="fr-FR"/>
              </w:rPr>
              <w:t xml:space="preserve"> et autres</w:t>
            </w:r>
            <w:r w:rsidRPr="00C24A9F">
              <w:rPr>
                <w:rFonts w:asciiTheme="minorHAnsi" w:hAnsiTheme="minorHAnsi" w:cstheme="minorHAnsi"/>
                <w:color w:val="auto"/>
                <w:lang w:val="fr-FR"/>
              </w:rPr>
              <w:t xml:space="preserve">). </w:t>
            </w:r>
          </w:p>
          <w:p w14:paraId="3295BF17" w14:textId="413551C6" w:rsidR="00EE2385" w:rsidRPr="00C24A9F" w:rsidRDefault="00EE2385" w:rsidP="001D244C">
            <w:pPr>
              <w:pStyle w:val="BodyText"/>
              <w:spacing w:after="0" w:line="240" w:lineRule="auto"/>
              <w:jc w:val="both"/>
              <w:rPr>
                <w:rFonts w:asciiTheme="minorHAnsi" w:hAnsiTheme="minorHAnsi" w:cstheme="minorHAnsi"/>
                <w:color w:val="auto"/>
                <w:lang w:val="fr-FR" w:eastAsia="fr-FR"/>
              </w:rPr>
            </w:pPr>
            <w:r w:rsidRPr="00C24A9F">
              <w:rPr>
                <w:rFonts w:asciiTheme="minorHAnsi" w:hAnsiTheme="minorHAnsi" w:cstheme="minorHAnsi"/>
                <w:color w:val="auto"/>
                <w:lang w:val="fr-FR"/>
              </w:rPr>
              <w:t>Le cout des éventuels voyages et DSA pour les missions dans les provinces sera pris en charge directement par UNICEF.</w:t>
            </w:r>
          </w:p>
          <w:p w14:paraId="01D2A89F" w14:textId="2B42FD86" w:rsidR="00B14BE6" w:rsidRPr="00C24A9F" w:rsidRDefault="00B14BE6" w:rsidP="001D244C">
            <w:pPr>
              <w:spacing w:line="240" w:lineRule="auto"/>
              <w:rPr>
                <w:rFonts w:ascii="Calibri" w:eastAsia="Arial Unicode MS" w:hAnsi="Calibri" w:cs="Calibri"/>
                <w:b/>
                <w:bCs/>
                <w:color w:val="auto"/>
                <w:lang w:val="fr-FR"/>
              </w:rPr>
            </w:pPr>
          </w:p>
          <w:p w14:paraId="6AB520F6" w14:textId="7E3BB9C8" w:rsidR="00C31806" w:rsidRPr="00846EF2" w:rsidRDefault="00C31806" w:rsidP="001D244C">
            <w:pPr>
              <w:spacing w:line="240" w:lineRule="auto"/>
              <w:rPr>
                <w:rFonts w:asciiTheme="minorHAnsi" w:eastAsia="Arial Unicode MS" w:hAnsiTheme="minorHAnsi" w:cstheme="minorHAnsi"/>
                <w:b/>
                <w:bCs/>
                <w:color w:val="auto"/>
                <w:lang w:val="fr-FR"/>
              </w:rPr>
            </w:pPr>
            <w:r w:rsidRPr="00846EF2">
              <w:rPr>
                <w:rFonts w:asciiTheme="minorHAnsi" w:eastAsia="Arial Unicode MS" w:hAnsiTheme="minorHAnsi" w:cstheme="minorHAnsi"/>
                <w:b/>
                <w:bCs/>
                <w:color w:val="auto"/>
                <w:lang w:val="fr-FR"/>
              </w:rPr>
              <w:t>Informations additionnelles</w:t>
            </w:r>
          </w:p>
          <w:p w14:paraId="41BE77A6" w14:textId="087E4A17" w:rsidR="00C31806" w:rsidRDefault="00C31806" w:rsidP="001D244C">
            <w:pPr>
              <w:spacing w:line="240" w:lineRule="auto"/>
              <w:jc w:val="both"/>
              <w:rPr>
                <w:rFonts w:asciiTheme="minorHAnsi" w:eastAsia="Arial Unicode MS" w:hAnsiTheme="minorHAnsi" w:cstheme="minorHAnsi"/>
                <w:color w:val="auto"/>
                <w:lang w:val="fr-FR"/>
              </w:rPr>
            </w:pPr>
            <w:r w:rsidRPr="00846EF2">
              <w:rPr>
                <w:rFonts w:asciiTheme="minorHAnsi" w:eastAsia="Arial Unicode MS" w:hAnsiTheme="minorHAnsi" w:cstheme="minorHAnsi"/>
                <w:color w:val="auto"/>
                <w:lang w:val="fr-FR"/>
              </w:rPr>
              <w:t>Les personnes engagées dans le cadre d’un consultant ne seront pas considérées comme des « membres du personnel » au sens du Statut et du Règlement du personnel des Nations Unies et des politiques et procédures de l’UNICEF et n’auront pas droit aux avantages prévus dans ceux-ci (tels que les droits aux congés et la couverture d’assurance médicale). Leurs conditions de service seront régies par leur contrat et les Conditions générales des contrats de services de consultants. Les consultants sont responsables de la détermination de leurs obligations fiscales et du paiement de toutes taxes et/ou droits, conformément aux lois locales ou autres lois applicables.</w:t>
            </w:r>
            <w:r w:rsidR="009F4C58">
              <w:rPr>
                <w:rFonts w:asciiTheme="minorHAnsi" w:eastAsia="Arial Unicode MS" w:hAnsiTheme="minorHAnsi" w:cstheme="minorHAnsi"/>
                <w:color w:val="auto"/>
                <w:lang w:val="fr-FR"/>
              </w:rPr>
              <w:t> </w:t>
            </w:r>
          </w:p>
          <w:p w14:paraId="735DC788" w14:textId="77777777" w:rsidR="009F4C58" w:rsidRPr="00846EF2" w:rsidRDefault="009F4C58" w:rsidP="001D244C">
            <w:pPr>
              <w:spacing w:line="240" w:lineRule="auto"/>
              <w:jc w:val="both"/>
              <w:rPr>
                <w:rFonts w:asciiTheme="minorHAnsi" w:eastAsia="Arial Unicode MS" w:hAnsiTheme="minorHAnsi" w:cstheme="minorHAnsi"/>
                <w:color w:val="auto"/>
                <w:lang w:val="fr-FR"/>
              </w:rPr>
            </w:pPr>
          </w:p>
          <w:p w14:paraId="430105EE" w14:textId="38C33268" w:rsidR="00C31806" w:rsidRPr="00846EF2" w:rsidRDefault="00C31806" w:rsidP="001D244C">
            <w:pPr>
              <w:spacing w:line="240" w:lineRule="auto"/>
              <w:jc w:val="both"/>
              <w:rPr>
                <w:rFonts w:asciiTheme="minorHAnsi" w:eastAsia="Arial Unicode MS" w:hAnsiTheme="minorHAnsi" w:cstheme="minorHAnsi"/>
                <w:color w:val="auto"/>
                <w:lang w:val="fr-FR"/>
              </w:rPr>
            </w:pPr>
            <w:r w:rsidRPr="00846EF2">
              <w:rPr>
                <w:rFonts w:asciiTheme="minorHAnsi" w:eastAsia="Arial Unicode MS" w:hAnsiTheme="minorHAnsi" w:cstheme="minorHAnsi"/>
                <w:color w:val="auto"/>
                <w:lang w:val="fr-FR"/>
              </w:rPr>
              <w:t xml:space="preserve">Le consultant sélectionné est seul responsable de s'assurer que le visa (applicable) et l'assurance maladie requis pour exécuter les tâches du contrat sont valides pour toute la durée du contrat. Le consultant sélectionné est soumis à la confirmation de son statut entièrement vacciné contre le SRAS-CoV-2 (Covid-19) avec un vaccin approuvé par l'Organisation mondiale de la santé (OMS), qui doit être rempli avant d'accepter la mission. Le mandat de vaccination ne s'applique pas aux consultants qui travailleront à distance et ne sont pas censés travailler ou visiter les locaux de l'UNICEF, les lieux de mise en </w:t>
            </w:r>
            <w:r w:rsidR="00646A84" w:rsidRPr="00846EF2">
              <w:rPr>
                <w:rFonts w:asciiTheme="minorHAnsi" w:eastAsia="Arial Unicode MS" w:hAnsiTheme="minorHAnsi" w:cstheme="minorHAnsi"/>
                <w:color w:val="auto"/>
                <w:lang w:val="fr-FR"/>
              </w:rPr>
              <w:t>œuvre</w:t>
            </w:r>
            <w:r w:rsidRPr="00846EF2">
              <w:rPr>
                <w:rFonts w:asciiTheme="minorHAnsi" w:eastAsia="Arial Unicode MS" w:hAnsiTheme="minorHAnsi" w:cstheme="minorHAnsi"/>
                <w:color w:val="auto"/>
                <w:lang w:val="fr-FR"/>
              </w:rPr>
              <w:t xml:space="preserve"> des programmes ou interagir directement avec les communautés avec lesquelles l'UNICEF travaille, ni se déplacer pour exercer des fonctions pour l'UNICEF pendant la durée de leur mandat.</w:t>
            </w:r>
          </w:p>
          <w:p w14:paraId="78C5C227" w14:textId="741A2D26" w:rsidR="00B14BE6" w:rsidRPr="006F47D3" w:rsidRDefault="00C31806" w:rsidP="001D244C">
            <w:pPr>
              <w:spacing w:line="240" w:lineRule="auto"/>
              <w:rPr>
                <w:rFonts w:ascii="Calibri" w:eastAsia="Arial Unicode MS" w:hAnsi="Calibri" w:cs="Calibri"/>
                <w:b/>
                <w:bCs/>
                <w:color w:val="auto"/>
                <w:lang w:val="fr-FR"/>
              </w:rPr>
            </w:pPr>
            <w:r w:rsidRPr="00846EF2">
              <w:rPr>
                <w:rFonts w:asciiTheme="minorHAnsi" w:eastAsia="Arial Unicode MS" w:hAnsiTheme="minorHAnsi" w:cstheme="minorHAnsi"/>
                <w:color w:val="auto"/>
                <w:lang w:val="fr-FR"/>
              </w:rPr>
              <w:t>L'UNICEF propose des aménagements raisonnables aux consultants avec handicap. Cela peut inclure, par exemple, des logiciels accessibles, une assistance aux voyages pour les missions ou des accompagnateurs personnels. Nous vous encourageons à nous informer de votre handicap lors de votre candidature au cas où</w:t>
            </w:r>
            <w:r>
              <w:rPr>
                <w:rFonts w:asciiTheme="minorHAnsi" w:eastAsia="Arial Unicode MS" w:hAnsiTheme="minorHAnsi" w:cstheme="minorHAnsi"/>
                <w:color w:val="auto"/>
                <w:lang w:val="fr-FR"/>
              </w:rPr>
              <w:t xml:space="preserve"> vous auriez besoin d’</w:t>
            </w:r>
            <w:r w:rsidR="00646A84">
              <w:rPr>
                <w:rFonts w:asciiTheme="minorHAnsi" w:eastAsia="Arial Unicode MS" w:hAnsiTheme="minorHAnsi" w:cstheme="minorHAnsi"/>
                <w:color w:val="auto"/>
                <w:lang w:val="fr-FR"/>
              </w:rPr>
              <w:t>aménagements</w:t>
            </w:r>
            <w:r>
              <w:rPr>
                <w:rFonts w:asciiTheme="minorHAnsi" w:eastAsia="Arial Unicode MS" w:hAnsiTheme="minorHAnsi" w:cstheme="minorHAnsi"/>
                <w:color w:val="auto"/>
                <w:lang w:val="fr-FR"/>
              </w:rPr>
              <w:t xml:space="preserve"> </w:t>
            </w:r>
            <w:r w:rsidR="00646A84">
              <w:rPr>
                <w:rFonts w:asciiTheme="minorHAnsi" w:eastAsia="Arial Unicode MS" w:hAnsiTheme="minorHAnsi" w:cstheme="minorHAnsi"/>
                <w:color w:val="auto"/>
                <w:lang w:val="fr-FR"/>
              </w:rPr>
              <w:t>raisonnables pendant le processus de sélection et après votre mission.</w:t>
            </w:r>
          </w:p>
        </w:tc>
      </w:tr>
      <w:tr w:rsidR="007613B3" w:rsidRPr="00A30319" w14:paraId="0A300CA7" w14:textId="77777777" w:rsidTr="00EA2244">
        <w:trPr>
          <w:gridAfter w:val="1"/>
          <w:wAfter w:w="8" w:type="dxa"/>
          <w:trHeight w:val="60"/>
        </w:trPr>
        <w:tc>
          <w:tcPr>
            <w:tcW w:w="9887" w:type="dxa"/>
            <w:gridSpan w:val="2"/>
            <w:tcBorders>
              <w:top w:val="nil"/>
            </w:tcBorders>
            <w:shd w:val="clear" w:color="auto" w:fill="auto"/>
            <w:noWrap/>
          </w:tcPr>
          <w:p w14:paraId="51AD8E11" w14:textId="77777777" w:rsidR="007613B3" w:rsidRPr="006F47D3" w:rsidRDefault="007613B3" w:rsidP="001D244C">
            <w:pPr>
              <w:spacing w:line="240" w:lineRule="auto"/>
              <w:rPr>
                <w:rFonts w:ascii="Calibri" w:eastAsia="Arial Unicode MS" w:hAnsi="Calibri" w:cs="Calibri"/>
                <w:i/>
                <w:color w:val="auto"/>
                <w:lang w:val="fr-FR"/>
              </w:rPr>
            </w:pPr>
          </w:p>
        </w:tc>
      </w:tr>
    </w:tbl>
    <w:p w14:paraId="5FDC6B92" w14:textId="77777777" w:rsidR="00300C0B" w:rsidRPr="00A30319" w:rsidRDefault="00300C0B" w:rsidP="001D244C">
      <w:pPr>
        <w:tabs>
          <w:tab w:val="left" w:pos="1728"/>
        </w:tabs>
        <w:spacing w:line="240" w:lineRule="auto"/>
        <w:rPr>
          <w:rFonts w:ascii="Calibri" w:hAnsi="Calibri" w:cs="Calibri"/>
          <w:b/>
          <w:bCs/>
          <w:sz w:val="24"/>
          <w:szCs w:val="24"/>
          <w:u w:val="single"/>
          <w:lang w:val="fr-FR"/>
        </w:rPr>
      </w:pPr>
    </w:p>
    <w:p w14:paraId="33DF7446" w14:textId="7EE3260D" w:rsidR="00B3533A" w:rsidRPr="00A30319" w:rsidRDefault="00B3533A" w:rsidP="001D244C">
      <w:pPr>
        <w:tabs>
          <w:tab w:val="left" w:pos="1728"/>
        </w:tabs>
        <w:spacing w:line="240" w:lineRule="auto"/>
        <w:rPr>
          <w:rFonts w:ascii="Calibri" w:hAnsi="Calibri" w:cs="Calibri"/>
          <w:b/>
          <w:bCs/>
          <w:u w:val="single"/>
          <w:lang w:val="fr-FR"/>
        </w:rPr>
      </w:pPr>
      <w:r w:rsidRPr="00A30319">
        <w:rPr>
          <w:rFonts w:ascii="Calibri" w:hAnsi="Calibri" w:cs="Calibri"/>
          <w:b/>
          <w:bCs/>
          <w:u w:val="single"/>
          <w:lang w:val="fr-FR"/>
        </w:rPr>
        <w:t xml:space="preserve">Livrables </w:t>
      </w:r>
    </w:p>
    <w:p w14:paraId="7F4562B9" w14:textId="1C479A6F" w:rsidR="00161207" w:rsidRPr="0095368E" w:rsidRDefault="0095368E" w:rsidP="0095368E">
      <w:pPr>
        <w:tabs>
          <w:tab w:val="left" w:pos="7012"/>
        </w:tabs>
        <w:jc w:val="both"/>
        <w:rPr>
          <w:rFonts w:ascii="Calibri" w:hAnsi="Calibri" w:cs="Calibri"/>
          <w:sz w:val="24"/>
          <w:szCs w:val="24"/>
          <w:lang w:val="fr-FR"/>
        </w:rPr>
      </w:pPr>
      <w:r w:rsidRPr="0088421D">
        <w:rPr>
          <w:rFonts w:asciiTheme="minorHAnsi" w:hAnsiTheme="minorHAnsi" w:cstheme="minorHAnsi"/>
          <w:lang w:val="fr-FR"/>
        </w:rPr>
        <w:t xml:space="preserve">Les livrables seront produit par le consultant en français et seront traduit en anglais par le bureau pays de l’UNICEF afin d’informer un public plus large de décideurs et de bailleurs. La structure du </w:t>
      </w:r>
      <w:proofErr w:type="spellStart"/>
      <w:r w:rsidRPr="0088421D">
        <w:rPr>
          <w:rFonts w:asciiTheme="minorHAnsi" w:hAnsiTheme="minorHAnsi" w:cstheme="minorHAnsi"/>
          <w:lang w:val="fr-FR"/>
        </w:rPr>
        <w:t>policy</w:t>
      </w:r>
      <w:proofErr w:type="spellEnd"/>
      <w:r w:rsidRPr="0088421D">
        <w:rPr>
          <w:rFonts w:asciiTheme="minorHAnsi" w:hAnsiTheme="minorHAnsi" w:cstheme="minorHAnsi"/>
          <w:lang w:val="fr-FR"/>
        </w:rPr>
        <w:t xml:space="preserve"> brief sera décidé au démarrage de la consultance en collaboration avec l’équipe de protection sociale de l’UNICEF.</w:t>
      </w:r>
    </w:p>
    <w:tbl>
      <w:tblPr>
        <w:tblpPr w:leftFromText="180" w:rightFromText="180" w:vertAnchor="page" w:horzAnchor="margin" w:tblpY="9043"/>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600"/>
        <w:gridCol w:w="4972"/>
        <w:gridCol w:w="1418"/>
        <w:gridCol w:w="929"/>
      </w:tblGrid>
      <w:tr w:rsidR="003F1441" w:rsidRPr="007613B3" w14:paraId="425FD66B" w14:textId="77777777" w:rsidTr="003F1441">
        <w:trPr>
          <w:trHeight w:val="368"/>
        </w:trPr>
        <w:tc>
          <w:tcPr>
            <w:tcW w:w="2600" w:type="dxa"/>
            <w:tcBorders>
              <w:top w:val="single" w:sz="8" w:space="0" w:color="6D6D6D"/>
              <w:left w:val="single" w:sz="8" w:space="0" w:color="6D6D6D"/>
              <w:bottom w:val="single" w:sz="8" w:space="0" w:color="6D6D6D"/>
              <w:right w:val="single" w:sz="8" w:space="0" w:color="6D6D6D"/>
            </w:tcBorders>
            <w:shd w:val="clear" w:color="auto" w:fill="E7E6E6" w:themeFill="background2"/>
            <w:noWrap/>
          </w:tcPr>
          <w:p w14:paraId="0B58EAB6" w14:textId="77777777" w:rsidR="003F1441" w:rsidRPr="007613B3" w:rsidRDefault="003F1441" w:rsidP="003F1441">
            <w:pPr>
              <w:spacing w:line="240" w:lineRule="auto"/>
              <w:ind w:left="12" w:hanging="12"/>
              <w:rPr>
                <w:rFonts w:ascii="Calibri" w:eastAsia="Arial Unicode MS" w:hAnsi="Calibri" w:cs="Calibri"/>
                <w:color w:val="auto"/>
                <w:lang w:val="en-AU"/>
              </w:rPr>
            </w:pPr>
            <w:r>
              <w:rPr>
                <w:rFonts w:ascii="Calibri" w:eastAsia="Arial Unicode MS" w:hAnsi="Calibri" w:cs="Calibri"/>
                <w:color w:val="auto"/>
                <w:lang w:val="en-AU"/>
              </w:rPr>
              <w:t>Work Assignments Overview</w:t>
            </w:r>
          </w:p>
        </w:tc>
        <w:tc>
          <w:tcPr>
            <w:tcW w:w="4972"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6D30F020" w14:textId="77777777" w:rsidR="003F1441" w:rsidRPr="007613B3" w:rsidRDefault="003F1441" w:rsidP="003F1441">
            <w:pPr>
              <w:spacing w:line="240" w:lineRule="auto"/>
              <w:ind w:left="12" w:hanging="12"/>
              <w:rPr>
                <w:rFonts w:ascii="Calibri" w:eastAsia="Arial Unicode MS" w:hAnsi="Calibri" w:cs="Calibri"/>
                <w:color w:val="auto"/>
                <w:lang w:val="en-AU"/>
              </w:rPr>
            </w:pPr>
            <w:r>
              <w:rPr>
                <w:rFonts w:ascii="Calibri" w:eastAsia="Arial Unicode MS" w:hAnsi="Calibri" w:cs="Calibri"/>
                <w:color w:val="auto"/>
                <w:lang w:val="en-AU"/>
              </w:rPr>
              <w:t>Deliverables/Outputs</w:t>
            </w:r>
          </w:p>
        </w:tc>
        <w:tc>
          <w:tcPr>
            <w:tcW w:w="1418"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0978FBAE" w14:textId="77777777" w:rsidR="003F1441" w:rsidRPr="007613B3" w:rsidRDefault="003F1441" w:rsidP="003F1441">
            <w:pPr>
              <w:spacing w:line="240" w:lineRule="auto"/>
              <w:rPr>
                <w:rFonts w:ascii="Calibri" w:eastAsia="Arial Unicode MS" w:hAnsi="Calibri" w:cs="Calibri"/>
                <w:color w:val="auto"/>
                <w:lang w:val="en-AU"/>
              </w:rPr>
            </w:pPr>
            <w:r w:rsidRPr="42903527">
              <w:rPr>
                <w:rFonts w:ascii="Calibri" w:eastAsia="Arial Unicode MS" w:hAnsi="Calibri" w:cs="Calibri"/>
                <w:color w:val="auto"/>
                <w:lang w:val="en-AU"/>
              </w:rPr>
              <w:t>Delivery  deadline</w:t>
            </w:r>
          </w:p>
        </w:tc>
        <w:tc>
          <w:tcPr>
            <w:tcW w:w="929"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015C0606" w14:textId="77777777" w:rsidR="003F1441" w:rsidRPr="007613B3" w:rsidRDefault="003F1441" w:rsidP="003F1441">
            <w:pPr>
              <w:spacing w:line="240" w:lineRule="auto"/>
              <w:rPr>
                <w:rFonts w:ascii="Calibri" w:eastAsia="Arial Unicode MS" w:hAnsi="Calibri" w:cs="Calibri"/>
                <w:color w:val="auto"/>
                <w:lang w:val="en-AU"/>
              </w:rPr>
            </w:pPr>
            <w:r w:rsidRPr="42903527">
              <w:rPr>
                <w:rFonts w:ascii="Calibri" w:eastAsia="Arial Unicode MS" w:hAnsi="Calibri" w:cs="Calibri"/>
                <w:color w:val="auto"/>
                <w:lang w:val="en-AU"/>
              </w:rPr>
              <w:t>Estimated Budget</w:t>
            </w:r>
          </w:p>
        </w:tc>
      </w:tr>
      <w:tr w:rsidR="003F1441" w:rsidRPr="005E4797" w14:paraId="4418AD7B" w14:textId="77777777" w:rsidTr="003F1441">
        <w:trPr>
          <w:trHeight w:val="343"/>
        </w:trPr>
        <w:tc>
          <w:tcPr>
            <w:tcW w:w="2600" w:type="dxa"/>
            <w:tcBorders>
              <w:top w:val="single" w:sz="8" w:space="0" w:color="6D6D6D"/>
              <w:left w:val="single" w:sz="8" w:space="0" w:color="6D6D6D"/>
              <w:bottom w:val="single" w:sz="8" w:space="0" w:color="6D6D6D"/>
              <w:right w:val="single" w:sz="8" w:space="0" w:color="6D6D6D"/>
            </w:tcBorders>
            <w:shd w:val="clear" w:color="auto" w:fill="auto"/>
            <w:noWrap/>
          </w:tcPr>
          <w:p w14:paraId="71B19039" w14:textId="77777777" w:rsidR="003F1441" w:rsidRPr="007613B3" w:rsidRDefault="003F1441" w:rsidP="003F1441">
            <w:pPr>
              <w:spacing w:line="240" w:lineRule="auto"/>
              <w:ind w:left="12" w:hanging="12"/>
              <w:rPr>
                <w:rFonts w:ascii="Calibri" w:eastAsia="Arial Unicode MS" w:hAnsi="Calibri" w:cs="Calibri"/>
                <w:color w:val="auto"/>
                <w:lang w:val="en-AU"/>
              </w:rPr>
            </w:pPr>
            <w:proofErr w:type="spellStart"/>
            <w:r>
              <w:rPr>
                <w:rFonts w:ascii="Calibri" w:eastAsia="Arial Unicode MS" w:hAnsi="Calibri" w:cs="Calibri"/>
                <w:color w:val="auto"/>
                <w:lang w:val="en-AU"/>
              </w:rPr>
              <w:t>Livrable</w:t>
            </w:r>
            <w:proofErr w:type="spellEnd"/>
            <w:r>
              <w:rPr>
                <w:rFonts w:ascii="Calibri" w:eastAsia="Arial Unicode MS" w:hAnsi="Calibri" w:cs="Calibri"/>
                <w:color w:val="auto"/>
                <w:lang w:val="en-AU"/>
              </w:rPr>
              <w:t xml:space="preserve"> 1</w:t>
            </w:r>
          </w:p>
        </w:tc>
        <w:tc>
          <w:tcPr>
            <w:tcW w:w="4972" w:type="dxa"/>
            <w:tcBorders>
              <w:top w:val="single" w:sz="8" w:space="0" w:color="6D6D6D"/>
              <w:left w:val="single" w:sz="8" w:space="0" w:color="6D6D6D"/>
              <w:bottom w:val="single" w:sz="8" w:space="0" w:color="6D6D6D"/>
              <w:right w:val="single" w:sz="8" w:space="0" w:color="6D6D6D"/>
            </w:tcBorders>
            <w:shd w:val="clear" w:color="auto" w:fill="auto"/>
          </w:tcPr>
          <w:p w14:paraId="43F6DFB4" w14:textId="77777777" w:rsidR="003F1441" w:rsidRDefault="003F1441" w:rsidP="003F1441">
            <w:pPr>
              <w:spacing w:line="240" w:lineRule="auto"/>
              <w:rPr>
                <w:rFonts w:asciiTheme="minorHAnsi" w:hAnsiTheme="minorHAnsi" w:cstheme="minorHAnsi"/>
                <w:color w:val="auto"/>
                <w:lang w:val="fr-FR"/>
              </w:rPr>
            </w:pPr>
            <w:r w:rsidRPr="0088421D">
              <w:rPr>
                <w:rFonts w:asciiTheme="minorHAnsi" w:hAnsiTheme="minorHAnsi" w:cstheme="minorHAnsi"/>
                <w:color w:val="auto"/>
                <w:lang w:val="fr-FR"/>
              </w:rPr>
              <w:t>Document synthétisant les résultats de l’analyse tel que défini dans les points 1-2-3 sur les objectifs de la consultance</w:t>
            </w:r>
          </w:p>
          <w:p w14:paraId="70F0E61D" w14:textId="77777777" w:rsidR="003F1441" w:rsidRPr="0088421D" w:rsidRDefault="003F1441" w:rsidP="003F1441">
            <w:pPr>
              <w:spacing w:line="240" w:lineRule="auto"/>
              <w:rPr>
                <w:rFonts w:ascii="Calibri" w:eastAsia="Arial Unicode MS" w:hAnsi="Calibri" w:cs="Calibri"/>
                <w:b/>
                <w:bCs/>
                <w:color w:val="auto"/>
                <w:lang w:val="fr-FR"/>
              </w:rPr>
            </w:pPr>
          </w:p>
        </w:tc>
        <w:tc>
          <w:tcPr>
            <w:tcW w:w="1418" w:type="dxa"/>
            <w:tcBorders>
              <w:top w:val="single" w:sz="8" w:space="0" w:color="6D6D6D"/>
              <w:left w:val="single" w:sz="8" w:space="0" w:color="6D6D6D"/>
              <w:bottom w:val="single" w:sz="8" w:space="0" w:color="6D6D6D"/>
              <w:right w:val="single" w:sz="8" w:space="0" w:color="6D6D6D"/>
            </w:tcBorders>
            <w:shd w:val="clear" w:color="auto" w:fill="auto"/>
          </w:tcPr>
          <w:p w14:paraId="64B8CBB0" w14:textId="77777777" w:rsidR="003F1441" w:rsidRPr="005E4797" w:rsidRDefault="003F1441" w:rsidP="003F1441">
            <w:pPr>
              <w:spacing w:line="240" w:lineRule="auto"/>
              <w:rPr>
                <w:rFonts w:ascii="Calibri" w:eastAsia="Arial Unicode MS" w:hAnsi="Calibri" w:cs="Calibri"/>
                <w:color w:val="auto"/>
                <w:lang w:val="fr-FR"/>
              </w:rPr>
            </w:pPr>
            <w:r>
              <w:rPr>
                <w:rFonts w:ascii="Calibri" w:eastAsia="Arial Unicode MS" w:hAnsi="Calibri" w:cs="Calibri"/>
                <w:color w:val="auto"/>
                <w:lang w:val="fr-FR"/>
              </w:rPr>
              <w:t>15 Mai 2024</w:t>
            </w:r>
          </w:p>
        </w:tc>
        <w:tc>
          <w:tcPr>
            <w:tcW w:w="929" w:type="dxa"/>
            <w:tcBorders>
              <w:top w:val="single" w:sz="8" w:space="0" w:color="6D6D6D"/>
              <w:left w:val="single" w:sz="8" w:space="0" w:color="6D6D6D"/>
              <w:bottom w:val="single" w:sz="8" w:space="0" w:color="6D6D6D"/>
              <w:right w:val="single" w:sz="8" w:space="0" w:color="6D6D6D"/>
            </w:tcBorders>
            <w:shd w:val="clear" w:color="auto" w:fill="auto"/>
          </w:tcPr>
          <w:p w14:paraId="206B012C" w14:textId="77777777" w:rsidR="003F1441" w:rsidRPr="005E4797" w:rsidRDefault="003F1441" w:rsidP="003F1441">
            <w:pPr>
              <w:spacing w:line="240" w:lineRule="auto"/>
              <w:rPr>
                <w:rFonts w:ascii="Calibri" w:eastAsia="Arial Unicode MS" w:hAnsi="Calibri" w:cs="Calibri"/>
                <w:color w:val="auto"/>
                <w:lang w:val="fr-FR"/>
              </w:rPr>
            </w:pPr>
            <w:r>
              <w:rPr>
                <w:rFonts w:ascii="Calibri" w:eastAsia="Arial Unicode MS" w:hAnsi="Calibri" w:cs="Calibri"/>
                <w:color w:val="auto"/>
                <w:lang w:val="fr-FR"/>
              </w:rPr>
              <w:t>15%</w:t>
            </w:r>
          </w:p>
        </w:tc>
      </w:tr>
      <w:tr w:rsidR="003F1441" w:rsidRPr="0063345C" w14:paraId="5D48A28D" w14:textId="77777777" w:rsidTr="003F1441">
        <w:trPr>
          <w:trHeight w:val="368"/>
        </w:trPr>
        <w:tc>
          <w:tcPr>
            <w:tcW w:w="2600" w:type="dxa"/>
            <w:tcBorders>
              <w:top w:val="single" w:sz="8" w:space="0" w:color="6D6D6D"/>
              <w:left w:val="single" w:sz="8" w:space="0" w:color="6D6D6D"/>
              <w:bottom w:val="single" w:sz="8" w:space="0" w:color="6D6D6D"/>
              <w:right w:val="single" w:sz="8" w:space="0" w:color="6D6D6D"/>
            </w:tcBorders>
            <w:shd w:val="clear" w:color="auto" w:fill="auto"/>
            <w:noWrap/>
          </w:tcPr>
          <w:p w14:paraId="01C41FE1" w14:textId="77777777" w:rsidR="003F1441" w:rsidRPr="007613B3" w:rsidRDefault="003F1441" w:rsidP="003F1441">
            <w:pPr>
              <w:spacing w:line="240" w:lineRule="auto"/>
              <w:ind w:left="12" w:hanging="12"/>
              <w:rPr>
                <w:rFonts w:ascii="Calibri" w:eastAsia="Arial Unicode MS" w:hAnsi="Calibri" w:cs="Calibri"/>
                <w:color w:val="auto"/>
                <w:lang w:val="en-AU"/>
              </w:rPr>
            </w:pPr>
            <w:proofErr w:type="spellStart"/>
            <w:r>
              <w:rPr>
                <w:rFonts w:ascii="Calibri" w:eastAsia="Arial Unicode MS" w:hAnsi="Calibri" w:cs="Calibri"/>
                <w:color w:val="auto"/>
                <w:lang w:val="en-AU"/>
              </w:rPr>
              <w:t>Livrable</w:t>
            </w:r>
            <w:proofErr w:type="spellEnd"/>
            <w:r>
              <w:rPr>
                <w:rFonts w:ascii="Calibri" w:eastAsia="Arial Unicode MS" w:hAnsi="Calibri" w:cs="Calibri"/>
                <w:color w:val="auto"/>
                <w:lang w:val="en-AU"/>
              </w:rPr>
              <w:t xml:space="preserve"> 2</w:t>
            </w:r>
          </w:p>
        </w:tc>
        <w:tc>
          <w:tcPr>
            <w:tcW w:w="4972" w:type="dxa"/>
            <w:tcBorders>
              <w:top w:val="single" w:sz="8" w:space="0" w:color="6D6D6D"/>
              <w:left w:val="single" w:sz="8" w:space="0" w:color="6D6D6D"/>
              <w:bottom w:val="single" w:sz="8" w:space="0" w:color="6D6D6D"/>
              <w:right w:val="single" w:sz="8" w:space="0" w:color="6D6D6D"/>
            </w:tcBorders>
            <w:shd w:val="clear" w:color="auto" w:fill="auto"/>
          </w:tcPr>
          <w:p w14:paraId="5C07A632" w14:textId="77777777" w:rsidR="003F1441" w:rsidRDefault="003F1441" w:rsidP="003F1441">
            <w:pPr>
              <w:spacing w:line="240" w:lineRule="auto"/>
              <w:rPr>
                <w:rFonts w:asciiTheme="minorHAnsi" w:hAnsiTheme="minorHAnsi" w:cstheme="minorHAnsi"/>
                <w:color w:val="auto"/>
                <w:lang w:val="fr-FR"/>
              </w:rPr>
            </w:pPr>
            <w:r w:rsidRPr="0088421D">
              <w:rPr>
                <w:rFonts w:asciiTheme="minorHAnsi" w:hAnsiTheme="minorHAnsi" w:cstheme="minorHAnsi"/>
                <w:color w:val="auto"/>
                <w:lang w:val="fr-FR"/>
              </w:rPr>
              <w:t>Draft du « </w:t>
            </w:r>
            <w:proofErr w:type="spellStart"/>
            <w:r w:rsidRPr="0088421D">
              <w:rPr>
                <w:rFonts w:asciiTheme="minorHAnsi" w:hAnsiTheme="minorHAnsi" w:cstheme="minorHAnsi"/>
                <w:color w:val="auto"/>
                <w:lang w:val="fr-FR"/>
              </w:rPr>
              <w:t>policy</w:t>
            </w:r>
            <w:proofErr w:type="spellEnd"/>
            <w:r w:rsidRPr="0088421D">
              <w:rPr>
                <w:rFonts w:asciiTheme="minorHAnsi" w:hAnsiTheme="minorHAnsi" w:cstheme="minorHAnsi"/>
                <w:color w:val="auto"/>
                <w:lang w:val="fr-FR"/>
              </w:rPr>
              <w:t xml:space="preserve"> brief » tel que défini dans le point 4 sur les objectifs de la consultance et présentation power point qui sera faite au MPS et aux partenaires</w:t>
            </w:r>
          </w:p>
          <w:p w14:paraId="2C7FB37E" w14:textId="77777777" w:rsidR="003F1441" w:rsidRPr="0088421D" w:rsidRDefault="003F1441" w:rsidP="003F1441">
            <w:pPr>
              <w:spacing w:line="240" w:lineRule="auto"/>
              <w:rPr>
                <w:rFonts w:ascii="Calibri" w:eastAsia="Arial Unicode MS" w:hAnsi="Calibri" w:cs="Calibri"/>
                <w:color w:val="auto"/>
                <w:lang w:val="fr-FR"/>
              </w:rPr>
            </w:pPr>
          </w:p>
        </w:tc>
        <w:tc>
          <w:tcPr>
            <w:tcW w:w="1418" w:type="dxa"/>
            <w:tcBorders>
              <w:top w:val="single" w:sz="8" w:space="0" w:color="6D6D6D"/>
              <w:left w:val="single" w:sz="8" w:space="0" w:color="6D6D6D"/>
              <w:bottom w:val="single" w:sz="8" w:space="0" w:color="6D6D6D"/>
              <w:right w:val="single" w:sz="8" w:space="0" w:color="6D6D6D"/>
            </w:tcBorders>
            <w:shd w:val="clear" w:color="auto" w:fill="auto"/>
          </w:tcPr>
          <w:p w14:paraId="3A15C5C3" w14:textId="77777777" w:rsidR="003F1441" w:rsidRPr="0063345C" w:rsidRDefault="003F1441" w:rsidP="003F1441">
            <w:pPr>
              <w:spacing w:line="240" w:lineRule="auto"/>
              <w:rPr>
                <w:rFonts w:ascii="Calibri" w:eastAsia="Arial Unicode MS" w:hAnsi="Calibri" w:cs="Calibri"/>
                <w:color w:val="auto"/>
                <w:lang w:val="fr-FR"/>
              </w:rPr>
            </w:pPr>
            <w:r>
              <w:rPr>
                <w:rFonts w:ascii="Calibri" w:eastAsia="Arial Unicode MS" w:hAnsi="Calibri" w:cs="Calibri"/>
                <w:color w:val="auto"/>
                <w:lang w:val="fr-FR"/>
              </w:rPr>
              <w:t>15 Juin 2024</w:t>
            </w:r>
          </w:p>
        </w:tc>
        <w:tc>
          <w:tcPr>
            <w:tcW w:w="929" w:type="dxa"/>
            <w:tcBorders>
              <w:top w:val="single" w:sz="8" w:space="0" w:color="6D6D6D"/>
              <w:left w:val="single" w:sz="8" w:space="0" w:color="6D6D6D"/>
              <w:bottom w:val="single" w:sz="8" w:space="0" w:color="6D6D6D"/>
              <w:right w:val="single" w:sz="8" w:space="0" w:color="6D6D6D"/>
            </w:tcBorders>
            <w:shd w:val="clear" w:color="auto" w:fill="auto"/>
          </w:tcPr>
          <w:p w14:paraId="70508D46" w14:textId="77777777" w:rsidR="003F1441" w:rsidRPr="0063345C" w:rsidRDefault="003F1441" w:rsidP="003F1441">
            <w:pPr>
              <w:spacing w:line="240" w:lineRule="auto"/>
              <w:rPr>
                <w:rFonts w:ascii="Calibri" w:eastAsia="Arial Unicode MS" w:hAnsi="Calibri" w:cs="Calibri"/>
                <w:color w:val="auto"/>
                <w:lang w:val="fr-FR"/>
              </w:rPr>
            </w:pPr>
            <w:r>
              <w:rPr>
                <w:rFonts w:ascii="Calibri" w:eastAsia="Arial Unicode MS" w:hAnsi="Calibri" w:cs="Calibri"/>
                <w:color w:val="auto"/>
                <w:lang w:val="fr-FR"/>
              </w:rPr>
              <w:t>50%</w:t>
            </w:r>
          </w:p>
        </w:tc>
      </w:tr>
      <w:tr w:rsidR="003F1441" w:rsidRPr="00962D54" w14:paraId="1AF1BF55" w14:textId="77777777" w:rsidTr="003F1441">
        <w:trPr>
          <w:trHeight w:val="368"/>
        </w:trPr>
        <w:tc>
          <w:tcPr>
            <w:tcW w:w="2600" w:type="dxa"/>
            <w:tcBorders>
              <w:top w:val="single" w:sz="8" w:space="0" w:color="6D6D6D"/>
              <w:left w:val="single" w:sz="8" w:space="0" w:color="6D6D6D"/>
              <w:bottom w:val="single" w:sz="8" w:space="0" w:color="6D6D6D"/>
              <w:right w:val="single" w:sz="8" w:space="0" w:color="6D6D6D"/>
            </w:tcBorders>
            <w:shd w:val="clear" w:color="auto" w:fill="auto"/>
            <w:noWrap/>
          </w:tcPr>
          <w:p w14:paraId="4690D942" w14:textId="77777777" w:rsidR="003F1441" w:rsidRPr="007613B3" w:rsidRDefault="003F1441" w:rsidP="003F1441">
            <w:pPr>
              <w:spacing w:line="240" w:lineRule="auto"/>
              <w:ind w:left="12" w:hanging="12"/>
              <w:rPr>
                <w:rFonts w:ascii="Calibri" w:eastAsia="Arial Unicode MS" w:hAnsi="Calibri" w:cs="Calibri"/>
                <w:color w:val="auto"/>
                <w:lang w:val="en-AU"/>
              </w:rPr>
            </w:pPr>
            <w:proofErr w:type="spellStart"/>
            <w:r>
              <w:rPr>
                <w:rFonts w:ascii="Calibri" w:eastAsia="Arial Unicode MS" w:hAnsi="Calibri" w:cs="Calibri"/>
                <w:color w:val="auto"/>
                <w:lang w:val="en-AU"/>
              </w:rPr>
              <w:t>Livrable</w:t>
            </w:r>
            <w:proofErr w:type="spellEnd"/>
            <w:r>
              <w:rPr>
                <w:rFonts w:ascii="Calibri" w:eastAsia="Arial Unicode MS" w:hAnsi="Calibri" w:cs="Calibri"/>
                <w:color w:val="auto"/>
                <w:lang w:val="en-AU"/>
              </w:rPr>
              <w:t xml:space="preserve"> 3</w:t>
            </w:r>
          </w:p>
        </w:tc>
        <w:tc>
          <w:tcPr>
            <w:tcW w:w="4972" w:type="dxa"/>
            <w:tcBorders>
              <w:top w:val="single" w:sz="8" w:space="0" w:color="6D6D6D"/>
              <w:left w:val="single" w:sz="8" w:space="0" w:color="6D6D6D"/>
              <w:bottom w:val="single" w:sz="8" w:space="0" w:color="6D6D6D"/>
              <w:right w:val="single" w:sz="8" w:space="0" w:color="6D6D6D"/>
            </w:tcBorders>
            <w:shd w:val="clear" w:color="auto" w:fill="auto"/>
          </w:tcPr>
          <w:p w14:paraId="3DEB913E" w14:textId="77777777" w:rsidR="003F1441" w:rsidRDefault="003F1441" w:rsidP="003F1441">
            <w:pPr>
              <w:spacing w:line="240" w:lineRule="auto"/>
              <w:ind w:left="12" w:hanging="12"/>
              <w:rPr>
                <w:rFonts w:asciiTheme="minorHAnsi" w:hAnsiTheme="minorHAnsi" w:cstheme="minorHAnsi"/>
                <w:color w:val="auto"/>
                <w:lang w:val="fr-FR"/>
              </w:rPr>
            </w:pPr>
            <w:r w:rsidRPr="0088421D">
              <w:rPr>
                <w:rFonts w:asciiTheme="minorHAnsi" w:hAnsiTheme="minorHAnsi" w:cstheme="minorHAnsi"/>
                <w:color w:val="auto"/>
                <w:lang w:val="fr-FR"/>
              </w:rPr>
              <w:t>Version finale du « </w:t>
            </w:r>
            <w:proofErr w:type="spellStart"/>
            <w:r w:rsidRPr="0088421D">
              <w:rPr>
                <w:rFonts w:asciiTheme="minorHAnsi" w:hAnsiTheme="minorHAnsi" w:cstheme="minorHAnsi"/>
                <w:color w:val="auto"/>
                <w:lang w:val="fr-FR"/>
              </w:rPr>
              <w:t>policy</w:t>
            </w:r>
            <w:proofErr w:type="spellEnd"/>
            <w:r w:rsidRPr="0088421D">
              <w:rPr>
                <w:rFonts w:asciiTheme="minorHAnsi" w:hAnsiTheme="minorHAnsi" w:cstheme="minorHAnsi"/>
                <w:color w:val="auto"/>
                <w:lang w:val="fr-FR"/>
              </w:rPr>
              <w:t xml:space="preserve"> brief » incluant les commentaires de l’UNICEF et des partenaires</w:t>
            </w:r>
          </w:p>
          <w:p w14:paraId="112FD051" w14:textId="77777777" w:rsidR="003F1441" w:rsidRDefault="003F1441" w:rsidP="003F1441">
            <w:pPr>
              <w:spacing w:line="240" w:lineRule="auto"/>
              <w:ind w:left="12" w:hanging="12"/>
              <w:rPr>
                <w:rFonts w:ascii="Calibri" w:eastAsia="Arial Unicode MS" w:hAnsi="Calibri" w:cs="Calibri"/>
                <w:color w:val="auto"/>
                <w:lang w:val="fr-FR"/>
              </w:rPr>
            </w:pPr>
          </w:p>
          <w:p w14:paraId="72577044" w14:textId="77777777" w:rsidR="003F1441" w:rsidRPr="0088421D" w:rsidRDefault="003F1441" w:rsidP="003F1441">
            <w:pPr>
              <w:spacing w:line="240" w:lineRule="auto"/>
              <w:ind w:left="12" w:hanging="12"/>
              <w:rPr>
                <w:rFonts w:ascii="Calibri" w:eastAsia="Arial Unicode MS" w:hAnsi="Calibri" w:cs="Calibri"/>
                <w:color w:val="auto"/>
                <w:lang w:val="fr-FR"/>
              </w:rPr>
            </w:pPr>
          </w:p>
        </w:tc>
        <w:tc>
          <w:tcPr>
            <w:tcW w:w="1418" w:type="dxa"/>
            <w:tcBorders>
              <w:top w:val="single" w:sz="8" w:space="0" w:color="6D6D6D"/>
              <w:left w:val="single" w:sz="8" w:space="0" w:color="6D6D6D"/>
              <w:bottom w:val="single" w:sz="8" w:space="0" w:color="6D6D6D"/>
              <w:right w:val="single" w:sz="8" w:space="0" w:color="6D6D6D"/>
            </w:tcBorders>
            <w:shd w:val="clear" w:color="auto" w:fill="auto"/>
          </w:tcPr>
          <w:p w14:paraId="1F7ACD6D" w14:textId="77777777" w:rsidR="003F1441" w:rsidRPr="00962D54" w:rsidRDefault="003F1441" w:rsidP="003F1441">
            <w:pPr>
              <w:spacing w:line="240" w:lineRule="auto"/>
              <w:rPr>
                <w:rFonts w:ascii="Calibri" w:eastAsia="Arial Unicode MS" w:hAnsi="Calibri" w:cs="Calibri"/>
                <w:color w:val="auto"/>
                <w:lang w:val="fr-FR"/>
              </w:rPr>
            </w:pPr>
            <w:r>
              <w:rPr>
                <w:rFonts w:ascii="Calibri" w:eastAsia="Arial Unicode MS" w:hAnsi="Calibri" w:cs="Calibri"/>
                <w:color w:val="auto"/>
                <w:lang w:val="fr-FR"/>
              </w:rPr>
              <w:t>30 Juillet 2024</w:t>
            </w:r>
          </w:p>
        </w:tc>
        <w:tc>
          <w:tcPr>
            <w:tcW w:w="929" w:type="dxa"/>
            <w:tcBorders>
              <w:top w:val="single" w:sz="8" w:space="0" w:color="6D6D6D"/>
              <w:left w:val="single" w:sz="8" w:space="0" w:color="6D6D6D"/>
              <w:bottom w:val="single" w:sz="8" w:space="0" w:color="6D6D6D"/>
              <w:right w:val="single" w:sz="8" w:space="0" w:color="6D6D6D"/>
            </w:tcBorders>
            <w:shd w:val="clear" w:color="auto" w:fill="auto"/>
          </w:tcPr>
          <w:p w14:paraId="452797A7" w14:textId="77777777" w:rsidR="003F1441" w:rsidRPr="00962D54" w:rsidRDefault="003F1441" w:rsidP="003F1441">
            <w:pPr>
              <w:spacing w:line="240" w:lineRule="auto"/>
              <w:rPr>
                <w:rFonts w:ascii="Calibri" w:eastAsia="Arial Unicode MS" w:hAnsi="Calibri" w:cs="Calibri"/>
                <w:color w:val="auto"/>
                <w:lang w:val="fr-FR"/>
              </w:rPr>
            </w:pPr>
            <w:r>
              <w:rPr>
                <w:rFonts w:ascii="Calibri" w:eastAsia="Arial Unicode MS" w:hAnsi="Calibri" w:cs="Calibri"/>
                <w:color w:val="auto"/>
                <w:lang w:val="fr-FR"/>
              </w:rPr>
              <w:t>35%</w:t>
            </w:r>
          </w:p>
        </w:tc>
      </w:tr>
    </w:tbl>
    <w:p w14:paraId="59143B44" w14:textId="77777777" w:rsidR="00161207" w:rsidRPr="0095368E" w:rsidRDefault="00161207" w:rsidP="00161207">
      <w:pPr>
        <w:tabs>
          <w:tab w:val="left" w:pos="7012"/>
        </w:tabs>
        <w:rPr>
          <w:rFonts w:ascii="Calibri" w:hAnsi="Calibri" w:cs="Calibri"/>
          <w:sz w:val="24"/>
          <w:szCs w:val="24"/>
          <w:lang w:val="fr-FR"/>
        </w:rPr>
      </w:pPr>
    </w:p>
    <w:p w14:paraId="46F152B0" w14:textId="77777777" w:rsidR="00161207" w:rsidRPr="0095368E" w:rsidRDefault="00161207" w:rsidP="00161207">
      <w:pPr>
        <w:tabs>
          <w:tab w:val="left" w:pos="7012"/>
        </w:tabs>
        <w:rPr>
          <w:rFonts w:ascii="Calibri" w:hAnsi="Calibri" w:cs="Calibri"/>
          <w:sz w:val="24"/>
          <w:szCs w:val="24"/>
          <w:lang w:val="fr-FR"/>
        </w:rPr>
      </w:pPr>
    </w:p>
    <w:p w14:paraId="580022A7" w14:textId="77777777" w:rsidR="00161207" w:rsidRPr="0095368E" w:rsidRDefault="00161207" w:rsidP="00161207">
      <w:pPr>
        <w:tabs>
          <w:tab w:val="left" w:pos="7012"/>
        </w:tabs>
        <w:rPr>
          <w:rFonts w:ascii="Calibri" w:hAnsi="Calibri" w:cs="Calibri"/>
          <w:sz w:val="24"/>
          <w:szCs w:val="24"/>
          <w:lang w:val="fr-FR"/>
        </w:rPr>
      </w:pPr>
    </w:p>
    <w:p w14:paraId="2526AC9C" w14:textId="77777777" w:rsidR="00161207" w:rsidRPr="0095368E" w:rsidRDefault="00161207" w:rsidP="00161207">
      <w:pPr>
        <w:tabs>
          <w:tab w:val="left" w:pos="7012"/>
        </w:tabs>
        <w:rPr>
          <w:rFonts w:ascii="Calibri" w:hAnsi="Calibri" w:cs="Calibri"/>
          <w:sz w:val="24"/>
          <w:szCs w:val="24"/>
          <w:lang w:val="fr-FR"/>
        </w:rPr>
      </w:pPr>
    </w:p>
    <w:p w14:paraId="60A6BAA5" w14:textId="77777777" w:rsidR="00161207" w:rsidRPr="0095368E" w:rsidRDefault="00161207" w:rsidP="00161207">
      <w:pPr>
        <w:tabs>
          <w:tab w:val="left" w:pos="7012"/>
        </w:tabs>
        <w:rPr>
          <w:rFonts w:ascii="Calibri" w:hAnsi="Calibri" w:cs="Calibri"/>
          <w:sz w:val="24"/>
          <w:szCs w:val="24"/>
          <w:lang w:val="fr-FR"/>
        </w:rPr>
      </w:pPr>
    </w:p>
    <w:p w14:paraId="72A23C78" w14:textId="77777777" w:rsidR="00300C0B" w:rsidRPr="0095368E" w:rsidRDefault="00300C0B" w:rsidP="001D244C">
      <w:pPr>
        <w:tabs>
          <w:tab w:val="left" w:pos="1728"/>
        </w:tabs>
        <w:spacing w:line="240" w:lineRule="auto"/>
        <w:rPr>
          <w:rFonts w:ascii="Calibri" w:hAnsi="Calibri" w:cs="Calibri"/>
          <w:b/>
          <w:bCs/>
          <w:sz w:val="24"/>
          <w:szCs w:val="24"/>
          <w:u w:val="single"/>
          <w:lang w:val="fr-FR"/>
        </w:rPr>
      </w:pPr>
    </w:p>
    <w:p w14:paraId="33D6FA81" w14:textId="1BDB4FD0" w:rsidR="00B14BE6" w:rsidRPr="003F1441" w:rsidRDefault="003F1441" w:rsidP="003F1441">
      <w:pPr>
        <w:spacing w:line="240" w:lineRule="auto"/>
        <w:rPr>
          <w:rFonts w:asciiTheme="minorHAnsi" w:hAnsiTheme="minorHAnsi" w:cstheme="minorHAnsi"/>
          <w:b/>
          <w:bCs/>
          <w:lang w:val="fr-FR"/>
        </w:rPr>
      </w:pPr>
      <w:r w:rsidRPr="003F1441">
        <w:rPr>
          <w:rFonts w:asciiTheme="minorHAnsi" w:hAnsiTheme="minorHAnsi" w:cstheme="minorHAnsi"/>
          <w:b/>
          <w:bCs/>
          <w:lang w:val="fr-FR"/>
        </w:rPr>
        <w:t>Critères d’</w:t>
      </w:r>
      <w:proofErr w:type="spellStart"/>
      <w:r w:rsidRPr="003F1441">
        <w:rPr>
          <w:rFonts w:asciiTheme="minorHAnsi" w:hAnsiTheme="minorHAnsi" w:cstheme="minorHAnsi"/>
          <w:b/>
          <w:bCs/>
          <w:lang w:val="fr-FR"/>
        </w:rPr>
        <w:t>evaluation</w:t>
      </w:r>
      <w:proofErr w:type="spellEnd"/>
    </w:p>
    <w:p w14:paraId="584E0B96" w14:textId="77777777" w:rsidR="00A83905" w:rsidRPr="00511AC2" w:rsidRDefault="00A83905" w:rsidP="00A83905">
      <w:pPr>
        <w:spacing w:line="240" w:lineRule="auto"/>
        <w:rPr>
          <w:rFonts w:ascii="Calibri" w:eastAsia="Arial Unicode MS" w:hAnsi="Calibri" w:cs="Calibri"/>
          <w:b/>
          <w:bCs/>
          <w:color w:val="auto"/>
          <w:lang w:val="fr-FR"/>
        </w:rPr>
      </w:pPr>
      <w:r w:rsidRPr="00511AC2">
        <w:rPr>
          <w:rFonts w:ascii="Calibri" w:eastAsia="Arial Unicode MS" w:hAnsi="Calibri" w:cs="Calibri"/>
          <w:b/>
          <w:bCs/>
          <w:color w:val="auto"/>
          <w:lang w:val="fr-FR"/>
        </w:rPr>
        <w:t xml:space="preserve">A) </w:t>
      </w:r>
      <w:proofErr w:type="spellStart"/>
      <w:r w:rsidRPr="00511AC2">
        <w:rPr>
          <w:rFonts w:ascii="Calibri" w:eastAsia="Arial Unicode MS" w:hAnsi="Calibri" w:cs="Calibri"/>
          <w:b/>
          <w:bCs/>
          <w:color w:val="auto"/>
          <w:lang w:val="fr-FR"/>
        </w:rPr>
        <w:t>Technical</w:t>
      </w:r>
      <w:proofErr w:type="spellEnd"/>
      <w:r w:rsidRPr="00511AC2">
        <w:rPr>
          <w:rFonts w:ascii="Calibri" w:eastAsia="Arial Unicode MS" w:hAnsi="Calibri" w:cs="Calibri"/>
          <w:b/>
          <w:bCs/>
          <w:color w:val="auto"/>
          <w:lang w:val="fr-FR"/>
        </w:rPr>
        <w:t xml:space="preserve"> Evaluation (75 Points)                </w:t>
      </w:r>
    </w:p>
    <w:p w14:paraId="451F66D0" w14:textId="77777777" w:rsidR="00A83905" w:rsidRPr="0069747D" w:rsidRDefault="00A83905" w:rsidP="00A83905">
      <w:pPr>
        <w:spacing w:line="240" w:lineRule="auto"/>
        <w:rPr>
          <w:rFonts w:ascii="Calibri" w:eastAsia="Arial Unicode MS" w:hAnsi="Calibri" w:cs="Calibri"/>
          <w:color w:val="auto"/>
          <w:lang w:val="fr-FR"/>
        </w:rPr>
      </w:pPr>
      <w:r w:rsidRPr="0069747D">
        <w:rPr>
          <w:rFonts w:ascii="Calibri" w:eastAsia="Arial Unicode MS" w:hAnsi="Calibri" w:cs="Calibri"/>
          <w:color w:val="auto"/>
          <w:lang w:val="fr-FR"/>
        </w:rPr>
        <w:t xml:space="preserve">1. Un résumé de la compréhension des </w:t>
      </w:r>
      <w:proofErr w:type="spellStart"/>
      <w:r w:rsidRPr="0069747D">
        <w:rPr>
          <w:rFonts w:ascii="Calibri" w:eastAsia="Arial Unicode MS" w:hAnsi="Calibri" w:cs="Calibri"/>
          <w:color w:val="auto"/>
          <w:lang w:val="fr-FR"/>
        </w:rPr>
        <w:t>TdR</w:t>
      </w:r>
      <w:proofErr w:type="spellEnd"/>
      <w:r w:rsidRPr="0069747D">
        <w:rPr>
          <w:rFonts w:ascii="Calibri" w:eastAsia="Arial Unicode MS" w:hAnsi="Calibri" w:cs="Calibri"/>
          <w:color w:val="auto"/>
          <w:lang w:val="fr-FR"/>
        </w:rPr>
        <w:t xml:space="preserve"> et de l’approche proposée (5 points)</w:t>
      </w:r>
    </w:p>
    <w:p w14:paraId="60B813ED" w14:textId="77777777" w:rsidR="00A83905" w:rsidRPr="0069747D" w:rsidRDefault="00A83905" w:rsidP="00A83905">
      <w:pPr>
        <w:spacing w:line="240" w:lineRule="auto"/>
        <w:rPr>
          <w:rFonts w:ascii="Calibri" w:eastAsia="Arial Unicode MS" w:hAnsi="Calibri" w:cs="Calibri"/>
          <w:color w:val="auto"/>
          <w:lang w:val="fr-FR"/>
        </w:rPr>
      </w:pPr>
      <w:r w:rsidRPr="0069747D">
        <w:rPr>
          <w:rFonts w:ascii="Calibri" w:eastAsia="Arial Unicode MS" w:hAnsi="Calibri" w:cs="Calibri"/>
          <w:color w:val="auto"/>
          <w:lang w:val="fr-FR"/>
        </w:rPr>
        <w:t>2. Le CV détaillé qui reflet les éléments détaillés en haut– (70 points, voir désagrégation en haut)</w:t>
      </w:r>
    </w:p>
    <w:p w14:paraId="10E14730" w14:textId="77777777" w:rsidR="00A83905" w:rsidRPr="0069747D" w:rsidRDefault="00A83905" w:rsidP="00A83905">
      <w:pPr>
        <w:spacing w:line="240" w:lineRule="auto"/>
        <w:rPr>
          <w:rFonts w:ascii="Calibri" w:eastAsia="Arial Unicode MS" w:hAnsi="Calibri" w:cs="Calibri"/>
          <w:b/>
          <w:bCs/>
          <w:color w:val="auto"/>
          <w:lang w:val="fr-FR"/>
        </w:rPr>
      </w:pPr>
    </w:p>
    <w:p w14:paraId="2D74B8FB" w14:textId="77777777" w:rsidR="00A83905" w:rsidRPr="00511AC2" w:rsidRDefault="00A83905" w:rsidP="00A83905">
      <w:pPr>
        <w:tabs>
          <w:tab w:val="center" w:pos="4823"/>
        </w:tabs>
        <w:spacing w:line="240" w:lineRule="auto"/>
        <w:rPr>
          <w:rFonts w:ascii="Calibri" w:eastAsia="Arial Unicode MS" w:hAnsi="Calibri" w:cs="Calibri"/>
          <w:b/>
          <w:bCs/>
          <w:color w:val="auto"/>
          <w:lang w:val="fr-FR"/>
        </w:rPr>
      </w:pPr>
      <w:r w:rsidRPr="00511AC2">
        <w:rPr>
          <w:rFonts w:ascii="Calibri" w:eastAsia="Arial Unicode MS" w:hAnsi="Calibri" w:cs="Calibri"/>
          <w:b/>
          <w:bCs/>
          <w:color w:val="auto"/>
          <w:lang w:val="fr-FR"/>
        </w:rPr>
        <w:t xml:space="preserve">B) Financial </w:t>
      </w:r>
      <w:proofErr w:type="spellStart"/>
      <w:r w:rsidRPr="00511AC2">
        <w:rPr>
          <w:rFonts w:ascii="Calibri" w:eastAsia="Arial Unicode MS" w:hAnsi="Calibri" w:cs="Calibri"/>
          <w:b/>
          <w:bCs/>
          <w:color w:val="auto"/>
          <w:lang w:val="fr-FR"/>
        </w:rPr>
        <w:t>Proposal</w:t>
      </w:r>
      <w:proofErr w:type="spellEnd"/>
      <w:r w:rsidRPr="00511AC2">
        <w:rPr>
          <w:rFonts w:ascii="Calibri" w:eastAsia="Arial Unicode MS" w:hAnsi="Calibri" w:cs="Calibri"/>
          <w:b/>
          <w:bCs/>
          <w:color w:val="auto"/>
          <w:lang w:val="fr-FR"/>
        </w:rPr>
        <w:t xml:space="preserve"> (25 Points)</w:t>
      </w:r>
      <w:r w:rsidRPr="00511AC2">
        <w:rPr>
          <w:rFonts w:ascii="Calibri" w:eastAsia="Arial Unicode MS" w:hAnsi="Calibri" w:cs="Calibri"/>
          <w:b/>
          <w:bCs/>
          <w:color w:val="auto"/>
          <w:lang w:val="fr-FR"/>
        </w:rPr>
        <w:tab/>
      </w:r>
    </w:p>
    <w:p w14:paraId="71E94607" w14:textId="77777777" w:rsidR="00A83905" w:rsidRPr="0069747D" w:rsidRDefault="00A83905" w:rsidP="00A83905">
      <w:pPr>
        <w:pStyle w:val="BodyText"/>
        <w:spacing w:after="0" w:line="240" w:lineRule="auto"/>
        <w:jc w:val="both"/>
        <w:rPr>
          <w:rFonts w:asciiTheme="minorHAnsi" w:hAnsiTheme="minorHAnsi" w:cstheme="minorHAnsi"/>
          <w:lang w:val="fr-FR"/>
        </w:rPr>
      </w:pPr>
      <w:r w:rsidRPr="0069747D">
        <w:rPr>
          <w:rFonts w:asciiTheme="minorHAnsi" w:hAnsiTheme="minorHAnsi" w:cstheme="minorHAnsi"/>
          <w:lang w:val="fr-FR"/>
        </w:rPr>
        <w:t xml:space="preserve">Le consultant devra fournir une offre financière </w:t>
      </w:r>
      <w:r w:rsidRPr="0088421D">
        <w:rPr>
          <w:rFonts w:asciiTheme="minorHAnsi" w:hAnsiTheme="minorHAnsi" w:cstheme="minorHAnsi"/>
          <w:color w:val="auto"/>
          <w:lang w:val="fr-FR"/>
        </w:rPr>
        <w:t xml:space="preserve">détaillée qui inclut tous les couts liés à la consultance (honoraires, cout de voyages internationaux et DSA à Tana, les frais administratifs et autres). </w:t>
      </w:r>
    </w:p>
    <w:p w14:paraId="1D307A60" w14:textId="77777777" w:rsidR="00A83905" w:rsidRPr="0069747D" w:rsidRDefault="00A83905" w:rsidP="00A83905">
      <w:pPr>
        <w:pStyle w:val="BodyText"/>
        <w:spacing w:after="0" w:line="240" w:lineRule="auto"/>
        <w:jc w:val="both"/>
        <w:rPr>
          <w:rFonts w:asciiTheme="minorHAnsi" w:hAnsiTheme="minorHAnsi" w:cstheme="minorHAnsi"/>
          <w:lang w:val="fr-FR" w:eastAsia="fr-FR"/>
        </w:rPr>
      </w:pPr>
      <w:r w:rsidRPr="0069747D">
        <w:rPr>
          <w:rFonts w:asciiTheme="minorHAnsi" w:hAnsiTheme="minorHAnsi" w:cstheme="minorHAnsi"/>
          <w:lang w:val="fr-FR"/>
        </w:rPr>
        <w:t>Le cout des éventuels voyages et DSA pour les missions dans les provinces sera pris en charge directement par UNICEF.</w:t>
      </w:r>
    </w:p>
    <w:p w14:paraId="420F4A2D" w14:textId="5F9D7F81" w:rsidR="00C34C2B" w:rsidRPr="00962D54" w:rsidRDefault="00C34C2B" w:rsidP="001D244C">
      <w:pPr>
        <w:spacing w:line="240" w:lineRule="auto"/>
        <w:jc w:val="center"/>
        <w:rPr>
          <w:rFonts w:ascii="Calibri" w:hAnsi="Calibri" w:cs="Calibri"/>
          <w:b/>
          <w:bCs/>
          <w:sz w:val="24"/>
          <w:szCs w:val="24"/>
          <w:u w:val="single"/>
          <w:lang w:val="fr-FR"/>
        </w:rPr>
      </w:pPr>
    </w:p>
    <w:p w14:paraId="38316BEE" w14:textId="22CDEE7E" w:rsidR="00C34C2B" w:rsidRPr="0088421D" w:rsidRDefault="00C34C2B" w:rsidP="0088421D">
      <w:pPr>
        <w:spacing w:line="240" w:lineRule="auto"/>
        <w:jc w:val="both"/>
        <w:rPr>
          <w:rFonts w:asciiTheme="minorHAnsi" w:hAnsiTheme="minorHAnsi" w:cstheme="minorHAnsi"/>
          <w:lang w:val="fr-FR"/>
        </w:rPr>
      </w:pPr>
    </w:p>
    <w:p w14:paraId="0CD4711C" w14:textId="77777777" w:rsidR="00C427CA" w:rsidRPr="00A30319" w:rsidRDefault="00C427CA" w:rsidP="001D244C">
      <w:pPr>
        <w:pStyle w:val="EndnoteText"/>
        <w:rPr>
          <w:lang w:val="fr-FR"/>
        </w:rPr>
      </w:pPr>
    </w:p>
    <w:sectPr w:rsidR="00C427CA" w:rsidRPr="00A30319" w:rsidSect="003C4672">
      <w:headerReference w:type="default" r:id="rId14"/>
      <w:footerReference w:type="default" r:id="rId15"/>
      <w:headerReference w:type="first" r:id="rId16"/>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5C314" w14:textId="77777777" w:rsidR="00404C4B" w:rsidRDefault="00404C4B" w:rsidP="000C3710">
      <w:r>
        <w:separator/>
      </w:r>
    </w:p>
  </w:endnote>
  <w:endnote w:type="continuationSeparator" w:id="0">
    <w:p w14:paraId="01FDBF0E" w14:textId="77777777" w:rsidR="00404C4B" w:rsidRDefault="00404C4B" w:rsidP="000C3710">
      <w:r>
        <w:continuationSeparator/>
      </w:r>
    </w:p>
  </w:endnote>
  <w:endnote w:type="continuationNotice" w:id="1">
    <w:p w14:paraId="0B783CED" w14:textId="77777777" w:rsidR="00404C4B" w:rsidRDefault="00404C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altName w:val="Sylfaen"/>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4D"/>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769FCF77" w:rsidR="003B7251" w:rsidRPr="00A71AB3" w:rsidRDefault="009247BD"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58241"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A0191" id="_x0000_t202" coordsize="21600,21600" o:spt="202" path="m,l,21600r21600,l21600,xe">
              <v:stroke joinstyle="miter"/>
              <v:path gradientshapeok="t" o:connecttype="rect"/>
            </v:shapetype>
            <v:shape id="Text Box 18" o:spid="_x0000_s1026" type="#_x0000_t202" style="position:absolute;margin-left:437.45pt;margin-top:727.2pt;width:488.65pt;height:46.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" filled="f" stroked="f">
              <v:textbox inset="0,0,0,0">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v:textbox>
              <w10:wrap type="topAndBottom" anchorx="margin" anchory="margin"/>
              <w10:anchorlock/>
            </v:shape>
          </w:pict>
        </mc:Fallback>
      </mc:AlternateContent>
    </w:r>
    <w:r w:rsidR="00257BD7">
      <w:rPr>
        <w:rFonts w:ascii="Arial" w:hAnsi="Arial" w:cs="Arial"/>
        <w:sz w:val="18"/>
      </w:rPr>
      <w:tab/>
    </w:r>
    <w:r w:rsidR="00257BD7">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DD9D4" w14:textId="77777777" w:rsidR="00404C4B" w:rsidRDefault="00404C4B" w:rsidP="000C3710">
      <w:r>
        <w:separator/>
      </w:r>
    </w:p>
  </w:footnote>
  <w:footnote w:type="continuationSeparator" w:id="0">
    <w:p w14:paraId="30F07DD5" w14:textId="77777777" w:rsidR="00404C4B" w:rsidRDefault="00404C4B" w:rsidP="000C3710">
      <w:r>
        <w:continuationSeparator/>
      </w:r>
    </w:p>
  </w:footnote>
  <w:footnote w:type="continuationNotice" w:id="1">
    <w:p w14:paraId="5AD495F9" w14:textId="77777777" w:rsidR="00404C4B" w:rsidRDefault="00404C4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616047A7" w:rsidR="003B7251" w:rsidRDefault="00213A86" w:rsidP="0075490C">
    <w:pPr>
      <w:pStyle w:val="Heading3"/>
    </w:pPr>
    <w:r>
      <w:rPr>
        <w:noProof/>
      </w:rPr>
      <w:drawing>
        <wp:anchor distT="0" distB="0" distL="114300" distR="114300" simplePos="0" relativeHeight="251658245"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8240"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Straight Connector 3"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2864D5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FmAyD/pAQAAwQMAAA4AAAAAAAAAAAAAAAAALgIAAGRycy9lMm9Eb2MueG1sUEsB&#10;Ai0AFAAGAAgAAAAhAGmj+6PaAAAACQEAAA8AAAAAAAAAAAAAAAAAQwQAAGRycy9kb3ducmV2Lnht&#10;bFBLBQYAAAAABAAEAPMAAABKBQAAAAA=&#10;">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58244"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58242"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Straight Connector 5"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2B9E7C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GzovyLpAQAAwQMAAA4AAAAAAAAAAAAAAAAALgIAAGRycy9lMm9Eb2MueG1sUEsB&#10;Ai0AFAAGAAgAAAAhAGmj+6PaAAAACQEAAA8AAAAAAAAAAAAAAAAAQwQAAGRycy9kb3ducmV2Lnht&#10;bFBLBQYAAAAABAAEAPMAAABKBQAAAAA=&#10;">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58243"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_x0000_s1027" type="#_x0000_t202" style="position:absolute;margin-left:0;margin-top:69pt;width:215pt;height:1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7241E52"/>
    <w:multiLevelType w:val="hybridMultilevel"/>
    <w:tmpl w:val="32429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982D4B"/>
    <w:multiLevelType w:val="hybridMultilevel"/>
    <w:tmpl w:val="025CC536"/>
    <w:lvl w:ilvl="0" w:tplc="23A03E00">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DB2EB8"/>
    <w:multiLevelType w:val="hybridMultilevel"/>
    <w:tmpl w:val="02F851E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FE0525"/>
    <w:multiLevelType w:val="hybridMultilevel"/>
    <w:tmpl w:val="6DA03576"/>
    <w:lvl w:ilvl="0" w:tplc="751E86DE">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77765E3"/>
    <w:multiLevelType w:val="hybridMultilevel"/>
    <w:tmpl w:val="F988941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10463589">
    <w:abstractNumId w:val="18"/>
  </w:num>
  <w:num w:numId="2" w16cid:durableId="218172404">
    <w:abstractNumId w:val="22"/>
  </w:num>
  <w:num w:numId="3" w16cid:durableId="1471558517">
    <w:abstractNumId w:val="16"/>
  </w:num>
  <w:num w:numId="4" w16cid:durableId="1829325586">
    <w:abstractNumId w:val="14"/>
  </w:num>
  <w:num w:numId="5" w16cid:durableId="242028861">
    <w:abstractNumId w:val="13"/>
  </w:num>
  <w:num w:numId="6" w16cid:durableId="810942571">
    <w:abstractNumId w:val="17"/>
  </w:num>
  <w:num w:numId="7" w16cid:durableId="309479619">
    <w:abstractNumId w:val="24"/>
  </w:num>
  <w:num w:numId="8" w16cid:durableId="1301613412">
    <w:abstractNumId w:val="25"/>
  </w:num>
  <w:num w:numId="9" w16cid:durableId="368574982">
    <w:abstractNumId w:val="11"/>
    <w:lvlOverride w:ilvl="0">
      <w:lvl w:ilvl="0">
        <w:numFmt w:val="bullet"/>
        <w:lvlText w:val=""/>
        <w:legacy w:legacy="1" w:legacySpace="0" w:legacyIndent="0"/>
        <w:lvlJc w:val="left"/>
        <w:rPr>
          <w:rFonts w:ascii="Symbol" w:hAnsi="Symbol" w:hint="default"/>
          <w:sz w:val="22"/>
        </w:rPr>
      </w:lvl>
    </w:lvlOverride>
  </w:num>
  <w:num w:numId="10" w16cid:durableId="2143502867">
    <w:abstractNumId w:val="21"/>
  </w:num>
  <w:num w:numId="11" w16cid:durableId="1815443451">
    <w:abstractNumId w:val="20"/>
  </w:num>
  <w:num w:numId="12" w16cid:durableId="599334742">
    <w:abstractNumId w:val="27"/>
  </w:num>
  <w:num w:numId="13" w16cid:durableId="1511139929">
    <w:abstractNumId w:val="0"/>
  </w:num>
  <w:num w:numId="14" w16cid:durableId="2050304302">
    <w:abstractNumId w:val="10"/>
  </w:num>
  <w:num w:numId="15" w16cid:durableId="1660499490">
    <w:abstractNumId w:val="8"/>
  </w:num>
  <w:num w:numId="16" w16cid:durableId="1422870183">
    <w:abstractNumId w:val="7"/>
  </w:num>
  <w:num w:numId="17" w16cid:durableId="444887034">
    <w:abstractNumId w:val="6"/>
  </w:num>
  <w:num w:numId="18" w16cid:durableId="660743731">
    <w:abstractNumId w:val="5"/>
  </w:num>
  <w:num w:numId="19" w16cid:durableId="1495027621">
    <w:abstractNumId w:val="9"/>
  </w:num>
  <w:num w:numId="20" w16cid:durableId="508836567">
    <w:abstractNumId w:val="4"/>
  </w:num>
  <w:num w:numId="21" w16cid:durableId="657154614">
    <w:abstractNumId w:val="3"/>
  </w:num>
  <w:num w:numId="22" w16cid:durableId="1660186853">
    <w:abstractNumId w:val="2"/>
  </w:num>
  <w:num w:numId="23" w16cid:durableId="1582524431">
    <w:abstractNumId w:val="1"/>
  </w:num>
  <w:num w:numId="24" w16cid:durableId="1016007382">
    <w:abstractNumId w:val="15"/>
  </w:num>
  <w:num w:numId="25" w16cid:durableId="610473150">
    <w:abstractNumId w:val="26"/>
  </w:num>
  <w:num w:numId="26" w16cid:durableId="966668676">
    <w:abstractNumId w:val="19"/>
  </w:num>
  <w:num w:numId="27" w16cid:durableId="379478044">
    <w:abstractNumId w:val="23"/>
  </w:num>
  <w:num w:numId="28" w16cid:durableId="328559213">
    <w:abstractNumId w:val="28"/>
  </w:num>
  <w:num w:numId="29" w16cid:durableId="5169676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44F3"/>
    <w:rsid w:val="00004A46"/>
    <w:rsid w:val="00007E4A"/>
    <w:rsid w:val="00014714"/>
    <w:rsid w:val="000241D1"/>
    <w:rsid w:val="00025A4A"/>
    <w:rsid w:val="00025F29"/>
    <w:rsid w:val="00030834"/>
    <w:rsid w:val="000310DE"/>
    <w:rsid w:val="000415E9"/>
    <w:rsid w:val="0004433C"/>
    <w:rsid w:val="00051966"/>
    <w:rsid w:val="00056A18"/>
    <w:rsid w:val="000576DC"/>
    <w:rsid w:val="00064448"/>
    <w:rsid w:val="00066CAF"/>
    <w:rsid w:val="00076437"/>
    <w:rsid w:val="00096574"/>
    <w:rsid w:val="00097763"/>
    <w:rsid w:val="000A7045"/>
    <w:rsid w:val="000B5829"/>
    <w:rsid w:val="000C11A9"/>
    <w:rsid w:val="000C3710"/>
    <w:rsid w:val="000C61F2"/>
    <w:rsid w:val="000C7C39"/>
    <w:rsid w:val="000D6CA1"/>
    <w:rsid w:val="000E1755"/>
    <w:rsid w:val="000E3253"/>
    <w:rsid w:val="000E414F"/>
    <w:rsid w:val="000E4D76"/>
    <w:rsid w:val="000F4346"/>
    <w:rsid w:val="000F6440"/>
    <w:rsid w:val="00107B7A"/>
    <w:rsid w:val="00112DEE"/>
    <w:rsid w:val="001379A4"/>
    <w:rsid w:val="001555CD"/>
    <w:rsid w:val="0015757A"/>
    <w:rsid w:val="00161207"/>
    <w:rsid w:val="001637C2"/>
    <w:rsid w:val="00164C95"/>
    <w:rsid w:val="00165C9B"/>
    <w:rsid w:val="00175E9C"/>
    <w:rsid w:val="00175EB0"/>
    <w:rsid w:val="00176711"/>
    <w:rsid w:val="0017694D"/>
    <w:rsid w:val="00181AC6"/>
    <w:rsid w:val="00182C1C"/>
    <w:rsid w:val="00183FA9"/>
    <w:rsid w:val="00186E13"/>
    <w:rsid w:val="00192E90"/>
    <w:rsid w:val="00193BD3"/>
    <w:rsid w:val="001A4B63"/>
    <w:rsid w:val="001B1821"/>
    <w:rsid w:val="001B190C"/>
    <w:rsid w:val="001B5D66"/>
    <w:rsid w:val="001D244C"/>
    <w:rsid w:val="001E112E"/>
    <w:rsid w:val="001E7405"/>
    <w:rsid w:val="001F651F"/>
    <w:rsid w:val="002072D5"/>
    <w:rsid w:val="00213A86"/>
    <w:rsid w:val="00214E11"/>
    <w:rsid w:val="00215E5E"/>
    <w:rsid w:val="0022123C"/>
    <w:rsid w:val="00222F56"/>
    <w:rsid w:val="00234AD4"/>
    <w:rsid w:val="00243D90"/>
    <w:rsid w:val="00244E25"/>
    <w:rsid w:val="002460BE"/>
    <w:rsid w:val="00247353"/>
    <w:rsid w:val="002530E1"/>
    <w:rsid w:val="0025591E"/>
    <w:rsid w:val="00255BC8"/>
    <w:rsid w:val="00257BD7"/>
    <w:rsid w:val="00261E8D"/>
    <w:rsid w:val="002659AE"/>
    <w:rsid w:val="0026644B"/>
    <w:rsid w:val="0027015A"/>
    <w:rsid w:val="00285811"/>
    <w:rsid w:val="00291EEE"/>
    <w:rsid w:val="00293255"/>
    <w:rsid w:val="002952E4"/>
    <w:rsid w:val="002B2A26"/>
    <w:rsid w:val="002B6832"/>
    <w:rsid w:val="002B7647"/>
    <w:rsid w:val="002B7E57"/>
    <w:rsid w:val="002C1FBB"/>
    <w:rsid w:val="002C5AA6"/>
    <w:rsid w:val="002D0C54"/>
    <w:rsid w:val="002D16CD"/>
    <w:rsid w:val="002D38E9"/>
    <w:rsid w:val="002D4DEF"/>
    <w:rsid w:val="002D62E4"/>
    <w:rsid w:val="002D7D3A"/>
    <w:rsid w:val="002E443D"/>
    <w:rsid w:val="002F2367"/>
    <w:rsid w:val="002F363E"/>
    <w:rsid w:val="00300C0B"/>
    <w:rsid w:val="00306E1E"/>
    <w:rsid w:val="003117C2"/>
    <w:rsid w:val="00320886"/>
    <w:rsid w:val="0032151B"/>
    <w:rsid w:val="00332D2A"/>
    <w:rsid w:val="00341079"/>
    <w:rsid w:val="0034354C"/>
    <w:rsid w:val="00353547"/>
    <w:rsid w:val="00361834"/>
    <w:rsid w:val="003655B8"/>
    <w:rsid w:val="00366FD3"/>
    <w:rsid w:val="0037152D"/>
    <w:rsid w:val="00372D2A"/>
    <w:rsid w:val="00372E4B"/>
    <w:rsid w:val="00373453"/>
    <w:rsid w:val="0037425C"/>
    <w:rsid w:val="00374D2A"/>
    <w:rsid w:val="00377BF5"/>
    <w:rsid w:val="00377E69"/>
    <w:rsid w:val="0038200F"/>
    <w:rsid w:val="00396BF0"/>
    <w:rsid w:val="003A00B6"/>
    <w:rsid w:val="003A7964"/>
    <w:rsid w:val="003B3F83"/>
    <w:rsid w:val="003B52AA"/>
    <w:rsid w:val="003B7251"/>
    <w:rsid w:val="003C0559"/>
    <w:rsid w:val="003C1BC1"/>
    <w:rsid w:val="003C4672"/>
    <w:rsid w:val="003C48FF"/>
    <w:rsid w:val="003D04D3"/>
    <w:rsid w:val="003D061D"/>
    <w:rsid w:val="003D0F6C"/>
    <w:rsid w:val="003D2BCF"/>
    <w:rsid w:val="003D42F1"/>
    <w:rsid w:val="003E4220"/>
    <w:rsid w:val="003E7E75"/>
    <w:rsid w:val="003F1441"/>
    <w:rsid w:val="00404C4B"/>
    <w:rsid w:val="00407258"/>
    <w:rsid w:val="00407853"/>
    <w:rsid w:val="00411F46"/>
    <w:rsid w:val="00411FE7"/>
    <w:rsid w:val="004160E9"/>
    <w:rsid w:val="00416141"/>
    <w:rsid w:val="00422305"/>
    <w:rsid w:val="00435AB0"/>
    <w:rsid w:val="0043646D"/>
    <w:rsid w:val="00441859"/>
    <w:rsid w:val="004429D6"/>
    <w:rsid w:val="00445CFF"/>
    <w:rsid w:val="00446F4F"/>
    <w:rsid w:val="00467E93"/>
    <w:rsid w:val="00472BBD"/>
    <w:rsid w:val="004809D8"/>
    <w:rsid w:val="00481D11"/>
    <w:rsid w:val="004A64C8"/>
    <w:rsid w:val="004A6CA6"/>
    <w:rsid w:val="004B276A"/>
    <w:rsid w:val="004C2C7B"/>
    <w:rsid w:val="004D08C1"/>
    <w:rsid w:val="004D2245"/>
    <w:rsid w:val="004D5D35"/>
    <w:rsid w:val="004E2D0B"/>
    <w:rsid w:val="004E67BE"/>
    <w:rsid w:val="004F1A27"/>
    <w:rsid w:val="00501AF5"/>
    <w:rsid w:val="00502619"/>
    <w:rsid w:val="005032F9"/>
    <w:rsid w:val="005075C6"/>
    <w:rsid w:val="00511A6E"/>
    <w:rsid w:val="00511AC2"/>
    <w:rsid w:val="00512459"/>
    <w:rsid w:val="00512781"/>
    <w:rsid w:val="005201A6"/>
    <w:rsid w:val="00523923"/>
    <w:rsid w:val="005246DC"/>
    <w:rsid w:val="005356FF"/>
    <w:rsid w:val="00544027"/>
    <w:rsid w:val="00544A89"/>
    <w:rsid w:val="0054592E"/>
    <w:rsid w:val="00555615"/>
    <w:rsid w:val="00591246"/>
    <w:rsid w:val="0059671E"/>
    <w:rsid w:val="005A643C"/>
    <w:rsid w:val="005B3739"/>
    <w:rsid w:val="005C103A"/>
    <w:rsid w:val="005C62F6"/>
    <w:rsid w:val="005D0BBF"/>
    <w:rsid w:val="005E4797"/>
    <w:rsid w:val="005E629A"/>
    <w:rsid w:val="005E6FE1"/>
    <w:rsid w:val="005F0874"/>
    <w:rsid w:val="005F3AFC"/>
    <w:rsid w:val="006007DA"/>
    <w:rsid w:val="00603E71"/>
    <w:rsid w:val="00622ED3"/>
    <w:rsid w:val="00626681"/>
    <w:rsid w:val="00632D59"/>
    <w:rsid w:val="0063345C"/>
    <w:rsid w:val="00633E31"/>
    <w:rsid w:val="006351F1"/>
    <w:rsid w:val="00641AEF"/>
    <w:rsid w:val="00646A84"/>
    <w:rsid w:val="00653E0C"/>
    <w:rsid w:val="006579B7"/>
    <w:rsid w:val="00660FA9"/>
    <w:rsid w:val="006617FE"/>
    <w:rsid w:val="00661BE1"/>
    <w:rsid w:val="006642C4"/>
    <w:rsid w:val="0066692F"/>
    <w:rsid w:val="00674FCB"/>
    <w:rsid w:val="0068655C"/>
    <w:rsid w:val="006907A6"/>
    <w:rsid w:val="006921D1"/>
    <w:rsid w:val="006968C1"/>
    <w:rsid w:val="0069747D"/>
    <w:rsid w:val="006A457E"/>
    <w:rsid w:val="006A5CFB"/>
    <w:rsid w:val="006B0159"/>
    <w:rsid w:val="006B4298"/>
    <w:rsid w:val="006B7F68"/>
    <w:rsid w:val="006C47DD"/>
    <w:rsid w:val="006C5703"/>
    <w:rsid w:val="006C688F"/>
    <w:rsid w:val="006C7D5A"/>
    <w:rsid w:val="006D1BD7"/>
    <w:rsid w:val="006D6C69"/>
    <w:rsid w:val="006E02E8"/>
    <w:rsid w:val="006E3839"/>
    <w:rsid w:val="006F0FCF"/>
    <w:rsid w:val="006F3357"/>
    <w:rsid w:val="006F47D3"/>
    <w:rsid w:val="007001DA"/>
    <w:rsid w:val="0070263C"/>
    <w:rsid w:val="00711C06"/>
    <w:rsid w:val="0071275D"/>
    <w:rsid w:val="0071297F"/>
    <w:rsid w:val="007142C7"/>
    <w:rsid w:val="00745587"/>
    <w:rsid w:val="00746FD9"/>
    <w:rsid w:val="00751237"/>
    <w:rsid w:val="0075490C"/>
    <w:rsid w:val="00756755"/>
    <w:rsid w:val="007613B3"/>
    <w:rsid w:val="0076416C"/>
    <w:rsid w:val="00774438"/>
    <w:rsid w:val="0077559E"/>
    <w:rsid w:val="007777AF"/>
    <w:rsid w:val="007826F8"/>
    <w:rsid w:val="007B1BE6"/>
    <w:rsid w:val="007B5068"/>
    <w:rsid w:val="007B6BF8"/>
    <w:rsid w:val="007C7F78"/>
    <w:rsid w:val="007D5968"/>
    <w:rsid w:val="007D7750"/>
    <w:rsid w:val="007E73F5"/>
    <w:rsid w:val="007F28F7"/>
    <w:rsid w:val="00801C3E"/>
    <w:rsid w:val="00802DB2"/>
    <w:rsid w:val="0080603F"/>
    <w:rsid w:val="00806AF3"/>
    <w:rsid w:val="00812FFA"/>
    <w:rsid w:val="00813D3A"/>
    <w:rsid w:val="00836723"/>
    <w:rsid w:val="00845125"/>
    <w:rsid w:val="00851AF6"/>
    <w:rsid w:val="00861563"/>
    <w:rsid w:val="00861643"/>
    <w:rsid w:val="0087132B"/>
    <w:rsid w:val="00873C12"/>
    <w:rsid w:val="00883D70"/>
    <w:rsid w:val="0088421D"/>
    <w:rsid w:val="00884F21"/>
    <w:rsid w:val="00884F6C"/>
    <w:rsid w:val="00896383"/>
    <w:rsid w:val="008A2A60"/>
    <w:rsid w:val="008A7823"/>
    <w:rsid w:val="008B0A0B"/>
    <w:rsid w:val="008B3BDE"/>
    <w:rsid w:val="008C5761"/>
    <w:rsid w:val="008D79DD"/>
    <w:rsid w:val="008E375E"/>
    <w:rsid w:val="008E5F8B"/>
    <w:rsid w:val="0090065A"/>
    <w:rsid w:val="00900912"/>
    <w:rsid w:val="00903E9D"/>
    <w:rsid w:val="00905953"/>
    <w:rsid w:val="00906E2A"/>
    <w:rsid w:val="009109A5"/>
    <w:rsid w:val="0091382D"/>
    <w:rsid w:val="009203FF"/>
    <w:rsid w:val="00922852"/>
    <w:rsid w:val="00922FF6"/>
    <w:rsid w:val="009247BD"/>
    <w:rsid w:val="009512AC"/>
    <w:rsid w:val="0095309F"/>
    <w:rsid w:val="0095368E"/>
    <w:rsid w:val="00960715"/>
    <w:rsid w:val="0096249B"/>
    <w:rsid w:val="00962D54"/>
    <w:rsid w:val="00962F0B"/>
    <w:rsid w:val="009637FF"/>
    <w:rsid w:val="00963C52"/>
    <w:rsid w:val="009657AF"/>
    <w:rsid w:val="00970EBD"/>
    <w:rsid w:val="00971295"/>
    <w:rsid w:val="00975550"/>
    <w:rsid w:val="00982689"/>
    <w:rsid w:val="009A11FE"/>
    <w:rsid w:val="009A1C63"/>
    <w:rsid w:val="009B3C84"/>
    <w:rsid w:val="009B4597"/>
    <w:rsid w:val="009B6BAC"/>
    <w:rsid w:val="009C05DF"/>
    <w:rsid w:val="009D5ED5"/>
    <w:rsid w:val="009E61AD"/>
    <w:rsid w:val="009E758D"/>
    <w:rsid w:val="009F4C58"/>
    <w:rsid w:val="00A0375D"/>
    <w:rsid w:val="00A11FA1"/>
    <w:rsid w:val="00A14A29"/>
    <w:rsid w:val="00A15D12"/>
    <w:rsid w:val="00A241F8"/>
    <w:rsid w:val="00A24FA9"/>
    <w:rsid w:val="00A30319"/>
    <w:rsid w:val="00A3477D"/>
    <w:rsid w:val="00A5479E"/>
    <w:rsid w:val="00A56EC7"/>
    <w:rsid w:val="00A71AB3"/>
    <w:rsid w:val="00A73543"/>
    <w:rsid w:val="00A7722C"/>
    <w:rsid w:val="00A80C16"/>
    <w:rsid w:val="00A8354D"/>
    <w:rsid w:val="00A83905"/>
    <w:rsid w:val="00A934E9"/>
    <w:rsid w:val="00A93A31"/>
    <w:rsid w:val="00A94248"/>
    <w:rsid w:val="00AA4B12"/>
    <w:rsid w:val="00AC083A"/>
    <w:rsid w:val="00AC78AC"/>
    <w:rsid w:val="00AE48C4"/>
    <w:rsid w:val="00AE74FB"/>
    <w:rsid w:val="00AF077A"/>
    <w:rsid w:val="00AF3B0E"/>
    <w:rsid w:val="00B00552"/>
    <w:rsid w:val="00B02636"/>
    <w:rsid w:val="00B05ABF"/>
    <w:rsid w:val="00B14BE6"/>
    <w:rsid w:val="00B22FF0"/>
    <w:rsid w:val="00B25923"/>
    <w:rsid w:val="00B25E39"/>
    <w:rsid w:val="00B3533A"/>
    <w:rsid w:val="00B35723"/>
    <w:rsid w:val="00B37562"/>
    <w:rsid w:val="00B4127F"/>
    <w:rsid w:val="00B415E7"/>
    <w:rsid w:val="00B63E76"/>
    <w:rsid w:val="00B66698"/>
    <w:rsid w:val="00B677D8"/>
    <w:rsid w:val="00B814B7"/>
    <w:rsid w:val="00B84938"/>
    <w:rsid w:val="00B96CAE"/>
    <w:rsid w:val="00BB1006"/>
    <w:rsid w:val="00BB1D9E"/>
    <w:rsid w:val="00BB4A6F"/>
    <w:rsid w:val="00BC0092"/>
    <w:rsid w:val="00BC06E9"/>
    <w:rsid w:val="00BF605F"/>
    <w:rsid w:val="00C046B2"/>
    <w:rsid w:val="00C1551F"/>
    <w:rsid w:val="00C24A9F"/>
    <w:rsid w:val="00C25DC0"/>
    <w:rsid w:val="00C31806"/>
    <w:rsid w:val="00C34C2B"/>
    <w:rsid w:val="00C3798F"/>
    <w:rsid w:val="00C401E7"/>
    <w:rsid w:val="00C427CA"/>
    <w:rsid w:val="00C448ED"/>
    <w:rsid w:val="00C62EFB"/>
    <w:rsid w:val="00C67879"/>
    <w:rsid w:val="00C711EC"/>
    <w:rsid w:val="00C756A2"/>
    <w:rsid w:val="00C77B32"/>
    <w:rsid w:val="00C92726"/>
    <w:rsid w:val="00C972F8"/>
    <w:rsid w:val="00CB3A47"/>
    <w:rsid w:val="00CC26CB"/>
    <w:rsid w:val="00CD3149"/>
    <w:rsid w:val="00CD3E5C"/>
    <w:rsid w:val="00CE46A7"/>
    <w:rsid w:val="00CE5143"/>
    <w:rsid w:val="00CE769B"/>
    <w:rsid w:val="00D03797"/>
    <w:rsid w:val="00D042EF"/>
    <w:rsid w:val="00D05933"/>
    <w:rsid w:val="00D24E21"/>
    <w:rsid w:val="00D26336"/>
    <w:rsid w:val="00D3303B"/>
    <w:rsid w:val="00D35998"/>
    <w:rsid w:val="00D460BE"/>
    <w:rsid w:val="00D505DE"/>
    <w:rsid w:val="00D5258E"/>
    <w:rsid w:val="00D541BC"/>
    <w:rsid w:val="00D54593"/>
    <w:rsid w:val="00D562F6"/>
    <w:rsid w:val="00D61A9A"/>
    <w:rsid w:val="00D64897"/>
    <w:rsid w:val="00D67207"/>
    <w:rsid w:val="00D675C4"/>
    <w:rsid w:val="00D72E5E"/>
    <w:rsid w:val="00D84097"/>
    <w:rsid w:val="00D86D91"/>
    <w:rsid w:val="00D90A15"/>
    <w:rsid w:val="00D92AE1"/>
    <w:rsid w:val="00DB54C9"/>
    <w:rsid w:val="00DE1FF9"/>
    <w:rsid w:val="00DE40E3"/>
    <w:rsid w:val="00E00B53"/>
    <w:rsid w:val="00E05E8C"/>
    <w:rsid w:val="00E13740"/>
    <w:rsid w:val="00E2153C"/>
    <w:rsid w:val="00E24709"/>
    <w:rsid w:val="00E4149A"/>
    <w:rsid w:val="00E47CD1"/>
    <w:rsid w:val="00E5163F"/>
    <w:rsid w:val="00E54A5D"/>
    <w:rsid w:val="00E55B2F"/>
    <w:rsid w:val="00E612AA"/>
    <w:rsid w:val="00E61D56"/>
    <w:rsid w:val="00E630F3"/>
    <w:rsid w:val="00E654DC"/>
    <w:rsid w:val="00E8163F"/>
    <w:rsid w:val="00E82A93"/>
    <w:rsid w:val="00EA2244"/>
    <w:rsid w:val="00EA6D4D"/>
    <w:rsid w:val="00EB76A6"/>
    <w:rsid w:val="00EC5E3A"/>
    <w:rsid w:val="00ED08C3"/>
    <w:rsid w:val="00ED60FD"/>
    <w:rsid w:val="00EE2385"/>
    <w:rsid w:val="00EE3A60"/>
    <w:rsid w:val="00EE7747"/>
    <w:rsid w:val="00EF4F4E"/>
    <w:rsid w:val="00EF5A83"/>
    <w:rsid w:val="00F027D0"/>
    <w:rsid w:val="00F136C7"/>
    <w:rsid w:val="00F13F95"/>
    <w:rsid w:val="00F14569"/>
    <w:rsid w:val="00F1657C"/>
    <w:rsid w:val="00F219DD"/>
    <w:rsid w:val="00F2296D"/>
    <w:rsid w:val="00F2300E"/>
    <w:rsid w:val="00F24528"/>
    <w:rsid w:val="00F246C3"/>
    <w:rsid w:val="00F31886"/>
    <w:rsid w:val="00F349B0"/>
    <w:rsid w:val="00F35E74"/>
    <w:rsid w:val="00F509A4"/>
    <w:rsid w:val="00F64388"/>
    <w:rsid w:val="00F65418"/>
    <w:rsid w:val="00F71F1D"/>
    <w:rsid w:val="00F7484C"/>
    <w:rsid w:val="00F82426"/>
    <w:rsid w:val="00F834BF"/>
    <w:rsid w:val="00F8439C"/>
    <w:rsid w:val="00F90618"/>
    <w:rsid w:val="00F97B64"/>
    <w:rsid w:val="00FA55CB"/>
    <w:rsid w:val="00FB6F21"/>
    <w:rsid w:val="00FC1ABD"/>
    <w:rsid w:val="00FE1530"/>
    <w:rsid w:val="00FE3848"/>
    <w:rsid w:val="00FE46C7"/>
    <w:rsid w:val="00FF713E"/>
    <w:rsid w:val="034DD3C2"/>
    <w:rsid w:val="0690BFCA"/>
    <w:rsid w:val="09CD7EEA"/>
    <w:rsid w:val="0B4782DD"/>
    <w:rsid w:val="0F8C0EEF"/>
    <w:rsid w:val="101D8FB0"/>
    <w:rsid w:val="1127DF50"/>
    <w:rsid w:val="12297930"/>
    <w:rsid w:val="1947B79B"/>
    <w:rsid w:val="19DA93D8"/>
    <w:rsid w:val="1B7BDC0E"/>
    <w:rsid w:val="1D622199"/>
    <w:rsid w:val="1E3B21BA"/>
    <w:rsid w:val="1E8229D2"/>
    <w:rsid w:val="207D6461"/>
    <w:rsid w:val="2843E464"/>
    <w:rsid w:val="29628587"/>
    <w:rsid w:val="2AF10559"/>
    <w:rsid w:val="2C6B5EB4"/>
    <w:rsid w:val="306ADB0B"/>
    <w:rsid w:val="3380E50D"/>
    <w:rsid w:val="35C2D311"/>
    <w:rsid w:val="35DAE2B0"/>
    <w:rsid w:val="3656F599"/>
    <w:rsid w:val="36894E2A"/>
    <w:rsid w:val="371B41D2"/>
    <w:rsid w:val="37D48531"/>
    <w:rsid w:val="3907E6B1"/>
    <w:rsid w:val="39788DCD"/>
    <w:rsid w:val="39A14F89"/>
    <w:rsid w:val="3A017E99"/>
    <w:rsid w:val="3F2DFF36"/>
    <w:rsid w:val="41EFAF9D"/>
    <w:rsid w:val="42903527"/>
    <w:rsid w:val="438B7FFE"/>
    <w:rsid w:val="448ACBCA"/>
    <w:rsid w:val="46C320C0"/>
    <w:rsid w:val="46DAE54F"/>
    <w:rsid w:val="4A93545D"/>
    <w:rsid w:val="4B9691E3"/>
    <w:rsid w:val="53BA2ADB"/>
    <w:rsid w:val="548744C6"/>
    <w:rsid w:val="5592C26B"/>
    <w:rsid w:val="5634EFA0"/>
    <w:rsid w:val="56C9C9F7"/>
    <w:rsid w:val="57B3DF20"/>
    <w:rsid w:val="5A20C13F"/>
    <w:rsid w:val="5B460848"/>
    <w:rsid w:val="5BEACBAE"/>
    <w:rsid w:val="5DA949D3"/>
    <w:rsid w:val="5DD2836A"/>
    <w:rsid w:val="603E6BD2"/>
    <w:rsid w:val="61E6A259"/>
    <w:rsid w:val="63D32487"/>
    <w:rsid w:val="69861F26"/>
    <w:rsid w:val="6E4131F4"/>
    <w:rsid w:val="6F929EEB"/>
    <w:rsid w:val="7276A85A"/>
    <w:rsid w:val="7314A317"/>
    <w:rsid w:val="78181909"/>
    <w:rsid w:val="7899D1D2"/>
    <w:rsid w:val="78A74A91"/>
    <w:rsid w:val="793BC3F4"/>
    <w:rsid w:val="7BF2620C"/>
    <w:rsid w:val="7CBB35C5"/>
    <w:rsid w:val="7D0E1F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A78824C3-F381-4074-B096-96BB4626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uiPriority w:val="9"/>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link w:val="HTMLPreformattedChar"/>
    <w:uiPriority w:val="99"/>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bulleted Jens,Paragraphe de liste rapport atelier Mada,List Paragraph nowy,References,Liste 1,List Paragraph1,List Paragraph (numbered (a)),List Bullet Mary"/>
    <w:basedOn w:val="Normal"/>
    <w:link w:val="ListParagraphChar"/>
    <w:uiPriority w:val="34"/>
    <w:qFormat/>
    <w:rsid w:val="007613B3"/>
    <w:pPr>
      <w:ind w:left="720"/>
      <w:contextualSpacing/>
    </w:pPr>
  </w:style>
  <w:style w:type="paragraph" w:styleId="EndnoteText">
    <w:name w:val="endnote text"/>
    <w:basedOn w:val="Normal"/>
    <w:link w:val="EndnoteTextChar"/>
    <w:unhideWhenUsed/>
    <w:rsid w:val="0054592E"/>
    <w:pPr>
      <w:spacing w:line="240" w:lineRule="auto"/>
    </w:pPr>
  </w:style>
  <w:style w:type="character" w:customStyle="1" w:styleId="EndnoteTextChar">
    <w:name w:val="Endnote Text Char"/>
    <w:basedOn w:val="DefaultParagraphFont"/>
    <w:link w:val="EndnoteText"/>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basedOn w:val="DefaultParagraphFont"/>
    <w:link w:val="HTMLPreformatted"/>
    <w:uiPriority w:val="99"/>
    <w:rsid w:val="00A5479E"/>
    <w:rPr>
      <w:rFonts w:ascii="Courier New" w:hAnsi="Courier New" w:cs="Courier New"/>
      <w:color w:val="000000"/>
    </w:rPr>
  </w:style>
  <w:style w:type="character" w:customStyle="1" w:styleId="y2iqfc">
    <w:name w:val="y2iqfc"/>
    <w:basedOn w:val="DefaultParagraphFont"/>
    <w:rsid w:val="00CC26CB"/>
  </w:style>
  <w:style w:type="character" w:customStyle="1" w:styleId="ListParagraphChar">
    <w:name w:val="List Paragraph Char"/>
    <w:aliases w:val="bulleted Jens Char,Paragraphe de liste rapport atelier Mada Char,List Paragraph nowy Char,References Char,Liste 1 Char,List Paragraph1 Char,List Paragraph (numbered (a)) Char,List Bullet Mary Char"/>
    <w:link w:val="ListParagraph"/>
    <w:uiPriority w:val="34"/>
    <w:locked/>
    <w:rsid w:val="00982689"/>
    <w:rPr>
      <w:rFonts w:ascii="Arial" w:eastAsia="MS PGothic" w:hAnsi="Arial"/>
      <w:color w:val="000000"/>
    </w:rPr>
  </w:style>
  <w:style w:type="paragraph" w:styleId="BodyText">
    <w:name w:val="Body Text"/>
    <w:basedOn w:val="Normal"/>
    <w:link w:val="BodyTextChar"/>
    <w:unhideWhenUsed/>
    <w:rsid w:val="00EE2385"/>
    <w:pPr>
      <w:spacing w:after="120"/>
    </w:pPr>
  </w:style>
  <w:style w:type="character" w:customStyle="1" w:styleId="BodyTextChar">
    <w:name w:val="Body Text Char"/>
    <w:basedOn w:val="DefaultParagraphFont"/>
    <w:link w:val="BodyText"/>
    <w:rsid w:val="00EE2385"/>
    <w:rPr>
      <w:rFonts w:ascii="Arial" w:eastAsia="MS PGothic"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947740543">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27067522">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6</Value>
      <Value>33</Value>
      <Value>37</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6b1db5bc-b37e-441e-bb0f-3f87b229404b">
      <UserInfo>
        <DisplayName>dbps</DisplayName>
        <AccountId>18</AccountId>
        <AccountType/>
      </UserInfo>
      <UserInfo>
        <DisplayName>Yuliang Cheng</DisplayName>
        <AccountId>20</AccountId>
        <AccountType/>
      </UserInfo>
      <UserInfo>
        <DisplayName>Souraya Hassan</DisplayName>
        <AccountId>3439</AccountId>
        <AccountType/>
      </UserInfo>
      <UserInfo>
        <DisplayName>Koffi Badjo Babaka</DisplayName>
        <AccountId>4181</AccountId>
        <AccountType/>
      </UserInfo>
      <UserInfo>
        <DisplayName>Ning Li</DisplayName>
        <AccountId>134</AccountId>
        <AccountType/>
      </UserInfo>
      <UserInfo>
        <DisplayName>Tao Fu</DisplayName>
        <AccountId>28103</AccountId>
        <AccountType/>
      </UserInfo>
      <UserInfo>
        <DisplayName>Xiuling Song</DisplayName>
        <AccountId>3126</AccountId>
        <AccountType/>
      </UserInfo>
      <UserInfo>
        <DisplayName>Tina Balani</DisplayName>
        <AccountId>6234</AccountId>
        <AccountType/>
      </UserInfo>
      <UserInfo>
        <DisplayName>Andrea Pineda Raquel</DisplayName>
        <AccountId>1384</AccountId>
        <AccountType/>
      </UserInfo>
      <UserInfo>
        <DisplayName>NYHQ-DHR-Consultants</DisplayName>
        <AccountId>3226</AccountId>
        <AccountType/>
      </UserInfo>
      <UserInfo>
        <DisplayName>Hyejun Kim</DisplayName>
        <AccountId>19612</AccountId>
        <AccountType/>
      </UserInfo>
      <UserInfo>
        <DisplayName>Lubna Saikaly</DisplayName>
        <AccountId>49</AccountId>
        <AccountType/>
      </UserInfo>
      <UserInfo>
        <DisplayName>Polina Iakubova</DisplayName>
        <AccountId>25022</AccountId>
        <AccountType/>
      </UserInfo>
      <UserInfo>
        <DisplayName>Nuriel Cedeno</DisplayName>
        <AccountId>3969</AccountId>
        <AccountType/>
      </UserInfo>
      <UserInfo>
        <DisplayName>Yilma Rojas Sune</DisplayName>
        <AccountId>28450</AccountId>
        <AccountType/>
      </UserInfo>
      <UserInfo>
        <DisplayName>Geeta Dey</DisplayName>
        <AccountId>962</AccountId>
        <AccountType/>
      </UserInfo>
      <UserInfo>
        <DisplayName>Anna-Carole Vareil</DisplayName>
        <AccountId>491</AccountId>
        <AccountType/>
      </UserInfo>
      <UserInfo>
        <DisplayName>Erica Mattellone</DisplayName>
        <AccountId>667</AccountId>
        <AccountType/>
      </UserInfo>
      <UserInfo>
        <DisplayName>Kamilla Nabiyeva</DisplayName>
        <AccountId>3250</AccountId>
        <AccountType/>
      </UserInfo>
      <UserInfo>
        <DisplayName>Sandy Chien Yi Chuang</DisplayName>
        <AccountId>1334</AccountId>
        <AccountType/>
      </UserInfo>
    </SharedWithUsers>
    <TaxKeywordTaxHTField xmlns="6b1db5bc-b37e-441e-bb0f-3f87b229404b">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SemaphoreItemMetadata xmlns="6b1db5bc-b37e-441e-bb0f-3f87b229404b">{"ClassificationOrdered":false,"ClassificationRequested":"2021-02-12T13:44:25.6176093Z","Columns":[],"HasBodyChanged":true,"HasPendingClassification":false,"IsUpdate":false,"IsUploading":false,"ShouldCancel":false,"SkipClassification":false,"ShouldDelay":false}</SemaphoreItemMetadata>
    <_dlc_DocId xmlns="6b1db5bc-b37e-441e-bb0f-3f87b229404b">TMRKK6SKNHVK-893620061-1480</_dlc_DocId>
    <_dlc_DocIdUrl xmlns="6b1db5bc-b37e-441e-bb0f-3f87b229404b">
      <Url>https://unicef.sharepoint.com/sites/DHR/_layouts/15/DocIdRedir.aspx?ID=TMRKK6SKNHVK-893620061-1480</Url>
      <Description>TMRKK6SKNHVK-893620061-1480</Description>
    </_dlc_DocIdUrl>
    <KnowledgeHub xmlns="465be47d-174d-4461-b4d6-18b9fc34cb32" xsi:nil="true"/>
    <UNV xmlns="465be47d-174d-4461-b4d6-18b9fc34cb32" xsi:nil="true"/>
    <lcf76f155ced4ddcb4097134ff3c332f xmlns="465be47d-174d-4461-b4d6-18b9fc34cb3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3f51738-d318-4883-9d64-4f0bd0ccc55e" ContentTypeId="0x0101009BA85F8052A6DA4FA3E31FF9F74C6970" PreviousValue="false"/>
</file>

<file path=customXml/item5.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A753BF3B15410B41A843220EC0DA0529" ma:contentTypeVersion="33" ma:contentTypeDescription="Create a new document." ma:contentTypeScope="" ma:versionID="f767b47de466ae24f98265e9605cf1db">
  <xsd:schema xmlns:xsd="http://www.w3.org/2001/XMLSchema" xmlns:xs="http://www.w3.org/2001/XMLSchema" xmlns:p="http://schemas.microsoft.com/office/2006/metadata/properties" xmlns:ns1="http://schemas.microsoft.com/sharepoint/v3" xmlns:ns2="ca283e0b-db31-4043-a2ef-b80661bf084a" xmlns:ns3="http://schemas.microsoft.com/sharepoint.v3" xmlns:ns4="6b1db5bc-b37e-441e-bb0f-3f87b229404b" xmlns:ns5="465be47d-174d-4461-b4d6-18b9fc34cb32" xmlns:ns6="http://schemas.microsoft.com/sharepoint/v4" targetNamespace="http://schemas.microsoft.com/office/2006/metadata/properties" ma:root="true" ma:fieldsID="ff1242d29cd74f0e86014801cd91fb3c" ns1:_="" ns2:_="" ns3:_="" ns4:_="" ns5:_="" ns6:_="">
    <xsd:import namespace="http://schemas.microsoft.com/sharepoint/v3"/>
    <xsd:import namespace="ca283e0b-db31-4043-a2ef-b80661bf084a"/>
    <xsd:import namespace="http://schemas.microsoft.com/sharepoint.v3"/>
    <xsd:import namespace="6b1db5bc-b37e-441e-bb0f-3f87b229404b"/>
    <xsd:import namespace="465be47d-174d-4461-b4d6-18b9fc34cb32"/>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UNV" minOccurs="0"/>
                <xsd:element ref="ns5:MediaServiceLocation" minOccurs="0"/>
                <xsd:element ref="ns5:KnowledgeHub" minOccurs="0"/>
                <xsd:element ref="ns4:SharedWithUsers" minOccurs="0"/>
                <xsd:element ref="ns4:SharedWithDetails" minOccurs="0"/>
                <xsd:element ref="ns6: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element ref="ns5:lcf76f155ced4ddcb4097134ff3c332f"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6" nillable="true" ma:displayName="Hold and Record Status" ma:decimals="0" ma:description="" ma:hidden="true" ma:indexed="true" ma:internalName="_vti_ItemHoldRecordStatus" ma:readOnly="true">
      <xsd:simpleType>
        <xsd:restriction base="dms:Unknown"/>
      </xsd:simpleType>
    </xsd:element>
    <xsd:element name="_vti_ItemDeclaredRecord" ma:index="4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033;#Division of Human Resources-456K|47cb919c-ee56-4ab5-aca3-222bb3cb66d5"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6e4c2805-c2c7-4dfb-ad57-abf7f54596bb}" ma:internalName="TaxCatchAllLabel" ma:readOnly="true" ma:showField="CatchAllDataLabel"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6e4c2805-c2c7-4dfb-ad57-abf7f54596bb}" ma:internalName="TaxCatchAll" ma:showField="CatchAllData"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1db5bc-b37e-441e-bb0f-3f87b229404b" elementFormDefault="qualified">
    <xsd:import namespace="http://schemas.microsoft.com/office/2006/documentManagement/types"/>
    <xsd:import namespace="http://schemas.microsoft.com/office/infopath/2007/PartnerControls"/>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TaxKeywordTaxHTField" ma:index="4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9" nillable="true" ma:displayName="Document ID Value" ma:description="The value of the document ID assigned to this item." ma:indexed="true"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element name="SemaphoreItemMetadata" ma:index="5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be47d-174d-4461-b4d6-18b9fc34cb32"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UNV" ma:index="40" nillable="true" ma:displayName="UNV" ma:format="Dropdown" ma:internalName="UNV">
      <xsd:simpleType>
        <xsd:restriction base="dms:Choice">
          <xsd:enumeration value="Guidance"/>
          <xsd:enumeration value="Webinars"/>
          <xsd:enumeration value="Templates"/>
          <xsd:enumeration value="Standard DoAs"/>
        </xsd:restriction>
      </xsd:simpleType>
    </xsd:element>
    <xsd:element name="MediaServiceLocation" ma:index="41" nillable="true" ma:displayName="Location" ma:internalName="MediaServiceLocation" ma:readOnly="true">
      <xsd:simpleType>
        <xsd:restriction base="dms:Text"/>
      </xsd:simpleType>
    </xsd:element>
    <xsd:element name="KnowledgeHub" ma:index="42" nillable="true" ma:displayName="Knowledge Hub" ma:format="Dropdown" ma:internalName="KnowledgeHub">
      <xsd:simpleType>
        <xsd:restriction base="dms:Choice">
          <xsd:enumeration value="Career Event Materials"/>
          <xsd:enumeration value="Employer Branding"/>
          <xsd:enumeration value="Talent Sourcing"/>
          <xsd:enumeration value="Outreach Essentials"/>
        </xsd:restriction>
      </xsd:simpleType>
    </xsd:element>
    <xsd:element name="MediaLengthInSeconds" ma:index="53" nillable="true" ma:displayName="Length (seconds)" ma:internalName="MediaLengthInSeconds" ma:readOnly="true">
      <xsd:simpleType>
        <xsd:restriction base="dms:Unknown"/>
      </xsd:simpleType>
    </xsd:element>
    <xsd:element name="lcf76f155ced4ddcb4097134ff3c332f" ma:index="55"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6b1db5bc-b37e-441e-bb0f-3f87b229404b"/>
    <ds:schemaRef ds:uri="465be47d-174d-4461-b4d6-18b9fc34cb32"/>
  </ds:schemaRefs>
</ds:datastoreItem>
</file>

<file path=customXml/itemProps2.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3.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4.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5.xml><?xml version="1.0" encoding="utf-8"?>
<ds:datastoreItem xmlns:ds="http://schemas.openxmlformats.org/officeDocument/2006/customXml" ds:itemID="{51DAEF93-44CE-4558-9E42-FC3496512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6b1db5bc-b37e-441e-bb0f-3f87b229404b"/>
    <ds:schemaRef ds:uri="465be47d-174d-4461-b4d6-18b9fc34cb3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5B81024-D520-4AF8-A273-D584D4CE2311}">
  <ds:schemaRefs>
    <ds:schemaRef ds:uri="http://schemas.microsoft.com/office/2006/metadata/customXsn"/>
  </ds:schemaRefs>
</ds:datastoreItem>
</file>

<file path=customXml/itemProps7.xml><?xml version="1.0" encoding="utf-8"?>
<ds:datastoreItem xmlns:ds="http://schemas.openxmlformats.org/officeDocument/2006/customXml" ds:itemID="{59CBF189-60F1-4999-8B94-E397E9B693A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96</TotalTime>
  <Pages>5</Pages>
  <Words>2501</Words>
  <Characters>14261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16729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Saholiniaina Randrianatoandro</cp:lastModifiedBy>
  <cp:revision>110</cp:revision>
  <cp:lastPrinted>2017-01-06T22:20:00Z</cp:lastPrinted>
  <dcterms:created xsi:type="dcterms:W3CDTF">2024-02-15T06:13:00Z</dcterms:created>
  <dcterms:modified xsi:type="dcterms:W3CDTF">2024-02-19T12:37:00Z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0x0101009BA85F8052A6DA4FA3E31FF9F74C697000A753BF3B15410B41A843220EC0DA0529</vt:lpwstr>
  </property>
  <property fmtid="{D5CDD505-2E9C-101B-9397-08002B2CF9AE}" pid="3" name="TaxKeyword">
    <vt:lpwstr>4;#Consultant|97dbf340-afa5-45ee-bb2e-48a25e57c80a;#38;#Terms of reference|26e23d09-321c-47a9-b467-3d76284820e0</vt:lpwstr>
  </property>
  <property fmtid="{D5CDD505-2E9C-101B-9397-08002B2CF9AE}" pid="4" name="Topic">
    <vt:lpwstr>6;#HR Capacity HQ|5dfbef22-74f3-4590-8e9b-b76c325b633c</vt:lpwstr>
  </property>
  <property fmtid="{D5CDD505-2E9C-101B-9397-08002B2CF9AE}" pid="5" name="OfficeDivision">
    <vt:lpwstr>37;#Lebanon-2490|9edb7c65-e5d5-4e49-90eb-6706d834a52d</vt:lpwstr>
  </property>
  <property fmtid="{D5CDD505-2E9C-101B-9397-08002B2CF9AE}" pid="6" name="_dlc_DocIdItemGuid">
    <vt:lpwstr>40501985-388f-44a2-871f-4facccf89301</vt:lpwstr>
  </property>
  <property fmtid="{D5CDD505-2E9C-101B-9397-08002B2CF9AE}" pid="7" name="DocumentType">
    <vt:lpwstr>33;#Job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ies>
</file>