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714B3C" w:rsidRDefault="002945C8" w:rsidP="00DA0337">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028724A9" w14:textId="77777777" w:rsidR="002945C8" w:rsidRPr="00714B3C" w:rsidRDefault="002945C8" w:rsidP="00DA0337">
      <w:pPr>
        <w:pStyle w:val="BodyTextIndent"/>
        <w:ind w:left="0"/>
        <w:contextualSpacing/>
        <w:rPr>
          <w:rFonts w:ascii="Calibri" w:hAnsi="Calibri" w:cs="Calibri"/>
          <w:b/>
          <w:snapToGrid w:val="0"/>
          <w:sz w:val="22"/>
          <w:szCs w:val="22"/>
          <w:lang w:val="en-GB"/>
        </w:rPr>
      </w:pPr>
    </w:p>
    <w:p w14:paraId="3981F730" w14:textId="0733B5BE" w:rsidR="00714B3C" w:rsidRPr="00714B3C" w:rsidRDefault="002945C8" w:rsidP="00DA0337">
      <w:pPr>
        <w:spacing w:line="240" w:lineRule="auto"/>
        <w:contextualSpacing/>
        <w:rPr>
          <w:rFonts w:cs="Calibri"/>
          <w:color w:val="auto"/>
          <w:szCs w:val="22"/>
          <w:lang w:val="en-GB"/>
        </w:rPr>
      </w:pPr>
      <w:r w:rsidRPr="00714B3C">
        <w:rPr>
          <w:rFonts w:cs="Calibri"/>
          <w:b/>
          <w:snapToGrid w:val="0"/>
          <w:szCs w:val="22"/>
          <w:lang w:val="en-GB"/>
        </w:rPr>
        <w:t xml:space="preserve">Purpose of the Assignment: </w:t>
      </w:r>
      <w:bookmarkStart w:id="0" w:name="_GoBack"/>
      <w:r w:rsidR="002B2691" w:rsidRPr="002B2691">
        <w:rPr>
          <w:rFonts w:cs="Calibri"/>
          <w:color w:val="auto"/>
          <w:szCs w:val="22"/>
          <w:lang w:val="en-GB"/>
        </w:rPr>
        <w:t xml:space="preserve">Documentation and development of </w:t>
      </w:r>
      <w:r w:rsidR="00F4674E">
        <w:rPr>
          <w:rFonts w:cs="Calibri"/>
          <w:color w:val="auto"/>
          <w:szCs w:val="22"/>
          <w:lang w:val="en-GB"/>
        </w:rPr>
        <w:t xml:space="preserve">a scale-up </w:t>
      </w:r>
      <w:r w:rsidR="002B2691" w:rsidRPr="002B2691">
        <w:rPr>
          <w:rFonts w:cs="Calibri"/>
          <w:color w:val="auto"/>
          <w:szCs w:val="22"/>
          <w:lang w:val="en-GB"/>
        </w:rPr>
        <w:t xml:space="preserve">strategy for </w:t>
      </w:r>
      <w:r w:rsidR="00F4674E">
        <w:rPr>
          <w:rFonts w:cs="Calibri"/>
          <w:color w:val="auto"/>
          <w:szCs w:val="22"/>
          <w:lang w:val="en-GB"/>
        </w:rPr>
        <w:t xml:space="preserve">the </w:t>
      </w:r>
      <w:r w:rsidR="002B2691" w:rsidRPr="002B2691">
        <w:rPr>
          <w:rFonts w:cs="Calibri"/>
          <w:color w:val="auto"/>
          <w:szCs w:val="22"/>
          <w:lang w:val="en-GB"/>
        </w:rPr>
        <w:t xml:space="preserve">implementation of a </w:t>
      </w:r>
      <w:r w:rsidR="00F4674E">
        <w:rPr>
          <w:rFonts w:cs="Calibri"/>
          <w:color w:val="auto"/>
          <w:szCs w:val="22"/>
          <w:lang w:val="en-GB"/>
        </w:rPr>
        <w:t xml:space="preserve">household water connection </w:t>
      </w:r>
      <w:r w:rsidR="002B2691" w:rsidRPr="002B2691">
        <w:rPr>
          <w:rFonts w:cs="Calibri"/>
          <w:color w:val="auto"/>
          <w:szCs w:val="22"/>
          <w:lang w:val="en-GB"/>
        </w:rPr>
        <w:t>revolving fund in small towns</w:t>
      </w:r>
      <w:bookmarkEnd w:id="0"/>
      <w:r w:rsidR="002B2691" w:rsidRPr="002B2691">
        <w:rPr>
          <w:rFonts w:cs="Calibri"/>
          <w:color w:val="auto"/>
          <w:szCs w:val="22"/>
          <w:lang w:val="en-GB"/>
        </w:rPr>
        <w:t xml:space="preserve"> in Mozambique</w:t>
      </w:r>
      <w:r w:rsidR="00F4674E">
        <w:rPr>
          <w:rFonts w:cs="Calibri"/>
          <w:color w:val="auto"/>
          <w:szCs w:val="22"/>
          <w:lang w:val="en-GB"/>
        </w:rPr>
        <w:t>.</w:t>
      </w:r>
    </w:p>
    <w:p w14:paraId="10FD6768" w14:textId="77777777" w:rsidR="002945C8" w:rsidRPr="00714B3C" w:rsidRDefault="002945C8" w:rsidP="00DA0337">
      <w:pPr>
        <w:pStyle w:val="BodyTextIndent"/>
        <w:ind w:left="0"/>
        <w:contextualSpacing/>
        <w:rPr>
          <w:rFonts w:ascii="Calibri" w:hAnsi="Calibri" w:cs="Calibri"/>
          <w:b/>
          <w:snapToGrid w:val="0"/>
          <w:sz w:val="22"/>
          <w:szCs w:val="22"/>
          <w:lang w:val="en-GB"/>
        </w:rPr>
      </w:pPr>
    </w:p>
    <w:p w14:paraId="3B8BC36F" w14:textId="36806A80" w:rsidR="002945C8" w:rsidRPr="00714B3C" w:rsidRDefault="002945C8" w:rsidP="00DA0337">
      <w:pPr>
        <w:spacing w:line="240" w:lineRule="auto"/>
        <w:contextualSpacing/>
        <w:rPr>
          <w:rFonts w:cs="Calibri"/>
          <w:szCs w:val="22"/>
          <w:lang w:val="en-GB"/>
        </w:rPr>
      </w:pPr>
      <w:r w:rsidRPr="00714B3C">
        <w:rPr>
          <w:rFonts w:cs="Calibri"/>
          <w:b/>
          <w:szCs w:val="22"/>
          <w:lang w:val="en-GB"/>
        </w:rPr>
        <w:t>Section Submitting:</w:t>
      </w:r>
      <w:r w:rsidR="00714B3C" w:rsidRPr="00714B3C">
        <w:rPr>
          <w:rFonts w:cs="Calibri"/>
          <w:b/>
          <w:szCs w:val="22"/>
          <w:lang w:val="en-GB"/>
        </w:rPr>
        <w:t xml:space="preserve"> </w:t>
      </w:r>
      <w:r w:rsidR="009E6AE7">
        <w:rPr>
          <w:rFonts w:cs="Calibri"/>
          <w:color w:val="auto"/>
          <w:szCs w:val="22"/>
          <w:lang w:val="en-GB"/>
        </w:rPr>
        <w:t>WASH</w:t>
      </w:r>
    </w:p>
    <w:p w14:paraId="4348B3E5" w14:textId="77777777" w:rsidR="002945C8" w:rsidRPr="00714B3C" w:rsidRDefault="002945C8" w:rsidP="00DA0337">
      <w:pPr>
        <w:spacing w:line="240" w:lineRule="auto"/>
        <w:contextualSpacing/>
        <w:rPr>
          <w:rFonts w:cs="Calibri"/>
          <w:szCs w:val="22"/>
          <w:lang w:val="en-GB"/>
        </w:rPr>
      </w:pPr>
    </w:p>
    <w:p w14:paraId="06A2C1A9" w14:textId="76D97EAD" w:rsidR="002945C8" w:rsidRPr="00714B3C" w:rsidRDefault="002945C8" w:rsidP="00DA0337">
      <w:pPr>
        <w:spacing w:line="240" w:lineRule="auto"/>
        <w:contextualSpacing/>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401D9F94" w14:textId="77777777" w:rsidR="00695297" w:rsidRDefault="00695297" w:rsidP="00DA0337">
      <w:pPr>
        <w:spacing w:line="240" w:lineRule="auto"/>
        <w:contextualSpacing/>
        <w:rPr>
          <w:rFonts w:cs="Calibri"/>
          <w:color w:val="auto"/>
          <w:szCs w:val="22"/>
          <w:lang w:val="en-GB"/>
        </w:rPr>
      </w:pPr>
    </w:p>
    <w:p w14:paraId="63BA3755" w14:textId="08C5245F" w:rsidR="002B2691" w:rsidRDefault="002B2691" w:rsidP="00DA0337">
      <w:pPr>
        <w:spacing w:line="240" w:lineRule="auto"/>
      </w:pPr>
      <w:r>
        <w:t xml:space="preserve">Since 2012, UNICEF Mozambique has supported the implementation of the </w:t>
      </w:r>
      <w:r>
        <w:rPr>
          <w:rFonts w:cs="Arial"/>
        </w:rPr>
        <w:t>Government of Mozambique’s Delegated Management Framework (DMF)</w:t>
      </w:r>
      <w:r>
        <w:rPr>
          <w:rStyle w:val="FootnoteReference"/>
          <w:rFonts w:cs="Arial"/>
        </w:rPr>
        <w:footnoteReference w:id="2"/>
      </w:r>
      <w:r>
        <w:rPr>
          <w:rFonts w:cs="Arial"/>
        </w:rPr>
        <w:t xml:space="preserve"> through its Small Towns WASH </w:t>
      </w:r>
      <w:proofErr w:type="spellStart"/>
      <w:r>
        <w:rPr>
          <w:rFonts w:cs="Arial"/>
        </w:rPr>
        <w:t>programme</w:t>
      </w:r>
      <w:proofErr w:type="spellEnd"/>
      <w:r>
        <w:rPr>
          <w:rFonts w:cs="Arial"/>
        </w:rPr>
        <w:t xml:space="preserve">.  The </w:t>
      </w:r>
      <w:proofErr w:type="spellStart"/>
      <w:r>
        <w:rPr>
          <w:rFonts w:cs="Arial"/>
        </w:rPr>
        <w:t>programme</w:t>
      </w:r>
      <w:proofErr w:type="spellEnd"/>
      <w:r>
        <w:rPr>
          <w:rFonts w:cs="Arial"/>
        </w:rPr>
        <w:t xml:space="preserve"> is implemented in partnership with AIAS and CRA and aims to support AIAS in the development of an implementation model </w:t>
      </w:r>
      <w:r w:rsidR="00F4674E">
        <w:rPr>
          <w:rFonts w:cs="Arial"/>
        </w:rPr>
        <w:t xml:space="preserve">that will support leveraging additional </w:t>
      </w:r>
      <w:r>
        <w:rPr>
          <w:rFonts w:cs="Arial"/>
        </w:rPr>
        <w:t xml:space="preserve">funds for broader implementation.  To date, UNICEF’s Small Towns WASH Programme has covered six small towns in the provinces of Nampula, </w:t>
      </w:r>
      <w:proofErr w:type="spellStart"/>
      <w:r>
        <w:rPr>
          <w:rFonts w:cs="Arial"/>
        </w:rPr>
        <w:t>Tete</w:t>
      </w:r>
      <w:proofErr w:type="spellEnd"/>
      <w:r>
        <w:rPr>
          <w:rFonts w:cs="Arial"/>
        </w:rPr>
        <w:t xml:space="preserve">, Manica and </w:t>
      </w:r>
      <w:proofErr w:type="spellStart"/>
      <w:r>
        <w:rPr>
          <w:rFonts w:cs="Arial"/>
        </w:rPr>
        <w:t>Inhambane</w:t>
      </w:r>
      <w:proofErr w:type="spellEnd"/>
      <w:r w:rsidR="00F4674E">
        <w:rPr>
          <w:rFonts w:cs="Arial"/>
        </w:rPr>
        <w:t>.</w:t>
      </w:r>
      <w:r>
        <w:rPr>
          <w:rFonts w:cs="Arial"/>
        </w:rPr>
        <w:t xml:space="preserve">  </w:t>
      </w:r>
    </w:p>
    <w:p w14:paraId="79E9A412" w14:textId="77777777" w:rsidR="002B2691" w:rsidRDefault="002B2691" w:rsidP="00DA0337">
      <w:pPr>
        <w:spacing w:line="240" w:lineRule="auto"/>
      </w:pPr>
    </w:p>
    <w:p w14:paraId="134851D5" w14:textId="647DE366" w:rsidR="002B2691" w:rsidRDefault="00137735" w:rsidP="00DA0337">
      <w:pPr>
        <w:spacing w:line="240" w:lineRule="auto"/>
      </w:pPr>
      <w:r>
        <w:t>W</w:t>
      </w:r>
      <w:r w:rsidR="002B2691">
        <w:t xml:space="preserve">ater supply systems </w:t>
      </w:r>
      <w:r w:rsidR="00F4674E">
        <w:t xml:space="preserve">are designed to have the </w:t>
      </w:r>
      <w:r w:rsidR="002B2691">
        <w:t xml:space="preserve">capacity to cover needs for the next 20 years using a modular/sequenced approach </w:t>
      </w:r>
      <w:r w:rsidR="00F4674E">
        <w:t>for</w:t>
      </w:r>
      <w:r w:rsidR="002B2691">
        <w:t xml:space="preserve"> expansion of specific components </w:t>
      </w:r>
      <w:r w:rsidR="00F4674E">
        <w:t xml:space="preserve">as </w:t>
      </w:r>
      <w:r w:rsidR="002B2691">
        <w:t xml:space="preserve">additional capacity is required.  However, the </w:t>
      </w:r>
      <w:r w:rsidR="00F4674E">
        <w:t xml:space="preserve">initial reach </w:t>
      </w:r>
      <w:r w:rsidR="002B2691">
        <w:t xml:space="preserve">of </w:t>
      </w:r>
      <w:r w:rsidR="00F4674E">
        <w:t xml:space="preserve">the </w:t>
      </w:r>
      <w:r w:rsidR="002B2691">
        <w:t>distribution networks has been dependent on budget availability</w:t>
      </w:r>
      <w:r w:rsidR="00F4674E">
        <w:t xml:space="preserve"> at the time of construction.  Typically, </w:t>
      </w:r>
      <w:r w:rsidR="002B2691">
        <w:t xml:space="preserve">tertiary networks </w:t>
      </w:r>
      <w:r w:rsidR="00F4674E">
        <w:t xml:space="preserve">cover </w:t>
      </w:r>
      <w:r w:rsidR="002B2691">
        <w:t xml:space="preserve">at least 50% of the </w:t>
      </w:r>
      <w:r w:rsidR="00F4674E">
        <w:t xml:space="preserve">potential </w:t>
      </w:r>
      <w:r w:rsidR="002B2691">
        <w:t>service area</w:t>
      </w:r>
      <w:r w:rsidR="00F4674E">
        <w:t>,</w:t>
      </w:r>
      <w:r w:rsidR="002B2691">
        <w:t xml:space="preserve"> with a limited number of household connections includ</w:t>
      </w:r>
      <w:r w:rsidR="00F4674E">
        <w:t>ed</w:t>
      </w:r>
      <w:r w:rsidR="002B2691">
        <w:t xml:space="preserve"> as part of the </w:t>
      </w:r>
      <w:r w:rsidR="00F4674E">
        <w:t xml:space="preserve">initial </w:t>
      </w:r>
      <w:r w:rsidR="002B2691">
        <w:t xml:space="preserve">construction contracts.  </w:t>
      </w:r>
      <w:r w:rsidR="00F4674E">
        <w:t xml:space="preserve">Using </w:t>
      </w:r>
      <w:r w:rsidR="002B2691">
        <w:t xml:space="preserve">this model, </w:t>
      </w:r>
      <w:proofErr w:type="gramStart"/>
      <w:r w:rsidR="002B2691">
        <w:t>it</w:t>
      </w:r>
      <w:r w:rsidR="00F4674E">
        <w:t xml:space="preserve"> </w:t>
      </w:r>
      <w:r w:rsidR="002B2691">
        <w:t xml:space="preserve"> additional</w:t>
      </w:r>
      <w:proofErr w:type="gramEnd"/>
      <w:r w:rsidR="002B2691">
        <w:t xml:space="preserve"> connections </w:t>
      </w:r>
      <w:r w:rsidR="00F4674E">
        <w:t xml:space="preserve">are expected to </w:t>
      </w:r>
      <w:r w:rsidR="002B2691">
        <w:t xml:space="preserve">be made based on </w:t>
      </w:r>
      <w:r w:rsidR="00F4674E">
        <w:t xml:space="preserve">user </w:t>
      </w:r>
      <w:r w:rsidR="002B2691">
        <w:t>request</w:t>
      </w:r>
      <w:r w:rsidR="00F4674E">
        <w:t>s</w:t>
      </w:r>
      <w:r w:rsidR="002B2691">
        <w:t xml:space="preserve"> with the connection costs being covered by the user (i.e. water counter, pipework and accessories between the tertiary network and the household).</w:t>
      </w:r>
    </w:p>
    <w:p w14:paraId="587825A1" w14:textId="77777777" w:rsidR="002B2691" w:rsidRDefault="002B2691" w:rsidP="00DA0337">
      <w:pPr>
        <w:spacing w:line="240" w:lineRule="auto"/>
      </w:pPr>
    </w:p>
    <w:p w14:paraId="144875BF" w14:textId="5455A896" w:rsidR="002B2691" w:rsidRDefault="00F4674E" w:rsidP="00DA0337">
      <w:pPr>
        <w:spacing w:line="240" w:lineRule="auto"/>
      </w:pPr>
      <w:r>
        <w:t>A r</w:t>
      </w:r>
      <w:r w:rsidR="002B2691">
        <w:t xml:space="preserve">ecent review of the implementation of DMF in small towns (UNICEF, 2018) </w:t>
      </w:r>
      <w:r>
        <w:t xml:space="preserve">has </w:t>
      </w:r>
      <w:r w:rsidR="002B2691">
        <w:t xml:space="preserve">identified the cost of the household connection as one of the most important factors, besides the proximity to the network, that prevent new users to </w:t>
      </w:r>
      <w:r>
        <w:t>connecting</w:t>
      </w:r>
      <w:r w:rsidR="002B2691">
        <w:t xml:space="preserve"> to the water system</w:t>
      </w:r>
      <w:r>
        <w:t>.  This is seen as</w:t>
      </w:r>
      <w:r w:rsidR="002B2691">
        <w:t xml:space="preserve"> limiting the number of new connections being made</w:t>
      </w:r>
      <w:r>
        <w:t xml:space="preserve">, subsequently impacting </w:t>
      </w:r>
      <w:r w:rsidR="002B2691">
        <w:t xml:space="preserve">the capacity of Operators to generate revenue </w:t>
      </w:r>
      <w:r>
        <w:t xml:space="preserve">in </w:t>
      </w:r>
      <w:r w:rsidR="002B2691">
        <w:t>a sustainable manner.</w:t>
      </w:r>
    </w:p>
    <w:p w14:paraId="3AD9D536" w14:textId="77777777" w:rsidR="002B2691" w:rsidRDefault="002B2691" w:rsidP="00DA0337">
      <w:pPr>
        <w:spacing w:line="240" w:lineRule="auto"/>
      </w:pPr>
    </w:p>
    <w:p w14:paraId="51D554A1" w14:textId="6E26D639" w:rsidR="002B2691" w:rsidRDefault="002B2691" w:rsidP="00DA0337">
      <w:pPr>
        <w:spacing w:line="240" w:lineRule="auto"/>
      </w:pPr>
      <w:r>
        <w:t xml:space="preserve">To address </w:t>
      </w:r>
      <w:r w:rsidR="00F4674E">
        <w:t xml:space="preserve">this </w:t>
      </w:r>
      <w:r>
        <w:t>barrier, UNICEF</w:t>
      </w:r>
      <w:r w:rsidR="00F4674E">
        <w:t xml:space="preserve"> has been implementing </w:t>
      </w:r>
      <w:r>
        <w:t xml:space="preserve">a revolving fund for household connections </w:t>
      </w:r>
      <w:r w:rsidR="00F4674E">
        <w:t xml:space="preserve">in </w:t>
      </w:r>
      <w:r>
        <w:t xml:space="preserve">the </w:t>
      </w:r>
      <w:r w:rsidR="00F4674E">
        <w:t>towns</w:t>
      </w:r>
      <w:r>
        <w:t xml:space="preserve"> of </w:t>
      </w:r>
      <w:proofErr w:type="spellStart"/>
      <w:r>
        <w:t>Jangamo</w:t>
      </w:r>
      <w:proofErr w:type="spellEnd"/>
      <w:r>
        <w:t xml:space="preserve">, </w:t>
      </w:r>
      <w:proofErr w:type="spellStart"/>
      <w:r>
        <w:t>Morrumbene</w:t>
      </w:r>
      <w:proofErr w:type="spellEnd"/>
      <w:r>
        <w:t xml:space="preserve"> and </w:t>
      </w:r>
      <w:proofErr w:type="spellStart"/>
      <w:r>
        <w:t>Homoine</w:t>
      </w:r>
      <w:proofErr w:type="spellEnd"/>
      <w:r>
        <w:t>.  The fund was established through a</w:t>
      </w:r>
      <w:r w:rsidR="00F4674E">
        <w:t xml:space="preserve">n agreement </w:t>
      </w:r>
      <w:r>
        <w:t xml:space="preserve">between AIAS and Collins LDA </w:t>
      </w:r>
      <w:r w:rsidR="00F4674E">
        <w:t xml:space="preserve">(current operator of the three systems) </w:t>
      </w:r>
      <w:r>
        <w:t>and started implementation in July 2018.  Under this model, AIAS, with financial support from UNICEF, made available materials for 1,000 household connections</w:t>
      </w:r>
      <w:r w:rsidR="00F4674E">
        <w:t xml:space="preserve">.  The </w:t>
      </w:r>
      <w:r w:rsidR="00313CD9">
        <w:t>o</w:t>
      </w:r>
      <w:r>
        <w:t>perator remain</w:t>
      </w:r>
      <w:r w:rsidR="00313CD9">
        <w:t>s</w:t>
      </w:r>
      <w:r>
        <w:t xml:space="preserve"> responsible for the installation </w:t>
      </w:r>
      <w:r w:rsidR="00313CD9">
        <w:t xml:space="preserve">of the connection kits </w:t>
      </w:r>
      <w:r>
        <w:t xml:space="preserve">and </w:t>
      </w:r>
      <w:r w:rsidR="00313CD9">
        <w:t xml:space="preserve">the </w:t>
      </w:r>
      <w:r>
        <w:t xml:space="preserve">management of the fund for replicating additional connections.  </w:t>
      </w:r>
      <w:r w:rsidR="00313CD9">
        <w:t xml:space="preserve">This financial input from UNICEF allows the operator to pro-rate the cost of the connection over 24 months, thereby reducing the financial barrier at the household level.  </w:t>
      </w:r>
      <w:r>
        <w:t>Over the first 12 months</w:t>
      </w:r>
      <w:r w:rsidR="00313CD9">
        <w:t xml:space="preserve"> of the pilot</w:t>
      </w:r>
      <w:r>
        <w:t>, all 1,000 initial connections have been installed plus additional 500</w:t>
      </w:r>
      <w:r w:rsidR="00313CD9">
        <w:t>, indicating initial successes of the revolving fund</w:t>
      </w:r>
      <w:r>
        <w:t>.</w:t>
      </w:r>
    </w:p>
    <w:p w14:paraId="001C806E" w14:textId="77777777" w:rsidR="002B2691" w:rsidRDefault="002B2691" w:rsidP="00DA0337">
      <w:pPr>
        <w:spacing w:line="240" w:lineRule="auto"/>
      </w:pPr>
    </w:p>
    <w:p w14:paraId="6077AA91" w14:textId="2C336ABF" w:rsidR="002B2691" w:rsidRDefault="00313CD9" w:rsidP="00DA0337">
      <w:pPr>
        <w:spacing w:line="240" w:lineRule="auto"/>
      </w:pPr>
      <w:proofErr w:type="gramStart"/>
      <w:r>
        <w:t>In order to</w:t>
      </w:r>
      <w:proofErr w:type="gramEnd"/>
      <w:r>
        <w:t xml:space="preserve"> </w:t>
      </w:r>
      <w:r w:rsidR="002B2691">
        <w:t xml:space="preserve">review the implementation of the </w:t>
      </w:r>
      <w:r>
        <w:t xml:space="preserve">revolving fund </w:t>
      </w:r>
      <w:r w:rsidR="002B2691">
        <w:t xml:space="preserve">model </w:t>
      </w:r>
      <w:r>
        <w:t xml:space="preserve">as well as to </w:t>
      </w:r>
      <w:r w:rsidR="002B2691">
        <w:t xml:space="preserve">identify options </w:t>
      </w:r>
      <w:r>
        <w:t xml:space="preserve">for expanding </w:t>
      </w:r>
      <w:r w:rsidR="002B2691">
        <w:t xml:space="preserve">its implementation, UNICEF is seeking the services of an experienced consultant to carry out </w:t>
      </w:r>
      <w:r>
        <w:t>a review of the work to date</w:t>
      </w:r>
      <w:r w:rsidR="002B2691">
        <w:t>.</w:t>
      </w:r>
    </w:p>
    <w:p w14:paraId="4695B18D" w14:textId="2AFF84F2" w:rsidR="00E665A2" w:rsidRDefault="00E665A2" w:rsidP="00DA0337">
      <w:pPr>
        <w:spacing w:line="240" w:lineRule="auto"/>
        <w:contextualSpacing/>
        <w:rPr>
          <w:rFonts w:cs="Calibri"/>
          <w:color w:val="auto"/>
          <w:szCs w:val="22"/>
          <w:lang w:val="en-GB"/>
        </w:rPr>
      </w:pPr>
    </w:p>
    <w:p w14:paraId="10B563FE" w14:textId="1F4FDBE9" w:rsidR="002945C8" w:rsidRPr="00714B3C" w:rsidRDefault="002945C8" w:rsidP="00DA0337">
      <w:pPr>
        <w:spacing w:line="240" w:lineRule="auto"/>
        <w:contextualSpacing/>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02447135" w14:textId="50A3717B" w:rsidR="002945C8" w:rsidRDefault="002945C8" w:rsidP="00DA0337">
      <w:pPr>
        <w:spacing w:line="240" w:lineRule="auto"/>
        <w:contextualSpacing/>
        <w:rPr>
          <w:rFonts w:cs="Calibri"/>
          <w:color w:val="auto"/>
          <w:szCs w:val="22"/>
          <w:lang w:val="en-GB"/>
        </w:rPr>
      </w:pPr>
    </w:p>
    <w:p w14:paraId="6B07D1F0" w14:textId="4B92DBC1" w:rsidR="006E719D" w:rsidRDefault="006D3784" w:rsidP="00DA0337">
      <w:pPr>
        <w:spacing w:line="240" w:lineRule="auto"/>
        <w:contextualSpacing/>
        <w:rPr>
          <w:rFonts w:cs="Calibri"/>
          <w:color w:val="auto"/>
          <w:szCs w:val="22"/>
          <w:lang w:val="en-GB"/>
        </w:rPr>
      </w:pPr>
      <w:r>
        <w:rPr>
          <w:rFonts w:cs="Calibri"/>
          <w:color w:val="auto"/>
          <w:szCs w:val="22"/>
          <w:lang w:val="en-GB"/>
        </w:rPr>
        <w:t xml:space="preserve">The Consultant will work under the supervision of the WASH Specialist and will work in close coordination with </w:t>
      </w:r>
      <w:r w:rsidR="002B2691">
        <w:rPr>
          <w:rFonts w:cs="Calibri"/>
          <w:color w:val="auto"/>
          <w:szCs w:val="22"/>
          <w:lang w:val="en-GB"/>
        </w:rPr>
        <w:t xml:space="preserve">other members of the UNICEF Mozambique WASH Team, </w:t>
      </w:r>
      <w:r>
        <w:rPr>
          <w:rFonts w:cs="Calibri"/>
          <w:color w:val="auto"/>
          <w:szCs w:val="22"/>
          <w:lang w:val="en-GB"/>
        </w:rPr>
        <w:t>Government stakeholders</w:t>
      </w:r>
      <w:r w:rsidR="002B2691">
        <w:rPr>
          <w:rFonts w:cs="Calibri"/>
          <w:color w:val="auto"/>
          <w:szCs w:val="22"/>
          <w:lang w:val="en-GB"/>
        </w:rPr>
        <w:t xml:space="preserve">, Private Operator and </w:t>
      </w:r>
      <w:r>
        <w:rPr>
          <w:rFonts w:cs="Calibri"/>
          <w:color w:val="auto"/>
          <w:szCs w:val="22"/>
          <w:lang w:val="en-GB"/>
        </w:rPr>
        <w:t>others involved</w:t>
      </w:r>
      <w:r w:rsidR="002B2691">
        <w:rPr>
          <w:rFonts w:cs="Calibri"/>
          <w:color w:val="auto"/>
          <w:szCs w:val="22"/>
          <w:lang w:val="en-GB"/>
        </w:rPr>
        <w:t xml:space="preserve"> in the development and implementation of the revolving fund, </w:t>
      </w:r>
      <w:r>
        <w:rPr>
          <w:rFonts w:cs="Calibri"/>
          <w:color w:val="auto"/>
          <w:szCs w:val="22"/>
          <w:lang w:val="en-GB"/>
        </w:rPr>
        <w:t>as well as directly interact with community and communi</w:t>
      </w:r>
      <w:r w:rsidR="00695297">
        <w:rPr>
          <w:rFonts w:cs="Calibri"/>
          <w:color w:val="auto"/>
          <w:szCs w:val="22"/>
          <w:lang w:val="en-GB"/>
        </w:rPr>
        <w:t>ty representatives as required.</w:t>
      </w:r>
    </w:p>
    <w:p w14:paraId="35EB97A1" w14:textId="77777777" w:rsidR="006E719D" w:rsidRDefault="006E719D" w:rsidP="00DA0337">
      <w:pPr>
        <w:spacing w:line="240" w:lineRule="auto"/>
        <w:contextualSpacing/>
        <w:rPr>
          <w:rFonts w:cs="Calibri"/>
          <w:color w:val="auto"/>
          <w:szCs w:val="22"/>
          <w:lang w:val="en-GB"/>
        </w:rPr>
      </w:pPr>
    </w:p>
    <w:p w14:paraId="2AA34DD0" w14:textId="0AC66813" w:rsidR="002B2691" w:rsidRDefault="002B2691" w:rsidP="00DA0337">
      <w:pPr>
        <w:spacing w:line="240" w:lineRule="auto"/>
        <w:contextualSpacing/>
        <w:rPr>
          <w:rFonts w:cs="Calibri"/>
          <w:color w:val="auto"/>
          <w:szCs w:val="22"/>
          <w:lang w:val="en-GB"/>
        </w:rPr>
      </w:pPr>
      <w:r>
        <w:rPr>
          <w:rFonts w:cs="Calibri"/>
          <w:color w:val="auto"/>
          <w:szCs w:val="22"/>
          <w:lang w:val="en-GB"/>
        </w:rPr>
        <w:lastRenderedPageBreak/>
        <w:t xml:space="preserve">The Consultant </w:t>
      </w:r>
      <w:r w:rsidR="00DB4F0C">
        <w:rPr>
          <w:rFonts w:cs="Calibri"/>
          <w:color w:val="auto"/>
          <w:szCs w:val="22"/>
          <w:lang w:val="en-GB"/>
        </w:rPr>
        <w:t xml:space="preserve">will work in collaboration with AIAS, UNICEF and the private Operator (Collins LDA) to </w:t>
      </w:r>
      <w:r w:rsidR="00CB3D35">
        <w:rPr>
          <w:rFonts w:cs="Calibri"/>
          <w:color w:val="auto"/>
          <w:szCs w:val="22"/>
          <w:lang w:val="en-GB"/>
        </w:rPr>
        <w:t xml:space="preserve">collect and </w:t>
      </w:r>
      <w:r w:rsidR="00DB4F0C">
        <w:rPr>
          <w:rFonts w:cs="Calibri"/>
          <w:color w:val="auto"/>
          <w:szCs w:val="22"/>
          <w:lang w:val="en-GB"/>
        </w:rPr>
        <w:t>analyse information pertaining to the revolving fund, including, but not limited to:</w:t>
      </w:r>
    </w:p>
    <w:p w14:paraId="6914CB5F" w14:textId="78935CFE" w:rsidR="00D609A3" w:rsidRDefault="00D609A3" w:rsidP="00DA0337">
      <w:pPr>
        <w:pStyle w:val="ListParagraph"/>
        <w:numPr>
          <w:ilvl w:val="0"/>
          <w:numId w:val="8"/>
        </w:numPr>
        <w:spacing w:line="240" w:lineRule="auto"/>
        <w:rPr>
          <w:rFonts w:eastAsia="Times" w:cs="Calibri"/>
          <w:sz w:val="22"/>
          <w:szCs w:val="22"/>
          <w:lang w:eastAsia="en-GB"/>
        </w:rPr>
      </w:pPr>
      <w:bookmarkStart w:id="1" w:name="_Hlk16781396"/>
      <w:r>
        <w:rPr>
          <w:rFonts w:eastAsia="Times" w:cs="Calibri"/>
          <w:sz w:val="22"/>
          <w:szCs w:val="22"/>
          <w:lang w:eastAsia="en-GB"/>
        </w:rPr>
        <w:t xml:space="preserve">Analysis of institutional, legal and regulatory framework for water supply in Mozambique and the implementation of </w:t>
      </w:r>
      <w:r w:rsidR="0019137C">
        <w:rPr>
          <w:rFonts w:eastAsia="Times" w:cs="Calibri"/>
          <w:sz w:val="22"/>
          <w:szCs w:val="22"/>
          <w:lang w:eastAsia="en-GB"/>
        </w:rPr>
        <w:t xml:space="preserve">other </w:t>
      </w:r>
      <w:r>
        <w:rPr>
          <w:rFonts w:eastAsia="Times" w:cs="Calibri"/>
          <w:sz w:val="22"/>
          <w:szCs w:val="22"/>
          <w:lang w:eastAsia="en-GB"/>
        </w:rPr>
        <w:t>innovative financing activities</w:t>
      </w:r>
    </w:p>
    <w:p w14:paraId="44D3B851" w14:textId="4863700A" w:rsidR="00DB4F0C" w:rsidRPr="00DB4F0C" w:rsidRDefault="00DB4F0C" w:rsidP="00DA0337">
      <w:pPr>
        <w:pStyle w:val="ListParagraph"/>
        <w:numPr>
          <w:ilvl w:val="0"/>
          <w:numId w:val="8"/>
        </w:numPr>
        <w:spacing w:line="240" w:lineRule="auto"/>
        <w:rPr>
          <w:rFonts w:eastAsia="Times" w:cs="Calibri"/>
          <w:sz w:val="22"/>
          <w:szCs w:val="22"/>
          <w:lang w:eastAsia="en-GB"/>
        </w:rPr>
      </w:pPr>
      <w:r w:rsidRPr="00DB4F0C">
        <w:rPr>
          <w:rFonts w:eastAsia="Times" w:cs="Calibri"/>
          <w:sz w:val="22"/>
          <w:szCs w:val="22"/>
          <w:lang w:eastAsia="en-GB"/>
        </w:rPr>
        <w:t>Memorandum of Understanding and projections for implementation of the revolving fund</w:t>
      </w:r>
    </w:p>
    <w:p w14:paraId="62906236" w14:textId="2CF73F60" w:rsidR="00DB4F0C" w:rsidRPr="00DB4F0C" w:rsidRDefault="00DB4F0C" w:rsidP="00DA0337">
      <w:pPr>
        <w:pStyle w:val="ListParagraph"/>
        <w:numPr>
          <w:ilvl w:val="0"/>
          <w:numId w:val="8"/>
        </w:numPr>
        <w:spacing w:line="240" w:lineRule="auto"/>
        <w:rPr>
          <w:rFonts w:eastAsia="Times" w:cs="Calibri"/>
          <w:sz w:val="22"/>
          <w:szCs w:val="22"/>
          <w:lang w:eastAsia="en-GB"/>
        </w:rPr>
      </w:pPr>
      <w:r w:rsidRPr="00DB4F0C">
        <w:rPr>
          <w:rFonts w:eastAsia="Times" w:cs="Calibri"/>
          <w:sz w:val="22"/>
          <w:szCs w:val="22"/>
          <w:lang w:eastAsia="en-GB"/>
        </w:rPr>
        <w:t>Terms of reference</w:t>
      </w:r>
      <w:r w:rsidR="007D2C5F">
        <w:rPr>
          <w:rFonts w:eastAsia="Times" w:cs="Calibri"/>
          <w:sz w:val="22"/>
          <w:szCs w:val="22"/>
          <w:lang w:eastAsia="en-GB"/>
        </w:rPr>
        <w:t>, technical specifications</w:t>
      </w:r>
      <w:r w:rsidRPr="00DB4F0C">
        <w:rPr>
          <w:rFonts w:eastAsia="Times" w:cs="Calibri"/>
          <w:sz w:val="22"/>
          <w:szCs w:val="22"/>
          <w:lang w:eastAsia="en-GB"/>
        </w:rPr>
        <w:t xml:space="preserve"> and contracts for the supply of materials for the revolving fund</w:t>
      </w:r>
    </w:p>
    <w:p w14:paraId="7A8DA06F" w14:textId="33E2AD40" w:rsidR="00DB4F0C" w:rsidRPr="00DB4F0C" w:rsidRDefault="00DB4F0C" w:rsidP="00DA0337">
      <w:pPr>
        <w:pStyle w:val="ListParagraph"/>
        <w:numPr>
          <w:ilvl w:val="0"/>
          <w:numId w:val="8"/>
        </w:numPr>
        <w:spacing w:line="240" w:lineRule="auto"/>
        <w:rPr>
          <w:rFonts w:eastAsia="Times" w:cs="Calibri"/>
          <w:sz w:val="22"/>
          <w:szCs w:val="22"/>
          <w:lang w:eastAsia="en-GB"/>
        </w:rPr>
      </w:pPr>
      <w:r w:rsidRPr="00DB4F0C">
        <w:rPr>
          <w:rFonts w:eastAsia="Times" w:cs="Calibri"/>
          <w:sz w:val="22"/>
          <w:szCs w:val="22"/>
          <w:lang w:eastAsia="en-GB"/>
        </w:rPr>
        <w:t>Interim reports/updates on the implementation of the revolving fund</w:t>
      </w:r>
    </w:p>
    <w:p w14:paraId="1A444B33" w14:textId="1A1D3EDA" w:rsidR="00DB4F0C" w:rsidRDefault="00DB4F0C" w:rsidP="00DA0337">
      <w:pPr>
        <w:pStyle w:val="ListParagraph"/>
        <w:numPr>
          <w:ilvl w:val="0"/>
          <w:numId w:val="8"/>
        </w:numPr>
        <w:spacing w:line="240" w:lineRule="auto"/>
        <w:rPr>
          <w:rFonts w:eastAsia="Times" w:cs="Calibri"/>
          <w:sz w:val="22"/>
          <w:szCs w:val="22"/>
          <w:lang w:eastAsia="en-GB"/>
        </w:rPr>
      </w:pPr>
      <w:r w:rsidRPr="00DB4F0C">
        <w:rPr>
          <w:rFonts w:eastAsia="Times" w:cs="Calibri"/>
          <w:sz w:val="22"/>
          <w:szCs w:val="22"/>
          <w:lang w:eastAsia="en-GB"/>
        </w:rPr>
        <w:t>Communication materials developed by the Operator for the implementation of the revolving fund</w:t>
      </w:r>
    </w:p>
    <w:p w14:paraId="6CAE3B6B" w14:textId="60004669" w:rsidR="008A39A0" w:rsidRDefault="008A39A0" w:rsidP="00DA0337">
      <w:pPr>
        <w:pStyle w:val="ListParagraph"/>
        <w:numPr>
          <w:ilvl w:val="0"/>
          <w:numId w:val="8"/>
        </w:numPr>
        <w:spacing w:line="240" w:lineRule="auto"/>
        <w:rPr>
          <w:rFonts w:eastAsia="Times" w:cs="Calibri"/>
          <w:sz w:val="22"/>
          <w:szCs w:val="22"/>
          <w:lang w:eastAsia="en-GB"/>
        </w:rPr>
      </w:pPr>
      <w:r>
        <w:rPr>
          <w:rFonts w:eastAsia="Times" w:cs="Calibri"/>
          <w:sz w:val="22"/>
          <w:szCs w:val="22"/>
          <w:lang w:eastAsia="en-GB"/>
        </w:rPr>
        <w:t>Expansion mapping of the networks in relation to equity concerns</w:t>
      </w:r>
    </w:p>
    <w:p w14:paraId="173AF2F6" w14:textId="6F00F96C" w:rsidR="00D609A3" w:rsidRDefault="00DB4F0C" w:rsidP="00DA0337">
      <w:pPr>
        <w:pStyle w:val="ListParagraph"/>
        <w:numPr>
          <w:ilvl w:val="0"/>
          <w:numId w:val="8"/>
        </w:numPr>
        <w:spacing w:line="240" w:lineRule="auto"/>
        <w:rPr>
          <w:rFonts w:eastAsia="Times" w:cs="Calibri"/>
          <w:sz w:val="22"/>
          <w:szCs w:val="22"/>
          <w:lang w:eastAsia="en-GB"/>
        </w:rPr>
      </w:pPr>
      <w:r>
        <w:rPr>
          <w:rFonts w:eastAsia="Times" w:cs="Calibri"/>
          <w:sz w:val="22"/>
          <w:szCs w:val="22"/>
          <w:lang w:eastAsia="en-GB"/>
        </w:rPr>
        <w:t xml:space="preserve">Financial information on the implementation of the revolving fund, including Operator’s cash-flow, revenue from revolving fund customers, </w:t>
      </w:r>
      <w:r w:rsidR="0019137C">
        <w:rPr>
          <w:rFonts w:eastAsia="Times" w:cs="Calibri"/>
          <w:sz w:val="22"/>
          <w:szCs w:val="22"/>
          <w:lang w:eastAsia="en-GB"/>
        </w:rPr>
        <w:t xml:space="preserve">management of funds, </w:t>
      </w:r>
      <w:r>
        <w:rPr>
          <w:rFonts w:eastAsia="Times" w:cs="Calibri"/>
          <w:sz w:val="22"/>
          <w:szCs w:val="22"/>
          <w:lang w:eastAsia="en-GB"/>
        </w:rPr>
        <w:t>etc.</w:t>
      </w:r>
    </w:p>
    <w:p w14:paraId="0F56B6CA" w14:textId="0778853C" w:rsidR="0019137C" w:rsidRPr="00D609A3" w:rsidRDefault="0019137C" w:rsidP="00DA0337">
      <w:pPr>
        <w:pStyle w:val="ListParagraph"/>
        <w:numPr>
          <w:ilvl w:val="0"/>
          <w:numId w:val="8"/>
        </w:numPr>
        <w:spacing w:line="240" w:lineRule="auto"/>
        <w:rPr>
          <w:rFonts w:eastAsia="Times" w:cs="Calibri"/>
          <w:sz w:val="22"/>
          <w:szCs w:val="22"/>
          <w:lang w:eastAsia="en-GB"/>
        </w:rPr>
      </w:pPr>
      <w:r>
        <w:rPr>
          <w:rFonts w:eastAsia="Times" w:cs="Calibri"/>
          <w:sz w:val="22"/>
          <w:szCs w:val="22"/>
          <w:lang w:eastAsia="en-GB"/>
        </w:rPr>
        <w:t>Management of hardware assets of the fund</w:t>
      </w:r>
    </w:p>
    <w:bookmarkEnd w:id="1"/>
    <w:p w14:paraId="1344C796" w14:textId="008BCCE6" w:rsidR="00DB4F0C" w:rsidRPr="008E6AD1" w:rsidRDefault="00DB4F0C" w:rsidP="00DA0337">
      <w:pPr>
        <w:spacing w:line="240" w:lineRule="auto"/>
        <w:rPr>
          <w:rFonts w:cs="Calibri"/>
          <w:szCs w:val="22"/>
        </w:rPr>
      </w:pPr>
    </w:p>
    <w:p w14:paraId="645A5F37" w14:textId="2AB2B2FB" w:rsidR="008E6AD1" w:rsidRDefault="008E6AD1" w:rsidP="00DA0337">
      <w:pPr>
        <w:spacing w:line="240" w:lineRule="auto"/>
        <w:rPr>
          <w:rFonts w:cs="Calibri"/>
          <w:szCs w:val="22"/>
        </w:rPr>
      </w:pPr>
      <w:r>
        <w:rPr>
          <w:rFonts w:cs="Calibri"/>
          <w:szCs w:val="22"/>
        </w:rPr>
        <w:t xml:space="preserve">The Consultant will also interview key informants to gather information on revolving fund implementation and the impact </w:t>
      </w:r>
      <w:r w:rsidR="003A7776">
        <w:rPr>
          <w:rFonts w:cs="Calibri"/>
          <w:szCs w:val="22"/>
        </w:rPr>
        <w:t xml:space="preserve">on water service access </w:t>
      </w:r>
      <w:r>
        <w:rPr>
          <w:rFonts w:cs="Calibri"/>
          <w:szCs w:val="22"/>
        </w:rPr>
        <w:t>in the targeted areas</w:t>
      </w:r>
      <w:r w:rsidR="003A7776">
        <w:rPr>
          <w:rFonts w:cs="Calibri"/>
          <w:szCs w:val="22"/>
        </w:rPr>
        <w:t xml:space="preserve">.  The consultant will also </w:t>
      </w:r>
      <w:r>
        <w:rPr>
          <w:rFonts w:cs="Calibri"/>
          <w:szCs w:val="22"/>
        </w:rPr>
        <w:t xml:space="preserve">identify perceptions on </w:t>
      </w:r>
      <w:r w:rsidR="003A7776">
        <w:rPr>
          <w:rFonts w:cs="Calibri"/>
          <w:szCs w:val="22"/>
        </w:rPr>
        <w:t xml:space="preserve">the revolving fund </w:t>
      </w:r>
      <w:r>
        <w:rPr>
          <w:rFonts w:cs="Calibri"/>
          <w:szCs w:val="22"/>
        </w:rPr>
        <w:t>implementation and opportunities for potential expansion</w:t>
      </w:r>
      <w:r w:rsidR="003A7776">
        <w:rPr>
          <w:rFonts w:cs="Calibri"/>
          <w:szCs w:val="22"/>
        </w:rPr>
        <w:t>.  Key informants will include</w:t>
      </w:r>
      <w:r>
        <w:rPr>
          <w:rFonts w:cs="Calibri"/>
          <w:szCs w:val="22"/>
        </w:rPr>
        <w:t>:</w:t>
      </w:r>
    </w:p>
    <w:p w14:paraId="7FBCF27C" w14:textId="24890287" w:rsidR="008E6AD1" w:rsidRDefault="00DA0337" w:rsidP="00DA0337">
      <w:pPr>
        <w:pStyle w:val="ListParagraph"/>
        <w:numPr>
          <w:ilvl w:val="0"/>
          <w:numId w:val="8"/>
        </w:numPr>
        <w:spacing w:line="240" w:lineRule="auto"/>
        <w:rPr>
          <w:rFonts w:eastAsia="Times" w:cs="Calibri"/>
          <w:sz w:val="22"/>
          <w:szCs w:val="22"/>
          <w:lang w:val="pt-PT" w:eastAsia="en-GB"/>
        </w:rPr>
      </w:pPr>
      <w:r w:rsidRPr="008E6AD1">
        <w:rPr>
          <w:rFonts w:eastAsia="Times" w:cs="Calibri"/>
          <w:sz w:val="22"/>
          <w:szCs w:val="22"/>
          <w:lang w:val="pt-PT" w:eastAsia="en-GB"/>
        </w:rPr>
        <w:t>Direção</w:t>
      </w:r>
      <w:r w:rsidR="008E6AD1" w:rsidRPr="008E6AD1">
        <w:rPr>
          <w:rFonts w:eastAsia="Times" w:cs="Calibri"/>
          <w:sz w:val="22"/>
          <w:szCs w:val="22"/>
          <w:lang w:val="pt-PT" w:eastAsia="en-GB"/>
        </w:rPr>
        <w:t xml:space="preserve"> Nacional de Abastecimento de Agua e Saneamento </w:t>
      </w:r>
      <w:r w:rsidR="008E6AD1">
        <w:rPr>
          <w:rFonts w:eastAsia="Times" w:cs="Calibri"/>
          <w:sz w:val="22"/>
          <w:szCs w:val="22"/>
          <w:lang w:val="pt-PT" w:eastAsia="en-GB"/>
        </w:rPr>
        <w:t>(DNAAS)</w:t>
      </w:r>
    </w:p>
    <w:p w14:paraId="750559DD" w14:textId="3732C97D" w:rsidR="008E6AD1" w:rsidRDefault="008E6AD1" w:rsidP="00DA0337">
      <w:pPr>
        <w:pStyle w:val="ListParagraph"/>
        <w:numPr>
          <w:ilvl w:val="0"/>
          <w:numId w:val="8"/>
        </w:numPr>
        <w:spacing w:line="240" w:lineRule="auto"/>
        <w:rPr>
          <w:rFonts w:eastAsia="Times" w:cs="Calibri"/>
          <w:sz w:val="22"/>
          <w:szCs w:val="22"/>
          <w:lang w:val="en-US" w:eastAsia="en-GB"/>
        </w:rPr>
      </w:pPr>
      <w:r>
        <w:rPr>
          <w:rFonts w:eastAsia="Times" w:cs="Calibri"/>
          <w:sz w:val="22"/>
          <w:szCs w:val="22"/>
          <w:lang w:val="pt-PT" w:eastAsia="en-GB"/>
        </w:rPr>
        <w:t xml:space="preserve">Autoridade Reguladora de Agua (AURA, ex. </w:t>
      </w:r>
      <w:r w:rsidRPr="008E6AD1">
        <w:rPr>
          <w:rFonts w:eastAsia="Times" w:cs="Calibri"/>
          <w:sz w:val="22"/>
          <w:szCs w:val="22"/>
          <w:lang w:val="en-US" w:eastAsia="en-GB"/>
        </w:rPr>
        <w:t>CRA) at national and provin</w:t>
      </w:r>
      <w:r>
        <w:rPr>
          <w:rFonts w:eastAsia="Times" w:cs="Calibri"/>
          <w:sz w:val="22"/>
          <w:szCs w:val="22"/>
          <w:lang w:val="en-US" w:eastAsia="en-GB"/>
        </w:rPr>
        <w:t>cial level</w:t>
      </w:r>
    </w:p>
    <w:p w14:paraId="7FA4DDDE" w14:textId="32688F16" w:rsidR="008E6AD1" w:rsidRDefault="008E6AD1" w:rsidP="00DA0337">
      <w:pPr>
        <w:pStyle w:val="ListParagraph"/>
        <w:numPr>
          <w:ilvl w:val="0"/>
          <w:numId w:val="8"/>
        </w:numPr>
        <w:spacing w:line="240" w:lineRule="auto"/>
        <w:rPr>
          <w:rFonts w:eastAsia="Times" w:cs="Calibri"/>
          <w:sz w:val="22"/>
          <w:szCs w:val="22"/>
          <w:lang w:val="en-US" w:eastAsia="en-GB"/>
        </w:rPr>
      </w:pPr>
      <w:proofErr w:type="spellStart"/>
      <w:r>
        <w:rPr>
          <w:rFonts w:eastAsia="Times" w:cs="Calibri"/>
          <w:sz w:val="22"/>
          <w:szCs w:val="22"/>
          <w:lang w:val="en-US" w:eastAsia="en-GB"/>
        </w:rPr>
        <w:t>Vitens</w:t>
      </w:r>
      <w:proofErr w:type="spellEnd"/>
      <w:r>
        <w:rPr>
          <w:rFonts w:eastAsia="Times" w:cs="Calibri"/>
          <w:sz w:val="22"/>
          <w:szCs w:val="22"/>
          <w:lang w:val="en-US" w:eastAsia="en-GB"/>
        </w:rPr>
        <w:t xml:space="preserve"> </w:t>
      </w:r>
      <w:proofErr w:type="spellStart"/>
      <w:r>
        <w:rPr>
          <w:rFonts w:eastAsia="Times" w:cs="Calibri"/>
          <w:sz w:val="22"/>
          <w:szCs w:val="22"/>
          <w:lang w:val="en-US" w:eastAsia="en-GB"/>
        </w:rPr>
        <w:t>Evidens</w:t>
      </w:r>
      <w:proofErr w:type="spellEnd"/>
      <w:r>
        <w:rPr>
          <w:rFonts w:eastAsia="Times" w:cs="Calibri"/>
          <w:sz w:val="22"/>
          <w:szCs w:val="22"/>
          <w:lang w:val="en-US" w:eastAsia="en-GB"/>
        </w:rPr>
        <w:t xml:space="preserve"> (PO35 implementation team)</w:t>
      </w:r>
    </w:p>
    <w:p w14:paraId="3E4CB6E9" w14:textId="70460E30" w:rsidR="008E6AD1" w:rsidRDefault="00DA0337" w:rsidP="00DA0337">
      <w:pPr>
        <w:pStyle w:val="ListParagraph"/>
        <w:numPr>
          <w:ilvl w:val="0"/>
          <w:numId w:val="8"/>
        </w:numPr>
        <w:spacing w:line="240" w:lineRule="auto"/>
        <w:rPr>
          <w:rFonts w:eastAsia="Times" w:cs="Calibri"/>
          <w:sz w:val="22"/>
          <w:szCs w:val="22"/>
          <w:lang w:val="pt-PT" w:eastAsia="en-GB"/>
        </w:rPr>
      </w:pPr>
      <w:r>
        <w:rPr>
          <w:rFonts w:eastAsia="Times" w:cs="Calibri"/>
          <w:sz w:val="22"/>
          <w:szCs w:val="22"/>
          <w:lang w:val="pt-PT" w:eastAsia="en-GB"/>
        </w:rPr>
        <w:t>Direção</w:t>
      </w:r>
      <w:r w:rsidR="008E6AD1">
        <w:rPr>
          <w:rFonts w:eastAsia="Times" w:cs="Calibri"/>
          <w:sz w:val="22"/>
          <w:szCs w:val="22"/>
          <w:lang w:val="pt-PT" w:eastAsia="en-GB"/>
        </w:rPr>
        <w:t xml:space="preserve"> Provincial das Obras Publicas de Inhambane (DPOPHRH Inhambane)</w:t>
      </w:r>
    </w:p>
    <w:p w14:paraId="212D1A1C" w14:textId="4A9B476A" w:rsidR="008E6AD1" w:rsidRDefault="00DA0337" w:rsidP="00DA0337">
      <w:pPr>
        <w:pStyle w:val="ListParagraph"/>
        <w:numPr>
          <w:ilvl w:val="0"/>
          <w:numId w:val="8"/>
        </w:numPr>
        <w:spacing w:line="240" w:lineRule="auto"/>
        <w:rPr>
          <w:rFonts w:eastAsia="Times" w:cs="Calibri"/>
          <w:sz w:val="22"/>
          <w:szCs w:val="22"/>
          <w:lang w:val="pt-PT" w:eastAsia="en-GB"/>
        </w:rPr>
      </w:pPr>
      <w:r>
        <w:rPr>
          <w:rFonts w:eastAsia="Times" w:cs="Calibri"/>
          <w:sz w:val="22"/>
          <w:szCs w:val="22"/>
          <w:lang w:val="pt-PT" w:eastAsia="en-GB"/>
        </w:rPr>
        <w:t>Serviços</w:t>
      </w:r>
      <w:r w:rsidR="008E6AD1">
        <w:rPr>
          <w:rFonts w:eastAsia="Times" w:cs="Calibri"/>
          <w:sz w:val="22"/>
          <w:szCs w:val="22"/>
          <w:lang w:val="pt-PT" w:eastAsia="en-GB"/>
        </w:rPr>
        <w:t xml:space="preserve"> </w:t>
      </w:r>
      <w:r>
        <w:rPr>
          <w:rFonts w:eastAsia="Times" w:cs="Calibri"/>
          <w:sz w:val="22"/>
          <w:szCs w:val="22"/>
          <w:lang w:val="pt-PT" w:eastAsia="en-GB"/>
        </w:rPr>
        <w:t>Distritais</w:t>
      </w:r>
      <w:r w:rsidR="008E6AD1">
        <w:rPr>
          <w:rFonts w:eastAsia="Times" w:cs="Calibri"/>
          <w:sz w:val="22"/>
          <w:szCs w:val="22"/>
          <w:lang w:val="pt-PT" w:eastAsia="en-GB"/>
        </w:rPr>
        <w:t xml:space="preserve"> de </w:t>
      </w:r>
      <w:r>
        <w:rPr>
          <w:rFonts w:eastAsia="Times" w:cs="Calibri"/>
          <w:sz w:val="22"/>
          <w:szCs w:val="22"/>
          <w:lang w:val="pt-PT" w:eastAsia="en-GB"/>
        </w:rPr>
        <w:t>Planificação</w:t>
      </w:r>
      <w:r w:rsidR="008E6AD1">
        <w:rPr>
          <w:rFonts w:eastAsia="Times" w:cs="Calibri"/>
          <w:sz w:val="22"/>
          <w:szCs w:val="22"/>
          <w:lang w:val="pt-PT" w:eastAsia="en-GB"/>
        </w:rPr>
        <w:t xml:space="preserve"> de </w:t>
      </w:r>
      <w:r>
        <w:rPr>
          <w:rFonts w:eastAsia="Times" w:cs="Calibri"/>
          <w:sz w:val="22"/>
          <w:szCs w:val="22"/>
          <w:lang w:val="pt-PT" w:eastAsia="en-GB"/>
        </w:rPr>
        <w:t>Infraestruturas</w:t>
      </w:r>
      <w:r w:rsidR="008E6AD1">
        <w:rPr>
          <w:rFonts w:eastAsia="Times" w:cs="Calibri"/>
          <w:sz w:val="22"/>
          <w:szCs w:val="22"/>
          <w:lang w:val="pt-PT" w:eastAsia="en-GB"/>
        </w:rPr>
        <w:t xml:space="preserve"> (SDPI </w:t>
      </w:r>
      <w:proofErr w:type="spellStart"/>
      <w:r w:rsidR="008E6AD1">
        <w:rPr>
          <w:rFonts w:eastAsia="Times" w:cs="Calibri"/>
          <w:sz w:val="22"/>
          <w:szCs w:val="22"/>
          <w:lang w:val="pt-PT" w:eastAsia="en-GB"/>
        </w:rPr>
        <w:t>Jangamo</w:t>
      </w:r>
      <w:proofErr w:type="spellEnd"/>
      <w:r w:rsidR="008E6AD1">
        <w:rPr>
          <w:rFonts w:eastAsia="Times" w:cs="Calibri"/>
          <w:sz w:val="22"/>
          <w:szCs w:val="22"/>
          <w:lang w:val="pt-PT" w:eastAsia="en-GB"/>
        </w:rPr>
        <w:t xml:space="preserve">, Morrumbene </w:t>
      </w:r>
      <w:proofErr w:type="spellStart"/>
      <w:r w:rsidR="008E6AD1">
        <w:rPr>
          <w:rFonts w:eastAsia="Times" w:cs="Calibri"/>
          <w:sz w:val="22"/>
          <w:szCs w:val="22"/>
          <w:lang w:val="pt-PT" w:eastAsia="en-GB"/>
        </w:rPr>
        <w:t>and</w:t>
      </w:r>
      <w:proofErr w:type="spellEnd"/>
      <w:r w:rsidR="008E6AD1">
        <w:rPr>
          <w:rFonts w:eastAsia="Times" w:cs="Calibri"/>
          <w:sz w:val="22"/>
          <w:szCs w:val="22"/>
          <w:lang w:val="pt-PT" w:eastAsia="en-GB"/>
        </w:rPr>
        <w:t xml:space="preserve"> </w:t>
      </w:r>
      <w:proofErr w:type="spellStart"/>
      <w:r w:rsidR="008E6AD1">
        <w:rPr>
          <w:rFonts w:eastAsia="Times" w:cs="Calibri"/>
          <w:sz w:val="22"/>
          <w:szCs w:val="22"/>
          <w:lang w:val="pt-PT" w:eastAsia="en-GB"/>
        </w:rPr>
        <w:t>Homoine</w:t>
      </w:r>
      <w:proofErr w:type="spellEnd"/>
      <w:r w:rsidR="008E6AD1">
        <w:rPr>
          <w:rFonts w:eastAsia="Times" w:cs="Calibri"/>
          <w:sz w:val="22"/>
          <w:szCs w:val="22"/>
          <w:lang w:val="pt-PT" w:eastAsia="en-GB"/>
        </w:rPr>
        <w:t>)</w:t>
      </w:r>
    </w:p>
    <w:p w14:paraId="7584FF94" w14:textId="420F90A3" w:rsidR="008E6AD1" w:rsidRDefault="008E6AD1" w:rsidP="00DA0337">
      <w:pPr>
        <w:pStyle w:val="ListParagraph"/>
        <w:numPr>
          <w:ilvl w:val="0"/>
          <w:numId w:val="8"/>
        </w:numPr>
        <w:spacing w:line="240" w:lineRule="auto"/>
        <w:rPr>
          <w:rFonts w:eastAsia="Times" w:cs="Calibri"/>
          <w:sz w:val="22"/>
          <w:szCs w:val="22"/>
          <w:lang w:val="pt-PT" w:eastAsia="en-GB"/>
        </w:rPr>
      </w:pPr>
      <w:r w:rsidRPr="008E6AD1">
        <w:rPr>
          <w:rFonts w:eastAsia="Times" w:cs="Calibri"/>
          <w:sz w:val="22"/>
          <w:szCs w:val="22"/>
          <w:lang w:val="pt-PT" w:eastAsia="en-GB"/>
        </w:rPr>
        <w:t>Fundo de Investimento e Património do Abastecimento de Água</w:t>
      </w:r>
      <w:r>
        <w:rPr>
          <w:rFonts w:eastAsia="Times" w:cs="Calibri"/>
          <w:sz w:val="22"/>
          <w:szCs w:val="22"/>
          <w:lang w:val="pt-PT" w:eastAsia="en-GB"/>
        </w:rPr>
        <w:t xml:space="preserve"> (FIPAG)</w:t>
      </w:r>
    </w:p>
    <w:p w14:paraId="45ADE92C" w14:textId="6A2CA2F7" w:rsidR="008E6AD1" w:rsidRPr="008E6AD1" w:rsidRDefault="008E6AD1" w:rsidP="00DA0337">
      <w:pPr>
        <w:pStyle w:val="ListParagraph"/>
        <w:numPr>
          <w:ilvl w:val="0"/>
          <w:numId w:val="8"/>
        </w:numPr>
        <w:spacing w:line="240" w:lineRule="auto"/>
        <w:rPr>
          <w:rFonts w:eastAsia="Times" w:cs="Calibri"/>
          <w:sz w:val="22"/>
          <w:szCs w:val="22"/>
          <w:lang w:val="en-US" w:eastAsia="en-GB"/>
        </w:rPr>
      </w:pPr>
      <w:r w:rsidRPr="008E6AD1">
        <w:rPr>
          <w:rFonts w:eastAsia="Times" w:cs="Calibri"/>
          <w:sz w:val="22"/>
          <w:szCs w:val="22"/>
          <w:lang w:val="en-US" w:eastAsia="en-GB"/>
        </w:rPr>
        <w:t xml:space="preserve">Other donors supporting Water Supply </w:t>
      </w:r>
      <w:r>
        <w:rPr>
          <w:rFonts w:eastAsia="Times" w:cs="Calibri"/>
          <w:sz w:val="22"/>
          <w:szCs w:val="22"/>
          <w:lang w:val="en-US" w:eastAsia="en-GB"/>
        </w:rPr>
        <w:t>systems in Mozambique (urban, small towns and rural)</w:t>
      </w:r>
    </w:p>
    <w:p w14:paraId="585D6C04" w14:textId="4D74D132" w:rsidR="008E6AD1" w:rsidRPr="008E6AD1" w:rsidRDefault="008E6AD1" w:rsidP="00DA0337">
      <w:pPr>
        <w:pStyle w:val="ListParagraph"/>
        <w:numPr>
          <w:ilvl w:val="0"/>
          <w:numId w:val="8"/>
        </w:numPr>
        <w:spacing w:line="240" w:lineRule="auto"/>
        <w:rPr>
          <w:rFonts w:eastAsia="Times" w:cs="Calibri"/>
          <w:sz w:val="22"/>
          <w:szCs w:val="22"/>
          <w:lang w:val="en-US" w:eastAsia="en-GB"/>
        </w:rPr>
      </w:pPr>
      <w:r w:rsidRPr="008E6AD1">
        <w:rPr>
          <w:rFonts w:eastAsia="Times" w:cs="Calibri"/>
          <w:sz w:val="22"/>
          <w:szCs w:val="22"/>
          <w:lang w:val="en-US" w:eastAsia="en-GB"/>
        </w:rPr>
        <w:t>Other Operators of Water Supply syste</w:t>
      </w:r>
      <w:r>
        <w:rPr>
          <w:rFonts w:eastAsia="Times" w:cs="Calibri"/>
          <w:sz w:val="22"/>
          <w:szCs w:val="22"/>
          <w:lang w:val="en-US" w:eastAsia="en-GB"/>
        </w:rPr>
        <w:t>ms</w:t>
      </w:r>
      <w:r w:rsidR="00DA0337">
        <w:rPr>
          <w:rFonts w:eastAsia="Times" w:cs="Calibri"/>
          <w:sz w:val="22"/>
          <w:szCs w:val="22"/>
          <w:lang w:val="en-US" w:eastAsia="en-GB"/>
        </w:rPr>
        <w:t xml:space="preserve"> </w:t>
      </w:r>
      <w:proofErr w:type="gramStart"/>
      <w:r w:rsidR="00DA0337">
        <w:rPr>
          <w:rFonts w:eastAsia="Times" w:cs="Calibri"/>
          <w:sz w:val="22"/>
          <w:szCs w:val="22"/>
          <w:lang w:val="en-US" w:eastAsia="en-GB"/>
        </w:rPr>
        <w:t>similar to</w:t>
      </w:r>
      <w:proofErr w:type="gramEnd"/>
      <w:r w:rsidR="00DA0337">
        <w:rPr>
          <w:rFonts w:eastAsia="Times" w:cs="Calibri"/>
          <w:sz w:val="22"/>
          <w:szCs w:val="22"/>
          <w:lang w:val="en-US" w:eastAsia="en-GB"/>
        </w:rPr>
        <w:t xml:space="preserve"> the ones where the indicated revolving fund is being implemented</w:t>
      </w:r>
    </w:p>
    <w:p w14:paraId="068A188A" w14:textId="7ADC2538" w:rsidR="008E6AD1" w:rsidRPr="008E6AD1" w:rsidRDefault="008E6AD1" w:rsidP="00DA0337">
      <w:pPr>
        <w:spacing w:line="240" w:lineRule="auto"/>
        <w:rPr>
          <w:rFonts w:cs="Calibri"/>
          <w:szCs w:val="22"/>
        </w:rPr>
      </w:pPr>
    </w:p>
    <w:p w14:paraId="6A8CD34C" w14:textId="162806CD" w:rsidR="008E6AD1" w:rsidRDefault="003A7776" w:rsidP="00DA0337">
      <w:pPr>
        <w:spacing w:line="240" w:lineRule="auto"/>
        <w:rPr>
          <w:rFonts w:cs="Calibri"/>
          <w:szCs w:val="22"/>
        </w:rPr>
      </w:pPr>
      <w:r>
        <w:rPr>
          <w:rFonts w:cs="Calibri"/>
          <w:szCs w:val="22"/>
        </w:rPr>
        <w:t xml:space="preserve">In addition to </w:t>
      </w:r>
      <w:r w:rsidR="008E6AD1">
        <w:rPr>
          <w:rFonts w:cs="Calibri"/>
          <w:szCs w:val="22"/>
        </w:rPr>
        <w:t>the documentation of the existing revolving fund</w:t>
      </w:r>
      <w:r w:rsidR="00D609A3">
        <w:rPr>
          <w:rFonts w:cs="Calibri"/>
          <w:szCs w:val="22"/>
        </w:rPr>
        <w:t xml:space="preserve"> and </w:t>
      </w:r>
      <w:r w:rsidR="008E6AD1">
        <w:rPr>
          <w:rFonts w:cs="Calibri"/>
          <w:szCs w:val="22"/>
        </w:rPr>
        <w:t>analysis of its implementation modalities, the Consultant is expected to provide</w:t>
      </w:r>
      <w:r>
        <w:rPr>
          <w:rFonts w:cs="Calibri"/>
          <w:szCs w:val="22"/>
        </w:rPr>
        <w:t>:</w:t>
      </w:r>
      <w:r w:rsidR="008E6AD1">
        <w:rPr>
          <w:rFonts w:cs="Calibri"/>
          <w:szCs w:val="22"/>
        </w:rPr>
        <w:t xml:space="preserve"> </w:t>
      </w:r>
      <w:r>
        <w:rPr>
          <w:rFonts w:cs="Calibri"/>
          <w:szCs w:val="22"/>
        </w:rPr>
        <w:t>guidance on</w:t>
      </w:r>
      <w:r w:rsidR="008E6AD1">
        <w:rPr>
          <w:rFonts w:cs="Calibri"/>
          <w:szCs w:val="22"/>
        </w:rPr>
        <w:t>:</w:t>
      </w:r>
    </w:p>
    <w:p w14:paraId="60DDD3FB" w14:textId="591840E9" w:rsidR="008E6AD1" w:rsidRDefault="003A7776" w:rsidP="00DA0337">
      <w:pPr>
        <w:pStyle w:val="ListParagraph"/>
        <w:numPr>
          <w:ilvl w:val="0"/>
          <w:numId w:val="8"/>
        </w:numPr>
        <w:spacing w:line="240" w:lineRule="auto"/>
        <w:rPr>
          <w:rFonts w:eastAsia="Times" w:cs="Calibri"/>
          <w:sz w:val="22"/>
          <w:szCs w:val="22"/>
          <w:lang w:val="en-US" w:eastAsia="en-GB"/>
        </w:rPr>
      </w:pPr>
      <w:r>
        <w:rPr>
          <w:rFonts w:eastAsia="Times" w:cs="Calibri"/>
          <w:sz w:val="22"/>
          <w:szCs w:val="22"/>
          <w:lang w:val="en-US" w:eastAsia="en-GB"/>
        </w:rPr>
        <w:t>Recommendations on s</w:t>
      </w:r>
      <w:r w:rsidR="00D609A3" w:rsidRPr="00D609A3">
        <w:rPr>
          <w:rFonts w:eastAsia="Times" w:cs="Calibri"/>
          <w:sz w:val="22"/>
          <w:szCs w:val="22"/>
          <w:lang w:val="en-US" w:eastAsia="en-GB"/>
        </w:rPr>
        <w:t>trengthening</w:t>
      </w:r>
      <w:r w:rsidR="008E6AD1" w:rsidRPr="00D609A3">
        <w:rPr>
          <w:rFonts w:eastAsia="Times" w:cs="Calibri"/>
          <w:sz w:val="22"/>
          <w:szCs w:val="22"/>
          <w:lang w:val="en-US" w:eastAsia="en-GB"/>
        </w:rPr>
        <w:t xml:space="preserve"> the implementation of the </w:t>
      </w:r>
      <w:r w:rsidR="00D609A3">
        <w:rPr>
          <w:rFonts w:eastAsia="Times" w:cs="Calibri"/>
          <w:sz w:val="22"/>
          <w:szCs w:val="22"/>
          <w:lang w:val="en-US" w:eastAsia="en-GB"/>
        </w:rPr>
        <w:t xml:space="preserve">current </w:t>
      </w:r>
      <w:r w:rsidR="008E6AD1" w:rsidRPr="00D609A3">
        <w:rPr>
          <w:rFonts w:eastAsia="Times" w:cs="Calibri"/>
          <w:sz w:val="22"/>
          <w:szCs w:val="22"/>
          <w:lang w:val="en-US" w:eastAsia="en-GB"/>
        </w:rPr>
        <w:t xml:space="preserve">revolving fund in the selected </w:t>
      </w:r>
      <w:r w:rsidR="00D609A3" w:rsidRPr="00D609A3">
        <w:rPr>
          <w:rFonts w:eastAsia="Times" w:cs="Calibri"/>
          <w:sz w:val="22"/>
          <w:szCs w:val="22"/>
          <w:lang w:val="en-US" w:eastAsia="en-GB"/>
        </w:rPr>
        <w:t>district capitals</w:t>
      </w:r>
    </w:p>
    <w:p w14:paraId="5412A461" w14:textId="387414D7" w:rsidR="00D609A3" w:rsidRDefault="003A7776" w:rsidP="00DA0337">
      <w:pPr>
        <w:pStyle w:val="ListParagraph"/>
        <w:numPr>
          <w:ilvl w:val="0"/>
          <w:numId w:val="8"/>
        </w:numPr>
        <w:spacing w:line="240" w:lineRule="auto"/>
        <w:rPr>
          <w:rFonts w:eastAsia="Times" w:cs="Calibri"/>
          <w:sz w:val="22"/>
          <w:szCs w:val="22"/>
          <w:lang w:val="en-US" w:eastAsia="en-GB"/>
        </w:rPr>
      </w:pPr>
      <w:r>
        <w:rPr>
          <w:rFonts w:eastAsia="Times" w:cs="Calibri"/>
          <w:sz w:val="22"/>
          <w:szCs w:val="22"/>
          <w:lang w:val="en-US" w:eastAsia="en-GB"/>
        </w:rPr>
        <w:t>Identification of</w:t>
      </w:r>
      <w:r w:rsidR="00D609A3">
        <w:rPr>
          <w:rFonts w:eastAsia="Times" w:cs="Calibri"/>
          <w:sz w:val="22"/>
          <w:szCs w:val="22"/>
          <w:lang w:val="en-US" w:eastAsia="en-GB"/>
        </w:rPr>
        <w:t xml:space="preserve"> key elements necessary for the replication of </w:t>
      </w:r>
      <w:r>
        <w:rPr>
          <w:rFonts w:eastAsia="Times" w:cs="Calibri"/>
          <w:sz w:val="22"/>
          <w:szCs w:val="22"/>
          <w:lang w:val="en-US" w:eastAsia="en-GB"/>
        </w:rPr>
        <w:t xml:space="preserve">the </w:t>
      </w:r>
      <w:r w:rsidR="00D609A3">
        <w:rPr>
          <w:rFonts w:eastAsia="Times" w:cs="Calibri"/>
          <w:sz w:val="22"/>
          <w:szCs w:val="22"/>
          <w:lang w:val="en-US" w:eastAsia="en-GB"/>
        </w:rPr>
        <w:t>model under similar conditions as well as in other less complex systems covering rural settlements</w:t>
      </w:r>
    </w:p>
    <w:p w14:paraId="7EFE0043" w14:textId="5850575E" w:rsidR="00D609A3" w:rsidRDefault="00D609A3" w:rsidP="00DA0337">
      <w:pPr>
        <w:pStyle w:val="ListParagraph"/>
        <w:numPr>
          <w:ilvl w:val="0"/>
          <w:numId w:val="8"/>
        </w:numPr>
        <w:spacing w:line="240" w:lineRule="auto"/>
        <w:rPr>
          <w:rFonts w:eastAsia="Times" w:cs="Calibri"/>
          <w:sz w:val="22"/>
          <w:szCs w:val="22"/>
          <w:lang w:val="en-US" w:eastAsia="en-GB"/>
        </w:rPr>
      </w:pPr>
      <w:r>
        <w:rPr>
          <w:rFonts w:eastAsia="Times" w:cs="Calibri"/>
          <w:sz w:val="22"/>
          <w:szCs w:val="22"/>
          <w:lang w:val="en-US" w:eastAsia="en-GB"/>
        </w:rPr>
        <w:t xml:space="preserve">Specific considerations for operation, management and regulation of </w:t>
      </w:r>
      <w:r w:rsidR="00DA0337">
        <w:rPr>
          <w:rFonts w:eastAsia="Times" w:cs="Calibri"/>
          <w:sz w:val="22"/>
          <w:szCs w:val="22"/>
          <w:lang w:val="en-US" w:eastAsia="en-GB"/>
        </w:rPr>
        <w:t>revolving fund for household connections</w:t>
      </w:r>
    </w:p>
    <w:p w14:paraId="248FA8D4" w14:textId="28368F49" w:rsidR="00D477C4" w:rsidRDefault="00D477C4" w:rsidP="00D477C4">
      <w:pPr>
        <w:spacing w:line="240" w:lineRule="auto"/>
        <w:rPr>
          <w:rFonts w:cs="Calibri"/>
          <w:szCs w:val="22"/>
        </w:rPr>
      </w:pPr>
    </w:p>
    <w:p w14:paraId="50239F63" w14:textId="05238DCF" w:rsidR="00D477C4" w:rsidRPr="00D477C4" w:rsidRDefault="00D477C4" w:rsidP="00D477C4">
      <w:pPr>
        <w:spacing w:line="240" w:lineRule="auto"/>
        <w:rPr>
          <w:rFonts w:cs="Calibri"/>
          <w:szCs w:val="22"/>
        </w:rPr>
      </w:pPr>
      <w:r>
        <w:rPr>
          <w:rFonts w:cs="Calibri"/>
          <w:szCs w:val="22"/>
        </w:rPr>
        <w:t xml:space="preserve">The Consultant will work under the Supervision of </w:t>
      </w:r>
      <w:proofErr w:type="gramStart"/>
      <w:r>
        <w:rPr>
          <w:rFonts w:cs="Calibri"/>
          <w:szCs w:val="22"/>
        </w:rPr>
        <w:t>UNICEF</w:t>
      </w:r>
      <w:r w:rsidR="003A7776">
        <w:rPr>
          <w:rFonts w:cs="Calibri"/>
          <w:szCs w:val="22"/>
        </w:rPr>
        <w:t>,</w:t>
      </w:r>
      <w:proofErr w:type="gramEnd"/>
      <w:r>
        <w:rPr>
          <w:rFonts w:cs="Calibri"/>
          <w:szCs w:val="22"/>
        </w:rPr>
        <w:t xml:space="preserve"> however, the review and validation of the final reports will be made through consultation with a reference group composed of AIAS, UNICEF and CRA.</w:t>
      </w:r>
    </w:p>
    <w:p w14:paraId="5461136D" w14:textId="59C9B05D" w:rsidR="00187F43" w:rsidRDefault="00187F43" w:rsidP="00DA0337">
      <w:pPr>
        <w:spacing w:line="240" w:lineRule="auto"/>
        <w:contextualSpacing/>
        <w:rPr>
          <w:rFonts w:cs="Calibri"/>
          <w:color w:val="auto"/>
          <w:szCs w:val="22"/>
          <w:lang w:val="en-GB"/>
        </w:rPr>
      </w:pPr>
    </w:p>
    <w:p w14:paraId="31FEAB2C" w14:textId="4026A17A" w:rsidR="002945C8" w:rsidRPr="00714B3C" w:rsidRDefault="002945C8" w:rsidP="00DA0337">
      <w:pPr>
        <w:spacing w:line="240" w:lineRule="auto"/>
        <w:contextualSpacing/>
        <w:rPr>
          <w:rFonts w:cs="Calibri"/>
          <w:color w:val="FF6600"/>
          <w:sz w:val="24"/>
          <w:szCs w:val="22"/>
          <w:lang w:val="en-GB"/>
        </w:rPr>
      </w:pPr>
      <w:r w:rsidRPr="00714B3C">
        <w:rPr>
          <w:rFonts w:cs="Calibri"/>
          <w:b/>
          <w:color w:val="FF6600"/>
          <w:sz w:val="24"/>
          <w:szCs w:val="22"/>
          <w:lang w:val="en-GB"/>
        </w:rPr>
        <w:t>ACTIVITIES AND TASKS.</w:t>
      </w:r>
    </w:p>
    <w:p w14:paraId="7CE6A52A" w14:textId="77777777" w:rsidR="002945C8" w:rsidRPr="00714B3C" w:rsidRDefault="002945C8" w:rsidP="00DA0337">
      <w:pPr>
        <w:spacing w:line="240" w:lineRule="auto"/>
        <w:contextualSpacing/>
        <w:rPr>
          <w:rFonts w:cs="Calibri"/>
          <w:color w:val="auto"/>
          <w:szCs w:val="22"/>
          <w:lang w:val="en-GB"/>
        </w:rPr>
      </w:pPr>
    </w:p>
    <w:p w14:paraId="1FA37793" w14:textId="1938FCA2" w:rsidR="0086491F" w:rsidRDefault="00187F43" w:rsidP="00DA0337">
      <w:pPr>
        <w:spacing w:line="240" w:lineRule="auto"/>
        <w:contextualSpacing/>
        <w:rPr>
          <w:rFonts w:cs="Calibri"/>
          <w:color w:val="auto"/>
          <w:szCs w:val="22"/>
          <w:lang w:val="en-GB"/>
        </w:rPr>
      </w:pPr>
      <w:r w:rsidRPr="0086491F">
        <w:rPr>
          <w:rFonts w:cs="Calibri"/>
          <w:color w:val="auto"/>
          <w:szCs w:val="22"/>
          <w:lang w:val="en-GB"/>
        </w:rPr>
        <w:t>The following activities and tasks are to be completed</w:t>
      </w:r>
      <w:r w:rsidR="00BE5375">
        <w:rPr>
          <w:rFonts w:cs="Calibri"/>
          <w:color w:val="auto"/>
          <w:szCs w:val="22"/>
          <w:lang w:val="en-GB"/>
        </w:rPr>
        <w:t xml:space="preserve"> as part of the consultancy</w:t>
      </w:r>
      <w:r w:rsidR="0086491F">
        <w:rPr>
          <w:rFonts w:cs="Calibri"/>
          <w:color w:val="auto"/>
          <w:szCs w:val="22"/>
          <w:lang w:val="en-GB"/>
        </w:rPr>
        <w:t>:</w:t>
      </w:r>
    </w:p>
    <w:p w14:paraId="5FD6A844" w14:textId="77777777" w:rsidR="0086491F" w:rsidRPr="0086491F" w:rsidRDefault="0086491F" w:rsidP="00DA0337">
      <w:pPr>
        <w:spacing w:line="240" w:lineRule="auto"/>
        <w:contextualSpacing/>
        <w:rPr>
          <w:rFonts w:cs="Calibri"/>
          <w:color w:val="auto"/>
          <w:szCs w:val="22"/>
          <w:lang w:val="en-GB"/>
        </w:rPr>
      </w:pPr>
    </w:p>
    <w:p w14:paraId="44AE017E" w14:textId="1FF03155" w:rsidR="00DA0337" w:rsidRPr="00A83C5D" w:rsidRDefault="00A83C5D" w:rsidP="00A83C5D">
      <w:pPr>
        <w:spacing w:line="240" w:lineRule="auto"/>
        <w:rPr>
          <w:rFonts w:cs="Calibri"/>
          <w:szCs w:val="22"/>
        </w:rPr>
      </w:pPr>
      <w:r w:rsidRPr="00A83C5D">
        <w:rPr>
          <w:rFonts w:cs="Calibri"/>
          <w:b/>
          <w:szCs w:val="22"/>
          <w:u w:val="single"/>
          <w:lang w:val="en-GB"/>
        </w:rPr>
        <w:t>ACTIVITY 1:</w:t>
      </w:r>
      <w:r>
        <w:rPr>
          <w:rFonts w:cs="Calibri"/>
          <w:szCs w:val="22"/>
          <w:lang w:val="en-GB"/>
        </w:rPr>
        <w:t xml:space="preserve"> </w:t>
      </w:r>
      <w:r w:rsidRPr="00A83C5D">
        <w:rPr>
          <w:rFonts w:cs="Calibri"/>
          <w:b/>
          <w:szCs w:val="22"/>
          <w:lang w:val="en-GB"/>
        </w:rPr>
        <w:t>Preparatory process, d</w:t>
      </w:r>
      <w:proofErr w:type="spellStart"/>
      <w:r w:rsidR="00DA0337" w:rsidRPr="00A83C5D">
        <w:rPr>
          <w:rFonts w:cs="Calibri"/>
          <w:b/>
          <w:szCs w:val="22"/>
        </w:rPr>
        <w:t>esk</w:t>
      </w:r>
      <w:proofErr w:type="spellEnd"/>
      <w:r w:rsidR="00DA0337" w:rsidRPr="00A83C5D">
        <w:rPr>
          <w:rFonts w:cs="Calibri"/>
          <w:b/>
          <w:szCs w:val="22"/>
        </w:rPr>
        <w:t xml:space="preserve"> r</w:t>
      </w:r>
      <w:r w:rsidR="00D609A3" w:rsidRPr="00A83C5D">
        <w:rPr>
          <w:rFonts w:cs="Calibri"/>
          <w:b/>
          <w:szCs w:val="22"/>
        </w:rPr>
        <w:t>eview</w:t>
      </w:r>
      <w:r w:rsidR="00D609A3" w:rsidRPr="00A83C5D">
        <w:rPr>
          <w:rFonts w:cs="Calibri"/>
          <w:szCs w:val="22"/>
        </w:rPr>
        <w:t xml:space="preserve"> of </w:t>
      </w:r>
      <w:r w:rsidR="008F7A15" w:rsidRPr="00A83C5D">
        <w:rPr>
          <w:rFonts w:cs="Calibri"/>
          <w:szCs w:val="22"/>
        </w:rPr>
        <w:t xml:space="preserve">existing literature and </w:t>
      </w:r>
      <w:r w:rsidR="00DA0337" w:rsidRPr="00A83C5D">
        <w:rPr>
          <w:rFonts w:cs="Calibri"/>
          <w:szCs w:val="22"/>
        </w:rPr>
        <w:t xml:space="preserve">documentary information (revolving fund for household connections indicated under these </w:t>
      </w:r>
      <w:proofErr w:type="spellStart"/>
      <w:r w:rsidR="00DA0337" w:rsidRPr="00A83C5D">
        <w:rPr>
          <w:rFonts w:cs="Calibri"/>
          <w:szCs w:val="22"/>
        </w:rPr>
        <w:t>ToRs</w:t>
      </w:r>
      <w:proofErr w:type="spellEnd"/>
      <w:r w:rsidR="00DA0337" w:rsidRPr="00A83C5D">
        <w:rPr>
          <w:rFonts w:cs="Calibri"/>
          <w:szCs w:val="22"/>
        </w:rPr>
        <w:t xml:space="preserve"> and similar interventions in Mozambique and elsewhere) </w:t>
      </w:r>
      <w:r w:rsidR="00DA0337" w:rsidRPr="00A83C5D">
        <w:rPr>
          <w:rFonts w:cs="Calibri"/>
          <w:b/>
          <w:szCs w:val="22"/>
        </w:rPr>
        <w:t>and development of tools</w:t>
      </w:r>
      <w:r w:rsidR="00DA0337" w:rsidRPr="00A83C5D">
        <w:rPr>
          <w:rFonts w:cs="Calibri"/>
          <w:szCs w:val="22"/>
        </w:rPr>
        <w:t xml:space="preserve"> for data collection and analysis (5 working days)</w:t>
      </w:r>
    </w:p>
    <w:p w14:paraId="1596FB11" w14:textId="77777777" w:rsidR="00DA0337" w:rsidRPr="00A83C5D" w:rsidRDefault="00DA0337" w:rsidP="00DA0337">
      <w:pPr>
        <w:pStyle w:val="ListParagraph"/>
        <w:spacing w:line="240" w:lineRule="auto"/>
        <w:ind w:left="360"/>
        <w:rPr>
          <w:rFonts w:cs="Calibri"/>
          <w:sz w:val="22"/>
          <w:szCs w:val="22"/>
          <w:lang w:val="en-US"/>
        </w:rPr>
      </w:pPr>
    </w:p>
    <w:p w14:paraId="3C304462" w14:textId="12E2DA8E" w:rsidR="008F7A15" w:rsidRPr="00A83C5D" w:rsidRDefault="00A83C5D" w:rsidP="00A83C5D">
      <w:pPr>
        <w:spacing w:line="240" w:lineRule="auto"/>
        <w:rPr>
          <w:rFonts w:cs="Calibri"/>
          <w:szCs w:val="22"/>
        </w:rPr>
      </w:pPr>
      <w:r w:rsidRPr="00A83C5D">
        <w:rPr>
          <w:rFonts w:cs="Calibri"/>
          <w:b/>
          <w:szCs w:val="22"/>
          <w:u w:val="single"/>
          <w:lang w:val="en-GB"/>
        </w:rPr>
        <w:t xml:space="preserve">ACTIVITY </w:t>
      </w:r>
      <w:r>
        <w:rPr>
          <w:rFonts w:cs="Calibri"/>
          <w:b/>
          <w:szCs w:val="22"/>
          <w:u w:val="single"/>
          <w:lang w:val="en-GB"/>
        </w:rPr>
        <w:t>2</w:t>
      </w:r>
      <w:r w:rsidRPr="00A83C5D">
        <w:rPr>
          <w:rFonts w:cs="Calibri"/>
          <w:b/>
          <w:szCs w:val="22"/>
          <w:u w:val="single"/>
          <w:lang w:val="en-GB"/>
        </w:rPr>
        <w:t>:</w:t>
      </w:r>
      <w:r w:rsidRPr="00A83C5D">
        <w:rPr>
          <w:rFonts w:cs="Calibri"/>
          <w:szCs w:val="22"/>
          <w:lang w:val="en-GB"/>
        </w:rPr>
        <w:t xml:space="preserve"> </w:t>
      </w:r>
      <w:r w:rsidR="008F7A15" w:rsidRPr="00A83C5D">
        <w:rPr>
          <w:rFonts w:cs="Calibri"/>
          <w:b/>
          <w:szCs w:val="22"/>
        </w:rPr>
        <w:t>Interview of key informants</w:t>
      </w:r>
      <w:r w:rsidR="008F7A15" w:rsidRPr="00A83C5D">
        <w:rPr>
          <w:rFonts w:cs="Calibri"/>
          <w:szCs w:val="22"/>
        </w:rPr>
        <w:t xml:space="preserve"> involved in the implementation of the revolving fund for household connections </w:t>
      </w:r>
      <w:r w:rsidR="008F7A15" w:rsidRPr="00A83C5D">
        <w:rPr>
          <w:rFonts w:cs="Calibri"/>
          <w:b/>
          <w:szCs w:val="22"/>
        </w:rPr>
        <w:t>and other relevant stakeholders</w:t>
      </w:r>
      <w:r w:rsidR="008F7A15" w:rsidRPr="00A83C5D">
        <w:rPr>
          <w:rFonts w:cs="Calibri"/>
          <w:szCs w:val="22"/>
        </w:rPr>
        <w:t xml:space="preserve"> for potential replication and scale up (</w:t>
      </w:r>
      <w:r w:rsidR="001A76A6">
        <w:rPr>
          <w:rFonts w:cs="Calibri"/>
          <w:szCs w:val="22"/>
        </w:rPr>
        <w:t>5</w:t>
      </w:r>
      <w:r w:rsidR="008F7A15" w:rsidRPr="00A83C5D">
        <w:rPr>
          <w:rFonts w:cs="Calibri"/>
          <w:szCs w:val="22"/>
        </w:rPr>
        <w:t xml:space="preserve"> working days).</w:t>
      </w:r>
    </w:p>
    <w:p w14:paraId="7F736BFE" w14:textId="77777777" w:rsidR="008F7A15" w:rsidRPr="008F7A15" w:rsidRDefault="008F7A15" w:rsidP="008F7A15">
      <w:pPr>
        <w:pStyle w:val="ListParagraph"/>
        <w:rPr>
          <w:rFonts w:cs="Calibri"/>
          <w:sz w:val="22"/>
          <w:szCs w:val="22"/>
        </w:rPr>
      </w:pPr>
    </w:p>
    <w:p w14:paraId="52D8E9FE" w14:textId="5BFC36E3" w:rsidR="00DA0337" w:rsidRPr="00A83C5D" w:rsidRDefault="00A83C5D" w:rsidP="00A83C5D">
      <w:pPr>
        <w:spacing w:line="240" w:lineRule="auto"/>
        <w:rPr>
          <w:rFonts w:cs="Calibri"/>
          <w:szCs w:val="22"/>
        </w:rPr>
      </w:pPr>
      <w:r w:rsidRPr="00A83C5D">
        <w:rPr>
          <w:rFonts w:cs="Calibri"/>
          <w:b/>
          <w:szCs w:val="22"/>
          <w:u w:val="single"/>
          <w:lang w:val="en-GB"/>
        </w:rPr>
        <w:lastRenderedPageBreak/>
        <w:t>ACTIVITY 3:</w:t>
      </w:r>
      <w:r>
        <w:rPr>
          <w:rFonts w:cs="Calibri"/>
          <w:szCs w:val="22"/>
          <w:lang w:val="en-GB"/>
        </w:rPr>
        <w:t xml:space="preserve"> </w:t>
      </w:r>
      <w:r w:rsidR="00DA0337" w:rsidRPr="00A83C5D">
        <w:rPr>
          <w:rFonts w:cs="Calibri"/>
          <w:b/>
          <w:szCs w:val="22"/>
        </w:rPr>
        <w:t>Data collection and analysis</w:t>
      </w:r>
      <w:r w:rsidR="00DA0337" w:rsidRPr="00A83C5D">
        <w:rPr>
          <w:rFonts w:cs="Calibri"/>
          <w:szCs w:val="22"/>
        </w:rPr>
        <w:t xml:space="preserve"> on the implementation of the revolving fund for household connections in three small towns in Mozambique</w:t>
      </w:r>
      <w:r>
        <w:rPr>
          <w:rFonts w:cs="Calibri"/>
          <w:szCs w:val="22"/>
        </w:rPr>
        <w:t>, including presentation of preliminary findings to reference group</w:t>
      </w:r>
      <w:r w:rsidR="00DA0337" w:rsidRPr="00A83C5D">
        <w:rPr>
          <w:rFonts w:cs="Calibri"/>
          <w:szCs w:val="22"/>
        </w:rPr>
        <w:t xml:space="preserve"> (15 working days)</w:t>
      </w:r>
    </w:p>
    <w:p w14:paraId="147DF88D" w14:textId="77777777" w:rsidR="00DA0337" w:rsidRPr="00DA0337" w:rsidRDefault="00DA0337" w:rsidP="00DA0337">
      <w:pPr>
        <w:pStyle w:val="ListParagraph"/>
        <w:rPr>
          <w:rFonts w:cs="Calibri"/>
          <w:sz w:val="22"/>
          <w:szCs w:val="22"/>
        </w:rPr>
      </w:pPr>
    </w:p>
    <w:p w14:paraId="3CE63401" w14:textId="6740CED6" w:rsidR="008F7A15" w:rsidRPr="00A83C5D" w:rsidRDefault="00A83C5D" w:rsidP="00A83C5D">
      <w:pPr>
        <w:spacing w:line="240" w:lineRule="auto"/>
        <w:rPr>
          <w:rFonts w:cs="Calibri"/>
          <w:szCs w:val="22"/>
        </w:rPr>
      </w:pPr>
      <w:r w:rsidRPr="00A83C5D">
        <w:rPr>
          <w:rFonts w:cs="Calibri"/>
          <w:b/>
          <w:szCs w:val="22"/>
          <w:u w:val="single"/>
          <w:lang w:val="en-GB"/>
        </w:rPr>
        <w:t>ACTIVITY 5:</w:t>
      </w:r>
      <w:r>
        <w:rPr>
          <w:rFonts w:cs="Calibri"/>
          <w:szCs w:val="22"/>
          <w:lang w:val="en-GB"/>
        </w:rPr>
        <w:t xml:space="preserve"> </w:t>
      </w:r>
      <w:r w:rsidR="008F7A15" w:rsidRPr="00A83C5D">
        <w:rPr>
          <w:rFonts w:cs="Calibri"/>
          <w:b/>
          <w:szCs w:val="22"/>
        </w:rPr>
        <w:t xml:space="preserve">Development of </w:t>
      </w:r>
      <w:r w:rsidR="00CB3D35">
        <w:rPr>
          <w:rFonts w:cs="Calibri"/>
          <w:b/>
          <w:szCs w:val="22"/>
        </w:rPr>
        <w:t xml:space="preserve">final report detailing results of the review and including </w:t>
      </w:r>
      <w:r w:rsidR="00ED79CE" w:rsidRPr="00A83C5D">
        <w:rPr>
          <w:rFonts w:cs="Calibri"/>
          <w:b/>
          <w:szCs w:val="22"/>
        </w:rPr>
        <w:t>proposed model and strategy for replication and expansion</w:t>
      </w:r>
      <w:r w:rsidR="00ED79CE" w:rsidRPr="00A83C5D">
        <w:rPr>
          <w:rFonts w:cs="Calibri"/>
          <w:szCs w:val="22"/>
        </w:rPr>
        <w:t xml:space="preserve"> of revolving fund for household connections including</w:t>
      </w:r>
      <w:r w:rsidRPr="00A83C5D">
        <w:rPr>
          <w:rFonts w:cs="Calibri"/>
          <w:szCs w:val="22"/>
        </w:rPr>
        <w:t xml:space="preserve"> (1</w:t>
      </w:r>
      <w:r>
        <w:rPr>
          <w:rFonts w:cs="Calibri"/>
          <w:szCs w:val="22"/>
        </w:rPr>
        <w:t>5</w:t>
      </w:r>
      <w:r w:rsidRPr="00A83C5D">
        <w:rPr>
          <w:rFonts w:cs="Calibri"/>
          <w:szCs w:val="22"/>
        </w:rPr>
        <w:t xml:space="preserve"> </w:t>
      </w:r>
      <w:r>
        <w:rPr>
          <w:rFonts w:cs="Calibri"/>
          <w:szCs w:val="22"/>
        </w:rPr>
        <w:t xml:space="preserve">working </w:t>
      </w:r>
      <w:r w:rsidRPr="00A83C5D">
        <w:rPr>
          <w:rFonts w:cs="Calibri"/>
          <w:szCs w:val="22"/>
        </w:rPr>
        <w:t>days)</w:t>
      </w:r>
      <w:r w:rsidR="00ED79CE" w:rsidRPr="00A83C5D">
        <w:rPr>
          <w:rFonts w:cs="Calibri"/>
          <w:szCs w:val="22"/>
        </w:rPr>
        <w:t>:</w:t>
      </w:r>
    </w:p>
    <w:p w14:paraId="72AA0475" w14:textId="77777777" w:rsidR="00ED79CE" w:rsidRPr="00ED79CE" w:rsidRDefault="00ED79CE" w:rsidP="00ED79CE">
      <w:pPr>
        <w:pStyle w:val="ListParagraph"/>
        <w:rPr>
          <w:rFonts w:cs="Calibri"/>
          <w:sz w:val="22"/>
          <w:szCs w:val="22"/>
        </w:rPr>
      </w:pPr>
    </w:p>
    <w:p w14:paraId="440023C3" w14:textId="29A90711" w:rsidR="00CB3D35" w:rsidRDefault="00CB3D35" w:rsidP="00D477C4">
      <w:pPr>
        <w:pStyle w:val="ListParagraph"/>
        <w:numPr>
          <w:ilvl w:val="0"/>
          <w:numId w:val="8"/>
        </w:numPr>
        <w:spacing w:line="240" w:lineRule="auto"/>
        <w:ind w:left="360"/>
        <w:rPr>
          <w:rFonts w:cs="Calibri"/>
          <w:sz w:val="22"/>
          <w:szCs w:val="22"/>
        </w:rPr>
      </w:pPr>
      <w:r>
        <w:rPr>
          <w:rFonts w:cs="Calibri"/>
          <w:sz w:val="22"/>
          <w:szCs w:val="22"/>
        </w:rPr>
        <w:t>Summary results of review on the existing model, including, but not limited to, information on:</w:t>
      </w:r>
    </w:p>
    <w:p w14:paraId="59351CD6" w14:textId="13033816" w:rsidR="00CB3D35" w:rsidRPr="00CB3D35" w:rsidRDefault="00CB3D35" w:rsidP="00CB3D35">
      <w:pPr>
        <w:pStyle w:val="ListParagraph"/>
        <w:numPr>
          <w:ilvl w:val="1"/>
          <w:numId w:val="8"/>
        </w:numPr>
        <w:spacing w:line="240" w:lineRule="auto"/>
        <w:rPr>
          <w:rFonts w:cs="Calibri"/>
          <w:sz w:val="22"/>
          <w:szCs w:val="22"/>
        </w:rPr>
      </w:pPr>
      <w:r>
        <w:rPr>
          <w:rFonts w:cs="Calibri"/>
          <w:sz w:val="22"/>
          <w:szCs w:val="22"/>
        </w:rPr>
        <w:t>Impact</w:t>
      </w:r>
      <w:r w:rsidRPr="00CB3D35">
        <w:rPr>
          <w:rFonts w:cs="Calibri"/>
          <w:sz w:val="22"/>
          <w:szCs w:val="22"/>
        </w:rPr>
        <w:t xml:space="preserve"> of institutional, legal and regulatory framework for water supply in Mozambique </w:t>
      </w:r>
      <w:r>
        <w:rPr>
          <w:rFonts w:cs="Calibri"/>
          <w:sz w:val="22"/>
          <w:szCs w:val="22"/>
        </w:rPr>
        <w:t>on the current model</w:t>
      </w:r>
    </w:p>
    <w:p w14:paraId="65A02644" w14:textId="037DF368" w:rsidR="00CB3D35" w:rsidRPr="00CB3D35" w:rsidRDefault="00CB3D35" w:rsidP="00CB3D35">
      <w:pPr>
        <w:pStyle w:val="ListParagraph"/>
        <w:numPr>
          <w:ilvl w:val="1"/>
          <w:numId w:val="8"/>
        </w:numPr>
        <w:spacing w:line="240" w:lineRule="auto"/>
        <w:rPr>
          <w:rFonts w:cs="Calibri"/>
          <w:sz w:val="22"/>
          <w:szCs w:val="22"/>
        </w:rPr>
      </w:pPr>
      <w:r>
        <w:rPr>
          <w:rFonts w:cs="Calibri"/>
          <w:sz w:val="22"/>
          <w:szCs w:val="22"/>
        </w:rPr>
        <w:t>Adequacy of the current MoU governing the initiative.</w:t>
      </w:r>
    </w:p>
    <w:p w14:paraId="56F68140" w14:textId="7687AD32" w:rsidR="00CB3D35" w:rsidRPr="00CB3D35" w:rsidRDefault="00CB3D35" w:rsidP="00CB3D35">
      <w:pPr>
        <w:pStyle w:val="ListParagraph"/>
        <w:numPr>
          <w:ilvl w:val="1"/>
          <w:numId w:val="8"/>
        </w:numPr>
        <w:spacing w:line="240" w:lineRule="auto"/>
        <w:rPr>
          <w:rFonts w:cs="Calibri"/>
          <w:sz w:val="22"/>
          <w:szCs w:val="22"/>
        </w:rPr>
      </w:pPr>
      <w:r>
        <w:rPr>
          <w:rFonts w:cs="Calibri"/>
          <w:sz w:val="22"/>
          <w:szCs w:val="22"/>
        </w:rPr>
        <w:t>Adequacy of the c</w:t>
      </w:r>
      <w:r w:rsidRPr="00CB3D35">
        <w:rPr>
          <w:rFonts w:cs="Calibri"/>
          <w:sz w:val="22"/>
          <w:szCs w:val="22"/>
        </w:rPr>
        <w:t>ommunication materials developed by the Operator for the implementation of the revolving fund</w:t>
      </w:r>
    </w:p>
    <w:p w14:paraId="49C966AA" w14:textId="5A959E9E" w:rsidR="00CB3D35" w:rsidRPr="00CB3D35" w:rsidRDefault="00CB3D35" w:rsidP="00CB3D35">
      <w:pPr>
        <w:pStyle w:val="ListParagraph"/>
        <w:numPr>
          <w:ilvl w:val="1"/>
          <w:numId w:val="8"/>
        </w:numPr>
        <w:spacing w:line="240" w:lineRule="auto"/>
        <w:rPr>
          <w:rFonts w:cs="Calibri"/>
          <w:sz w:val="22"/>
          <w:szCs w:val="22"/>
        </w:rPr>
      </w:pPr>
      <w:r>
        <w:rPr>
          <w:rFonts w:cs="Calibri"/>
          <w:sz w:val="22"/>
          <w:szCs w:val="22"/>
        </w:rPr>
        <w:t>Analysis of the expansion of the networks, with an equity lens</w:t>
      </w:r>
    </w:p>
    <w:p w14:paraId="4E746F9C" w14:textId="7CBB9261" w:rsidR="00CB3D35" w:rsidRPr="00CB3D35" w:rsidRDefault="00CB3D35" w:rsidP="00CB3D35">
      <w:pPr>
        <w:pStyle w:val="ListParagraph"/>
        <w:numPr>
          <w:ilvl w:val="1"/>
          <w:numId w:val="8"/>
        </w:numPr>
        <w:spacing w:line="240" w:lineRule="auto"/>
        <w:rPr>
          <w:rFonts w:cs="Calibri"/>
          <w:sz w:val="22"/>
          <w:szCs w:val="22"/>
        </w:rPr>
      </w:pPr>
      <w:r>
        <w:rPr>
          <w:rFonts w:cs="Calibri"/>
          <w:sz w:val="22"/>
          <w:szCs w:val="22"/>
        </w:rPr>
        <w:t>Financial analysis of the current revolving fund, with a sustainability lens</w:t>
      </w:r>
    </w:p>
    <w:p w14:paraId="792FE4A6" w14:textId="1706D2D5" w:rsidR="00CB3D35" w:rsidRDefault="00CB3D35" w:rsidP="004D4E43">
      <w:pPr>
        <w:pStyle w:val="ListParagraph"/>
        <w:numPr>
          <w:ilvl w:val="1"/>
          <w:numId w:val="8"/>
        </w:numPr>
        <w:spacing w:line="240" w:lineRule="auto"/>
        <w:rPr>
          <w:rFonts w:cs="Calibri"/>
          <w:sz w:val="22"/>
          <w:szCs w:val="22"/>
        </w:rPr>
      </w:pPr>
      <w:r>
        <w:rPr>
          <w:rFonts w:cs="Calibri"/>
          <w:sz w:val="22"/>
          <w:szCs w:val="22"/>
        </w:rPr>
        <w:t>Adequacy of the m</w:t>
      </w:r>
      <w:r w:rsidRPr="00CB3D35">
        <w:rPr>
          <w:rFonts w:cs="Calibri"/>
          <w:sz w:val="22"/>
          <w:szCs w:val="22"/>
        </w:rPr>
        <w:t>anagement of hardware assets of the fund</w:t>
      </w:r>
    </w:p>
    <w:p w14:paraId="7BD2ECD3" w14:textId="1C15E84F" w:rsidR="00CB3D35" w:rsidRPr="00CB3D35" w:rsidRDefault="00CB3D35" w:rsidP="004D4E43">
      <w:pPr>
        <w:pStyle w:val="ListParagraph"/>
        <w:numPr>
          <w:ilvl w:val="1"/>
          <w:numId w:val="8"/>
        </w:numPr>
        <w:spacing w:line="240" w:lineRule="auto"/>
        <w:rPr>
          <w:rFonts w:cs="Calibri"/>
          <w:sz w:val="22"/>
          <w:szCs w:val="22"/>
        </w:rPr>
      </w:pPr>
      <w:r>
        <w:rPr>
          <w:rFonts w:cs="Calibri"/>
          <w:sz w:val="22"/>
          <w:szCs w:val="22"/>
        </w:rPr>
        <w:t>Summari</w:t>
      </w:r>
      <w:r w:rsidR="004A1260">
        <w:rPr>
          <w:rFonts w:cs="Calibri"/>
          <w:sz w:val="22"/>
          <w:szCs w:val="22"/>
        </w:rPr>
        <w:t>sed results of the fund to date, including comparison with growth in HH connections in other similar water supply systems / towns.</w:t>
      </w:r>
    </w:p>
    <w:p w14:paraId="2D5F8205" w14:textId="21B5FC73" w:rsidR="00A83C5D" w:rsidRDefault="00A83C5D" w:rsidP="00D477C4">
      <w:pPr>
        <w:pStyle w:val="ListParagraph"/>
        <w:numPr>
          <w:ilvl w:val="0"/>
          <w:numId w:val="8"/>
        </w:numPr>
        <w:spacing w:line="240" w:lineRule="auto"/>
        <w:ind w:left="360"/>
        <w:rPr>
          <w:rFonts w:cs="Calibri"/>
          <w:sz w:val="22"/>
          <w:szCs w:val="22"/>
        </w:rPr>
      </w:pPr>
      <w:r>
        <w:rPr>
          <w:rFonts w:cs="Calibri"/>
          <w:sz w:val="22"/>
          <w:szCs w:val="22"/>
        </w:rPr>
        <w:t xml:space="preserve">Overall description </w:t>
      </w:r>
      <w:r w:rsidR="00CB3D35">
        <w:rPr>
          <w:rFonts w:cs="Calibri"/>
          <w:sz w:val="22"/>
          <w:szCs w:val="22"/>
        </w:rPr>
        <w:t xml:space="preserve">of a proposed expansion </w:t>
      </w:r>
      <w:r>
        <w:rPr>
          <w:rFonts w:cs="Calibri"/>
          <w:sz w:val="22"/>
          <w:szCs w:val="22"/>
        </w:rPr>
        <w:t>model, including identification of roles and responsibilities, financial modelling (including various scenarios) and implementation timelines</w:t>
      </w:r>
    </w:p>
    <w:p w14:paraId="40A41AEE" w14:textId="66AD1D29" w:rsidR="00ED79CE" w:rsidRDefault="00ED79CE" w:rsidP="00D477C4">
      <w:pPr>
        <w:pStyle w:val="ListParagraph"/>
        <w:numPr>
          <w:ilvl w:val="0"/>
          <w:numId w:val="8"/>
        </w:numPr>
        <w:spacing w:line="240" w:lineRule="auto"/>
        <w:ind w:left="360"/>
        <w:rPr>
          <w:rFonts w:cs="Calibri"/>
          <w:sz w:val="22"/>
          <w:szCs w:val="22"/>
        </w:rPr>
      </w:pPr>
      <w:r>
        <w:rPr>
          <w:rFonts w:cs="Calibri"/>
          <w:sz w:val="22"/>
          <w:szCs w:val="22"/>
        </w:rPr>
        <w:t xml:space="preserve">Standardized </w:t>
      </w:r>
      <w:r w:rsidR="007D2C5F">
        <w:rPr>
          <w:rFonts w:cs="Calibri"/>
          <w:sz w:val="22"/>
          <w:szCs w:val="22"/>
        </w:rPr>
        <w:t xml:space="preserve">technical </w:t>
      </w:r>
      <w:r>
        <w:rPr>
          <w:rFonts w:cs="Calibri"/>
          <w:sz w:val="22"/>
          <w:szCs w:val="22"/>
        </w:rPr>
        <w:t>specifications and designs for household connections, including terms of reference for procurement of materials</w:t>
      </w:r>
    </w:p>
    <w:p w14:paraId="47548875" w14:textId="5622FD37" w:rsidR="00ED79CE" w:rsidRDefault="00ED79CE" w:rsidP="00D477C4">
      <w:pPr>
        <w:pStyle w:val="ListParagraph"/>
        <w:numPr>
          <w:ilvl w:val="0"/>
          <w:numId w:val="8"/>
        </w:numPr>
        <w:spacing w:line="240" w:lineRule="auto"/>
        <w:ind w:left="360"/>
        <w:rPr>
          <w:rFonts w:cs="Calibri"/>
          <w:sz w:val="22"/>
          <w:szCs w:val="22"/>
        </w:rPr>
      </w:pPr>
      <w:r>
        <w:rPr>
          <w:rFonts w:cs="Calibri"/>
          <w:sz w:val="22"/>
          <w:szCs w:val="22"/>
        </w:rPr>
        <w:t xml:space="preserve">Proposed formats for Contracts/MoUs required for implementation of revolving fund for household connections (at all levels: with Operator, with users, etc.) </w:t>
      </w:r>
    </w:p>
    <w:p w14:paraId="49A6F4DF" w14:textId="4DADCF72" w:rsidR="007D2C5F" w:rsidRPr="007D2C5F" w:rsidRDefault="00ED79CE" w:rsidP="007D2C5F">
      <w:pPr>
        <w:pStyle w:val="ListParagraph"/>
        <w:numPr>
          <w:ilvl w:val="0"/>
          <w:numId w:val="8"/>
        </w:numPr>
        <w:spacing w:line="240" w:lineRule="auto"/>
        <w:ind w:left="360"/>
        <w:rPr>
          <w:rFonts w:cs="Calibri"/>
          <w:sz w:val="22"/>
          <w:szCs w:val="22"/>
        </w:rPr>
      </w:pPr>
      <w:r>
        <w:rPr>
          <w:rFonts w:cs="Calibri"/>
          <w:sz w:val="22"/>
          <w:szCs w:val="22"/>
        </w:rPr>
        <w:t>Proposed mechanisms and monitoring tools for implementation of revolving fund</w:t>
      </w:r>
      <w:r w:rsidR="007D2C5F">
        <w:rPr>
          <w:rFonts w:cs="Calibri"/>
          <w:sz w:val="22"/>
          <w:szCs w:val="22"/>
        </w:rPr>
        <w:t>, including those related resource management (materials and HR), quality control for HH connections, customer care, etc.</w:t>
      </w:r>
    </w:p>
    <w:p w14:paraId="423082BE" w14:textId="113856E7" w:rsidR="00ED79CE" w:rsidRDefault="00ED79CE" w:rsidP="00D477C4">
      <w:pPr>
        <w:pStyle w:val="ListParagraph"/>
        <w:numPr>
          <w:ilvl w:val="0"/>
          <w:numId w:val="8"/>
        </w:numPr>
        <w:spacing w:line="240" w:lineRule="auto"/>
        <w:ind w:left="360"/>
        <w:rPr>
          <w:rFonts w:cs="Calibri"/>
          <w:sz w:val="22"/>
          <w:szCs w:val="22"/>
        </w:rPr>
      </w:pPr>
      <w:r>
        <w:rPr>
          <w:rFonts w:cs="Calibri"/>
          <w:sz w:val="22"/>
          <w:szCs w:val="22"/>
        </w:rPr>
        <w:t xml:space="preserve">Proposed </w:t>
      </w:r>
      <w:r w:rsidR="00A83C5D">
        <w:rPr>
          <w:rFonts w:cs="Calibri"/>
          <w:sz w:val="22"/>
          <w:szCs w:val="22"/>
        </w:rPr>
        <w:t xml:space="preserve">communication </w:t>
      </w:r>
      <w:r w:rsidR="007D2C5F">
        <w:rPr>
          <w:rFonts w:cs="Calibri"/>
          <w:sz w:val="22"/>
          <w:szCs w:val="22"/>
        </w:rPr>
        <w:t xml:space="preserve">strategy and </w:t>
      </w:r>
      <w:r w:rsidR="00A83C5D">
        <w:rPr>
          <w:rFonts w:cs="Calibri"/>
          <w:sz w:val="22"/>
          <w:szCs w:val="22"/>
        </w:rPr>
        <w:t>materials for promotion/dissemination of the initiative at local level to support roll-out and adherence</w:t>
      </w:r>
    </w:p>
    <w:p w14:paraId="4B5A5357" w14:textId="165285EF" w:rsidR="00ED79CE" w:rsidRPr="008F7A15" w:rsidRDefault="00A83C5D" w:rsidP="00D477C4">
      <w:pPr>
        <w:pStyle w:val="ListParagraph"/>
        <w:numPr>
          <w:ilvl w:val="0"/>
          <w:numId w:val="8"/>
        </w:numPr>
        <w:spacing w:line="240" w:lineRule="auto"/>
        <w:ind w:left="360"/>
        <w:rPr>
          <w:rFonts w:cs="Calibri"/>
          <w:sz w:val="22"/>
          <w:szCs w:val="22"/>
        </w:rPr>
      </w:pPr>
      <w:r>
        <w:rPr>
          <w:rFonts w:cs="Calibri"/>
          <w:sz w:val="22"/>
          <w:szCs w:val="22"/>
        </w:rPr>
        <w:t xml:space="preserve">Summarized concept </w:t>
      </w:r>
      <w:proofErr w:type="gramStart"/>
      <w:r>
        <w:rPr>
          <w:rFonts w:cs="Calibri"/>
          <w:sz w:val="22"/>
          <w:szCs w:val="22"/>
        </w:rPr>
        <w:t>note</w:t>
      </w:r>
      <w:proofErr w:type="gramEnd"/>
      <w:r>
        <w:rPr>
          <w:rFonts w:cs="Calibri"/>
          <w:sz w:val="22"/>
          <w:szCs w:val="22"/>
        </w:rPr>
        <w:t xml:space="preserve"> and presentation for dissemination and advocacy</w:t>
      </w:r>
    </w:p>
    <w:p w14:paraId="07BDDD0D" w14:textId="41DDF5CE" w:rsidR="00DA43F5" w:rsidRDefault="008F7A15" w:rsidP="00A83C5D">
      <w:pPr>
        <w:pStyle w:val="ListParagraph"/>
        <w:spacing w:line="240" w:lineRule="auto"/>
        <w:ind w:left="360"/>
        <w:rPr>
          <w:rFonts w:cs="Calibri"/>
          <w:szCs w:val="22"/>
        </w:rPr>
      </w:pPr>
      <w:r>
        <w:rPr>
          <w:rFonts w:cs="Calibri"/>
          <w:sz w:val="22"/>
          <w:szCs w:val="22"/>
        </w:rPr>
        <w:t xml:space="preserve"> </w:t>
      </w:r>
    </w:p>
    <w:p w14:paraId="26C1657F" w14:textId="2CD79888" w:rsidR="00811398" w:rsidRDefault="00811398" w:rsidP="00DA0337">
      <w:pPr>
        <w:spacing w:line="240" w:lineRule="auto"/>
        <w:ind w:left="360"/>
        <w:rPr>
          <w:rFonts w:cs="Calibri"/>
          <w:szCs w:val="22"/>
        </w:rPr>
      </w:pPr>
      <w:r>
        <w:rPr>
          <w:rFonts w:cs="Calibri"/>
          <w:szCs w:val="22"/>
        </w:rPr>
        <w:t xml:space="preserve">Annex 1 includes an estimated timeline and duration for implementation of the above activities. </w:t>
      </w:r>
    </w:p>
    <w:p w14:paraId="51D24FF3" w14:textId="77777777" w:rsidR="00811398" w:rsidRPr="00811398" w:rsidRDefault="00811398" w:rsidP="00DA0337">
      <w:pPr>
        <w:spacing w:line="240" w:lineRule="auto"/>
        <w:ind w:left="360"/>
        <w:rPr>
          <w:rFonts w:cs="Calibri"/>
          <w:szCs w:val="22"/>
        </w:rPr>
      </w:pPr>
    </w:p>
    <w:p w14:paraId="18CA0CEC" w14:textId="751D3C21" w:rsidR="002945C8" w:rsidRPr="00714B3C" w:rsidRDefault="002945C8" w:rsidP="00DA0337">
      <w:pPr>
        <w:spacing w:line="240" w:lineRule="auto"/>
        <w:contextualSpacing/>
        <w:rPr>
          <w:rFonts w:cs="Calibri"/>
          <w:b/>
          <w:color w:val="FF6600"/>
          <w:sz w:val="24"/>
          <w:szCs w:val="22"/>
          <w:lang w:val="en-GB"/>
        </w:rPr>
      </w:pPr>
      <w:r w:rsidRPr="00714B3C">
        <w:rPr>
          <w:rFonts w:cs="Calibri"/>
          <w:b/>
          <w:color w:val="FF6600"/>
          <w:sz w:val="24"/>
          <w:szCs w:val="22"/>
          <w:lang w:val="en-GB"/>
        </w:rPr>
        <w:t>DELIVERABLES AND PAYMENTS.</w:t>
      </w:r>
    </w:p>
    <w:p w14:paraId="2C86F93C" w14:textId="64A9A5B2" w:rsidR="002945C8" w:rsidRDefault="002945C8" w:rsidP="00DA0337">
      <w:pPr>
        <w:spacing w:line="240" w:lineRule="auto"/>
        <w:contextualSpacing/>
        <w:rPr>
          <w:rFonts w:cs="Calibri"/>
          <w:szCs w:val="22"/>
          <w:lang w:val="en-GB"/>
        </w:rPr>
      </w:pPr>
    </w:p>
    <w:p w14:paraId="221F8D14" w14:textId="14554860" w:rsidR="007D3A75" w:rsidRDefault="007D3A75" w:rsidP="00DA0337">
      <w:pPr>
        <w:spacing w:line="240" w:lineRule="auto"/>
        <w:contextualSpacing/>
        <w:rPr>
          <w:rFonts w:cs="Calibri"/>
          <w:szCs w:val="22"/>
          <w:lang w:val="en-GB"/>
        </w:rPr>
      </w:pPr>
      <w:r>
        <w:rPr>
          <w:rFonts w:cs="Calibri"/>
          <w:szCs w:val="22"/>
          <w:lang w:val="en-GB"/>
        </w:rPr>
        <w:t xml:space="preserve">The following deliverables are envisaged to be produced throughout the consultancy, </w:t>
      </w:r>
    </w:p>
    <w:p w14:paraId="36BE2E63" w14:textId="77777777" w:rsidR="007D3A75" w:rsidRDefault="007D3A75" w:rsidP="00DA0337">
      <w:pPr>
        <w:spacing w:line="240" w:lineRule="auto"/>
        <w:contextualSpacing/>
        <w:rPr>
          <w:rFonts w:cs="Calibri"/>
          <w:szCs w:val="22"/>
          <w:lang w:val="en-GB"/>
        </w:rPr>
      </w:pPr>
    </w:p>
    <w:p w14:paraId="087F7DBA" w14:textId="77777777" w:rsidR="00882EEB" w:rsidRDefault="007D3A75" w:rsidP="00DA0337">
      <w:pPr>
        <w:pStyle w:val="ListParagraph"/>
        <w:numPr>
          <w:ilvl w:val="0"/>
          <w:numId w:val="7"/>
        </w:numPr>
        <w:spacing w:line="240" w:lineRule="auto"/>
        <w:ind w:left="360"/>
        <w:rPr>
          <w:rFonts w:cs="Calibri"/>
          <w:sz w:val="22"/>
          <w:szCs w:val="22"/>
        </w:rPr>
      </w:pPr>
      <w:r w:rsidRPr="00E17B32">
        <w:rPr>
          <w:rFonts w:cs="Calibri"/>
          <w:i/>
          <w:sz w:val="22"/>
          <w:szCs w:val="22"/>
          <w:u w:val="single"/>
        </w:rPr>
        <w:t>Deliverable 1</w:t>
      </w:r>
      <w:r w:rsidRPr="00E17B32">
        <w:rPr>
          <w:rFonts w:cs="Calibri"/>
          <w:i/>
          <w:sz w:val="22"/>
          <w:szCs w:val="22"/>
        </w:rPr>
        <w:t>:</w:t>
      </w:r>
      <w:r w:rsidRPr="00E17B32">
        <w:rPr>
          <w:rFonts w:cs="Calibri"/>
          <w:sz w:val="22"/>
          <w:szCs w:val="22"/>
        </w:rPr>
        <w:t xml:space="preserve">  </w:t>
      </w:r>
      <w:r w:rsidR="00A83C5D">
        <w:rPr>
          <w:rFonts w:cs="Calibri"/>
          <w:sz w:val="22"/>
          <w:szCs w:val="22"/>
        </w:rPr>
        <w:t>Inception report, including summarized report and proposed tools for data collection and analysis (end of week 2)</w:t>
      </w:r>
      <w:r w:rsidR="007C20B2">
        <w:rPr>
          <w:rFonts w:cs="Calibri"/>
          <w:sz w:val="22"/>
          <w:szCs w:val="22"/>
        </w:rPr>
        <w:t xml:space="preserve">. </w:t>
      </w:r>
    </w:p>
    <w:p w14:paraId="316BA1E9" w14:textId="77777777" w:rsidR="00882EEB" w:rsidRDefault="00882EEB" w:rsidP="00882EEB">
      <w:pPr>
        <w:pStyle w:val="ListParagraph"/>
        <w:spacing w:line="240" w:lineRule="auto"/>
        <w:ind w:left="360"/>
        <w:rPr>
          <w:rFonts w:cs="Calibri"/>
          <w:i/>
          <w:sz w:val="22"/>
          <w:szCs w:val="22"/>
          <w:u w:val="single"/>
        </w:rPr>
      </w:pPr>
    </w:p>
    <w:p w14:paraId="0055B022" w14:textId="37E398DA" w:rsidR="007D3A75" w:rsidRPr="00882EEB" w:rsidRDefault="00882EEB" w:rsidP="00882EEB">
      <w:pPr>
        <w:pStyle w:val="ListParagraph"/>
        <w:spacing w:line="240" w:lineRule="auto"/>
        <w:ind w:left="360"/>
        <w:rPr>
          <w:rFonts w:cs="Calibri"/>
          <w:b/>
          <w:sz w:val="22"/>
          <w:szCs w:val="22"/>
        </w:rPr>
      </w:pPr>
      <w:r w:rsidRPr="00882EEB">
        <w:rPr>
          <w:rFonts w:cs="Calibri"/>
          <w:b/>
          <w:sz w:val="22"/>
          <w:szCs w:val="22"/>
        </w:rPr>
        <w:t>P</w:t>
      </w:r>
      <w:r w:rsidR="00D477C4" w:rsidRPr="00882EEB">
        <w:rPr>
          <w:rFonts w:cs="Calibri"/>
          <w:b/>
          <w:sz w:val="22"/>
          <w:szCs w:val="22"/>
        </w:rPr>
        <w:t>ayment</w:t>
      </w:r>
      <w:r w:rsidRPr="00882EEB">
        <w:rPr>
          <w:rFonts w:cs="Calibri"/>
          <w:b/>
          <w:sz w:val="22"/>
          <w:szCs w:val="22"/>
        </w:rPr>
        <w:t xml:space="preserve"> 1</w:t>
      </w:r>
      <w:r w:rsidR="00D477C4" w:rsidRPr="00882EEB">
        <w:rPr>
          <w:rFonts w:cs="Calibri"/>
          <w:b/>
          <w:sz w:val="22"/>
          <w:szCs w:val="22"/>
        </w:rPr>
        <w:t xml:space="preserve">: </w:t>
      </w:r>
      <w:r w:rsidR="007C20B2" w:rsidRPr="00882EEB">
        <w:rPr>
          <w:rFonts w:cs="Calibri"/>
          <w:b/>
          <w:sz w:val="22"/>
          <w:szCs w:val="22"/>
        </w:rPr>
        <w:t xml:space="preserve">20% of total </w:t>
      </w:r>
      <w:r w:rsidR="00D477C4" w:rsidRPr="00882EEB">
        <w:rPr>
          <w:rFonts w:cs="Calibri"/>
          <w:b/>
          <w:sz w:val="22"/>
          <w:szCs w:val="22"/>
        </w:rPr>
        <w:t>contract amount;</w:t>
      </w:r>
    </w:p>
    <w:p w14:paraId="69D752E1" w14:textId="77777777" w:rsidR="007D3A75" w:rsidRPr="007D3A75" w:rsidRDefault="007D3A75" w:rsidP="00DA0337">
      <w:pPr>
        <w:spacing w:line="240" w:lineRule="auto"/>
        <w:contextualSpacing/>
        <w:rPr>
          <w:rFonts w:cs="Calibri"/>
          <w:sz w:val="20"/>
          <w:szCs w:val="22"/>
          <w:lang w:val="en-GB"/>
        </w:rPr>
      </w:pPr>
    </w:p>
    <w:p w14:paraId="13370A6C" w14:textId="1A543B8E" w:rsidR="00D477C4" w:rsidRPr="00D477C4" w:rsidRDefault="007D3A75" w:rsidP="00DA0337">
      <w:pPr>
        <w:pStyle w:val="ListParagraph"/>
        <w:numPr>
          <w:ilvl w:val="0"/>
          <w:numId w:val="6"/>
        </w:numPr>
        <w:spacing w:line="240" w:lineRule="auto"/>
        <w:ind w:left="360"/>
        <w:rPr>
          <w:rFonts w:cs="Calibri"/>
          <w:sz w:val="22"/>
          <w:szCs w:val="22"/>
        </w:rPr>
      </w:pPr>
      <w:r w:rsidRPr="007D3A75">
        <w:rPr>
          <w:rFonts w:cs="Calibri"/>
          <w:i/>
          <w:sz w:val="22"/>
          <w:szCs w:val="22"/>
          <w:u w:val="single"/>
        </w:rPr>
        <w:t xml:space="preserve">Deliverable </w:t>
      </w:r>
      <w:r w:rsidR="00E17B32">
        <w:rPr>
          <w:rFonts w:cs="Calibri"/>
          <w:i/>
          <w:sz w:val="22"/>
          <w:szCs w:val="22"/>
          <w:u w:val="single"/>
        </w:rPr>
        <w:t>2</w:t>
      </w:r>
      <w:r w:rsidRPr="007D3A75">
        <w:rPr>
          <w:rFonts w:cs="Calibri"/>
          <w:i/>
          <w:sz w:val="22"/>
          <w:szCs w:val="22"/>
          <w:u w:val="single"/>
        </w:rPr>
        <w:t>:</w:t>
      </w:r>
      <w:r w:rsidRPr="007D3A75">
        <w:rPr>
          <w:rFonts w:cs="Calibri"/>
          <w:i/>
          <w:sz w:val="22"/>
          <w:szCs w:val="22"/>
        </w:rPr>
        <w:t xml:space="preserve"> </w:t>
      </w:r>
      <w:r w:rsidR="00D477C4">
        <w:rPr>
          <w:rFonts w:cs="Calibri"/>
          <w:sz w:val="22"/>
          <w:szCs w:val="22"/>
        </w:rPr>
        <w:t>Intermediate report, following data collection and analysis, and interview</w:t>
      </w:r>
      <w:r w:rsidR="00CB3D35">
        <w:rPr>
          <w:rFonts w:cs="Calibri"/>
          <w:sz w:val="22"/>
          <w:szCs w:val="22"/>
        </w:rPr>
        <w:t>s</w:t>
      </w:r>
      <w:r w:rsidR="00D477C4">
        <w:rPr>
          <w:rFonts w:cs="Calibri"/>
          <w:sz w:val="22"/>
          <w:szCs w:val="22"/>
        </w:rPr>
        <w:t xml:space="preserve"> (end of week 4);</w:t>
      </w:r>
    </w:p>
    <w:p w14:paraId="0204970C" w14:textId="41A15B20" w:rsidR="007D3A75" w:rsidRDefault="007D3A75" w:rsidP="00DA0337">
      <w:pPr>
        <w:spacing w:line="240" w:lineRule="auto"/>
        <w:contextualSpacing/>
        <w:rPr>
          <w:rFonts w:cs="Calibri"/>
          <w:sz w:val="20"/>
          <w:szCs w:val="22"/>
          <w:lang w:val="en-GB"/>
        </w:rPr>
      </w:pPr>
    </w:p>
    <w:p w14:paraId="3F79DDB2" w14:textId="3A117000" w:rsidR="00882EEB" w:rsidRDefault="00B75A47" w:rsidP="00882EEB">
      <w:pPr>
        <w:pStyle w:val="ListParagraph"/>
        <w:numPr>
          <w:ilvl w:val="0"/>
          <w:numId w:val="6"/>
        </w:numPr>
        <w:spacing w:line="240" w:lineRule="auto"/>
        <w:ind w:left="360"/>
        <w:rPr>
          <w:rFonts w:cs="Calibri"/>
          <w:sz w:val="22"/>
          <w:szCs w:val="22"/>
        </w:rPr>
      </w:pPr>
      <w:r w:rsidRPr="007D3A75">
        <w:rPr>
          <w:rFonts w:cs="Calibri"/>
          <w:i/>
          <w:sz w:val="22"/>
          <w:szCs w:val="22"/>
          <w:u w:val="single"/>
        </w:rPr>
        <w:t xml:space="preserve">Deliverable </w:t>
      </w:r>
      <w:r>
        <w:rPr>
          <w:rFonts w:cs="Calibri"/>
          <w:i/>
          <w:sz w:val="22"/>
          <w:szCs w:val="22"/>
          <w:u w:val="single"/>
        </w:rPr>
        <w:t>3</w:t>
      </w:r>
      <w:r w:rsidRPr="007D3A75">
        <w:rPr>
          <w:rFonts w:cs="Calibri"/>
          <w:i/>
          <w:sz w:val="22"/>
          <w:szCs w:val="22"/>
          <w:u w:val="single"/>
        </w:rPr>
        <w:t>:</w:t>
      </w:r>
      <w:r w:rsidR="00D477C4">
        <w:rPr>
          <w:rFonts w:cs="Calibri"/>
          <w:sz w:val="22"/>
          <w:szCs w:val="22"/>
        </w:rPr>
        <w:t xml:space="preserve">  </w:t>
      </w:r>
      <w:r w:rsidR="00882EEB">
        <w:rPr>
          <w:rFonts w:cs="Calibri"/>
          <w:sz w:val="22"/>
          <w:szCs w:val="22"/>
        </w:rPr>
        <w:t xml:space="preserve">Documentation on the </w:t>
      </w:r>
      <w:r w:rsidR="00D477C4">
        <w:rPr>
          <w:rFonts w:cs="Calibri"/>
          <w:sz w:val="22"/>
          <w:szCs w:val="22"/>
        </w:rPr>
        <w:t>current implementation of the revolving fund for household connections, including recommendations for strengthening</w:t>
      </w:r>
      <w:r w:rsidR="00456EC5">
        <w:rPr>
          <w:rFonts w:cs="Calibri"/>
          <w:sz w:val="22"/>
          <w:szCs w:val="22"/>
        </w:rPr>
        <w:t xml:space="preserve"> </w:t>
      </w:r>
      <w:r w:rsidR="00D477C4">
        <w:rPr>
          <w:rFonts w:cs="Calibri"/>
          <w:sz w:val="22"/>
          <w:szCs w:val="22"/>
        </w:rPr>
        <w:t xml:space="preserve">(end of week 5). </w:t>
      </w:r>
    </w:p>
    <w:p w14:paraId="169A48B2" w14:textId="77777777" w:rsidR="00882EEB" w:rsidRDefault="00882EEB" w:rsidP="00882EEB">
      <w:pPr>
        <w:pStyle w:val="ListParagraph"/>
        <w:spacing w:line="240" w:lineRule="auto"/>
        <w:ind w:left="360"/>
        <w:rPr>
          <w:rFonts w:cs="Calibri"/>
          <w:sz w:val="22"/>
          <w:szCs w:val="22"/>
        </w:rPr>
      </w:pPr>
    </w:p>
    <w:p w14:paraId="0B0B1A8A" w14:textId="0D0BBE90" w:rsidR="00882EEB" w:rsidRPr="00882EEB" w:rsidRDefault="00882EEB" w:rsidP="00882EEB">
      <w:pPr>
        <w:pStyle w:val="ListParagraph"/>
        <w:spacing w:line="240" w:lineRule="auto"/>
        <w:ind w:left="360"/>
        <w:rPr>
          <w:rFonts w:cs="Calibri"/>
          <w:b/>
          <w:sz w:val="22"/>
          <w:szCs w:val="22"/>
        </w:rPr>
      </w:pPr>
      <w:r w:rsidRPr="00882EEB">
        <w:rPr>
          <w:rFonts w:cs="Calibri"/>
          <w:b/>
          <w:sz w:val="22"/>
          <w:szCs w:val="22"/>
        </w:rPr>
        <w:t>P</w:t>
      </w:r>
      <w:r w:rsidR="00D477C4" w:rsidRPr="00882EEB">
        <w:rPr>
          <w:rFonts w:cs="Calibri"/>
          <w:b/>
          <w:sz w:val="22"/>
          <w:szCs w:val="22"/>
        </w:rPr>
        <w:t>ayment</w:t>
      </w:r>
      <w:r w:rsidRPr="00882EEB">
        <w:rPr>
          <w:rFonts w:cs="Calibri"/>
          <w:b/>
          <w:sz w:val="22"/>
          <w:szCs w:val="22"/>
        </w:rPr>
        <w:t xml:space="preserve"> 2</w:t>
      </w:r>
      <w:r w:rsidR="00D477C4" w:rsidRPr="00882EEB">
        <w:rPr>
          <w:rFonts w:cs="Calibri"/>
          <w:b/>
          <w:sz w:val="22"/>
          <w:szCs w:val="22"/>
        </w:rPr>
        <w:t>: 40% of total contract amount;</w:t>
      </w:r>
    </w:p>
    <w:p w14:paraId="4405E0B9" w14:textId="77777777" w:rsidR="00882EEB" w:rsidRPr="00882EEB" w:rsidRDefault="00882EEB" w:rsidP="00882EEB">
      <w:pPr>
        <w:pStyle w:val="ListParagraph"/>
        <w:rPr>
          <w:rFonts w:cs="Calibri"/>
          <w:i/>
          <w:sz w:val="22"/>
          <w:szCs w:val="22"/>
          <w:u w:val="single"/>
        </w:rPr>
      </w:pPr>
    </w:p>
    <w:p w14:paraId="00E56B49" w14:textId="5632DF4B" w:rsidR="00B75A47" w:rsidRDefault="00B75A47" w:rsidP="00882EEB">
      <w:pPr>
        <w:pStyle w:val="ListParagraph"/>
        <w:numPr>
          <w:ilvl w:val="0"/>
          <w:numId w:val="6"/>
        </w:numPr>
        <w:spacing w:line="240" w:lineRule="auto"/>
        <w:ind w:left="360"/>
        <w:rPr>
          <w:rFonts w:cs="Calibri"/>
          <w:sz w:val="22"/>
          <w:szCs w:val="22"/>
        </w:rPr>
      </w:pPr>
      <w:r w:rsidRPr="00882EEB">
        <w:rPr>
          <w:rFonts w:cs="Calibri"/>
          <w:i/>
          <w:sz w:val="22"/>
          <w:szCs w:val="22"/>
          <w:u w:val="single"/>
        </w:rPr>
        <w:t>Deliverable 4</w:t>
      </w:r>
      <w:r w:rsidRPr="00882EEB">
        <w:rPr>
          <w:rFonts w:cs="Calibri"/>
          <w:i/>
          <w:sz w:val="22"/>
          <w:szCs w:val="22"/>
        </w:rPr>
        <w:t xml:space="preserve">: </w:t>
      </w:r>
      <w:r w:rsidR="00882EEB" w:rsidRPr="00882EEB">
        <w:rPr>
          <w:rFonts w:cs="Calibri"/>
          <w:sz w:val="22"/>
          <w:szCs w:val="22"/>
        </w:rPr>
        <w:t>Proposed model and strategy for replication and expansion</w:t>
      </w:r>
      <w:r w:rsidR="00882EEB">
        <w:rPr>
          <w:rFonts w:cs="Calibri"/>
          <w:sz w:val="22"/>
          <w:szCs w:val="22"/>
        </w:rPr>
        <w:t xml:space="preserve"> / scale-up of revolving fund for household connection</w:t>
      </w:r>
      <w:r w:rsidR="00D477C4" w:rsidRPr="00882EEB">
        <w:rPr>
          <w:rFonts w:cs="Calibri"/>
          <w:sz w:val="22"/>
          <w:szCs w:val="22"/>
        </w:rPr>
        <w:t xml:space="preserve">, including tools </w:t>
      </w:r>
      <w:r w:rsidR="00882EEB">
        <w:rPr>
          <w:rFonts w:cs="Calibri"/>
          <w:sz w:val="22"/>
          <w:szCs w:val="22"/>
        </w:rPr>
        <w:t>/ materials (end of week 8).</w:t>
      </w:r>
    </w:p>
    <w:p w14:paraId="3D539903" w14:textId="77777777" w:rsidR="00882EEB" w:rsidRPr="00882EEB" w:rsidRDefault="00882EEB" w:rsidP="00882EEB">
      <w:pPr>
        <w:pStyle w:val="ListParagraph"/>
        <w:rPr>
          <w:rFonts w:cs="Calibri"/>
          <w:sz w:val="22"/>
          <w:szCs w:val="22"/>
        </w:rPr>
      </w:pPr>
    </w:p>
    <w:p w14:paraId="535D4CAE" w14:textId="1F8A88B0" w:rsidR="00882EEB" w:rsidRPr="00882EEB" w:rsidRDefault="00882EEB" w:rsidP="00882EEB">
      <w:pPr>
        <w:pStyle w:val="ListParagraph"/>
        <w:numPr>
          <w:ilvl w:val="0"/>
          <w:numId w:val="6"/>
        </w:numPr>
        <w:spacing w:line="240" w:lineRule="auto"/>
        <w:ind w:left="360"/>
        <w:rPr>
          <w:rFonts w:cs="Calibri"/>
          <w:i/>
          <w:sz w:val="22"/>
          <w:szCs w:val="22"/>
          <w:u w:val="single"/>
        </w:rPr>
      </w:pPr>
      <w:r>
        <w:rPr>
          <w:rFonts w:cs="Calibri"/>
          <w:i/>
          <w:sz w:val="22"/>
          <w:szCs w:val="22"/>
          <w:u w:val="single"/>
        </w:rPr>
        <w:lastRenderedPageBreak/>
        <w:t>Deliverable 5:</w:t>
      </w:r>
      <w:r>
        <w:rPr>
          <w:rFonts w:cs="Calibri"/>
          <w:i/>
          <w:sz w:val="22"/>
          <w:szCs w:val="22"/>
        </w:rPr>
        <w:t xml:space="preserve"> </w:t>
      </w:r>
      <w:r>
        <w:rPr>
          <w:rFonts w:cs="Calibri"/>
          <w:sz w:val="22"/>
          <w:szCs w:val="22"/>
        </w:rPr>
        <w:t xml:space="preserve">Summary consultancy report in </w:t>
      </w:r>
      <w:r w:rsidRPr="00882EEB">
        <w:rPr>
          <w:rFonts w:cs="Calibri"/>
          <w:b/>
          <w:sz w:val="22"/>
          <w:szCs w:val="22"/>
          <w:u w:val="single"/>
        </w:rPr>
        <w:t>English and Portuguese</w:t>
      </w:r>
      <w:r>
        <w:rPr>
          <w:rFonts w:cs="Calibri"/>
          <w:sz w:val="22"/>
          <w:szCs w:val="22"/>
        </w:rPr>
        <w:t xml:space="preserve"> (max. 35 pages) highlighting the main findings of the consultancy and recommendations </w:t>
      </w:r>
      <w:r w:rsidR="00CB3D35">
        <w:rPr>
          <w:rFonts w:cs="Calibri"/>
          <w:sz w:val="22"/>
          <w:szCs w:val="22"/>
        </w:rPr>
        <w:t xml:space="preserve">on the </w:t>
      </w:r>
      <w:r>
        <w:rPr>
          <w:rFonts w:cs="Calibri"/>
          <w:sz w:val="22"/>
          <w:szCs w:val="22"/>
        </w:rPr>
        <w:t>way</w:t>
      </w:r>
      <w:r w:rsidR="00CB3D35">
        <w:rPr>
          <w:rFonts w:cs="Calibri"/>
          <w:sz w:val="22"/>
          <w:szCs w:val="22"/>
        </w:rPr>
        <w:t xml:space="preserve"> </w:t>
      </w:r>
      <w:r>
        <w:rPr>
          <w:rFonts w:cs="Calibri"/>
          <w:sz w:val="22"/>
          <w:szCs w:val="22"/>
        </w:rPr>
        <w:t xml:space="preserve">forward.  A power point presentation, </w:t>
      </w:r>
      <w:r w:rsidRPr="00882EEB">
        <w:rPr>
          <w:rFonts w:cs="Calibri"/>
          <w:b/>
          <w:sz w:val="22"/>
          <w:szCs w:val="22"/>
        </w:rPr>
        <w:t xml:space="preserve">in English </w:t>
      </w:r>
      <w:r w:rsidR="00CB3D35">
        <w:rPr>
          <w:rFonts w:cs="Calibri"/>
          <w:b/>
          <w:sz w:val="22"/>
          <w:szCs w:val="22"/>
        </w:rPr>
        <w:t>and</w:t>
      </w:r>
      <w:r w:rsidR="00CB3D35" w:rsidRPr="00882EEB">
        <w:rPr>
          <w:rFonts w:cs="Calibri"/>
          <w:b/>
          <w:sz w:val="22"/>
          <w:szCs w:val="22"/>
        </w:rPr>
        <w:t xml:space="preserve"> </w:t>
      </w:r>
      <w:r w:rsidRPr="00882EEB">
        <w:rPr>
          <w:rFonts w:cs="Calibri"/>
          <w:b/>
          <w:sz w:val="22"/>
          <w:szCs w:val="22"/>
        </w:rPr>
        <w:t>Portuguese</w:t>
      </w:r>
      <w:r>
        <w:rPr>
          <w:rFonts w:cs="Calibri"/>
          <w:b/>
          <w:sz w:val="22"/>
          <w:szCs w:val="22"/>
        </w:rPr>
        <w:t xml:space="preserve"> </w:t>
      </w:r>
      <w:r>
        <w:rPr>
          <w:rFonts w:cs="Calibri"/>
          <w:sz w:val="22"/>
          <w:szCs w:val="22"/>
        </w:rPr>
        <w:t xml:space="preserve">(max 15 slides) </w:t>
      </w:r>
      <w:r w:rsidR="00CB3D35">
        <w:rPr>
          <w:rFonts w:cs="Calibri"/>
          <w:sz w:val="22"/>
          <w:szCs w:val="22"/>
        </w:rPr>
        <w:t xml:space="preserve">will </w:t>
      </w:r>
      <w:r>
        <w:rPr>
          <w:rFonts w:cs="Calibri"/>
          <w:sz w:val="22"/>
          <w:szCs w:val="22"/>
        </w:rPr>
        <w:t>be developed in conjunction with the report.  All materials collected and developed during the consultancy to be presented in electronic format</w:t>
      </w:r>
      <w:r w:rsidR="00456EC5">
        <w:rPr>
          <w:rFonts w:cs="Calibri"/>
          <w:sz w:val="22"/>
          <w:szCs w:val="22"/>
        </w:rPr>
        <w:t xml:space="preserve"> (end of week </w:t>
      </w:r>
      <w:r w:rsidR="00287A27">
        <w:rPr>
          <w:rFonts w:cs="Calibri"/>
          <w:sz w:val="22"/>
          <w:szCs w:val="22"/>
        </w:rPr>
        <w:t>10</w:t>
      </w:r>
      <w:r w:rsidR="00456EC5">
        <w:rPr>
          <w:rFonts w:cs="Calibri"/>
          <w:sz w:val="22"/>
          <w:szCs w:val="22"/>
        </w:rPr>
        <w:t>)</w:t>
      </w:r>
    </w:p>
    <w:p w14:paraId="2D96ACCA" w14:textId="79021311" w:rsidR="00456EC5" w:rsidRDefault="00456EC5" w:rsidP="00456EC5">
      <w:pPr>
        <w:pStyle w:val="ListParagraph"/>
        <w:spacing w:line="240" w:lineRule="auto"/>
        <w:ind w:left="360"/>
        <w:rPr>
          <w:rFonts w:cs="Calibri"/>
          <w:sz w:val="22"/>
          <w:szCs w:val="22"/>
        </w:rPr>
      </w:pPr>
    </w:p>
    <w:p w14:paraId="74AFF350" w14:textId="115030DA" w:rsidR="00456EC5" w:rsidRPr="00882EEB" w:rsidRDefault="00456EC5" w:rsidP="00456EC5">
      <w:pPr>
        <w:pStyle w:val="ListParagraph"/>
        <w:spacing w:line="240" w:lineRule="auto"/>
        <w:ind w:left="360"/>
        <w:rPr>
          <w:rFonts w:cs="Calibri"/>
          <w:b/>
          <w:sz w:val="22"/>
          <w:szCs w:val="22"/>
        </w:rPr>
      </w:pPr>
      <w:r w:rsidRPr="00882EEB">
        <w:rPr>
          <w:rFonts w:cs="Calibri"/>
          <w:b/>
          <w:sz w:val="22"/>
          <w:szCs w:val="22"/>
        </w:rPr>
        <w:t xml:space="preserve">Payment </w:t>
      </w:r>
      <w:r>
        <w:rPr>
          <w:rFonts w:cs="Calibri"/>
          <w:b/>
          <w:sz w:val="22"/>
          <w:szCs w:val="22"/>
        </w:rPr>
        <w:t>3</w:t>
      </w:r>
      <w:r w:rsidRPr="00882EEB">
        <w:rPr>
          <w:rFonts w:cs="Calibri"/>
          <w:b/>
          <w:sz w:val="22"/>
          <w:szCs w:val="22"/>
        </w:rPr>
        <w:t>: 40% of total contract amount;</w:t>
      </w:r>
    </w:p>
    <w:p w14:paraId="32D809A2" w14:textId="77777777" w:rsidR="00882EEB" w:rsidRPr="00882EEB" w:rsidRDefault="00882EEB" w:rsidP="00882EEB">
      <w:pPr>
        <w:ind w:left="360"/>
        <w:rPr>
          <w:rFonts w:cs="Calibri"/>
          <w:szCs w:val="22"/>
          <w:lang w:val="en-GB"/>
        </w:rPr>
      </w:pPr>
    </w:p>
    <w:p w14:paraId="41E27F83" w14:textId="31030CD4" w:rsidR="00DA43F5" w:rsidRDefault="00337D4D" w:rsidP="00DA0337">
      <w:pPr>
        <w:spacing w:line="240" w:lineRule="auto"/>
        <w:contextualSpacing/>
        <w:rPr>
          <w:rFonts w:cs="Calibri"/>
          <w:szCs w:val="22"/>
        </w:rPr>
      </w:pPr>
      <w:r w:rsidRPr="00407A6B">
        <w:rPr>
          <w:rFonts w:cs="Calibri"/>
          <w:szCs w:val="22"/>
        </w:rPr>
        <w:t>Payments will be made</w:t>
      </w:r>
      <w:r w:rsidRPr="00456EC5">
        <w:rPr>
          <w:rFonts w:cs="Calibri"/>
          <w:szCs w:val="22"/>
        </w:rPr>
        <w:t xml:space="preserve"> </w:t>
      </w:r>
      <w:r w:rsidR="002945C8" w:rsidRPr="00714B3C">
        <w:rPr>
          <w:rFonts w:cs="Calibri"/>
          <w:szCs w:val="22"/>
        </w:rPr>
        <w:t>upon acceptance of the corresponding deliverable</w:t>
      </w:r>
      <w:r w:rsidR="00B75A47">
        <w:rPr>
          <w:rFonts w:cs="Calibri"/>
          <w:szCs w:val="22"/>
        </w:rPr>
        <w:t>s</w:t>
      </w:r>
      <w:r w:rsidR="002945C8" w:rsidRPr="00714B3C">
        <w:rPr>
          <w:rFonts w:cs="Calibri"/>
          <w:szCs w:val="22"/>
        </w:rPr>
        <w:t xml:space="preserve"> </w:t>
      </w:r>
      <w:r w:rsidR="00407A6B">
        <w:rPr>
          <w:rFonts w:cs="Calibri"/>
          <w:szCs w:val="22"/>
        </w:rPr>
        <w:t xml:space="preserve">as per indicated above, </w:t>
      </w:r>
      <w:r w:rsidR="002945C8" w:rsidRPr="00714B3C">
        <w:rPr>
          <w:rFonts w:cs="Calibri"/>
          <w:szCs w:val="22"/>
        </w:rPr>
        <w:t xml:space="preserve">and against an invoice that will reference the contract and deliverable numbers. Payments will be approved by </w:t>
      </w:r>
      <w:r w:rsidR="00C33F30">
        <w:rPr>
          <w:rFonts w:cs="Calibri"/>
          <w:szCs w:val="22"/>
        </w:rPr>
        <w:t>C</w:t>
      </w:r>
      <w:r w:rsidR="002945C8" w:rsidRPr="00714B3C">
        <w:rPr>
          <w:rFonts w:cs="Calibri"/>
          <w:szCs w:val="22"/>
        </w:rPr>
        <w:t>hief</w:t>
      </w:r>
      <w:r w:rsidR="00C33F30">
        <w:rPr>
          <w:rFonts w:cs="Calibri"/>
          <w:szCs w:val="22"/>
        </w:rPr>
        <w:t xml:space="preserve"> of WASH or his delegate</w:t>
      </w:r>
      <w:r w:rsidR="002945C8" w:rsidRPr="00714B3C">
        <w:rPr>
          <w:rFonts w:cs="Calibri"/>
          <w:szCs w:val="22"/>
        </w:rPr>
        <w:t>.</w:t>
      </w:r>
    </w:p>
    <w:p w14:paraId="12DF674E" w14:textId="77777777" w:rsidR="00B75A47" w:rsidRDefault="00B75A47" w:rsidP="00DA0337">
      <w:pPr>
        <w:spacing w:line="240" w:lineRule="auto"/>
        <w:contextualSpacing/>
        <w:rPr>
          <w:rFonts w:cs="Calibri"/>
          <w:szCs w:val="22"/>
        </w:rPr>
      </w:pPr>
    </w:p>
    <w:p w14:paraId="6DE529C2" w14:textId="2FC31D96" w:rsidR="002945C8" w:rsidRPr="00714B3C" w:rsidRDefault="002945C8" w:rsidP="00DA0337">
      <w:pPr>
        <w:spacing w:line="240" w:lineRule="auto"/>
        <w:contextualSpacing/>
        <w:rPr>
          <w:rFonts w:cs="Calibri"/>
          <w:b/>
          <w:color w:val="FF6600"/>
          <w:sz w:val="24"/>
          <w:szCs w:val="22"/>
          <w:lang w:val="en-GB"/>
        </w:rPr>
      </w:pPr>
      <w:r w:rsidRPr="00714B3C">
        <w:rPr>
          <w:rFonts w:cs="Calibri"/>
          <w:b/>
          <w:color w:val="FF6600"/>
          <w:sz w:val="24"/>
          <w:szCs w:val="22"/>
          <w:lang w:val="en-GB"/>
        </w:rPr>
        <w:t xml:space="preserve">MANAGEMENT AND SUPERVISION. </w:t>
      </w:r>
    </w:p>
    <w:p w14:paraId="0D773EEF" w14:textId="7F266DBE" w:rsidR="002945C8" w:rsidRDefault="002945C8" w:rsidP="00DA0337">
      <w:pPr>
        <w:spacing w:line="240" w:lineRule="auto"/>
        <w:contextualSpacing/>
        <w:rPr>
          <w:rFonts w:cs="Calibri"/>
          <w:snapToGrid w:val="0"/>
          <w:color w:val="7F7F7F" w:themeColor="text1" w:themeTint="80"/>
          <w:sz w:val="18"/>
          <w:szCs w:val="22"/>
        </w:rPr>
      </w:pPr>
    </w:p>
    <w:p w14:paraId="004D093D" w14:textId="6710E686" w:rsidR="00815B2F" w:rsidRPr="00815B2F" w:rsidRDefault="00815B2F" w:rsidP="00DA0337">
      <w:pPr>
        <w:spacing w:line="240" w:lineRule="auto"/>
        <w:contextualSpacing/>
        <w:rPr>
          <w:rFonts w:cs="Calibri"/>
          <w:szCs w:val="22"/>
        </w:rPr>
      </w:pPr>
      <w:r>
        <w:rPr>
          <w:rFonts w:cs="Calibri"/>
          <w:szCs w:val="22"/>
        </w:rPr>
        <w:t>The Consultant will work</w:t>
      </w:r>
      <w:r w:rsidRPr="00815B2F">
        <w:rPr>
          <w:rFonts w:cs="Calibri"/>
          <w:szCs w:val="22"/>
        </w:rPr>
        <w:t xml:space="preserve"> under the supervision of the WASH Specialist, in close interaction with other members of the WASH team as a</w:t>
      </w:r>
      <w:r w:rsidR="00E6365B">
        <w:rPr>
          <w:rFonts w:cs="Calibri"/>
          <w:szCs w:val="22"/>
        </w:rPr>
        <w:t>ppropriate.</w:t>
      </w:r>
    </w:p>
    <w:p w14:paraId="79032DCA" w14:textId="77777777" w:rsidR="00815B2F" w:rsidRPr="00714B3C" w:rsidRDefault="00815B2F" w:rsidP="00DA0337">
      <w:pPr>
        <w:spacing w:line="240" w:lineRule="auto"/>
        <w:contextualSpacing/>
        <w:rPr>
          <w:rFonts w:cs="Calibri"/>
          <w:szCs w:val="22"/>
        </w:rPr>
      </w:pPr>
    </w:p>
    <w:p w14:paraId="69788091" w14:textId="3EC0E578" w:rsidR="002945C8" w:rsidRPr="00714B3C" w:rsidRDefault="002945C8" w:rsidP="00DA0337">
      <w:pPr>
        <w:spacing w:line="240" w:lineRule="auto"/>
        <w:contextualSpacing/>
        <w:rPr>
          <w:rFonts w:cs="Calibri"/>
          <w:b/>
          <w:color w:val="FF6600"/>
          <w:sz w:val="24"/>
          <w:szCs w:val="22"/>
          <w:lang w:val="en-GB"/>
        </w:rPr>
      </w:pPr>
      <w:r w:rsidRPr="00714B3C">
        <w:rPr>
          <w:rFonts w:cs="Calibri"/>
          <w:b/>
          <w:color w:val="FF6600"/>
          <w:sz w:val="24"/>
          <w:szCs w:val="22"/>
          <w:lang w:val="en-GB"/>
        </w:rPr>
        <w:t>QUALIFICATIONS AND SPECIALIZED KNOWLEDGE.</w:t>
      </w:r>
    </w:p>
    <w:p w14:paraId="13BA55AA" w14:textId="77777777" w:rsidR="002945C8" w:rsidRPr="00882EEB" w:rsidRDefault="002945C8" w:rsidP="00DA0337">
      <w:pPr>
        <w:spacing w:line="240" w:lineRule="auto"/>
        <w:contextualSpacing/>
        <w:rPr>
          <w:rFonts w:cs="Calibri"/>
          <w:szCs w:val="22"/>
          <w:lang w:val="en-GB"/>
        </w:rPr>
      </w:pPr>
    </w:p>
    <w:p w14:paraId="6D2D770D" w14:textId="25FC4A84" w:rsidR="00487F79" w:rsidRPr="00882EEB" w:rsidRDefault="00E14A36" w:rsidP="0062418E">
      <w:pPr>
        <w:pStyle w:val="ListParagraph"/>
        <w:numPr>
          <w:ilvl w:val="0"/>
          <w:numId w:val="5"/>
        </w:numPr>
        <w:spacing w:line="240" w:lineRule="auto"/>
        <w:rPr>
          <w:rFonts w:cs="Calibri"/>
          <w:sz w:val="22"/>
          <w:szCs w:val="22"/>
        </w:rPr>
      </w:pPr>
      <w:r w:rsidRPr="00882EEB">
        <w:rPr>
          <w:rFonts w:cs="Calibri"/>
          <w:sz w:val="22"/>
          <w:szCs w:val="22"/>
        </w:rPr>
        <w:t>Uni</w:t>
      </w:r>
      <w:r w:rsidR="00D93598" w:rsidRPr="00882EEB">
        <w:rPr>
          <w:rFonts w:cs="Calibri"/>
          <w:sz w:val="22"/>
          <w:szCs w:val="22"/>
        </w:rPr>
        <w:t>v</w:t>
      </w:r>
      <w:r w:rsidRPr="00882EEB">
        <w:rPr>
          <w:rFonts w:cs="Calibri"/>
          <w:sz w:val="22"/>
          <w:szCs w:val="22"/>
        </w:rPr>
        <w:t xml:space="preserve">ersity </w:t>
      </w:r>
      <w:r w:rsidR="005C1096" w:rsidRPr="00882EEB">
        <w:rPr>
          <w:rFonts w:cs="Calibri"/>
          <w:sz w:val="22"/>
          <w:szCs w:val="22"/>
        </w:rPr>
        <w:t>d</w:t>
      </w:r>
      <w:r w:rsidRPr="00882EEB">
        <w:rPr>
          <w:rFonts w:cs="Calibri"/>
          <w:sz w:val="22"/>
          <w:szCs w:val="22"/>
        </w:rPr>
        <w:t xml:space="preserve">egree </w:t>
      </w:r>
      <w:r w:rsidR="005C1096" w:rsidRPr="00882EEB">
        <w:rPr>
          <w:rFonts w:cs="Calibri"/>
          <w:sz w:val="22"/>
          <w:szCs w:val="22"/>
        </w:rPr>
        <w:t>in</w:t>
      </w:r>
      <w:r w:rsidR="00CA5AAA" w:rsidRPr="00882EEB">
        <w:rPr>
          <w:rFonts w:cs="Calibri"/>
          <w:sz w:val="22"/>
          <w:szCs w:val="22"/>
        </w:rPr>
        <w:t xml:space="preserve"> </w:t>
      </w:r>
      <w:r w:rsidR="00487F79" w:rsidRPr="00882EEB">
        <w:rPr>
          <w:rFonts w:cs="Calibri"/>
          <w:sz w:val="22"/>
          <w:szCs w:val="22"/>
        </w:rPr>
        <w:t xml:space="preserve">business development / administration, finance or economics, </w:t>
      </w:r>
      <w:r w:rsidR="00CB3D35">
        <w:rPr>
          <w:rFonts w:cs="Calibri"/>
          <w:sz w:val="22"/>
          <w:szCs w:val="22"/>
        </w:rPr>
        <w:t xml:space="preserve">or related degree </w:t>
      </w:r>
      <w:r w:rsidR="00487F79" w:rsidRPr="00882EEB">
        <w:rPr>
          <w:rFonts w:cs="Calibri"/>
          <w:sz w:val="22"/>
          <w:szCs w:val="22"/>
        </w:rPr>
        <w:t>with demonstrated knowledge of</w:t>
      </w:r>
      <w:r w:rsidR="004A59D1" w:rsidRPr="00882EEB">
        <w:rPr>
          <w:rFonts w:cs="Calibri"/>
          <w:sz w:val="22"/>
          <w:szCs w:val="22"/>
        </w:rPr>
        <w:t xml:space="preserve"> application of innovative financing mechanisms in development </w:t>
      </w:r>
      <w:r w:rsidR="0062418E" w:rsidRPr="00882EEB">
        <w:rPr>
          <w:rFonts w:cs="Calibri"/>
          <w:sz w:val="22"/>
          <w:szCs w:val="22"/>
        </w:rPr>
        <w:t>int</w:t>
      </w:r>
      <w:r w:rsidR="00CB00CC" w:rsidRPr="00882EEB">
        <w:rPr>
          <w:rFonts w:cs="Calibri"/>
          <w:sz w:val="22"/>
          <w:szCs w:val="22"/>
        </w:rPr>
        <w:t>erventions;</w:t>
      </w:r>
    </w:p>
    <w:p w14:paraId="0F578D07" w14:textId="4188904A" w:rsidR="00D93598" w:rsidRPr="00882EEB" w:rsidRDefault="00D93598" w:rsidP="00D477C4">
      <w:pPr>
        <w:pStyle w:val="ListParagraph"/>
        <w:numPr>
          <w:ilvl w:val="0"/>
          <w:numId w:val="5"/>
        </w:numPr>
        <w:spacing w:line="240" w:lineRule="auto"/>
        <w:rPr>
          <w:rFonts w:cs="Calibri"/>
          <w:sz w:val="22"/>
          <w:szCs w:val="22"/>
        </w:rPr>
      </w:pPr>
      <w:r w:rsidRPr="00882EEB">
        <w:rPr>
          <w:rFonts w:cs="Calibri"/>
          <w:sz w:val="22"/>
          <w:szCs w:val="22"/>
        </w:rPr>
        <w:t xml:space="preserve">Previous experience </w:t>
      </w:r>
      <w:r w:rsidR="00487F79" w:rsidRPr="00882EEB">
        <w:rPr>
          <w:rFonts w:cs="Calibri"/>
          <w:sz w:val="22"/>
          <w:szCs w:val="22"/>
        </w:rPr>
        <w:t>in working with micro-financing / micro-credits in developing countries, including the development</w:t>
      </w:r>
      <w:r w:rsidRPr="00882EEB">
        <w:rPr>
          <w:rFonts w:cs="Calibri"/>
          <w:sz w:val="22"/>
          <w:szCs w:val="22"/>
        </w:rPr>
        <w:t>, setting up</w:t>
      </w:r>
      <w:r w:rsidR="00487F79" w:rsidRPr="00882EEB">
        <w:rPr>
          <w:rFonts w:cs="Calibri"/>
          <w:sz w:val="22"/>
          <w:szCs w:val="22"/>
        </w:rPr>
        <w:t xml:space="preserve"> and / or implementation of revolving funds or </w:t>
      </w:r>
      <w:r w:rsidRPr="00882EEB">
        <w:rPr>
          <w:rFonts w:cs="Calibri"/>
          <w:sz w:val="22"/>
          <w:szCs w:val="22"/>
        </w:rPr>
        <w:t>small-scale innovative financing</w:t>
      </w:r>
      <w:r w:rsidR="00487F79" w:rsidRPr="00882EEB">
        <w:rPr>
          <w:rFonts w:cs="Calibri"/>
          <w:sz w:val="22"/>
          <w:szCs w:val="22"/>
        </w:rPr>
        <w:t>.  Specific experience in Mozambique is an asset</w:t>
      </w:r>
      <w:r w:rsidR="00CB00CC" w:rsidRPr="00882EEB">
        <w:rPr>
          <w:rFonts w:cs="Calibri"/>
          <w:sz w:val="22"/>
          <w:szCs w:val="22"/>
        </w:rPr>
        <w:t>;</w:t>
      </w:r>
    </w:p>
    <w:p w14:paraId="3F89AE45" w14:textId="495558F6" w:rsidR="0062418E" w:rsidRPr="00882EEB" w:rsidRDefault="00CB00CC" w:rsidP="00D477C4">
      <w:pPr>
        <w:pStyle w:val="ListParagraph"/>
        <w:numPr>
          <w:ilvl w:val="0"/>
          <w:numId w:val="5"/>
        </w:numPr>
        <w:spacing w:line="240" w:lineRule="auto"/>
        <w:rPr>
          <w:rFonts w:cs="Calibri"/>
          <w:sz w:val="22"/>
          <w:szCs w:val="22"/>
        </w:rPr>
      </w:pPr>
      <w:r w:rsidRPr="00882EEB">
        <w:rPr>
          <w:rFonts w:cs="Calibri"/>
          <w:sz w:val="22"/>
          <w:szCs w:val="22"/>
        </w:rPr>
        <w:t xml:space="preserve">Previous experience </w:t>
      </w:r>
      <w:r w:rsidR="0062418E" w:rsidRPr="00882EEB">
        <w:rPr>
          <w:rFonts w:cs="Calibri"/>
          <w:sz w:val="22"/>
          <w:szCs w:val="22"/>
        </w:rPr>
        <w:t xml:space="preserve">in working with small / medium scale </w:t>
      </w:r>
      <w:r w:rsidRPr="00882EEB">
        <w:rPr>
          <w:rFonts w:cs="Calibri"/>
          <w:sz w:val="22"/>
          <w:szCs w:val="22"/>
        </w:rPr>
        <w:t xml:space="preserve">service delivery enterprises / companies for development of </w:t>
      </w:r>
      <w:r w:rsidR="0062418E" w:rsidRPr="00882EEB">
        <w:rPr>
          <w:rFonts w:cs="Calibri"/>
          <w:sz w:val="22"/>
          <w:szCs w:val="22"/>
        </w:rPr>
        <w:t>business / marketing plans</w:t>
      </w:r>
      <w:r w:rsidRPr="00882EEB">
        <w:rPr>
          <w:rFonts w:cs="Calibri"/>
          <w:sz w:val="22"/>
          <w:szCs w:val="22"/>
        </w:rPr>
        <w:t>;</w:t>
      </w:r>
    </w:p>
    <w:p w14:paraId="5CE0F028" w14:textId="57274645" w:rsidR="00CB00CC" w:rsidRPr="00882EEB" w:rsidRDefault="00CB00CC" w:rsidP="00D477C4">
      <w:pPr>
        <w:pStyle w:val="ListParagraph"/>
        <w:numPr>
          <w:ilvl w:val="0"/>
          <w:numId w:val="5"/>
        </w:numPr>
        <w:spacing w:line="240" w:lineRule="auto"/>
        <w:rPr>
          <w:rFonts w:cs="Calibri"/>
          <w:sz w:val="22"/>
          <w:szCs w:val="22"/>
        </w:rPr>
      </w:pPr>
      <w:r w:rsidRPr="00882EEB">
        <w:rPr>
          <w:rFonts w:cs="Calibri"/>
          <w:sz w:val="22"/>
          <w:szCs w:val="22"/>
        </w:rPr>
        <w:t>Demonstrated experience in conducting analysis, documentation and strategies for development interventions in Africa;</w:t>
      </w:r>
    </w:p>
    <w:p w14:paraId="6BFB6EC7" w14:textId="5AC37195" w:rsidR="00CB00CC" w:rsidRDefault="00CB00CC" w:rsidP="00D477C4">
      <w:pPr>
        <w:pStyle w:val="ListParagraph"/>
        <w:numPr>
          <w:ilvl w:val="0"/>
          <w:numId w:val="5"/>
        </w:numPr>
        <w:spacing w:line="240" w:lineRule="auto"/>
        <w:rPr>
          <w:rFonts w:cs="Calibri"/>
          <w:sz w:val="22"/>
          <w:szCs w:val="22"/>
        </w:rPr>
      </w:pPr>
      <w:r w:rsidRPr="00882EEB">
        <w:rPr>
          <w:rFonts w:cs="Calibri"/>
          <w:sz w:val="22"/>
          <w:szCs w:val="22"/>
        </w:rPr>
        <w:t>Demonstrated experience of working with Government authorities, business community, development partners, and other international financial institutions;</w:t>
      </w:r>
    </w:p>
    <w:p w14:paraId="16E953D9" w14:textId="34E25290" w:rsidR="00CB3D35" w:rsidRPr="00882EEB" w:rsidRDefault="00CB3D35" w:rsidP="00D477C4">
      <w:pPr>
        <w:pStyle w:val="ListParagraph"/>
        <w:numPr>
          <w:ilvl w:val="0"/>
          <w:numId w:val="5"/>
        </w:numPr>
        <w:spacing w:line="240" w:lineRule="auto"/>
        <w:rPr>
          <w:rFonts w:cs="Calibri"/>
          <w:sz w:val="22"/>
          <w:szCs w:val="22"/>
        </w:rPr>
      </w:pPr>
      <w:r>
        <w:rPr>
          <w:rFonts w:cs="Calibri"/>
          <w:sz w:val="22"/>
          <w:szCs w:val="22"/>
        </w:rPr>
        <w:t>Previous work experience in the water sector, preferably at the urban and peri-urban levels.</w:t>
      </w:r>
    </w:p>
    <w:p w14:paraId="4AD4B2FD" w14:textId="29A1E59A" w:rsidR="002945C8" w:rsidRPr="00CA5AAA" w:rsidRDefault="002945C8" w:rsidP="00DA0337">
      <w:pPr>
        <w:pStyle w:val="ListParagraph"/>
        <w:numPr>
          <w:ilvl w:val="0"/>
          <w:numId w:val="5"/>
        </w:numPr>
        <w:spacing w:line="240" w:lineRule="auto"/>
        <w:rPr>
          <w:rFonts w:cs="Calibri"/>
          <w:szCs w:val="22"/>
        </w:rPr>
      </w:pPr>
      <w:r w:rsidRPr="00882EEB">
        <w:rPr>
          <w:rFonts w:cs="Calibri"/>
          <w:sz w:val="22"/>
          <w:szCs w:val="22"/>
        </w:rPr>
        <w:t>Fluency in Portuguese and English</w:t>
      </w:r>
      <w:r w:rsidR="00487F79" w:rsidRPr="00882EEB">
        <w:rPr>
          <w:rFonts w:cs="Calibri"/>
          <w:sz w:val="22"/>
          <w:szCs w:val="22"/>
        </w:rPr>
        <w:t>.</w:t>
      </w:r>
    </w:p>
    <w:p w14:paraId="4AFDCD9A" w14:textId="77777777" w:rsidR="002945C8" w:rsidRPr="008A1004" w:rsidRDefault="002945C8" w:rsidP="00DA0337">
      <w:pPr>
        <w:spacing w:line="240" w:lineRule="auto"/>
        <w:contextualSpacing/>
        <w:rPr>
          <w:rFonts w:cs="Calibri"/>
          <w:szCs w:val="22"/>
        </w:rPr>
      </w:pPr>
    </w:p>
    <w:p w14:paraId="38EC6A63" w14:textId="2DB34EFA" w:rsidR="00714B3C" w:rsidRPr="00714B3C" w:rsidRDefault="00714B3C" w:rsidP="00DA0337">
      <w:pPr>
        <w:spacing w:line="240" w:lineRule="auto"/>
        <w:contextualSpacing/>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0315E6E6" w14:textId="77777777" w:rsidR="002945C8" w:rsidRPr="00714B3C" w:rsidRDefault="002945C8" w:rsidP="00DA0337">
      <w:pPr>
        <w:spacing w:line="240" w:lineRule="auto"/>
        <w:contextualSpacing/>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2963"/>
        <w:gridCol w:w="1078"/>
        <w:gridCol w:w="1078"/>
        <w:gridCol w:w="5328"/>
      </w:tblGrid>
      <w:tr w:rsidR="00714B3C" w:rsidRPr="00714B3C" w14:paraId="55ABE49E" w14:textId="77777777" w:rsidTr="00714B3C">
        <w:trPr>
          <w:trHeight w:val="20"/>
        </w:trPr>
        <w:tc>
          <w:tcPr>
            <w:tcW w:w="1418" w:type="pct"/>
            <w:vMerge w:val="restart"/>
            <w:shd w:val="clear" w:color="auto" w:fill="DDD9C3" w:themeFill="background2" w:themeFillShade="E6"/>
            <w:vAlign w:val="center"/>
          </w:tcPr>
          <w:p w14:paraId="7A47C192" w14:textId="77777777" w:rsidR="002945C8" w:rsidRPr="00714B3C" w:rsidRDefault="002945C8" w:rsidP="00DA0337">
            <w:pPr>
              <w:spacing w:line="240" w:lineRule="auto"/>
              <w:contextualSpacing/>
              <w:rPr>
                <w:rFonts w:cs="Calibri"/>
                <w:b/>
                <w:szCs w:val="22"/>
                <w:lang w:val="es-419"/>
              </w:rPr>
            </w:pPr>
            <w:proofErr w:type="spellStart"/>
            <w:r w:rsidRPr="00714B3C">
              <w:rPr>
                <w:rFonts w:cs="Calibri"/>
                <w:b/>
                <w:szCs w:val="22"/>
                <w:lang w:val="es-419"/>
              </w:rPr>
              <w:t>Items</w:t>
            </w:r>
            <w:proofErr w:type="spellEnd"/>
          </w:p>
        </w:tc>
        <w:tc>
          <w:tcPr>
            <w:tcW w:w="1032" w:type="pct"/>
            <w:gridSpan w:val="2"/>
            <w:shd w:val="clear" w:color="auto" w:fill="DDD9C3" w:themeFill="background2" w:themeFillShade="E6"/>
          </w:tcPr>
          <w:p w14:paraId="2DD9EAD7" w14:textId="77777777" w:rsidR="002945C8" w:rsidRPr="00714B3C" w:rsidRDefault="002945C8" w:rsidP="00DA0337">
            <w:pPr>
              <w:spacing w:line="240" w:lineRule="auto"/>
              <w:contextualSpacing/>
              <w:rPr>
                <w:rFonts w:cs="Calibri"/>
                <w:b/>
                <w:szCs w:val="22"/>
              </w:rPr>
            </w:pPr>
            <w:r w:rsidRPr="00714B3C">
              <w:rPr>
                <w:rFonts w:cs="Calibri"/>
                <w:b/>
                <w:szCs w:val="22"/>
                <w:lang w:val="es-419"/>
              </w:rPr>
              <w:t>P</w:t>
            </w:r>
            <w:proofErr w:type="spellStart"/>
            <w:r w:rsidRPr="00714B3C">
              <w:rPr>
                <w:rFonts w:cs="Calibri"/>
                <w:b/>
                <w:szCs w:val="22"/>
              </w:rPr>
              <w:t>rovided</w:t>
            </w:r>
            <w:proofErr w:type="spellEnd"/>
            <w:r w:rsidRPr="00714B3C">
              <w:rPr>
                <w:rFonts w:cs="Calibri"/>
                <w:b/>
                <w:szCs w:val="22"/>
              </w:rPr>
              <w:t xml:space="preserve"> by UNICEF</w:t>
            </w:r>
          </w:p>
        </w:tc>
        <w:tc>
          <w:tcPr>
            <w:tcW w:w="2549" w:type="pct"/>
            <w:vMerge w:val="restart"/>
            <w:shd w:val="clear" w:color="auto" w:fill="DDD9C3" w:themeFill="background2" w:themeFillShade="E6"/>
            <w:vAlign w:val="center"/>
          </w:tcPr>
          <w:p w14:paraId="1C12FAC5" w14:textId="77777777" w:rsidR="002945C8" w:rsidRPr="00714B3C" w:rsidRDefault="002945C8" w:rsidP="00DA0337">
            <w:pPr>
              <w:spacing w:line="240" w:lineRule="auto"/>
              <w:contextualSpacing/>
              <w:rPr>
                <w:rFonts w:cs="Calibri"/>
                <w:b/>
                <w:szCs w:val="22"/>
              </w:rPr>
            </w:pPr>
          </w:p>
          <w:p w14:paraId="1F2B280B" w14:textId="77777777" w:rsidR="002945C8" w:rsidRPr="00714B3C" w:rsidRDefault="002945C8" w:rsidP="00DA0337">
            <w:pPr>
              <w:spacing w:line="240" w:lineRule="auto"/>
              <w:contextualSpacing/>
              <w:rPr>
                <w:rFonts w:cs="Calibri"/>
                <w:b/>
                <w:szCs w:val="22"/>
              </w:rPr>
            </w:pPr>
            <w:r w:rsidRPr="00714B3C">
              <w:rPr>
                <w:rFonts w:cs="Calibri"/>
                <w:b/>
                <w:szCs w:val="22"/>
              </w:rPr>
              <w:t>Remarks</w:t>
            </w:r>
          </w:p>
        </w:tc>
      </w:tr>
      <w:tr w:rsidR="00714B3C" w:rsidRPr="00714B3C" w14:paraId="41158818" w14:textId="77777777" w:rsidTr="00714B3C">
        <w:trPr>
          <w:trHeight w:val="20"/>
        </w:trPr>
        <w:tc>
          <w:tcPr>
            <w:tcW w:w="1418" w:type="pct"/>
            <w:vMerge/>
            <w:shd w:val="clear" w:color="auto" w:fill="DDD9C3" w:themeFill="background2" w:themeFillShade="E6"/>
          </w:tcPr>
          <w:p w14:paraId="3E6E6B33" w14:textId="77777777" w:rsidR="002945C8" w:rsidRPr="00714B3C" w:rsidRDefault="002945C8" w:rsidP="00DA0337">
            <w:pPr>
              <w:spacing w:line="240" w:lineRule="auto"/>
              <w:contextualSpacing/>
              <w:rPr>
                <w:rFonts w:cs="Calibri"/>
                <w:szCs w:val="22"/>
              </w:rPr>
            </w:pPr>
          </w:p>
        </w:tc>
        <w:tc>
          <w:tcPr>
            <w:tcW w:w="516" w:type="pct"/>
            <w:shd w:val="clear" w:color="auto" w:fill="DDD9C3" w:themeFill="background2" w:themeFillShade="E6"/>
          </w:tcPr>
          <w:p w14:paraId="2D134949" w14:textId="77777777" w:rsidR="002945C8" w:rsidRPr="00714B3C" w:rsidRDefault="002945C8" w:rsidP="00DA0337">
            <w:pPr>
              <w:spacing w:line="240" w:lineRule="auto"/>
              <w:contextualSpacing/>
              <w:rPr>
                <w:rFonts w:cs="Calibri"/>
                <w:b/>
                <w:szCs w:val="22"/>
              </w:rPr>
            </w:pPr>
            <w:r w:rsidRPr="00714B3C">
              <w:rPr>
                <w:rFonts w:cs="Calibri"/>
                <w:b/>
                <w:szCs w:val="22"/>
              </w:rPr>
              <w:t>Yes</w:t>
            </w:r>
          </w:p>
        </w:tc>
        <w:tc>
          <w:tcPr>
            <w:tcW w:w="516" w:type="pct"/>
            <w:shd w:val="clear" w:color="auto" w:fill="DDD9C3" w:themeFill="background2" w:themeFillShade="E6"/>
          </w:tcPr>
          <w:p w14:paraId="57EF537A" w14:textId="77777777" w:rsidR="002945C8" w:rsidRPr="00714B3C" w:rsidRDefault="002945C8" w:rsidP="00DA0337">
            <w:pPr>
              <w:spacing w:line="240" w:lineRule="auto"/>
              <w:contextualSpacing/>
              <w:rPr>
                <w:rFonts w:cs="Calibri"/>
                <w:b/>
                <w:szCs w:val="22"/>
              </w:rPr>
            </w:pPr>
            <w:r w:rsidRPr="00714B3C">
              <w:rPr>
                <w:rFonts w:cs="Calibri"/>
                <w:b/>
                <w:szCs w:val="22"/>
              </w:rPr>
              <w:t>No</w:t>
            </w:r>
          </w:p>
        </w:tc>
        <w:tc>
          <w:tcPr>
            <w:tcW w:w="2549" w:type="pct"/>
            <w:vMerge/>
            <w:shd w:val="clear" w:color="auto" w:fill="DDD9C3" w:themeFill="background2" w:themeFillShade="E6"/>
          </w:tcPr>
          <w:p w14:paraId="136266FC" w14:textId="77777777" w:rsidR="002945C8" w:rsidRPr="00714B3C" w:rsidRDefault="002945C8" w:rsidP="00DA0337">
            <w:pPr>
              <w:spacing w:line="240" w:lineRule="auto"/>
              <w:contextualSpacing/>
              <w:rPr>
                <w:rFonts w:cs="Calibri"/>
                <w:b/>
                <w:szCs w:val="22"/>
              </w:rPr>
            </w:pPr>
          </w:p>
        </w:tc>
      </w:tr>
      <w:tr w:rsidR="00714B3C" w:rsidRPr="00714B3C" w14:paraId="50FA0E81" w14:textId="77777777" w:rsidTr="00714B3C">
        <w:trPr>
          <w:trHeight w:val="20"/>
        </w:trPr>
        <w:tc>
          <w:tcPr>
            <w:tcW w:w="1418" w:type="pct"/>
            <w:shd w:val="clear" w:color="auto" w:fill="auto"/>
            <w:vAlign w:val="center"/>
          </w:tcPr>
          <w:p w14:paraId="7212E38C" w14:textId="77777777" w:rsidR="002945C8" w:rsidRPr="00714B3C" w:rsidRDefault="002945C8" w:rsidP="00DA0337">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59B0621A" w14:textId="33556654" w:rsidR="002945C8" w:rsidRPr="00714B3C" w:rsidRDefault="00714B3C" w:rsidP="00DA0337">
            <w:pPr>
              <w:spacing w:line="240" w:lineRule="auto"/>
              <w:contextualSpacing/>
              <w:rPr>
                <w:rFonts w:cs="Calibri"/>
                <w:szCs w:val="22"/>
                <w:lang w:val="es-419"/>
              </w:rPr>
            </w:pPr>
            <w:r w:rsidRPr="00714B3C">
              <w:rPr>
                <w:rFonts w:cs="Calibri"/>
                <w:szCs w:val="22"/>
                <w:lang w:val="es-419"/>
              </w:rPr>
              <w:t>X</w:t>
            </w:r>
          </w:p>
        </w:tc>
        <w:tc>
          <w:tcPr>
            <w:tcW w:w="516" w:type="pct"/>
            <w:shd w:val="clear" w:color="auto" w:fill="auto"/>
            <w:vAlign w:val="center"/>
          </w:tcPr>
          <w:p w14:paraId="5EB05D2E" w14:textId="77777777" w:rsidR="002945C8" w:rsidRPr="00714B3C" w:rsidRDefault="002945C8" w:rsidP="00DA0337">
            <w:pPr>
              <w:spacing w:line="240" w:lineRule="auto"/>
              <w:contextualSpacing/>
              <w:rPr>
                <w:rFonts w:cs="Calibri"/>
                <w:szCs w:val="22"/>
              </w:rPr>
            </w:pPr>
          </w:p>
        </w:tc>
        <w:tc>
          <w:tcPr>
            <w:tcW w:w="2549" w:type="pct"/>
            <w:shd w:val="clear" w:color="auto" w:fill="auto"/>
            <w:vAlign w:val="center"/>
          </w:tcPr>
          <w:p w14:paraId="2EF39078" w14:textId="77777777" w:rsidR="002945C8" w:rsidRPr="00714B3C" w:rsidRDefault="002945C8" w:rsidP="00DA0337">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1EA42779" w14:textId="77777777" w:rsidTr="00714B3C">
        <w:trPr>
          <w:trHeight w:val="20"/>
        </w:trPr>
        <w:tc>
          <w:tcPr>
            <w:tcW w:w="1418" w:type="pct"/>
            <w:shd w:val="clear" w:color="auto" w:fill="auto"/>
            <w:vAlign w:val="center"/>
          </w:tcPr>
          <w:p w14:paraId="240B4C92" w14:textId="77777777" w:rsidR="002945C8" w:rsidRPr="00714B3C" w:rsidRDefault="002945C8" w:rsidP="00DA0337">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6085517B" w14:textId="77777777" w:rsidR="002945C8" w:rsidRPr="00714B3C" w:rsidRDefault="002945C8" w:rsidP="00DA0337">
            <w:pPr>
              <w:spacing w:line="240" w:lineRule="auto"/>
              <w:contextualSpacing/>
              <w:rPr>
                <w:rFonts w:cs="Calibri"/>
                <w:szCs w:val="22"/>
              </w:rPr>
            </w:pPr>
          </w:p>
        </w:tc>
        <w:tc>
          <w:tcPr>
            <w:tcW w:w="516" w:type="pct"/>
            <w:shd w:val="clear" w:color="auto" w:fill="auto"/>
            <w:vAlign w:val="center"/>
          </w:tcPr>
          <w:p w14:paraId="7593D0B8" w14:textId="14B0FC66" w:rsidR="002945C8" w:rsidRPr="00714B3C" w:rsidRDefault="00714B3C" w:rsidP="00DA0337">
            <w:pPr>
              <w:spacing w:line="240" w:lineRule="auto"/>
              <w:contextualSpacing/>
              <w:rPr>
                <w:rFonts w:cs="Calibri"/>
                <w:szCs w:val="22"/>
                <w:lang w:val="es-419"/>
              </w:rPr>
            </w:pPr>
            <w:r w:rsidRPr="00714B3C">
              <w:rPr>
                <w:rFonts w:cs="Calibri"/>
                <w:szCs w:val="22"/>
                <w:lang w:val="es-419"/>
              </w:rPr>
              <w:t>X</w:t>
            </w:r>
          </w:p>
        </w:tc>
        <w:tc>
          <w:tcPr>
            <w:tcW w:w="2549" w:type="pct"/>
            <w:shd w:val="clear" w:color="auto" w:fill="auto"/>
            <w:vAlign w:val="center"/>
          </w:tcPr>
          <w:p w14:paraId="42BB1868" w14:textId="7BBFA0E9" w:rsidR="002945C8" w:rsidRPr="00714B3C" w:rsidRDefault="00714B3C" w:rsidP="00DA0337">
            <w:pPr>
              <w:spacing w:line="240" w:lineRule="auto"/>
              <w:contextualSpacing/>
              <w:rPr>
                <w:rFonts w:cs="Calibri"/>
                <w:szCs w:val="22"/>
              </w:rPr>
            </w:pPr>
            <w:r w:rsidRPr="00714B3C">
              <w:rPr>
                <w:rFonts w:cs="Calibri"/>
                <w:szCs w:val="22"/>
              </w:rPr>
              <w:t>Consultants are to provide their own health insurance when the assignment requires traveling beyond commuting distance.</w:t>
            </w:r>
          </w:p>
        </w:tc>
      </w:tr>
      <w:tr w:rsidR="00714B3C" w:rsidRPr="00714B3C" w14:paraId="04B2E165" w14:textId="77777777" w:rsidTr="00714B3C">
        <w:trPr>
          <w:trHeight w:val="20"/>
        </w:trPr>
        <w:tc>
          <w:tcPr>
            <w:tcW w:w="1418" w:type="pct"/>
            <w:shd w:val="clear" w:color="auto" w:fill="auto"/>
            <w:vAlign w:val="center"/>
          </w:tcPr>
          <w:p w14:paraId="1A8B10B2" w14:textId="77777777" w:rsidR="002945C8" w:rsidRPr="00714B3C" w:rsidRDefault="002945C8" w:rsidP="00DA0337">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640C37EE" w14:textId="45758ADA" w:rsidR="002945C8" w:rsidRPr="00714B3C" w:rsidRDefault="009E6AE7" w:rsidP="00DA0337">
            <w:pPr>
              <w:spacing w:line="240" w:lineRule="auto"/>
              <w:contextualSpacing/>
              <w:rPr>
                <w:rFonts w:cs="Calibri"/>
                <w:szCs w:val="22"/>
              </w:rPr>
            </w:pPr>
            <w:r>
              <w:rPr>
                <w:rFonts w:cs="Calibri"/>
                <w:szCs w:val="22"/>
              </w:rPr>
              <w:t>X</w:t>
            </w:r>
          </w:p>
        </w:tc>
        <w:tc>
          <w:tcPr>
            <w:tcW w:w="516" w:type="pct"/>
            <w:shd w:val="clear" w:color="auto" w:fill="auto"/>
            <w:vAlign w:val="center"/>
          </w:tcPr>
          <w:p w14:paraId="43CA994D" w14:textId="77777777" w:rsidR="002945C8" w:rsidRPr="00714B3C" w:rsidRDefault="002945C8" w:rsidP="00DA0337">
            <w:pPr>
              <w:spacing w:line="240" w:lineRule="auto"/>
              <w:contextualSpacing/>
              <w:rPr>
                <w:rFonts w:cs="Calibri"/>
                <w:szCs w:val="22"/>
              </w:rPr>
            </w:pPr>
          </w:p>
        </w:tc>
        <w:tc>
          <w:tcPr>
            <w:tcW w:w="2549" w:type="pct"/>
            <w:shd w:val="clear" w:color="auto" w:fill="auto"/>
            <w:vAlign w:val="center"/>
          </w:tcPr>
          <w:p w14:paraId="4E67F1C5" w14:textId="77777777" w:rsidR="002945C8" w:rsidRPr="00714B3C" w:rsidRDefault="002945C8" w:rsidP="00DA0337">
            <w:pPr>
              <w:spacing w:line="240" w:lineRule="auto"/>
              <w:contextualSpacing/>
              <w:rPr>
                <w:rFonts w:cs="Calibri"/>
                <w:szCs w:val="22"/>
              </w:rPr>
            </w:pPr>
          </w:p>
        </w:tc>
      </w:tr>
      <w:tr w:rsidR="00714B3C" w:rsidRPr="00714B3C" w14:paraId="2094C60B" w14:textId="77777777" w:rsidTr="00714B3C">
        <w:trPr>
          <w:trHeight w:val="20"/>
        </w:trPr>
        <w:tc>
          <w:tcPr>
            <w:tcW w:w="1418" w:type="pct"/>
            <w:shd w:val="clear" w:color="auto" w:fill="auto"/>
            <w:vAlign w:val="center"/>
          </w:tcPr>
          <w:p w14:paraId="5D7D9676" w14:textId="77777777" w:rsidR="002945C8" w:rsidRPr="00714B3C" w:rsidRDefault="002945C8" w:rsidP="00DA0337">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w:t>
            </w:r>
            <w:proofErr w:type="spellStart"/>
            <w:r w:rsidRPr="00714B3C">
              <w:rPr>
                <w:rFonts w:cs="Calibri"/>
                <w:szCs w:val="22"/>
                <w:lang w:val="es-419"/>
              </w:rPr>
              <w:t>premises</w:t>
            </w:r>
            <w:proofErr w:type="spellEnd"/>
          </w:p>
        </w:tc>
        <w:tc>
          <w:tcPr>
            <w:tcW w:w="516" w:type="pct"/>
            <w:shd w:val="clear" w:color="auto" w:fill="auto"/>
            <w:vAlign w:val="center"/>
          </w:tcPr>
          <w:p w14:paraId="3602249B" w14:textId="7157D809" w:rsidR="002945C8" w:rsidRPr="00714B3C" w:rsidRDefault="009E6AE7" w:rsidP="00DA0337">
            <w:pPr>
              <w:spacing w:line="240" w:lineRule="auto"/>
              <w:contextualSpacing/>
              <w:rPr>
                <w:rFonts w:cs="Calibri"/>
                <w:szCs w:val="22"/>
              </w:rPr>
            </w:pPr>
            <w:r>
              <w:rPr>
                <w:rFonts w:cs="Calibri"/>
                <w:szCs w:val="22"/>
              </w:rPr>
              <w:t>X</w:t>
            </w:r>
          </w:p>
        </w:tc>
        <w:tc>
          <w:tcPr>
            <w:tcW w:w="516" w:type="pct"/>
            <w:shd w:val="clear" w:color="auto" w:fill="auto"/>
            <w:vAlign w:val="center"/>
          </w:tcPr>
          <w:p w14:paraId="0B430BD4" w14:textId="77777777" w:rsidR="002945C8" w:rsidRPr="00714B3C" w:rsidRDefault="002945C8" w:rsidP="00DA0337">
            <w:pPr>
              <w:spacing w:line="240" w:lineRule="auto"/>
              <w:contextualSpacing/>
              <w:rPr>
                <w:rFonts w:cs="Calibri"/>
                <w:szCs w:val="22"/>
              </w:rPr>
            </w:pPr>
          </w:p>
        </w:tc>
        <w:tc>
          <w:tcPr>
            <w:tcW w:w="2549" w:type="pct"/>
            <w:shd w:val="clear" w:color="auto" w:fill="auto"/>
            <w:vAlign w:val="center"/>
          </w:tcPr>
          <w:p w14:paraId="26297C5D" w14:textId="77777777" w:rsidR="002945C8" w:rsidRPr="00714B3C" w:rsidRDefault="002945C8" w:rsidP="00DA0337">
            <w:pPr>
              <w:spacing w:line="240" w:lineRule="auto"/>
              <w:contextualSpacing/>
              <w:rPr>
                <w:rFonts w:cs="Calibri"/>
                <w:szCs w:val="22"/>
              </w:rPr>
            </w:pPr>
          </w:p>
        </w:tc>
      </w:tr>
      <w:tr w:rsidR="00714B3C" w:rsidRPr="00714B3C" w14:paraId="53B0DD97" w14:textId="77777777" w:rsidTr="00714B3C">
        <w:trPr>
          <w:trHeight w:val="20"/>
        </w:trPr>
        <w:tc>
          <w:tcPr>
            <w:tcW w:w="1418" w:type="pct"/>
            <w:shd w:val="clear" w:color="auto" w:fill="auto"/>
            <w:vAlign w:val="center"/>
          </w:tcPr>
          <w:p w14:paraId="067E47B3" w14:textId="77777777" w:rsidR="002945C8" w:rsidRPr="00714B3C" w:rsidRDefault="002945C8" w:rsidP="00DA0337">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35915E3E" w14:textId="6D929AEC" w:rsidR="002945C8" w:rsidRPr="00714B3C" w:rsidRDefault="009E6AE7" w:rsidP="00DA0337">
            <w:pPr>
              <w:spacing w:line="240" w:lineRule="auto"/>
              <w:contextualSpacing/>
              <w:rPr>
                <w:rFonts w:cs="Calibri"/>
                <w:szCs w:val="22"/>
              </w:rPr>
            </w:pPr>
            <w:r>
              <w:rPr>
                <w:rFonts w:cs="Calibri"/>
                <w:szCs w:val="22"/>
              </w:rPr>
              <w:t>X</w:t>
            </w:r>
          </w:p>
        </w:tc>
        <w:tc>
          <w:tcPr>
            <w:tcW w:w="516" w:type="pct"/>
            <w:shd w:val="clear" w:color="auto" w:fill="auto"/>
            <w:vAlign w:val="center"/>
          </w:tcPr>
          <w:p w14:paraId="24D93D8D" w14:textId="77777777" w:rsidR="002945C8" w:rsidRPr="00714B3C" w:rsidRDefault="002945C8" w:rsidP="00DA0337">
            <w:pPr>
              <w:spacing w:line="240" w:lineRule="auto"/>
              <w:contextualSpacing/>
              <w:rPr>
                <w:rFonts w:cs="Calibri"/>
                <w:szCs w:val="22"/>
              </w:rPr>
            </w:pPr>
          </w:p>
        </w:tc>
        <w:tc>
          <w:tcPr>
            <w:tcW w:w="2549" w:type="pct"/>
            <w:shd w:val="clear" w:color="auto" w:fill="auto"/>
            <w:vAlign w:val="center"/>
          </w:tcPr>
          <w:p w14:paraId="3D1B1992" w14:textId="77777777" w:rsidR="002945C8" w:rsidRPr="00714B3C" w:rsidRDefault="002945C8" w:rsidP="00DA0337">
            <w:pPr>
              <w:spacing w:line="240" w:lineRule="auto"/>
              <w:contextualSpacing/>
              <w:rPr>
                <w:rFonts w:cs="Calibri"/>
                <w:szCs w:val="22"/>
              </w:rPr>
            </w:pPr>
          </w:p>
        </w:tc>
      </w:tr>
      <w:tr w:rsidR="00714B3C" w:rsidRPr="00714B3C" w14:paraId="48B8817C" w14:textId="77777777" w:rsidTr="00714B3C">
        <w:trPr>
          <w:trHeight w:val="20"/>
        </w:trPr>
        <w:tc>
          <w:tcPr>
            <w:tcW w:w="1418" w:type="pct"/>
            <w:shd w:val="clear" w:color="auto" w:fill="auto"/>
            <w:vAlign w:val="center"/>
          </w:tcPr>
          <w:p w14:paraId="4331C4BE" w14:textId="77777777" w:rsidR="002945C8" w:rsidRPr="00714B3C" w:rsidRDefault="002945C8" w:rsidP="00DA0337">
            <w:pPr>
              <w:spacing w:line="240" w:lineRule="auto"/>
              <w:contextualSpacing/>
              <w:rPr>
                <w:rFonts w:cs="Calibri"/>
                <w:szCs w:val="22"/>
                <w:lang w:val="es-419"/>
              </w:rPr>
            </w:pPr>
            <w:proofErr w:type="spellStart"/>
            <w:r w:rsidRPr="00714B3C">
              <w:rPr>
                <w:rFonts w:cs="Calibri"/>
                <w:szCs w:val="22"/>
                <w:lang w:val="es-419"/>
              </w:rPr>
              <w:t>Airtime</w:t>
            </w:r>
            <w:proofErr w:type="spellEnd"/>
          </w:p>
        </w:tc>
        <w:tc>
          <w:tcPr>
            <w:tcW w:w="516" w:type="pct"/>
            <w:shd w:val="clear" w:color="auto" w:fill="auto"/>
            <w:vAlign w:val="center"/>
          </w:tcPr>
          <w:p w14:paraId="67559386" w14:textId="77777777" w:rsidR="002945C8" w:rsidRPr="00714B3C" w:rsidRDefault="002945C8" w:rsidP="00DA0337">
            <w:pPr>
              <w:spacing w:line="240" w:lineRule="auto"/>
              <w:contextualSpacing/>
              <w:rPr>
                <w:rFonts w:cs="Calibri"/>
                <w:szCs w:val="22"/>
              </w:rPr>
            </w:pPr>
          </w:p>
        </w:tc>
        <w:tc>
          <w:tcPr>
            <w:tcW w:w="516" w:type="pct"/>
            <w:shd w:val="clear" w:color="auto" w:fill="auto"/>
            <w:vAlign w:val="center"/>
          </w:tcPr>
          <w:p w14:paraId="5909681A" w14:textId="0FE4C1B0" w:rsidR="002945C8" w:rsidRPr="00714B3C" w:rsidRDefault="00DF3100" w:rsidP="00DA0337">
            <w:pPr>
              <w:spacing w:line="240" w:lineRule="auto"/>
              <w:contextualSpacing/>
              <w:rPr>
                <w:rFonts w:cs="Calibri"/>
                <w:szCs w:val="22"/>
              </w:rPr>
            </w:pPr>
            <w:r>
              <w:rPr>
                <w:rFonts w:cs="Calibri"/>
                <w:szCs w:val="22"/>
              </w:rPr>
              <w:t>X</w:t>
            </w:r>
          </w:p>
        </w:tc>
        <w:tc>
          <w:tcPr>
            <w:tcW w:w="2549" w:type="pct"/>
            <w:shd w:val="clear" w:color="auto" w:fill="auto"/>
            <w:vAlign w:val="center"/>
          </w:tcPr>
          <w:p w14:paraId="58EB80EA" w14:textId="68125ED8" w:rsidR="002945C8" w:rsidRPr="00714B3C" w:rsidRDefault="002945C8" w:rsidP="00DA0337">
            <w:pPr>
              <w:spacing w:line="240" w:lineRule="auto"/>
              <w:contextualSpacing/>
              <w:rPr>
                <w:rFonts w:cs="Calibri"/>
                <w:szCs w:val="22"/>
              </w:rPr>
            </w:pPr>
            <w:r w:rsidRPr="00714B3C">
              <w:rPr>
                <w:rFonts w:cs="Calibri"/>
                <w:szCs w:val="22"/>
              </w:rPr>
              <w:t xml:space="preserve">Data up to: </w:t>
            </w:r>
            <w:r w:rsidR="00714B3C" w:rsidRPr="00714B3C">
              <w:rPr>
                <w:rFonts w:cs="Calibri"/>
                <w:szCs w:val="22"/>
              </w:rPr>
              <w:t>[Insert as applicable]</w:t>
            </w:r>
          </w:p>
          <w:p w14:paraId="5DBD782F" w14:textId="5648CFFA" w:rsidR="002945C8" w:rsidRPr="00714B3C" w:rsidRDefault="002945C8" w:rsidP="00DA0337">
            <w:pPr>
              <w:spacing w:line="240" w:lineRule="auto"/>
              <w:contextualSpacing/>
              <w:rPr>
                <w:rFonts w:cs="Calibri"/>
                <w:szCs w:val="22"/>
              </w:rPr>
            </w:pPr>
            <w:r w:rsidRPr="00714B3C">
              <w:rPr>
                <w:rFonts w:cs="Calibri"/>
                <w:szCs w:val="22"/>
              </w:rPr>
              <w:t xml:space="preserve">Voice up to: </w:t>
            </w:r>
            <w:r w:rsidR="00714B3C" w:rsidRPr="00714B3C">
              <w:rPr>
                <w:rFonts w:cs="Calibri"/>
                <w:szCs w:val="22"/>
              </w:rPr>
              <w:t>[Insert as applicable]</w:t>
            </w:r>
          </w:p>
        </w:tc>
      </w:tr>
    </w:tbl>
    <w:p w14:paraId="694C46CA" w14:textId="77777777" w:rsidR="002945C8" w:rsidRPr="00714B3C" w:rsidRDefault="002945C8" w:rsidP="00DA0337">
      <w:pPr>
        <w:spacing w:line="240" w:lineRule="auto"/>
        <w:ind w:left="360"/>
        <w:contextualSpacing/>
        <w:rPr>
          <w:rFonts w:cs="Calibri"/>
          <w:b/>
          <w:szCs w:val="22"/>
          <w:lang w:val="en-GB"/>
        </w:rPr>
      </w:pPr>
    </w:p>
    <w:p w14:paraId="15887EF0" w14:textId="2774270A" w:rsidR="00714B3C" w:rsidRPr="00714B3C" w:rsidRDefault="00714B3C" w:rsidP="00DA0337">
      <w:pPr>
        <w:spacing w:line="240" w:lineRule="auto"/>
        <w:contextualSpacing/>
        <w:rPr>
          <w:rFonts w:cs="Calibri"/>
          <w:b/>
          <w:color w:val="FF6600"/>
          <w:sz w:val="24"/>
          <w:szCs w:val="22"/>
          <w:lang w:val="en-GB"/>
        </w:rPr>
      </w:pPr>
      <w:r w:rsidRPr="00714B3C">
        <w:rPr>
          <w:rFonts w:cs="Calibri"/>
          <w:b/>
          <w:color w:val="FF6600"/>
          <w:sz w:val="24"/>
          <w:szCs w:val="22"/>
          <w:lang w:val="en-GB"/>
        </w:rPr>
        <w:t xml:space="preserve">IN-COUNTRY TRAVEL. </w:t>
      </w:r>
    </w:p>
    <w:p w14:paraId="4FC7C13F" w14:textId="77777777" w:rsidR="002945C8" w:rsidRPr="00714B3C" w:rsidRDefault="002945C8" w:rsidP="00DA0337">
      <w:pPr>
        <w:spacing w:line="240" w:lineRule="auto"/>
        <w:contextualSpacing/>
        <w:rPr>
          <w:rFonts w:cs="Calibri"/>
          <w:b/>
          <w:szCs w:val="22"/>
          <w:lang w:val="en-GB"/>
        </w:rPr>
      </w:pPr>
    </w:p>
    <w:p w14:paraId="67DD44BB" w14:textId="316FEC37" w:rsidR="0062418E" w:rsidRDefault="0062418E" w:rsidP="00DA0337">
      <w:pPr>
        <w:spacing w:line="240" w:lineRule="auto"/>
        <w:contextualSpacing/>
        <w:rPr>
          <w:rFonts w:cs="Calibri"/>
          <w:szCs w:val="22"/>
        </w:rPr>
      </w:pPr>
      <w:r>
        <w:rPr>
          <w:rFonts w:cs="Calibri"/>
          <w:szCs w:val="22"/>
        </w:rPr>
        <w:t xml:space="preserve">Consultant will be based in Maputo for </w:t>
      </w:r>
      <w:proofErr w:type="gramStart"/>
      <w:r>
        <w:rPr>
          <w:rFonts w:cs="Calibri"/>
          <w:szCs w:val="22"/>
        </w:rPr>
        <w:t>the majority of</w:t>
      </w:r>
      <w:proofErr w:type="gramEnd"/>
      <w:r>
        <w:rPr>
          <w:rFonts w:cs="Calibri"/>
          <w:szCs w:val="22"/>
        </w:rPr>
        <w:t xml:space="preserve"> the assignment.  As part of the data collection activities, </w:t>
      </w:r>
      <w:r w:rsidR="008A1004">
        <w:rPr>
          <w:rFonts w:cs="Calibri"/>
          <w:szCs w:val="22"/>
        </w:rPr>
        <w:t xml:space="preserve">Consultant </w:t>
      </w:r>
      <w:r>
        <w:rPr>
          <w:rFonts w:cs="Calibri"/>
          <w:szCs w:val="22"/>
        </w:rPr>
        <w:t xml:space="preserve">is expected to travel to Inhambane province, including the capital of the </w:t>
      </w:r>
      <w:proofErr w:type="spellStart"/>
      <w:r>
        <w:rPr>
          <w:rFonts w:cs="Calibri"/>
          <w:szCs w:val="22"/>
        </w:rPr>
        <w:t>Jangamo</w:t>
      </w:r>
      <w:proofErr w:type="spellEnd"/>
      <w:r>
        <w:rPr>
          <w:rFonts w:cs="Calibri"/>
          <w:szCs w:val="22"/>
        </w:rPr>
        <w:t xml:space="preserve">, </w:t>
      </w:r>
      <w:proofErr w:type="spellStart"/>
      <w:r>
        <w:rPr>
          <w:rFonts w:cs="Calibri"/>
          <w:szCs w:val="22"/>
        </w:rPr>
        <w:t>Morrumbene</w:t>
      </w:r>
      <w:proofErr w:type="spellEnd"/>
      <w:r>
        <w:rPr>
          <w:rFonts w:cs="Calibri"/>
          <w:szCs w:val="22"/>
        </w:rPr>
        <w:t xml:space="preserve"> and </w:t>
      </w:r>
      <w:proofErr w:type="spellStart"/>
      <w:r>
        <w:rPr>
          <w:rFonts w:cs="Calibri"/>
          <w:szCs w:val="22"/>
        </w:rPr>
        <w:t>Homoine</w:t>
      </w:r>
      <w:proofErr w:type="spellEnd"/>
      <w:r>
        <w:rPr>
          <w:rFonts w:cs="Calibri"/>
          <w:szCs w:val="22"/>
        </w:rPr>
        <w:t xml:space="preserve"> districts for a maximum of </w:t>
      </w:r>
      <w:r w:rsidR="004D4E43">
        <w:rPr>
          <w:rFonts w:cs="Calibri"/>
          <w:szCs w:val="22"/>
        </w:rPr>
        <w:t>8</w:t>
      </w:r>
      <w:r>
        <w:rPr>
          <w:rFonts w:cs="Calibri"/>
          <w:szCs w:val="22"/>
        </w:rPr>
        <w:t xml:space="preserve"> working days in total.</w:t>
      </w:r>
    </w:p>
    <w:p w14:paraId="14E8D491" w14:textId="5125CBD6" w:rsidR="007C20B2" w:rsidRDefault="007C20B2" w:rsidP="00DA0337">
      <w:pPr>
        <w:spacing w:line="240" w:lineRule="auto"/>
        <w:contextualSpacing/>
        <w:rPr>
          <w:rFonts w:cs="Calibri"/>
          <w:szCs w:val="22"/>
        </w:rPr>
      </w:pPr>
    </w:p>
    <w:p w14:paraId="5D3B6ED0" w14:textId="4E4E488F" w:rsidR="007C20B2" w:rsidRDefault="007C20B2" w:rsidP="007C20B2">
      <w:pPr>
        <w:spacing w:line="240" w:lineRule="auto"/>
        <w:rPr>
          <w:rFonts w:asciiTheme="minorHAnsi" w:hAnsiTheme="minorHAnsi" w:cstheme="minorHAnsi"/>
          <w:szCs w:val="22"/>
        </w:rPr>
      </w:pPr>
      <w:r w:rsidRPr="006E0D37">
        <w:rPr>
          <w:rFonts w:asciiTheme="minorHAnsi" w:hAnsiTheme="minorHAnsi" w:cstheme="minorHAnsi"/>
          <w:szCs w:val="22"/>
        </w:rPr>
        <w:t xml:space="preserve">UNICEF will facilitate coordination with the stakeholders, however the Consultant </w:t>
      </w:r>
      <w:r>
        <w:rPr>
          <w:rFonts w:asciiTheme="minorHAnsi" w:hAnsiTheme="minorHAnsi" w:cstheme="minorHAnsi"/>
          <w:szCs w:val="22"/>
        </w:rPr>
        <w:t xml:space="preserve">will </w:t>
      </w:r>
      <w:r w:rsidRPr="006E0D37">
        <w:rPr>
          <w:rFonts w:asciiTheme="minorHAnsi" w:hAnsiTheme="minorHAnsi" w:cstheme="minorHAnsi"/>
          <w:szCs w:val="22"/>
        </w:rPr>
        <w:t xml:space="preserve">be responsible for the </w:t>
      </w:r>
      <w:r w:rsidR="00544CB0">
        <w:rPr>
          <w:rFonts w:asciiTheme="minorHAnsi" w:hAnsiTheme="minorHAnsi" w:cstheme="minorHAnsi"/>
          <w:szCs w:val="22"/>
        </w:rPr>
        <w:t xml:space="preserve">cost and </w:t>
      </w:r>
      <w:r w:rsidRPr="006E0D37">
        <w:rPr>
          <w:rFonts w:asciiTheme="minorHAnsi" w:hAnsiTheme="minorHAnsi" w:cstheme="minorHAnsi"/>
          <w:szCs w:val="22"/>
        </w:rPr>
        <w:t>logistics for travel, accommodation and transpo</w:t>
      </w:r>
      <w:r>
        <w:rPr>
          <w:rFonts w:asciiTheme="minorHAnsi" w:hAnsiTheme="minorHAnsi" w:cstheme="minorHAnsi"/>
          <w:szCs w:val="22"/>
        </w:rPr>
        <w:t xml:space="preserve">rtation during the Consultancy.  </w:t>
      </w:r>
      <w:r>
        <w:rPr>
          <w:rFonts w:cs="Calibri"/>
          <w:szCs w:val="22"/>
        </w:rPr>
        <w:t xml:space="preserve">Interested candidates should present an </w:t>
      </w:r>
      <w:r w:rsidRPr="0062418E">
        <w:rPr>
          <w:rFonts w:cs="Calibri"/>
          <w:b/>
          <w:szCs w:val="22"/>
          <w:u w:val="single"/>
        </w:rPr>
        <w:t>all-inclusive financial proposal</w:t>
      </w:r>
      <w:r>
        <w:rPr>
          <w:rFonts w:cs="Calibri"/>
          <w:szCs w:val="22"/>
        </w:rPr>
        <w:t xml:space="preserve"> as a response to these Terms of Reference.  </w:t>
      </w:r>
      <w:r>
        <w:rPr>
          <w:rFonts w:asciiTheme="minorHAnsi" w:hAnsiTheme="minorHAnsi" w:cstheme="minorHAnsi"/>
          <w:szCs w:val="22"/>
        </w:rPr>
        <w:t>Amounts for fees and travel should be disaggregated and clearly indicated in the financial proposal.</w:t>
      </w:r>
    </w:p>
    <w:p w14:paraId="3209B2D3" w14:textId="391E1993" w:rsidR="007C20B2" w:rsidRDefault="007C20B2" w:rsidP="00DA0337">
      <w:pPr>
        <w:spacing w:line="240" w:lineRule="auto"/>
        <w:contextualSpacing/>
        <w:rPr>
          <w:rFonts w:cs="Calibri"/>
          <w:szCs w:val="22"/>
        </w:rPr>
      </w:pPr>
    </w:p>
    <w:p w14:paraId="27669A54" w14:textId="6F1522EB" w:rsidR="002945C8" w:rsidRPr="00714B3C" w:rsidRDefault="00714B3C" w:rsidP="00DA0337">
      <w:pPr>
        <w:spacing w:line="240" w:lineRule="auto"/>
        <w:contextualSpacing/>
        <w:rPr>
          <w:rFonts w:cs="Calibri"/>
          <w:b/>
          <w:color w:val="FF6600"/>
          <w:sz w:val="24"/>
          <w:szCs w:val="22"/>
          <w:lang w:val="en-GB"/>
        </w:rPr>
      </w:pPr>
      <w:r w:rsidRPr="00714B3C">
        <w:rPr>
          <w:rFonts w:cs="Calibri"/>
          <w:b/>
          <w:color w:val="FF6600"/>
          <w:sz w:val="24"/>
          <w:szCs w:val="22"/>
          <w:lang w:val="en-GB"/>
        </w:rPr>
        <w:t>EVALUATION CRITERIA.</w:t>
      </w:r>
    </w:p>
    <w:p w14:paraId="263B511F" w14:textId="77777777" w:rsidR="002945C8" w:rsidRPr="00714B3C" w:rsidRDefault="002945C8" w:rsidP="00DA0337">
      <w:pPr>
        <w:spacing w:line="240" w:lineRule="auto"/>
        <w:contextualSpacing/>
        <w:rPr>
          <w:rFonts w:cs="Calibri"/>
        </w:rPr>
      </w:pPr>
    </w:p>
    <w:p w14:paraId="4CA3EC7A" w14:textId="78AD2ED6" w:rsidR="002945C8" w:rsidRDefault="002945C8" w:rsidP="00DA0337">
      <w:pPr>
        <w:spacing w:line="240" w:lineRule="auto"/>
        <w:contextualSpacing/>
        <w:rPr>
          <w:rFonts w:cs="Calibri"/>
        </w:rPr>
      </w:pPr>
      <w:r w:rsidRPr="00714B3C">
        <w:rPr>
          <w:rFonts w:cs="Calibri"/>
        </w:rPr>
        <w:t>The selection of the consultant will be based on a “best value for money” principle</w:t>
      </w:r>
      <w:r w:rsidR="008A1004">
        <w:rPr>
          <w:rFonts w:cs="Calibri"/>
        </w:rPr>
        <w:t>, taking into consideration both technical and financial proposals submitted for the consultancy</w:t>
      </w:r>
      <w:r w:rsidRPr="00714B3C">
        <w:rPr>
          <w:rFonts w:cs="Calibri"/>
        </w:rPr>
        <w:t xml:space="preserve">.  The technical evaluation criteria are stipulated below. </w:t>
      </w:r>
    </w:p>
    <w:p w14:paraId="26EACBD8" w14:textId="77777777" w:rsidR="00287A27" w:rsidRPr="00714B3C" w:rsidRDefault="00287A27" w:rsidP="00DA0337">
      <w:pPr>
        <w:spacing w:line="240" w:lineRule="auto"/>
        <w:contextualSpacing/>
        <w:rPr>
          <w:rFonts w:cs="Calibri"/>
        </w:rPr>
      </w:pPr>
    </w:p>
    <w:p w14:paraId="589E30BD" w14:textId="77777777" w:rsidR="002945C8" w:rsidRPr="00714B3C" w:rsidRDefault="002945C8" w:rsidP="00DA0337">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59"/>
        <w:gridCol w:w="8378"/>
        <w:gridCol w:w="1410"/>
      </w:tblGrid>
      <w:tr w:rsidR="002945C8" w:rsidRPr="00714B3C" w14:paraId="2093F78F"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hideMark/>
          </w:tcPr>
          <w:p w14:paraId="47C0B91F"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Item</w:t>
            </w:r>
          </w:p>
        </w:tc>
        <w:tc>
          <w:tcPr>
            <w:tcW w:w="4010" w:type="pct"/>
            <w:shd w:val="clear" w:color="auto" w:fill="DDD9C3" w:themeFill="background2" w:themeFillShade="E6"/>
            <w:tcMar>
              <w:top w:w="0" w:type="dxa"/>
              <w:left w:w="108" w:type="dxa"/>
              <w:bottom w:w="0" w:type="dxa"/>
              <w:right w:w="108" w:type="dxa"/>
            </w:tcMar>
            <w:vAlign w:val="center"/>
            <w:hideMark/>
          </w:tcPr>
          <w:p w14:paraId="478ABAC5"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 xml:space="preserve">Technical Criteria/Qualifications </w:t>
            </w:r>
          </w:p>
        </w:tc>
        <w:tc>
          <w:tcPr>
            <w:tcW w:w="675" w:type="pct"/>
            <w:shd w:val="clear" w:color="auto" w:fill="DDD9C3" w:themeFill="background2" w:themeFillShade="E6"/>
            <w:tcMar>
              <w:top w:w="0" w:type="dxa"/>
              <w:left w:w="108" w:type="dxa"/>
              <w:bottom w:w="0" w:type="dxa"/>
              <w:right w:w="108" w:type="dxa"/>
            </w:tcMar>
            <w:vAlign w:val="center"/>
            <w:hideMark/>
          </w:tcPr>
          <w:p w14:paraId="302BEF9C"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Max.</w:t>
            </w:r>
            <w:r w:rsidRPr="00714B3C">
              <w:rPr>
                <w:rFonts w:cs="Calibri"/>
                <w:b/>
                <w:bCs/>
                <w:szCs w:val="22"/>
                <w:lang w:val="es-419"/>
              </w:rPr>
              <w:t xml:space="preserve"> </w:t>
            </w:r>
            <w:r w:rsidRPr="00714B3C">
              <w:rPr>
                <w:rFonts w:cs="Calibri"/>
                <w:b/>
                <w:bCs/>
                <w:szCs w:val="22"/>
                <w:lang w:val="en-GB"/>
              </w:rPr>
              <w:t>Points</w:t>
            </w:r>
          </w:p>
        </w:tc>
      </w:tr>
      <w:tr w:rsidR="002945C8" w:rsidRPr="00714B3C" w14:paraId="6E6C8C87"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678CF227"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1</w:t>
            </w:r>
          </w:p>
        </w:tc>
        <w:tc>
          <w:tcPr>
            <w:tcW w:w="4010" w:type="pct"/>
            <w:shd w:val="clear" w:color="auto" w:fill="EEECE1" w:themeFill="background2"/>
            <w:tcMar>
              <w:top w:w="0" w:type="dxa"/>
              <w:left w:w="108" w:type="dxa"/>
              <w:bottom w:w="0" w:type="dxa"/>
              <w:right w:w="108" w:type="dxa"/>
            </w:tcMar>
            <w:vAlign w:val="center"/>
            <w:hideMark/>
          </w:tcPr>
          <w:p w14:paraId="2532ADC4"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 xml:space="preserve">Education </w:t>
            </w:r>
          </w:p>
        </w:tc>
        <w:tc>
          <w:tcPr>
            <w:tcW w:w="675" w:type="pct"/>
            <w:shd w:val="clear" w:color="auto" w:fill="EEECE1" w:themeFill="background2"/>
            <w:tcMar>
              <w:top w:w="0" w:type="dxa"/>
              <w:left w:w="108" w:type="dxa"/>
              <w:bottom w:w="0" w:type="dxa"/>
              <w:right w:w="108" w:type="dxa"/>
            </w:tcMar>
            <w:vAlign w:val="center"/>
          </w:tcPr>
          <w:p w14:paraId="24410BC0" w14:textId="7CB0D007" w:rsidR="002945C8" w:rsidRPr="00714B3C" w:rsidRDefault="00344A6D" w:rsidP="00DA0337">
            <w:pPr>
              <w:spacing w:line="240" w:lineRule="auto"/>
              <w:contextualSpacing/>
              <w:rPr>
                <w:rFonts w:cs="Calibri"/>
                <w:b/>
                <w:bCs/>
                <w:szCs w:val="22"/>
                <w:lang w:val="en-GB"/>
              </w:rPr>
            </w:pPr>
            <w:r>
              <w:rPr>
                <w:rFonts w:cs="Calibri"/>
                <w:b/>
                <w:bCs/>
                <w:szCs w:val="22"/>
                <w:lang w:val="en-GB"/>
              </w:rPr>
              <w:t>10</w:t>
            </w:r>
          </w:p>
        </w:tc>
      </w:tr>
      <w:tr w:rsidR="002945C8" w:rsidRPr="00714B3C" w14:paraId="720C32EF" w14:textId="77777777" w:rsidTr="00714B3C">
        <w:trPr>
          <w:trHeight w:val="20"/>
          <w:jc w:val="center"/>
        </w:trPr>
        <w:tc>
          <w:tcPr>
            <w:tcW w:w="315" w:type="pct"/>
            <w:tcMar>
              <w:top w:w="0" w:type="dxa"/>
              <w:left w:w="108" w:type="dxa"/>
              <w:bottom w:w="0" w:type="dxa"/>
              <w:right w:w="108" w:type="dxa"/>
            </w:tcMar>
            <w:vAlign w:val="center"/>
            <w:hideMark/>
          </w:tcPr>
          <w:p w14:paraId="555817B2"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1.1</w:t>
            </w:r>
          </w:p>
        </w:tc>
        <w:tc>
          <w:tcPr>
            <w:tcW w:w="4010" w:type="pct"/>
            <w:tcMar>
              <w:top w:w="0" w:type="dxa"/>
              <w:left w:w="108" w:type="dxa"/>
              <w:bottom w:w="0" w:type="dxa"/>
              <w:right w:w="108" w:type="dxa"/>
            </w:tcMar>
            <w:vAlign w:val="center"/>
          </w:tcPr>
          <w:p w14:paraId="2F91DCDC" w14:textId="1E49EEE9" w:rsidR="002945C8" w:rsidRPr="00714B3C" w:rsidRDefault="0002566E" w:rsidP="00DA0337">
            <w:pPr>
              <w:spacing w:line="240" w:lineRule="auto"/>
              <w:contextualSpacing/>
              <w:rPr>
                <w:rFonts w:cs="Calibri"/>
                <w:szCs w:val="22"/>
                <w:lang w:val="en-GB"/>
              </w:rPr>
            </w:pPr>
            <w:r>
              <w:rPr>
                <w:rFonts w:cs="Calibri"/>
                <w:szCs w:val="22"/>
              </w:rPr>
              <w:t xml:space="preserve">Education </w:t>
            </w:r>
            <w:r w:rsidR="008A1004" w:rsidRPr="00714B3C">
              <w:rPr>
                <w:rFonts w:cs="Calibri"/>
                <w:szCs w:val="22"/>
              </w:rPr>
              <w:t xml:space="preserve">in </w:t>
            </w:r>
            <w:r w:rsidR="0062418E">
              <w:rPr>
                <w:rFonts w:cs="Calibri"/>
                <w:szCs w:val="22"/>
              </w:rPr>
              <w:t>business development / administration, finance or economics</w:t>
            </w:r>
          </w:p>
        </w:tc>
        <w:tc>
          <w:tcPr>
            <w:tcW w:w="675" w:type="pct"/>
            <w:tcMar>
              <w:top w:w="0" w:type="dxa"/>
              <w:left w:w="108" w:type="dxa"/>
              <w:bottom w:w="0" w:type="dxa"/>
              <w:right w:w="108" w:type="dxa"/>
            </w:tcMar>
            <w:vAlign w:val="center"/>
          </w:tcPr>
          <w:p w14:paraId="09D2AB8F" w14:textId="2E7715A3" w:rsidR="002945C8" w:rsidRPr="00714B3C" w:rsidRDefault="002945C8" w:rsidP="00DA0337">
            <w:pPr>
              <w:spacing w:line="240" w:lineRule="auto"/>
              <w:contextualSpacing/>
              <w:rPr>
                <w:rFonts w:cs="Calibri"/>
                <w:szCs w:val="22"/>
                <w:lang w:val="en-GB"/>
              </w:rPr>
            </w:pPr>
          </w:p>
        </w:tc>
      </w:tr>
      <w:tr w:rsidR="002945C8" w:rsidRPr="00714B3C" w14:paraId="59D6280C"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590AFE8C"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2</w:t>
            </w:r>
          </w:p>
        </w:tc>
        <w:tc>
          <w:tcPr>
            <w:tcW w:w="4010" w:type="pct"/>
            <w:shd w:val="clear" w:color="auto" w:fill="EEECE1" w:themeFill="background2"/>
            <w:tcMar>
              <w:top w:w="0" w:type="dxa"/>
              <w:left w:w="108" w:type="dxa"/>
              <w:bottom w:w="0" w:type="dxa"/>
              <w:right w:w="108" w:type="dxa"/>
            </w:tcMar>
            <w:vAlign w:val="center"/>
            <w:hideMark/>
          </w:tcPr>
          <w:p w14:paraId="15D4274A"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 xml:space="preserve">Work Experience </w:t>
            </w:r>
          </w:p>
        </w:tc>
        <w:tc>
          <w:tcPr>
            <w:tcW w:w="675" w:type="pct"/>
            <w:shd w:val="clear" w:color="auto" w:fill="EEECE1" w:themeFill="background2"/>
            <w:tcMar>
              <w:top w:w="0" w:type="dxa"/>
              <w:left w:w="108" w:type="dxa"/>
              <w:bottom w:w="0" w:type="dxa"/>
              <w:right w:w="108" w:type="dxa"/>
            </w:tcMar>
            <w:vAlign w:val="center"/>
          </w:tcPr>
          <w:p w14:paraId="06F400FA" w14:textId="57DAF01D" w:rsidR="002945C8" w:rsidRPr="00714B3C" w:rsidRDefault="004D4E43" w:rsidP="00DA0337">
            <w:pPr>
              <w:spacing w:line="240" w:lineRule="auto"/>
              <w:contextualSpacing/>
              <w:rPr>
                <w:rFonts w:cs="Calibri"/>
                <w:b/>
                <w:bCs/>
                <w:szCs w:val="22"/>
                <w:lang w:val="en-GB"/>
              </w:rPr>
            </w:pPr>
            <w:r>
              <w:rPr>
                <w:rFonts w:cs="Calibri"/>
                <w:b/>
                <w:bCs/>
                <w:szCs w:val="22"/>
                <w:lang w:val="en-GB"/>
              </w:rPr>
              <w:t>40</w:t>
            </w:r>
          </w:p>
        </w:tc>
      </w:tr>
      <w:tr w:rsidR="002945C8" w:rsidRPr="00714B3C" w14:paraId="6BD82DAC" w14:textId="77777777" w:rsidTr="00714B3C">
        <w:trPr>
          <w:trHeight w:val="20"/>
          <w:jc w:val="center"/>
        </w:trPr>
        <w:tc>
          <w:tcPr>
            <w:tcW w:w="315" w:type="pct"/>
            <w:tcMar>
              <w:top w:w="0" w:type="dxa"/>
              <w:left w:w="108" w:type="dxa"/>
              <w:bottom w:w="0" w:type="dxa"/>
              <w:right w:w="108" w:type="dxa"/>
            </w:tcMar>
            <w:vAlign w:val="center"/>
            <w:hideMark/>
          </w:tcPr>
          <w:p w14:paraId="07CB3B2A"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2.1</w:t>
            </w:r>
          </w:p>
        </w:tc>
        <w:tc>
          <w:tcPr>
            <w:tcW w:w="4010" w:type="pct"/>
            <w:tcMar>
              <w:top w:w="0" w:type="dxa"/>
              <w:left w:w="108" w:type="dxa"/>
              <w:bottom w:w="0" w:type="dxa"/>
              <w:right w:w="108" w:type="dxa"/>
            </w:tcMar>
            <w:vAlign w:val="center"/>
          </w:tcPr>
          <w:p w14:paraId="1AA975D4" w14:textId="115BAD21" w:rsidR="002945C8" w:rsidRPr="00714B3C" w:rsidRDefault="00C90D6B" w:rsidP="00DA0337">
            <w:pPr>
              <w:spacing w:line="240" w:lineRule="auto"/>
              <w:contextualSpacing/>
              <w:rPr>
                <w:rFonts w:cs="Calibri"/>
                <w:szCs w:val="22"/>
                <w:lang w:val="en-GB"/>
              </w:rPr>
            </w:pPr>
            <w:r>
              <w:rPr>
                <w:rFonts w:cs="Calibri"/>
                <w:szCs w:val="22"/>
                <w:lang w:val="en-GB"/>
              </w:rPr>
              <w:t>R</w:t>
            </w:r>
            <w:r w:rsidRPr="008A1004">
              <w:rPr>
                <w:rFonts w:cs="Calibri"/>
                <w:szCs w:val="22"/>
                <w:lang w:val="en-GB"/>
              </w:rPr>
              <w:t xml:space="preserve">elevant experience in </w:t>
            </w:r>
            <w:r>
              <w:rPr>
                <w:rFonts w:cs="Calibri"/>
                <w:szCs w:val="22"/>
                <w:lang w:val="en-GB"/>
              </w:rPr>
              <w:t>developing and implementation of micro-financing activities in development context</w:t>
            </w:r>
          </w:p>
        </w:tc>
        <w:tc>
          <w:tcPr>
            <w:tcW w:w="675" w:type="pct"/>
            <w:tcMar>
              <w:top w:w="0" w:type="dxa"/>
              <w:left w:w="108" w:type="dxa"/>
              <w:bottom w:w="0" w:type="dxa"/>
              <w:right w:w="108" w:type="dxa"/>
            </w:tcMar>
            <w:vAlign w:val="center"/>
          </w:tcPr>
          <w:p w14:paraId="721A0900" w14:textId="2C56F80E" w:rsidR="00544CB0" w:rsidRPr="00714B3C" w:rsidRDefault="00544CB0" w:rsidP="00DA0337">
            <w:pPr>
              <w:spacing w:line="240" w:lineRule="auto"/>
              <w:contextualSpacing/>
              <w:rPr>
                <w:rFonts w:cs="Calibri"/>
                <w:szCs w:val="22"/>
                <w:lang w:val="en-GB"/>
              </w:rPr>
            </w:pPr>
            <w:r>
              <w:rPr>
                <w:rFonts w:cs="Calibri"/>
                <w:szCs w:val="22"/>
                <w:lang w:val="en-GB"/>
              </w:rPr>
              <w:t>15</w:t>
            </w:r>
          </w:p>
        </w:tc>
      </w:tr>
      <w:tr w:rsidR="002945C8" w:rsidRPr="00714B3C" w14:paraId="20874A62" w14:textId="77777777" w:rsidTr="00714B3C">
        <w:trPr>
          <w:trHeight w:val="20"/>
          <w:jc w:val="center"/>
        </w:trPr>
        <w:tc>
          <w:tcPr>
            <w:tcW w:w="315" w:type="pct"/>
            <w:tcMar>
              <w:top w:w="0" w:type="dxa"/>
              <w:left w:w="108" w:type="dxa"/>
              <w:bottom w:w="0" w:type="dxa"/>
              <w:right w:w="108" w:type="dxa"/>
            </w:tcMar>
            <w:vAlign w:val="center"/>
            <w:hideMark/>
          </w:tcPr>
          <w:p w14:paraId="5F5D163E"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2.2</w:t>
            </w:r>
          </w:p>
        </w:tc>
        <w:tc>
          <w:tcPr>
            <w:tcW w:w="4010" w:type="pct"/>
            <w:tcMar>
              <w:top w:w="0" w:type="dxa"/>
              <w:left w:w="108" w:type="dxa"/>
              <w:bottom w:w="0" w:type="dxa"/>
              <w:right w:w="108" w:type="dxa"/>
            </w:tcMar>
            <w:vAlign w:val="center"/>
          </w:tcPr>
          <w:p w14:paraId="112B44FC" w14:textId="0EF702CE" w:rsidR="002945C8" w:rsidRPr="00714B3C" w:rsidRDefault="00CB00CC" w:rsidP="00DA0337">
            <w:pPr>
              <w:spacing w:line="240" w:lineRule="auto"/>
              <w:contextualSpacing/>
              <w:rPr>
                <w:rFonts w:cs="Calibri"/>
                <w:szCs w:val="22"/>
                <w:lang w:val="en-GB"/>
              </w:rPr>
            </w:pPr>
            <w:r>
              <w:rPr>
                <w:rFonts w:cs="Calibri"/>
                <w:szCs w:val="22"/>
                <w:lang w:val="en-GB"/>
              </w:rPr>
              <w:t xml:space="preserve">Desirable </w:t>
            </w:r>
            <w:r w:rsidR="00C90D6B" w:rsidRPr="008A1004">
              <w:rPr>
                <w:rFonts w:cs="Calibri"/>
                <w:szCs w:val="22"/>
                <w:lang w:val="en-GB"/>
              </w:rPr>
              <w:t xml:space="preserve">experience in </w:t>
            </w:r>
            <w:r w:rsidR="00C90D6B">
              <w:rPr>
                <w:rFonts w:cs="Calibri"/>
                <w:szCs w:val="22"/>
                <w:lang w:val="en-GB"/>
              </w:rPr>
              <w:t>marketing</w:t>
            </w:r>
            <w:r>
              <w:rPr>
                <w:rFonts w:cs="Calibri"/>
                <w:szCs w:val="22"/>
                <w:lang w:val="en-GB"/>
              </w:rPr>
              <w:t xml:space="preserve"> and </w:t>
            </w:r>
            <w:r w:rsidR="00C90D6B">
              <w:rPr>
                <w:rFonts w:cs="Calibri"/>
                <w:szCs w:val="22"/>
                <w:lang w:val="en-GB"/>
              </w:rPr>
              <w:t xml:space="preserve">business development for </w:t>
            </w:r>
            <w:r>
              <w:rPr>
                <w:rFonts w:cs="Calibri"/>
                <w:szCs w:val="22"/>
                <w:lang w:val="en-GB"/>
              </w:rPr>
              <w:t xml:space="preserve">service delivery </w:t>
            </w:r>
            <w:r w:rsidR="00C90D6B">
              <w:rPr>
                <w:rFonts w:cs="Calibri"/>
                <w:szCs w:val="22"/>
                <w:lang w:val="en-GB"/>
              </w:rPr>
              <w:t xml:space="preserve">small-scale </w:t>
            </w:r>
            <w:r>
              <w:rPr>
                <w:rFonts w:cs="Calibri"/>
                <w:szCs w:val="22"/>
                <w:lang w:val="en-GB"/>
              </w:rPr>
              <w:t>companies</w:t>
            </w:r>
          </w:p>
        </w:tc>
        <w:tc>
          <w:tcPr>
            <w:tcW w:w="675" w:type="pct"/>
            <w:tcMar>
              <w:top w:w="0" w:type="dxa"/>
              <w:left w:w="108" w:type="dxa"/>
              <w:bottom w:w="0" w:type="dxa"/>
              <w:right w:w="108" w:type="dxa"/>
            </w:tcMar>
            <w:vAlign w:val="center"/>
          </w:tcPr>
          <w:p w14:paraId="44021FB5" w14:textId="09EEF631" w:rsidR="002945C8" w:rsidRPr="00714B3C" w:rsidRDefault="00544CB0" w:rsidP="00DA0337">
            <w:pPr>
              <w:spacing w:line="240" w:lineRule="auto"/>
              <w:contextualSpacing/>
              <w:rPr>
                <w:rFonts w:cs="Calibri"/>
                <w:szCs w:val="22"/>
                <w:lang w:val="en-GB"/>
              </w:rPr>
            </w:pPr>
            <w:r>
              <w:rPr>
                <w:rFonts w:cs="Calibri"/>
                <w:szCs w:val="22"/>
                <w:lang w:val="en-GB"/>
              </w:rPr>
              <w:t>1</w:t>
            </w:r>
            <w:r w:rsidR="004D4E43">
              <w:rPr>
                <w:rFonts w:cs="Calibri"/>
                <w:szCs w:val="22"/>
                <w:lang w:val="en-GB"/>
              </w:rPr>
              <w:t>5</w:t>
            </w:r>
          </w:p>
        </w:tc>
      </w:tr>
      <w:tr w:rsidR="00544CB0" w:rsidRPr="00714B3C" w14:paraId="692EED01" w14:textId="77777777" w:rsidTr="00714B3C">
        <w:trPr>
          <w:trHeight w:val="20"/>
          <w:jc w:val="center"/>
        </w:trPr>
        <w:tc>
          <w:tcPr>
            <w:tcW w:w="315" w:type="pct"/>
            <w:tcMar>
              <w:top w:w="0" w:type="dxa"/>
              <w:left w:w="108" w:type="dxa"/>
              <w:bottom w:w="0" w:type="dxa"/>
              <w:right w:w="108" w:type="dxa"/>
            </w:tcMar>
            <w:vAlign w:val="center"/>
          </w:tcPr>
          <w:p w14:paraId="0FBDBD48" w14:textId="6AA449C9" w:rsidR="00544CB0" w:rsidRPr="00714B3C" w:rsidRDefault="00544CB0" w:rsidP="00DA0337">
            <w:pPr>
              <w:spacing w:line="240" w:lineRule="auto"/>
              <w:contextualSpacing/>
              <w:rPr>
                <w:rFonts w:cs="Calibri"/>
                <w:b/>
                <w:bCs/>
                <w:szCs w:val="22"/>
                <w:lang w:val="en-GB"/>
              </w:rPr>
            </w:pPr>
            <w:r>
              <w:rPr>
                <w:rFonts w:cs="Calibri"/>
                <w:b/>
                <w:bCs/>
                <w:szCs w:val="22"/>
                <w:lang w:val="en-GB"/>
              </w:rPr>
              <w:t>2.3</w:t>
            </w:r>
          </w:p>
        </w:tc>
        <w:tc>
          <w:tcPr>
            <w:tcW w:w="4010" w:type="pct"/>
            <w:tcMar>
              <w:top w:w="0" w:type="dxa"/>
              <w:left w:w="108" w:type="dxa"/>
              <w:bottom w:w="0" w:type="dxa"/>
              <w:right w:w="108" w:type="dxa"/>
            </w:tcMar>
            <w:vAlign w:val="center"/>
          </w:tcPr>
          <w:p w14:paraId="7D132A26" w14:textId="11E269C3" w:rsidR="00544CB0" w:rsidRDefault="00544CB0" w:rsidP="00DA0337">
            <w:pPr>
              <w:spacing w:line="240" w:lineRule="auto"/>
              <w:contextualSpacing/>
              <w:rPr>
                <w:rFonts w:cs="Calibri"/>
                <w:szCs w:val="22"/>
                <w:lang w:val="en-GB"/>
              </w:rPr>
            </w:pPr>
            <w:r>
              <w:rPr>
                <w:rFonts w:cs="Calibri"/>
                <w:szCs w:val="22"/>
                <w:lang w:val="en-GB"/>
              </w:rPr>
              <w:t>Relevant water sector experience</w:t>
            </w:r>
          </w:p>
        </w:tc>
        <w:tc>
          <w:tcPr>
            <w:tcW w:w="675" w:type="pct"/>
            <w:tcMar>
              <w:top w:w="0" w:type="dxa"/>
              <w:left w:w="108" w:type="dxa"/>
              <w:bottom w:w="0" w:type="dxa"/>
              <w:right w:w="108" w:type="dxa"/>
            </w:tcMar>
            <w:vAlign w:val="center"/>
          </w:tcPr>
          <w:p w14:paraId="63450071" w14:textId="2721FAA7" w:rsidR="00544CB0" w:rsidRPr="00714B3C" w:rsidRDefault="004D4E43" w:rsidP="00DA0337">
            <w:pPr>
              <w:spacing w:line="240" w:lineRule="auto"/>
              <w:contextualSpacing/>
              <w:rPr>
                <w:rFonts w:cs="Calibri"/>
                <w:szCs w:val="22"/>
                <w:lang w:val="en-GB"/>
              </w:rPr>
            </w:pPr>
            <w:r>
              <w:rPr>
                <w:rFonts w:cs="Calibri"/>
                <w:szCs w:val="22"/>
                <w:lang w:val="en-GB"/>
              </w:rPr>
              <w:t>10</w:t>
            </w:r>
          </w:p>
        </w:tc>
      </w:tr>
      <w:tr w:rsidR="002945C8" w:rsidRPr="00714B3C" w14:paraId="1C28A0F9"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hideMark/>
          </w:tcPr>
          <w:p w14:paraId="31A1285A"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3</w:t>
            </w:r>
          </w:p>
        </w:tc>
        <w:tc>
          <w:tcPr>
            <w:tcW w:w="4010" w:type="pct"/>
            <w:shd w:val="clear" w:color="auto" w:fill="EEECE1" w:themeFill="background2"/>
            <w:tcMar>
              <w:top w:w="0" w:type="dxa"/>
              <w:left w:w="108" w:type="dxa"/>
              <w:bottom w:w="0" w:type="dxa"/>
              <w:right w:w="108" w:type="dxa"/>
            </w:tcMar>
            <w:vAlign w:val="center"/>
            <w:hideMark/>
          </w:tcPr>
          <w:p w14:paraId="0E95DD7D"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 xml:space="preserve">Technical Skills and Knowledge </w:t>
            </w:r>
          </w:p>
        </w:tc>
        <w:tc>
          <w:tcPr>
            <w:tcW w:w="675" w:type="pct"/>
            <w:shd w:val="clear" w:color="auto" w:fill="EEECE1" w:themeFill="background2"/>
            <w:tcMar>
              <w:top w:w="0" w:type="dxa"/>
              <w:left w:w="108" w:type="dxa"/>
              <w:bottom w:w="0" w:type="dxa"/>
              <w:right w:w="108" w:type="dxa"/>
            </w:tcMar>
            <w:vAlign w:val="center"/>
            <w:hideMark/>
          </w:tcPr>
          <w:p w14:paraId="265EC141" w14:textId="7EA4CD66" w:rsidR="002945C8" w:rsidRPr="00344A6D" w:rsidRDefault="004D4E43" w:rsidP="00DA0337">
            <w:pPr>
              <w:spacing w:line="240" w:lineRule="auto"/>
              <w:contextualSpacing/>
              <w:rPr>
                <w:rFonts w:cs="Calibri"/>
                <w:b/>
                <w:szCs w:val="22"/>
                <w:lang w:val="en-GB"/>
              </w:rPr>
            </w:pPr>
            <w:r>
              <w:rPr>
                <w:rFonts w:cs="Calibri"/>
                <w:b/>
                <w:szCs w:val="22"/>
                <w:lang w:val="en-GB"/>
              </w:rPr>
              <w:t>20</w:t>
            </w:r>
          </w:p>
        </w:tc>
      </w:tr>
      <w:tr w:rsidR="008A1004" w:rsidRPr="00714B3C" w14:paraId="6B4F9176" w14:textId="77777777" w:rsidTr="00714B3C">
        <w:trPr>
          <w:trHeight w:val="20"/>
          <w:jc w:val="center"/>
        </w:trPr>
        <w:tc>
          <w:tcPr>
            <w:tcW w:w="315" w:type="pct"/>
            <w:tcMar>
              <w:top w:w="0" w:type="dxa"/>
              <w:left w:w="108" w:type="dxa"/>
              <w:bottom w:w="0" w:type="dxa"/>
              <w:right w:w="108" w:type="dxa"/>
            </w:tcMar>
            <w:vAlign w:val="center"/>
            <w:hideMark/>
          </w:tcPr>
          <w:p w14:paraId="5DB43970" w14:textId="77777777" w:rsidR="008A1004" w:rsidRPr="00714B3C" w:rsidRDefault="008A1004" w:rsidP="00DA0337">
            <w:pPr>
              <w:spacing w:line="240" w:lineRule="auto"/>
              <w:contextualSpacing/>
              <w:rPr>
                <w:rFonts w:cs="Calibri"/>
                <w:b/>
                <w:bCs/>
                <w:szCs w:val="22"/>
                <w:lang w:val="en-GB"/>
              </w:rPr>
            </w:pPr>
            <w:r w:rsidRPr="00714B3C">
              <w:rPr>
                <w:rFonts w:cs="Calibri"/>
                <w:b/>
                <w:bCs/>
                <w:szCs w:val="22"/>
                <w:lang w:val="en-GB"/>
              </w:rPr>
              <w:t>3.1</w:t>
            </w:r>
          </w:p>
        </w:tc>
        <w:tc>
          <w:tcPr>
            <w:tcW w:w="4010" w:type="pct"/>
            <w:tcMar>
              <w:top w:w="0" w:type="dxa"/>
              <w:left w:w="108" w:type="dxa"/>
              <w:bottom w:w="0" w:type="dxa"/>
              <w:right w:w="108" w:type="dxa"/>
            </w:tcMar>
            <w:vAlign w:val="center"/>
          </w:tcPr>
          <w:p w14:paraId="660C5461" w14:textId="4B80366A" w:rsidR="008A1004" w:rsidRPr="00714B3C" w:rsidRDefault="00CB00CC" w:rsidP="00DA0337">
            <w:pPr>
              <w:spacing w:line="240" w:lineRule="auto"/>
              <w:contextualSpacing/>
              <w:rPr>
                <w:rFonts w:cs="Calibri"/>
                <w:szCs w:val="22"/>
                <w:lang w:val="en-GB"/>
              </w:rPr>
            </w:pPr>
            <w:r>
              <w:rPr>
                <w:rFonts w:cs="Calibri"/>
                <w:szCs w:val="22"/>
                <w:lang w:val="en-GB"/>
              </w:rPr>
              <w:t xml:space="preserve">Experience in the use of local / community level financing mechanisms for development </w:t>
            </w:r>
          </w:p>
        </w:tc>
        <w:tc>
          <w:tcPr>
            <w:tcW w:w="675" w:type="pct"/>
            <w:tcMar>
              <w:top w:w="0" w:type="dxa"/>
              <w:left w:w="108" w:type="dxa"/>
              <w:bottom w:w="0" w:type="dxa"/>
              <w:right w:w="108" w:type="dxa"/>
            </w:tcMar>
            <w:vAlign w:val="center"/>
          </w:tcPr>
          <w:p w14:paraId="020DED27" w14:textId="3E657600" w:rsidR="008A1004" w:rsidRPr="00714B3C" w:rsidRDefault="004D4E43" w:rsidP="00DA0337">
            <w:pPr>
              <w:spacing w:line="240" w:lineRule="auto"/>
              <w:contextualSpacing/>
              <w:rPr>
                <w:rFonts w:cs="Calibri"/>
                <w:szCs w:val="22"/>
                <w:lang w:val="en-GB"/>
              </w:rPr>
            </w:pPr>
            <w:r>
              <w:rPr>
                <w:rFonts w:cs="Calibri"/>
                <w:szCs w:val="22"/>
                <w:lang w:val="en-GB"/>
              </w:rPr>
              <w:t>10</w:t>
            </w:r>
          </w:p>
        </w:tc>
      </w:tr>
      <w:tr w:rsidR="008A1004" w:rsidRPr="00714B3C" w14:paraId="32982444" w14:textId="77777777" w:rsidTr="00714B3C">
        <w:trPr>
          <w:trHeight w:val="20"/>
          <w:jc w:val="center"/>
        </w:trPr>
        <w:tc>
          <w:tcPr>
            <w:tcW w:w="315" w:type="pct"/>
            <w:tcMar>
              <w:top w:w="0" w:type="dxa"/>
              <w:left w:w="108" w:type="dxa"/>
              <w:bottom w:w="0" w:type="dxa"/>
              <w:right w:w="108" w:type="dxa"/>
            </w:tcMar>
            <w:vAlign w:val="center"/>
            <w:hideMark/>
          </w:tcPr>
          <w:p w14:paraId="668C40B9" w14:textId="77777777" w:rsidR="008A1004" w:rsidRPr="00714B3C" w:rsidRDefault="008A1004" w:rsidP="00DA0337">
            <w:pPr>
              <w:spacing w:line="240" w:lineRule="auto"/>
              <w:contextualSpacing/>
              <w:rPr>
                <w:rFonts w:cs="Calibri"/>
                <w:b/>
                <w:bCs/>
                <w:szCs w:val="22"/>
                <w:lang w:val="en-GB"/>
              </w:rPr>
            </w:pPr>
            <w:r w:rsidRPr="00714B3C">
              <w:rPr>
                <w:rFonts w:cs="Calibri"/>
                <w:b/>
                <w:bCs/>
                <w:szCs w:val="22"/>
                <w:lang w:val="en-GB"/>
              </w:rPr>
              <w:t>3.2</w:t>
            </w:r>
          </w:p>
        </w:tc>
        <w:tc>
          <w:tcPr>
            <w:tcW w:w="4010" w:type="pct"/>
            <w:tcMar>
              <w:top w:w="0" w:type="dxa"/>
              <w:left w:w="108" w:type="dxa"/>
              <w:bottom w:w="0" w:type="dxa"/>
              <w:right w:w="108" w:type="dxa"/>
            </w:tcMar>
            <w:vAlign w:val="center"/>
          </w:tcPr>
          <w:p w14:paraId="2D9BD67F" w14:textId="1393C34A" w:rsidR="008A1004" w:rsidRPr="00714B3C" w:rsidRDefault="00CB00CC" w:rsidP="00DA0337">
            <w:pPr>
              <w:spacing w:line="240" w:lineRule="auto"/>
              <w:contextualSpacing/>
              <w:rPr>
                <w:rFonts w:cs="Calibri"/>
                <w:szCs w:val="22"/>
                <w:lang w:val="en-GB"/>
              </w:rPr>
            </w:pPr>
            <w:r>
              <w:rPr>
                <w:rFonts w:cs="Calibri"/>
                <w:szCs w:val="22"/>
                <w:lang w:val="en-GB"/>
              </w:rPr>
              <w:t xml:space="preserve">Experience in working with multi-stakeholder groups </w:t>
            </w:r>
          </w:p>
        </w:tc>
        <w:tc>
          <w:tcPr>
            <w:tcW w:w="675" w:type="pct"/>
            <w:tcMar>
              <w:top w:w="0" w:type="dxa"/>
              <w:left w:w="108" w:type="dxa"/>
              <w:bottom w:w="0" w:type="dxa"/>
              <w:right w:w="108" w:type="dxa"/>
            </w:tcMar>
            <w:vAlign w:val="center"/>
          </w:tcPr>
          <w:p w14:paraId="4E807F15" w14:textId="256C4798" w:rsidR="008A1004" w:rsidRPr="00714B3C" w:rsidRDefault="004D4E43" w:rsidP="00DA0337">
            <w:pPr>
              <w:spacing w:line="240" w:lineRule="auto"/>
              <w:contextualSpacing/>
              <w:rPr>
                <w:rFonts w:cs="Calibri"/>
                <w:szCs w:val="22"/>
                <w:lang w:val="en-GB"/>
              </w:rPr>
            </w:pPr>
            <w:r>
              <w:rPr>
                <w:rFonts w:cs="Calibri"/>
                <w:szCs w:val="22"/>
                <w:lang w:val="en-GB"/>
              </w:rPr>
              <w:t>5</w:t>
            </w:r>
          </w:p>
        </w:tc>
      </w:tr>
      <w:tr w:rsidR="008A1004" w:rsidRPr="00714B3C" w14:paraId="0E7AEB87" w14:textId="77777777" w:rsidTr="00714B3C">
        <w:trPr>
          <w:trHeight w:val="20"/>
          <w:jc w:val="center"/>
        </w:trPr>
        <w:tc>
          <w:tcPr>
            <w:tcW w:w="315" w:type="pct"/>
            <w:tcMar>
              <w:top w:w="0" w:type="dxa"/>
              <w:left w:w="108" w:type="dxa"/>
              <w:bottom w:w="0" w:type="dxa"/>
              <w:right w:w="108" w:type="dxa"/>
            </w:tcMar>
            <w:vAlign w:val="center"/>
            <w:hideMark/>
          </w:tcPr>
          <w:p w14:paraId="11B4242A" w14:textId="2860F205" w:rsidR="008A1004" w:rsidRPr="00714B3C" w:rsidRDefault="008A1004" w:rsidP="00DA0337">
            <w:pPr>
              <w:spacing w:line="240" w:lineRule="auto"/>
              <w:contextualSpacing/>
              <w:rPr>
                <w:rFonts w:cs="Calibri"/>
                <w:b/>
                <w:bCs/>
                <w:szCs w:val="22"/>
                <w:lang w:val="es-419"/>
              </w:rPr>
            </w:pPr>
            <w:r w:rsidRPr="00714B3C">
              <w:rPr>
                <w:rFonts w:cs="Calibri"/>
                <w:b/>
                <w:bCs/>
                <w:szCs w:val="22"/>
                <w:lang w:val="en-GB"/>
              </w:rPr>
              <w:t>3.</w:t>
            </w:r>
            <w:r w:rsidR="004D4E43">
              <w:rPr>
                <w:rFonts w:cs="Calibri"/>
                <w:b/>
                <w:bCs/>
                <w:szCs w:val="22"/>
                <w:lang w:val="en-GB"/>
              </w:rPr>
              <w:t>3</w:t>
            </w:r>
          </w:p>
        </w:tc>
        <w:tc>
          <w:tcPr>
            <w:tcW w:w="4010" w:type="pct"/>
            <w:tcMar>
              <w:top w:w="0" w:type="dxa"/>
              <w:left w:w="108" w:type="dxa"/>
              <w:bottom w:w="0" w:type="dxa"/>
              <w:right w:w="108" w:type="dxa"/>
            </w:tcMar>
            <w:vAlign w:val="center"/>
          </w:tcPr>
          <w:p w14:paraId="46DC2278" w14:textId="77777777" w:rsidR="008A1004" w:rsidRPr="00714B3C" w:rsidRDefault="008A1004" w:rsidP="00DA0337">
            <w:pPr>
              <w:spacing w:line="240" w:lineRule="auto"/>
              <w:contextualSpacing/>
              <w:rPr>
                <w:rFonts w:cs="Calibri"/>
                <w:szCs w:val="22"/>
                <w:lang w:val="en-GB"/>
              </w:rPr>
            </w:pPr>
            <w:r w:rsidRPr="00714B3C">
              <w:rPr>
                <w:rFonts w:cs="Calibri"/>
                <w:color w:val="auto"/>
                <w:szCs w:val="22"/>
              </w:rPr>
              <w:t xml:space="preserve">Language skills </w:t>
            </w:r>
          </w:p>
        </w:tc>
        <w:tc>
          <w:tcPr>
            <w:tcW w:w="675" w:type="pct"/>
            <w:tcMar>
              <w:top w:w="0" w:type="dxa"/>
              <w:left w:w="108" w:type="dxa"/>
              <w:bottom w:w="0" w:type="dxa"/>
              <w:right w:w="108" w:type="dxa"/>
            </w:tcMar>
            <w:vAlign w:val="center"/>
          </w:tcPr>
          <w:p w14:paraId="06232CD0" w14:textId="763A7525" w:rsidR="008A1004" w:rsidRPr="00714B3C" w:rsidRDefault="004D4E43" w:rsidP="00DA0337">
            <w:pPr>
              <w:spacing w:line="240" w:lineRule="auto"/>
              <w:contextualSpacing/>
              <w:rPr>
                <w:rFonts w:cs="Calibri"/>
                <w:szCs w:val="22"/>
                <w:lang w:val="en-GB"/>
              </w:rPr>
            </w:pPr>
            <w:r>
              <w:rPr>
                <w:rFonts w:cs="Calibri"/>
                <w:szCs w:val="22"/>
                <w:lang w:val="en-GB"/>
              </w:rPr>
              <w:t>5</w:t>
            </w:r>
          </w:p>
        </w:tc>
      </w:tr>
      <w:tr w:rsidR="002945C8" w:rsidRPr="00714B3C" w14:paraId="693B3D0A" w14:textId="77777777" w:rsidTr="00714B3C">
        <w:trPr>
          <w:trHeight w:val="20"/>
          <w:jc w:val="center"/>
        </w:trPr>
        <w:tc>
          <w:tcPr>
            <w:tcW w:w="315" w:type="pct"/>
            <w:shd w:val="clear" w:color="auto" w:fill="EEECE1" w:themeFill="background2"/>
            <w:tcMar>
              <w:top w:w="0" w:type="dxa"/>
              <w:left w:w="108" w:type="dxa"/>
              <w:bottom w:w="0" w:type="dxa"/>
              <w:right w:w="108" w:type="dxa"/>
            </w:tcMar>
            <w:vAlign w:val="center"/>
          </w:tcPr>
          <w:p w14:paraId="1CAA43DB" w14:textId="77777777" w:rsidR="002945C8" w:rsidRPr="00714B3C" w:rsidRDefault="002945C8" w:rsidP="00DA0337">
            <w:pPr>
              <w:spacing w:line="240" w:lineRule="auto"/>
              <w:contextualSpacing/>
              <w:rPr>
                <w:rFonts w:cs="Calibri"/>
                <w:b/>
                <w:bCs/>
                <w:szCs w:val="22"/>
                <w:lang w:val="en-GB"/>
              </w:rPr>
            </w:pPr>
          </w:p>
        </w:tc>
        <w:tc>
          <w:tcPr>
            <w:tcW w:w="4010" w:type="pct"/>
            <w:shd w:val="clear" w:color="auto" w:fill="EEECE1" w:themeFill="background2"/>
            <w:tcMar>
              <w:top w:w="0" w:type="dxa"/>
              <w:left w:w="108" w:type="dxa"/>
              <w:bottom w:w="0" w:type="dxa"/>
              <w:right w:w="108" w:type="dxa"/>
            </w:tcMar>
            <w:vAlign w:val="center"/>
            <w:hideMark/>
          </w:tcPr>
          <w:p w14:paraId="4AF9E9AC" w14:textId="77777777" w:rsidR="002945C8" w:rsidRPr="00714B3C" w:rsidRDefault="002945C8" w:rsidP="00DA0337">
            <w:pPr>
              <w:spacing w:line="240" w:lineRule="auto"/>
              <w:contextualSpacing/>
              <w:rPr>
                <w:rFonts w:cs="Calibri"/>
                <w:b/>
                <w:bCs/>
                <w:szCs w:val="22"/>
                <w:lang w:val="en-GB"/>
              </w:rPr>
            </w:pPr>
            <w:r w:rsidRPr="00714B3C">
              <w:rPr>
                <w:rFonts w:cs="Calibri"/>
                <w:noProof/>
                <w:szCs w:val="22"/>
                <w:lang w:val="es-CL" w:eastAsia="es-CL"/>
              </w:rPr>
              <w:drawing>
                <wp:inline distT="0" distB="0" distL="0" distR="0" wp14:anchorId="721FA567" wp14:editId="431962A5">
                  <wp:extent cx="9525" cy="9525"/>
                  <wp:effectExtent l="0" t="0" r="0" b="0"/>
                  <wp:docPr id="2" name="Picture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4B3C">
              <w:rPr>
                <w:rFonts w:cs="Calibri"/>
                <w:b/>
                <w:bCs/>
                <w:szCs w:val="22"/>
                <w:lang w:val="en-GB"/>
              </w:rPr>
              <w:t>Total Technical Score</w:t>
            </w:r>
          </w:p>
        </w:tc>
        <w:tc>
          <w:tcPr>
            <w:tcW w:w="675" w:type="pct"/>
            <w:shd w:val="clear" w:color="auto" w:fill="EEECE1" w:themeFill="background2"/>
            <w:tcMar>
              <w:top w:w="0" w:type="dxa"/>
              <w:left w:w="108" w:type="dxa"/>
              <w:bottom w:w="0" w:type="dxa"/>
              <w:right w:w="108" w:type="dxa"/>
            </w:tcMar>
            <w:vAlign w:val="center"/>
          </w:tcPr>
          <w:p w14:paraId="70863F67" w14:textId="67ED92B9" w:rsidR="002945C8" w:rsidRPr="00714B3C" w:rsidRDefault="008A1004" w:rsidP="00DA0337">
            <w:pPr>
              <w:spacing w:line="240" w:lineRule="auto"/>
              <w:contextualSpacing/>
              <w:rPr>
                <w:rFonts w:cs="Calibri"/>
                <w:b/>
                <w:szCs w:val="22"/>
              </w:rPr>
            </w:pPr>
            <w:r>
              <w:rPr>
                <w:rFonts w:cs="Calibri"/>
                <w:b/>
                <w:szCs w:val="22"/>
              </w:rPr>
              <w:t>70</w:t>
            </w:r>
          </w:p>
        </w:tc>
      </w:tr>
      <w:tr w:rsidR="002945C8" w:rsidRPr="00714B3C" w14:paraId="01BAC184"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20A194C2" w14:textId="77777777" w:rsidR="002945C8" w:rsidRPr="00714B3C" w:rsidRDefault="002945C8" w:rsidP="00DA0337">
            <w:pPr>
              <w:spacing w:line="240" w:lineRule="auto"/>
              <w:contextualSpacing/>
              <w:rPr>
                <w:rFonts w:cs="Calibri"/>
                <w:b/>
                <w:bCs/>
                <w:szCs w:val="22"/>
                <w:lang w:val="en-GB"/>
              </w:rPr>
            </w:pPr>
          </w:p>
        </w:tc>
        <w:tc>
          <w:tcPr>
            <w:tcW w:w="4010" w:type="pct"/>
            <w:shd w:val="clear" w:color="auto" w:fill="DDD9C3" w:themeFill="background2" w:themeFillShade="E6"/>
            <w:tcMar>
              <w:top w:w="0" w:type="dxa"/>
              <w:left w:w="108" w:type="dxa"/>
              <w:bottom w:w="0" w:type="dxa"/>
              <w:right w:w="108" w:type="dxa"/>
            </w:tcMar>
            <w:vAlign w:val="center"/>
            <w:hideMark/>
          </w:tcPr>
          <w:p w14:paraId="71D48E12" w14:textId="77777777" w:rsidR="002945C8" w:rsidRPr="00714B3C" w:rsidRDefault="002945C8" w:rsidP="00DA0337">
            <w:pPr>
              <w:spacing w:line="240" w:lineRule="auto"/>
              <w:contextualSpacing/>
              <w:rPr>
                <w:rFonts w:cs="Calibri"/>
                <w:b/>
                <w:bCs/>
                <w:szCs w:val="22"/>
                <w:lang w:val="en-GB"/>
              </w:rPr>
            </w:pPr>
            <w:r w:rsidRPr="00714B3C">
              <w:rPr>
                <w:rFonts w:cs="Calibri"/>
                <w:b/>
                <w:bCs/>
                <w:szCs w:val="22"/>
                <w:lang w:val="en-GB"/>
              </w:rPr>
              <w:t>Minimum Technical for pass to financial assessment</w:t>
            </w:r>
          </w:p>
        </w:tc>
        <w:tc>
          <w:tcPr>
            <w:tcW w:w="675" w:type="pct"/>
            <w:shd w:val="clear" w:color="auto" w:fill="DDD9C3" w:themeFill="background2" w:themeFillShade="E6"/>
            <w:tcMar>
              <w:top w:w="0" w:type="dxa"/>
              <w:left w:w="108" w:type="dxa"/>
              <w:bottom w:w="0" w:type="dxa"/>
              <w:right w:w="108" w:type="dxa"/>
            </w:tcMar>
            <w:vAlign w:val="center"/>
          </w:tcPr>
          <w:p w14:paraId="025B4034" w14:textId="58BEA753" w:rsidR="002945C8" w:rsidRPr="00714B3C" w:rsidRDefault="008A1004" w:rsidP="00DA0337">
            <w:pPr>
              <w:spacing w:line="240" w:lineRule="auto"/>
              <w:contextualSpacing/>
              <w:rPr>
                <w:rFonts w:cs="Calibri"/>
                <w:b/>
                <w:bCs/>
                <w:szCs w:val="22"/>
              </w:rPr>
            </w:pPr>
            <w:r>
              <w:rPr>
                <w:rFonts w:cs="Calibri"/>
                <w:b/>
                <w:bCs/>
                <w:szCs w:val="22"/>
              </w:rPr>
              <w:t>50</w:t>
            </w:r>
          </w:p>
        </w:tc>
      </w:tr>
      <w:tr w:rsidR="002945C8" w:rsidRPr="00714B3C" w14:paraId="20FDD665" w14:textId="77777777" w:rsidTr="00714B3C">
        <w:trPr>
          <w:trHeight w:val="20"/>
          <w:jc w:val="center"/>
        </w:trPr>
        <w:tc>
          <w:tcPr>
            <w:tcW w:w="315" w:type="pct"/>
            <w:shd w:val="clear" w:color="auto" w:fill="DDD9C3" w:themeFill="background2" w:themeFillShade="E6"/>
            <w:tcMar>
              <w:top w:w="0" w:type="dxa"/>
              <w:left w:w="108" w:type="dxa"/>
              <w:bottom w:w="0" w:type="dxa"/>
              <w:right w:w="108" w:type="dxa"/>
            </w:tcMar>
            <w:vAlign w:val="center"/>
          </w:tcPr>
          <w:p w14:paraId="749EA863" w14:textId="77777777" w:rsidR="002945C8" w:rsidRPr="00714B3C" w:rsidRDefault="002945C8" w:rsidP="00DA0337">
            <w:pPr>
              <w:spacing w:line="240" w:lineRule="auto"/>
              <w:contextualSpacing/>
              <w:rPr>
                <w:rFonts w:cs="Calibri"/>
                <w:b/>
                <w:bCs/>
                <w:szCs w:val="22"/>
                <w:lang w:val="en-GB"/>
              </w:rPr>
            </w:pPr>
          </w:p>
        </w:tc>
        <w:tc>
          <w:tcPr>
            <w:tcW w:w="4685" w:type="pct"/>
            <w:gridSpan w:val="2"/>
            <w:shd w:val="clear" w:color="auto" w:fill="DDD9C3" w:themeFill="background2" w:themeFillShade="E6"/>
            <w:tcMar>
              <w:top w:w="0" w:type="dxa"/>
              <w:left w:w="108" w:type="dxa"/>
              <w:bottom w:w="0" w:type="dxa"/>
              <w:right w:w="108" w:type="dxa"/>
            </w:tcMar>
            <w:vAlign w:val="center"/>
          </w:tcPr>
          <w:p w14:paraId="05AEE117" w14:textId="77777777" w:rsidR="002945C8" w:rsidRPr="00714B3C" w:rsidRDefault="002945C8" w:rsidP="00DA0337">
            <w:pPr>
              <w:spacing w:line="240" w:lineRule="auto"/>
              <w:contextualSpacing/>
              <w:rPr>
                <w:rFonts w:cs="Calibri"/>
                <w:b/>
                <w:bCs/>
                <w:szCs w:val="22"/>
                <w:lang w:val="en-GB"/>
              </w:rPr>
            </w:pPr>
            <w:r w:rsidRPr="00714B3C">
              <w:rPr>
                <w:rFonts w:cs="Calibri"/>
                <w:i/>
              </w:rPr>
              <w:t>Only those candidates meeting the minimum technical score will be eligible for further review.</w:t>
            </w:r>
          </w:p>
        </w:tc>
      </w:tr>
    </w:tbl>
    <w:p w14:paraId="11E53D44" w14:textId="77777777" w:rsidR="002945C8" w:rsidRPr="00714B3C" w:rsidRDefault="002945C8" w:rsidP="00DA0337">
      <w:pPr>
        <w:spacing w:line="240" w:lineRule="auto"/>
        <w:contextualSpacing/>
        <w:rPr>
          <w:rFonts w:cs="Calibri"/>
          <w:szCs w:val="22"/>
        </w:rPr>
      </w:pPr>
    </w:p>
    <w:p w14:paraId="32795015" w14:textId="56F61F3C" w:rsidR="00714B3C" w:rsidRDefault="00714B3C" w:rsidP="00DA0337">
      <w:pPr>
        <w:spacing w:line="240" w:lineRule="auto"/>
        <w:contextualSpacing/>
        <w:rPr>
          <w:rFonts w:cs="Calibri"/>
          <w:b/>
          <w:color w:val="FF6600"/>
          <w:sz w:val="24"/>
          <w:szCs w:val="22"/>
          <w:lang w:val="en-GB"/>
        </w:rPr>
      </w:pPr>
      <w:r w:rsidRPr="00714B3C">
        <w:rPr>
          <w:rFonts w:cs="Calibri"/>
          <w:b/>
          <w:color w:val="FF6600"/>
          <w:sz w:val="24"/>
          <w:szCs w:val="22"/>
          <w:lang w:val="en-GB"/>
        </w:rPr>
        <w:t>REMARKS.</w:t>
      </w:r>
    </w:p>
    <w:p w14:paraId="217EF176" w14:textId="3CFDA7C7" w:rsidR="00187F43" w:rsidRDefault="00187F43" w:rsidP="00DA0337">
      <w:pPr>
        <w:spacing w:line="240" w:lineRule="auto"/>
        <w:rPr>
          <w:rFonts w:cs="Calibri"/>
          <w:b/>
          <w:szCs w:val="22"/>
        </w:rPr>
      </w:pPr>
      <w:r w:rsidRPr="00811398">
        <w:rPr>
          <w:rFonts w:cs="Calibri"/>
          <w:b/>
          <w:szCs w:val="22"/>
        </w:rPr>
        <w:t xml:space="preserve">Annex 1: </w:t>
      </w:r>
      <w:r w:rsidR="00811398" w:rsidRPr="00811398">
        <w:rPr>
          <w:rFonts w:cs="Calibri"/>
          <w:b/>
          <w:szCs w:val="22"/>
        </w:rPr>
        <w:t xml:space="preserve">Estimated </w:t>
      </w:r>
      <w:r w:rsidRPr="00811398">
        <w:rPr>
          <w:rFonts w:cs="Calibri"/>
          <w:b/>
          <w:szCs w:val="22"/>
        </w:rPr>
        <w:t>timetable and proposed time allocation.</w:t>
      </w:r>
    </w:p>
    <w:p w14:paraId="5BEEC43F" w14:textId="0FECBF80" w:rsidR="00811398" w:rsidRDefault="00811398" w:rsidP="00DA0337">
      <w:pPr>
        <w:spacing w:line="240" w:lineRule="auto"/>
        <w:rPr>
          <w:rFonts w:cs="Calibri"/>
          <w:szCs w:val="22"/>
        </w:rPr>
      </w:pPr>
      <w:r>
        <w:rPr>
          <w:rFonts w:cs="Calibri"/>
          <w:szCs w:val="22"/>
        </w:rPr>
        <w:t>The below table is included as a provisional timeline and for reference only.  Actual dates for implementation will be define and adjusted throughout the consultancy based on progress of field level activities.</w:t>
      </w:r>
      <w:r w:rsidR="007069F7">
        <w:rPr>
          <w:rFonts w:cs="Calibri"/>
          <w:szCs w:val="22"/>
        </w:rPr>
        <w:t xml:space="preserve"> </w:t>
      </w:r>
    </w:p>
    <w:p w14:paraId="13A1B8E6" w14:textId="77777777" w:rsidR="00187F43" w:rsidRDefault="00187F43" w:rsidP="00DA0337">
      <w:pPr>
        <w:spacing w:line="240" w:lineRule="auto"/>
        <w:rPr>
          <w:rFonts w:cs="Calibri"/>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35"/>
        <w:gridCol w:w="446"/>
        <w:gridCol w:w="446"/>
        <w:gridCol w:w="446"/>
        <w:gridCol w:w="446"/>
        <w:gridCol w:w="446"/>
        <w:gridCol w:w="446"/>
        <w:gridCol w:w="446"/>
        <w:gridCol w:w="446"/>
        <w:gridCol w:w="446"/>
        <w:gridCol w:w="446"/>
        <w:gridCol w:w="1390"/>
      </w:tblGrid>
      <w:tr w:rsidR="0061120F" w:rsidRPr="007069F7" w14:paraId="20CCCD11" w14:textId="77777777" w:rsidTr="00C20B04">
        <w:trPr>
          <w:trHeight w:val="300"/>
        </w:trPr>
        <w:tc>
          <w:tcPr>
            <w:tcW w:w="4135" w:type="dxa"/>
            <w:shd w:val="clear" w:color="auto" w:fill="auto"/>
            <w:noWrap/>
            <w:vAlign w:val="bottom"/>
          </w:tcPr>
          <w:p w14:paraId="2D97639D" w14:textId="77777777" w:rsidR="0061120F" w:rsidRPr="004D4E43" w:rsidRDefault="0061120F" w:rsidP="00A83C5D">
            <w:pPr>
              <w:spacing w:line="240" w:lineRule="auto"/>
              <w:rPr>
                <w:rFonts w:eastAsia="Times New Roman" w:cs="Calibri"/>
                <w:b/>
                <w:i/>
                <w:iCs/>
                <w:sz w:val="20"/>
                <w:lang w:eastAsia="pt-PT"/>
              </w:rPr>
            </w:pPr>
          </w:p>
        </w:tc>
        <w:tc>
          <w:tcPr>
            <w:tcW w:w="4460" w:type="dxa"/>
            <w:gridSpan w:val="10"/>
          </w:tcPr>
          <w:p w14:paraId="468C48B7" w14:textId="4B38376B" w:rsidR="0061120F" w:rsidRPr="00456EC5" w:rsidRDefault="0061120F" w:rsidP="00DA0337">
            <w:pPr>
              <w:spacing w:line="240" w:lineRule="auto"/>
              <w:rPr>
                <w:rFonts w:eastAsia="Times New Roman" w:cs="Calibri"/>
                <w:b/>
                <w:szCs w:val="22"/>
                <w:lang w:val="pt-PT" w:eastAsia="pt-PT"/>
              </w:rPr>
            </w:pPr>
            <w:proofErr w:type="spellStart"/>
            <w:r w:rsidRPr="00456EC5">
              <w:rPr>
                <w:rFonts w:eastAsia="Times New Roman" w:cs="Calibri"/>
                <w:b/>
                <w:szCs w:val="22"/>
                <w:lang w:val="pt-PT" w:eastAsia="pt-PT"/>
              </w:rPr>
              <w:t>Weeks</w:t>
            </w:r>
            <w:proofErr w:type="spellEnd"/>
          </w:p>
        </w:tc>
        <w:tc>
          <w:tcPr>
            <w:tcW w:w="1390" w:type="dxa"/>
            <w:vMerge w:val="restart"/>
            <w:shd w:val="clear" w:color="auto" w:fill="auto"/>
            <w:noWrap/>
            <w:vAlign w:val="bottom"/>
          </w:tcPr>
          <w:p w14:paraId="0ECE70DF" w14:textId="39E03351" w:rsidR="0061120F" w:rsidRPr="007069F7" w:rsidRDefault="0061120F" w:rsidP="00456EC5">
            <w:pPr>
              <w:spacing w:line="240" w:lineRule="auto"/>
              <w:rPr>
                <w:rFonts w:eastAsia="Times New Roman" w:cs="Calibri"/>
                <w:szCs w:val="22"/>
                <w:lang w:eastAsia="pt-PT"/>
              </w:rPr>
            </w:pPr>
            <w:r w:rsidRPr="0061120F">
              <w:rPr>
                <w:rFonts w:eastAsia="Times New Roman" w:cs="Calibri"/>
                <w:sz w:val="18"/>
                <w:szCs w:val="22"/>
                <w:lang w:eastAsia="pt-PT"/>
              </w:rPr>
              <w:t> Estimated time allocation (working days)</w:t>
            </w:r>
          </w:p>
        </w:tc>
      </w:tr>
      <w:tr w:rsidR="0061120F" w:rsidRPr="007069F7" w14:paraId="609CE7C4" w14:textId="77777777" w:rsidTr="00287A27">
        <w:trPr>
          <w:trHeight w:val="300"/>
        </w:trPr>
        <w:tc>
          <w:tcPr>
            <w:tcW w:w="4135" w:type="dxa"/>
            <w:shd w:val="clear" w:color="auto" w:fill="auto"/>
            <w:noWrap/>
            <w:vAlign w:val="bottom"/>
            <w:hideMark/>
          </w:tcPr>
          <w:p w14:paraId="3119DA6F" w14:textId="2C7F42F6" w:rsidR="0061120F" w:rsidRPr="00287A27" w:rsidRDefault="0061120F" w:rsidP="00456EC5">
            <w:pPr>
              <w:spacing w:line="240" w:lineRule="auto"/>
              <w:rPr>
                <w:rFonts w:eastAsia="Times New Roman" w:cs="Calibri"/>
                <w:b/>
                <w:i/>
                <w:iCs/>
                <w:sz w:val="20"/>
                <w:lang w:val="pt-PT" w:eastAsia="pt-PT"/>
              </w:rPr>
            </w:pPr>
            <w:r w:rsidRPr="00287A27">
              <w:rPr>
                <w:rFonts w:eastAsia="Times New Roman" w:cs="Calibri"/>
                <w:b/>
                <w:i/>
                <w:iCs/>
                <w:sz w:val="20"/>
                <w:lang w:val="pt-PT" w:eastAsia="pt-PT"/>
              </w:rPr>
              <w:t>ACTIVITY</w:t>
            </w:r>
          </w:p>
        </w:tc>
        <w:tc>
          <w:tcPr>
            <w:tcW w:w="446" w:type="dxa"/>
            <w:shd w:val="clear" w:color="auto" w:fill="auto"/>
            <w:noWrap/>
            <w:vAlign w:val="center"/>
          </w:tcPr>
          <w:p w14:paraId="47DD980F" w14:textId="6BE3C589"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1</w:t>
            </w:r>
          </w:p>
        </w:tc>
        <w:tc>
          <w:tcPr>
            <w:tcW w:w="446" w:type="dxa"/>
            <w:vAlign w:val="center"/>
          </w:tcPr>
          <w:p w14:paraId="3CCE0653" w14:textId="0EC63756"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2</w:t>
            </w:r>
          </w:p>
        </w:tc>
        <w:tc>
          <w:tcPr>
            <w:tcW w:w="446" w:type="dxa"/>
            <w:shd w:val="clear" w:color="auto" w:fill="auto"/>
            <w:noWrap/>
            <w:vAlign w:val="center"/>
          </w:tcPr>
          <w:p w14:paraId="1B1F5915" w14:textId="3C526AB8"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3</w:t>
            </w:r>
          </w:p>
        </w:tc>
        <w:tc>
          <w:tcPr>
            <w:tcW w:w="446" w:type="dxa"/>
            <w:shd w:val="clear" w:color="auto" w:fill="auto"/>
            <w:noWrap/>
            <w:vAlign w:val="center"/>
          </w:tcPr>
          <w:p w14:paraId="1CA9481B" w14:textId="4276D106"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4</w:t>
            </w:r>
          </w:p>
        </w:tc>
        <w:tc>
          <w:tcPr>
            <w:tcW w:w="446" w:type="dxa"/>
            <w:shd w:val="clear" w:color="auto" w:fill="auto"/>
            <w:noWrap/>
            <w:vAlign w:val="center"/>
          </w:tcPr>
          <w:p w14:paraId="2540069B" w14:textId="50AD6448"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5</w:t>
            </w:r>
          </w:p>
        </w:tc>
        <w:tc>
          <w:tcPr>
            <w:tcW w:w="446" w:type="dxa"/>
            <w:shd w:val="clear" w:color="auto" w:fill="auto"/>
            <w:noWrap/>
            <w:vAlign w:val="center"/>
          </w:tcPr>
          <w:p w14:paraId="244A3723" w14:textId="6AFB8E6E"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6</w:t>
            </w:r>
          </w:p>
        </w:tc>
        <w:tc>
          <w:tcPr>
            <w:tcW w:w="446" w:type="dxa"/>
            <w:shd w:val="clear" w:color="auto" w:fill="auto"/>
            <w:noWrap/>
            <w:vAlign w:val="center"/>
          </w:tcPr>
          <w:p w14:paraId="4E31F07D" w14:textId="7A175A37"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7</w:t>
            </w:r>
          </w:p>
        </w:tc>
        <w:tc>
          <w:tcPr>
            <w:tcW w:w="446" w:type="dxa"/>
            <w:shd w:val="clear" w:color="auto" w:fill="auto"/>
            <w:noWrap/>
            <w:vAlign w:val="center"/>
          </w:tcPr>
          <w:p w14:paraId="6CE3BCC8" w14:textId="571AC02A" w:rsidR="0061120F" w:rsidRPr="00456EC5" w:rsidRDefault="0061120F" w:rsidP="00287A27">
            <w:pPr>
              <w:spacing w:line="240" w:lineRule="auto"/>
              <w:jc w:val="center"/>
              <w:rPr>
                <w:rFonts w:eastAsia="Times New Roman" w:cs="Calibri"/>
                <w:b/>
                <w:szCs w:val="22"/>
                <w:lang w:val="pt-PT" w:eastAsia="pt-PT"/>
              </w:rPr>
            </w:pPr>
            <w:r w:rsidRPr="00456EC5">
              <w:rPr>
                <w:rFonts w:eastAsia="Times New Roman" w:cs="Calibri"/>
                <w:b/>
                <w:szCs w:val="22"/>
                <w:lang w:val="pt-PT" w:eastAsia="pt-PT"/>
              </w:rPr>
              <w:t>8</w:t>
            </w:r>
          </w:p>
        </w:tc>
        <w:tc>
          <w:tcPr>
            <w:tcW w:w="446" w:type="dxa"/>
            <w:vAlign w:val="center"/>
          </w:tcPr>
          <w:p w14:paraId="34C66129" w14:textId="61DE8DB8" w:rsidR="0061120F" w:rsidRPr="00456EC5" w:rsidRDefault="0061120F" w:rsidP="00287A27">
            <w:pPr>
              <w:spacing w:line="240" w:lineRule="auto"/>
              <w:jc w:val="center"/>
              <w:rPr>
                <w:rFonts w:eastAsia="Times New Roman" w:cs="Calibri"/>
                <w:b/>
                <w:szCs w:val="22"/>
                <w:lang w:val="pt-PT" w:eastAsia="pt-PT"/>
              </w:rPr>
            </w:pPr>
            <w:r>
              <w:rPr>
                <w:rFonts w:eastAsia="Times New Roman" w:cs="Calibri"/>
                <w:b/>
                <w:szCs w:val="22"/>
                <w:lang w:val="pt-PT" w:eastAsia="pt-PT"/>
              </w:rPr>
              <w:t>9</w:t>
            </w:r>
          </w:p>
        </w:tc>
        <w:tc>
          <w:tcPr>
            <w:tcW w:w="446" w:type="dxa"/>
            <w:shd w:val="clear" w:color="auto" w:fill="auto"/>
            <w:noWrap/>
            <w:vAlign w:val="center"/>
          </w:tcPr>
          <w:p w14:paraId="77CE2888" w14:textId="0E8E6A0C" w:rsidR="0061120F" w:rsidRPr="00456EC5" w:rsidRDefault="0061120F" w:rsidP="00287A27">
            <w:pPr>
              <w:spacing w:line="240" w:lineRule="auto"/>
              <w:jc w:val="center"/>
              <w:rPr>
                <w:rFonts w:eastAsia="Times New Roman" w:cs="Calibri"/>
                <w:b/>
                <w:szCs w:val="22"/>
                <w:lang w:val="pt-PT" w:eastAsia="pt-PT"/>
              </w:rPr>
            </w:pPr>
            <w:r>
              <w:rPr>
                <w:rFonts w:eastAsia="Times New Roman" w:cs="Calibri"/>
                <w:b/>
                <w:szCs w:val="22"/>
                <w:lang w:val="pt-PT" w:eastAsia="pt-PT"/>
              </w:rPr>
              <w:t>10</w:t>
            </w:r>
          </w:p>
        </w:tc>
        <w:tc>
          <w:tcPr>
            <w:tcW w:w="1390" w:type="dxa"/>
            <w:vMerge/>
            <w:shd w:val="clear" w:color="auto" w:fill="auto"/>
            <w:noWrap/>
            <w:vAlign w:val="bottom"/>
            <w:hideMark/>
          </w:tcPr>
          <w:p w14:paraId="6B0CAEDB" w14:textId="23A98857" w:rsidR="0061120F" w:rsidRPr="007069F7" w:rsidRDefault="0061120F" w:rsidP="00456EC5">
            <w:pPr>
              <w:spacing w:line="240" w:lineRule="auto"/>
              <w:rPr>
                <w:rFonts w:eastAsia="Times New Roman" w:cs="Calibri"/>
                <w:szCs w:val="22"/>
                <w:lang w:eastAsia="pt-PT"/>
              </w:rPr>
            </w:pPr>
          </w:p>
        </w:tc>
      </w:tr>
      <w:tr w:rsidR="00456EC5" w:rsidRPr="00811398" w14:paraId="0E3E654C" w14:textId="77777777" w:rsidTr="00287A27">
        <w:trPr>
          <w:trHeight w:val="287"/>
        </w:trPr>
        <w:tc>
          <w:tcPr>
            <w:tcW w:w="4135" w:type="dxa"/>
            <w:shd w:val="clear" w:color="auto" w:fill="auto"/>
            <w:vAlign w:val="bottom"/>
            <w:hideMark/>
          </w:tcPr>
          <w:p w14:paraId="7E742CBB" w14:textId="21A68025" w:rsidR="00456EC5" w:rsidRPr="00287A27" w:rsidRDefault="00456EC5" w:rsidP="00456EC5">
            <w:pPr>
              <w:pStyle w:val="ListParagraph"/>
              <w:numPr>
                <w:ilvl w:val="0"/>
                <w:numId w:val="4"/>
              </w:numPr>
              <w:spacing w:line="240" w:lineRule="auto"/>
              <w:ind w:left="375"/>
              <w:rPr>
                <w:rFonts w:eastAsia="Times New Roman" w:cs="Calibri"/>
                <w:i/>
                <w:iCs/>
                <w:sz w:val="20"/>
                <w:szCs w:val="20"/>
                <w:lang w:eastAsia="pt-PT"/>
              </w:rPr>
            </w:pPr>
            <w:r w:rsidRPr="00287A27">
              <w:rPr>
                <w:rFonts w:eastAsia="Times New Roman" w:cs="Calibri"/>
                <w:i/>
                <w:iCs/>
                <w:sz w:val="20"/>
                <w:szCs w:val="20"/>
                <w:lang w:eastAsia="pt-PT"/>
              </w:rPr>
              <w:t>Preparatory process, desk review</w:t>
            </w:r>
          </w:p>
        </w:tc>
        <w:tc>
          <w:tcPr>
            <w:tcW w:w="446" w:type="dxa"/>
            <w:shd w:val="clear" w:color="auto" w:fill="92D050"/>
            <w:noWrap/>
            <w:vAlign w:val="bottom"/>
          </w:tcPr>
          <w:p w14:paraId="49E4FCAA" w14:textId="1F960C5B" w:rsidR="00456EC5" w:rsidRPr="007069F7" w:rsidRDefault="00456EC5" w:rsidP="00456EC5">
            <w:pPr>
              <w:spacing w:line="240" w:lineRule="auto"/>
              <w:rPr>
                <w:rFonts w:eastAsia="Times New Roman" w:cs="Calibri"/>
                <w:szCs w:val="22"/>
                <w:lang w:eastAsia="pt-PT"/>
              </w:rPr>
            </w:pPr>
          </w:p>
        </w:tc>
        <w:tc>
          <w:tcPr>
            <w:tcW w:w="446" w:type="dxa"/>
            <w:shd w:val="clear" w:color="auto" w:fill="92D050"/>
          </w:tcPr>
          <w:p w14:paraId="76A31F88"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70BDF3FA" w14:textId="193DE5BC"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42459F14" w14:textId="282398CD"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03F4936B" w14:textId="3586C74A"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58C8187B" w14:textId="6D4416C1"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0F6011C2" w14:textId="5C420EF1"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7396089B" w14:textId="14F37E54" w:rsidR="00456EC5" w:rsidRPr="007069F7" w:rsidRDefault="00456EC5" w:rsidP="00456EC5">
            <w:pPr>
              <w:spacing w:line="240" w:lineRule="auto"/>
              <w:rPr>
                <w:rFonts w:eastAsia="Times New Roman" w:cs="Calibri"/>
                <w:szCs w:val="22"/>
                <w:lang w:eastAsia="pt-PT"/>
              </w:rPr>
            </w:pPr>
          </w:p>
        </w:tc>
        <w:tc>
          <w:tcPr>
            <w:tcW w:w="446" w:type="dxa"/>
          </w:tcPr>
          <w:p w14:paraId="08838F29"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5DD506F0" w14:textId="336017F3" w:rsidR="00456EC5" w:rsidRPr="007069F7" w:rsidRDefault="00456EC5" w:rsidP="00456EC5">
            <w:pPr>
              <w:spacing w:line="240" w:lineRule="auto"/>
              <w:rPr>
                <w:rFonts w:eastAsia="Times New Roman" w:cs="Calibri"/>
                <w:szCs w:val="22"/>
                <w:lang w:eastAsia="pt-PT"/>
              </w:rPr>
            </w:pPr>
          </w:p>
        </w:tc>
        <w:tc>
          <w:tcPr>
            <w:tcW w:w="1390" w:type="dxa"/>
            <w:shd w:val="clear" w:color="auto" w:fill="auto"/>
            <w:noWrap/>
            <w:vAlign w:val="center"/>
          </w:tcPr>
          <w:p w14:paraId="75BA7C45" w14:textId="2D3EF8C4" w:rsidR="00456EC5" w:rsidRPr="00811398" w:rsidRDefault="00456EC5" w:rsidP="00287A27">
            <w:pPr>
              <w:spacing w:line="240" w:lineRule="auto"/>
              <w:jc w:val="center"/>
              <w:rPr>
                <w:rFonts w:eastAsia="Times New Roman" w:cs="Calibri"/>
                <w:szCs w:val="22"/>
                <w:lang w:val="pt-PT" w:eastAsia="pt-PT"/>
              </w:rPr>
            </w:pPr>
            <w:r>
              <w:rPr>
                <w:rFonts w:eastAsia="Times New Roman" w:cs="Calibri"/>
                <w:szCs w:val="22"/>
                <w:lang w:val="pt-PT" w:eastAsia="pt-PT"/>
              </w:rPr>
              <w:t>5</w:t>
            </w:r>
          </w:p>
        </w:tc>
      </w:tr>
      <w:tr w:rsidR="00456EC5" w:rsidRPr="00811398" w14:paraId="5FFBCFD0" w14:textId="77777777" w:rsidTr="00287A27">
        <w:trPr>
          <w:trHeight w:val="251"/>
        </w:trPr>
        <w:tc>
          <w:tcPr>
            <w:tcW w:w="4135" w:type="dxa"/>
            <w:shd w:val="clear" w:color="auto" w:fill="auto"/>
            <w:vAlign w:val="bottom"/>
            <w:hideMark/>
          </w:tcPr>
          <w:p w14:paraId="0AC0BC66" w14:textId="1F02FD44" w:rsidR="00456EC5" w:rsidRPr="00287A27" w:rsidRDefault="00456EC5" w:rsidP="00456EC5">
            <w:pPr>
              <w:pStyle w:val="ListParagraph"/>
              <w:numPr>
                <w:ilvl w:val="0"/>
                <w:numId w:val="4"/>
              </w:numPr>
              <w:spacing w:line="240" w:lineRule="auto"/>
              <w:ind w:left="375"/>
              <w:rPr>
                <w:rFonts w:eastAsia="Times New Roman" w:cs="Calibri"/>
                <w:i/>
                <w:iCs/>
                <w:sz w:val="20"/>
                <w:szCs w:val="20"/>
                <w:lang w:eastAsia="pt-PT"/>
              </w:rPr>
            </w:pPr>
            <w:r w:rsidRPr="00287A27">
              <w:rPr>
                <w:rFonts w:eastAsia="Times New Roman" w:cs="Calibri"/>
                <w:i/>
                <w:iCs/>
                <w:sz w:val="20"/>
                <w:szCs w:val="20"/>
                <w:lang w:eastAsia="pt-PT"/>
              </w:rPr>
              <w:t>Interview of key informants and other relevant stakeholders</w:t>
            </w:r>
          </w:p>
        </w:tc>
        <w:tc>
          <w:tcPr>
            <w:tcW w:w="446" w:type="dxa"/>
            <w:shd w:val="clear" w:color="auto" w:fill="auto"/>
            <w:noWrap/>
            <w:vAlign w:val="bottom"/>
          </w:tcPr>
          <w:p w14:paraId="1F0859D7" w14:textId="70636072" w:rsidR="00456EC5" w:rsidRPr="007069F7" w:rsidRDefault="00456EC5" w:rsidP="00456EC5">
            <w:pPr>
              <w:spacing w:line="240" w:lineRule="auto"/>
              <w:rPr>
                <w:rFonts w:eastAsia="Times New Roman" w:cs="Calibri"/>
                <w:szCs w:val="22"/>
                <w:lang w:eastAsia="pt-PT"/>
              </w:rPr>
            </w:pPr>
          </w:p>
        </w:tc>
        <w:tc>
          <w:tcPr>
            <w:tcW w:w="446" w:type="dxa"/>
          </w:tcPr>
          <w:p w14:paraId="0449E825"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1E6B5D35" w14:textId="1CF5299B"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17E37467" w14:textId="7718334A"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0BF54519" w14:textId="755C7598"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5B6893F7" w14:textId="2FD0B92B"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56015A4C" w14:textId="5EE26F32"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0CF20136" w14:textId="0224F548" w:rsidR="00456EC5" w:rsidRPr="007069F7" w:rsidRDefault="00456EC5" w:rsidP="00456EC5">
            <w:pPr>
              <w:spacing w:line="240" w:lineRule="auto"/>
              <w:rPr>
                <w:rFonts w:eastAsia="Times New Roman" w:cs="Calibri"/>
                <w:szCs w:val="22"/>
                <w:lang w:eastAsia="pt-PT"/>
              </w:rPr>
            </w:pPr>
          </w:p>
        </w:tc>
        <w:tc>
          <w:tcPr>
            <w:tcW w:w="446" w:type="dxa"/>
          </w:tcPr>
          <w:p w14:paraId="0535F35C"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3B2521CD" w14:textId="13CB9C40" w:rsidR="00456EC5" w:rsidRPr="007069F7" w:rsidRDefault="00456EC5" w:rsidP="00456EC5">
            <w:pPr>
              <w:spacing w:line="240" w:lineRule="auto"/>
              <w:rPr>
                <w:rFonts w:eastAsia="Times New Roman" w:cs="Calibri"/>
                <w:szCs w:val="22"/>
                <w:lang w:eastAsia="pt-PT"/>
              </w:rPr>
            </w:pPr>
          </w:p>
        </w:tc>
        <w:tc>
          <w:tcPr>
            <w:tcW w:w="1390" w:type="dxa"/>
            <w:shd w:val="clear" w:color="auto" w:fill="auto"/>
            <w:noWrap/>
            <w:vAlign w:val="center"/>
          </w:tcPr>
          <w:p w14:paraId="67486948" w14:textId="5E76F717" w:rsidR="00456EC5" w:rsidRPr="001A76A6" w:rsidRDefault="004D4E43" w:rsidP="00287A27">
            <w:pPr>
              <w:spacing w:line="240" w:lineRule="auto"/>
              <w:jc w:val="center"/>
              <w:rPr>
                <w:rFonts w:eastAsia="Times New Roman" w:cs="Calibri"/>
                <w:szCs w:val="22"/>
                <w:lang w:eastAsia="pt-PT"/>
              </w:rPr>
            </w:pPr>
            <w:r>
              <w:rPr>
                <w:rFonts w:eastAsia="Times New Roman" w:cs="Calibri"/>
                <w:szCs w:val="22"/>
                <w:lang w:eastAsia="pt-PT"/>
              </w:rPr>
              <w:t>10</w:t>
            </w:r>
          </w:p>
        </w:tc>
      </w:tr>
      <w:tr w:rsidR="00456EC5" w:rsidRPr="00811398" w14:paraId="791F21F2" w14:textId="77777777" w:rsidTr="00287A27">
        <w:trPr>
          <w:trHeight w:val="53"/>
        </w:trPr>
        <w:tc>
          <w:tcPr>
            <w:tcW w:w="4135" w:type="dxa"/>
            <w:shd w:val="clear" w:color="auto" w:fill="auto"/>
            <w:vAlign w:val="bottom"/>
            <w:hideMark/>
          </w:tcPr>
          <w:p w14:paraId="5A60448A" w14:textId="3CF488BD" w:rsidR="00456EC5" w:rsidRPr="00287A27" w:rsidRDefault="00456EC5" w:rsidP="00456EC5">
            <w:pPr>
              <w:pStyle w:val="ListParagraph"/>
              <w:numPr>
                <w:ilvl w:val="0"/>
                <w:numId w:val="4"/>
              </w:numPr>
              <w:spacing w:line="240" w:lineRule="auto"/>
              <w:ind w:left="375"/>
              <w:rPr>
                <w:rFonts w:eastAsia="Times New Roman" w:cs="Calibri"/>
                <w:i/>
                <w:iCs/>
                <w:sz w:val="20"/>
                <w:szCs w:val="20"/>
                <w:lang w:eastAsia="pt-PT"/>
              </w:rPr>
            </w:pPr>
            <w:r w:rsidRPr="00287A27">
              <w:rPr>
                <w:rFonts w:eastAsia="Times New Roman" w:cs="Calibri"/>
                <w:i/>
                <w:iCs/>
                <w:sz w:val="20"/>
                <w:szCs w:val="20"/>
                <w:lang w:eastAsia="pt-PT"/>
              </w:rPr>
              <w:t>Data collection, analysis and presentation to reference group</w:t>
            </w:r>
          </w:p>
        </w:tc>
        <w:tc>
          <w:tcPr>
            <w:tcW w:w="446" w:type="dxa"/>
            <w:shd w:val="clear" w:color="auto" w:fill="auto"/>
            <w:noWrap/>
            <w:vAlign w:val="bottom"/>
          </w:tcPr>
          <w:p w14:paraId="3A324424" w14:textId="46BEEF86" w:rsidR="00456EC5" w:rsidRPr="007069F7" w:rsidRDefault="00456EC5" w:rsidP="00456EC5">
            <w:pPr>
              <w:spacing w:line="240" w:lineRule="auto"/>
              <w:rPr>
                <w:rFonts w:eastAsia="Times New Roman" w:cs="Calibri"/>
                <w:szCs w:val="22"/>
                <w:lang w:eastAsia="pt-PT"/>
              </w:rPr>
            </w:pPr>
          </w:p>
        </w:tc>
        <w:tc>
          <w:tcPr>
            <w:tcW w:w="446" w:type="dxa"/>
          </w:tcPr>
          <w:p w14:paraId="4B1807F5"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356CE309" w14:textId="6BEBAB50"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2D4E8E76" w14:textId="1FDC781C"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39BC1591" w14:textId="78D5098E"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7F942733" w14:textId="3A235733"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71B0D353" w14:textId="29E465D5"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27A80479" w14:textId="4769335E" w:rsidR="00456EC5" w:rsidRPr="007069F7" w:rsidRDefault="00456EC5" w:rsidP="00456EC5">
            <w:pPr>
              <w:spacing w:line="240" w:lineRule="auto"/>
              <w:rPr>
                <w:rFonts w:eastAsia="Times New Roman" w:cs="Calibri"/>
                <w:szCs w:val="22"/>
                <w:lang w:eastAsia="pt-PT"/>
              </w:rPr>
            </w:pPr>
          </w:p>
        </w:tc>
        <w:tc>
          <w:tcPr>
            <w:tcW w:w="446" w:type="dxa"/>
          </w:tcPr>
          <w:p w14:paraId="11A1CDF3"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73C07065" w14:textId="17E0441D" w:rsidR="00456EC5" w:rsidRPr="007069F7" w:rsidRDefault="00456EC5" w:rsidP="00456EC5">
            <w:pPr>
              <w:spacing w:line="240" w:lineRule="auto"/>
              <w:rPr>
                <w:rFonts w:eastAsia="Times New Roman" w:cs="Calibri"/>
                <w:szCs w:val="22"/>
                <w:lang w:eastAsia="pt-PT"/>
              </w:rPr>
            </w:pPr>
          </w:p>
        </w:tc>
        <w:tc>
          <w:tcPr>
            <w:tcW w:w="1390" w:type="dxa"/>
            <w:shd w:val="clear" w:color="auto" w:fill="auto"/>
            <w:noWrap/>
            <w:vAlign w:val="center"/>
          </w:tcPr>
          <w:p w14:paraId="34B75AB2" w14:textId="7AA8EA96" w:rsidR="00456EC5" w:rsidRPr="00A83C5D" w:rsidRDefault="00456EC5" w:rsidP="00287A27">
            <w:pPr>
              <w:spacing w:line="240" w:lineRule="auto"/>
              <w:jc w:val="center"/>
              <w:rPr>
                <w:rFonts w:eastAsia="Times New Roman" w:cs="Calibri"/>
                <w:szCs w:val="22"/>
                <w:lang w:eastAsia="pt-PT"/>
              </w:rPr>
            </w:pPr>
            <w:r>
              <w:rPr>
                <w:rFonts w:eastAsia="Times New Roman" w:cs="Calibri"/>
                <w:szCs w:val="22"/>
                <w:lang w:eastAsia="pt-PT"/>
              </w:rPr>
              <w:t>15</w:t>
            </w:r>
          </w:p>
        </w:tc>
      </w:tr>
      <w:tr w:rsidR="00456EC5" w:rsidRPr="00811398" w14:paraId="3C2C22EA" w14:textId="77777777" w:rsidTr="00287A27">
        <w:trPr>
          <w:trHeight w:val="296"/>
        </w:trPr>
        <w:tc>
          <w:tcPr>
            <w:tcW w:w="4135" w:type="dxa"/>
            <w:shd w:val="clear" w:color="auto" w:fill="auto"/>
            <w:vAlign w:val="bottom"/>
            <w:hideMark/>
          </w:tcPr>
          <w:p w14:paraId="03EE6C9E" w14:textId="4AA3ADE8" w:rsidR="00456EC5" w:rsidRPr="00287A27" w:rsidRDefault="00456EC5" w:rsidP="00456EC5">
            <w:pPr>
              <w:pStyle w:val="ListParagraph"/>
              <w:numPr>
                <w:ilvl w:val="0"/>
                <w:numId w:val="4"/>
              </w:numPr>
              <w:spacing w:line="240" w:lineRule="auto"/>
              <w:ind w:left="375"/>
              <w:rPr>
                <w:rFonts w:eastAsia="Times New Roman" w:cs="Calibri"/>
                <w:i/>
                <w:iCs/>
                <w:sz w:val="20"/>
                <w:szCs w:val="20"/>
                <w:lang w:eastAsia="pt-PT"/>
              </w:rPr>
            </w:pPr>
            <w:r w:rsidRPr="00287A27">
              <w:rPr>
                <w:rFonts w:eastAsia="Times New Roman" w:cs="Calibri"/>
                <w:i/>
                <w:iCs/>
                <w:sz w:val="20"/>
                <w:szCs w:val="20"/>
                <w:lang w:eastAsia="pt-PT"/>
              </w:rPr>
              <w:t>Development of proposed model and strategy for replication and expansion</w:t>
            </w:r>
          </w:p>
        </w:tc>
        <w:tc>
          <w:tcPr>
            <w:tcW w:w="446" w:type="dxa"/>
            <w:shd w:val="clear" w:color="auto" w:fill="auto"/>
            <w:noWrap/>
            <w:vAlign w:val="bottom"/>
          </w:tcPr>
          <w:p w14:paraId="6CC9AEDB" w14:textId="73D42E48" w:rsidR="00456EC5" w:rsidRPr="007069F7" w:rsidRDefault="00456EC5" w:rsidP="00456EC5">
            <w:pPr>
              <w:spacing w:line="240" w:lineRule="auto"/>
              <w:rPr>
                <w:rFonts w:eastAsia="Times New Roman" w:cs="Calibri"/>
                <w:szCs w:val="22"/>
                <w:lang w:eastAsia="pt-PT"/>
              </w:rPr>
            </w:pPr>
          </w:p>
        </w:tc>
        <w:tc>
          <w:tcPr>
            <w:tcW w:w="446" w:type="dxa"/>
          </w:tcPr>
          <w:p w14:paraId="56272DCA"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1045F003" w14:textId="114D1B90"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66155EA8" w14:textId="4A1EA0F2"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5CDD3C61" w14:textId="25FBDB73"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2E623DEA" w14:textId="0710AE50" w:rsidR="00456EC5" w:rsidRPr="007069F7" w:rsidRDefault="00456EC5" w:rsidP="00456EC5">
            <w:pPr>
              <w:spacing w:line="240" w:lineRule="auto"/>
              <w:rPr>
                <w:rFonts w:eastAsia="Times New Roman" w:cs="Calibri"/>
                <w:szCs w:val="22"/>
                <w:lang w:eastAsia="pt-PT"/>
              </w:rPr>
            </w:pPr>
          </w:p>
        </w:tc>
        <w:tc>
          <w:tcPr>
            <w:tcW w:w="446" w:type="dxa"/>
            <w:shd w:val="clear" w:color="auto" w:fill="auto"/>
            <w:noWrap/>
            <w:vAlign w:val="bottom"/>
          </w:tcPr>
          <w:p w14:paraId="09EE0A56" w14:textId="782A3A6F"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0C0F2DEF" w14:textId="0D3CFFB3" w:rsidR="00456EC5" w:rsidRPr="007069F7" w:rsidRDefault="00456EC5" w:rsidP="00456EC5">
            <w:pPr>
              <w:spacing w:line="240" w:lineRule="auto"/>
              <w:rPr>
                <w:rFonts w:eastAsia="Times New Roman" w:cs="Calibri"/>
                <w:szCs w:val="22"/>
                <w:lang w:eastAsia="pt-PT"/>
              </w:rPr>
            </w:pPr>
          </w:p>
        </w:tc>
        <w:tc>
          <w:tcPr>
            <w:tcW w:w="446" w:type="dxa"/>
            <w:shd w:val="clear" w:color="auto" w:fill="92D050"/>
          </w:tcPr>
          <w:p w14:paraId="505104B5" w14:textId="77777777" w:rsidR="00456EC5" w:rsidRPr="007069F7" w:rsidRDefault="00456EC5" w:rsidP="00456EC5">
            <w:pPr>
              <w:spacing w:line="240" w:lineRule="auto"/>
              <w:rPr>
                <w:rFonts w:eastAsia="Times New Roman" w:cs="Calibri"/>
                <w:szCs w:val="22"/>
                <w:lang w:eastAsia="pt-PT"/>
              </w:rPr>
            </w:pPr>
          </w:p>
        </w:tc>
        <w:tc>
          <w:tcPr>
            <w:tcW w:w="446" w:type="dxa"/>
            <w:shd w:val="clear" w:color="auto" w:fill="92D050"/>
            <w:noWrap/>
            <w:vAlign w:val="bottom"/>
          </w:tcPr>
          <w:p w14:paraId="3D61CF24" w14:textId="3C597E5A" w:rsidR="00456EC5" w:rsidRPr="007069F7" w:rsidRDefault="00456EC5" w:rsidP="00456EC5">
            <w:pPr>
              <w:spacing w:line="240" w:lineRule="auto"/>
              <w:rPr>
                <w:rFonts w:eastAsia="Times New Roman" w:cs="Calibri"/>
                <w:szCs w:val="22"/>
                <w:lang w:eastAsia="pt-PT"/>
              </w:rPr>
            </w:pPr>
          </w:p>
        </w:tc>
        <w:tc>
          <w:tcPr>
            <w:tcW w:w="1390" w:type="dxa"/>
            <w:shd w:val="clear" w:color="auto" w:fill="auto"/>
            <w:noWrap/>
            <w:vAlign w:val="center"/>
          </w:tcPr>
          <w:p w14:paraId="4D3D1A70" w14:textId="5551C15B" w:rsidR="00456EC5" w:rsidRPr="001A76A6" w:rsidRDefault="00456EC5" w:rsidP="00287A27">
            <w:pPr>
              <w:spacing w:line="240" w:lineRule="auto"/>
              <w:jc w:val="center"/>
              <w:rPr>
                <w:rFonts w:eastAsia="Times New Roman" w:cs="Calibri"/>
                <w:szCs w:val="22"/>
                <w:lang w:eastAsia="pt-PT"/>
              </w:rPr>
            </w:pPr>
            <w:r>
              <w:rPr>
                <w:rFonts w:eastAsia="Times New Roman" w:cs="Calibri"/>
                <w:szCs w:val="22"/>
                <w:lang w:eastAsia="pt-PT"/>
              </w:rPr>
              <w:t>15</w:t>
            </w:r>
          </w:p>
        </w:tc>
      </w:tr>
      <w:tr w:rsidR="00287A27" w:rsidRPr="00811398" w14:paraId="374564CC" w14:textId="77777777" w:rsidTr="00287A27">
        <w:trPr>
          <w:trHeight w:val="296"/>
        </w:trPr>
        <w:tc>
          <w:tcPr>
            <w:tcW w:w="4135" w:type="dxa"/>
            <w:shd w:val="clear" w:color="auto" w:fill="auto"/>
            <w:vAlign w:val="bottom"/>
          </w:tcPr>
          <w:p w14:paraId="6A905FE9" w14:textId="26728374" w:rsidR="00287A27" w:rsidRPr="00287A27" w:rsidRDefault="00287A27" w:rsidP="00456EC5">
            <w:pPr>
              <w:pStyle w:val="ListParagraph"/>
              <w:spacing w:line="240" w:lineRule="auto"/>
              <w:ind w:left="375"/>
              <w:rPr>
                <w:rFonts w:eastAsia="Times New Roman" w:cs="Calibri"/>
                <w:i/>
                <w:iCs/>
                <w:sz w:val="20"/>
                <w:szCs w:val="20"/>
                <w:lang w:eastAsia="pt-PT"/>
              </w:rPr>
            </w:pPr>
            <w:r w:rsidRPr="00287A27">
              <w:rPr>
                <w:rFonts w:eastAsia="Times New Roman" w:cs="Calibri"/>
                <w:i/>
                <w:iCs/>
                <w:sz w:val="20"/>
                <w:szCs w:val="20"/>
                <w:lang w:eastAsia="pt-PT"/>
              </w:rPr>
              <w:t>TOTAL</w:t>
            </w:r>
          </w:p>
        </w:tc>
        <w:tc>
          <w:tcPr>
            <w:tcW w:w="4460" w:type="dxa"/>
            <w:gridSpan w:val="10"/>
          </w:tcPr>
          <w:p w14:paraId="3583AFF8" w14:textId="1E2D31CC" w:rsidR="00287A27" w:rsidRPr="007069F7" w:rsidRDefault="00287A27" w:rsidP="00456EC5">
            <w:pPr>
              <w:spacing w:line="240" w:lineRule="auto"/>
              <w:rPr>
                <w:rFonts w:eastAsia="Times New Roman" w:cs="Calibri"/>
                <w:szCs w:val="22"/>
                <w:lang w:eastAsia="pt-PT"/>
              </w:rPr>
            </w:pPr>
          </w:p>
        </w:tc>
        <w:tc>
          <w:tcPr>
            <w:tcW w:w="1390" w:type="dxa"/>
            <w:shd w:val="clear" w:color="auto" w:fill="auto"/>
            <w:noWrap/>
            <w:vAlign w:val="center"/>
          </w:tcPr>
          <w:p w14:paraId="18029CC8" w14:textId="1FE2E9E4" w:rsidR="00287A27" w:rsidRPr="00287A27" w:rsidRDefault="00287A27" w:rsidP="00287A27">
            <w:pPr>
              <w:spacing w:line="240" w:lineRule="auto"/>
              <w:jc w:val="center"/>
              <w:rPr>
                <w:rFonts w:eastAsia="Times New Roman" w:cs="Calibri"/>
                <w:b/>
                <w:szCs w:val="22"/>
                <w:lang w:eastAsia="pt-PT"/>
              </w:rPr>
            </w:pPr>
            <w:r w:rsidRPr="00287A27">
              <w:rPr>
                <w:rFonts w:eastAsia="Times New Roman" w:cs="Calibri"/>
                <w:b/>
                <w:szCs w:val="22"/>
                <w:lang w:eastAsia="pt-PT"/>
              </w:rPr>
              <w:t>4</w:t>
            </w:r>
            <w:r w:rsidR="004D4E43">
              <w:rPr>
                <w:rFonts w:eastAsia="Times New Roman" w:cs="Calibri"/>
                <w:b/>
                <w:szCs w:val="22"/>
                <w:lang w:eastAsia="pt-PT"/>
              </w:rPr>
              <w:t>5</w:t>
            </w:r>
          </w:p>
        </w:tc>
      </w:tr>
    </w:tbl>
    <w:p w14:paraId="109202F2" w14:textId="48D426DC" w:rsidR="001769C7" w:rsidRPr="00714B3C" w:rsidRDefault="002945C8" w:rsidP="00DA0337">
      <w:pPr>
        <w:tabs>
          <w:tab w:val="left" w:pos="4230"/>
        </w:tabs>
        <w:spacing w:line="240" w:lineRule="auto"/>
        <w:contextualSpacing/>
        <w:rPr>
          <w:rFonts w:cs="Calibri"/>
        </w:rPr>
      </w:pPr>
      <w:r w:rsidRPr="00714B3C">
        <w:rPr>
          <w:rFonts w:cs="Calibri"/>
        </w:rPr>
        <w:tab/>
      </w:r>
    </w:p>
    <w:sectPr w:rsidR="001769C7" w:rsidRPr="00714B3C" w:rsidSect="00D477C4">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883A0" w14:textId="77777777" w:rsidR="00634CA2" w:rsidRDefault="00634CA2">
      <w:r>
        <w:separator/>
      </w:r>
    </w:p>
  </w:endnote>
  <w:endnote w:type="continuationSeparator" w:id="0">
    <w:p w14:paraId="0D02FB45" w14:textId="77777777" w:rsidR="00634CA2" w:rsidRDefault="00634CA2">
      <w:r>
        <w:continuationSeparator/>
      </w:r>
    </w:p>
  </w:endnote>
  <w:endnote w:type="continuationNotice" w:id="1">
    <w:p w14:paraId="0DD8F8B7" w14:textId="77777777" w:rsidR="00634CA2" w:rsidRDefault="00634C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2827F226" w:rsidR="00D477C4" w:rsidRPr="00174F95" w:rsidRDefault="00D477C4"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7</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7</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1144" w14:textId="77777777" w:rsidR="00634CA2" w:rsidRDefault="00634CA2">
      <w:r>
        <w:separator/>
      </w:r>
    </w:p>
  </w:footnote>
  <w:footnote w:type="continuationSeparator" w:id="0">
    <w:p w14:paraId="60CD5470" w14:textId="77777777" w:rsidR="00634CA2" w:rsidRDefault="00634CA2">
      <w:r>
        <w:continuationSeparator/>
      </w:r>
    </w:p>
  </w:footnote>
  <w:footnote w:type="continuationNotice" w:id="1">
    <w:p w14:paraId="1F233B1B" w14:textId="77777777" w:rsidR="00634CA2" w:rsidRDefault="00634CA2">
      <w:pPr>
        <w:spacing w:line="240" w:lineRule="auto"/>
      </w:pPr>
    </w:p>
  </w:footnote>
  <w:footnote w:id="2">
    <w:p w14:paraId="69D755C4" w14:textId="77777777" w:rsidR="00D477C4" w:rsidRPr="00123B8F" w:rsidRDefault="00D477C4" w:rsidP="002B2691">
      <w:pPr>
        <w:spacing w:line="240" w:lineRule="auto"/>
        <w:ind w:left="180" w:hanging="180"/>
        <w:jc w:val="both"/>
      </w:pPr>
      <w:r w:rsidRPr="00123B8F">
        <w:rPr>
          <w:rStyle w:val="FootnoteReference"/>
          <w:sz w:val="20"/>
        </w:rPr>
        <w:footnoteRef/>
      </w:r>
      <w:r w:rsidRPr="00123B8F">
        <w:rPr>
          <w:sz w:val="20"/>
        </w:rPr>
        <w:t xml:space="preserve"> </w:t>
      </w:r>
      <w:r w:rsidRPr="00123B8F">
        <w:rPr>
          <w:rFonts w:cs="Arial"/>
          <w:sz w:val="20"/>
        </w:rPr>
        <w:t xml:space="preserve">The DMF centralizes responsibility for assets management and the award of contracts for operations. </w:t>
      </w:r>
      <w:r>
        <w:rPr>
          <w:rFonts w:cs="Arial"/>
          <w:sz w:val="20"/>
        </w:rPr>
        <w:t xml:space="preserve">According to the </w:t>
      </w:r>
      <w:r w:rsidRPr="00123B8F">
        <w:rPr>
          <w:rFonts w:cs="Arial"/>
          <w:sz w:val="20"/>
        </w:rPr>
        <w:t xml:space="preserve">Delegated Management Framework (DMF) for urban water supply services, a public-private partnership set up, whereby assets are owned by the government and operations are managed by the private sector under a concession, lease or management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D477C4" w:rsidRDefault="00D477C4" w:rsidP="00872272">
    <w:pPr>
      <w:pStyle w:val="Heading3"/>
      <w:spacing w:before="0" w:after="0"/>
    </w:pPr>
    <w:r>
      <w:rPr>
        <w:noProof/>
        <w:lang w:val="es-CL" w:eastAsia="es-CL"/>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D477C4" w:rsidRPr="00872272" w:rsidRDefault="00D477C4" w:rsidP="00872272">
    <w:pPr>
      <w:pStyle w:val="Heading3"/>
      <w:spacing w:before="0" w:after="0"/>
      <w:jc w:val="right"/>
      <w:rPr>
        <w:rFonts w:ascii="Calibri" w:hAnsi="Calibri" w:cs="Arial"/>
        <w:i/>
        <w:color w:val="000000"/>
        <w:sz w:val="12"/>
        <w:lang w:val="es-419"/>
      </w:rPr>
    </w:pPr>
  </w:p>
  <w:p w14:paraId="5122E37B" w14:textId="70F7CA0C" w:rsidR="00D477C4" w:rsidRPr="0056512D" w:rsidRDefault="00D477C4"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val="es-CL" w:eastAsia="es-CL"/>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DCEAEE"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22A15"/>
    <w:multiLevelType w:val="hybridMultilevel"/>
    <w:tmpl w:val="54AA8546"/>
    <w:lvl w:ilvl="0" w:tplc="0409000F">
      <w:start w:val="1"/>
      <w:numFmt w:val="decimal"/>
      <w:lvlText w:val="%1."/>
      <w:lvlJc w:val="left"/>
      <w:pPr>
        <w:ind w:left="656" w:hanging="360"/>
      </w:pPr>
    </w:lvl>
    <w:lvl w:ilvl="1" w:tplc="08160019" w:tentative="1">
      <w:start w:val="1"/>
      <w:numFmt w:val="lowerLetter"/>
      <w:lvlText w:val="%2."/>
      <w:lvlJc w:val="left"/>
      <w:pPr>
        <w:ind w:left="1376" w:hanging="360"/>
      </w:pPr>
    </w:lvl>
    <w:lvl w:ilvl="2" w:tplc="0816001B" w:tentative="1">
      <w:start w:val="1"/>
      <w:numFmt w:val="lowerRoman"/>
      <w:lvlText w:val="%3."/>
      <w:lvlJc w:val="right"/>
      <w:pPr>
        <w:ind w:left="2096" w:hanging="180"/>
      </w:pPr>
    </w:lvl>
    <w:lvl w:ilvl="3" w:tplc="0816000F" w:tentative="1">
      <w:start w:val="1"/>
      <w:numFmt w:val="decimal"/>
      <w:lvlText w:val="%4."/>
      <w:lvlJc w:val="left"/>
      <w:pPr>
        <w:ind w:left="2816" w:hanging="360"/>
      </w:pPr>
    </w:lvl>
    <w:lvl w:ilvl="4" w:tplc="08160019" w:tentative="1">
      <w:start w:val="1"/>
      <w:numFmt w:val="lowerLetter"/>
      <w:lvlText w:val="%5."/>
      <w:lvlJc w:val="left"/>
      <w:pPr>
        <w:ind w:left="3536" w:hanging="360"/>
      </w:pPr>
    </w:lvl>
    <w:lvl w:ilvl="5" w:tplc="0816001B" w:tentative="1">
      <w:start w:val="1"/>
      <w:numFmt w:val="lowerRoman"/>
      <w:lvlText w:val="%6."/>
      <w:lvlJc w:val="right"/>
      <w:pPr>
        <w:ind w:left="4256" w:hanging="180"/>
      </w:pPr>
    </w:lvl>
    <w:lvl w:ilvl="6" w:tplc="0816000F" w:tentative="1">
      <w:start w:val="1"/>
      <w:numFmt w:val="decimal"/>
      <w:lvlText w:val="%7."/>
      <w:lvlJc w:val="left"/>
      <w:pPr>
        <w:ind w:left="4976" w:hanging="360"/>
      </w:pPr>
    </w:lvl>
    <w:lvl w:ilvl="7" w:tplc="08160019" w:tentative="1">
      <w:start w:val="1"/>
      <w:numFmt w:val="lowerLetter"/>
      <w:lvlText w:val="%8."/>
      <w:lvlJc w:val="left"/>
      <w:pPr>
        <w:ind w:left="5696" w:hanging="360"/>
      </w:pPr>
    </w:lvl>
    <w:lvl w:ilvl="8" w:tplc="0816001B" w:tentative="1">
      <w:start w:val="1"/>
      <w:numFmt w:val="lowerRoman"/>
      <w:lvlText w:val="%9."/>
      <w:lvlJc w:val="right"/>
      <w:pPr>
        <w:ind w:left="6416" w:hanging="180"/>
      </w:pPr>
    </w:lvl>
  </w:abstractNum>
  <w:abstractNum w:abstractNumId="2" w15:restartNumberingAfterBreak="0">
    <w:nsid w:val="03B037D7"/>
    <w:multiLevelType w:val="hybridMultilevel"/>
    <w:tmpl w:val="03960822"/>
    <w:lvl w:ilvl="0" w:tplc="6216609E">
      <w:numFmt w:val="bullet"/>
      <w:lvlText w:val="-"/>
      <w:lvlJc w:val="left"/>
      <w:pPr>
        <w:ind w:left="720" w:hanging="360"/>
      </w:pPr>
      <w:rPr>
        <w:rFonts w:ascii="Calibri" w:eastAsia="Time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6D54"/>
    <w:multiLevelType w:val="hybridMultilevel"/>
    <w:tmpl w:val="7BBC608E"/>
    <w:lvl w:ilvl="0" w:tplc="04C8ACF4">
      <w:start w:val="1"/>
      <w:numFmt w:val="bullet"/>
      <w:lvlText w:val="-"/>
      <w:lvlJc w:val="left"/>
      <w:pPr>
        <w:ind w:left="1080" w:hanging="360"/>
      </w:pPr>
      <w:rPr>
        <w:rFonts w:ascii="Calibri" w:eastAsia="Calibri" w:hAnsi="Calibri" w:cs="Calibr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46420DBC"/>
    <w:multiLevelType w:val="hybridMultilevel"/>
    <w:tmpl w:val="FF60B98E"/>
    <w:lvl w:ilvl="0" w:tplc="347A95D2">
      <w:start w:val="1"/>
      <w:numFmt w:val="decimal"/>
      <w:lvlText w:val="%1."/>
      <w:lvlJc w:val="left"/>
      <w:pPr>
        <w:ind w:left="720" w:hanging="360"/>
      </w:pPr>
      <w:rPr>
        <w:rFonts w:hint="default"/>
        <w:lang w:val="en-G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912598F"/>
    <w:multiLevelType w:val="hybridMultilevel"/>
    <w:tmpl w:val="07CEA5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EF52151"/>
    <w:multiLevelType w:val="hybridMultilevel"/>
    <w:tmpl w:val="DE3C5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204A4"/>
    <w:multiLevelType w:val="hybridMultilevel"/>
    <w:tmpl w:val="80D4A8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1D30B1E"/>
    <w:multiLevelType w:val="hybridMultilevel"/>
    <w:tmpl w:val="6040FD42"/>
    <w:lvl w:ilvl="0" w:tplc="D9EAA452">
      <w:start w:val="9"/>
      <w:numFmt w:val="bullet"/>
      <w:lvlText w:val=""/>
      <w:lvlJc w:val="left"/>
      <w:pPr>
        <w:ind w:left="720" w:hanging="360"/>
      </w:pPr>
      <w:rPr>
        <w:rFonts w:ascii="Symbol" w:eastAsia="Times" w:hAnsi="Symbol"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FA93BB7"/>
    <w:multiLevelType w:val="hybridMultilevel"/>
    <w:tmpl w:val="28A4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7"/>
  </w:num>
  <w:num w:numId="6">
    <w:abstractNumId w:val="5"/>
  </w:num>
  <w:num w:numId="7">
    <w:abstractNumId w:val="8"/>
  </w:num>
  <w:num w:numId="8">
    <w:abstractNumId w:val="2"/>
  </w:num>
  <w:num w:numId="9">
    <w:abstractNumId w:val="9"/>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66E"/>
    <w:rsid w:val="000348C3"/>
    <w:rsid w:val="000366EF"/>
    <w:rsid w:val="000441DC"/>
    <w:rsid w:val="00046123"/>
    <w:rsid w:val="000473CD"/>
    <w:rsid w:val="000501FE"/>
    <w:rsid w:val="00050271"/>
    <w:rsid w:val="00056362"/>
    <w:rsid w:val="00065E7E"/>
    <w:rsid w:val="00066B68"/>
    <w:rsid w:val="00066C55"/>
    <w:rsid w:val="0007169C"/>
    <w:rsid w:val="000716F6"/>
    <w:rsid w:val="00072ADE"/>
    <w:rsid w:val="000732C4"/>
    <w:rsid w:val="00077ADE"/>
    <w:rsid w:val="0008093E"/>
    <w:rsid w:val="00081440"/>
    <w:rsid w:val="00085863"/>
    <w:rsid w:val="00090013"/>
    <w:rsid w:val="000911BE"/>
    <w:rsid w:val="000923F4"/>
    <w:rsid w:val="00092835"/>
    <w:rsid w:val="00095097"/>
    <w:rsid w:val="000A47A6"/>
    <w:rsid w:val="000B32B5"/>
    <w:rsid w:val="000D310C"/>
    <w:rsid w:val="000D7F72"/>
    <w:rsid w:val="000E0DD9"/>
    <w:rsid w:val="000F3E68"/>
    <w:rsid w:val="001247D7"/>
    <w:rsid w:val="0013195E"/>
    <w:rsid w:val="00137735"/>
    <w:rsid w:val="0015244E"/>
    <w:rsid w:val="001533D0"/>
    <w:rsid w:val="00155AD1"/>
    <w:rsid w:val="00157B81"/>
    <w:rsid w:val="00162219"/>
    <w:rsid w:val="00174F95"/>
    <w:rsid w:val="001769C7"/>
    <w:rsid w:val="001810C6"/>
    <w:rsid w:val="001856FA"/>
    <w:rsid w:val="00187F43"/>
    <w:rsid w:val="0019137C"/>
    <w:rsid w:val="001A108C"/>
    <w:rsid w:val="001A2FB6"/>
    <w:rsid w:val="001A6936"/>
    <w:rsid w:val="001A7376"/>
    <w:rsid w:val="001A76A6"/>
    <w:rsid w:val="001B048E"/>
    <w:rsid w:val="001B13E1"/>
    <w:rsid w:val="001B4923"/>
    <w:rsid w:val="001C13CB"/>
    <w:rsid w:val="001C238D"/>
    <w:rsid w:val="001D2795"/>
    <w:rsid w:val="001D4EC5"/>
    <w:rsid w:val="001E0224"/>
    <w:rsid w:val="001E325E"/>
    <w:rsid w:val="00200D66"/>
    <w:rsid w:val="00204381"/>
    <w:rsid w:val="00205692"/>
    <w:rsid w:val="00214C02"/>
    <w:rsid w:val="00221200"/>
    <w:rsid w:val="00233E42"/>
    <w:rsid w:val="00235D48"/>
    <w:rsid w:val="002433E2"/>
    <w:rsid w:val="002546C7"/>
    <w:rsid w:val="00275981"/>
    <w:rsid w:val="00287A27"/>
    <w:rsid w:val="002906DF"/>
    <w:rsid w:val="002945C8"/>
    <w:rsid w:val="002A77B6"/>
    <w:rsid w:val="002B2691"/>
    <w:rsid w:val="002D3F9B"/>
    <w:rsid w:val="002E5C7F"/>
    <w:rsid w:val="002F4995"/>
    <w:rsid w:val="00313CD9"/>
    <w:rsid w:val="00313EDB"/>
    <w:rsid w:val="00334C9C"/>
    <w:rsid w:val="00337D4D"/>
    <w:rsid w:val="00342A01"/>
    <w:rsid w:val="00344A6D"/>
    <w:rsid w:val="00346409"/>
    <w:rsid w:val="00347429"/>
    <w:rsid w:val="003513EE"/>
    <w:rsid w:val="00352D64"/>
    <w:rsid w:val="00355A08"/>
    <w:rsid w:val="003635A0"/>
    <w:rsid w:val="00363E6C"/>
    <w:rsid w:val="00367072"/>
    <w:rsid w:val="003830AD"/>
    <w:rsid w:val="00385A2A"/>
    <w:rsid w:val="00392EF3"/>
    <w:rsid w:val="003A1866"/>
    <w:rsid w:val="003A6163"/>
    <w:rsid w:val="003A6E97"/>
    <w:rsid w:val="003A7776"/>
    <w:rsid w:val="003B2FBF"/>
    <w:rsid w:val="003C677C"/>
    <w:rsid w:val="003D3E1F"/>
    <w:rsid w:val="003D5C99"/>
    <w:rsid w:val="003E42E6"/>
    <w:rsid w:val="003E4FD2"/>
    <w:rsid w:val="003F1A93"/>
    <w:rsid w:val="004075C5"/>
    <w:rsid w:val="00407A6B"/>
    <w:rsid w:val="00410B37"/>
    <w:rsid w:val="00412380"/>
    <w:rsid w:val="00420871"/>
    <w:rsid w:val="004213B6"/>
    <w:rsid w:val="00422B9D"/>
    <w:rsid w:val="004276FD"/>
    <w:rsid w:val="004307D6"/>
    <w:rsid w:val="00433197"/>
    <w:rsid w:val="00435E75"/>
    <w:rsid w:val="00437C5D"/>
    <w:rsid w:val="00447162"/>
    <w:rsid w:val="00447FEF"/>
    <w:rsid w:val="00453C2C"/>
    <w:rsid w:val="00454401"/>
    <w:rsid w:val="00455472"/>
    <w:rsid w:val="00456EC5"/>
    <w:rsid w:val="00465A8B"/>
    <w:rsid w:val="004663BE"/>
    <w:rsid w:val="00466CC7"/>
    <w:rsid w:val="004722A9"/>
    <w:rsid w:val="00487F79"/>
    <w:rsid w:val="004908ED"/>
    <w:rsid w:val="00492CE0"/>
    <w:rsid w:val="004A1260"/>
    <w:rsid w:val="004A3447"/>
    <w:rsid w:val="004A59D1"/>
    <w:rsid w:val="004A60ED"/>
    <w:rsid w:val="004B01E5"/>
    <w:rsid w:val="004B774F"/>
    <w:rsid w:val="004C6069"/>
    <w:rsid w:val="004D09A1"/>
    <w:rsid w:val="004D1613"/>
    <w:rsid w:val="004D4E43"/>
    <w:rsid w:val="004D743B"/>
    <w:rsid w:val="004E0241"/>
    <w:rsid w:val="004E1094"/>
    <w:rsid w:val="004E68AD"/>
    <w:rsid w:val="004F3E47"/>
    <w:rsid w:val="004F743E"/>
    <w:rsid w:val="00507C01"/>
    <w:rsid w:val="005106F1"/>
    <w:rsid w:val="0052177E"/>
    <w:rsid w:val="005227D3"/>
    <w:rsid w:val="0052554E"/>
    <w:rsid w:val="00530AA0"/>
    <w:rsid w:val="0053640F"/>
    <w:rsid w:val="00541A0F"/>
    <w:rsid w:val="00544CB0"/>
    <w:rsid w:val="00545205"/>
    <w:rsid w:val="00555987"/>
    <w:rsid w:val="00557AAD"/>
    <w:rsid w:val="005641AB"/>
    <w:rsid w:val="0056512D"/>
    <w:rsid w:val="005671E0"/>
    <w:rsid w:val="00577751"/>
    <w:rsid w:val="005804AB"/>
    <w:rsid w:val="00584E90"/>
    <w:rsid w:val="005902C2"/>
    <w:rsid w:val="00591B13"/>
    <w:rsid w:val="005A36A1"/>
    <w:rsid w:val="005B6F78"/>
    <w:rsid w:val="005C1096"/>
    <w:rsid w:val="005C2926"/>
    <w:rsid w:val="005C5917"/>
    <w:rsid w:val="005C72EF"/>
    <w:rsid w:val="005D0644"/>
    <w:rsid w:val="005E15B1"/>
    <w:rsid w:val="005F39D9"/>
    <w:rsid w:val="00605F50"/>
    <w:rsid w:val="0061120F"/>
    <w:rsid w:val="006208C2"/>
    <w:rsid w:val="0062418E"/>
    <w:rsid w:val="00624C3B"/>
    <w:rsid w:val="00632A7F"/>
    <w:rsid w:val="00634CA2"/>
    <w:rsid w:val="00641F63"/>
    <w:rsid w:val="00642FF4"/>
    <w:rsid w:val="00643075"/>
    <w:rsid w:val="0064763B"/>
    <w:rsid w:val="00667CF4"/>
    <w:rsid w:val="00670A84"/>
    <w:rsid w:val="00675BBC"/>
    <w:rsid w:val="006858BC"/>
    <w:rsid w:val="00685D30"/>
    <w:rsid w:val="006910EC"/>
    <w:rsid w:val="00693CF3"/>
    <w:rsid w:val="00693FD2"/>
    <w:rsid w:val="00694285"/>
    <w:rsid w:val="00695297"/>
    <w:rsid w:val="006A5741"/>
    <w:rsid w:val="006B0201"/>
    <w:rsid w:val="006B0E4B"/>
    <w:rsid w:val="006B1DCA"/>
    <w:rsid w:val="006B4077"/>
    <w:rsid w:val="006B66FB"/>
    <w:rsid w:val="006C4167"/>
    <w:rsid w:val="006D2C9B"/>
    <w:rsid w:val="006D3784"/>
    <w:rsid w:val="006D5E79"/>
    <w:rsid w:val="006E3646"/>
    <w:rsid w:val="006E719D"/>
    <w:rsid w:val="006F3FEA"/>
    <w:rsid w:val="006F69E5"/>
    <w:rsid w:val="007014AE"/>
    <w:rsid w:val="00704E0D"/>
    <w:rsid w:val="007069F7"/>
    <w:rsid w:val="00714B3C"/>
    <w:rsid w:val="0072083D"/>
    <w:rsid w:val="00722D50"/>
    <w:rsid w:val="007255B5"/>
    <w:rsid w:val="0074193E"/>
    <w:rsid w:val="007513D4"/>
    <w:rsid w:val="00752EEA"/>
    <w:rsid w:val="0075757C"/>
    <w:rsid w:val="00764575"/>
    <w:rsid w:val="00764C30"/>
    <w:rsid w:val="00770F6D"/>
    <w:rsid w:val="00771570"/>
    <w:rsid w:val="00785FA5"/>
    <w:rsid w:val="0079018C"/>
    <w:rsid w:val="007C20B2"/>
    <w:rsid w:val="007C330B"/>
    <w:rsid w:val="007D2C5F"/>
    <w:rsid w:val="007D3A75"/>
    <w:rsid w:val="007D480B"/>
    <w:rsid w:val="007D4C5A"/>
    <w:rsid w:val="007D7005"/>
    <w:rsid w:val="007E1267"/>
    <w:rsid w:val="007E4C1F"/>
    <w:rsid w:val="008018DC"/>
    <w:rsid w:val="00803232"/>
    <w:rsid w:val="00811398"/>
    <w:rsid w:val="0081250B"/>
    <w:rsid w:val="00812ECB"/>
    <w:rsid w:val="00815B2F"/>
    <w:rsid w:val="00816C33"/>
    <w:rsid w:val="008220DE"/>
    <w:rsid w:val="008325EC"/>
    <w:rsid w:val="00836371"/>
    <w:rsid w:val="00840ED6"/>
    <w:rsid w:val="00847B3B"/>
    <w:rsid w:val="008547E6"/>
    <w:rsid w:val="00857663"/>
    <w:rsid w:val="0086491F"/>
    <w:rsid w:val="00870727"/>
    <w:rsid w:val="00872272"/>
    <w:rsid w:val="0087376A"/>
    <w:rsid w:val="008757D7"/>
    <w:rsid w:val="00875BB8"/>
    <w:rsid w:val="00875C22"/>
    <w:rsid w:val="00882EEB"/>
    <w:rsid w:val="008948D9"/>
    <w:rsid w:val="00896003"/>
    <w:rsid w:val="008A1004"/>
    <w:rsid w:val="008A39A0"/>
    <w:rsid w:val="008A6B20"/>
    <w:rsid w:val="008B3B40"/>
    <w:rsid w:val="008B49B0"/>
    <w:rsid w:val="008B5BF5"/>
    <w:rsid w:val="008B68F3"/>
    <w:rsid w:val="008B73B6"/>
    <w:rsid w:val="008C3905"/>
    <w:rsid w:val="008C649A"/>
    <w:rsid w:val="008C7A4C"/>
    <w:rsid w:val="008D0DF4"/>
    <w:rsid w:val="008D602B"/>
    <w:rsid w:val="008E24E7"/>
    <w:rsid w:val="008E575A"/>
    <w:rsid w:val="008E6AD1"/>
    <w:rsid w:val="008F1B33"/>
    <w:rsid w:val="008F57D8"/>
    <w:rsid w:val="008F6E5D"/>
    <w:rsid w:val="008F7A07"/>
    <w:rsid w:val="008F7A15"/>
    <w:rsid w:val="00910D21"/>
    <w:rsid w:val="009114A7"/>
    <w:rsid w:val="00912CD0"/>
    <w:rsid w:val="009169A9"/>
    <w:rsid w:val="00920370"/>
    <w:rsid w:val="00921110"/>
    <w:rsid w:val="00924450"/>
    <w:rsid w:val="00941D1C"/>
    <w:rsid w:val="0094369D"/>
    <w:rsid w:val="00943ABE"/>
    <w:rsid w:val="00945288"/>
    <w:rsid w:val="009478C6"/>
    <w:rsid w:val="00947DCB"/>
    <w:rsid w:val="00953F77"/>
    <w:rsid w:val="009576FB"/>
    <w:rsid w:val="0096295A"/>
    <w:rsid w:val="00972202"/>
    <w:rsid w:val="009745A1"/>
    <w:rsid w:val="009805AC"/>
    <w:rsid w:val="00980AB3"/>
    <w:rsid w:val="00990E57"/>
    <w:rsid w:val="0099385E"/>
    <w:rsid w:val="009A1C42"/>
    <w:rsid w:val="009A30F5"/>
    <w:rsid w:val="009A3E32"/>
    <w:rsid w:val="009A4330"/>
    <w:rsid w:val="009A55A1"/>
    <w:rsid w:val="009B3EE7"/>
    <w:rsid w:val="009B5962"/>
    <w:rsid w:val="009B780B"/>
    <w:rsid w:val="009D1474"/>
    <w:rsid w:val="009D6145"/>
    <w:rsid w:val="009E6AE7"/>
    <w:rsid w:val="009F568D"/>
    <w:rsid w:val="009F7A71"/>
    <w:rsid w:val="00A139DF"/>
    <w:rsid w:val="00A17759"/>
    <w:rsid w:val="00A20DD4"/>
    <w:rsid w:val="00A21234"/>
    <w:rsid w:val="00A57BD1"/>
    <w:rsid w:val="00A62100"/>
    <w:rsid w:val="00A622C7"/>
    <w:rsid w:val="00A72A32"/>
    <w:rsid w:val="00A73317"/>
    <w:rsid w:val="00A83C5D"/>
    <w:rsid w:val="00A84D42"/>
    <w:rsid w:val="00A8572C"/>
    <w:rsid w:val="00A85D28"/>
    <w:rsid w:val="00A87976"/>
    <w:rsid w:val="00A94EBC"/>
    <w:rsid w:val="00AA1FDD"/>
    <w:rsid w:val="00AC78EB"/>
    <w:rsid w:val="00AD136A"/>
    <w:rsid w:val="00AD4479"/>
    <w:rsid w:val="00AE1356"/>
    <w:rsid w:val="00AF1146"/>
    <w:rsid w:val="00AF78E4"/>
    <w:rsid w:val="00B00F64"/>
    <w:rsid w:val="00B045BA"/>
    <w:rsid w:val="00B0605F"/>
    <w:rsid w:val="00B0680E"/>
    <w:rsid w:val="00B12B32"/>
    <w:rsid w:val="00B168FE"/>
    <w:rsid w:val="00B22D8B"/>
    <w:rsid w:val="00B22EA5"/>
    <w:rsid w:val="00B35429"/>
    <w:rsid w:val="00B63A19"/>
    <w:rsid w:val="00B63DC1"/>
    <w:rsid w:val="00B72AB4"/>
    <w:rsid w:val="00B75A47"/>
    <w:rsid w:val="00BA2E2F"/>
    <w:rsid w:val="00BB0272"/>
    <w:rsid w:val="00BB75CB"/>
    <w:rsid w:val="00BC0A7C"/>
    <w:rsid w:val="00BC6331"/>
    <w:rsid w:val="00BD4DFA"/>
    <w:rsid w:val="00BE3541"/>
    <w:rsid w:val="00BE46A1"/>
    <w:rsid w:val="00BE5375"/>
    <w:rsid w:val="00BE56A2"/>
    <w:rsid w:val="00BE5EB5"/>
    <w:rsid w:val="00C03914"/>
    <w:rsid w:val="00C1625F"/>
    <w:rsid w:val="00C16648"/>
    <w:rsid w:val="00C23197"/>
    <w:rsid w:val="00C23F37"/>
    <w:rsid w:val="00C33909"/>
    <w:rsid w:val="00C33CB8"/>
    <w:rsid w:val="00C33F30"/>
    <w:rsid w:val="00C3488F"/>
    <w:rsid w:val="00C577AC"/>
    <w:rsid w:val="00C60959"/>
    <w:rsid w:val="00C70DE4"/>
    <w:rsid w:val="00C75A88"/>
    <w:rsid w:val="00C86D10"/>
    <w:rsid w:val="00C87DBC"/>
    <w:rsid w:val="00C90D6B"/>
    <w:rsid w:val="00C90E06"/>
    <w:rsid w:val="00C91E93"/>
    <w:rsid w:val="00CA5187"/>
    <w:rsid w:val="00CA5AAA"/>
    <w:rsid w:val="00CA6E69"/>
    <w:rsid w:val="00CB00CC"/>
    <w:rsid w:val="00CB2D79"/>
    <w:rsid w:val="00CB3D35"/>
    <w:rsid w:val="00CC0745"/>
    <w:rsid w:val="00CD09E3"/>
    <w:rsid w:val="00CD0BE9"/>
    <w:rsid w:val="00CF42A9"/>
    <w:rsid w:val="00CF7365"/>
    <w:rsid w:val="00D00656"/>
    <w:rsid w:val="00D01E87"/>
    <w:rsid w:val="00D0453E"/>
    <w:rsid w:val="00D172DF"/>
    <w:rsid w:val="00D25F7E"/>
    <w:rsid w:val="00D26511"/>
    <w:rsid w:val="00D26A7A"/>
    <w:rsid w:val="00D27D4A"/>
    <w:rsid w:val="00D335C3"/>
    <w:rsid w:val="00D477C4"/>
    <w:rsid w:val="00D5688E"/>
    <w:rsid w:val="00D56C5A"/>
    <w:rsid w:val="00D609A3"/>
    <w:rsid w:val="00D60C09"/>
    <w:rsid w:val="00D67634"/>
    <w:rsid w:val="00D86181"/>
    <w:rsid w:val="00D92572"/>
    <w:rsid w:val="00D93598"/>
    <w:rsid w:val="00D9377D"/>
    <w:rsid w:val="00D94DCF"/>
    <w:rsid w:val="00DA0337"/>
    <w:rsid w:val="00DA43F5"/>
    <w:rsid w:val="00DA5B5E"/>
    <w:rsid w:val="00DB1AC9"/>
    <w:rsid w:val="00DB4C84"/>
    <w:rsid w:val="00DB4F0C"/>
    <w:rsid w:val="00DB4F0F"/>
    <w:rsid w:val="00DC71C2"/>
    <w:rsid w:val="00DC78A6"/>
    <w:rsid w:val="00DD05A1"/>
    <w:rsid w:val="00DD1422"/>
    <w:rsid w:val="00DF2467"/>
    <w:rsid w:val="00DF3100"/>
    <w:rsid w:val="00DF3525"/>
    <w:rsid w:val="00DF7B5F"/>
    <w:rsid w:val="00E0226B"/>
    <w:rsid w:val="00E035AB"/>
    <w:rsid w:val="00E07DFB"/>
    <w:rsid w:val="00E14A36"/>
    <w:rsid w:val="00E172FC"/>
    <w:rsid w:val="00E17B32"/>
    <w:rsid w:val="00E32CEB"/>
    <w:rsid w:val="00E41B67"/>
    <w:rsid w:val="00E46CDE"/>
    <w:rsid w:val="00E55F7D"/>
    <w:rsid w:val="00E60CB1"/>
    <w:rsid w:val="00E611E1"/>
    <w:rsid w:val="00E6365B"/>
    <w:rsid w:val="00E657DC"/>
    <w:rsid w:val="00E665A2"/>
    <w:rsid w:val="00E66A8F"/>
    <w:rsid w:val="00E74D06"/>
    <w:rsid w:val="00E755EF"/>
    <w:rsid w:val="00E77083"/>
    <w:rsid w:val="00E810FD"/>
    <w:rsid w:val="00E93B0E"/>
    <w:rsid w:val="00EA19F6"/>
    <w:rsid w:val="00EA2741"/>
    <w:rsid w:val="00EA3976"/>
    <w:rsid w:val="00EA56A4"/>
    <w:rsid w:val="00EA65F6"/>
    <w:rsid w:val="00EB3785"/>
    <w:rsid w:val="00EB438D"/>
    <w:rsid w:val="00EB4DE7"/>
    <w:rsid w:val="00EB532C"/>
    <w:rsid w:val="00EC1A55"/>
    <w:rsid w:val="00ED1682"/>
    <w:rsid w:val="00ED79CE"/>
    <w:rsid w:val="00ED7FD1"/>
    <w:rsid w:val="00EE0EDE"/>
    <w:rsid w:val="00EE1E5A"/>
    <w:rsid w:val="00EF5C62"/>
    <w:rsid w:val="00F03AA1"/>
    <w:rsid w:val="00F04D9A"/>
    <w:rsid w:val="00F05263"/>
    <w:rsid w:val="00F07DBE"/>
    <w:rsid w:val="00F1099E"/>
    <w:rsid w:val="00F1125F"/>
    <w:rsid w:val="00F14B21"/>
    <w:rsid w:val="00F15597"/>
    <w:rsid w:val="00F23600"/>
    <w:rsid w:val="00F26049"/>
    <w:rsid w:val="00F35D91"/>
    <w:rsid w:val="00F36711"/>
    <w:rsid w:val="00F4079A"/>
    <w:rsid w:val="00F41A9C"/>
    <w:rsid w:val="00F440B3"/>
    <w:rsid w:val="00F4674E"/>
    <w:rsid w:val="00F46DF1"/>
    <w:rsid w:val="00F50FC3"/>
    <w:rsid w:val="00F56B7E"/>
    <w:rsid w:val="00F61E8D"/>
    <w:rsid w:val="00F644EC"/>
    <w:rsid w:val="00F66BBA"/>
    <w:rsid w:val="00F72B1D"/>
    <w:rsid w:val="00F76761"/>
    <w:rsid w:val="00F76F6C"/>
    <w:rsid w:val="00F812D0"/>
    <w:rsid w:val="00F8451D"/>
    <w:rsid w:val="00F8603E"/>
    <w:rsid w:val="00F906EE"/>
    <w:rsid w:val="00F972D0"/>
    <w:rsid w:val="00FB1F55"/>
    <w:rsid w:val="00FB321E"/>
    <w:rsid w:val="00FB4AB1"/>
    <w:rsid w:val="00FB584F"/>
    <w:rsid w:val="00FC79F0"/>
    <w:rsid w:val="00FD4F8B"/>
    <w:rsid w:val="00FE6BAB"/>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footnote number Char, BVI fnr Car Car,BVI fnr Car, BVI fnr Car Car Car Car Char Char, BVI fnr Car Car Car Car Char Char Char Char Char, BVI fnr Car Car Car Car Char,footnote number Char Char1"/>
    <w:basedOn w:val="DefaultParagraphFont"/>
    <w:link w:val="footnotenumber"/>
    <w:uiPriority w:val="99"/>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7069F7"/>
    <w:rPr>
      <w:rFonts w:ascii="Calibri" w:hAnsi="Calibri"/>
      <w:color w:val="000000"/>
      <w:sz w:val="22"/>
      <w:lang w:eastAsia="en-GB"/>
    </w:rPr>
  </w:style>
  <w:style w:type="paragraph" w:customStyle="1" w:styleId="footnotenumber">
    <w:name w:val="footnote number"/>
    <w:basedOn w:val="Normal"/>
    <w:next w:val="FootnoteText"/>
    <w:link w:val="FootnoteReference"/>
    <w:uiPriority w:val="99"/>
    <w:rsid w:val="002B2691"/>
    <w:pPr>
      <w:spacing w:after="160" w:afterAutospacing="1" w:line="240" w:lineRule="exact"/>
    </w:pPr>
    <w:rPr>
      <w:rFonts w:ascii="Times" w:hAnsi="Times"/>
      <w:color w:val="auto"/>
      <w:sz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363791183">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887761603">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074165080">
      <w:bodyDiv w:val="1"/>
      <w:marLeft w:val="0"/>
      <w:marRight w:val="0"/>
      <w:marTop w:val="0"/>
      <w:marBottom w:val="0"/>
      <w:divBdr>
        <w:top w:val="none" w:sz="0" w:space="0" w:color="auto"/>
        <w:left w:val="none" w:sz="0" w:space="0" w:color="auto"/>
        <w:bottom w:val="none" w:sz="0" w:space="0" w:color="auto"/>
        <w:right w:val="none" w:sz="0" w:space="0" w:color="auto"/>
      </w:divBdr>
    </w:div>
    <w:div w:id="1420787047">
      <w:bodyDiv w:val="1"/>
      <w:marLeft w:val="0"/>
      <w:marRight w:val="0"/>
      <w:marTop w:val="0"/>
      <w:marBottom w:val="0"/>
      <w:divBdr>
        <w:top w:val="none" w:sz="0" w:space="0" w:color="auto"/>
        <w:left w:val="none" w:sz="0" w:space="0" w:color="auto"/>
        <w:bottom w:val="none" w:sz="0" w:space="0" w:color="auto"/>
        <w:right w:val="none" w:sz="0" w:space="0" w:color="auto"/>
      </w:divBdr>
    </w:div>
    <w:div w:id="2017951091">
      <w:bodyDiv w:val="1"/>
      <w:marLeft w:val="0"/>
      <w:marRight w:val="0"/>
      <w:marTop w:val="0"/>
      <w:marBottom w:val="0"/>
      <w:divBdr>
        <w:top w:val="none" w:sz="0" w:space="0" w:color="auto"/>
        <w:left w:val="none" w:sz="0" w:space="0" w:color="auto"/>
        <w:bottom w:val="none" w:sz="0" w:space="0" w:color="auto"/>
        <w:right w:val="none" w:sz="0" w:space="0" w:color="auto"/>
      </w:divBdr>
      <w:divsChild>
        <w:div w:id="256064416">
          <w:marLeft w:val="547"/>
          <w:marRight w:val="0"/>
          <w:marTop w:val="0"/>
          <w:marBottom w:val="0"/>
          <w:divBdr>
            <w:top w:val="none" w:sz="0" w:space="0" w:color="auto"/>
            <w:left w:val="none" w:sz="0" w:space="0" w:color="auto"/>
            <w:bottom w:val="none" w:sz="0" w:space="0" w:color="auto"/>
            <w:right w:val="none" w:sz="0" w:space="0" w:color="auto"/>
          </w:divBdr>
        </w:div>
        <w:div w:id="1032340377">
          <w:marLeft w:val="547"/>
          <w:marRight w:val="0"/>
          <w:marTop w:val="0"/>
          <w:marBottom w:val="0"/>
          <w:divBdr>
            <w:top w:val="none" w:sz="0" w:space="0" w:color="auto"/>
            <w:left w:val="none" w:sz="0" w:space="0" w:color="auto"/>
            <w:bottom w:val="none" w:sz="0" w:space="0" w:color="auto"/>
            <w:right w:val="none" w:sz="0" w:space="0" w:color="auto"/>
          </w:divBdr>
        </w:div>
        <w:div w:id="642469180">
          <w:marLeft w:val="547"/>
          <w:marRight w:val="0"/>
          <w:marTop w:val="0"/>
          <w:marBottom w:val="0"/>
          <w:divBdr>
            <w:top w:val="none" w:sz="0" w:space="0" w:color="auto"/>
            <w:left w:val="none" w:sz="0" w:space="0" w:color="auto"/>
            <w:bottom w:val="none" w:sz="0" w:space="0" w:color="auto"/>
            <w:right w:val="none" w:sz="0" w:space="0" w:color="auto"/>
          </w:divBdr>
        </w:div>
        <w:div w:id="107428472">
          <w:marLeft w:val="547"/>
          <w:marRight w:val="0"/>
          <w:marTop w:val="0"/>
          <w:marBottom w:val="0"/>
          <w:divBdr>
            <w:top w:val="none" w:sz="0" w:space="0" w:color="auto"/>
            <w:left w:val="none" w:sz="0" w:space="0" w:color="auto"/>
            <w:bottom w:val="none" w:sz="0" w:space="0" w:color="auto"/>
            <w:right w:val="none" w:sz="0" w:space="0" w:color="auto"/>
          </w:divBdr>
        </w:div>
        <w:div w:id="1266766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1" ma:contentTypeDescription="Create a new document." ma:contentTypeScope="" ma:versionID="1f2f0fa12e2f7812f439819a323493c5">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5a1f37a7b13905cbb8af3a212d71042a"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6761-C0DE-4606-AE16-AE797DFEBA8E}">
  <ds:schemaRefs>
    <ds:schemaRef ds:uri="http://schemas.microsoft.com/sharepoint/v3/contenttype/forms"/>
  </ds:schemaRefs>
</ds:datastoreItem>
</file>

<file path=customXml/itemProps2.xml><?xml version="1.0" encoding="utf-8"?>
<ds:datastoreItem xmlns:ds="http://schemas.openxmlformats.org/officeDocument/2006/customXml" ds:itemID="{E0E8F9D3-AAF1-4A1B-A5F9-A3948B2CD99B}">
  <ds:schemaRefs>
    <ds:schemaRef ds:uri="http://schemas.microsoft.com/office/2006/documentManagement/types"/>
    <ds:schemaRef ds:uri="2630d5c5-0f89-4b19-a62d-ea3a01ffc531"/>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3ca5454-ceaf-43d1-b3fa-e9bb90af45b4"/>
    <ds:schemaRef ds:uri="http://purl.org/dc/dcmitype/"/>
    <ds:schemaRef ds:uri="http://purl.org/dc/terms/"/>
  </ds:schemaRefs>
</ds:datastoreItem>
</file>

<file path=customXml/itemProps3.xml><?xml version="1.0" encoding="utf-8"?>
<ds:datastoreItem xmlns:ds="http://schemas.openxmlformats.org/officeDocument/2006/customXml" ds:itemID="{FB98EB17-E0B8-4205-B120-458CE94F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97160-0A1B-4F9A-A814-A134C713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2137</Words>
  <Characters>12581</Characters>
  <Application>Microsoft Office Word</Application>
  <DocSecurity>0</DocSecurity>
  <Lines>104</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2019-02-07T06:06:00Z</cp:lastPrinted>
  <dcterms:created xsi:type="dcterms:W3CDTF">2019-09-12T08:24:00Z</dcterms:created>
  <dcterms:modified xsi:type="dcterms:W3CDTF">2019-09-12T08:24:00Z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