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CDEB" w14:textId="6513A09C" w:rsidR="00944013" w:rsidRPr="009F65DD" w:rsidRDefault="00944013" w:rsidP="00944013">
      <w:pPr>
        <w:rPr>
          <w:rFonts w:eastAsia="MS Gothic"/>
          <w:b/>
          <w:u w:val="single"/>
        </w:rPr>
      </w:pPr>
    </w:p>
    <w:tbl>
      <w:tblPr>
        <w:tblpPr w:leftFromText="180" w:rightFromText="180" w:horzAnchor="margin" w:tblpXSpec="center"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502"/>
        <w:gridCol w:w="908"/>
        <w:gridCol w:w="81"/>
        <w:gridCol w:w="995"/>
        <w:gridCol w:w="1174"/>
        <w:gridCol w:w="356"/>
        <w:gridCol w:w="544"/>
        <w:gridCol w:w="806"/>
        <w:gridCol w:w="1521"/>
      </w:tblGrid>
      <w:tr w:rsidR="0007007D" w:rsidRPr="009F65DD" w14:paraId="0498C0CB" w14:textId="77777777" w:rsidTr="28E1864A">
        <w:trPr>
          <w:trHeight w:val="710"/>
        </w:trPr>
        <w:tc>
          <w:tcPr>
            <w:tcW w:w="9887" w:type="dxa"/>
            <w:gridSpan w:val="9"/>
            <w:tcBorders>
              <w:top w:val="nil"/>
              <w:left w:val="nil"/>
              <w:bottom w:val="single" w:sz="4" w:space="0" w:color="auto"/>
              <w:right w:val="nil"/>
            </w:tcBorders>
            <w:shd w:val="clear" w:color="auto" w:fill="auto"/>
            <w:noWrap/>
          </w:tcPr>
          <w:p w14:paraId="569B9764" w14:textId="60B53008" w:rsidR="0007007D" w:rsidRPr="009F65DD" w:rsidRDefault="0007007D" w:rsidP="09BBADAC">
            <w:pPr>
              <w:spacing w:line="276" w:lineRule="auto"/>
              <w:jc w:val="center"/>
              <w:rPr>
                <w:rFonts w:eastAsia="MS PGothic"/>
                <w:color w:val="000000" w:themeColor="text1"/>
              </w:rPr>
            </w:pPr>
            <w:r w:rsidRPr="009F65DD">
              <w:rPr>
                <w:b/>
                <w:bCs/>
                <w:color w:val="00B0F0"/>
                <w:sz w:val="24"/>
                <w:szCs w:val="24"/>
                <w:u w:val="single"/>
              </w:rPr>
              <w:t xml:space="preserve">TERMS OF REFERENCE FOR INDIVIDUAL CONSULTANTS </w:t>
            </w:r>
          </w:p>
          <w:p w14:paraId="7E1B9E67" w14:textId="3A186452" w:rsidR="0007007D" w:rsidRPr="009F65DD" w:rsidRDefault="0007007D" w:rsidP="00BE24BE">
            <w:pPr>
              <w:spacing w:line="276" w:lineRule="auto"/>
              <w:jc w:val="center"/>
              <w:rPr>
                <w:rFonts w:eastAsia="MS PGothic"/>
                <w:color w:val="000000"/>
              </w:rPr>
            </w:pPr>
            <w:r w:rsidRPr="009F65DD">
              <w:rPr>
                <w:b/>
                <w:bCs/>
                <w:color w:val="00B0F0"/>
                <w:sz w:val="24"/>
                <w:szCs w:val="24"/>
                <w:u w:val="single"/>
              </w:rPr>
              <w:t>FOR RESEARCH STUDIES AND EVALUATIONS</w:t>
            </w:r>
          </w:p>
        </w:tc>
      </w:tr>
      <w:tr w:rsidR="009F22E4" w:rsidRPr="004D5FF0" w14:paraId="03FF2B50" w14:textId="77777777" w:rsidTr="00F13CBE">
        <w:trPr>
          <w:trHeight w:val="1800"/>
        </w:trPr>
        <w:tc>
          <w:tcPr>
            <w:tcW w:w="9887" w:type="dxa"/>
            <w:gridSpan w:val="9"/>
            <w:tcBorders>
              <w:top w:val="single" w:sz="4" w:space="0" w:color="auto"/>
            </w:tcBorders>
            <w:shd w:val="clear" w:color="auto" w:fill="auto"/>
            <w:noWrap/>
          </w:tcPr>
          <w:p w14:paraId="280189CE" w14:textId="77777777" w:rsidR="009F22E4" w:rsidRPr="009F65DD" w:rsidRDefault="009F22E4" w:rsidP="0036605C">
            <w:pPr>
              <w:spacing w:before="60" w:after="60"/>
              <w:jc w:val="both"/>
              <w:rPr>
                <w:b/>
                <w:bCs/>
                <w:color w:val="0070C0"/>
                <w:lang w:val="fr-FR"/>
              </w:rPr>
            </w:pPr>
            <w:r w:rsidRPr="009F65DD">
              <w:rPr>
                <w:b/>
                <w:bCs/>
                <w:color w:val="0070C0"/>
                <w:lang w:val="fr-FR"/>
              </w:rPr>
              <w:t>Contexte et justification</w:t>
            </w:r>
          </w:p>
          <w:p w14:paraId="2CA42B3D" w14:textId="1F2EDC1A" w:rsidR="0029587A" w:rsidRPr="009F65DD" w:rsidRDefault="0029587A" w:rsidP="0029587A">
            <w:pPr>
              <w:jc w:val="both"/>
              <w:rPr>
                <w:rFonts w:eastAsiaTheme="minorHAnsi"/>
                <w:bCs/>
                <w:iCs/>
                <w:color w:val="000000"/>
                <w:lang w:val="fr-FR"/>
              </w:rPr>
            </w:pPr>
            <w:r w:rsidRPr="009F65DD">
              <w:rPr>
                <w:rFonts w:eastAsiaTheme="minorHAnsi"/>
                <w:bCs/>
                <w:iCs/>
                <w:color w:val="000000"/>
                <w:lang w:val="fr-FR"/>
              </w:rPr>
              <w:t>La République de Djibouti est un pays situé dans la corne de l’Afrique entre l’Éthiopie, la Somalie et l’Erythrée. Le pays compte un peu plus d’un million d’habitants (1,016,810 en 2021) dont 70% vivent en milieu urbain et 60% dans la seule capitale Djibouti-ville. La population de Djibouti est très jeune avec les moins de 18 ans qui représentent 40% de la population totale. Le pays occupe une position géographique dans une région d’instabilité sécuritaire et politique qui lui a conféré un haut intérêt des grandes puissances étrangères. En effet la place stratégique de Djibouti à l’entrée du Bab el-</w:t>
            </w:r>
            <w:proofErr w:type="spellStart"/>
            <w:r w:rsidRPr="009F65DD">
              <w:rPr>
                <w:rFonts w:eastAsiaTheme="minorHAnsi"/>
                <w:bCs/>
                <w:iCs/>
                <w:color w:val="000000"/>
                <w:lang w:val="fr-FR"/>
              </w:rPr>
              <w:t>Mandeb</w:t>
            </w:r>
            <w:proofErr w:type="spellEnd"/>
            <w:r w:rsidRPr="009F65DD">
              <w:rPr>
                <w:rFonts w:eastAsiaTheme="minorHAnsi"/>
                <w:bCs/>
                <w:iCs/>
                <w:color w:val="000000"/>
                <w:lang w:val="fr-FR"/>
              </w:rPr>
              <w:t xml:space="preserve"> est confirmée par la présence de 5 bases militaires étrangères (Italie, Etats-Unis, Italie, Chine et Japon) ainsi que les forces Atlanta de l’UE que Djibouti a abritées dans le cadre de la lutte contre la piraterie et la sécurisation des routes maritimes. Cette position géographique est plus importante pour son grand voisin, l’Ethiopie, car elle constitue sa porte d’entrée et de sortie principale des échanges commerciaux. Par ailleurs le pays se veut être le hub logistique de la corne de l’Afrique. La République de Djibouti a connu les deux dernières décennies une croissance économique des plus fortes qui se situait en moyenne à 6% par an et a atteint un PIB par tête d’habitants de 3,048 USD se plaçant dans la catégorie des pays à revenu intermédiaire faible. La croissance économique observée grâce à une conjoncture régionale favorable, et le niveau relativement élevé du PIB cachent la réalité d’une économie fortement dominée par le secteur tertiaire et les investissements en infrastructures et services portuaires réalisés en grande partie par le biais de l’endettement (76% du PIB) avec peu d’effet d’entraînement sur d’autres secteurs et donc très peu créatrice d’emploi. </w:t>
            </w:r>
          </w:p>
          <w:p w14:paraId="311B8014" w14:textId="77777777" w:rsidR="0029587A" w:rsidRPr="009F65DD" w:rsidRDefault="0029587A" w:rsidP="0029587A">
            <w:pPr>
              <w:jc w:val="both"/>
              <w:rPr>
                <w:rFonts w:eastAsiaTheme="minorHAnsi"/>
                <w:bCs/>
                <w:iCs/>
                <w:color w:val="000000"/>
                <w:lang w:val="fr-FR"/>
              </w:rPr>
            </w:pPr>
          </w:p>
          <w:p w14:paraId="070D4C98" w14:textId="77777777" w:rsidR="0029587A" w:rsidRPr="009F65DD" w:rsidRDefault="0029587A" w:rsidP="0029587A">
            <w:pPr>
              <w:jc w:val="both"/>
              <w:rPr>
                <w:rFonts w:eastAsiaTheme="minorHAnsi"/>
                <w:bCs/>
                <w:iCs/>
                <w:color w:val="000000"/>
                <w:lang w:val="fr-FR"/>
              </w:rPr>
            </w:pPr>
            <w:r w:rsidRPr="009F65DD">
              <w:rPr>
                <w:rFonts w:eastAsiaTheme="minorHAnsi"/>
                <w:bCs/>
                <w:iCs/>
                <w:color w:val="000000"/>
                <w:lang w:val="fr-FR"/>
              </w:rPr>
              <w:t>Le taux de chômage est de 47% (63% pour les femmes) et touche de plus en plus les jeunes, y compris ceux qui sont diplômés. Selon l’enquête de pauvreté EDAM 4 de 2017, la pauvreté n’a pas reculé de manière significative depuis 2013, avec un taux de pauvreté absolue de 21%, contre 23% en 2013, et un taux de pauvreté globale de 36% contre 41% en 2013, et des disparités importantes selon les milieux de résidence illustrées par l’indice de GINI de 0.42. Si le gouvernement de Djibouti a pris en temps opportun des mesures préventives assez courageuses afin d’atténuer la morbidité et la mortalité liées à la COVID-19, l’impact en est beaucoup plus visible sur le plan économique avec la chute de la croissance économique de 7,1% à 1% en 2020 (</w:t>
            </w:r>
            <w:proofErr w:type="spellStart"/>
            <w:r w:rsidRPr="009F65DD">
              <w:rPr>
                <w:rFonts w:eastAsiaTheme="minorHAnsi"/>
                <w:bCs/>
                <w:iCs/>
                <w:color w:val="000000"/>
                <w:lang w:val="fr-FR"/>
              </w:rPr>
              <w:t>Socio-Economic</w:t>
            </w:r>
            <w:proofErr w:type="spellEnd"/>
            <w:r w:rsidRPr="009F65DD">
              <w:rPr>
                <w:rFonts w:eastAsiaTheme="minorHAnsi"/>
                <w:bCs/>
                <w:iCs/>
                <w:color w:val="000000"/>
                <w:lang w:val="fr-FR"/>
              </w:rPr>
              <w:t xml:space="preserve"> Impact </w:t>
            </w:r>
            <w:proofErr w:type="spellStart"/>
            <w:r w:rsidRPr="009F65DD">
              <w:rPr>
                <w:rFonts w:eastAsiaTheme="minorHAnsi"/>
                <w:bCs/>
                <w:iCs/>
                <w:color w:val="000000"/>
                <w:lang w:val="fr-FR"/>
              </w:rPr>
              <w:t>Assessment</w:t>
            </w:r>
            <w:proofErr w:type="spellEnd"/>
            <w:r w:rsidRPr="009F65DD">
              <w:rPr>
                <w:rFonts w:eastAsiaTheme="minorHAnsi"/>
                <w:bCs/>
                <w:iCs/>
                <w:color w:val="000000"/>
                <w:lang w:val="fr-FR"/>
              </w:rPr>
              <w:t xml:space="preserve"> of COVID-19 2020) et une énorme conséquence sur les recettes publiques, la perte d’emploi (40,000) notamment dans les secteurs formel et informel, et par conséquent sur le revenu des ménages. La reprise économique post COVID-19 qui s’annonçait assez optimiste risque d’être plombée par les crises multiples qui affectent actuellement le pays. En effet la crise Ethiopienne qui se déroule à la porte de Djibouti et qui touche son premier client a entraîné un ralentissement des activités portuaires, poumon économique du pays. La crise environnementale matérialisée par la sècheresse dans la corne de l’Afrique conjuguée avec la guerre de la Russie en Ukraine </w:t>
            </w:r>
            <w:proofErr w:type="gramStart"/>
            <w:r w:rsidRPr="009F65DD">
              <w:rPr>
                <w:rFonts w:eastAsiaTheme="minorHAnsi"/>
                <w:bCs/>
                <w:iCs/>
                <w:color w:val="000000"/>
                <w:lang w:val="fr-FR"/>
              </w:rPr>
              <w:t>touchent</w:t>
            </w:r>
            <w:proofErr w:type="gramEnd"/>
            <w:r w:rsidRPr="009F65DD">
              <w:rPr>
                <w:rFonts w:eastAsiaTheme="minorHAnsi"/>
                <w:bCs/>
                <w:iCs/>
                <w:color w:val="000000"/>
                <w:lang w:val="fr-FR"/>
              </w:rPr>
              <w:t xml:space="preserve"> de plein fouet Djibouti, pays qui importe l’ensemble de ses produits de première nécessité, et se retrouve ainsi dans une situation d’insécurité alimentaire et nutritionnelle couplée à une augmentation des prix des denrées de base de 13 à 21%. Sur le plan de la politique intérieure, le pays est caractérisé par une stabilité politique et sécuritaire. Sur le plan sous régional, Djibouti est entouré des pays qui sont en proie à des situations d’instabilité socio-politique et sécuritaire avec des conséquences réelles sur la situation de Djibouti sous forme de flux migratoires et de réfugiés. L’Ethiopie qui a connu presque trois décennies de stabilité s’est désormais rajoutée à la liste des pays voisins en troubles.</w:t>
            </w:r>
          </w:p>
          <w:p w14:paraId="24402814" w14:textId="77777777" w:rsidR="0029587A" w:rsidRPr="009F65DD" w:rsidRDefault="0029587A" w:rsidP="0029587A">
            <w:pPr>
              <w:jc w:val="both"/>
              <w:rPr>
                <w:rFonts w:eastAsiaTheme="minorHAnsi"/>
                <w:bCs/>
                <w:iCs/>
                <w:color w:val="000000"/>
                <w:lang w:val="fr-FR"/>
              </w:rPr>
            </w:pPr>
          </w:p>
          <w:p w14:paraId="4C4E5E55" w14:textId="77777777" w:rsidR="0029587A" w:rsidRPr="009F65DD" w:rsidRDefault="0029587A" w:rsidP="0029587A">
            <w:pPr>
              <w:jc w:val="both"/>
              <w:rPr>
                <w:rFonts w:eastAsiaTheme="minorHAnsi"/>
                <w:bCs/>
                <w:iCs/>
                <w:color w:val="000000"/>
                <w:lang w:val="fr-FR"/>
              </w:rPr>
            </w:pPr>
            <w:r w:rsidRPr="009F65DD">
              <w:rPr>
                <w:rFonts w:eastAsiaTheme="minorHAnsi"/>
                <w:bCs/>
                <w:iCs/>
                <w:color w:val="000000"/>
                <w:lang w:val="fr-FR"/>
              </w:rPr>
              <w:t xml:space="preserve">Dans le secteur de la protection de l’enfant, l’UNICEF a travaillé sur les sous-composantes suivantes : </w:t>
            </w:r>
          </w:p>
          <w:p w14:paraId="7585BF43" w14:textId="77777777" w:rsidR="0029587A" w:rsidRPr="009F65DD" w:rsidRDefault="0029587A" w:rsidP="00F7233C">
            <w:pPr>
              <w:pStyle w:val="ListParagraph"/>
              <w:numPr>
                <w:ilvl w:val="0"/>
                <w:numId w:val="9"/>
              </w:numPr>
              <w:jc w:val="both"/>
              <w:rPr>
                <w:rFonts w:eastAsiaTheme="minorHAnsi"/>
                <w:bCs/>
                <w:iCs/>
                <w:color w:val="000000"/>
                <w:lang w:val="fr-FR"/>
              </w:rPr>
            </w:pPr>
            <w:r w:rsidRPr="009F65DD">
              <w:rPr>
                <w:rFonts w:eastAsiaTheme="minorHAnsi"/>
                <w:bCs/>
                <w:iCs/>
                <w:color w:val="000000"/>
                <w:lang w:val="fr-FR"/>
              </w:rPr>
              <w:t>Renforcement du système de protection de l’enfant, notamment pour les plus vulnérables (enfants dans la rue, en contact avec la loi, séparés de leur famille, sans acte de naissance…)</w:t>
            </w:r>
          </w:p>
          <w:p w14:paraId="27076C1F" w14:textId="77777777" w:rsidR="0029587A" w:rsidRPr="009F65DD" w:rsidRDefault="0029587A" w:rsidP="0029587A">
            <w:pPr>
              <w:jc w:val="both"/>
              <w:rPr>
                <w:rFonts w:eastAsiaTheme="minorHAnsi"/>
                <w:bCs/>
                <w:iCs/>
                <w:color w:val="000000"/>
                <w:lang w:val="fr-FR"/>
              </w:rPr>
            </w:pPr>
            <w:r w:rsidRPr="009F65DD">
              <w:rPr>
                <w:rFonts w:eastAsiaTheme="minorHAnsi"/>
                <w:bCs/>
                <w:iCs/>
                <w:color w:val="000000"/>
                <w:lang w:val="fr-FR"/>
              </w:rPr>
              <w:t>- A) La prise en charge des enfants les plus vulnérables. Les services de protection de l’enfant sont insuffisants et peu coordonnés, et ceci est notamment dû à des systèmes de référence et protocoles formels limités, la non-application de la loi, l’insuffisance des ressources humaines qualifiées, les perceptions socio-culturelles et normes sociales en vigueur préjudiciables ainsi qu’aux difficultés d’accès aux services pour les enfants sans acte de naissance (en particulier pour les enfants en déplacement).</w:t>
            </w:r>
          </w:p>
          <w:p w14:paraId="62CBA1A0" w14:textId="77777777" w:rsidR="0029587A" w:rsidRPr="009F65DD" w:rsidRDefault="0029587A" w:rsidP="0029587A">
            <w:pPr>
              <w:jc w:val="both"/>
              <w:rPr>
                <w:rFonts w:eastAsiaTheme="minorHAnsi"/>
                <w:bCs/>
                <w:iCs/>
                <w:color w:val="000000"/>
                <w:lang w:val="fr-FR"/>
              </w:rPr>
            </w:pPr>
            <w:r w:rsidRPr="009F65DD">
              <w:rPr>
                <w:rFonts w:eastAsiaTheme="minorHAnsi"/>
                <w:bCs/>
                <w:iCs/>
                <w:color w:val="000000"/>
                <w:lang w:val="fr-FR"/>
              </w:rPr>
              <w:t>- B) L’enregistrement des naissances. Le taux national de l’enregistrement des naissances (93%) cache des grandes iniquités, particulièrement dans les régions et pour les enfants en mouvement y compris les enfants réfugiés. Le taux d’enregistrement des naissances est de 79% dans les zones rurales, contre 97% dans les zones urbaines. Ces limitations sont particulièrement graves dans les régions les plus défavorisées.</w:t>
            </w:r>
          </w:p>
          <w:p w14:paraId="39045217" w14:textId="77777777" w:rsidR="0029587A" w:rsidRPr="009F65DD" w:rsidRDefault="0029587A" w:rsidP="00F7233C">
            <w:pPr>
              <w:pStyle w:val="ListParagraph"/>
              <w:numPr>
                <w:ilvl w:val="0"/>
                <w:numId w:val="9"/>
              </w:numPr>
              <w:jc w:val="both"/>
              <w:rPr>
                <w:rFonts w:eastAsiaTheme="minorHAnsi"/>
                <w:bCs/>
                <w:iCs/>
                <w:color w:val="000000"/>
                <w:lang w:val="fr-FR"/>
              </w:rPr>
            </w:pPr>
            <w:r w:rsidRPr="009F65DD">
              <w:rPr>
                <w:rFonts w:eastAsiaTheme="minorHAnsi"/>
                <w:bCs/>
                <w:iCs/>
                <w:color w:val="000000"/>
                <w:lang w:val="fr-FR"/>
              </w:rPr>
              <w:t xml:space="preserve">La pratique des Mutilations Génitales Féminines (MGF) </w:t>
            </w:r>
          </w:p>
          <w:p w14:paraId="75CE0376" w14:textId="77777777" w:rsidR="0029587A" w:rsidRPr="009F65DD" w:rsidRDefault="0029587A" w:rsidP="0029587A">
            <w:pPr>
              <w:jc w:val="both"/>
              <w:rPr>
                <w:rFonts w:eastAsiaTheme="minorHAnsi"/>
                <w:bCs/>
                <w:iCs/>
                <w:color w:val="000000"/>
                <w:lang w:val="fr-FR"/>
              </w:rPr>
            </w:pPr>
            <w:r w:rsidRPr="009F65DD">
              <w:rPr>
                <w:rFonts w:eastAsiaTheme="minorHAnsi"/>
                <w:bCs/>
                <w:iCs/>
                <w:color w:val="000000"/>
                <w:lang w:val="fr-FR"/>
              </w:rPr>
              <w:t xml:space="preserve">Selon l’enquête nationale de 2019 sur les Violence Faîtes aux Femmes et Mutilations Génitales Féminines, la prévalence des mutilations génitales féminines se situe à 70.7% chez les femmes âgées de 15 à 49 ans avec une diminution tangible dans la tranche d’âge de 0-10 ans de 25% (de 29.3% en 2012 à 22.1% en 2019). Cependant, la pratique reste élevée chez les filles âgées de 11 à 14 ans, se situant à 62.9%. </w:t>
            </w:r>
          </w:p>
          <w:p w14:paraId="7B67AE2A" w14:textId="77777777" w:rsidR="0029587A" w:rsidRPr="009F65DD" w:rsidRDefault="0029587A" w:rsidP="0029587A">
            <w:pPr>
              <w:pStyle w:val="ListParagraph"/>
              <w:ind w:left="0"/>
              <w:jc w:val="both"/>
              <w:rPr>
                <w:b/>
                <w:bCs/>
                <w:lang w:val="fr-FR"/>
              </w:rPr>
            </w:pPr>
          </w:p>
          <w:p w14:paraId="6BBE70ED" w14:textId="53917B77" w:rsidR="009F22E4" w:rsidRPr="009F65DD" w:rsidRDefault="0029587A" w:rsidP="0029587A">
            <w:pPr>
              <w:pStyle w:val="ListParagraph"/>
              <w:ind w:left="0"/>
              <w:jc w:val="both"/>
              <w:rPr>
                <w:sz w:val="22"/>
                <w:szCs w:val="22"/>
                <w:lang w:val="fr-FR"/>
              </w:rPr>
            </w:pPr>
            <w:r w:rsidRPr="009F65DD">
              <w:rPr>
                <w:b/>
                <w:bCs/>
                <w:lang w:val="fr-FR"/>
              </w:rPr>
              <w:t>Le bureau, dans le cadre de sa politique de priorisation des évaluations a décidé d’évaluer le volet protection de l’enfant afin de voir l’état de la mise en œuvre du programme sur la période 2018-2022 et éventuellement apporter des ajustements qui s’avèreraient nécessaires pour atteindre les résultats du programme pays de l’UNICEF dans le domaine de la protection de l’enfant.</w:t>
            </w:r>
            <w:r w:rsidRPr="009F65DD">
              <w:rPr>
                <w:rStyle w:val="FootnoteReference"/>
                <w:b/>
                <w:bCs/>
                <w:lang w:val="fr-FR"/>
              </w:rPr>
              <w:footnoteReference w:id="2"/>
            </w:r>
            <w:r w:rsidRPr="009F65DD">
              <w:rPr>
                <w:b/>
                <w:bCs/>
                <w:lang w:val="fr-FR"/>
              </w:rPr>
              <w:t xml:space="preserve">  </w:t>
            </w:r>
          </w:p>
        </w:tc>
      </w:tr>
      <w:tr w:rsidR="009F22E4" w:rsidRPr="004D5FF0" w14:paraId="0653B79F" w14:textId="77777777" w:rsidTr="00F13CBE">
        <w:trPr>
          <w:trHeight w:val="1800"/>
        </w:trPr>
        <w:tc>
          <w:tcPr>
            <w:tcW w:w="9887" w:type="dxa"/>
            <w:gridSpan w:val="9"/>
            <w:tcBorders>
              <w:top w:val="single" w:sz="4" w:space="0" w:color="auto"/>
            </w:tcBorders>
            <w:shd w:val="clear" w:color="auto" w:fill="auto"/>
            <w:noWrap/>
          </w:tcPr>
          <w:p w14:paraId="3D72AC37" w14:textId="77777777" w:rsidR="006844D1" w:rsidRPr="009F65DD" w:rsidRDefault="006844D1" w:rsidP="006844D1">
            <w:pPr>
              <w:jc w:val="both"/>
              <w:rPr>
                <w:b/>
                <w:bCs/>
                <w:color w:val="0070C0"/>
                <w:lang w:val="fr-FR"/>
              </w:rPr>
            </w:pPr>
            <w:r w:rsidRPr="009F65DD">
              <w:rPr>
                <w:b/>
                <w:bCs/>
                <w:color w:val="0070C0"/>
                <w:lang w:val="fr-FR"/>
              </w:rPr>
              <w:lastRenderedPageBreak/>
              <w:t xml:space="preserve">Objet de l’évaluation, objectifs spécifiques, étendue, utilisation de l’évaluation </w:t>
            </w:r>
            <w:r w:rsidRPr="009F65DD">
              <w:rPr>
                <w:rStyle w:val="FootnoteReference"/>
                <w:b/>
                <w:bCs/>
                <w:color w:val="0070C0"/>
                <w:lang w:val="fr-FR"/>
              </w:rPr>
              <w:footnoteReference w:id="3"/>
            </w:r>
          </w:p>
          <w:p w14:paraId="228A7A8B" w14:textId="77777777" w:rsidR="00375C4B" w:rsidRPr="009F65DD" w:rsidRDefault="00375C4B" w:rsidP="006844D1">
            <w:pPr>
              <w:pStyle w:val="ListParagraph"/>
              <w:tabs>
                <w:tab w:val="left" w:pos="284"/>
              </w:tabs>
              <w:ind w:left="0"/>
              <w:jc w:val="both"/>
              <w:rPr>
                <w:rFonts w:eastAsia="Calibri"/>
                <w:lang w:val="fr-FR"/>
              </w:rPr>
            </w:pPr>
          </w:p>
          <w:p w14:paraId="734585E1" w14:textId="63BE9C99" w:rsidR="006844D1" w:rsidRPr="009F65DD" w:rsidRDefault="006844D1" w:rsidP="006844D1">
            <w:pPr>
              <w:pStyle w:val="ListParagraph"/>
              <w:tabs>
                <w:tab w:val="left" w:pos="284"/>
              </w:tabs>
              <w:ind w:left="0"/>
              <w:jc w:val="both"/>
              <w:rPr>
                <w:rFonts w:eastAsia="Calibri"/>
                <w:lang w:val="fr-FR"/>
              </w:rPr>
            </w:pPr>
            <w:r w:rsidRPr="009F65DD">
              <w:rPr>
                <w:rFonts w:eastAsia="Calibri"/>
                <w:lang w:val="fr-FR"/>
              </w:rPr>
              <w:t>L’actuel programme de coopération 2018-2022 de l’UNICEF avec le Gouvernement de Djibouti est élaboré et mis en œuvre dans ses 4 grands axes d’intervention : la survie et le développement du jeune enfant, l’éducation et le développement des adolescents, la protection de l’enfant et la protection sociale. Ces axes sont complétés de manière transversale par le changement social et comportemental (CSC) et le suivi et évaluation.</w:t>
            </w:r>
          </w:p>
          <w:p w14:paraId="4D2E0904" w14:textId="77777777" w:rsidR="006844D1" w:rsidRPr="009F65DD" w:rsidRDefault="006844D1" w:rsidP="006844D1">
            <w:pPr>
              <w:jc w:val="both"/>
              <w:rPr>
                <w:lang w:val="fr-FR"/>
              </w:rPr>
            </w:pPr>
            <w:r w:rsidRPr="009F65DD">
              <w:rPr>
                <w:lang w:val="fr-FR"/>
              </w:rPr>
              <w:t xml:space="preserve">Cette évaluation du programme de protection de l’enfant permettra de : a) faire le bilan des réalisations du programme sur la période </w:t>
            </w:r>
            <w:r w:rsidRPr="009F65DD">
              <w:rPr>
                <w:rFonts w:eastAsia="Calibri"/>
                <w:lang w:val="fr-FR"/>
              </w:rPr>
              <w:t>2018-2022</w:t>
            </w:r>
            <w:r w:rsidRPr="009F65DD">
              <w:rPr>
                <w:lang w:val="fr-FR"/>
              </w:rPr>
              <w:t xml:space="preserve">, b) identifier les ajustements nécessaires en lien avec le nouveau plan stratégique (SP) pour les 2 années où le programme est étendu (2022-2024), et c) formuler des orientations stratégiques pour l’élaboration du prochain cycle de programme de coopération 2025-2029. L’évaluation doit faire connaître et documenter les bonnes pratiques et les leçons apprises du programme de protection de l’enfant afin d’établir d’une part la redevabilité de l’UNICEF et d’autre part de contribuer à l’apprentissage organisationnel. </w:t>
            </w:r>
          </w:p>
          <w:p w14:paraId="7A1CB717" w14:textId="77777777" w:rsidR="006844D1" w:rsidRPr="009F65DD" w:rsidRDefault="006844D1" w:rsidP="006844D1">
            <w:pPr>
              <w:jc w:val="both"/>
              <w:rPr>
                <w:lang w:val="fr-FR"/>
              </w:rPr>
            </w:pPr>
            <w:r w:rsidRPr="009F65DD">
              <w:rPr>
                <w:lang w:val="fr-FR"/>
              </w:rPr>
              <w:t>Les résultats et recommandations issus de cette évaluation pourront orienter de façon optimale les objectifs du prochain programme de protection de l’enfant. Ils seront utilisés aussi bien par l’UNICEF que par les parties nationales.</w:t>
            </w:r>
          </w:p>
          <w:p w14:paraId="3AA8E8FD" w14:textId="77777777" w:rsidR="006844D1" w:rsidRPr="009F65DD" w:rsidRDefault="006844D1" w:rsidP="006844D1">
            <w:pPr>
              <w:jc w:val="both"/>
              <w:rPr>
                <w:lang w:val="fr-FR"/>
              </w:rPr>
            </w:pPr>
          </w:p>
          <w:p w14:paraId="7CFF00A8" w14:textId="77777777" w:rsidR="006844D1" w:rsidRPr="009F65DD" w:rsidRDefault="006844D1" w:rsidP="006844D1">
            <w:pPr>
              <w:jc w:val="both"/>
              <w:rPr>
                <w:b/>
                <w:bCs/>
                <w:lang w:val="fr-FR"/>
              </w:rPr>
            </w:pPr>
            <w:r w:rsidRPr="009F65DD">
              <w:rPr>
                <w:lang w:val="fr-FR"/>
              </w:rPr>
              <w:t>Les parties nationales sont définies comme suit : le Ministère de la Femme et de la Famille, le Ministère des Affaires Musulmanes et des Biens Waqfs, le Ministère de l’intérieur, le Ministère de la justice, le Ministère de la défense, le Ministère délégué chargé de la Décentralisation, les acteurs de la société civile tels que l’UNFD et les Comités de Gestion Communautaire (CGC) associés, CARITAS, APPDEM, SOS Village, les organes déconcentrés des ministères sectoriels, les autorités régionales mais aussi par les partenaires du Système des Nations Unies, les coopérations bi- et multilatérales, et d’autres partenaires au développement.</w:t>
            </w:r>
          </w:p>
          <w:p w14:paraId="5DC92990" w14:textId="77777777" w:rsidR="006844D1" w:rsidRPr="009F65DD" w:rsidRDefault="006844D1" w:rsidP="006844D1">
            <w:pPr>
              <w:pStyle w:val="ListParagraph"/>
              <w:ind w:left="0"/>
              <w:jc w:val="both"/>
              <w:rPr>
                <w:lang w:val="fr-FR"/>
              </w:rPr>
            </w:pPr>
          </w:p>
          <w:p w14:paraId="094C4EF6" w14:textId="77777777" w:rsidR="006844D1" w:rsidRPr="009F65DD" w:rsidRDefault="006844D1" w:rsidP="006844D1">
            <w:pPr>
              <w:pStyle w:val="ListParagraph"/>
              <w:ind w:left="0"/>
              <w:jc w:val="both"/>
              <w:rPr>
                <w:lang w:val="fr-FR"/>
              </w:rPr>
            </w:pPr>
            <w:r w:rsidRPr="009F65DD">
              <w:rPr>
                <w:lang w:val="fr-FR"/>
              </w:rPr>
              <w:t>L’évaluation du programme de protection de l’enfant sera guidée par les instruments de droits humains notamment la Convention internationale des Droits de l’Enfant (CDE) ainsi que les protocoles additionnels notamment celui du handicap, la Charte africaine des droits de l’enfant, et le plan d’action genre. Ceci permettra aussi de mettre en évidence si les questions liées à l’urgence sont prises en considération dans la planification stratégique et si elles permettent la construction des capacités pour la résilience.</w:t>
            </w:r>
          </w:p>
          <w:p w14:paraId="4F7DD815" w14:textId="77777777" w:rsidR="006844D1" w:rsidRPr="009F65DD" w:rsidRDefault="006844D1" w:rsidP="006844D1">
            <w:pPr>
              <w:pStyle w:val="ListParagraph"/>
              <w:ind w:left="0"/>
              <w:jc w:val="both"/>
              <w:rPr>
                <w:lang w:val="fr-FR"/>
              </w:rPr>
            </w:pPr>
          </w:p>
          <w:p w14:paraId="29D7779F" w14:textId="77777777" w:rsidR="006844D1" w:rsidRPr="009F65DD" w:rsidRDefault="006844D1" w:rsidP="006844D1">
            <w:pPr>
              <w:jc w:val="both"/>
              <w:rPr>
                <w:b/>
                <w:bCs/>
                <w:color w:val="0070C0"/>
                <w:u w:val="single"/>
                <w:lang w:val="fr-FR"/>
              </w:rPr>
            </w:pPr>
            <w:r w:rsidRPr="009F65DD">
              <w:rPr>
                <w:b/>
                <w:bCs/>
                <w:color w:val="0070C0"/>
                <w:u w:val="single"/>
                <w:lang w:val="fr-FR"/>
              </w:rPr>
              <w:t>Objet de l’évaluation</w:t>
            </w:r>
          </w:p>
          <w:p w14:paraId="4A14C802" w14:textId="77777777" w:rsidR="006844D1" w:rsidRPr="009F65DD" w:rsidRDefault="006844D1" w:rsidP="006844D1">
            <w:pPr>
              <w:pStyle w:val="NoSpacing"/>
              <w:jc w:val="both"/>
              <w:rPr>
                <w:rFonts w:ascii="Times New Roman" w:eastAsia="Times New Roman" w:hAnsi="Times New Roman" w:cs="Times New Roman"/>
                <w:sz w:val="20"/>
                <w:szCs w:val="20"/>
                <w:lang w:val="fr-FR"/>
              </w:rPr>
            </w:pPr>
            <w:r w:rsidRPr="009F65DD">
              <w:rPr>
                <w:rFonts w:ascii="Times New Roman" w:eastAsia="Times New Roman" w:hAnsi="Times New Roman" w:cs="Times New Roman"/>
                <w:sz w:val="20"/>
                <w:szCs w:val="20"/>
                <w:lang w:val="fr-FR"/>
              </w:rPr>
              <w:t>Le programme de la protection de l’enfant à UNICEF Djibouti vise à ce que tous les enfants soient protégés contre la violence, l’exploitation et les sévices à travers les résultats suivants :</w:t>
            </w:r>
          </w:p>
          <w:p w14:paraId="1A49C5E0" w14:textId="77777777" w:rsidR="006844D1" w:rsidRPr="009F65DD" w:rsidRDefault="006844D1" w:rsidP="006844D1">
            <w:pPr>
              <w:jc w:val="both"/>
              <w:rPr>
                <w:i/>
                <w:iCs/>
                <w:lang w:val="fr-FR"/>
              </w:rPr>
            </w:pPr>
            <w:bookmarkStart w:id="0" w:name="_Hlk483487026"/>
            <w:bookmarkStart w:id="1" w:name="_Hlk483566915"/>
            <w:r w:rsidRPr="009F65DD">
              <w:rPr>
                <w:b/>
                <w:bCs/>
                <w:color w:val="222222"/>
                <w:u w:val="single"/>
                <w:lang w:val="fr-FR"/>
              </w:rPr>
              <w:t>Effet.</w:t>
            </w:r>
            <w:r w:rsidRPr="009F65DD">
              <w:rPr>
                <w:b/>
                <w:bCs/>
                <w:color w:val="222222"/>
                <w:lang w:val="fr-FR"/>
              </w:rPr>
              <w:t xml:space="preserve"> </w:t>
            </w:r>
            <w:r w:rsidRPr="009F65DD">
              <w:rPr>
                <w:i/>
                <w:iCs/>
                <w:color w:val="222222"/>
                <w:lang w:val="fr-FR"/>
              </w:rPr>
              <w:t>D’ici 2022, les enfants et les adolescents les plus vulnérables des régions défavorisées et/ou en situation d’urgence bénéficient de système de protection holistique de l’enfant, contre les violences et de système de protection sociale, ainsi que les familles et les communautés protègent les enfants contre la violence</w:t>
            </w:r>
            <w:r w:rsidRPr="009F65DD">
              <w:rPr>
                <w:i/>
                <w:iCs/>
                <w:lang w:val="fr-FR"/>
              </w:rPr>
              <w:t>.</w:t>
            </w:r>
            <w:bookmarkEnd w:id="0"/>
          </w:p>
          <w:bookmarkEnd w:id="1"/>
          <w:p w14:paraId="1B38F15A" w14:textId="77777777" w:rsidR="006844D1" w:rsidRPr="009F65DD" w:rsidRDefault="006844D1" w:rsidP="006844D1">
            <w:pPr>
              <w:jc w:val="both"/>
              <w:rPr>
                <w:i/>
                <w:iCs/>
                <w:color w:val="222222"/>
                <w:lang w:val="fr-FR"/>
              </w:rPr>
            </w:pPr>
            <w:r w:rsidRPr="009F65DD">
              <w:rPr>
                <w:b/>
                <w:bCs/>
                <w:u w:val="single"/>
                <w:lang w:val="fr-FR"/>
              </w:rPr>
              <w:t>Produit 1.</w:t>
            </w:r>
            <w:r w:rsidRPr="009F65DD">
              <w:rPr>
                <w:i/>
                <w:iCs/>
                <w:lang w:val="fr-FR"/>
              </w:rPr>
              <w:t xml:space="preserve"> </w:t>
            </w:r>
            <w:r w:rsidRPr="009F65DD">
              <w:rPr>
                <w:i/>
                <w:iCs/>
                <w:color w:val="222222"/>
                <w:lang w:val="fr-FR"/>
              </w:rPr>
              <w:t>Le système de protection de l’enfant a amélioré sa capacité à prévenir et à répondre à la violence contre les filles et les garçons, y compris dans les situations d’urgence.</w:t>
            </w:r>
          </w:p>
          <w:p w14:paraId="728FCE67" w14:textId="77777777" w:rsidR="006844D1" w:rsidRPr="009F65DD" w:rsidRDefault="006844D1" w:rsidP="006844D1">
            <w:pPr>
              <w:jc w:val="both"/>
              <w:rPr>
                <w:i/>
                <w:color w:val="222222"/>
                <w:lang w:val="fr-FR"/>
              </w:rPr>
            </w:pPr>
            <w:r w:rsidRPr="009F65DD">
              <w:rPr>
                <w:b/>
                <w:u w:val="single"/>
                <w:lang w:val="fr-FR"/>
              </w:rPr>
              <w:t>Produit 2.</w:t>
            </w:r>
            <w:r w:rsidRPr="009F65DD">
              <w:rPr>
                <w:i/>
                <w:lang w:val="fr-FR"/>
              </w:rPr>
              <w:t xml:space="preserve"> </w:t>
            </w:r>
            <w:r w:rsidRPr="009F65DD">
              <w:rPr>
                <w:i/>
                <w:color w:val="222222"/>
                <w:lang w:val="fr-FR"/>
              </w:rPr>
              <w:t>Les familles et les parents dans les zones ciblées ont amélioré leurs connaissances et leurs capacités pour prévenir et protéger les enfants contre la violence et la discrimination.</w:t>
            </w:r>
          </w:p>
          <w:p w14:paraId="11EE34EA" w14:textId="77777777" w:rsidR="006844D1" w:rsidRPr="009F65DD" w:rsidRDefault="006844D1" w:rsidP="006844D1">
            <w:pPr>
              <w:pStyle w:val="NoSpacing"/>
              <w:jc w:val="both"/>
              <w:rPr>
                <w:rFonts w:ascii="Times New Roman" w:eastAsia="Times New Roman" w:hAnsi="Times New Roman" w:cs="Times New Roman"/>
                <w:sz w:val="20"/>
                <w:szCs w:val="20"/>
                <w:lang w:val="fr-FR"/>
              </w:rPr>
            </w:pPr>
          </w:p>
          <w:p w14:paraId="7A70B345" w14:textId="77777777" w:rsidR="006844D1" w:rsidRPr="009F65DD" w:rsidRDefault="006844D1" w:rsidP="006844D1">
            <w:pPr>
              <w:pStyle w:val="NoSpacing"/>
              <w:jc w:val="both"/>
              <w:rPr>
                <w:rFonts w:ascii="Times New Roman" w:eastAsia="Times New Roman" w:hAnsi="Times New Roman" w:cs="Times New Roman"/>
                <w:sz w:val="20"/>
                <w:szCs w:val="20"/>
                <w:lang w:val="fr-FR"/>
              </w:rPr>
            </w:pPr>
            <w:r w:rsidRPr="009F65DD">
              <w:rPr>
                <w:rFonts w:ascii="Times New Roman" w:eastAsia="Times New Roman" w:hAnsi="Times New Roman" w:cs="Times New Roman"/>
                <w:sz w:val="20"/>
                <w:szCs w:val="20"/>
                <w:lang w:val="fr-FR"/>
              </w:rPr>
              <w:t xml:space="preserve">Le programme est mis en œuvre par plusieurs partenaires gouvernementaux et non gouvernementaux sur l’ensemble du territoire national pour une durée de 5 ans (cadre de coopération 2018-2022), étendue pour 2 ans (2022-2024). Le budget prévisionnel du programme de protection de l’enfant pour la période 2018-2022 est de 7,478,600 USD. Les principaux partenaires de mise en œuvre du programme sont ceux </w:t>
            </w:r>
            <w:r w:rsidRPr="009F65DD">
              <w:rPr>
                <w:rFonts w:ascii="Times New Roman" w:hAnsi="Times New Roman" w:cs="Times New Roman"/>
                <w:sz w:val="20"/>
                <w:szCs w:val="20"/>
                <w:lang w:val="fr-FR"/>
              </w:rPr>
              <w:t xml:space="preserve">mentionnés plus haut, </w:t>
            </w:r>
            <w:r w:rsidRPr="009F65DD">
              <w:rPr>
                <w:rFonts w:ascii="Times New Roman" w:eastAsia="Times New Roman" w:hAnsi="Times New Roman" w:cs="Times New Roman"/>
                <w:sz w:val="20"/>
                <w:szCs w:val="20"/>
                <w:lang w:val="fr-FR"/>
              </w:rPr>
              <w:t>susceptibles d’utiliser l</w:t>
            </w:r>
            <w:r w:rsidRPr="009F65DD">
              <w:rPr>
                <w:rFonts w:ascii="Times New Roman" w:hAnsi="Times New Roman" w:cs="Times New Roman"/>
                <w:sz w:val="20"/>
                <w:szCs w:val="20"/>
                <w:lang w:val="fr-FR"/>
              </w:rPr>
              <w:t>es résultats et les recommandations de l’évaluation.</w:t>
            </w:r>
          </w:p>
          <w:p w14:paraId="509A5C18" w14:textId="77777777" w:rsidR="006844D1" w:rsidRPr="009F65DD" w:rsidRDefault="006844D1" w:rsidP="006844D1">
            <w:pPr>
              <w:jc w:val="both"/>
              <w:rPr>
                <w:b/>
                <w:bCs/>
                <w:color w:val="0070C0"/>
                <w:u w:val="single"/>
                <w:lang w:val="fr-FR"/>
              </w:rPr>
            </w:pPr>
          </w:p>
          <w:p w14:paraId="4CCBF2A3" w14:textId="77777777" w:rsidR="006844D1" w:rsidRPr="009F65DD" w:rsidRDefault="006844D1" w:rsidP="006844D1">
            <w:pPr>
              <w:jc w:val="both"/>
              <w:rPr>
                <w:b/>
                <w:bCs/>
                <w:color w:val="0070C0"/>
                <w:u w:val="single"/>
                <w:lang w:val="fr-FR"/>
              </w:rPr>
            </w:pPr>
            <w:r w:rsidRPr="009F65DD">
              <w:rPr>
                <w:b/>
                <w:bCs/>
                <w:color w:val="0070C0"/>
                <w:u w:val="single"/>
                <w:lang w:val="fr-FR"/>
              </w:rPr>
              <w:t xml:space="preserve">Les objectifs spécifiques de l’évaluation sont : </w:t>
            </w:r>
          </w:p>
          <w:p w14:paraId="472842F6" w14:textId="77777777" w:rsidR="006844D1" w:rsidRPr="009F65DD" w:rsidRDefault="006844D1" w:rsidP="00F7233C">
            <w:pPr>
              <w:numPr>
                <w:ilvl w:val="0"/>
                <w:numId w:val="2"/>
              </w:numPr>
              <w:autoSpaceDE w:val="0"/>
              <w:autoSpaceDN w:val="0"/>
              <w:adjustRightInd w:val="0"/>
              <w:jc w:val="both"/>
              <w:rPr>
                <w:lang w:val="fr-FR"/>
              </w:rPr>
            </w:pPr>
            <w:r w:rsidRPr="009F65DD">
              <w:rPr>
                <w:lang w:val="fr-FR"/>
              </w:rPr>
              <w:lastRenderedPageBreak/>
              <w:t>Dresser un bilan de l’état d’avancement et des réalisations faîtes dans la mise en œuvre du programme à partir de 2018 et mesurer les progrès accomplis par rapport aux résultats attendus y compris la réponse aux urgences et à la pandémie de la COVID-19. Les liens entre les résultats de chaque composante du programme de protection de l’enfant d’une part et entre les différents programmes qui composent le programme de coopération dans son ensemble d’autre part doivent être observés dans ce bilan. Il s’agira de voir aussi la manière dont les résultats atteints ont permis de réduire l’écart en matière de genre et d’équité et de quelle manière le programme a bénéficié aux plus vulnérables.</w:t>
            </w:r>
          </w:p>
          <w:p w14:paraId="6E9DB8D9" w14:textId="77777777" w:rsidR="006844D1" w:rsidRPr="009F65DD" w:rsidRDefault="006844D1" w:rsidP="00F7233C">
            <w:pPr>
              <w:numPr>
                <w:ilvl w:val="0"/>
                <w:numId w:val="2"/>
              </w:numPr>
              <w:autoSpaceDE w:val="0"/>
              <w:autoSpaceDN w:val="0"/>
              <w:adjustRightInd w:val="0"/>
              <w:jc w:val="both"/>
              <w:rPr>
                <w:lang w:val="fr-FR"/>
              </w:rPr>
            </w:pPr>
            <w:r w:rsidRPr="009F65DD">
              <w:rPr>
                <w:lang w:val="fr-FR"/>
              </w:rPr>
              <w:t>Répondre aux questions d’évaluation telles que énumérées ci-dessous (voir Critères et questions d’évaluation).</w:t>
            </w:r>
          </w:p>
          <w:p w14:paraId="33C942BC" w14:textId="77777777" w:rsidR="006844D1" w:rsidRPr="009F65DD" w:rsidRDefault="006844D1" w:rsidP="00F7233C">
            <w:pPr>
              <w:numPr>
                <w:ilvl w:val="0"/>
                <w:numId w:val="2"/>
              </w:numPr>
              <w:autoSpaceDE w:val="0"/>
              <w:autoSpaceDN w:val="0"/>
              <w:adjustRightInd w:val="0"/>
              <w:jc w:val="both"/>
              <w:rPr>
                <w:lang w:val="fr-FR"/>
              </w:rPr>
            </w:pPr>
            <w:r w:rsidRPr="009F65DD">
              <w:rPr>
                <w:lang w:val="fr-FR"/>
              </w:rPr>
              <w:t>Formuler des recommandations spécifiques sur la réorientation du programme de protection de l’enfant, couvrant les aspects de planification, mise en œuvre et suivi.</w:t>
            </w:r>
          </w:p>
          <w:p w14:paraId="4B120156" w14:textId="77777777" w:rsidR="006844D1" w:rsidRPr="009F65DD" w:rsidRDefault="006844D1" w:rsidP="00F7233C">
            <w:pPr>
              <w:numPr>
                <w:ilvl w:val="0"/>
                <w:numId w:val="2"/>
              </w:numPr>
              <w:autoSpaceDE w:val="0"/>
              <w:autoSpaceDN w:val="0"/>
              <w:adjustRightInd w:val="0"/>
              <w:jc w:val="both"/>
              <w:rPr>
                <w:lang w:val="fr-FR"/>
              </w:rPr>
            </w:pPr>
            <w:r w:rsidRPr="009F65DD">
              <w:rPr>
                <w:lang w:val="fr-FR"/>
              </w:rPr>
              <w:t xml:space="preserve">Identifier les leçons apprises de la mise en œuvre du programme, ce qui a constitué un succès et qu’est-ce qui n’a pas marché ? Quelles leçons peut-on tirer des échecs ? </w:t>
            </w:r>
          </w:p>
          <w:p w14:paraId="5ACCA4C6" w14:textId="77777777" w:rsidR="009F65DD" w:rsidRPr="009F65DD" w:rsidRDefault="009F65DD" w:rsidP="006844D1">
            <w:pPr>
              <w:jc w:val="both"/>
              <w:rPr>
                <w:b/>
                <w:bCs/>
                <w:color w:val="0070C0"/>
                <w:u w:val="single"/>
                <w:lang w:val="fr-FR"/>
              </w:rPr>
            </w:pPr>
          </w:p>
          <w:p w14:paraId="0CCA0E52" w14:textId="0DB45925" w:rsidR="006844D1" w:rsidRPr="009F65DD" w:rsidRDefault="006844D1" w:rsidP="006844D1">
            <w:pPr>
              <w:jc w:val="both"/>
              <w:rPr>
                <w:b/>
                <w:bCs/>
                <w:color w:val="0070C0"/>
                <w:lang w:val="fr-FR"/>
              </w:rPr>
            </w:pPr>
            <w:r w:rsidRPr="009F65DD">
              <w:rPr>
                <w:b/>
                <w:bCs/>
                <w:color w:val="0070C0"/>
                <w:u w:val="single"/>
                <w:lang w:val="fr-FR"/>
              </w:rPr>
              <w:t xml:space="preserve">Etendue de l’évaluation : </w:t>
            </w:r>
          </w:p>
          <w:p w14:paraId="3E941D9B" w14:textId="77777777" w:rsidR="006844D1" w:rsidRPr="009F65DD" w:rsidRDefault="006844D1" w:rsidP="006844D1">
            <w:pPr>
              <w:jc w:val="both"/>
              <w:rPr>
                <w:lang w:val="fr-FR"/>
              </w:rPr>
            </w:pPr>
            <w:r w:rsidRPr="009F65DD">
              <w:rPr>
                <w:lang w:val="fr-FR"/>
              </w:rPr>
              <w:t>L’évaluation couvrira l’ensemble du territoire national. Elle concerne la période allant de 2018</w:t>
            </w:r>
            <w:r w:rsidRPr="009F65DD">
              <w:rPr>
                <w:rStyle w:val="FootnoteReference"/>
              </w:rPr>
              <w:footnoteReference w:id="4"/>
            </w:r>
            <w:r w:rsidRPr="009F65DD">
              <w:rPr>
                <w:lang w:val="fr-FR"/>
              </w:rPr>
              <w:t xml:space="preserve"> jusqu’à 2022. Une attention particulière sera donnée aux enfants et aux femmes vulnérables ainsi qu’aux populations à besoins spécifiques et aux zones géographiques rurales et péri-urbaines défavorisées. L’évaluation cherchera à savoir si les résultats atteints ou pas atteints en matière de protection de l’enfant sont attribuables à l’UNICEF. Le programme est composé des sous-composantes suivantes qui feront l’objet de l’évaluation :</w:t>
            </w:r>
          </w:p>
          <w:p w14:paraId="53409787" w14:textId="77777777" w:rsidR="006844D1" w:rsidRPr="009F65DD" w:rsidRDefault="006844D1" w:rsidP="006844D1">
            <w:pPr>
              <w:jc w:val="both"/>
              <w:rPr>
                <w:lang w:val="fr-FR"/>
              </w:rPr>
            </w:pPr>
          </w:p>
          <w:p w14:paraId="7001F62C" w14:textId="77777777" w:rsidR="006844D1" w:rsidRPr="009F65DD" w:rsidRDefault="006844D1" w:rsidP="00F7233C">
            <w:pPr>
              <w:numPr>
                <w:ilvl w:val="0"/>
                <w:numId w:val="4"/>
              </w:numPr>
              <w:jc w:val="both"/>
              <w:rPr>
                <w:lang w:val="fr-FR"/>
              </w:rPr>
            </w:pPr>
            <w:r w:rsidRPr="009F65DD">
              <w:rPr>
                <w:lang w:val="fr-FR"/>
              </w:rPr>
              <w:t xml:space="preserve">La sous-composante renforcement du système de protection de l’enfant pour prévenir et répondre aux violences faîtes aux enfants sera évaluée à travers la revue du cadre politique et législatif, la prestation des services de prévention et de réponse à la violence contre les enfants, le système de justice adapté aux besoins des enfants ainsi que la prise en charge des enfants et femmes en situation de déplacement. </w:t>
            </w:r>
          </w:p>
          <w:p w14:paraId="164DF7EA" w14:textId="77777777" w:rsidR="006844D1" w:rsidRPr="009F65DD" w:rsidRDefault="006844D1" w:rsidP="00F7233C">
            <w:pPr>
              <w:numPr>
                <w:ilvl w:val="0"/>
                <w:numId w:val="4"/>
              </w:numPr>
              <w:jc w:val="both"/>
              <w:rPr>
                <w:lang w:val="fr-FR"/>
              </w:rPr>
            </w:pPr>
            <w:r w:rsidRPr="009F65DD">
              <w:rPr>
                <w:lang w:val="fr-FR"/>
              </w:rPr>
              <w:t>La sous-composante lutte contre les Mutilations Génitales Féminines (MGF) sera évaluée à travers la revue des stratégies, du cadre politique et législatif, la coordination intersectorielle, le renforcement des capacités communautaires à prévenir et protéger les enfants contre la violence et la discrimination.</w:t>
            </w:r>
          </w:p>
          <w:p w14:paraId="482C7E49" w14:textId="77777777" w:rsidR="006844D1" w:rsidRPr="009F65DD" w:rsidRDefault="006844D1" w:rsidP="006844D1">
            <w:pPr>
              <w:jc w:val="both"/>
              <w:rPr>
                <w:lang w:val="fr-FR"/>
              </w:rPr>
            </w:pPr>
            <w:r w:rsidRPr="009F65DD">
              <w:rPr>
                <w:lang w:val="fr-FR"/>
              </w:rPr>
              <w:t xml:space="preserve">Le changement social et comportemental (CSC) sera évalué de manière transversale à toutes les sous-composantes du programme de protection de l’enfant. L’évaluation s’intéressera à quatre niveaux du cadre des évaluations des programmes de développement à savoir le degré de participation des bénéficiaires au programme, l’acquisition des connaissances et des capacités des bénéficiaires aussi bien au niveau individuel qu’au niveau institutionnel, le changement des comportements des bénéficiaires au niveau individuel et institutionnel. </w:t>
            </w:r>
          </w:p>
          <w:p w14:paraId="6DF58BC9" w14:textId="77777777" w:rsidR="006844D1" w:rsidRPr="009F65DD" w:rsidRDefault="006844D1" w:rsidP="006844D1">
            <w:pPr>
              <w:pStyle w:val="numberedpara"/>
              <w:numPr>
                <w:ilvl w:val="0"/>
                <w:numId w:val="0"/>
              </w:numPr>
              <w:spacing w:after="0" w:line="240" w:lineRule="auto"/>
              <w:rPr>
                <w:rFonts w:ascii="Times New Roman" w:hAnsi="Times New Roman" w:cs="Times New Roman"/>
                <w:b/>
                <w:bCs/>
                <w:color w:val="0070C0"/>
                <w:sz w:val="20"/>
                <w:szCs w:val="20"/>
                <w:u w:val="single"/>
                <w:lang w:val="fr-FR"/>
              </w:rPr>
            </w:pPr>
          </w:p>
          <w:p w14:paraId="1DB365C3" w14:textId="000092FD" w:rsidR="009F22E4" w:rsidRPr="009F65DD" w:rsidRDefault="006844D1" w:rsidP="006844D1">
            <w:pPr>
              <w:pStyle w:val="numberedpara"/>
              <w:numPr>
                <w:ilvl w:val="0"/>
                <w:numId w:val="0"/>
              </w:numPr>
              <w:spacing w:after="0" w:line="240" w:lineRule="auto"/>
              <w:rPr>
                <w:rFonts w:ascii="Times New Roman" w:eastAsia="Times New Roman" w:hAnsi="Times New Roman" w:cs="Times New Roman"/>
                <w:color w:val="auto"/>
                <w:shd w:val="clear" w:color="auto" w:fill="auto"/>
                <w:lang w:val="fr-FR"/>
              </w:rPr>
            </w:pPr>
            <w:r w:rsidRPr="009F65DD">
              <w:rPr>
                <w:rFonts w:ascii="Times New Roman" w:hAnsi="Times New Roman" w:cs="Times New Roman"/>
                <w:b/>
                <w:bCs/>
                <w:color w:val="0070C0"/>
                <w:sz w:val="20"/>
                <w:szCs w:val="20"/>
                <w:u w:val="single"/>
                <w:lang w:val="fr-FR"/>
              </w:rPr>
              <w:t>Utilisation de l’évaluation :</w:t>
            </w:r>
            <w:r w:rsidRPr="009F65DD">
              <w:rPr>
                <w:rFonts w:ascii="Times New Roman" w:hAnsi="Times New Roman" w:cs="Times New Roman"/>
                <w:b/>
                <w:bCs/>
                <w:color w:val="0070C0"/>
                <w:sz w:val="20"/>
                <w:szCs w:val="20"/>
                <w:lang w:val="fr-FR"/>
              </w:rPr>
              <w:t xml:space="preserve"> </w:t>
            </w:r>
            <w:r w:rsidRPr="009F65DD">
              <w:rPr>
                <w:rFonts w:ascii="Times New Roman" w:eastAsiaTheme="minorEastAsia" w:hAnsi="Times New Roman" w:cs="Times New Roman"/>
                <w:color w:val="auto"/>
                <w:sz w:val="20"/>
                <w:szCs w:val="20"/>
                <w:shd w:val="clear" w:color="auto" w:fill="auto"/>
                <w:lang w:val="fr-FR"/>
              </w:rPr>
              <w:t>Le rapport de l’évaluation permettra à l’UNICEF et ses partenaires notamment les parties institutionnelles d’ajuster ce programme avec les objectifs du nouveau plan stratégique de l’UNICEF et du plan national de développement (Djibouti ICI) et prendre en considération les éventuelles réalités émergentes relatives au secteur de la protection de l’enfant.</w:t>
            </w:r>
          </w:p>
        </w:tc>
      </w:tr>
      <w:tr w:rsidR="008A7A74" w:rsidRPr="004D5FF0" w14:paraId="3A85C062" w14:textId="77777777" w:rsidTr="00F13CBE">
        <w:trPr>
          <w:trHeight w:val="1800"/>
        </w:trPr>
        <w:tc>
          <w:tcPr>
            <w:tcW w:w="9887" w:type="dxa"/>
            <w:gridSpan w:val="9"/>
            <w:tcBorders>
              <w:top w:val="single" w:sz="4" w:space="0" w:color="auto"/>
            </w:tcBorders>
            <w:shd w:val="clear" w:color="auto" w:fill="auto"/>
            <w:noWrap/>
          </w:tcPr>
          <w:p w14:paraId="4EF91563" w14:textId="77777777" w:rsidR="008A7A74" w:rsidRPr="009F65DD" w:rsidRDefault="008A7A74" w:rsidP="008A7A74">
            <w:pPr>
              <w:pStyle w:val="numberedpara"/>
              <w:numPr>
                <w:ilvl w:val="0"/>
                <w:numId w:val="0"/>
              </w:numPr>
              <w:spacing w:after="0" w:line="240" w:lineRule="auto"/>
              <w:rPr>
                <w:rFonts w:ascii="Times New Roman" w:eastAsia="Times New Roman" w:hAnsi="Times New Roman" w:cs="Times New Roman"/>
                <w:b/>
                <w:bCs/>
                <w:color w:val="0070C0"/>
                <w:sz w:val="20"/>
                <w:szCs w:val="20"/>
                <w:shd w:val="clear" w:color="auto" w:fill="auto"/>
                <w:lang w:val="fr-FR"/>
              </w:rPr>
            </w:pPr>
            <w:r w:rsidRPr="009F65DD">
              <w:rPr>
                <w:rFonts w:ascii="Times New Roman" w:eastAsia="Times New Roman" w:hAnsi="Times New Roman" w:cs="Times New Roman"/>
                <w:b/>
                <w:bCs/>
                <w:color w:val="0070C0"/>
                <w:sz w:val="20"/>
                <w:szCs w:val="20"/>
                <w:shd w:val="clear" w:color="auto" w:fill="auto"/>
                <w:lang w:val="fr-FR"/>
              </w:rPr>
              <w:lastRenderedPageBreak/>
              <w:t>Méthodologie</w:t>
            </w:r>
            <w:r w:rsidRPr="009F65DD">
              <w:rPr>
                <w:rStyle w:val="FootnoteReference"/>
                <w:rFonts w:ascii="Times New Roman" w:eastAsia="Times New Roman" w:hAnsi="Times New Roman" w:cs="Times New Roman"/>
                <w:b/>
                <w:bCs/>
                <w:color w:val="0070C0"/>
                <w:sz w:val="20"/>
                <w:szCs w:val="20"/>
                <w:shd w:val="clear" w:color="auto" w:fill="auto"/>
                <w:lang w:val="fr-FR"/>
              </w:rPr>
              <w:footnoteReference w:id="5"/>
            </w:r>
          </w:p>
          <w:p w14:paraId="44B64989" w14:textId="77777777" w:rsidR="008A7A74" w:rsidRPr="009F65DD" w:rsidRDefault="008A7A74" w:rsidP="008A7A74">
            <w:pPr>
              <w:keepNext/>
              <w:jc w:val="both"/>
              <w:outlineLvl w:val="1"/>
              <w:rPr>
                <w:lang w:val="fr-FR"/>
              </w:rPr>
            </w:pPr>
            <w:r w:rsidRPr="009F65DD">
              <w:rPr>
                <w:bCs/>
                <w:lang w:val="fr-FR"/>
              </w:rPr>
              <w:t xml:space="preserve">L’évaluation du programme est formative. L’évaluation utilisera des méthodologies variées, elle s’attèlera tant à la collecte des données secondaires à travers la documentation incluant des documents de planification tels que l’analyse de la situation, le Document cadre du Programme (CPD), les notes stratégiques, les plans d’actions mais aussi des rapports de suivi, de supervision, des rapports annuels, des rapports des revues (annuelles et à mi-parcours). Les données secondaires incluent les études et les évaluations menées par l’UNICEF et les partenaires de mise en œuvre ou de développement. </w:t>
            </w:r>
            <w:r w:rsidRPr="009F65DD">
              <w:rPr>
                <w:lang w:val="fr-FR"/>
              </w:rPr>
              <w:t xml:space="preserve">L’évaluation collectera les données de base directement sur le terrain par l’équipe de l’évaluation et auprès des parties prenantes. Les consultants élaboreront la matrice d’évaluation dans laquelle ils proposeront les méthodes de collecte et d’analyse pour chaque question d’évaluation. </w:t>
            </w:r>
          </w:p>
          <w:p w14:paraId="202FF885" w14:textId="77777777" w:rsidR="008A7A74" w:rsidRPr="009F65DD" w:rsidRDefault="008A7A74" w:rsidP="008A7A74">
            <w:pPr>
              <w:keepNext/>
              <w:jc w:val="both"/>
              <w:outlineLvl w:val="1"/>
              <w:rPr>
                <w:lang w:val="fr-FR"/>
              </w:rPr>
            </w:pPr>
            <w:r w:rsidRPr="009F65DD">
              <w:rPr>
                <w:lang w:val="fr-FR"/>
              </w:rPr>
              <w:t xml:space="preserve">Les méthodes utilisées pour la collecte des données doivent mener à la recherche des réponses aux questions d’évaluation listées ci-dessous. </w:t>
            </w:r>
          </w:p>
          <w:p w14:paraId="6B5DC16F" w14:textId="77777777" w:rsidR="008A7A74" w:rsidRPr="009F65DD" w:rsidRDefault="008A7A74" w:rsidP="009F65DD">
            <w:pPr>
              <w:adjustRightInd w:val="0"/>
              <w:snapToGrid w:val="0"/>
              <w:jc w:val="both"/>
              <w:rPr>
                <w:lang w:val="fr-FR"/>
              </w:rPr>
            </w:pPr>
            <w:r w:rsidRPr="009F65DD">
              <w:rPr>
                <w:lang w:val="fr-FR"/>
              </w:rPr>
              <w:lastRenderedPageBreak/>
              <w:t>La méthodologie de l’évaluation doit être en ligne avec l’approche basée sur les droits humains et le genre avec un accent particulier sur l’équité. La méthodologie décrite ci-dessus est indicative ; dans les propositions techniques, les candidats pourront introduire les ajustements/compléments qui leur paraissent pertinents par rapport à la méthodologie de l’évaluation afin d’atteindre les objectifs attendus. Il est par conséquent demandé aux consultants de soumettre une proposition technique décrivant la méthodologie de l’évaluation qui inclura les indicateurs pour mesurer les critères énumérés ci-dessous. L’évaluation suivra les normes standards pour les évaluations de l’UNEG ainsi que la guidance concernant l’éthique des évaluations.</w:t>
            </w:r>
          </w:p>
          <w:p w14:paraId="06D2A53B" w14:textId="77777777" w:rsidR="008A7A74" w:rsidRPr="009F65DD" w:rsidRDefault="008A7A74" w:rsidP="008A7A74">
            <w:pPr>
              <w:pStyle w:val="numberedpara"/>
              <w:numPr>
                <w:ilvl w:val="0"/>
                <w:numId w:val="0"/>
              </w:numPr>
              <w:spacing w:after="0" w:line="240" w:lineRule="auto"/>
              <w:rPr>
                <w:rFonts w:ascii="Times New Roman" w:eastAsia="Times New Roman" w:hAnsi="Times New Roman" w:cs="Times New Roman"/>
                <w:b/>
                <w:bCs/>
                <w:color w:val="0070C0"/>
                <w:sz w:val="20"/>
                <w:szCs w:val="20"/>
                <w:shd w:val="clear" w:color="auto" w:fill="auto"/>
                <w:lang w:val="fr-FR"/>
              </w:rPr>
            </w:pPr>
          </w:p>
          <w:p w14:paraId="5A197D1B" w14:textId="77777777" w:rsidR="008A7A74" w:rsidRPr="009F65DD" w:rsidRDefault="008A7A74" w:rsidP="008A7A74">
            <w:pPr>
              <w:pStyle w:val="numberedpara"/>
              <w:numPr>
                <w:ilvl w:val="0"/>
                <w:numId w:val="0"/>
              </w:numPr>
              <w:spacing w:after="0" w:line="240" w:lineRule="auto"/>
              <w:rPr>
                <w:rFonts w:ascii="Times New Roman" w:eastAsiaTheme="minorEastAsia" w:hAnsi="Times New Roman" w:cs="Times New Roman"/>
                <w:color w:val="auto"/>
                <w:sz w:val="20"/>
                <w:szCs w:val="20"/>
                <w:shd w:val="clear" w:color="auto" w:fill="auto"/>
                <w:lang w:val="fr-FR" w:eastAsia="zh-CN"/>
              </w:rPr>
            </w:pPr>
            <w:r w:rsidRPr="009F65DD">
              <w:rPr>
                <w:rFonts w:ascii="Times New Roman" w:eastAsia="Times New Roman" w:hAnsi="Times New Roman" w:cs="Times New Roman"/>
                <w:b/>
                <w:bCs/>
                <w:color w:val="0070C0"/>
                <w:sz w:val="20"/>
                <w:szCs w:val="20"/>
                <w:shd w:val="clear" w:color="auto" w:fill="auto"/>
                <w:lang w:val="fr-FR"/>
              </w:rPr>
              <w:t xml:space="preserve">Conduite éthique de l’évaluation : </w:t>
            </w:r>
            <w:r w:rsidRPr="009F65DD">
              <w:rPr>
                <w:rFonts w:ascii="Times New Roman" w:eastAsiaTheme="minorEastAsia" w:hAnsi="Times New Roman" w:cs="Times New Roman"/>
                <w:color w:val="auto"/>
                <w:sz w:val="20"/>
                <w:szCs w:val="20"/>
                <w:shd w:val="clear" w:color="auto" w:fill="auto"/>
                <w:lang w:val="fr-FR" w:eastAsia="zh-CN"/>
              </w:rPr>
              <w:t>L’évaluation des interventions de développement appuyées par les Nations Unies en général et l’UNICEF en particulier, doivent être indépendantes, impartiales et rigoureuses. Chaque évaluation doit clairement contribuer à l’apprentissage et la redevabilité. Ainsi donc, l’équipe des évaluateurs doit être intègre personnellement et professionnellement et être guidée par les principes de rigueur dans le cadre de la conduite de cet exercice.</w:t>
            </w:r>
          </w:p>
          <w:p w14:paraId="1EE16940" w14:textId="77777777" w:rsidR="008A7A74" w:rsidRPr="009F65DD" w:rsidRDefault="008A7A74" w:rsidP="008A7A74">
            <w:pPr>
              <w:pStyle w:val="numberedpara"/>
              <w:numPr>
                <w:ilvl w:val="0"/>
                <w:numId w:val="0"/>
              </w:numPr>
              <w:spacing w:after="0" w:line="240" w:lineRule="auto"/>
              <w:rPr>
                <w:rFonts w:ascii="Times New Roman" w:eastAsia="Times New Roman" w:hAnsi="Times New Roman" w:cs="Times New Roman"/>
                <w:b/>
                <w:bCs/>
                <w:color w:val="0070C0"/>
                <w:sz w:val="20"/>
                <w:szCs w:val="20"/>
                <w:shd w:val="clear" w:color="auto" w:fill="auto"/>
                <w:lang w:val="fr-FR"/>
              </w:rPr>
            </w:pPr>
            <w:bookmarkStart w:id="2" w:name="_Toc23239407"/>
            <w:bookmarkStart w:id="3" w:name="_Toc29330347"/>
            <w:bookmarkStart w:id="4" w:name="_Toc54888686"/>
            <w:bookmarkStart w:id="5" w:name="_Hlk28086872"/>
          </w:p>
          <w:p w14:paraId="488F7A11" w14:textId="77777777" w:rsidR="008A7A74" w:rsidRPr="009F65DD" w:rsidRDefault="008A7A74" w:rsidP="008A7A74">
            <w:pPr>
              <w:pStyle w:val="numberedpara"/>
              <w:numPr>
                <w:ilvl w:val="0"/>
                <w:numId w:val="0"/>
              </w:numPr>
              <w:spacing w:after="0" w:line="240" w:lineRule="auto"/>
              <w:rPr>
                <w:rFonts w:ascii="Times New Roman" w:eastAsiaTheme="minorEastAsia" w:hAnsi="Times New Roman" w:cs="Times New Roman"/>
                <w:color w:val="auto"/>
                <w:sz w:val="20"/>
                <w:szCs w:val="20"/>
                <w:shd w:val="clear" w:color="auto" w:fill="auto"/>
                <w:lang w:val="fr-FR" w:eastAsia="zh-CN"/>
              </w:rPr>
            </w:pPr>
            <w:r w:rsidRPr="009F65DD">
              <w:rPr>
                <w:rFonts w:ascii="Times New Roman" w:eastAsia="Times New Roman" w:hAnsi="Times New Roman" w:cs="Times New Roman"/>
                <w:b/>
                <w:bCs/>
                <w:color w:val="0070C0"/>
                <w:sz w:val="20"/>
                <w:szCs w:val="20"/>
                <w:shd w:val="clear" w:color="auto" w:fill="auto"/>
                <w:lang w:val="fr-FR"/>
              </w:rPr>
              <w:t>Conformité à la procédure de l’UNICEF pour les normes éthiques en matière de recherche, d’évaluation, de collecte et d’analyse de données</w:t>
            </w:r>
            <w:bookmarkStart w:id="6" w:name="_Toc54888658"/>
            <w:bookmarkEnd w:id="2"/>
            <w:bookmarkEnd w:id="3"/>
            <w:bookmarkEnd w:id="4"/>
            <w:bookmarkEnd w:id="5"/>
            <w:r w:rsidRPr="009F65DD">
              <w:rPr>
                <w:rFonts w:ascii="Times New Roman" w:eastAsia="Times New Roman" w:hAnsi="Times New Roman" w:cs="Times New Roman"/>
                <w:b/>
                <w:bCs/>
                <w:color w:val="0070C0"/>
                <w:sz w:val="20"/>
                <w:szCs w:val="20"/>
                <w:shd w:val="clear" w:color="auto" w:fill="auto"/>
                <w:lang w:val="fr-FR"/>
              </w:rPr>
              <w:t xml:space="preserve"> : </w:t>
            </w:r>
            <w:r w:rsidRPr="009F65DD">
              <w:rPr>
                <w:rFonts w:ascii="Times New Roman" w:eastAsiaTheme="minorEastAsia" w:hAnsi="Times New Roman" w:cs="Times New Roman"/>
                <w:color w:val="auto"/>
                <w:sz w:val="20"/>
                <w:szCs w:val="20"/>
                <w:shd w:val="clear" w:color="auto" w:fill="auto"/>
                <w:lang w:val="fr-FR" w:eastAsia="zh-CN"/>
              </w:rPr>
              <w:t xml:space="preserve">Les évaluateurs adopteront un ensemble de mesures pour se conformer à la procédure de l’UNICEF en matière de normes éthiques et en matière de recherche, d’évaluation, de collecte de données et d’analyse. </w:t>
            </w:r>
          </w:p>
          <w:p w14:paraId="434AB265" w14:textId="77777777" w:rsidR="008A7A74" w:rsidRPr="009F65DD" w:rsidRDefault="008A7A74" w:rsidP="008A7A74">
            <w:pPr>
              <w:pStyle w:val="numberedpara"/>
              <w:numPr>
                <w:ilvl w:val="0"/>
                <w:numId w:val="0"/>
              </w:numPr>
              <w:spacing w:after="0" w:line="240" w:lineRule="auto"/>
              <w:rPr>
                <w:rFonts w:ascii="Times New Roman" w:eastAsia="Times New Roman" w:hAnsi="Times New Roman" w:cs="Times New Roman"/>
                <w:b/>
                <w:bCs/>
                <w:color w:val="0070C0"/>
                <w:sz w:val="20"/>
                <w:szCs w:val="20"/>
                <w:shd w:val="clear" w:color="auto" w:fill="auto"/>
                <w:lang w:val="fr-FR"/>
              </w:rPr>
            </w:pPr>
          </w:p>
          <w:p w14:paraId="23AAACD4" w14:textId="77777777" w:rsidR="008A7A74" w:rsidRPr="009F65DD" w:rsidRDefault="008A7A74" w:rsidP="008A7A74">
            <w:pPr>
              <w:pStyle w:val="numberedpara"/>
              <w:numPr>
                <w:ilvl w:val="0"/>
                <w:numId w:val="0"/>
              </w:numPr>
              <w:spacing w:after="0" w:line="240" w:lineRule="auto"/>
              <w:rPr>
                <w:rFonts w:ascii="Times New Roman" w:hAnsi="Times New Roman" w:cs="Times New Roman"/>
                <w:b/>
                <w:bCs/>
                <w:sz w:val="20"/>
                <w:szCs w:val="20"/>
                <w:lang w:val="fr-FR"/>
              </w:rPr>
            </w:pPr>
            <w:r w:rsidRPr="009F65DD">
              <w:rPr>
                <w:rFonts w:ascii="Times New Roman" w:eastAsia="Times New Roman" w:hAnsi="Times New Roman" w:cs="Times New Roman"/>
                <w:b/>
                <w:bCs/>
                <w:color w:val="0070C0"/>
                <w:sz w:val="20"/>
                <w:szCs w:val="20"/>
                <w:shd w:val="clear" w:color="auto" w:fill="auto"/>
                <w:lang w:val="fr-FR"/>
              </w:rPr>
              <w:t>Egalité de genre</w:t>
            </w:r>
            <w:bookmarkEnd w:id="6"/>
            <w:r w:rsidRPr="009F65DD">
              <w:rPr>
                <w:rFonts w:ascii="Times New Roman" w:eastAsia="Times New Roman" w:hAnsi="Times New Roman" w:cs="Times New Roman"/>
                <w:b/>
                <w:bCs/>
                <w:color w:val="0070C0"/>
                <w:sz w:val="20"/>
                <w:szCs w:val="20"/>
                <w:shd w:val="clear" w:color="auto" w:fill="auto"/>
                <w:lang w:val="fr-FR"/>
              </w:rPr>
              <w:t xml:space="preserve"> : </w:t>
            </w:r>
            <w:r w:rsidRPr="009F65DD">
              <w:rPr>
                <w:rFonts w:ascii="Times New Roman" w:eastAsiaTheme="minorEastAsia" w:hAnsi="Times New Roman" w:cs="Times New Roman"/>
                <w:color w:val="auto"/>
                <w:sz w:val="20"/>
                <w:szCs w:val="20"/>
                <w:shd w:val="clear" w:color="auto" w:fill="auto"/>
                <w:lang w:val="fr-FR" w:eastAsia="zh-CN"/>
              </w:rPr>
              <w:t>L’équipe des évaluateurs devrait proposer une approche pour voir l’aspect du genre dans le programme « protection de l’enfant », ainsi que faire une analyse pour voir s’il y a des disparités en termes de genre entre les garçons et les filles.</w:t>
            </w:r>
            <w:r w:rsidRPr="009F65DD">
              <w:rPr>
                <w:rFonts w:ascii="Times New Roman" w:hAnsi="Times New Roman" w:cs="Times New Roman"/>
                <w:b/>
                <w:bCs/>
                <w:sz w:val="20"/>
                <w:szCs w:val="20"/>
                <w:lang w:val="fr-FR"/>
              </w:rPr>
              <w:t xml:space="preserve"> </w:t>
            </w:r>
            <w:bookmarkStart w:id="7" w:name="_Toc54888659"/>
          </w:p>
          <w:p w14:paraId="65B4F636" w14:textId="77777777" w:rsidR="008A7A74" w:rsidRPr="009F65DD" w:rsidRDefault="008A7A74" w:rsidP="008A7A74">
            <w:pPr>
              <w:pStyle w:val="Heading2"/>
              <w:spacing w:before="0"/>
              <w:jc w:val="both"/>
              <w:rPr>
                <w:rFonts w:ascii="Times New Roman" w:hAnsi="Times New Roman" w:cs="Times New Roman"/>
                <w:sz w:val="20"/>
                <w:szCs w:val="20"/>
                <w:lang w:val="fr-FR"/>
              </w:rPr>
            </w:pPr>
          </w:p>
          <w:p w14:paraId="6A567478" w14:textId="77777777" w:rsidR="008A7A74" w:rsidRPr="009F65DD" w:rsidRDefault="008A7A74" w:rsidP="008A7A74">
            <w:pPr>
              <w:pStyle w:val="numberedpara"/>
              <w:numPr>
                <w:ilvl w:val="0"/>
                <w:numId w:val="0"/>
              </w:numPr>
              <w:spacing w:after="0" w:line="240" w:lineRule="auto"/>
              <w:rPr>
                <w:rFonts w:ascii="Times New Roman" w:eastAsiaTheme="minorEastAsia" w:hAnsi="Times New Roman" w:cs="Times New Roman"/>
                <w:color w:val="auto"/>
                <w:sz w:val="20"/>
                <w:szCs w:val="20"/>
                <w:shd w:val="clear" w:color="auto" w:fill="auto"/>
                <w:lang w:val="fr-FR" w:eastAsia="zh-CN"/>
              </w:rPr>
            </w:pPr>
            <w:r w:rsidRPr="009F65DD">
              <w:rPr>
                <w:rFonts w:ascii="Times New Roman" w:eastAsia="Times New Roman" w:hAnsi="Times New Roman" w:cs="Times New Roman"/>
                <w:b/>
                <w:bCs/>
                <w:color w:val="0070C0"/>
                <w:sz w:val="20"/>
                <w:szCs w:val="20"/>
                <w:shd w:val="clear" w:color="auto" w:fill="auto"/>
                <w:lang w:val="fr-FR"/>
              </w:rPr>
              <w:t>Promotion de l’équité</w:t>
            </w:r>
            <w:bookmarkEnd w:id="7"/>
            <w:r w:rsidRPr="009F65DD">
              <w:rPr>
                <w:rFonts w:ascii="Times New Roman" w:eastAsia="Times New Roman" w:hAnsi="Times New Roman" w:cs="Times New Roman"/>
                <w:b/>
                <w:bCs/>
                <w:color w:val="0070C0"/>
                <w:sz w:val="20"/>
                <w:szCs w:val="20"/>
                <w:shd w:val="clear" w:color="auto" w:fill="auto"/>
                <w:lang w:val="fr-FR"/>
              </w:rPr>
              <w:t xml:space="preserve"> : </w:t>
            </w:r>
            <w:r w:rsidRPr="009F65DD">
              <w:rPr>
                <w:rFonts w:ascii="Times New Roman" w:eastAsiaTheme="minorEastAsia" w:hAnsi="Times New Roman" w:cs="Times New Roman"/>
                <w:color w:val="auto"/>
                <w:sz w:val="20"/>
                <w:szCs w:val="20"/>
                <w:shd w:val="clear" w:color="auto" w:fill="auto"/>
                <w:lang w:val="fr-FR" w:eastAsia="zh-CN"/>
              </w:rPr>
              <w:t xml:space="preserve">Les évaluateurs devront proposer une approche de l’évaluation permettant de voir si le programme de la protection de l’enfant a été équitable.  </w:t>
            </w:r>
          </w:p>
          <w:p w14:paraId="11BF0D4B" w14:textId="77777777" w:rsidR="008A7A74" w:rsidRPr="009F65DD" w:rsidRDefault="008A7A74" w:rsidP="008A7A74">
            <w:pPr>
              <w:pStyle w:val="Heading2"/>
              <w:spacing w:before="0"/>
              <w:jc w:val="both"/>
              <w:rPr>
                <w:rFonts w:ascii="Times New Roman" w:hAnsi="Times New Roman" w:cs="Times New Roman"/>
                <w:sz w:val="20"/>
                <w:szCs w:val="20"/>
                <w:lang w:val="fr-FR"/>
              </w:rPr>
            </w:pPr>
          </w:p>
          <w:p w14:paraId="696DA6B9" w14:textId="77777777" w:rsidR="008A7A74" w:rsidRPr="009F65DD" w:rsidRDefault="008A7A74" w:rsidP="008A7A74">
            <w:pPr>
              <w:pStyle w:val="numberedpara"/>
              <w:numPr>
                <w:ilvl w:val="0"/>
                <w:numId w:val="0"/>
              </w:numPr>
              <w:spacing w:after="0" w:line="240" w:lineRule="auto"/>
              <w:rPr>
                <w:rFonts w:ascii="Times New Roman" w:eastAsia="Times New Roman" w:hAnsi="Times New Roman" w:cs="Times New Roman"/>
                <w:color w:val="auto"/>
                <w:sz w:val="20"/>
                <w:szCs w:val="20"/>
                <w:lang w:val="fr-FR"/>
              </w:rPr>
            </w:pPr>
            <w:r w:rsidRPr="009F65DD">
              <w:rPr>
                <w:rFonts w:ascii="Times New Roman" w:eastAsia="Times New Roman" w:hAnsi="Times New Roman" w:cs="Times New Roman"/>
                <w:b/>
                <w:bCs/>
                <w:color w:val="0070C0"/>
                <w:sz w:val="20"/>
                <w:szCs w:val="20"/>
                <w:shd w:val="clear" w:color="auto" w:fill="auto"/>
                <w:lang w:val="fr-FR"/>
              </w:rPr>
              <w:t xml:space="preserve">Programmation basée sur les droits de l’homme : </w:t>
            </w:r>
            <w:r w:rsidRPr="009F65DD">
              <w:rPr>
                <w:rFonts w:ascii="Times New Roman" w:eastAsiaTheme="minorEastAsia" w:hAnsi="Times New Roman" w:cs="Times New Roman"/>
                <w:color w:val="auto"/>
                <w:sz w:val="20"/>
                <w:szCs w:val="20"/>
                <w:shd w:val="clear" w:color="auto" w:fill="auto"/>
                <w:lang w:val="fr-FR" w:eastAsia="zh-CN"/>
              </w:rPr>
              <w:t>L’évaluation va examiner le degré auquel la programmation basée sur les droits de l’homme a été appliquée.</w:t>
            </w:r>
            <w:r w:rsidRPr="009F65DD">
              <w:rPr>
                <w:rFonts w:ascii="Times New Roman" w:eastAsia="Times New Roman" w:hAnsi="Times New Roman" w:cs="Times New Roman"/>
                <w:color w:val="auto"/>
                <w:sz w:val="20"/>
                <w:szCs w:val="20"/>
                <w:lang w:val="fr-FR"/>
              </w:rPr>
              <w:t xml:space="preserve">     </w:t>
            </w:r>
          </w:p>
          <w:p w14:paraId="2EA1F50E" w14:textId="77777777" w:rsidR="008A7A74" w:rsidRPr="009F65DD" w:rsidRDefault="008A7A74" w:rsidP="008A7A74">
            <w:pPr>
              <w:rPr>
                <w:b/>
                <w:iCs/>
                <w:color w:val="0070C0"/>
                <w:lang w:val="fr-FR"/>
              </w:rPr>
            </w:pPr>
          </w:p>
          <w:p w14:paraId="1642D881" w14:textId="77777777" w:rsidR="008A7A74" w:rsidRPr="009F65DD" w:rsidRDefault="008A7A74" w:rsidP="008A7A74">
            <w:pPr>
              <w:rPr>
                <w:b/>
                <w:iCs/>
                <w:color w:val="0070C0"/>
                <w:lang w:val="fr-FR"/>
              </w:rPr>
            </w:pPr>
            <w:r w:rsidRPr="009F65DD">
              <w:rPr>
                <w:b/>
                <w:iCs/>
                <w:color w:val="0070C0"/>
                <w:lang w:val="fr-FR"/>
              </w:rPr>
              <w:t xml:space="preserve">Critères et questions d’évaluation </w:t>
            </w:r>
          </w:p>
          <w:p w14:paraId="1D788C1B" w14:textId="77777777" w:rsidR="008A7A74" w:rsidRPr="009F65DD" w:rsidRDefault="008A7A74" w:rsidP="008A7A74">
            <w:pPr>
              <w:autoSpaceDE w:val="0"/>
              <w:autoSpaceDN w:val="0"/>
              <w:adjustRightInd w:val="0"/>
              <w:jc w:val="both"/>
              <w:rPr>
                <w:bCs/>
                <w:color w:val="0070C0"/>
                <w:lang w:val="fr-FR"/>
              </w:rPr>
            </w:pPr>
            <w:r w:rsidRPr="009F65DD">
              <w:rPr>
                <w:bCs/>
                <w:color w:val="0070C0"/>
                <w:lang w:val="fr-FR"/>
              </w:rPr>
              <w:t>Cohérence</w:t>
            </w:r>
          </w:p>
          <w:p w14:paraId="34A3A6F9" w14:textId="77777777" w:rsidR="008A7A74" w:rsidRPr="009F65DD" w:rsidRDefault="008A7A74" w:rsidP="00F7233C">
            <w:pPr>
              <w:pStyle w:val="ListParagraph"/>
              <w:numPr>
                <w:ilvl w:val="0"/>
                <w:numId w:val="10"/>
              </w:numPr>
              <w:autoSpaceDE w:val="0"/>
              <w:autoSpaceDN w:val="0"/>
              <w:adjustRightInd w:val="0"/>
              <w:jc w:val="both"/>
              <w:rPr>
                <w:lang w:val="fr-FR"/>
              </w:rPr>
            </w:pPr>
            <w:r w:rsidRPr="009F65DD">
              <w:rPr>
                <w:lang w:val="fr-FR"/>
              </w:rPr>
              <w:t>Dans quelle mesure le programme de protection de l’enfant</w:t>
            </w:r>
            <w:r w:rsidRPr="009F65DD">
              <w:rPr>
                <w:vertAlign w:val="superscript"/>
              </w:rPr>
              <w:footnoteReference w:id="6"/>
            </w:r>
            <w:r w:rsidRPr="009F65DD">
              <w:rPr>
                <w:lang w:val="fr-FR"/>
              </w:rPr>
              <w:t xml:space="preserve"> s’aligne-t-il sur les priorités globales (ODD), le plan national de développement de Djibouti et cadre avec les priorités nationales pour la protection de l’enfant ?</w:t>
            </w:r>
          </w:p>
          <w:p w14:paraId="05497D05" w14:textId="77777777" w:rsidR="008A7A74" w:rsidRPr="009F65DD" w:rsidRDefault="008A7A74" w:rsidP="00F7233C">
            <w:pPr>
              <w:numPr>
                <w:ilvl w:val="0"/>
                <w:numId w:val="10"/>
              </w:numPr>
              <w:autoSpaceDE w:val="0"/>
              <w:autoSpaceDN w:val="0"/>
              <w:adjustRightInd w:val="0"/>
              <w:jc w:val="both"/>
              <w:rPr>
                <w:lang w:val="fr-FR"/>
              </w:rPr>
            </w:pPr>
            <w:r w:rsidRPr="009F65DD">
              <w:rPr>
                <w:lang w:val="fr-FR"/>
              </w:rPr>
              <w:t>Dans quelle mesure le programme de protection de l’enfant est cohérent avec les interventions des autres acteurs travaillant dans le domaine ? Ceci inclut la complémentarité, l’harmonisation et la coordination avec les autres, y compris au sein de l’UNICEF. Dans quelle mesure les interventions du programme ajoutent-elles une plus-value tout en évitant la duplication ?</w:t>
            </w:r>
            <w:r w:rsidRPr="009F65DD">
              <w:rPr>
                <w:vertAlign w:val="superscript"/>
              </w:rPr>
              <w:footnoteReference w:id="7"/>
            </w:r>
          </w:p>
          <w:p w14:paraId="704A237D" w14:textId="77777777" w:rsidR="002D2455" w:rsidRDefault="008A7A74" w:rsidP="008A7A74">
            <w:pPr>
              <w:autoSpaceDE w:val="0"/>
              <w:autoSpaceDN w:val="0"/>
              <w:adjustRightInd w:val="0"/>
              <w:jc w:val="both"/>
              <w:rPr>
                <w:lang w:val="fr-FR"/>
              </w:rPr>
            </w:pPr>
            <w:r w:rsidRPr="009F65DD">
              <w:rPr>
                <w:lang w:val="fr-FR"/>
              </w:rPr>
              <w:t xml:space="preserve"> </w:t>
            </w:r>
          </w:p>
          <w:p w14:paraId="6F4DE522" w14:textId="38675C3B" w:rsidR="008A7A74" w:rsidRPr="002D2455" w:rsidRDefault="008A7A74" w:rsidP="008A7A74">
            <w:pPr>
              <w:autoSpaceDE w:val="0"/>
              <w:autoSpaceDN w:val="0"/>
              <w:adjustRightInd w:val="0"/>
              <w:jc w:val="both"/>
              <w:rPr>
                <w:lang w:val="fr-FR"/>
              </w:rPr>
            </w:pPr>
            <w:r w:rsidRPr="009F65DD">
              <w:rPr>
                <w:bCs/>
                <w:color w:val="0070C0"/>
                <w:lang w:val="fr-FR"/>
              </w:rPr>
              <w:t xml:space="preserve">Pertinence </w:t>
            </w:r>
          </w:p>
          <w:p w14:paraId="1A5C2BA9" w14:textId="77777777" w:rsidR="008A7A74" w:rsidRPr="009F65DD" w:rsidRDefault="008A7A74" w:rsidP="00F7233C">
            <w:pPr>
              <w:numPr>
                <w:ilvl w:val="0"/>
                <w:numId w:val="5"/>
              </w:numPr>
              <w:autoSpaceDE w:val="0"/>
              <w:autoSpaceDN w:val="0"/>
              <w:adjustRightInd w:val="0"/>
              <w:jc w:val="both"/>
              <w:rPr>
                <w:lang w:val="fr-FR"/>
              </w:rPr>
            </w:pPr>
            <w:r w:rsidRPr="009F65DD">
              <w:rPr>
                <w:lang w:val="fr-FR"/>
              </w:rPr>
              <w:t>Dans quelle mesure les objectifs, les approches/stratégies de changement et modalités de mise en œuvre du programme de protection de l’enfant restent valides par rapport au contexte, ciblent-ils les groupes les plus vulnérables et répondent-ils aux besoins des ayants-droits ?</w:t>
            </w:r>
            <w:r w:rsidRPr="009F65DD">
              <w:rPr>
                <w:vertAlign w:val="superscript"/>
              </w:rPr>
              <w:footnoteReference w:id="8"/>
            </w:r>
          </w:p>
          <w:p w14:paraId="5D03B1DB" w14:textId="77777777" w:rsidR="008A7A74" w:rsidRPr="009F65DD" w:rsidRDefault="008A7A74" w:rsidP="00F7233C">
            <w:pPr>
              <w:numPr>
                <w:ilvl w:val="0"/>
                <w:numId w:val="5"/>
              </w:numPr>
              <w:autoSpaceDE w:val="0"/>
              <w:autoSpaceDN w:val="0"/>
              <w:adjustRightInd w:val="0"/>
              <w:jc w:val="both"/>
              <w:rPr>
                <w:lang w:val="fr-FR"/>
              </w:rPr>
            </w:pPr>
            <w:r w:rsidRPr="009F65DD">
              <w:rPr>
                <w:lang w:val="fr-FR"/>
              </w:rPr>
              <w:t>Dans quelle mesure la conception du programme de protection de l’enfant dans le cadre du CPD 2018-2022 a pris en compte les droits des enfants, l’équite du genre et la voix des ayants-droits, y compris les garçons et les filles ? Dans quelle mesure cette conception a considéré les différents besoins en termes d’âge, genre et identités sociales, en particulier pour les plus vulnérables, y compris dans les situations d’urgence ?</w:t>
            </w:r>
          </w:p>
          <w:p w14:paraId="71CB18FD" w14:textId="77777777" w:rsidR="008A7A74" w:rsidRPr="009F65DD" w:rsidRDefault="008A7A74" w:rsidP="00F7233C">
            <w:pPr>
              <w:numPr>
                <w:ilvl w:val="0"/>
                <w:numId w:val="5"/>
              </w:numPr>
              <w:autoSpaceDE w:val="0"/>
              <w:autoSpaceDN w:val="0"/>
              <w:adjustRightInd w:val="0"/>
              <w:jc w:val="both"/>
              <w:rPr>
                <w:lang w:val="fr-FR"/>
              </w:rPr>
            </w:pPr>
            <w:r w:rsidRPr="009F65DD">
              <w:rPr>
                <w:lang w:val="fr-FR"/>
              </w:rPr>
              <w:t>Dans quelle mesure le programme de protection de l’enfant a pris en compte les considérations humanitaires et a été capable de s’adapter en fonction des situations COVID-19 et sècheresse ?</w:t>
            </w:r>
          </w:p>
          <w:p w14:paraId="178A9A79" w14:textId="77777777" w:rsidR="008A7A74" w:rsidRPr="009F65DD" w:rsidRDefault="008A7A74" w:rsidP="008A7A74">
            <w:pPr>
              <w:autoSpaceDE w:val="0"/>
              <w:autoSpaceDN w:val="0"/>
              <w:adjustRightInd w:val="0"/>
              <w:jc w:val="both"/>
              <w:rPr>
                <w:bCs/>
                <w:color w:val="0070C0"/>
                <w:lang w:val="fr-FR"/>
              </w:rPr>
            </w:pPr>
          </w:p>
          <w:p w14:paraId="3B54D179" w14:textId="77777777" w:rsidR="008A7A74" w:rsidRPr="009F65DD" w:rsidRDefault="008A7A74" w:rsidP="008A7A74">
            <w:pPr>
              <w:autoSpaceDE w:val="0"/>
              <w:autoSpaceDN w:val="0"/>
              <w:adjustRightInd w:val="0"/>
              <w:jc w:val="both"/>
              <w:rPr>
                <w:bCs/>
                <w:color w:val="0070C0"/>
                <w:lang w:val="fr-FR"/>
              </w:rPr>
            </w:pPr>
            <w:r w:rsidRPr="009F65DD">
              <w:rPr>
                <w:bCs/>
                <w:color w:val="0070C0"/>
                <w:lang w:val="fr-FR"/>
              </w:rPr>
              <w:t xml:space="preserve">Efficacité </w:t>
            </w:r>
          </w:p>
          <w:p w14:paraId="3FF4EDAB" w14:textId="77777777" w:rsidR="008A7A74" w:rsidRPr="009F65DD" w:rsidRDefault="008A7A74" w:rsidP="00F7233C">
            <w:pPr>
              <w:numPr>
                <w:ilvl w:val="0"/>
                <w:numId w:val="5"/>
              </w:numPr>
              <w:autoSpaceDE w:val="0"/>
              <w:autoSpaceDN w:val="0"/>
              <w:adjustRightInd w:val="0"/>
              <w:jc w:val="both"/>
              <w:rPr>
                <w:bCs/>
                <w:lang w:val="fr-FR"/>
              </w:rPr>
            </w:pPr>
            <w:r w:rsidRPr="009F65DD">
              <w:rPr>
                <w:bCs/>
                <w:lang w:val="fr-FR"/>
              </w:rPr>
              <w:t xml:space="preserve">Dans quelle mesure les interventions du programme de protection de l’enfant ont permis d’atteindre les résultats attendus pour les ayants-droits ? Dans quelle mesure les partenariats développés ont contribué à la réalisation des résultats ? Ces résultats sont-ils </w:t>
            </w:r>
            <w:r w:rsidRPr="009F65DD">
              <w:rPr>
                <w:lang w:val="fr-FR"/>
              </w:rPr>
              <w:t>soutenus avec des évidences ?</w:t>
            </w:r>
          </w:p>
          <w:p w14:paraId="324E8360" w14:textId="77777777" w:rsidR="008A7A74" w:rsidRPr="009F65DD" w:rsidRDefault="008A7A74" w:rsidP="00F7233C">
            <w:pPr>
              <w:numPr>
                <w:ilvl w:val="0"/>
                <w:numId w:val="5"/>
              </w:numPr>
              <w:autoSpaceDE w:val="0"/>
              <w:autoSpaceDN w:val="0"/>
              <w:adjustRightInd w:val="0"/>
              <w:jc w:val="both"/>
              <w:rPr>
                <w:bCs/>
                <w:lang w:val="fr-FR"/>
              </w:rPr>
            </w:pPr>
            <w:r w:rsidRPr="009F65DD">
              <w:rPr>
                <w:bCs/>
                <w:lang w:val="fr-FR"/>
              </w:rPr>
              <w:lastRenderedPageBreak/>
              <w:t>Quels sont les facteurs clés qui ont contribué à influencer l’atteinte ou la non-atteinte des résultats du programme de protection de l’UNICEF ? Dans quelle mesure le programme de protection de l’enfant a contribué à des réformes institutionnelles et législatives ainsi qu’à l’accès des enfants les plus vulnérables à un système de protection de l’enfant qui répond à leurs besoins ?</w:t>
            </w:r>
          </w:p>
          <w:p w14:paraId="0912D3F1" w14:textId="77777777" w:rsidR="008A7A74" w:rsidRPr="009F65DD" w:rsidRDefault="008A7A74" w:rsidP="00F7233C">
            <w:pPr>
              <w:numPr>
                <w:ilvl w:val="0"/>
                <w:numId w:val="5"/>
              </w:numPr>
              <w:autoSpaceDE w:val="0"/>
              <w:autoSpaceDN w:val="0"/>
              <w:adjustRightInd w:val="0"/>
              <w:jc w:val="both"/>
              <w:rPr>
                <w:bCs/>
                <w:lang w:val="fr-FR"/>
              </w:rPr>
            </w:pPr>
            <w:r w:rsidRPr="009F65DD">
              <w:rPr>
                <w:bCs/>
                <w:lang w:val="fr-FR"/>
              </w:rPr>
              <w:t>Dans quelle mesure les efforts de mobilisation des communautés, y compris les jeunes, ont contribué à l’évolution des normes sociales et de genre, et au changement de comportement au sein des communautés ? Est-ce qu’il y a eu une amélioration de la prévention et de la réponse à la violence contre les enfants, en particulier les MGF ?</w:t>
            </w:r>
          </w:p>
          <w:p w14:paraId="325984C4" w14:textId="77777777" w:rsidR="008A7A74" w:rsidRPr="009F65DD" w:rsidRDefault="008A7A74" w:rsidP="00F7233C">
            <w:pPr>
              <w:numPr>
                <w:ilvl w:val="0"/>
                <w:numId w:val="5"/>
              </w:numPr>
              <w:autoSpaceDE w:val="0"/>
              <w:autoSpaceDN w:val="0"/>
              <w:adjustRightInd w:val="0"/>
              <w:jc w:val="both"/>
              <w:rPr>
                <w:bCs/>
                <w:lang w:val="fr-FR"/>
              </w:rPr>
            </w:pPr>
            <w:r w:rsidRPr="009F65DD">
              <w:rPr>
                <w:bCs/>
                <w:lang w:val="fr-FR"/>
              </w:rPr>
              <w:t>Dans quelle mesure les populations ciblées ont été atteintes à travers le programme de protection de l’enfant ?</w:t>
            </w:r>
            <w:r w:rsidRPr="009F65DD">
              <w:rPr>
                <w:rStyle w:val="FootnoteReference"/>
                <w:bCs/>
                <w:lang w:val="fr-FR"/>
              </w:rPr>
              <w:footnoteReference w:id="9"/>
            </w:r>
            <w:r w:rsidRPr="009F65DD">
              <w:rPr>
                <w:bCs/>
                <w:lang w:val="fr-FR"/>
              </w:rPr>
              <w:t xml:space="preserve"> </w:t>
            </w:r>
          </w:p>
          <w:p w14:paraId="2F47203B" w14:textId="77777777" w:rsidR="008A7A74" w:rsidRPr="009F65DD" w:rsidRDefault="008A7A74" w:rsidP="008A7A74">
            <w:pPr>
              <w:keepNext/>
              <w:keepLines/>
              <w:jc w:val="both"/>
              <w:outlineLvl w:val="1"/>
              <w:rPr>
                <w:bCs/>
                <w:color w:val="0070C0"/>
                <w:lang w:val="fr-FR"/>
              </w:rPr>
            </w:pPr>
          </w:p>
          <w:p w14:paraId="56AC46C8" w14:textId="77777777" w:rsidR="008A7A74" w:rsidRPr="009F65DD" w:rsidRDefault="008A7A74" w:rsidP="008A7A74">
            <w:pPr>
              <w:keepNext/>
              <w:keepLines/>
              <w:jc w:val="both"/>
              <w:outlineLvl w:val="1"/>
              <w:rPr>
                <w:bCs/>
                <w:color w:val="0070C0"/>
                <w:lang w:val="fr-FR"/>
              </w:rPr>
            </w:pPr>
            <w:r w:rsidRPr="009F65DD">
              <w:rPr>
                <w:bCs/>
                <w:color w:val="0070C0"/>
                <w:lang w:val="fr-FR"/>
              </w:rPr>
              <w:t>Efficience</w:t>
            </w:r>
          </w:p>
          <w:p w14:paraId="2A244E35" w14:textId="77777777" w:rsidR="008A7A74" w:rsidRPr="009F65DD" w:rsidRDefault="008A7A74" w:rsidP="00F7233C">
            <w:pPr>
              <w:numPr>
                <w:ilvl w:val="0"/>
                <w:numId w:val="6"/>
              </w:numPr>
              <w:autoSpaceDE w:val="0"/>
              <w:autoSpaceDN w:val="0"/>
              <w:adjustRightInd w:val="0"/>
              <w:jc w:val="both"/>
              <w:rPr>
                <w:bCs/>
                <w:lang w:val="fr-FR"/>
              </w:rPr>
            </w:pPr>
            <w:r w:rsidRPr="009F65DD">
              <w:rPr>
                <w:bCs/>
                <w:lang w:val="fr-FR"/>
              </w:rPr>
              <w:t>Est-ce que toutes les ressources (humaines, techniques et financières) disponibles pour le programme de protection de l’enfant ont été utilisées de manière à obtenir des résultats optimaux ? Est-ce que ces ressources auraient pu être utilisées de manière plus efficace pour atteindre les résultats (taux d’utilisation, délais…) ?</w:t>
            </w:r>
          </w:p>
          <w:p w14:paraId="4DD92224" w14:textId="77777777" w:rsidR="008A7A74" w:rsidRPr="009F65DD" w:rsidRDefault="008A7A74" w:rsidP="008A7A74">
            <w:pPr>
              <w:keepNext/>
              <w:keepLines/>
              <w:jc w:val="both"/>
              <w:outlineLvl w:val="1"/>
              <w:rPr>
                <w:color w:val="0070C0"/>
                <w:lang w:val="fr-FR"/>
              </w:rPr>
            </w:pPr>
          </w:p>
          <w:p w14:paraId="1DFFA595" w14:textId="77777777" w:rsidR="008A7A74" w:rsidRPr="009F65DD" w:rsidRDefault="008A7A74" w:rsidP="008A7A74">
            <w:pPr>
              <w:keepNext/>
              <w:keepLines/>
              <w:jc w:val="both"/>
              <w:outlineLvl w:val="1"/>
              <w:rPr>
                <w:color w:val="0070C0"/>
                <w:lang w:val="fr-FR"/>
              </w:rPr>
            </w:pPr>
            <w:r w:rsidRPr="009F65DD">
              <w:rPr>
                <w:color w:val="0070C0"/>
                <w:lang w:val="fr-FR"/>
              </w:rPr>
              <w:t>Durabilité</w:t>
            </w:r>
          </w:p>
          <w:p w14:paraId="73800B2F" w14:textId="77777777" w:rsidR="008A7A74" w:rsidRPr="009F65DD" w:rsidRDefault="008A7A74" w:rsidP="00F7233C">
            <w:pPr>
              <w:numPr>
                <w:ilvl w:val="0"/>
                <w:numId w:val="6"/>
              </w:numPr>
              <w:autoSpaceDE w:val="0"/>
              <w:autoSpaceDN w:val="0"/>
              <w:adjustRightInd w:val="0"/>
              <w:jc w:val="both"/>
              <w:rPr>
                <w:bCs/>
                <w:lang w:val="fr-FR"/>
              </w:rPr>
            </w:pPr>
            <w:r w:rsidRPr="009F65DD">
              <w:rPr>
                <w:bCs/>
                <w:lang w:val="fr-FR"/>
              </w:rPr>
              <w:t>Dans quelle mesure certaines ou toutes les activités ainsi que les résultats atteints grâce au programme de protection l’enfant continueraient si le soutien de l’UNICEF cessait ? Quel est le degré d’appropriation des individus, des communautés et du gouvernement ?</w:t>
            </w:r>
          </w:p>
          <w:p w14:paraId="2B5F7BE2" w14:textId="77777777" w:rsidR="002D2455" w:rsidRDefault="008A7A74" w:rsidP="008A7A74">
            <w:pPr>
              <w:numPr>
                <w:ilvl w:val="0"/>
                <w:numId w:val="6"/>
              </w:numPr>
              <w:autoSpaceDE w:val="0"/>
              <w:autoSpaceDN w:val="0"/>
              <w:adjustRightInd w:val="0"/>
              <w:jc w:val="both"/>
              <w:rPr>
                <w:color w:val="000000"/>
                <w:lang w:val="fr-FR"/>
              </w:rPr>
            </w:pPr>
            <w:r w:rsidRPr="009F65DD">
              <w:rPr>
                <w:bCs/>
                <w:lang w:val="fr-FR"/>
              </w:rPr>
              <w:t>Quels sont les facteurs clés qui influencent l’atteinte ou la non-atteinte de la durabilité des interventions ? Quels sont les facteurs rendant possible et les facteurs contraignants qui peuvent influencer la réplication et la durabilité ?</w:t>
            </w:r>
          </w:p>
          <w:p w14:paraId="21F7CD25" w14:textId="4CEFECE2" w:rsidR="008A7A74" w:rsidRPr="002D2455" w:rsidRDefault="008A7A74" w:rsidP="008A7A74">
            <w:pPr>
              <w:numPr>
                <w:ilvl w:val="0"/>
                <w:numId w:val="6"/>
              </w:numPr>
              <w:autoSpaceDE w:val="0"/>
              <w:autoSpaceDN w:val="0"/>
              <w:adjustRightInd w:val="0"/>
              <w:jc w:val="both"/>
              <w:rPr>
                <w:color w:val="000000"/>
                <w:lang w:val="fr-FR"/>
              </w:rPr>
            </w:pPr>
            <w:r w:rsidRPr="002D2455">
              <w:rPr>
                <w:bCs/>
                <w:lang w:val="fr-FR"/>
              </w:rPr>
              <w:t>Dans quelle mesure certains résultats pourraient permettre de faire levier pour mobiliser des fonds pour le programme de protection de l’enfant ?</w:t>
            </w:r>
          </w:p>
        </w:tc>
      </w:tr>
      <w:tr w:rsidR="008A7A74" w:rsidRPr="004D5FF0" w14:paraId="5F43E28E" w14:textId="77777777" w:rsidTr="28E1864A">
        <w:trPr>
          <w:trHeight w:val="504"/>
        </w:trPr>
        <w:tc>
          <w:tcPr>
            <w:tcW w:w="9887" w:type="dxa"/>
            <w:gridSpan w:val="9"/>
            <w:shd w:val="clear" w:color="auto" w:fill="auto"/>
            <w:noWrap/>
          </w:tcPr>
          <w:p w14:paraId="1F2A066E" w14:textId="77777777" w:rsidR="008A7A74" w:rsidRPr="009F65DD" w:rsidRDefault="00D63FCE" w:rsidP="00217B71">
            <w:pPr>
              <w:pStyle w:val="numberedpara"/>
              <w:numPr>
                <w:ilvl w:val="0"/>
                <w:numId w:val="0"/>
              </w:numPr>
              <w:spacing w:after="0" w:line="240" w:lineRule="auto"/>
              <w:rPr>
                <w:rFonts w:ascii="Times New Roman" w:eastAsia="Times New Roman" w:hAnsi="Times New Roman" w:cs="Times New Roman"/>
                <w:b/>
                <w:bCs/>
                <w:color w:val="0070C0"/>
                <w:sz w:val="20"/>
                <w:szCs w:val="20"/>
                <w:shd w:val="clear" w:color="auto" w:fill="auto"/>
                <w:lang w:val="fr-FR"/>
              </w:rPr>
            </w:pPr>
            <w:r w:rsidRPr="009F65DD">
              <w:rPr>
                <w:rFonts w:ascii="Times New Roman" w:eastAsia="Times New Roman" w:hAnsi="Times New Roman" w:cs="Times New Roman"/>
                <w:b/>
                <w:bCs/>
                <w:color w:val="0070C0"/>
                <w:sz w:val="20"/>
                <w:szCs w:val="20"/>
                <w:shd w:val="clear" w:color="auto" w:fill="auto"/>
                <w:lang w:val="fr-FR"/>
              </w:rPr>
              <w:lastRenderedPageBreak/>
              <w:t>Supervision</w:t>
            </w:r>
          </w:p>
          <w:p w14:paraId="0E2E9C4C" w14:textId="3095C0C8" w:rsidR="003E353B" w:rsidRPr="009F65DD" w:rsidRDefault="003E353B" w:rsidP="003E353B">
            <w:pPr>
              <w:jc w:val="both"/>
              <w:rPr>
                <w:lang w:val="fr-FR"/>
              </w:rPr>
            </w:pPr>
            <w:r w:rsidRPr="009F65DD">
              <w:rPr>
                <w:lang w:val="fr-FR"/>
              </w:rPr>
              <w:t xml:space="preserve">Le client principal est le bureau du pays UNICEF et les ministères clés ; le bureau régional de l’UNICEF MENARO ainsi que le siège seront les clients secondaires. Sous la supervision de la Représentante de l’UNICEF à Djibouti, le chargé de suivi et évaluation va gérer cette évaluation, en collaboration avec l’équipe en charge de la gestion du programme de protection de l’enfant. L’accompagnement technique sera assuré par un groupe de référence dont les principaux membres sont le </w:t>
            </w:r>
            <w:proofErr w:type="gramStart"/>
            <w:r w:rsidRPr="009F65DD">
              <w:rPr>
                <w:lang w:val="fr-FR"/>
              </w:rPr>
              <w:t>Ministère</w:t>
            </w:r>
            <w:proofErr w:type="gramEnd"/>
            <w:r w:rsidRPr="009F65DD">
              <w:rPr>
                <w:lang w:val="fr-FR"/>
              </w:rPr>
              <w:t xml:space="preserve"> de la Femme et de la Famille, le Ministère des Affaires Musulmanes</w:t>
            </w:r>
            <w:r w:rsidR="002D2455">
              <w:rPr>
                <w:lang w:val="fr-FR"/>
              </w:rPr>
              <w:t>, de la Culture</w:t>
            </w:r>
            <w:r w:rsidRPr="009F65DD">
              <w:rPr>
                <w:lang w:val="fr-FR"/>
              </w:rPr>
              <w:t xml:space="preserve"> et des Biens Waqfs, le Ministère de l’</w:t>
            </w:r>
            <w:r w:rsidR="002D2455">
              <w:rPr>
                <w:lang w:val="fr-FR"/>
              </w:rPr>
              <w:t>I</w:t>
            </w:r>
            <w:r w:rsidRPr="009F65DD">
              <w:rPr>
                <w:lang w:val="fr-FR"/>
              </w:rPr>
              <w:t xml:space="preserve">ntérieur, le Ministère de la </w:t>
            </w:r>
            <w:r w:rsidR="002D2455">
              <w:rPr>
                <w:lang w:val="fr-FR"/>
              </w:rPr>
              <w:t>J</w:t>
            </w:r>
            <w:r w:rsidRPr="009F65DD">
              <w:rPr>
                <w:lang w:val="fr-FR"/>
              </w:rPr>
              <w:t xml:space="preserve">ustice et l’UNFD. Par ailleurs, l’Association Djiboutienne de l’Evaluation assurera un rôle de référent technique en matière des normes et standards de l’évaluation. </w:t>
            </w:r>
          </w:p>
          <w:p w14:paraId="2D2ED4B2" w14:textId="77777777" w:rsidR="003E353B" w:rsidRPr="009F65DD" w:rsidRDefault="003E353B" w:rsidP="003E353B">
            <w:pPr>
              <w:jc w:val="both"/>
              <w:rPr>
                <w:lang w:val="fr-FR"/>
              </w:rPr>
            </w:pPr>
            <w:r w:rsidRPr="009F65DD">
              <w:rPr>
                <w:lang w:val="fr-FR"/>
              </w:rPr>
              <w:t xml:space="preserve">Tous les livrables devront être validés par le groupe de référence. Les coûts relatifs à cette évaluation seront pris en charge par le Programme de protection de l’enfant de l’UNICEF. </w:t>
            </w:r>
          </w:p>
          <w:p w14:paraId="78A27645" w14:textId="3A187132" w:rsidR="003E353B" w:rsidRPr="009F65DD" w:rsidRDefault="003E353B" w:rsidP="003E353B">
            <w:pPr>
              <w:jc w:val="both"/>
              <w:rPr>
                <w:bCs/>
                <w:iCs/>
                <w:lang w:val="fr-FR"/>
              </w:rPr>
            </w:pPr>
            <w:r w:rsidRPr="009F65DD">
              <w:rPr>
                <w:lang w:val="fr-FR"/>
              </w:rPr>
              <w:t>Les propositions techniques seront discutées et validées au sein d’un comité composé de la section protection de l’enfant et le charg</w:t>
            </w:r>
            <w:r w:rsidR="002D2455">
              <w:rPr>
                <w:lang w:val="fr-FR"/>
              </w:rPr>
              <w:t>é</w:t>
            </w:r>
            <w:r w:rsidRPr="009F65DD">
              <w:rPr>
                <w:lang w:val="fr-FR"/>
              </w:rPr>
              <w:t xml:space="preserve"> de suivi et évaluation. </w:t>
            </w:r>
            <w:r w:rsidRPr="009F65DD">
              <w:rPr>
                <w:bCs/>
                <w:iCs/>
                <w:lang w:val="fr-FR"/>
              </w:rPr>
              <w:t xml:space="preserve">Afin d’assurer la pleine indépendance du processus d’évaluation, l’organe de gestion de la consultation à l’UNICEF est la représentation par le biais du chargé de suivi et évaluation en étroite collaboration avec l’équipe du programme de protection de l’enfant, le chargé de </w:t>
            </w:r>
            <w:r w:rsidR="002D2455">
              <w:rPr>
                <w:bCs/>
                <w:iCs/>
                <w:lang w:val="fr-FR"/>
              </w:rPr>
              <w:t>CSC</w:t>
            </w:r>
            <w:r w:rsidRPr="009F65DD">
              <w:rPr>
                <w:bCs/>
                <w:iCs/>
                <w:lang w:val="fr-FR"/>
              </w:rPr>
              <w:t xml:space="preserve"> et le point focal du genre. Tout appui administratif sera fourni conjointement par l’équipe protection de l’enfant et l’équipe des opérations. Le</w:t>
            </w:r>
            <w:r w:rsidR="00043FA2" w:rsidRPr="009F65DD">
              <w:rPr>
                <w:bCs/>
                <w:iCs/>
                <w:lang w:val="fr-FR"/>
              </w:rPr>
              <w:t xml:space="preserve"> consultant </w:t>
            </w:r>
            <w:r w:rsidR="00ED0E86" w:rsidRPr="009F65DD">
              <w:rPr>
                <w:bCs/>
                <w:iCs/>
                <w:lang w:val="fr-FR"/>
              </w:rPr>
              <w:t xml:space="preserve">international travaillera avec un consultant national </w:t>
            </w:r>
            <w:r w:rsidR="00E514D3" w:rsidRPr="009F65DD">
              <w:rPr>
                <w:bCs/>
                <w:iCs/>
                <w:lang w:val="fr-FR"/>
              </w:rPr>
              <w:t xml:space="preserve">qui sera </w:t>
            </w:r>
            <w:r w:rsidR="002D2455">
              <w:rPr>
                <w:bCs/>
                <w:iCs/>
                <w:lang w:val="fr-FR"/>
              </w:rPr>
              <w:t xml:space="preserve">sous </w:t>
            </w:r>
            <w:r w:rsidR="00E514D3" w:rsidRPr="009F65DD">
              <w:rPr>
                <w:bCs/>
                <w:iCs/>
                <w:lang w:val="fr-FR"/>
              </w:rPr>
              <w:t xml:space="preserve">sa supervision technique et </w:t>
            </w:r>
            <w:r w:rsidR="009E6FBA">
              <w:rPr>
                <w:bCs/>
                <w:iCs/>
                <w:lang w:val="fr-FR"/>
              </w:rPr>
              <w:t>à</w:t>
            </w:r>
            <w:r w:rsidR="00E514D3" w:rsidRPr="009F65DD">
              <w:rPr>
                <w:bCs/>
                <w:iCs/>
                <w:lang w:val="fr-FR"/>
              </w:rPr>
              <w:t xml:space="preserve"> qui </w:t>
            </w:r>
            <w:r w:rsidR="00ED0E86" w:rsidRPr="009F65DD">
              <w:rPr>
                <w:bCs/>
                <w:iCs/>
                <w:lang w:val="fr-FR"/>
              </w:rPr>
              <w:t xml:space="preserve">il </w:t>
            </w:r>
            <w:r w:rsidR="00E514D3" w:rsidRPr="009F65DD">
              <w:rPr>
                <w:bCs/>
                <w:iCs/>
                <w:lang w:val="fr-FR"/>
              </w:rPr>
              <w:t xml:space="preserve">assignera des livrables </w:t>
            </w:r>
            <w:r w:rsidR="009146F4" w:rsidRPr="009F65DD">
              <w:rPr>
                <w:bCs/>
                <w:iCs/>
                <w:lang w:val="fr-FR"/>
              </w:rPr>
              <w:t>à</w:t>
            </w:r>
            <w:r w:rsidR="00E514D3" w:rsidRPr="009F65DD">
              <w:rPr>
                <w:bCs/>
                <w:iCs/>
                <w:lang w:val="fr-FR"/>
              </w:rPr>
              <w:t xml:space="preserve"> l’</w:t>
            </w:r>
            <w:r w:rsidR="009146F4" w:rsidRPr="009F65DD">
              <w:rPr>
                <w:bCs/>
                <w:iCs/>
                <w:lang w:val="fr-FR"/>
              </w:rPr>
              <w:t>intérieur</w:t>
            </w:r>
            <w:r w:rsidR="00E514D3" w:rsidRPr="009F65DD">
              <w:rPr>
                <w:bCs/>
                <w:iCs/>
                <w:lang w:val="fr-FR"/>
              </w:rPr>
              <w:t xml:space="preserve"> </w:t>
            </w:r>
            <w:r w:rsidR="009146F4" w:rsidRPr="009F65DD">
              <w:rPr>
                <w:bCs/>
                <w:iCs/>
                <w:lang w:val="fr-FR"/>
              </w:rPr>
              <w:t xml:space="preserve">de chaque grand livrable de la consultation </w:t>
            </w:r>
            <w:r w:rsidR="001A432D" w:rsidRPr="009F65DD">
              <w:rPr>
                <w:bCs/>
                <w:iCs/>
                <w:lang w:val="fr-FR"/>
              </w:rPr>
              <w:t xml:space="preserve">(ses </w:t>
            </w:r>
            <w:proofErr w:type="spellStart"/>
            <w:r w:rsidR="001A432D" w:rsidRPr="009F65DD">
              <w:rPr>
                <w:bCs/>
                <w:iCs/>
                <w:lang w:val="fr-FR"/>
              </w:rPr>
              <w:t>TdRs</w:t>
            </w:r>
            <w:proofErr w:type="spellEnd"/>
            <w:r w:rsidR="001A432D" w:rsidRPr="009F65DD">
              <w:rPr>
                <w:bCs/>
                <w:iCs/>
                <w:lang w:val="fr-FR"/>
              </w:rPr>
              <w:t xml:space="preserve"> étant intitul</w:t>
            </w:r>
            <w:r w:rsidR="009E6FBA">
              <w:rPr>
                <w:bCs/>
                <w:iCs/>
                <w:lang w:val="fr-FR"/>
              </w:rPr>
              <w:t>é</w:t>
            </w:r>
            <w:r w:rsidR="001A432D" w:rsidRPr="009F65DD">
              <w:rPr>
                <w:bCs/>
                <w:iCs/>
                <w:lang w:val="fr-FR"/>
              </w:rPr>
              <w:t>s contribution sur chaque livrable)</w:t>
            </w:r>
            <w:r w:rsidR="009146F4" w:rsidRPr="009F65DD">
              <w:rPr>
                <w:bCs/>
                <w:iCs/>
                <w:lang w:val="fr-FR"/>
              </w:rPr>
              <w:t xml:space="preserve">. </w:t>
            </w:r>
            <w:r w:rsidR="006B1B43" w:rsidRPr="009F65DD">
              <w:rPr>
                <w:bCs/>
                <w:iCs/>
                <w:lang w:val="fr-FR"/>
              </w:rPr>
              <w:t xml:space="preserve">La répartition des </w:t>
            </w:r>
            <w:r w:rsidR="00363A72" w:rsidRPr="009F65DD">
              <w:rPr>
                <w:bCs/>
                <w:iCs/>
                <w:lang w:val="fr-FR"/>
              </w:rPr>
              <w:t>tâches</w:t>
            </w:r>
            <w:r w:rsidR="006B1B43" w:rsidRPr="009F65DD">
              <w:rPr>
                <w:bCs/>
                <w:iCs/>
                <w:lang w:val="fr-FR"/>
              </w:rPr>
              <w:t xml:space="preserve"> entre les deux consultants doit clairement appara</w:t>
            </w:r>
            <w:r w:rsidR="009E6FBA">
              <w:rPr>
                <w:bCs/>
                <w:iCs/>
                <w:lang w:val="fr-FR"/>
              </w:rPr>
              <w:t>î</w:t>
            </w:r>
            <w:r w:rsidR="006B1B43" w:rsidRPr="009F65DD">
              <w:rPr>
                <w:bCs/>
                <w:iCs/>
                <w:lang w:val="fr-FR"/>
              </w:rPr>
              <w:t xml:space="preserve">tre dans le rapport de démarrage. </w:t>
            </w:r>
            <w:r w:rsidR="009146F4" w:rsidRPr="009F65DD">
              <w:rPr>
                <w:bCs/>
                <w:iCs/>
                <w:lang w:val="fr-FR"/>
              </w:rPr>
              <w:t>Les</w:t>
            </w:r>
            <w:r w:rsidRPr="009F65DD">
              <w:rPr>
                <w:bCs/>
                <w:iCs/>
                <w:lang w:val="fr-FR"/>
              </w:rPr>
              <w:t xml:space="preserve"> consultants seront accueillis par l’UNICEF qui leur fournira un bureau. Le </w:t>
            </w:r>
            <w:proofErr w:type="gramStart"/>
            <w:r w:rsidRPr="009F65DD">
              <w:rPr>
                <w:bCs/>
                <w:iCs/>
                <w:lang w:val="fr-FR"/>
              </w:rPr>
              <w:t>Ministère</w:t>
            </w:r>
            <w:proofErr w:type="gramEnd"/>
            <w:r w:rsidRPr="009F65DD">
              <w:rPr>
                <w:bCs/>
                <w:iCs/>
                <w:lang w:val="fr-FR"/>
              </w:rPr>
              <w:t xml:space="preserve"> de la Femme et Famille, en sa qualité du Ministère leader en matière des droits des enfants à Djibouti, s’occupera des autorisations pour les déplacements à l’intérieur du pays, arrangera les rencontres avec les parties prenantes de l’évaluation.  </w:t>
            </w:r>
          </w:p>
          <w:p w14:paraId="56C50454" w14:textId="2E52A935" w:rsidR="00217B71" w:rsidRPr="009F65DD" w:rsidRDefault="003E353B" w:rsidP="008A7A74">
            <w:pPr>
              <w:rPr>
                <w:bCs/>
                <w:iCs/>
                <w:sz w:val="22"/>
                <w:szCs w:val="22"/>
                <w:lang w:val="fr-FR"/>
              </w:rPr>
            </w:pPr>
            <w:r w:rsidRPr="009F65DD">
              <w:rPr>
                <w:bCs/>
                <w:iCs/>
                <w:lang w:val="fr-FR"/>
              </w:rPr>
              <w:t>L’UNICEF établira le contrat des consultants qui devront lui rendre compte de l’avancement des travaux.</w:t>
            </w:r>
          </w:p>
        </w:tc>
      </w:tr>
      <w:tr w:rsidR="008A7A74" w:rsidRPr="004D5FF0" w14:paraId="06BB72AE" w14:textId="77777777" w:rsidTr="28E1864A">
        <w:trPr>
          <w:trHeight w:val="710"/>
        </w:trPr>
        <w:tc>
          <w:tcPr>
            <w:tcW w:w="9887" w:type="dxa"/>
            <w:gridSpan w:val="9"/>
            <w:shd w:val="clear" w:color="auto" w:fill="auto"/>
            <w:noWrap/>
          </w:tcPr>
          <w:p w14:paraId="338581C5" w14:textId="7C836138" w:rsidR="008A7A74" w:rsidRPr="009F65DD" w:rsidRDefault="008A7A74" w:rsidP="008A7A74">
            <w:pPr>
              <w:spacing w:before="60" w:after="60"/>
              <w:rPr>
                <w:rFonts w:eastAsia="Arial Unicode MS"/>
                <w:b/>
                <w:lang w:val="en-AU"/>
              </w:rPr>
            </w:pPr>
            <w:r w:rsidRPr="009F65DD">
              <w:rPr>
                <w:rFonts w:eastAsia="Arial Unicode MS"/>
                <w:b/>
                <w:lang w:val="en-AU"/>
              </w:rPr>
              <w:t>Reasons why consultancy cannot be done by staff:</w:t>
            </w:r>
          </w:p>
          <w:p w14:paraId="5735AB5C" w14:textId="167A5992" w:rsidR="008A7A74" w:rsidRPr="009F65DD" w:rsidRDefault="008A7A74" w:rsidP="009E6FBA">
            <w:pPr>
              <w:spacing w:before="60" w:after="60"/>
              <w:jc w:val="both"/>
              <w:rPr>
                <w:bCs/>
                <w:iCs/>
                <w:lang w:val="fr-FR"/>
              </w:rPr>
            </w:pPr>
            <w:r w:rsidRPr="009F65DD">
              <w:rPr>
                <w:bCs/>
                <w:iCs/>
                <w:lang w:val="fr-FR"/>
              </w:rPr>
              <w:t xml:space="preserve">C’est une évaluation indépendante qui doit </w:t>
            </w:r>
            <w:r w:rsidR="009E6FBA">
              <w:rPr>
                <w:bCs/>
                <w:iCs/>
                <w:lang w:val="fr-FR"/>
              </w:rPr>
              <w:t>ê</w:t>
            </w:r>
            <w:r w:rsidRPr="009F65DD">
              <w:rPr>
                <w:bCs/>
                <w:iCs/>
                <w:lang w:val="fr-FR"/>
              </w:rPr>
              <w:t>tre assurée par des experts indépendants qui doi</w:t>
            </w:r>
            <w:r w:rsidR="009E6FBA">
              <w:rPr>
                <w:bCs/>
                <w:iCs/>
                <w:lang w:val="fr-FR"/>
              </w:rPr>
              <w:t>vent</w:t>
            </w:r>
            <w:r w:rsidRPr="009F65DD">
              <w:rPr>
                <w:bCs/>
                <w:iCs/>
                <w:lang w:val="fr-FR"/>
              </w:rPr>
              <w:t xml:space="preserve"> s’assurer de l’objectivité, de l’impartialité et de la participation inclusive dans l’exercice.</w:t>
            </w:r>
          </w:p>
          <w:p w14:paraId="23D03CDB" w14:textId="654C81EC" w:rsidR="008A7A74" w:rsidRPr="009F65DD" w:rsidRDefault="008A7A74" w:rsidP="008A7A74">
            <w:pPr>
              <w:spacing w:before="60" w:after="60"/>
              <w:jc w:val="both"/>
              <w:rPr>
                <w:rFonts w:eastAsia="Arial Unicode MS"/>
                <w:i/>
                <w:lang w:val="fr-FR"/>
              </w:rPr>
            </w:pPr>
          </w:p>
        </w:tc>
      </w:tr>
      <w:tr w:rsidR="008A7A74" w:rsidRPr="004D5FF0" w14:paraId="1A95D2CD" w14:textId="77777777" w:rsidTr="28E1864A">
        <w:tc>
          <w:tcPr>
            <w:tcW w:w="9887" w:type="dxa"/>
            <w:gridSpan w:val="9"/>
            <w:shd w:val="clear" w:color="auto" w:fill="auto"/>
            <w:noWrap/>
          </w:tcPr>
          <w:p w14:paraId="602B3DDF" w14:textId="196B52F0" w:rsidR="008A7A74" w:rsidRPr="009F65DD" w:rsidRDefault="008A7A74" w:rsidP="008A7A74">
            <w:pPr>
              <w:spacing w:before="60" w:after="60"/>
              <w:rPr>
                <w:rFonts w:eastAsia="Arial Unicode MS"/>
                <w:lang w:val="en-AU"/>
              </w:rPr>
            </w:pPr>
            <w:r w:rsidRPr="009F65DD">
              <w:rPr>
                <w:rFonts w:eastAsia="Arial Unicode MS"/>
                <w:b/>
              </w:rPr>
              <w:t>Included in Annual/Rolling Workplan</w:t>
            </w:r>
            <w:r w:rsidRPr="009F65DD">
              <w:rPr>
                <w:rFonts w:eastAsia="Arial Unicode MS"/>
                <w:i/>
              </w:rPr>
              <w:t xml:space="preserve">: </w:t>
            </w:r>
            <w:r w:rsidR="006362AB" w:rsidRPr="009F65DD">
              <w:rPr>
                <w:rFonts w:eastAsia="Arial Unicode MS"/>
                <w:lang w:val="en-AU"/>
              </w:rPr>
              <w:fldChar w:fldCharType="begin">
                <w:ffData>
                  <w:name w:val=""/>
                  <w:enabled/>
                  <w:calcOnExit w:val="0"/>
                  <w:checkBox>
                    <w:sizeAuto/>
                    <w:default w:val="0"/>
                  </w:checkBox>
                </w:ffData>
              </w:fldChar>
            </w:r>
            <w:r w:rsidR="006362AB" w:rsidRPr="009F65DD">
              <w:rPr>
                <w:rFonts w:eastAsia="Arial Unicode MS"/>
                <w:lang w:val="en-AU"/>
              </w:rPr>
              <w:instrText xml:space="preserve"> FORMCHECKBOX </w:instrText>
            </w:r>
            <w:r w:rsidR="00EE0455">
              <w:rPr>
                <w:rFonts w:eastAsia="Arial Unicode MS"/>
                <w:lang w:val="en-AU"/>
              </w:rPr>
            </w:r>
            <w:r w:rsidR="00EE0455">
              <w:rPr>
                <w:rFonts w:eastAsia="Arial Unicode MS"/>
                <w:lang w:val="en-AU"/>
              </w:rPr>
              <w:fldChar w:fldCharType="separate"/>
            </w:r>
            <w:r w:rsidR="006362AB" w:rsidRPr="009F65DD">
              <w:rPr>
                <w:rFonts w:eastAsia="Arial Unicode MS"/>
                <w:lang w:val="en-AU"/>
              </w:rPr>
              <w:fldChar w:fldCharType="end"/>
            </w:r>
            <w:r w:rsidRPr="009F65DD">
              <w:rPr>
                <w:rFonts w:eastAsia="Arial Unicode MS"/>
                <w:lang w:val="en-AU"/>
              </w:rPr>
              <w:t xml:space="preserve"> Yes </w:t>
            </w:r>
            <w:r w:rsidR="006362AB" w:rsidRPr="009F65DD">
              <w:rPr>
                <w:rFonts w:eastAsia="Arial Unicode MS"/>
                <w:lang w:val="en-AU"/>
              </w:rPr>
              <w:fldChar w:fldCharType="begin">
                <w:ffData>
                  <w:name w:val=""/>
                  <w:enabled/>
                  <w:calcOnExit w:val="0"/>
                  <w:checkBox>
                    <w:sizeAuto/>
                    <w:default w:val="1"/>
                  </w:checkBox>
                </w:ffData>
              </w:fldChar>
            </w:r>
            <w:r w:rsidR="006362AB" w:rsidRPr="009F65DD">
              <w:rPr>
                <w:rFonts w:eastAsia="Arial Unicode MS"/>
                <w:lang w:val="en-AU"/>
              </w:rPr>
              <w:instrText xml:space="preserve"> FORMCHECKBOX </w:instrText>
            </w:r>
            <w:r w:rsidR="00EE0455">
              <w:rPr>
                <w:rFonts w:eastAsia="Arial Unicode MS"/>
                <w:lang w:val="en-AU"/>
              </w:rPr>
            </w:r>
            <w:r w:rsidR="00EE0455">
              <w:rPr>
                <w:rFonts w:eastAsia="Arial Unicode MS"/>
                <w:lang w:val="en-AU"/>
              </w:rPr>
              <w:fldChar w:fldCharType="separate"/>
            </w:r>
            <w:r w:rsidR="006362AB" w:rsidRPr="009F65DD">
              <w:rPr>
                <w:rFonts w:eastAsia="Arial Unicode MS"/>
                <w:lang w:val="en-AU"/>
              </w:rPr>
              <w:fldChar w:fldCharType="end"/>
            </w:r>
            <w:r w:rsidRPr="009F65DD">
              <w:rPr>
                <w:rFonts w:eastAsia="Arial Unicode MS"/>
                <w:lang w:val="en-AU"/>
              </w:rPr>
              <w:t xml:space="preserve"> No, please justify:</w:t>
            </w:r>
          </w:p>
          <w:p w14:paraId="75F18AD8" w14:textId="2CC5019D" w:rsidR="008A7A74" w:rsidRPr="009F65DD" w:rsidRDefault="006362AB" w:rsidP="006362AB">
            <w:pPr>
              <w:spacing w:before="60" w:after="60"/>
              <w:rPr>
                <w:bCs/>
                <w:iCs/>
                <w:lang w:val="fr-FR"/>
              </w:rPr>
            </w:pPr>
            <w:r w:rsidRPr="009F65DD">
              <w:rPr>
                <w:bCs/>
                <w:iCs/>
                <w:lang w:val="fr-FR"/>
              </w:rPr>
              <w:t xml:space="preserve">Cette évaluation </w:t>
            </w:r>
            <w:r w:rsidR="009E6FBA">
              <w:rPr>
                <w:bCs/>
                <w:iCs/>
                <w:lang w:val="fr-FR"/>
              </w:rPr>
              <w:t>a été</w:t>
            </w:r>
            <w:r w:rsidRPr="009F65DD">
              <w:rPr>
                <w:bCs/>
                <w:iCs/>
                <w:lang w:val="fr-FR"/>
              </w:rPr>
              <w:t xml:space="preserve"> décidé</w:t>
            </w:r>
            <w:r w:rsidR="009E6FBA">
              <w:rPr>
                <w:bCs/>
                <w:iCs/>
                <w:lang w:val="fr-FR"/>
              </w:rPr>
              <w:t>e</w:t>
            </w:r>
            <w:r w:rsidRPr="009F65DD">
              <w:rPr>
                <w:bCs/>
                <w:iCs/>
                <w:lang w:val="fr-FR"/>
              </w:rPr>
              <w:t xml:space="preserve"> </w:t>
            </w:r>
            <w:r w:rsidR="009E6FBA">
              <w:rPr>
                <w:bCs/>
                <w:iCs/>
                <w:lang w:val="fr-FR"/>
              </w:rPr>
              <w:t xml:space="preserve">à </w:t>
            </w:r>
            <w:r w:rsidRPr="009F65DD">
              <w:rPr>
                <w:bCs/>
                <w:iCs/>
                <w:lang w:val="fr-FR"/>
              </w:rPr>
              <w:t xml:space="preserve">la suite de l’exercice de la revue </w:t>
            </w:r>
            <w:r w:rsidR="009E6FBA">
              <w:rPr>
                <w:bCs/>
                <w:iCs/>
                <w:lang w:val="fr-FR"/>
              </w:rPr>
              <w:t>à</w:t>
            </w:r>
            <w:r w:rsidRPr="009F65DD">
              <w:rPr>
                <w:bCs/>
                <w:iCs/>
                <w:lang w:val="fr-FR"/>
              </w:rPr>
              <w:t xml:space="preserve"> mi-parcours du programme</w:t>
            </w:r>
            <w:r w:rsidR="009E6FBA">
              <w:rPr>
                <w:bCs/>
                <w:iCs/>
                <w:lang w:val="fr-FR"/>
              </w:rPr>
              <w:t>.</w:t>
            </w:r>
          </w:p>
          <w:p w14:paraId="4E6883D1" w14:textId="77777777" w:rsidR="008A7A74" w:rsidRPr="009F65DD" w:rsidRDefault="008A7A74" w:rsidP="008A7A74">
            <w:pPr>
              <w:spacing w:before="60" w:after="60"/>
              <w:rPr>
                <w:rFonts w:eastAsia="Arial Unicode MS"/>
                <w:i/>
                <w:lang w:val="fr-FR"/>
              </w:rPr>
            </w:pPr>
          </w:p>
        </w:tc>
      </w:tr>
      <w:tr w:rsidR="008A7A74" w:rsidRPr="004D5FF0" w14:paraId="3AE9412E" w14:textId="77777777" w:rsidTr="28E1864A">
        <w:tc>
          <w:tcPr>
            <w:tcW w:w="9887" w:type="dxa"/>
            <w:gridSpan w:val="9"/>
            <w:shd w:val="clear" w:color="auto" w:fill="auto"/>
            <w:noWrap/>
          </w:tcPr>
          <w:p w14:paraId="00C4CF34" w14:textId="08F0FFA0" w:rsidR="008A7A74" w:rsidRPr="009F65DD" w:rsidRDefault="008A7A74" w:rsidP="008A7A74">
            <w:pPr>
              <w:spacing w:before="60" w:after="60"/>
              <w:rPr>
                <w:rFonts w:eastAsia="Arial Unicode MS"/>
                <w:lang w:val="en-AU"/>
              </w:rPr>
            </w:pPr>
            <w:r w:rsidRPr="009F65DD">
              <w:rPr>
                <w:rFonts w:eastAsia="Arial Unicode MS"/>
                <w:b/>
              </w:rPr>
              <w:t xml:space="preserve">Included in Supply Plan or Workforce Planner: </w:t>
            </w:r>
            <w:r w:rsidRPr="009F65DD">
              <w:rPr>
                <w:rFonts w:eastAsia="Arial Unicode MS"/>
                <w:i/>
              </w:rPr>
              <w:t xml:space="preserve"> </w:t>
            </w:r>
            <w:r w:rsidRPr="009F65DD">
              <w:rPr>
                <w:rFonts w:eastAsia="Arial Unicode MS"/>
                <w:lang w:val="en-AU"/>
              </w:rPr>
              <w:fldChar w:fldCharType="begin">
                <w:ffData>
                  <w:name w:val="Check9"/>
                  <w:enabled/>
                  <w:calcOnExit w:val="0"/>
                  <w:checkBox>
                    <w:sizeAuto/>
                    <w:default w:val="0"/>
                  </w:checkBox>
                </w:ffData>
              </w:fldChar>
            </w:r>
            <w:r w:rsidRPr="009F65DD">
              <w:rPr>
                <w:rFonts w:eastAsia="Arial Unicode MS"/>
                <w:lang w:val="en-AU"/>
              </w:rPr>
              <w:instrText xml:space="preserve"> FORMCHECKBOX </w:instrText>
            </w:r>
            <w:r w:rsidR="00EE0455">
              <w:rPr>
                <w:rFonts w:eastAsia="Arial Unicode MS"/>
                <w:lang w:val="en-AU"/>
              </w:rPr>
            </w:r>
            <w:r w:rsidR="00EE0455">
              <w:rPr>
                <w:rFonts w:eastAsia="Arial Unicode MS"/>
                <w:lang w:val="en-AU"/>
              </w:rPr>
              <w:fldChar w:fldCharType="separate"/>
            </w:r>
            <w:r w:rsidRPr="009F65DD">
              <w:rPr>
                <w:rFonts w:eastAsia="Arial Unicode MS"/>
                <w:lang w:val="en-AU"/>
              </w:rPr>
              <w:fldChar w:fldCharType="end"/>
            </w:r>
            <w:r w:rsidRPr="009F65DD">
              <w:rPr>
                <w:rFonts w:eastAsia="Arial Unicode MS"/>
                <w:lang w:val="en-AU"/>
              </w:rPr>
              <w:t xml:space="preserve"> Yes </w:t>
            </w:r>
            <w:r w:rsidRPr="009F65DD">
              <w:rPr>
                <w:rFonts w:eastAsia="Arial Unicode MS"/>
                <w:lang w:val="en-AU"/>
              </w:rPr>
              <w:fldChar w:fldCharType="begin">
                <w:ffData>
                  <w:name w:val=""/>
                  <w:enabled/>
                  <w:calcOnExit w:val="0"/>
                  <w:checkBox>
                    <w:sizeAuto/>
                    <w:default w:val="1"/>
                  </w:checkBox>
                </w:ffData>
              </w:fldChar>
            </w:r>
            <w:r w:rsidRPr="009F65DD">
              <w:rPr>
                <w:rFonts w:eastAsia="Arial Unicode MS"/>
                <w:lang w:val="en-AU"/>
              </w:rPr>
              <w:instrText xml:space="preserve"> FORMCHECKBOX </w:instrText>
            </w:r>
            <w:r w:rsidR="00EE0455">
              <w:rPr>
                <w:rFonts w:eastAsia="Arial Unicode MS"/>
                <w:lang w:val="en-AU"/>
              </w:rPr>
            </w:r>
            <w:r w:rsidR="00EE0455">
              <w:rPr>
                <w:rFonts w:eastAsia="Arial Unicode MS"/>
                <w:lang w:val="en-AU"/>
              </w:rPr>
              <w:fldChar w:fldCharType="separate"/>
            </w:r>
            <w:r w:rsidRPr="009F65DD">
              <w:rPr>
                <w:rFonts w:eastAsia="Arial Unicode MS"/>
                <w:lang w:val="en-AU"/>
              </w:rPr>
              <w:fldChar w:fldCharType="end"/>
            </w:r>
            <w:r w:rsidRPr="009F65DD">
              <w:rPr>
                <w:rFonts w:eastAsia="Arial Unicode MS"/>
                <w:lang w:val="en-AU"/>
              </w:rPr>
              <w:t xml:space="preserve"> No, please justify:</w:t>
            </w:r>
          </w:p>
          <w:p w14:paraId="31A0739F" w14:textId="77777777" w:rsidR="009E6FBA" w:rsidRPr="009F65DD" w:rsidRDefault="009E6FBA" w:rsidP="009E6FBA">
            <w:pPr>
              <w:spacing w:before="60" w:after="60"/>
              <w:rPr>
                <w:bCs/>
                <w:iCs/>
                <w:lang w:val="fr-FR"/>
              </w:rPr>
            </w:pPr>
            <w:r w:rsidRPr="009F65DD">
              <w:rPr>
                <w:bCs/>
                <w:iCs/>
                <w:lang w:val="fr-FR"/>
              </w:rPr>
              <w:t xml:space="preserve">Cette évaluation </w:t>
            </w:r>
            <w:r>
              <w:rPr>
                <w:bCs/>
                <w:iCs/>
                <w:lang w:val="fr-FR"/>
              </w:rPr>
              <w:t>a été</w:t>
            </w:r>
            <w:r w:rsidRPr="009F65DD">
              <w:rPr>
                <w:bCs/>
                <w:iCs/>
                <w:lang w:val="fr-FR"/>
              </w:rPr>
              <w:t xml:space="preserve"> décidé</w:t>
            </w:r>
            <w:r>
              <w:rPr>
                <w:bCs/>
                <w:iCs/>
                <w:lang w:val="fr-FR"/>
              </w:rPr>
              <w:t>e</w:t>
            </w:r>
            <w:r w:rsidRPr="009F65DD">
              <w:rPr>
                <w:bCs/>
                <w:iCs/>
                <w:lang w:val="fr-FR"/>
              </w:rPr>
              <w:t xml:space="preserve"> </w:t>
            </w:r>
            <w:r>
              <w:rPr>
                <w:bCs/>
                <w:iCs/>
                <w:lang w:val="fr-FR"/>
              </w:rPr>
              <w:t xml:space="preserve">à </w:t>
            </w:r>
            <w:r w:rsidRPr="009F65DD">
              <w:rPr>
                <w:bCs/>
                <w:iCs/>
                <w:lang w:val="fr-FR"/>
              </w:rPr>
              <w:t xml:space="preserve">la suite de l’exercice de la revue </w:t>
            </w:r>
            <w:r>
              <w:rPr>
                <w:bCs/>
                <w:iCs/>
                <w:lang w:val="fr-FR"/>
              </w:rPr>
              <w:t>à</w:t>
            </w:r>
            <w:r w:rsidRPr="009F65DD">
              <w:rPr>
                <w:bCs/>
                <w:iCs/>
                <w:lang w:val="fr-FR"/>
              </w:rPr>
              <w:t xml:space="preserve"> mi-parcours du programme</w:t>
            </w:r>
            <w:r>
              <w:rPr>
                <w:bCs/>
                <w:iCs/>
                <w:lang w:val="fr-FR"/>
              </w:rPr>
              <w:t>.</w:t>
            </w:r>
          </w:p>
          <w:p w14:paraId="549A34D2" w14:textId="77777777" w:rsidR="008A7A74" w:rsidRPr="009F65DD" w:rsidRDefault="008A7A74" w:rsidP="008A7A74">
            <w:pPr>
              <w:spacing w:before="60" w:after="60"/>
              <w:rPr>
                <w:rFonts w:eastAsia="Arial Unicode MS"/>
                <w:b/>
                <w:lang w:val="fr-FR"/>
              </w:rPr>
            </w:pPr>
          </w:p>
        </w:tc>
      </w:tr>
      <w:tr w:rsidR="008A7A74" w:rsidRPr="009F65DD" w14:paraId="249F1DD0" w14:textId="77777777" w:rsidTr="28E1864A">
        <w:tc>
          <w:tcPr>
            <w:tcW w:w="3502" w:type="dxa"/>
            <w:shd w:val="clear" w:color="auto" w:fill="auto"/>
            <w:noWrap/>
            <w:hideMark/>
          </w:tcPr>
          <w:p w14:paraId="6260F9B4" w14:textId="77777777" w:rsidR="008A7A74" w:rsidRPr="009F65DD" w:rsidRDefault="008A7A74" w:rsidP="008A7A74">
            <w:pPr>
              <w:spacing w:before="100" w:beforeAutospacing="1" w:after="100" w:afterAutospacing="1"/>
              <w:rPr>
                <w:rFonts w:eastAsia="Arial Unicode MS"/>
                <w:b/>
                <w:lang w:val="en-AU"/>
              </w:rPr>
            </w:pPr>
            <w:r w:rsidRPr="009F65DD">
              <w:rPr>
                <w:rFonts w:eastAsia="Arial Unicode MS"/>
                <w:b/>
                <w:lang w:val="en-AU"/>
              </w:rPr>
              <w:lastRenderedPageBreak/>
              <w:t>Start Date:</w:t>
            </w:r>
          </w:p>
        </w:tc>
        <w:tc>
          <w:tcPr>
            <w:tcW w:w="3158" w:type="dxa"/>
            <w:gridSpan w:val="4"/>
            <w:shd w:val="clear" w:color="auto" w:fill="auto"/>
          </w:tcPr>
          <w:p w14:paraId="3D584F59" w14:textId="77777777" w:rsidR="008A7A74" w:rsidRPr="009F65DD" w:rsidRDefault="008A7A74" w:rsidP="008A7A74">
            <w:pPr>
              <w:spacing w:before="100" w:beforeAutospacing="1" w:after="100" w:afterAutospacing="1"/>
              <w:rPr>
                <w:rFonts w:eastAsia="Arial Unicode MS"/>
                <w:b/>
                <w:lang w:val="en-AU"/>
              </w:rPr>
            </w:pPr>
            <w:r w:rsidRPr="009F65DD">
              <w:rPr>
                <w:rFonts w:eastAsia="Arial Unicode MS"/>
                <w:b/>
                <w:lang w:val="en-AU"/>
              </w:rPr>
              <w:t>End Date:</w:t>
            </w:r>
          </w:p>
        </w:tc>
        <w:tc>
          <w:tcPr>
            <w:tcW w:w="3227" w:type="dxa"/>
            <w:gridSpan w:val="4"/>
            <w:shd w:val="clear" w:color="auto" w:fill="auto"/>
          </w:tcPr>
          <w:p w14:paraId="7FE8E4D1" w14:textId="77777777" w:rsidR="008A7A74" w:rsidRPr="009F65DD" w:rsidRDefault="008A7A74" w:rsidP="008A7A74">
            <w:pPr>
              <w:spacing w:before="100" w:beforeAutospacing="1" w:after="100" w:afterAutospacing="1"/>
              <w:rPr>
                <w:rFonts w:eastAsia="Arial Unicode MS"/>
                <w:b/>
                <w:lang w:val="en-AU"/>
              </w:rPr>
            </w:pPr>
            <w:r w:rsidRPr="009F65DD">
              <w:rPr>
                <w:rFonts w:eastAsia="Arial Unicode MS"/>
                <w:b/>
                <w:lang w:val="en-AU"/>
              </w:rPr>
              <w:t>Number of Days (working)</w:t>
            </w:r>
          </w:p>
        </w:tc>
      </w:tr>
      <w:tr w:rsidR="008A7A74" w:rsidRPr="009F65DD" w14:paraId="4B7E4053" w14:textId="77777777" w:rsidTr="004D5FF0">
        <w:trPr>
          <w:trHeight w:val="461"/>
        </w:trPr>
        <w:tc>
          <w:tcPr>
            <w:tcW w:w="3502" w:type="dxa"/>
            <w:shd w:val="clear" w:color="auto" w:fill="auto"/>
            <w:noWrap/>
          </w:tcPr>
          <w:p w14:paraId="07478005" w14:textId="584503C0" w:rsidR="008A7A74" w:rsidRPr="009F65DD" w:rsidRDefault="008A7A74" w:rsidP="008A7A74">
            <w:pPr>
              <w:spacing w:before="60" w:after="60"/>
              <w:rPr>
                <w:rFonts w:eastAsia="Arial Unicode MS"/>
                <w:i/>
                <w:iCs/>
                <w:lang w:val="en-AU"/>
              </w:rPr>
            </w:pPr>
            <w:r w:rsidRPr="009F65DD">
              <w:rPr>
                <w:rFonts w:eastAsia="Arial Unicode MS"/>
                <w:b/>
                <w:lang w:val="en-AU"/>
              </w:rPr>
              <w:t>1</w:t>
            </w:r>
            <w:r w:rsidR="002D7E5D" w:rsidRPr="009F65DD">
              <w:rPr>
                <w:rFonts w:eastAsia="Arial Unicode MS"/>
                <w:b/>
                <w:lang w:val="en-AU"/>
              </w:rPr>
              <w:t>6</w:t>
            </w:r>
            <w:r w:rsidRPr="009F65DD">
              <w:rPr>
                <w:rFonts w:eastAsia="Arial Unicode MS"/>
                <w:b/>
                <w:lang w:val="en-AU"/>
              </w:rPr>
              <w:t xml:space="preserve"> </w:t>
            </w:r>
            <w:proofErr w:type="spellStart"/>
            <w:r w:rsidR="009E6FBA">
              <w:rPr>
                <w:rFonts w:eastAsia="Arial Unicode MS"/>
                <w:b/>
                <w:lang w:val="en-AU"/>
              </w:rPr>
              <w:t>o</w:t>
            </w:r>
            <w:r w:rsidR="00DC3838" w:rsidRPr="009F65DD">
              <w:rPr>
                <w:rFonts w:eastAsia="Arial Unicode MS"/>
                <w:b/>
                <w:lang w:val="en-AU"/>
              </w:rPr>
              <w:t>ctobre</w:t>
            </w:r>
            <w:proofErr w:type="spellEnd"/>
            <w:r w:rsidRPr="009F65DD">
              <w:rPr>
                <w:rFonts w:eastAsia="Arial Unicode MS"/>
                <w:b/>
                <w:lang w:val="en-AU"/>
              </w:rPr>
              <w:t xml:space="preserve"> 2022</w:t>
            </w:r>
          </w:p>
          <w:p w14:paraId="6E2EFBBC" w14:textId="77777777" w:rsidR="008A7A74" w:rsidRPr="009F65DD" w:rsidRDefault="008A7A74" w:rsidP="008A7A74">
            <w:pPr>
              <w:spacing w:before="60" w:after="60"/>
              <w:rPr>
                <w:rFonts w:eastAsia="Arial Unicode MS"/>
                <w:i/>
                <w:iCs/>
                <w:lang w:val="en-AU"/>
              </w:rPr>
            </w:pPr>
          </w:p>
        </w:tc>
        <w:tc>
          <w:tcPr>
            <w:tcW w:w="3158" w:type="dxa"/>
            <w:gridSpan w:val="4"/>
            <w:shd w:val="clear" w:color="auto" w:fill="auto"/>
          </w:tcPr>
          <w:p w14:paraId="1B7C54AF" w14:textId="213712EE" w:rsidR="008A7A74" w:rsidRPr="009F65DD" w:rsidRDefault="002D7E5D" w:rsidP="008A7A74">
            <w:pPr>
              <w:spacing w:before="60" w:after="60"/>
              <w:rPr>
                <w:rFonts w:eastAsia="Arial Unicode MS"/>
                <w:i/>
                <w:iCs/>
                <w:lang w:val="en-AU"/>
              </w:rPr>
            </w:pPr>
            <w:r w:rsidRPr="009F65DD">
              <w:rPr>
                <w:rFonts w:eastAsia="Arial Unicode MS"/>
                <w:b/>
                <w:lang w:val="en-AU"/>
              </w:rPr>
              <w:t>30</w:t>
            </w:r>
            <w:r w:rsidR="008A7A74" w:rsidRPr="009F65DD">
              <w:rPr>
                <w:rFonts w:eastAsia="Arial Unicode MS"/>
                <w:b/>
                <w:lang w:val="en-AU"/>
              </w:rPr>
              <w:t xml:space="preserve"> </w:t>
            </w:r>
            <w:proofErr w:type="spellStart"/>
            <w:r w:rsidR="008A7A74" w:rsidRPr="009F65DD">
              <w:rPr>
                <w:rFonts w:eastAsia="Arial Unicode MS"/>
                <w:b/>
                <w:lang w:val="en-AU"/>
              </w:rPr>
              <w:t>d</w:t>
            </w:r>
            <w:r w:rsidR="009E6FBA">
              <w:rPr>
                <w:rFonts w:eastAsia="Arial Unicode MS"/>
                <w:b/>
                <w:lang w:val="en-AU"/>
              </w:rPr>
              <w:t>é</w:t>
            </w:r>
            <w:r w:rsidR="008A7A74" w:rsidRPr="009F65DD">
              <w:rPr>
                <w:rFonts w:eastAsia="Arial Unicode MS"/>
                <w:b/>
                <w:lang w:val="en-AU"/>
              </w:rPr>
              <w:t>cembre</w:t>
            </w:r>
            <w:proofErr w:type="spellEnd"/>
            <w:r w:rsidR="008A7A74" w:rsidRPr="009F65DD">
              <w:rPr>
                <w:rFonts w:eastAsia="Arial Unicode MS"/>
                <w:b/>
                <w:lang w:val="en-AU"/>
              </w:rPr>
              <w:t xml:space="preserve"> 2022</w:t>
            </w:r>
          </w:p>
        </w:tc>
        <w:tc>
          <w:tcPr>
            <w:tcW w:w="3227" w:type="dxa"/>
            <w:gridSpan w:val="4"/>
            <w:shd w:val="clear" w:color="auto" w:fill="auto"/>
          </w:tcPr>
          <w:p w14:paraId="0BC97AF2" w14:textId="0C9DEF93" w:rsidR="008A7A74" w:rsidRPr="009F65DD" w:rsidRDefault="0045509A" w:rsidP="008A7A74">
            <w:pPr>
              <w:spacing w:before="60" w:after="60"/>
              <w:rPr>
                <w:rFonts w:eastAsia="Arial Unicode MS"/>
                <w:b/>
                <w:bCs/>
                <w:i/>
                <w:iCs/>
                <w:lang w:val="en-AU"/>
              </w:rPr>
            </w:pPr>
            <w:r>
              <w:rPr>
                <w:rFonts w:eastAsia="Arial Unicode MS"/>
                <w:b/>
                <w:bCs/>
                <w:i/>
                <w:iCs/>
                <w:lang w:val="en-AU"/>
              </w:rPr>
              <w:t>4</w:t>
            </w:r>
            <w:r w:rsidR="002D7E5D" w:rsidRPr="009F65DD">
              <w:rPr>
                <w:rFonts w:eastAsia="Arial Unicode MS"/>
                <w:b/>
                <w:bCs/>
                <w:i/>
                <w:iCs/>
                <w:lang w:val="en-AU"/>
              </w:rPr>
              <w:t>7</w:t>
            </w:r>
            <w:r w:rsidR="008A7A74" w:rsidRPr="009F65DD">
              <w:rPr>
                <w:rFonts w:eastAsia="Arial Unicode MS"/>
                <w:b/>
                <w:bCs/>
                <w:i/>
                <w:iCs/>
                <w:lang w:val="en-AU"/>
              </w:rPr>
              <w:t xml:space="preserve"> </w:t>
            </w:r>
            <w:proofErr w:type="spellStart"/>
            <w:r w:rsidR="008A7A74" w:rsidRPr="009F65DD">
              <w:rPr>
                <w:rFonts w:eastAsia="Arial Unicode MS"/>
                <w:b/>
                <w:bCs/>
                <w:i/>
                <w:iCs/>
                <w:lang w:val="en-AU"/>
              </w:rPr>
              <w:t>jours</w:t>
            </w:r>
            <w:proofErr w:type="spellEnd"/>
          </w:p>
        </w:tc>
      </w:tr>
      <w:tr w:rsidR="008A7A74" w:rsidRPr="009F65DD" w14:paraId="1754E205" w14:textId="77777777" w:rsidTr="28E1864A">
        <w:trPr>
          <w:trHeight w:val="314"/>
        </w:trPr>
        <w:tc>
          <w:tcPr>
            <w:tcW w:w="9887" w:type="dxa"/>
            <w:gridSpan w:val="9"/>
            <w:shd w:val="clear" w:color="auto" w:fill="auto"/>
            <w:noWrap/>
          </w:tcPr>
          <w:p w14:paraId="6E7EF39E" w14:textId="539BB07F" w:rsidR="008A7A74" w:rsidRPr="009F65DD" w:rsidRDefault="008A7A74" w:rsidP="008A7A74">
            <w:pPr>
              <w:rPr>
                <w:rFonts w:eastAsia="Arial Unicode MS"/>
                <w:b/>
                <w:lang w:val="en-AU"/>
              </w:rPr>
            </w:pPr>
            <w:r w:rsidRPr="009F65DD">
              <w:rPr>
                <w:rFonts w:eastAsia="Arial Unicode MS"/>
                <w:b/>
                <w:lang w:val="en-AU"/>
              </w:rPr>
              <w:t xml:space="preserve">Work Schedule/work plan: </w:t>
            </w:r>
            <w:r w:rsidRPr="009F65DD">
              <w:rPr>
                <w:rFonts w:eastAsia="Arial Unicode MS"/>
                <w:bCs/>
                <w:i/>
                <w:iCs/>
                <w:color w:val="595959" w:themeColor="text1" w:themeTint="A6"/>
                <w:sz w:val="18"/>
                <w:szCs w:val="18"/>
                <w:lang w:val="en-AU"/>
              </w:rPr>
              <w:t>You can adjust the table as needed.</w:t>
            </w:r>
          </w:p>
        </w:tc>
      </w:tr>
      <w:tr w:rsidR="008A7A74" w:rsidRPr="009F65DD" w14:paraId="18DF8626" w14:textId="77777777" w:rsidTr="28E1864A">
        <w:trPr>
          <w:trHeight w:val="422"/>
        </w:trPr>
        <w:tc>
          <w:tcPr>
            <w:tcW w:w="5486" w:type="dxa"/>
            <w:gridSpan w:val="4"/>
            <w:shd w:val="clear" w:color="auto" w:fill="auto"/>
            <w:noWrap/>
            <w:vAlign w:val="center"/>
          </w:tcPr>
          <w:p w14:paraId="2E6FA9C4" w14:textId="77777777" w:rsidR="008A7A74" w:rsidRPr="009F65DD" w:rsidRDefault="008A7A74" w:rsidP="008A7A74">
            <w:pPr>
              <w:jc w:val="center"/>
              <w:rPr>
                <w:rFonts w:eastAsia="Arial Unicode MS"/>
                <w:b/>
                <w:bCs/>
                <w:lang w:val="en-AU"/>
              </w:rPr>
            </w:pPr>
            <w:r w:rsidRPr="009F65DD">
              <w:rPr>
                <w:b/>
                <w:bCs/>
              </w:rPr>
              <w:t>Activity</w:t>
            </w:r>
          </w:p>
        </w:tc>
        <w:tc>
          <w:tcPr>
            <w:tcW w:w="1530" w:type="dxa"/>
            <w:gridSpan w:val="2"/>
            <w:shd w:val="clear" w:color="auto" w:fill="auto"/>
            <w:vAlign w:val="center"/>
          </w:tcPr>
          <w:p w14:paraId="0CD096C7" w14:textId="77777777" w:rsidR="008A7A74" w:rsidRPr="009F65DD" w:rsidRDefault="008A7A74" w:rsidP="008A7A74">
            <w:pPr>
              <w:jc w:val="center"/>
              <w:rPr>
                <w:rFonts w:eastAsia="Arial Unicode MS"/>
                <w:b/>
                <w:bCs/>
                <w:lang w:val="en-AU"/>
              </w:rPr>
            </w:pPr>
            <w:r w:rsidRPr="009F65DD">
              <w:rPr>
                <w:b/>
                <w:bCs/>
              </w:rPr>
              <w:t>In country</w:t>
            </w:r>
          </w:p>
        </w:tc>
        <w:tc>
          <w:tcPr>
            <w:tcW w:w="1350" w:type="dxa"/>
            <w:gridSpan w:val="2"/>
            <w:shd w:val="clear" w:color="auto" w:fill="auto"/>
            <w:vAlign w:val="center"/>
          </w:tcPr>
          <w:p w14:paraId="39350A37" w14:textId="77777777" w:rsidR="008A7A74" w:rsidRPr="009F65DD" w:rsidRDefault="008A7A74" w:rsidP="008A7A74">
            <w:pPr>
              <w:jc w:val="center"/>
              <w:rPr>
                <w:rFonts w:eastAsia="Arial Unicode MS"/>
                <w:b/>
                <w:bCs/>
                <w:lang w:val="en-AU"/>
              </w:rPr>
            </w:pPr>
            <w:r w:rsidRPr="009F65DD">
              <w:rPr>
                <w:b/>
                <w:bCs/>
              </w:rPr>
              <w:t xml:space="preserve">Remote </w:t>
            </w:r>
          </w:p>
        </w:tc>
        <w:tc>
          <w:tcPr>
            <w:tcW w:w="1521" w:type="dxa"/>
            <w:shd w:val="clear" w:color="auto" w:fill="auto"/>
            <w:vAlign w:val="center"/>
          </w:tcPr>
          <w:p w14:paraId="42D5A31E" w14:textId="77777777" w:rsidR="008A7A74" w:rsidRPr="009F65DD" w:rsidRDefault="008A7A74" w:rsidP="008A7A74">
            <w:pPr>
              <w:jc w:val="center"/>
              <w:rPr>
                <w:rFonts w:eastAsia="Arial Unicode MS"/>
                <w:b/>
                <w:bCs/>
                <w:lang w:val="en-AU"/>
              </w:rPr>
            </w:pPr>
            <w:r w:rsidRPr="009F65DD">
              <w:rPr>
                <w:b/>
                <w:bCs/>
              </w:rPr>
              <w:t>Duration</w:t>
            </w:r>
          </w:p>
        </w:tc>
      </w:tr>
      <w:tr w:rsidR="008A7A74" w:rsidRPr="009F65DD" w14:paraId="0E375EF5" w14:textId="77777777" w:rsidTr="28E1864A">
        <w:trPr>
          <w:trHeight w:val="296"/>
        </w:trPr>
        <w:tc>
          <w:tcPr>
            <w:tcW w:w="5486" w:type="dxa"/>
            <w:gridSpan w:val="4"/>
            <w:shd w:val="clear" w:color="auto" w:fill="auto"/>
            <w:noWrap/>
          </w:tcPr>
          <w:p w14:paraId="522A27E3" w14:textId="5B8B3254" w:rsidR="008A7A74" w:rsidRPr="009F65DD" w:rsidRDefault="008A7A74" w:rsidP="008A7A74">
            <w:pPr>
              <w:rPr>
                <w:rFonts w:eastAsia="Arial Unicode MS"/>
                <w:bCs/>
                <w:lang w:val="fr-FR"/>
              </w:rPr>
            </w:pPr>
            <w:r w:rsidRPr="009F65DD">
              <w:rPr>
                <w:rFonts w:eastAsia="Arial Unicode MS"/>
                <w:bCs/>
                <w:lang w:val="fr-FR"/>
              </w:rPr>
              <w:t>1. Rédaction et validation du rapport de démarrage</w:t>
            </w:r>
          </w:p>
        </w:tc>
        <w:tc>
          <w:tcPr>
            <w:tcW w:w="1530" w:type="dxa"/>
            <w:gridSpan w:val="2"/>
            <w:shd w:val="clear" w:color="auto" w:fill="auto"/>
          </w:tcPr>
          <w:p w14:paraId="3648FF44" w14:textId="1B099A85" w:rsidR="008A7A74" w:rsidRPr="009F65DD" w:rsidRDefault="008A7A74" w:rsidP="008A7A74">
            <w:pPr>
              <w:rPr>
                <w:rFonts w:eastAsia="Arial Unicode MS"/>
                <w:bCs/>
                <w:lang w:val="fr-FR"/>
              </w:rPr>
            </w:pPr>
          </w:p>
        </w:tc>
        <w:tc>
          <w:tcPr>
            <w:tcW w:w="1350" w:type="dxa"/>
            <w:gridSpan w:val="2"/>
            <w:shd w:val="clear" w:color="auto" w:fill="auto"/>
          </w:tcPr>
          <w:p w14:paraId="29759857" w14:textId="5959F8A0" w:rsidR="008A7A74" w:rsidRPr="009F65DD" w:rsidRDefault="008A7A74" w:rsidP="008A7A74">
            <w:pPr>
              <w:rPr>
                <w:rFonts w:eastAsia="Arial Unicode MS"/>
                <w:bCs/>
                <w:lang w:val="fr-FR"/>
              </w:rPr>
            </w:pPr>
            <w:r w:rsidRPr="009F65DD">
              <w:rPr>
                <w:rFonts w:eastAsia="Arial Unicode MS"/>
                <w:bCs/>
                <w:lang w:val="fr-FR"/>
              </w:rPr>
              <w:t>x</w:t>
            </w:r>
          </w:p>
        </w:tc>
        <w:tc>
          <w:tcPr>
            <w:tcW w:w="1521" w:type="dxa"/>
            <w:shd w:val="clear" w:color="auto" w:fill="auto"/>
          </w:tcPr>
          <w:p w14:paraId="1F6203C5" w14:textId="59D67799" w:rsidR="008A7A74" w:rsidRPr="009E6FBA" w:rsidRDefault="009E6FBA" w:rsidP="009E6FBA">
            <w:pPr>
              <w:rPr>
                <w:rFonts w:eastAsia="Arial Unicode MS"/>
                <w:bCs/>
                <w:lang w:val="fr-FR"/>
              </w:rPr>
            </w:pPr>
            <w:r>
              <w:rPr>
                <w:rFonts w:eastAsia="Arial Unicode MS"/>
                <w:bCs/>
                <w:lang w:val="fr-FR"/>
              </w:rPr>
              <w:t xml:space="preserve">10 </w:t>
            </w:r>
            <w:r w:rsidR="008A7A74" w:rsidRPr="009E6FBA">
              <w:rPr>
                <w:rFonts w:eastAsia="Arial Unicode MS"/>
                <w:bCs/>
                <w:lang w:val="fr-FR"/>
              </w:rPr>
              <w:t>jours</w:t>
            </w:r>
          </w:p>
        </w:tc>
      </w:tr>
      <w:tr w:rsidR="008A7A74" w:rsidRPr="009F65DD" w14:paraId="64EF2EAF" w14:textId="77777777" w:rsidTr="28E1864A">
        <w:trPr>
          <w:trHeight w:val="269"/>
        </w:trPr>
        <w:tc>
          <w:tcPr>
            <w:tcW w:w="5486" w:type="dxa"/>
            <w:gridSpan w:val="4"/>
            <w:shd w:val="clear" w:color="auto" w:fill="auto"/>
            <w:noWrap/>
          </w:tcPr>
          <w:p w14:paraId="385B2900" w14:textId="5F84ABF2" w:rsidR="008A7A74" w:rsidRPr="009E6FBA" w:rsidRDefault="009E6FBA" w:rsidP="009E6FBA">
            <w:pPr>
              <w:rPr>
                <w:rFonts w:eastAsia="Arial Unicode MS"/>
                <w:bCs/>
                <w:lang w:val="fr-FR"/>
              </w:rPr>
            </w:pPr>
            <w:r>
              <w:rPr>
                <w:rFonts w:eastAsia="Arial Unicode MS"/>
                <w:bCs/>
                <w:lang w:val="fr-FR"/>
              </w:rPr>
              <w:t xml:space="preserve">2. </w:t>
            </w:r>
            <w:r w:rsidR="008A7A74" w:rsidRPr="009E6FBA">
              <w:rPr>
                <w:rFonts w:eastAsia="Arial Unicode MS"/>
                <w:bCs/>
                <w:lang w:val="fr-FR"/>
              </w:rPr>
              <w:t>Collecte des données et présentation des résultats préliminaire</w:t>
            </w:r>
            <w:r>
              <w:rPr>
                <w:rFonts w:eastAsia="Arial Unicode MS"/>
                <w:bCs/>
                <w:lang w:val="fr-FR"/>
              </w:rPr>
              <w:t>s</w:t>
            </w:r>
          </w:p>
        </w:tc>
        <w:tc>
          <w:tcPr>
            <w:tcW w:w="1530" w:type="dxa"/>
            <w:gridSpan w:val="2"/>
            <w:shd w:val="clear" w:color="auto" w:fill="auto"/>
          </w:tcPr>
          <w:p w14:paraId="1C40BF24" w14:textId="37B8CF8E" w:rsidR="008A7A74" w:rsidRPr="009F65DD" w:rsidRDefault="008A7A74" w:rsidP="008A7A74">
            <w:pPr>
              <w:rPr>
                <w:rFonts w:eastAsia="Arial Unicode MS"/>
                <w:bCs/>
                <w:lang w:val="fr-FR"/>
              </w:rPr>
            </w:pPr>
            <w:r w:rsidRPr="009F65DD">
              <w:rPr>
                <w:rFonts w:eastAsia="Arial Unicode MS"/>
                <w:bCs/>
                <w:lang w:val="fr-FR"/>
              </w:rPr>
              <w:t>x</w:t>
            </w:r>
          </w:p>
        </w:tc>
        <w:tc>
          <w:tcPr>
            <w:tcW w:w="1350" w:type="dxa"/>
            <w:gridSpan w:val="2"/>
            <w:shd w:val="clear" w:color="auto" w:fill="auto"/>
          </w:tcPr>
          <w:p w14:paraId="7AF18F42" w14:textId="77777777" w:rsidR="008A7A74" w:rsidRPr="009F65DD" w:rsidRDefault="008A7A74" w:rsidP="008A7A74">
            <w:pPr>
              <w:rPr>
                <w:rFonts w:eastAsia="Arial Unicode MS"/>
                <w:bCs/>
                <w:lang w:val="fr-FR"/>
              </w:rPr>
            </w:pPr>
          </w:p>
        </w:tc>
        <w:tc>
          <w:tcPr>
            <w:tcW w:w="1521" w:type="dxa"/>
            <w:shd w:val="clear" w:color="auto" w:fill="auto"/>
          </w:tcPr>
          <w:p w14:paraId="2011C63F" w14:textId="3D8A914F" w:rsidR="008A7A74" w:rsidRPr="009E6FBA" w:rsidRDefault="009E6FBA" w:rsidP="009E6FBA">
            <w:pPr>
              <w:rPr>
                <w:rFonts w:eastAsia="Arial Unicode MS"/>
                <w:bCs/>
                <w:lang w:val="fr-FR"/>
              </w:rPr>
            </w:pPr>
            <w:r>
              <w:rPr>
                <w:rFonts w:eastAsia="Arial Unicode MS"/>
                <w:bCs/>
                <w:lang w:val="fr-FR"/>
              </w:rPr>
              <w:t xml:space="preserve">22 </w:t>
            </w:r>
            <w:r w:rsidR="008A7A74" w:rsidRPr="009E6FBA">
              <w:rPr>
                <w:rFonts w:eastAsia="Arial Unicode MS"/>
                <w:bCs/>
                <w:lang w:val="fr-FR"/>
              </w:rPr>
              <w:t>jours</w:t>
            </w:r>
          </w:p>
        </w:tc>
      </w:tr>
      <w:tr w:rsidR="008A7A74" w:rsidRPr="009F65DD" w14:paraId="5F66CB8D" w14:textId="77777777" w:rsidTr="28E1864A">
        <w:trPr>
          <w:trHeight w:val="269"/>
        </w:trPr>
        <w:tc>
          <w:tcPr>
            <w:tcW w:w="5486" w:type="dxa"/>
            <w:gridSpan w:val="4"/>
            <w:shd w:val="clear" w:color="auto" w:fill="auto"/>
            <w:noWrap/>
          </w:tcPr>
          <w:p w14:paraId="46DEDA92" w14:textId="48E0C6F3" w:rsidR="008A7A74" w:rsidRPr="009E6FBA" w:rsidRDefault="009E6FBA" w:rsidP="009E6FBA">
            <w:pPr>
              <w:rPr>
                <w:rFonts w:eastAsia="Arial Unicode MS"/>
                <w:bCs/>
                <w:lang w:val="fr-FR"/>
              </w:rPr>
            </w:pPr>
            <w:r>
              <w:rPr>
                <w:rFonts w:eastAsia="Arial Unicode MS"/>
                <w:bCs/>
                <w:lang w:val="fr-FR"/>
              </w:rPr>
              <w:t xml:space="preserve">3. </w:t>
            </w:r>
            <w:r w:rsidR="008A7A74" w:rsidRPr="009E6FBA">
              <w:rPr>
                <w:rFonts w:eastAsia="Arial Unicode MS"/>
                <w:bCs/>
                <w:lang w:val="fr-FR"/>
              </w:rPr>
              <w:t>Rédaction et finalisation du rapport d’évaluation</w:t>
            </w:r>
          </w:p>
        </w:tc>
        <w:tc>
          <w:tcPr>
            <w:tcW w:w="1530" w:type="dxa"/>
            <w:gridSpan w:val="2"/>
            <w:shd w:val="clear" w:color="auto" w:fill="auto"/>
          </w:tcPr>
          <w:p w14:paraId="6E73FB90" w14:textId="2884FD9F" w:rsidR="008A7A74" w:rsidRPr="009F65DD" w:rsidRDefault="008A7A74" w:rsidP="008A7A74">
            <w:pPr>
              <w:rPr>
                <w:rFonts w:eastAsia="Arial Unicode MS"/>
                <w:bCs/>
                <w:lang w:val="fr-FR"/>
              </w:rPr>
            </w:pPr>
            <w:r w:rsidRPr="009F65DD">
              <w:rPr>
                <w:rFonts w:eastAsia="Arial Unicode MS"/>
                <w:bCs/>
                <w:lang w:val="fr-FR"/>
              </w:rPr>
              <w:t xml:space="preserve">2 jours </w:t>
            </w:r>
          </w:p>
        </w:tc>
        <w:tc>
          <w:tcPr>
            <w:tcW w:w="1350" w:type="dxa"/>
            <w:gridSpan w:val="2"/>
            <w:shd w:val="clear" w:color="auto" w:fill="auto"/>
          </w:tcPr>
          <w:p w14:paraId="7286AC0F" w14:textId="1135E25D" w:rsidR="008A7A74" w:rsidRPr="009F65DD" w:rsidRDefault="008A7A74" w:rsidP="008A7A74">
            <w:pPr>
              <w:rPr>
                <w:rFonts w:eastAsia="Arial Unicode MS"/>
                <w:bCs/>
                <w:lang w:val="fr-FR"/>
              </w:rPr>
            </w:pPr>
            <w:r w:rsidRPr="009F65DD">
              <w:rPr>
                <w:rFonts w:eastAsia="Arial Unicode MS"/>
                <w:bCs/>
                <w:lang w:val="fr-FR"/>
              </w:rPr>
              <w:t>13 jours</w:t>
            </w:r>
          </w:p>
        </w:tc>
        <w:tc>
          <w:tcPr>
            <w:tcW w:w="1521" w:type="dxa"/>
            <w:shd w:val="clear" w:color="auto" w:fill="auto"/>
          </w:tcPr>
          <w:p w14:paraId="3383B941" w14:textId="060125A4" w:rsidR="008A7A74" w:rsidRPr="009F65DD" w:rsidRDefault="008A7A74" w:rsidP="008A7A74">
            <w:pPr>
              <w:rPr>
                <w:rFonts w:eastAsia="Arial Unicode MS"/>
                <w:bCs/>
                <w:lang w:val="fr-FR"/>
              </w:rPr>
            </w:pPr>
            <w:r w:rsidRPr="009F65DD">
              <w:rPr>
                <w:rFonts w:eastAsia="Arial Unicode MS"/>
                <w:bCs/>
                <w:lang w:val="fr-FR"/>
              </w:rPr>
              <w:t>15 jours</w:t>
            </w:r>
          </w:p>
        </w:tc>
      </w:tr>
      <w:tr w:rsidR="008A7A74" w:rsidRPr="009F65DD" w14:paraId="1263739D" w14:textId="77777777" w:rsidTr="28E1864A">
        <w:trPr>
          <w:trHeight w:val="260"/>
        </w:trPr>
        <w:tc>
          <w:tcPr>
            <w:tcW w:w="9887" w:type="dxa"/>
            <w:gridSpan w:val="9"/>
            <w:shd w:val="clear" w:color="auto" w:fill="auto"/>
            <w:noWrap/>
          </w:tcPr>
          <w:p w14:paraId="262C73CE" w14:textId="77777777" w:rsidR="008A7A74" w:rsidRPr="009F65DD" w:rsidRDefault="008A7A74" w:rsidP="008A7A74">
            <w:pPr>
              <w:spacing w:before="60" w:after="60"/>
              <w:rPr>
                <w:rFonts w:eastAsia="Arial Unicode MS"/>
                <w:b/>
                <w:lang w:val="en-AU"/>
              </w:rPr>
            </w:pPr>
            <w:r w:rsidRPr="009F65DD">
              <w:rPr>
                <w:rFonts w:eastAsia="Arial Unicode MS"/>
                <w:b/>
                <w:lang w:val="en-AU"/>
              </w:rPr>
              <w:t>Deliverable and payment schedule:</w:t>
            </w:r>
          </w:p>
        </w:tc>
      </w:tr>
      <w:tr w:rsidR="008A7A74" w:rsidRPr="009F65DD" w14:paraId="04E6B388" w14:textId="77777777" w:rsidTr="28E1864A">
        <w:trPr>
          <w:trHeight w:val="350"/>
        </w:trPr>
        <w:tc>
          <w:tcPr>
            <w:tcW w:w="5486" w:type="dxa"/>
            <w:gridSpan w:val="4"/>
            <w:shd w:val="clear" w:color="auto" w:fill="F2F2F2" w:themeFill="background1" w:themeFillShade="F2"/>
            <w:noWrap/>
          </w:tcPr>
          <w:p w14:paraId="0C571658" w14:textId="77777777" w:rsidR="008A7A74" w:rsidRPr="009F65DD" w:rsidRDefault="008A7A74" w:rsidP="008A7A74">
            <w:pPr>
              <w:spacing w:before="60" w:after="60"/>
              <w:jc w:val="center"/>
              <w:rPr>
                <w:rFonts w:eastAsia="Arial Unicode MS"/>
                <w:i/>
                <w:iCs/>
                <w:lang w:val="en-AU"/>
              </w:rPr>
            </w:pPr>
            <w:r w:rsidRPr="009F65DD">
              <w:rPr>
                <w:rFonts w:eastAsia="Arial Unicode MS"/>
                <w:lang w:val="en-AU"/>
              </w:rPr>
              <w:t>Deliverables/Outputs:</w:t>
            </w:r>
          </w:p>
        </w:tc>
        <w:tc>
          <w:tcPr>
            <w:tcW w:w="2074" w:type="dxa"/>
            <w:gridSpan w:val="3"/>
            <w:shd w:val="clear" w:color="auto" w:fill="F2F2F2" w:themeFill="background1" w:themeFillShade="F2"/>
          </w:tcPr>
          <w:p w14:paraId="0400EC50" w14:textId="77777777" w:rsidR="008A7A74" w:rsidRPr="009F65DD" w:rsidRDefault="008A7A74" w:rsidP="008A7A74">
            <w:pPr>
              <w:spacing w:before="60" w:after="60"/>
              <w:jc w:val="center"/>
              <w:rPr>
                <w:rFonts w:eastAsia="Arial Unicode MS"/>
                <w:i/>
                <w:iCs/>
                <w:lang w:val="en-AU"/>
              </w:rPr>
            </w:pPr>
            <w:r w:rsidRPr="009F65DD">
              <w:rPr>
                <w:rFonts w:eastAsia="Arial Unicode MS"/>
                <w:lang w:val="en-AU"/>
              </w:rPr>
              <w:t>Timeline</w:t>
            </w:r>
          </w:p>
        </w:tc>
        <w:tc>
          <w:tcPr>
            <w:tcW w:w="2327" w:type="dxa"/>
            <w:gridSpan w:val="2"/>
            <w:shd w:val="clear" w:color="auto" w:fill="F2F2F2" w:themeFill="background1" w:themeFillShade="F2"/>
          </w:tcPr>
          <w:p w14:paraId="32767156" w14:textId="3E18421E" w:rsidR="008A7A74" w:rsidRPr="009F65DD" w:rsidRDefault="008A7A74" w:rsidP="008A7A74">
            <w:pPr>
              <w:spacing w:before="60" w:after="60"/>
              <w:jc w:val="center"/>
              <w:rPr>
                <w:rFonts w:eastAsia="Arial Unicode MS"/>
                <w:i/>
                <w:iCs/>
                <w:lang w:val="en-AU"/>
              </w:rPr>
            </w:pPr>
          </w:p>
        </w:tc>
      </w:tr>
      <w:tr w:rsidR="008A7A74" w:rsidRPr="009F65DD" w14:paraId="761082C6" w14:textId="77777777" w:rsidTr="28E1864A">
        <w:trPr>
          <w:trHeight w:val="215"/>
        </w:trPr>
        <w:tc>
          <w:tcPr>
            <w:tcW w:w="5486" w:type="dxa"/>
            <w:gridSpan w:val="4"/>
            <w:shd w:val="clear" w:color="auto" w:fill="auto"/>
            <w:noWrap/>
          </w:tcPr>
          <w:p w14:paraId="3F367C85" w14:textId="54CCED91" w:rsidR="008A7A74" w:rsidRPr="009F65DD" w:rsidRDefault="008A7A74" w:rsidP="00F7233C">
            <w:pPr>
              <w:pStyle w:val="ListParagraph"/>
              <w:numPr>
                <w:ilvl w:val="0"/>
                <w:numId w:val="1"/>
              </w:numPr>
              <w:spacing w:before="60" w:after="60"/>
              <w:rPr>
                <w:rFonts w:eastAsia="Arial Unicode MS"/>
              </w:rPr>
            </w:pPr>
            <w:r w:rsidRPr="009F65DD">
              <w:rPr>
                <w:rFonts w:eastAsia="Arial Unicode MS"/>
                <w:lang w:val="fr-FR"/>
              </w:rPr>
              <w:t>Rapport initial</w:t>
            </w:r>
            <w:r w:rsidR="0045509A">
              <w:rPr>
                <w:rFonts w:eastAsia="Arial Unicode MS"/>
                <w:lang w:val="fr-FR"/>
              </w:rPr>
              <w:t xml:space="preserve"> (25%)</w:t>
            </w:r>
          </w:p>
          <w:p w14:paraId="2182203B" w14:textId="77777777" w:rsidR="008A7A74" w:rsidRPr="009F65DD" w:rsidRDefault="008A7A74" w:rsidP="008A7A74">
            <w:pPr>
              <w:spacing w:before="60" w:after="60"/>
              <w:rPr>
                <w:rFonts w:eastAsia="Arial Unicode MS"/>
                <w:lang w:val="en-AU"/>
              </w:rPr>
            </w:pPr>
          </w:p>
        </w:tc>
        <w:tc>
          <w:tcPr>
            <w:tcW w:w="2074" w:type="dxa"/>
            <w:gridSpan w:val="3"/>
            <w:shd w:val="clear" w:color="auto" w:fill="auto"/>
          </w:tcPr>
          <w:p w14:paraId="181B3746" w14:textId="7317A821" w:rsidR="008A7A74" w:rsidRPr="009F65DD" w:rsidRDefault="00844A12" w:rsidP="008A7A74">
            <w:pPr>
              <w:spacing w:before="60" w:after="60"/>
              <w:rPr>
                <w:rFonts w:eastAsia="Arial Unicode MS"/>
                <w:lang w:val="en-AU"/>
              </w:rPr>
            </w:pPr>
            <w:r w:rsidRPr="009F65DD">
              <w:rPr>
                <w:rFonts w:eastAsia="Arial Unicode MS"/>
                <w:lang w:val="en-AU"/>
              </w:rPr>
              <w:t>26</w:t>
            </w:r>
            <w:r w:rsidR="008A7A74" w:rsidRPr="009F65DD">
              <w:rPr>
                <w:rFonts w:eastAsia="Arial Unicode MS"/>
                <w:lang w:val="en-AU"/>
              </w:rPr>
              <w:t xml:space="preserve"> </w:t>
            </w:r>
            <w:proofErr w:type="spellStart"/>
            <w:r w:rsidR="009E6FBA">
              <w:rPr>
                <w:rFonts w:eastAsia="Arial Unicode MS"/>
                <w:lang w:val="en-AU"/>
              </w:rPr>
              <w:t>o</w:t>
            </w:r>
            <w:r w:rsidR="00D70C37" w:rsidRPr="009F65DD">
              <w:rPr>
                <w:rFonts w:eastAsia="Arial Unicode MS"/>
                <w:lang w:val="en-AU"/>
              </w:rPr>
              <w:t>ctobre</w:t>
            </w:r>
            <w:proofErr w:type="spellEnd"/>
            <w:r w:rsidR="00D70C37" w:rsidRPr="009F65DD">
              <w:rPr>
                <w:rFonts w:eastAsia="Arial Unicode MS"/>
                <w:lang w:val="en-AU"/>
              </w:rPr>
              <w:t xml:space="preserve"> </w:t>
            </w:r>
          </w:p>
        </w:tc>
        <w:tc>
          <w:tcPr>
            <w:tcW w:w="2327" w:type="dxa"/>
            <w:gridSpan w:val="2"/>
            <w:shd w:val="clear" w:color="auto" w:fill="auto"/>
          </w:tcPr>
          <w:p w14:paraId="672448FA" w14:textId="43AD525D" w:rsidR="008A7A74" w:rsidRPr="009F65DD" w:rsidRDefault="008A7A74" w:rsidP="008A7A74">
            <w:pPr>
              <w:spacing w:before="60" w:after="60"/>
              <w:rPr>
                <w:rFonts w:eastAsia="Arial Unicode MS"/>
                <w:lang w:val="en-AU"/>
              </w:rPr>
            </w:pPr>
          </w:p>
        </w:tc>
      </w:tr>
      <w:tr w:rsidR="008A7A74" w:rsidRPr="009F65DD" w14:paraId="530DAC3F" w14:textId="77777777" w:rsidTr="28E1864A">
        <w:trPr>
          <w:trHeight w:val="206"/>
        </w:trPr>
        <w:tc>
          <w:tcPr>
            <w:tcW w:w="5486" w:type="dxa"/>
            <w:gridSpan w:val="4"/>
            <w:shd w:val="clear" w:color="auto" w:fill="auto"/>
            <w:noWrap/>
          </w:tcPr>
          <w:p w14:paraId="7275CB9B" w14:textId="1C058624" w:rsidR="008A7A74" w:rsidRPr="009F65DD" w:rsidRDefault="008A7A74" w:rsidP="00F7233C">
            <w:pPr>
              <w:pStyle w:val="ListParagraph"/>
              <w:numPr>
                <w:ilvl w:val="0"/>
                <w:numId w:val="1"/>
              </w:numPr>
              <w:spacing w:before="60" w:after="60"/>
              <w:rPr>
                <w:rFonts w:eastAsia="Arial Unicode MS"/>
                <w:lang w:val="fr-FR"/>
              </w:rPr>
            </w:pPr>
            <w:r w:rsidRPr="009F65DD">
              <w:rPr>
                <w:rFonts w:eastAsia="Arial Unicode MS"/>
                <w:lang w:val="fr-FR"/>
              </w:rPr>
              <w:t xml:space="preserve">Rapport préliminaire de collecte de données et de constats </w:t>
            </w:r>
            <w:r w:rsidR="0045509A">
              <w:rPr>
                <w:rFonts w:eastAsia="Arial Unicode MS"/>
                <w:lang w:val="fr-FR"/>
              </w:rPr>
              <w:t>(50%)</w:t>
            </w:r>
          </w:p>
        </w:tc>
        <w:tc>
          <w:tcPr>
            <w:tcW w:w="2074" w:type="dxa"/>
            <w:gridSpan w:val="3"/>
            <w:shd w:val="clear" w:color="auto" w:fill="auto"/>
          </w:tcPr>
          <w:p w14:paraId="2C10E5E2" w14:textId="47BE1482" w:rsidR="008A7A74" w:rsidRPr="009F65DD" w:rsidRDefault="00CC39A8" w:rsidP="008A7A74">
            <w:pPr>
              <w:spacing w:before="60" w:after="60"/>
              <w:rPr>
                <w:rFonts w:eastAsia="Arial Unicode MS"/>
                <w:lang w:val="fr-FR"/>
              </w:rPr>
            </w:pPr>
            <w:r w:rsidRPr="009F65DD">
              <w:rPr>
                <w:rFonts w:eastAsia="Arial Unicode MS"/>
                <w:lang w:val="fr-FR"/>
              </w:rPr>
              <w:t xml:space="preserve">14 </w:t>
            </w:r>
            <w:r w:rsidR="009E6FBA">
              <w:rPr>
                <w:rFonts w:eastAsia="Arial Unicode MS"/>
                <w:lang w:val="fr-FR"/>
              </w:rPr>
              <w:t>n</w:t>
            </w:r>
            <w:r w:rsidRPr="009F65DD">
              <w:rPr>
                <w:rFonts w:eastAsia="Arial Unicode MS"/>
                <w:lang w:val="fr-FR"/>
              </w:rPr>
              <w:t>ovembre</w:t>
            </w:r>
          </w:p>
        </w:tc>
        <w:tc>
          <w:tcPr>
            <w:tcW w:w="2327" w:type="dxa"/>
            <w:gridSpan w:val="2"/>
            <w:shd w:val="clear" w:color="auto" w:fill="auto"/>
          </w:tcPr>
          <w:p w14:paraId="1F4FCA39" w14:textId="6B3D8EFA" w:rsidR="008A7A74" w:rsidRPr="009F65DD" w:rsidRDefault="008A7A74" w:rsidP="008A7A74">
            <w:pPr>
              <w:spacing w:before="60" w:after="60"/>
              <w:rPr>
                <w:rFonts w:eastAsia="Arial Unicode MS"/>
                <w:lang w:val="fr-FR"/>
              </w:rPr>
            </w:pPr>
          </w:p>
        </w:tc>
      </w:tr>
      <w:tr w:rsidR="008A7A74" w:rsidRPr="009F65DD" w14:paraId="5C87AF82" w14:textId="77777777" w:rsidTr="28E1864A">
        <w:trPr>
          <w:trHeight w:val="80"/>
        </w:trPr>
        <w:tc>
          <w:tcPr>
            <w:tcW w:w="5486" w:type="dxa"/>
            <w:gridSpan w:val="4"/>
            <w:shd w:val="clear" w:color="auto" w:fill="auto"/>
            <w:noWrap/>
          </w:tcPr>
          <w:p w14:paraId="19DDD875" w14:textId="71D93DED" w:rsidR="008A7A74" w:rsidRPr="009F65DD" w:rsidRDefault="008A7A74" w:rsidP="00F7233C">
            <w:pPr>
              <w:pStyle w:val="ListParagraph"/>
              <w:numPr>
                <w:ilvl w:val="0"/>
                <w:numId w:val="1"/>
              </w:numPr>
              <w:spacing w:before="60" w:after="60"/>
              <w:rPr>
                <w:rFonts w:eastAsia="Arial Unicode MS"/>
              </w:rPr>
            </w:pPr>
            <w:r w:rsidRPr="009F65DD">
              <w:rPr>
                <w:rFonts w:eastAsia="Arial Unicode MS"/>
                <w:lang w:val="fr-FR"/>
              </w:rPr>
              <w:t>Rapport final</w:t>
            </w:r>
            <w:r w:rsidR="0045509A">
              <w:rPr>
                <w:rFonts w:eastAsia="Arial Unicode MS"/>
                <w:lang w:val="fr-FR"/>
              </w:rPr>
              <w:t xml:space="preserve"> (25%)</w:t>
            </w:r>
          </w:p>
        </w:tc>
        <w:tc>
          <w:tcPr>
            <w:tcW w:w="2074" w:type="dxa"/>
            <w:gridSpan w:val="3"/>
            <w:shd w:val="clear" w:color="auto" w:fill="auto"/>
          </w:tcPr>
          <w:p w14:paraId="6EC5B5B3" w14:textId="600F188D" w:rsidR="008A7A74" w:rsidRPr="009F65DD" w:rsidRDefault="0045509A" w:rsidP="008A7A74">
            <w:pPr>
              <w:spacing w:before="60" w:after="60"/>
              <w:rPr>
                <w:rFonts w:eastAsia="Arial Unicode MS"/>
                <w:lang w:val="en-AU"/>
              </w:rPr>
            </w:pPr>
            <w:r>
              <w:rPr>
                <w:rFonts w:eastAsia="Arial Unicode MS"/>
                <w:lang w:val="en-AU"/>
              </w:rPr>
              <w:t>2</w:t>
            </w:r>
            <w:r w:rsidR="005A49F2" w:rsidRPr="009F65DD">
              <w:rPr>
                <w:rFonts w:eastAsia="Arial Unicode MS"/>
                <w:lang w:val="en-AU"/>
              </w:rPr>
              <w:t>0</w:t>
            </w:r>
            <w:r w:rsidR="008A7A74" w:rsidRPr="009F65DD">
              <w:rPr>
                <w:rFonts w:eastAsia="Arial Unicode MS"/>
                <w:lang w:val="en-AU"/>
              </w:rPr>
              <w:t xml:space="preserve"> </w:t>
            </w:r>
            <w:proofErr w:type="spellStart"/>
            <w:r w:rsidR="008A7A74" w:rsidRPr="009F65DD">
              <w:rPr>
                <w:rFonts w:eastAsia="Arial Unicode MS"/>
                <w:lang w:val="en-AU"/>
              </w:rPr>
              <w:t>d</w:t>
            </w:r>
            <w:r w:rsidR="009E6FBA">
              <w:rPr>
                <w:rFonts w:eastAsia="Arial Unicode MS"/>
                <w:lang w:val="en-AU"/>
              </w:rPr>
              <w:t>é</w:t>
            </w:r>
            <w:r w:rsidR="008A7A74" w:rsidRPr="009F65DD">
              <w:rPr>
                <w:rFonts w:eastAsia="Arial Unicode MS"/>
                <w:lang w:val="en-AU"/>
              </w:rPr>
              <w:t>cembre</w:t>
            </w:r>
            <w:proofErr w:type="spellEnd"/>
          </w:p>
        </w:tc>
        <w:tc>
          <w:tcPr>
            <w:tcW w:w="2327" w:type="dxa"/>
            <w:gridSpan w:val="2"/>
            <w:shd w:val="clear" w:color="auto" w:fill="auto"/>
          </w:tcPr>
          <w:p w14:paraId="31D892E2" w14:textId="33A2FAD1" w:rsidR="008A7A74" w:rsidRPr="009F65DD" w:rsidRDefault="008A7A74" w:rsidP="008A7A74">
            <w:pPr>
              <w:spacing w:before="60" w:after="60"/>
              <w:rPr>
                <w:rFonts w:eastAsia="Arial Unicode MS"/>
                <w:lang w:val="en-AU"/>
              </w:rPr>
            </w:pPr>
          </w:p>
        </w:tc>
      </w:tr>
      <w:tr w:rsidR="008A7A74" w:rsidRPr="009F65DD" w14:paraId="0AED22CA" w14:textId="77777777" w:rsidTr="28E1864A">
        <w:trPr>
          <w:trHeight w:val="350"/>
        </w:trPr>
        <w:tc>
          <w:tcPr>
            <w:tcW w:w="9887" w:type="dxa"/>
            <w:gridSpan w:val="9"/>
            <w:shd w:val="clear" w:color="auto" w:fill="auto"/>
            <w:noWrap/>
          </w:tcPr>
          <w:p w14:paraId="2A013223" w14:textId="0EBA5AE2" w:rsidR="008A7A74" w:rsidRPr="009F65DD" w:rsidRDefault="008A7A74" w:rsidP="008A7A74">
            <w:pPr>
              <w:spacing w:before="60" w:after="60"/>
              <w:rPr>
                <w:rFonts w:eastAsia="Arial Unicode MS"/>
                <w:i/>
                <w:iCs/>
                <w:lang w:val="en-AU"/>
              </w:rPr>
            </w:pPr>
            <w:r w:rsidRPr="009F65DD">
              <w:rPr>
                <w:rFonts w:eastAsia="Arial Unicode MS"/>
                <w:b/>
                <w:lang w:val="en-AU"/>
              </w:rPr>
              <w:t xml:space="preserve">Estimated </w:t>
            </w:r>
          </w:p>
        </w:tc>
      </w:tr>
      <w:tr w:rsidR="008A7A74" w:rsidRPr="009F65DD" w14:paraId="7573A266" w14:textId="77777777" w:rsidTr="28E1864A">
        <w:trPr>
          <w:trHeight w:val="350"/>
        </w:trPr>
        <w:tc>
          <w:tcPr>
            <w:tcW w:w="4491" w:type="dxa"/>
            <w:gridSpan w:val="3"/>
            <w:shd w:val="clear" w:color="auto" w:fill="auto"/>
            <w:noWrap/>
          </w:tcPr>
          <w:p w14:paraId="465C4A18" w14:textId="77777777" w:rsidR="008A7A74" w:rsidRPr="009F65DD" w:rsidRDefault="008A7A74" w:rsidP="008A7A74">
            <w:pPr>
              <w:spacing w:before="60" w:after="60"/>
              <w:rPr>
                <w:rFonts w:eastAsia="Arial Unicode MS"/>
                <w:i/>
                <w:iCs/>
                <w:lang w:val="en-AU"/>
              </w:rPr>
            </w:pPr>
            <w:r w:rsidRPr="009F65DD">
              <w:rPr>
                <w:rFonts w:eastAsia="Arial Unicode MS"/>
                <w:lang w:val="en-AU"/>
              </w:rPr>
              <w:t>Fees (include basis, e.g., monthly, daily, lump sum)</w:t>
            </w:r>
          </w:p>
        </w:tc>
        <w:tc>
          <w:tcPr>
            <w:tcW w:w="5396" w:type="dxa"/>
            <w:gridSpan w:val="6"/>
            <w:shd w:val="clear" w:color="auto" w:fill="auto"/>
          </w:tcPr>
          <w:p w14:paraId="5D9342B9" w14:textId="2F97BD9B" w:rsidR="008A7A74" w:rsidRPr="009F65DD" w:rsidRDefault="008A7A74" w:rsidP="008A7A74">
            <w:pPr>
              <w:spacing w:before="60" w:after="60"/>
              <w:rPr>
                <w:rFonts w:eastAsia="Arial Unicode MS"/>
                <w:i/>
                <w:iCs/>
                <w:lang w:val="en-AU"/>
              </w:rPr>
            </w:pPr>
          </w:p>
        </w:tc>
      </w:tr>
      <w:tr w:rsidR="008A7A74" w:rsidRPr="009F65DD" w14:paraId="647C8691" w14:textId="77777777" w:rsidTr="28E1864A">
        <w:trPr>
          <w:trHeight w:val="350"/>
        </w:trPr>
        <w:tc>
          <w:tcPr>
            <w:tcW w:w="4491" w:type="dxa"/>
            <w:gridSpan w:val="3"/>
            <w:shd w:val="clear" w:color="auto" w:fill="auto"/>
            <w:noWrap/>
          </w:tcPr>
          <w:p w14:paraId="702A122C" w14:textId="77777777" w:rsidR="008A7A74" w:rsidRPr="009F65DD" w:rsidRDefault="008A7A74" w:rsidP="008A7A74">
            <w:pPr>
              <w:spacing w:before="60" w:after="60"/>
              <w:rPr>
                <w:rFonts w:eastAsia="Arial Unicode MS"/>
                <w:i/>
                <w:iCs/>
                <w:lang w:val="en-AU"/>
              </w:rPr>
            </w:pPr>
            <w:r w:rsidRPr="009F65DD">
              <w:rPr>
                <w:rFonts w:eastAsia="Arial Unicode MS"/>
                <w:lang w:val="en-AU"/>
              </w:rPr>
              <w:t>Travel to Duty Station (if applicable)</w:t>
            </w:r>
          </w:p>
        </w:tc>
        <w:tc>
          <w:tcPr>
            <w:tcW w:w="5396" w:type="dxa"/>
            <w:gridSpan w:val="6"/>
            <w:shd w:val="clear" w:color="auto" w:fill="auto"/>
          </w:tcPr>
          <w:p w14:paraId="19080A36" w14:textId="6B519F06" w:rsidR="008A7A74" w:rsidRPr="009F65DD" w:rsidRDefault="008A7A74" w:rsidP="008A7A74">
            <w:pPr>
              <w:spacing w:before="60" w:after="60"/>
              <w:rPr>
                <w:rFonts w:eastAsia="Arial Unicode MS"/>
                <w:i/>
                <w:iCs/>
                <w:lang w:val="en-AU"/>
              </w:rPr>
            </w:pPr>
          </w:p>
        </w:tc>
      </w:tr>
      <w:tr w:rsidR="008A7A74" w:rsidRPr="009F65DD" w14:paraId="6DF8A202" w14:textId="77777777" w:rsidTr="28E1864A">
        <w:trPr>
          <w:trHeight w:val="350"/>
        </w:trPr>
        <w:tc>
          <w:tcPr>
            <w:tcW w:w="4491" w:type="dxa"/>
            <w:gridSpan w:val="3"/>
            <w:shd w:val="clear" w:color="auto" w:fill="auto"/>
            <w:noWrap/>
          </w:tcPr>
          <w:p w14:paraId="1843576C" w14:textId="77777777" w:rsidR="008A7A74" w:rsidRPr="009F65DD" w:rsidRDefault="008A7A74" w:rsidP="008A7A74">
            <w:pPr>
              <w:spacing w:before="60" w:after="60"/>
              <w:rPr>
                <w:rFonts w:eastAsia="Arial Unicode MS"/>
                <w:i/>
                <w:iCs/>
                <w:lang w:val="en-AU"/>
              </w:rPr>
            </w:pPr>
            <w:r w:rsidRPr="009F65DD">
              <w:rPr>
                <w:rFonts w:eastAsia="Arial Unicode MS"/>
                <w:lang w:val="en-AU"/>
              </w:rPr>
              <w:t>Mission Travel (please include travel plan)</w:t>
            </w:r>
          </w:p>
        </w:tc>
        <w:tc>
          <w:tcPr>
            <w:tcW w:w="5396" w:type="dxa"/>
            <w:gridSpan w:val="6"/>
            <w:shd w:val="clear" w:color="auto" w:fill="auto"/>
          </w:tcPr>
          <w:p w14:paraId="6A7D8F8A" w14:textId="51F06A85" w:rsidR="008A7A74" w:rsidRPr="009F65DD" w:rsidRDefault="008A7A74" w:rsidP="008A7A74">
            <w:pPr>
              <w:spacing w:before="60" w:after="60"/>
              <w:rPr>
                <w:rFonts w:eastAsia="Arial Unicode MS"/>
                <w:i/>
                <w:iCs/>
                <w:lang w:val="en-AU"/>
              </w:rPr>
            </w:pPr>
          </w:p>
        </w:tc>
      </w:tr>
      <w:tr w:rsidR="008A7A74" w:rsidRPr="009F65DD" w14:paraId="59A7440D" w14:textId="77777777" w:rsidTr="28E1864A">
        <w:trPr>
          <w:trHeight w:val="350"/>
        </w:trPr>
        <w:tc>
          <w:tcPr>
            <w:tcW w:w="4491" w:type="dxa"/>
            <w:gridSpan w:val="3"/>
            <w:shd w:val="clear" w:color="auto" w:fill="auto"/>
            <w:noWrap/>
          </w:tcPr>
          <w:p w14:paraId="766C10BF" w14:textId="77777777" w:rsidR="008A7A74" w:rsidRPr="009F65DD" w:rsidRDefault="008A7A74" w:rsidP="008A7A74">
            <w:pPr>
              <w:spacing w:before="60" w:after="60"/>
              <w:rPr>
                <w:rFonts w:eastAsia="Arial Unicode MS"/>
                <w:i/>
                <w:iCs/>
                <w:lang w:val="en-AU"/>
              </w:rPr>
            </w:pPr>
            <w:r w:rsidRPr="009F65DD">
              <w:rPr>
                <w:rFonts w:eastAsia="Arial Unicode MS"/>
                <w:lang w:val="en-AU"/>
              </w:rPr>
              <w:t>Other costs (if applicable)</w:t>
            </w:r>
          </w:p>
        </w:tc>
        <w:tc>
          <w:tcPr>
            <w:tcW w:w="5396" w:type="dxa"/>
            <w:gridSpan w:val="6"/>
            <w:shd w:val="clear" w:color="auto" w:fill="auto"/>
          </w:tcPr>
          <w:p w14:paraId="2ACB707D" w14:textId="449010DE" w:rsidR="008A7A74" w:rsidRPr="009F65DD" w:rsidRDefault="008A7A74" w:rsidP="008A7A74">
            <w:pPr>
              <w:spacing w:before="60" w:after="60"/>
              <w:rPr>
                <w:rFonts w:eastAsia="Arial Unicode MS"/>
                <w:i/>
                <w:iCs/>
                <w:lang w:val="en-AU"/>
              </w:rPr>
            </w:pPr>
          </w:p>
        </w:tc>
      </w:tr>
      <w:tr w:rsidR="008A7A74" w:rsidRPr="009F65DD" w14:paraId="2386929C" w14:textId="77777777" w:rsidTr="28E1864A">
        <w:trPr>
          <w:trHeight w:val="350"/>
        </w:trPr>
        <w:tc>
          <w:tcPr>
            <w:tcW w:w="4491" w:type="dxa"/>
            <w:gridSpan w:val="3"/>
            <w:shd w:val="clear" w:color="auto" w:fill="auto"/>
            <w:noWrap/>
          </w:tcPr>
          <w:p w14:paraId="00EA7BFF" w14:textId="77777777" w:rsidR="008A7A74" w:rsidRPr="009F65DD" w:rsidRDefault="008A7A74" w:rsidP="008A7A74">
            <w:pPr>
              <w:spacing w:before="60" w:after="60"/>
              <w:rPr>
                <w:rFonts w:eastAsia="Arial Unicode MS"/>
                <w:i/>
                <w:iCs/>
                <w:lang w:val="en-AU"/>
              </w:rPr>
            </w:pPr>
            <w:r w:rsidRPr="009F65DD">
              <w:rPr>
                <w:rFonts w:eastAsia="Arial Unicode MS"/>
                <w:b/>
                <w:lang w:val="en-AU"/>
              </w:rPr>
              <w:t>Total estimated consultancy costs</w:t>
            </w:r>
          </w:p>
        </w:tc>
        <w:tc>
          <w:tcPr>
            <w:tcW w:w="5396" w:type="dxa"/>
            <w:gridSpan w:val="6"/>
            <w:shd w:val="clear" w:color="auto" w:fill="auto"/>
          </w:tcPr>
          <w:p w14:paraId="3EA38DE0" w14:textId="354EA077" w:rsidR="008A7A74" w:rsidRPr="009F65DD" w:rsidRDefault="008A7A74" w:rsidP="008A7A74">
            <w:pPr>
              <w:spacing w:before="60" w:after="60"/>
              <w:rPr>
                <w:rFonts w:eastAsia="Arial Unicode MS"/>
                <w:b/>
                <w:bCs/>
                <w:i/>
                <w:iCs/>
                <w:lang w:val="en-AU"/>
              </w:rPr>
            </w:pPr>
          </w:p>
        </w:tc>
      </w:tr>
      <w:tr w:rsidR="008A7A74" w:rsidRPr="009F65DD" w14:paraId="00E5AEF8" w14:textId="77777777" w:rsidTr="28E1864A">
        <w:trPr>
          <w:trHeight w:val="350"/>
        </w:trPr>
        <w:tc>
          <w:tcPr>
            <w:tcW w:w="9887" w:type="dxa"/>
            <w:gridSpan w:val="9"/>
            <w:shd w:val="clear" w:color="auto" w:fill="auto"/>
            <w:noWrap/>
          </w:tcPr>
          <w:p w14:paraId="7CB32D81" w14:textId="77777777" w:rsidR="008A7A74" w:rsidRPr="009F65DD" w:rsidRDefault="008A7A74" w:rsidP="008A7A74">
            <w:pPr>
              <w:spacing w:before="60" w:after="60"/>
              <w:rPr>
                <w:rFonts w:eastAsia="Arial Unicode MS"/>
                <w:i/>
                <w:iCs/>
                <w:lang w:val="en-AU"/>
              </w:rPr>
            </w:pPr>
            <w:r w:rsidRPr="009F65DD">
              <w:rPr>
                <w:rFonts w:eastAsia="Arial Unicode MS"/>
              </w:rPr>
              <w:t xml:space="preserve">Please note that consultant estimated total cost may include additional </w:t>
            </w:r>
            <w:r w:rsidRPr="009F65DD">
              <w:rPr>
                <w:rFonts w:eastAsia="Arial Unicode MS"/>
                <w:lang w:val="en-AU"/>
              </w:rPr>
              <w:t>costs, such as living costs as applicable</w:t>
            </w:r>
          </w:p>
        </w:tc>
      </w:tr>
      <w:tr w:rsidR="008A7A74" w:rsidRPr="009F65DD" w14:paraId="3C8F6B12" w14:textId="77777777" w:rsidTr="00295841">
        <w:trPr>
          <w:trHeight w:val="350"/>
        </w:trPr>
        <w:tc>
          <w:tcPr>
            <w:tcW w:w="4410" w:type="dxa"/>
            <w:gridSpan w:val="2"/>
            <w:tcBorders>
              <w:top w:val="single" w:sz="4" w:space="0" w:color="auto"/>
              <w:left w:val="single" w:sz="4" w:space="0" w:color="auto"/>
              <w:bottom w:val="nil"/>
              <w:right w:val="single" w:sz="4" w:space="0" w:color="auto"/>
            </w:tcBorders>
            <w:shd w:val="clear" w:color="auto" w:fill="auto"/>
            <w:noWrap/>
          </w:tcPr>
          <w:p w14:paraId="29845AC6" w14:textId="77777777" w:rsidR="008A7A74" w:rsidRPr="009F65DD" w:rsidRDefault="008A7A74" w:rsidP="008A7A74">
            <w:pPr>
              <w:spacing w:before="60" w:after="60"/>
              <w:rPr>
                <w:rFonts w:eastAsia="Arial Unicode MS"/>
                <w:b/>
                <w:lang w:val="en-AU"/>
              </w:rPr>
            </w:pPr>
            <w:r w:rsidRPr="009F65DD">
              <w:rPr>
                <w:rFonts w:eastAsia="Arial Unicode MS"/>
                <w:b/>
                <w:lang w:val="en-AU"/>
              </w:rPr>
              <w:t>Minimum Qualifications required:</w:t>
            </w:r>
          </w:p>
        </w:tc>
        <w:tc>
          <w:tcPr>
            <w:tcW w:w="5477" w:type="dxa"/>
            <w:gridSpan w:val="7"/>
            <w:tcBorders>
              <w:top w:val="single" w:sz="4" w:space="0" w:color="auto"/>
              <w:left w:val="single" w:sz="4" w:space="0" w:color="auto"/>
              <w:bottom w:val="nil"/>
              <w:right w:val="single" w:sz="4" w:space="0" w:color="auto"/>
            </w:tcBorders>
            <w:shd w:val="clear" w:color="auto" w:fill="auto"/>
          </w:tcPr>
          <w:p w14:paraId="559B2962" w14:textId="77777777" w:rsidR="008A7A74" w:rsidRPr="009F65DD" w:rsidRDefault="008A7A74" w:rsidP="008A7A74">
            <w:pPr>
              <w:spacing w:before="60" w:after="60"/>
              <w:rPr>
                <w:rFonts w:eastAsia="Arial Unicode MS"/>
                <w:b/>
                <w:lang w:val="en-AU"/>
              </w:rPr>
            </w:pPr>
            <w:r w:rsidRPr="009F65DD">
              <w:rPr>
                <w:rFonts w:eastAsia="Arial Unicode MS"/>
                <w:b/>
                <w:lang w:val="en-AU"/>
              </w:rPr>
              <w:t>Knowledge/Expertise/Skills required:</w:t>
            </w:r>
          </w:p>
        </w:tc>
      </w:tr>
      <w:tr w:rsidR="008A7A74" w:rsidRPr="004D5FF0" w14:paraId="57E64438" w14:textId="77777777" w:rsidTr="00295841">
        <w:trPr>
          <w:trHeight w:val="350"/>
        </w:trPr>
        <w:tc>
          <w:tcPr>
            <w:tcW w:w="4410" w:type="dxa"/>
            <w:gridSpan w:val="2"/>
            <w:tcBorders>
              <w:top w:val="nil"/>
              <w:left w:val="single" w:sz="4" w:space="0" w:color="auto"/>
              <w:bottom w:val="single" w:sz="4" w:space="0" w:color="auto"/>
              <w:right w:val="single" w:sz="4" w:space="0" w:color="auto"/>
            </w:tcBorders>
            <w:shd w:val="clear" w:color="auto" w:fill="auto"/>
            <w:noWrap/>
          </w:tcPr>
          <w:p w14:paraId="650B5C8A" w14:textId="77777777" w:rsidR="008A7A74" w:rsidRPr="009F65DD" w:rsidRDefault="008A7A74" w:rsidP="008A7A74">
            <w:pPr>
              <w:spacing w:before="60" w:after="60"/>
              <w:rPr>
                <w:rFonts w:eastAsia="Arial Unicode MS"/>
                <w:b/>
                <w:lang w:val="en-AU"/>
              </w:rPr>
            </w:pPr>
          </w:p>
          <w:p w14:paraId="7FEA1383" w14:textId="1D6A223E" w:rsidR="008A7A74" w:rsidRPr="009F65DD" w:rsidRDefault="008A7A74" w:rsidP="008A7A74">
            <w:pPr>
              <w:spacing w:before="60"/>
              <w:rPr>
                <w:rFonts w:eastAsia="Arial Unicode MS"/>
                <w:lang w:val="en-AU"/>
              </w:rPr>
            </w:pPr>
            <w:r w:rsidRPr="009F65DD">
              <w:rPr>
                <w:rFonts w:eastAsia="Arial Unicode MS"/>
                <w:lang w:val="en-AU"/>
              </w:rPr>
              <w:fldChar w:fldCharType="begin">
                <w:ffData>
                  <w:name w:val="Check6"/>
                  <w:enabled/>
                  <w:calcOnExit w:val="0"/>
                  <w:checkBox>
                    <w:sizeAuto/>
                    <w:default w:val="0"/>
                  </w:checkBox>
                </w:ffData>
              </w:fldChar>
            </w:r>
            <w:r w:rsidRPr="009F65DD">
              <w:rPr>
                <w:rFonts w:eastAsia="Arial Unicode MS"/>
                <w:lang w:val="en-AU"/>
              </w:rPr>
              <w:instrText xml:space="preserve"> FORMCHECKBOX </w:instrText>
            </w:r>
            <w:r w:rsidR="00EE0455">
              <w:rPr>
                <w:rFonts w:eastAsia="Arial Unicode MS"/>
                <w:lang w:val="en-AU"/>
              </w:rPr>
            </w:r>
            <w:r w:rsidR="00EE0455">
              <w:rPr>
                <w:rFonts w:eastAsia="Arial Unicode MS"/>
                <w:lang w:val="en-AU"/>
              </w:rPr>
              <w:fldChar w:fldCharType="separate"/>
            </w:r>
            <w:r w:rsidRPr="009F65DD">
              <w:rPr>
                <w:rFonts w:eastAsia="Arial Unicode MS"/>
                <w:lang w:val="en-AU"/>
              </w:rPr>
              <w:fldChar w:fldCharType="end"/>
            </w:r>
            <w:r w:rsidRPr="009F65DD">
              <w:rPr>
                <w:rFonts w:eastAsia="Arial Unicode MS"/>
                <w:lang w:val="en-AU"/>
              </w:rPr>
              <w:t xml:space="preserve"> Bachelors   </w:t>
            </w:r>
            <w:r w:rsidRPr="009F65DD">
              <w:rPr>
                <w:rFonts w:eastAsia="Arial Unicode MS"/>
                <w:lang w:val="en-AU"/>
              </w:rPr>
              <w:fldChar w:fldCharType="begin">
                <w:ffData>
                  <w:name w:val="Check7"/>
                  <w:enabled/>
                  <w:calcOnExit w:val="0"/>
                  <w:checkBox>
                    <w:sizeAuto/>
                    <w:default w:val="1"/>
                  </w:checkBox>
                </w:ffData>
              </w:fldChar>
            </w:r>
            <w:bookmarkStart w:id="8" w:name="Check7"/>
            <w:r w:rsidRPr="009F65DD">
              <w:rPr>
                <w:rFonts w:eastAsia="Arial Unicode MS"/>
                <w:lang w:val="en-AU"/>
              </w:rPr>
              <w:instrText xml:space="preserve"> FORMCHECKBOX </w:instrText>
            </w:r>
            <w:r w:rsidR="00EE0455">
              <w:rPr>
                <w:rFonts w:eastAsia="Arial Unicode MS"/>
                <w:lang w:val="en-AU"/>
              </w:rPr>
            </w:r>
            <w:r w:rsidR="00EE0455">
              <w:rPr>
                <w:rFonts w:eastAsia="Arial Unicode MS"/>
                <w:lang w:val="en-AU"/>
              </w:rPr>
              <w:fldChar w:fldCharType="separate"/>
            </w:r>
            <w:r w:rsidRPr="009F65DD">
              <w:rPr>
                <w:rFonts w:eastAsia="Arial Unicode MS"/>
                <w:lang w:val="en-AU"/>
              </w:rPr>
              <w:fldChar w:fldCharType="end"/>
            </w:r>
            <w:bookmarkEnd w:id="8"/>
            <w:r w:rsidRPr="009F65DD">
              <w:rPr>
                <w:rFonts w:eastAsia="Arial Unicode MS"/>
                <w:lang w:val="en-AU"/>
              </w:rPr>
              <w:t xml:space="preserve"> Masters   </w:t>
            </w:r>
            <w:r w:rsidRPr="009F65DD">
              <w:rPr>
                <w:rFonts w:eastAsia="Arial Unicode MS"/>
                <w:lang w:val="en-AU"/>
              </w:rPr>
              <w:fldChar w:fldCharType="begin">
                <w:ffData>
                  <w:name w:val="Check8"/>
                  <w:enabled/>
                  <w:calcOnExit w:val="0"/>
                  <w:checkBox>
                    <w:sizeAuto/>
                    <w:default w:val="0"/>
                  </w:checkBox>
                </w:ffData>
              </w:fldChar>
            </w:r>
            <w:r w:rsidRPr="009F65DD">
              <w:rPr>
                <w:rFonts w:eastAsia="Arial Unicode MS"/>
                <w:lang w:val="en-AU"/>
              </w:rPr>
              <w:instrText xml:space="preserve"> FORMCHECKBOX </w:instrText>
            </w:r>
            <w:r w:rsidR="00EE0455">
              <w:rPr>
                <w:rFonts w:eastAsia="Arial Unicode MS"/>
                <w:lang w:val="en-AU"/>
              </w:rPr>
            </w:r>
            <w:r w:rsidR="00EE0455">
              <w:rPr>
                <w:rFonts w:eastAsia="Arial Unicode MS"/>
                <w:lang w:val="en-AU"/>
              </w:rPr>
              <w:fldChar w:fldCharType="separate"/>
            </w:r>
            <w:r w:rsidRPr="009F65DD">
              <w:rPr>
                <w:rFonts w:eastAsia="Arial Unicode MS"/>
                <w:lang w:val="en-AU"/>
              </w:rPr>
              <w:fldChar w:fldCharType="end"/>
            </w:r>
            <w:r w:rsidRPr="009F65DD">
              <w:rPr>
                <w:rFonts w:eastAsia="Arial Unicode MS"/>
                <w:lang w:val="en-AU"/>
              </w:rPr>
              <w:t xml:space="preserve"> PhD   </w:t>
            </w:r>
            <w:r w:rsidRPr="009F65DD">
              <w:rPr>
                <w:rFonts w:eastAsia="Arial Unicode MS"/>
                <w:lang w:val="en-AU"/>
              </w:rPr>
              <w:fldChar w:fldCharType="begin">
                <w:ffData>
                  <w:name w:val="Check9"/>
                  <w:enabled/>
                  <w:calcOnExit w:val="0"/>
                  <w:checkBox>
                    <w:sizeAuto/>
                    <w:default w:val="0"/>
                  </w:checkBox>
                </w:ffData>
              </w:fldChar>
            </w:r>
            <w:r w:rsidRPr="009F65DD">
              <w:rPr>
                <w:rFonts w:eastAsia="Arial Unicode MS"/>
                <w:lang w:val="en-AU"/>
              </w:rPr>
              <w:instrText xml:space="preserve"> FORMCHECKBOX </w:instrText>
            </w:r>
            <w:r w:rsidR="00EE0455">
              <w:rPr>
                <w:rFonts w:eastAsia="Arial Unicode MS"/>
                <w:lang w:val="en-AU"/>
              </w:rPr>
            </w:r>
            <w:r w:rsidR="00EE0455">
              <w:rPr>
                <w:rFonts w:eastAsia="Arial Unicode MS"/>
                <w:lang w:val="en-AU"/>
              </w:rPr>
              <w:fldChar w:fldCharType="separate"/>
            </w:r>
            <w:r w:rsidRPr="009F65DD">
              <w:rPr>
                <w:rFonts w:eastAsia="Arial Unicode MS"/>
                <w:lang w:val="en-AU"/>
              </w:rPr>
              <w:fldChar w:fldCharType="end"/>
            </w:r>
            <w:r w:rsidRPr="009F65DD">
              <w:rPr>
                <w:rFonts w:eastAsia="Arial Unicode MS"/>
                <w:lang w:val="en-AU"/>
              </w:rPr>
              <w:t xml:space="preserve"> Other  </w:t>
            </w:r>
          </w:p>
          <w:p w14:paraId="51FB92AF" w14:textId="77777777" w:rsidR="008A7A74" w:rsidRPr="009F65DD" w:rsidRDefault="008A7A74" w:rsidP="008A7A74">
            <w:pPr>
              <w:spacing w:before="60"/>
              <w:rPr>
                <w:rFonts w:eastAsia="Arial Unicode MS"/>
                <w:lang w:val="en-AU"/>
              </w:rPr>
            </w:pPr>
          </w:p>
          <w:p w14:paraId="3B37146C" w14:textId="77777777" w:rsidR="008A7A74" w:rsidRPr="009F65DD" w:rsidRDefault="008A7A74" w:rsidP="008A7A74">
            <w:pPr>
              <w:spacing w:before="60" w:after="60"/>
              <w:rPr>
                <w:rFonts w:eastAsia="Arial Unicode MS"/>
                <w:b/>
                <w:lang w:val="en-AU"/>
              </w:rPr>
            </w:pPr>
            <w:r w:rsidRPr="009F65DD">
              <w:rPr>
                <w:rFonts w:eastAsia="Arial Unicode MS"/>
                <w:lang w:val="en-AU"/>
              </w:rPr>
              <w:t>Enter Disciplines</w:t>
            </w:r>
          </w:p>
        </w:tc>
        <w:tc>
          <w:tcPr>
            <w:tcW w:w="5477" w:type="dxa"/>
            <w:gridSpan w:val="7"/>
            <w:tcBorders>
              <w:top w:val="nil"/>
              <w:left w:val="single" w:sz="4" w:space="0" w:color="auto"/>
              <w:bottom w:val="single" w:sz="4" w:space="0" w:color="auto"/>
              <w:right w:val="single" w:sz="4" w:space="0" w:color="auto"/>
            </w:tcBorders>
            <w:shd w:val="clear" w:color="auto" w:fill="auto"/>
          </w:tcPr>
          <w:p w14:paraId="4C29190C" w14:textId="0578EF2B" w:rsidR="008A7A74" w:rsidRPr="009F65DD" w:rsidRDefault="008A7A74" w:rsidP="008A7A74">
            <w:pPr>
              <w:autoSpaceDE w:val="0"/>
              <w:autoSpaceDN w:val="0"/>
              <w:adjustRightInd w:val="0"/>
              <w:jc w:val="both"/>
              <w:rPr>
                <w:lang w:val="fr-FR"/>
              </w:rPr>
            </w:pPr>
            <w:r w:rsidRPr="009F65DD">
              <w:rPr>
                <w:lang w:val="fr-FR"/>
              </w:rPr>
              <w:t>Qualifications</w:t>
            </w:r>
            <w:r w:rsidR="009E6FBA">
              <w:rPr>
                <w:lang w:val="fr-FR"/>
              </w:rPr>
              <w:t xml:space="preserve"> </w:t>
            </w:r>
            <w:r w:rsidRPr="009F65DD">
              <w:rPr>
                <w:lang w:val="fr-FR"/>
              </w:rPr>
              <w:t xml:space="preserve">: </w:t>
            </w:r>
          </w:p>
          <w:p w14:paraId="75645F65" w14:textId="712D120F" w:rsidR="006E0537" w:rsidRPr="009F65DD" w:rsidRDefault="006E0537" w:rsidP="00F7233C">
            <w:pPr>
              <w:numPr>
                <w:ilvl w:val="0"/>
                <w:numId w:val="8"/>
              </w:numPr>
              <w:autoSpaceDE w:val="0"/>
              <w:autoSpaceDN w:val="0"/>
              <w:adjustRightInd w:val="0"/>
              <w:jc w:val="both"/>
              <w:rPr>
                <w:lang w:val="fr-FR"/>
              </w:rPr>
            </w:pPr>
            <w:r w:rsidRPr="009F65DD">
              <w:rPr>
                <w:lang w:val="fr-FR"/>
              </w:rPr>
              <w:t>Spécialiste en sciences sociales avec un diplôme universitaire de Master (</w:t>
            </w:r>
            <w:r w:rsidR="00DC3838" w:rsidRPr="009F65DD">
              <w:rPr>
                <w:b/>
                <w:bCs/>
                <w:lang w:val="fr-FR"/>
              </w:rPr>
              <w:t>2</w:t>
            </w:r>
            <w:r w:rsidRPr="009F65DD">
              <w:rPr>
                <w:b/>
                <w:bCs/>
                <w:lang w:val="fr-FR"/>
              </w:rPr>
              <w:t>5 points</w:t>
            </w:r>
            <w:r w:rsidRPr="009F65DD">
              <w:rPr>
                <w:lang w:val="fr-FR"/>
              </w:rPr>
              <w:t>) ;</w:t>
            </w:r>
          </w:p>
          <w:p w14:paraId="26ACA3CC" w14:textId="26E9C9EC" w:rsidR="006E0537" w:rsidRPr="009F65DD" w:rsidRDefault="006E0537" w:rsidP="00F7233C">
            <w:pPr>
              <w:numPr>
                <w:ilvl w:val="0"/>
                <w:numId w:val="8"/>
              </w:numPr>
              <w:autoSpaceDE w:val="0"/>
              <w:autoSpaceDN w:val="0"/>
              <w:adjustRightInd w:val="0"/>
              <w:jc w:val="both"/>
              <w:rPr>
                <w:lang w:val="fr-FR"/>
              </w:rPr>
            </w:pPr>
            <w:r w:rsidRPr="009F65DD">
              <w:rPr>
                <w:lang w:val="fr-FR"/>
              </w:rPr>
              <w:t>Avoir au moins 7 années d’expérience confirmées dans les évaluations des programmes/projets et Avoir une bonne compréhension du domaine de la protection de l’enfant y compris les MGF et du changement social et de comportement (</w:t>
            </w:r>
            <w:r w:rsidR="009E6FBA">
              <w:rPr>
                <w:lang w:val="fr-FR"/>
              </w:rPr>
              <w:t>CSC</w:t>
            </w:r>
            <w:r w:rsidRPr="009F65DD">
              <w:rPr>
                <w:lang w:val="fr-FR"/>
              </w:rPr>
              <w:t>) (</w:t>
            </w:r>
            <w:r w:rsidR="00DC3838" w:rsidRPr="009F65DD">
              <w:rPr>
                <w:b/>
                <w:bCs/>
                <w:lang w:val="fr-FR"/>
              </w:rPr>
              <w:t>20</w:t>
            </w:r>
            <w:r w:rsidRPr="009F65DD">
              <w:rPr>
                <w:b/>
                <w:bCs/>
                <w:lang w:val="fr-FR"/>
              </w:rPr>
              <w:t xml:space="preserve"> points) </w:t>
            </w:r>
            <w:r w:rsidRPr="009F65DD">
              <w:rPr>
                <w:lang w:val="fr-FR"/>
              </w:rPr>
              <w:t>;</w:t>
            </w:r>
          </w:p>
          <w:p w14:paraId="4814978F" w14:textId="40EFEEA5" w:rsidR="006E0537" w:rsidRPr="009F65DD" w:rsidRDefault="006E0537" w:rsidP="00F7233C">
            <w:pPr>
              <w:numPr>
                <w:ilvl w:val="0"/>
                <w:numId w:val="8"/>
              </w:numPr>
              <w:autoSpaceDE w:val="0"/>
              <w:autoSpaceDN w:val="0"/>
              <w:adjustRightInd w:val="0"/>
              <w:jc w:val="both"/>
              <w:rPr>
                <w:lang w:val="fr-FR"/>
              </w:rPr>
            </w:pPr>
            <w:r w:rsidRPr="009F65DD">
              <w:rPr>
                <w:lang w:val="fr-FR"/>
              </w:rPr>
              <w:t xml:space="preserve">Avoir une bonne maîtrise du traitement et de l’analyse des données qualitatives et quantitatives (à soumettre 3 exemples d’évaluations de bonne </w:t>
            </w:r>
            <w:r w:rsidR="009E6FBA" w:rsidRPr="009F65DD">
              <w:rPr>
                <w:lang w:val="fr-FR"/>
              </w:rPr>
              <w:t>qualité</w:t>
            </w:r>
            <w:r w:rsidRPr="009F65DD">
              <w:rPr>
                <w:lang w:val="fr-FR"/>
              </w:rPr>
              <w:t xml:space="preserve"> conduites) (</w:t>
            </w:r>
            <w:r w:rsidR="00DC3838" w:rsidRPr="009F65DD">
              <w:rPr>
                <w:b/>
                <w:bCs/>
                <w:lang w:val="fr-FR"/>
              </w:rPr>
              <w:t>20</w:t>
            </w:r>
            <w:r w:rsidRPr="009F65DD">
              <w:rPr>
                <w:b/>
                <w:bCs/>
                <w:lang w:val="fr-FR"/>
              </w:rPr>
              <w:t xml:space="preserve"> points) </w:t>
            </w:r>
            <w:r w:rsidRPr="009F65DD">
              <w:rPr>
                <w:lang w:val="fr-FR"/>
              </w:rPr>
              <w:t>;</w:t>
            </w:r>
          </w:p>
          <w:p w14:paraId="5907299B" w14:textId="29AD182F" w:rsidR="006E0537" w:rsidRPr="009F65DD" w:rsidRDefault="006E0537" w:rsidP="00F7233C">
            <w:pPr>
              <w:numPr>
                <w:ilvl w:val="0"/>
                <w:numId w:val="8"/>
              </w:numPr>
              <w:autoSpaceDE w:val="0"/>
              <w:autoSpaceDN w:val="0"/>
              <w:adjustRightInd w:val="0"/>
              <w:jc w:val="both"/>
              <w:rPr>
                <w:lang w:val="fr-FR"/>
              </w:rPr>
            </w:pPr>
            <w:r w:rsidRPr="009F65DD">
              <w:rPr>
                <w:lang w:val="fr-FR"/>
              </w:rPr>
              <w:t>Avoir une connaissance du pays ainsi que du travail pour l’UNICEF serait un avantage (</w:t>
            </w:r>
            <w:r w:rsidR="00022E50" w:rsidRPr="009F65DD">
              <w:rPr>
                <w:b/>
                <w:bCs/>
                <w:lang w:val="fr-FR"/>
              </w:rPr>
              <w:t>10</w:t>
            </w:r>
            <w:r w:rsidRPr="009F65DD">
              <w:rPr>
                <w:b/>
                <w:bCs/>
                <w:lang w:val="fr-FR"/>
              </w:rPr>
              <w:t xml:space="preserve"> points)</w:t>
            </w:r>
            <w:r w:rsidRPr="009F65DD">
              <w:rPr>
                <w:lang w:val="fr-FR"/>
              </w:rPr>
              <w:t>.</w:t>
            </w:r>
          </w:p>
          <w:p w14:paraId="3C5F1378" w14:textId="77777777" w:rsidR="009E6FBA" w:rsidRDefault="009E6FBA" w:rsidP="009F0853">
            <w:pPr>
              <w:autoSpaceDE w:val="0"/>
              <w:autoSpaceDN w:val="0"/>
              <w:adjustRightInd w:val="0"/>
              <w:rPr>
                <w:b/>
                <w:bCs/>
                <w:lang w:val="fr-FR"/>
              </w:rPr>
            </w:pPr>
          </w:p>
          <w:p w14:paraId="4D78CCBB" w14:textId="4FA30762" w:rsidR="009F0853" w:rsidRPr="009F65DD" w:rsidRDefault="009F0853" w:rsidP="00F222DF">
            <w:pPr>
              <w:autoSpaceDE w:val="0"/>
              <w:autoSpaceDN w:val="0"/>
              <w:adjustRightInd w:val="0"/>
              <w:jc w:val="both"/>
              <w:rPr>
                <w:b/>
                <w:bCs/>
                <w:lang w:val="fr-FR"/>
              </w:rPr>
            </w:pPr>
            <w:r w:rsidRPr="009F65DD">
              <w:rPr>
                <w:b/>
                <w:bCs/>
                <w:lang w:val="fr-FR"/>
              </w:rPr>
              <w:t xml:space="preserve">La proposition technique qui atteint un minimum de </w:t>
            </w:r>
            <w:r w:rsidR="00F7233C" w:rsidRPr="009F65DD">
              <w:rPr>
                <w:b/>
                <w:bCs/>
                <w:lang w:val="fr-FR"/>
              </w:rPr>
              <w:t>60</w:t>
            </w:r>
            <w:r w:rsidRPr="009F65DD">
              <w:rPr>
                <w:b/>
                <w:bCs/>
                <w:lang w:val="fr-FR"/>
              </w:rPr>
              <w:t xml:space="preserve"> points sera qualifiée.</w:t>
            </w:r>
          </w:p>
          <w:p w14:paraId="70858636" w14:textId="628AE401" w:rsidR="003E02BD" w:rsidRPr="009F65DD" w:rsidRDefault="009F0853" w:rsidP="00F222DF">
            <w:pPr>
              <w:autoSpaceDE w:val="0"/>
              <w:autoSpaceDN w:val="0"/>
              <w:adjustRightInd w:val="0"/>
              <w:jc w:val="both"/>
              <w:rPr>
                <w:lang w:val="fr-FR"/>
              </w:rPr>
            </w:pPr>
            <w:r w:rsidRPr="009F65DD">
              <w:rPr>
                <w:b/>
                <w:bCs/>
                <w:lang w:val="fr-FR"/>
              </w:rPr>
              <w:t>L’offre financière se fera en USD (doit inclure les honoraires, les DSA, les billets d’avions ainsi que les frais de transport durant la mission de terrain</w:t>
            </w:r>
            <w:r w:rsidR="00F222DF">
              <w:rPr>
                <w:b/>
                <w:bCs/>
                <w:lang w:val="fr-FR"/>
              </w:rPr>
              <w:t xml:space="preserve"> : </w:t>
            </w:r>
            <w:r w:rsidRPr="009F65DD">
              <w:rPr>
                <w:b/>
                <w:bCs/>
                <w:lang w:val="fr-FR"/>
              </w:rPr>
              <w:t>2</w:t>
            </w:r>
            <w:r w:rsidR="00C74EA8">
              <w:rPr>
                <w:b/>
                <w:bCs/>
                <w:lang w:val="fr-FR"/>
              </w:rPr>
              <w:t>4</w:t>
            </w:r>
            <w:r w:rsidRPr="009F65DD">
              <w:rPr>
                <w:b/>
                <w:bCs/>
                <w:lang w:val="fr-FR"/>
              </w:rPr>
              <w:t xml:space="preserve"> jours de </w:t>
            </w:r>
            <w:r w:rsidR="00F7233C" w:rsidRPr="009F65DD">
              <w:rPr>
                <w:b/>
                <w:bCs/>
                <w:lang w:val="fr-FR"/>
              </w:rPr>
              <w:t>présence</w:t>
            </w:r>
            <w:r w:rsidRPr="009F65DD">
              <w:rPr>
                <w:b/>
                <w:bCs/>
                <w:lang w:val="fr-FR"/>
              </w:rPr>
              <w:t xml:space="preserve"> dans le pays est </w:t>
            </w:r>
            <w:r w:rsidR="00F7233C" w:rsidRPr="009F65DD">
              <w:rPr>
                <w:b/>
                <w:bCs/>
                <w:lang w:val="fr-FR"/>
              </w:rPr>
              <w:t>requis</w:t>
            </w:r>
            <w:r w:rsidRPr="009F65DD">
              <w:rPr>
                <w:b/>
                <w:bCs/>
                <w:lang w:val="fr-FR"/>
              </w:rPr>
              <w:t xml:space="preserve"> en deux temps dont 18 jours de terrain)</w:t>
            </w:r>
            <w:r w:rsidR="00F222DF">
              <w:rPr>
                <w:b/>
                <w:bCs/>
                <w:lang w:val="fr-FR"/>
              </w:rPr>
              <w:t>.</w:t>
            </w:r>
          </w:p>
          <w:p w14:paraId="4B174CB3" w14:textId="121E779E" w:rsidR="008A7A74" w:rsidRPr="009F65DD" w:rsidRDefault="008A7A74" w:rsidP="006E0537">
            <w:pPr>
              <w:autoSpaceDE w:val="0"/>
              <w:autoSpaceDN w:val="0"/>
              <w:adjustRightInd w:val="0"/>
              <w:ind w:left="720"/>
              <w:jc w:val="both"/>
              <w:rPr>
                <w:rFonts w:eastAsia="Arial Unicode MS"/>
                <w:b/>
                <w:lang w:val="fr-FR"/>
              </w:rPr>
            </w:pPr>
          </w:p>
        </w:tc>
      </w:tr>
    </w:tbl>
    <w:p w14:paraId="06903485" w14:textId="77777777" w:rsidR="007C327F" w:rsidRPr="009F65DD" w:rsidRDefault="007C327F" w:rsidP="00503F70">
      <w:pPr>
        <w:autoSpaceDE w:val="0"/>
        <w:autoSpaceDN w:val="0"/>
        <w:adjustRightInd w:val="0"/>
        <w:rPr>
          <w:b/>
          <w:lang w:val="fr-FR"/>
        </w:rPr>
      </w:pPr>
    </w:p>
    <w:sectPr w:rsidR="007C327F" w:rsidRPr="009F65DD" w:rsidSect="00643D3F">
      <w:footerReference w:type="default" r:id="rId14"/>
      <w:type w:val="oddPage"/>
      <w:pgSz w:w="11909" w:h="16834" w:code="9"/>
      <w:pgMar w:top="1440" w:right="1080" w:bottom="1440" w:left="1080" w:header="504" w:footer="403" w:gutter="0"/>
      <w:paperSrc w:first="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2584" w14:textId="77777777" w:rsidR="00EE0455" w:rsidRDefault="00EE0455" w:rsidP="00ED306C">
      <w:r>
        <w:separator/>
      </w:r>
    </w:p>
  </w:endnote>
  <w:endnote w:type="continuationSeparator" w:id="0">
    <w:p w14:paraId="696EE980" w14:textId="77777777" w:rsidR="00EE0455" w:rsidRDefault="00EE0455" w:rsidP="00ED306C">
      <w:r>
        <w:continuationSeparator/>
      </w:r>
    </w:p>
  </w:endnote>
  <w:endnote w:type="continuationNotice" w:id="1">
    <w:p w14:paraId="3D1719F4" w14:textId="77777777" w:rsidR="00EE0455" w:rsidRDefault="00EE0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SansMT">
    <w:altName w:val="Cambria"/>
    <w:panose1 w:val="00000000000000000000"/>
    <w:charset w:val="00"/>
    <w:family w:val="roman"/>
    <w:notTrueType/>
    <w:pitch w:val="default"/>
  </w:font>
  <w:font w:name="Univers LT Std 55">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356376"/>
      <w:docPartObj>
        <w:docPartGallery w:val="Page Numbers (Bottom of Page)"/>
        <w:docPartUnique/>
      </w:docPartObj>
    </w:sdtPr>
    <w:sdtEndPr>
      <w:rPr>
        <w:noProof/>
      </w:rPr>
    </w:sdtEndPr>
    <w:sdtContent>
      <w:p w14:paraId="699E48D3" w14:textId="6CB1FECB" w:rsidR="00BE24BE" w:rsidRDefault="00BE24B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274046C" w14:textId="77777777" w:rsidR="00BE24BE" w:rsidRDefault="00BE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7336" w14:textId="77777777" w:rsidR="00EE0455" w:rsidRDefault="00EE0455" w:rsidP="00ED306C">
      <w:r>
        <w:separator/>
      </w:r>
    </w:p>
  </w:footnote>
  <w:footnote w:type="continuationSeparator" w:id="0">
    <w:p w14:paraId="7DD642C8" w14:textId="77777777" w:rsidR="00EE0455" w:rsidRDefault="00EE0455" w:rsidP="00ED306C">
      <w:r>
        <w:continuationSeparator/>
      </w:r>
    </w:p>
  </w:footnote>
  <w:footnote w:type="continuationNotice" w:id="1">
    <w:p w14:paraId="15BB9D18" w14:textId="77777777" w:rsidR="00EE0455" w:rsidRDefault="00EE0455"/>
  </w:footnote>
  <w:footnote w:id="2">
    <w:p w14:paraId="0F3A67F7" w14:textId="77777777" w:rsidR="0029587A" w:rsidRPr="002D2455" w:rsidRDefault="0029587A" w:rsidP="0029587A">
      <w:pPr>
        <w:pStyle w:val="FootnoteText"/>
        <w:rPr>
          <w:sz w:val="18"/>
          <w:szCs w:val="18"/>
          <w:lang w:val="fr-FR"/>
        </w:rPr>
      </w:pPr>
      <w:r w:rsidRPr="002D2455">
        <w:rPr>
          <w:rStyle w:val="FootnoteReference"/>
          <w:sz w:val="18"/>
          <w:szCs w:val="18"/>
        </w:rPr>
        <w:footnoteRef/>
      </w:r>
      <w:r w:rsidRPr="002D2455">
        <w:rPr>
          <w:sz w:val="18"/>
          <w:szCs w:val="18"/>
          <w:lang w:val="fr-FR"/>
        </w:rPr>
        <w:t xml:space="preserve"> Voir le document « programme de l’UNICEF à Djibouti » dans l’annexe « Documents pour l’évaluation ».</w:t>
      </w:r>
    </w:p>
  </w:footnote>
  <w:footnote w:id="3">
    <w:p w14:paraId="311395DB" w14:textId="77777777" w:rsidR="006844D1" w:rsidRPr="00A97879" w:rsidRDefault="006844D1" w:rsidP="006844D1">
      <w:pPr>
        <w:pStyle w:val="numberedpara"/>
        <w:numPr>
          <w:ilvl w:val="0"/>
          <w:numId w:val="0"/>
        </w:numPr>
        <w:spacing w:after="0" w:line="240" w:lineRule="auto"/>
        <w:rPr>
          <w:sz w:val="18"/>
          <w:szCs w:val="18"/>
          <w:lang w:val="fr-FR"/>
        </w:rPr>
      </w:pPr>
      <w:r w:rsidRPr="002D2455">
        <w:rPr>
          <w:rStyle w:val="FootnoteReference"/>
          <w:rFonts w:ascii="Times New Roman" w:hAnsi="Times New Roman" w:cs="Times New Roman"/>
          <w:sz w:val="18"/>
          <w:szCs w:val="18"/>
        </w:rPr>
        <w:footnoteRef/>
      </w:r>
      <w:r w:rsidRPr="002D2455">
        <w:rPr>
          <w:rFonts w:ascii="Times New Roman" w:hAnsi="Times New Roman" w:cs="Times New Roman"/>
          <w:sz w:val="18"/>
          <w:szCs w:val="18"/>
          <w:lang w:val="fr-FR"/>
        </w:rPr>
        <w:t xml:space="preserve"> </w:t>
      </w:r>
      <w:proofErr w:type="spellStart"/>
      <w:r w:rsidRPr="002D2455">
        <w:rPr>
          <w:rFonts w:ascii="Times New Roman" w:hAnsi="Times New Roman" w:cs="Times New Roman"/>
          <w:b/>
          <w:bCs/>
          <w:color w:val="0070C0"/>
          <w:sz w:val="18"/>
          <w:szCs w:val="18"/>
          <w:lang w:val="fr-FR"/>
        </w:rPr>
        <w:t>Evaluabilité</w:t>
      </w:r>
      <w:proofErr w:type="spellEnd"/>
      <w:r w:rsidRPr="002D2455">
        <w:rPr>
          <w:rFonts w:ascii="Times New Roman" w:hAnsi="Times New Roman" w:cs="Times New Roman"/>
          <w:b/>
          <w:bCs/>
          <w:color w:val="0070C0"/>
          <w:sz w:val="18"/>
          <w:szCs w:val="18"/>
          <w:lang w:val="fr-FR"/>
        </w:rPr>
        <w:t xml:space="preserve"> : </w:t>
      </w:r>
      <w:r w:rsidRPr="002D2455">
        <w:rPr>
          <w:rFonts w:ascii="Times New Roman" w:eastAsia="MS Mincho" w:hAnsi="Times New Roman" w:cs="Times New Roman"/>
          <w:snapToGrid w:val="0"/>
          <w:color w:val="auto"/>
          <w:sz w:val="18"/>
          <w:szCs w:val="18"/>
          <w:shd w:val="clear" w:color="auto" w:fill="auto"/>
          <w:lang w:val="fr-FR"/>
        </w:rPr>
        <w:t>L’évaluation sera basée sur la théorie de changement telle qu’elle a été élaborée dans la note stratégique du programme. Les consultants se chargeront de conduire l’</w:t>
      </w:r>
      <w:proofErr w:type="spellStart"/>
      <w:r w:rsidRPr="002D2455">
        <w:rPr>
          <w:rFonts w:ascii="Times New Roman" w:eastAsia="MS Mincho" w:hAnsi="Times New Roman" w:cs="Times New Roman"/>
          <w:snapToGrid w:val="0"/>
          <w:color w:val="auto"/>
          <w:sz w:val="18"/>
          <w:szCs w:val="18"/>
          <w:shd w:val="clear" w:color="auto" w:fill="auto"/>
          <w:lang w:val="fr-FR"/>
        </w:rPr>
        <w:t>évaluabilité</w:t>
      </w:r>
      <w:proofErr w:type="spellEnd"/>
      <w:r w:rsidRPr="002D2455">
        <w:rPr>
          <w:rFonts w:ascii="Times New Roman" w:eastAsia="MS Mincho" w:hAnsi="Times New Roman" w:cs="Times New Roman"/>
          <w:snapToGrid w:val="0"/>
          <w:color w:val="auto"/>
          <w:sz w:val="18"/>
          <w:szCs w:val="18"/>
          <w:shd w:val="clear" w:color="auto" w:fill="auto"/>
          <w:lang w:val="fr-FR"/>
        </w:rPr>
        <w:t xml:space="preserve"> du programme notamment en ce qui a trait à la disponibilité du cadre logique avec des indicateurs comportant les données de référence et les cibles désagrégées, la disponibilité des données désagrégées à travers un système de suivi et évaluation ainsi que leur qualité.</w:t>
      </w:r>
    </w:p>
  </w:footnote>
  <w:footnote w:id="4">
    <w:p w14:paraId="5768B0E6" w14:textId="77777777" w:rsidR="006844D1" w:rsidRPr="002D2455" w:rsidRDefault="006844D1" w:rsidP="006844D1">
      <w:pPr>
        <w:pStyle w:val="FootnoteText"/>
        <w:rPr>
          <w:sz w:val="18"/>
          <w:szCs w:val="18"/>
          <w:lang w:val="fr-FR"/>
        </w:rPr>
      </w:pPr>
      <w:r w:rsidRPr="002D2455">
        <w:rPr>
          <w:rStyle w:val="FootnoteReference"/>
          <w:sz w:val="18"/>
          <w:szCs w:val="18"/>
        </w:rPr>
        <w:footnoteRef/>
      </w:r>
      <w:r w:rsidRPr="002D2455">
        <w:rPr>
          <w:sz w:val="18"/>
          <w:szCs w:val="18"/>
          <w:lang w:val="fr-FR"/>
        </w:rPr>
        <w:t xml:space="preserve"> Date de début du programme.</w:t>
      </w:r>
    </w:p>
  </w:footnote>
  <w:footnote w:id="5">
    <w:p w14:paraId="1A121989" w14:textId="4691E845" w:rsidR="008A7A74" w:rsidRPr="002D2455" w:rsidRDefault="008A7A74" w:rsidP="002D2455">
      <w:pPr>
        <w:pStyle w:val="numberedpara"/>
        <w:numPr>
          <w:ilvl w:val="0"/>
          <w:numId w:val="0"/>
        </w:numPr>
        <w:spacing w:after="0" w:line="240" w:lineRule="auto"/>
        <w:rPr>
          <w:rFonts w:ascii="Times New Roman" w:eastAsia="Times New Roman" w:hAnsi="Times New Roman" w:cs="Times New Roman"/>
          <w:b/>
          <w:bCs/>
          <w:color w:val="auto"/>
          <w:sz w:val="18"/>
          <w:szCs w:val="18"/>
          <w:shd w:val="clear" w:color="auto" w:fill="auto"/>
          <w:lang w:val="fr-FR"/>
        </w:rPr>
      </w:pPr>
      <w:r w:rsidRPr="002D2455">
        <w:rPr>
          <w:rStyle w:val="FootnoteReference"/>
          <w:rFonts w:ascii="Times New Roman" w:hAnsi="Times New Roman" w:cs="Times New Roman"/>
          <w:sz w:val="18"/>
          <w:szCs w:val="18"/>
        </w:rPr>
        <w:footnoteRef/>
      </w:r>
      <w:r w:rsidRPr="002D2455">
        <w:rPr>
          <w:rFonts w:ascii="Times New Roman" w:hAnsi="Times New Roman" w:cs="Times New Roman"/>
          <w:sz w:val="18"/>
          <w:szCs w:val="18"/>
          <w:lang w:val="fr-FR"/>
        </w:rPr>
        <w:t xml:space="preserve"> </w:t>
      </w:r>
      <w:r w:rsidRPr="002D2455">
        <w:rPr>
          <w:rFonts w:ascii="Times New Roman" w:eastAsia="Times New Roman" w:hAnsi="Times New Roman" w:cs="Times New Roman"/>
          <w:b/>
          <w:bCs/>
          <w:color w:val="0070C0"/>
          <w:sz w:val="18"/>
          <w:szCs w:val="18"/>
          <w:shd w:val="clear" w:color="auto" w:fill="auto"/>
          <w:lang w:val="fr-FR"/>
        </w:rPr>
        <w:t>Limites de la méthodologie</w:t>
      </w:r>
      <w:r w:rsidR="002D2455" w:rsidRPr="002D2455">
        <w:rPr>
          <w:rFonts w:ascii="Times New Roman" w:eastAsia="Times New Roman" w:hAnsi="Times New Roman" w:cs="Times New Roman"/>
          <w:b/>
          <w:bCs/>
          <w:color w:val="0070C0"/>
          <w:sz w:val="18"/>
          <w:szCs w:val="18"/>
          <w:shd w:val="clear" w:color="auto" w:fill="auto"/>
          <w:lang w:val="fr-FR"/>
        </w:rPr>
        <w:t> </w:t>
      </w:r>
      <w:r w:rsidR="002D2455" w:rsidRPr="002D2455">
        <w:rPr>
          <w:rFonts w:ascii="Times New Roman" w:eastAsia="Times New Roman" w:hAnsi="Times New Roman" w:cs="Times New Roman"/>
          <w:color w:val="auto"/>
          <w:sz w:val="18"/>
          <w:szCs w:val="18"/>
          <w:shd w:val="clear" w:color="auto" w:fill="auto"/>
          <w:lang w:val="fr-FR"/>
        </w:rPr>
        <w:t>:</w:t>
      </w:r>
      <w:r w:rsidR="002D2455" w:rsidRPr="002D2455">
        <w:rPr>
          <w:rFonts w:ascii="Times New Roman" w:eastAsia="Times New Roman" w:hAnsi="Times New Roman" w:cs="Times New Roman"/>
          <w:b/>
          <w:bCs/>
          <w:color w:val="auto"/>
          <w:sz w:val="18"/>
          <w:szCs w:val="18"/>
          <w:shd w:val="clear" w:color="auto" w:fill="auto"/>
          <w:lang w:val="fr-FR"/>
        </w:rPr>
        <w:t xml:space="preserve"> </w:t>
      </w:r>
      <w:r w:rsidRPr="002D2455">
        <w:rPr>
          <w:rFonts w:ascii="Times New Roman" w:hAnsi="Times New Roman" w:cs="Times New Roman"/>
          <w:bCs/>
          <w:color w:val="auto"/>
          <w:sz w:val="18"/>
          <w:szCs w:val="18"/>
          <w:lang w:val="fr-FR"/>
        </w:rPr>
        <w:t>La principale limite est constituée par le biais de sélection pour la collecte des données. Ce biais est relatif tant aux zones d’intervention à couvrir que pour les personnes choisies pour les entretiens semi-structurés. L’évaluation fera en sorte que les zones urbaines, périurbaines et rurales ainsi que les différentes catégories des parties prenantes y compris les bénéficiaires soient représentées.</w:t>
      </w:r>
    </w:p>
    <w:p w14:paraId="436A61C7" w14:textId="77777777" w:rsidR="008A7A74" w:rsidRPr="002D2455" w:rsidRDefault="008A7A74" w:rsidP="00A97879">
      <w:pPr>
        <w:keepNext/>
        <w:jc w:val="both"/>
        <w:outlineLvl w:val="1"/>
        <w:rPr>
          <w:bCs/>
          <w:sz w:val="18"/>
          <w:szCs w:val="18"/>
          <w:lang w:val="fr-FR"/>
        </w:rPr>
      </w:pPr>
      <w:r w:rsidRPr="002D2455">
        <w:rPr>
          <w:bCs/>
          <w:sz w:val="18"/>
          <w:szCs w:val="18"/>
          <w:lang w:val="fr-FR"/>
        </w:rPr>
        <w:t xml:space="preserve">Les risques d’intégrité des données recueillies. En effet, cette limite traduit le risque de grossissement ou de dissimulation des faits par les informateurs clés à consulter sur le terrain, ces derniers étant souvent choisis par les partenaires d’exécution. Cette limite est atténuée par la triangulation et la consolidation des données collectées auprès de plusieurs sources. </w:t>
      </w:r>
    </w:p>
    <w:p w14:paraId="27E9DBC1" w14:textId="2509E24C" w:rsidR="008A7A74" w:rsidRPr="002D2455" w:rsidRDefault="008A7A74" w:rsidP="002D2455">
      <w:pPr>
        <w:keepNext/>
        <w:jc w:val="both"/>
        <w:outlineLvl w:val="1"/>
        <w:rPr>
          <w:bCs/>
          <w:sz w:val="18"/>
          <w:szCs w:val="18"/>
          <w:lang w:val="fr-FR"/>
        </w:rPr>
      </w:pPr>
      <w:r w:rsidRPr="002D2455">
        <w:rPr>
          <w:bCs/>
          <w:sz w:val="18"/>
          <w:szCs w:val="18"/>
          <w:lang w:val="fr-FR"/>
        </w:rPr>
        <w:t>Les données quantitatives sont très limitées au niveau national. Ce qui peut limiter d’une part les possibilités de triangulation des données recueillies et, d’autre part, limiter la mise en perspective de l’apport du programme de l’UNICEF par rapport à la dimension des problématiques soulevées.</w:t>
      </w:r>
    </w:p>
  </w:footnote>
  <w:footnote w:id="6">
    <w:p w14:paraId="51A05447" w14:textId="77777777" w:rsidR="008A7A74" w:rsidRPr="002D2455" w:rsidRDefault="008A7A74" w:rsidP="002741AA">
      <w:pPr>
        <w:pStyle w:val="FootnoteText"/>
        <w:jc w:val="both"/>
        <w:rPr>
          <w:sz w:val="18"/>
          <w:szCs w:val="18"/>
          <w:lang w:val="fr-FR"/>
        </w:rPr>
      </w:pPr>
      <w:r w:rsidRPr="002D2455">
        <w:rPr>
          <w:rStyle w:val="FootnoteReference"/>
          <w:sz w:val="18"/>
          <w:szCs w:val="18"/>
        </w:rPr>
        <w:footnoteRef/>
      </w:r>
      <w:r w:rsidRPr="002D2455">
        <w:rPr>
          <w:sz w:val="18"/>
          <w:szCs w:val="18"/>
          <w:lang w:val="fr-FR"/>
        </w:rPr>
        <w:t xml:space="preserve"> Il sera entendu comme « programme de protection de l’enfant » pour cette section, le focus sur les trois axes cités : 1) prise en charge des enfants vulnérables, 2) enregistrement des naissances, 3) lutte contre les MGF.</w:t>
      </w:r>
    </w:p>
  </w:footnote>
  <w:footnote w:id="7">
    <w:p w14:paraId="0ECE077B" w14:textId="77777777" w:rsidR="008A7A74" w:rsidRPr="002D2455" w:rsidRDefault="008A7A74" w:rsidP="002741AA">
      <w:pPr>
        <w:pStyle w:val="FootnoteText"/>
        <w:jc w:val="both"/>
        <w:rPr>
          <w:sz w:val="18"/>
          <w:szCs w:val="18"/>
          <w:lang w:val="fr-FR"/>
        </w:rPr>
      </w:pPr>
      <w:r w:rsidRPr="002D2455">
        <w:rPr>
          <w:rStyle w:val="FootnoteReference"/>
          <w:sz w:val="18"/>
          <w:szCs w:val="18"/>
        </w:rPr>
        <w:footnoteRef/>
      </w:r>
      <w:r w:rsidRPr="002D2455">
        <w:rPr>
          <w:rStyle w:val="FootnoteReference"/>
          <w:sz w:val="18"/>
          <w:szCs w:val="18"/>
          <w:lang w:val="fr-FR"/>
        </w:rPr>
        <w:t xml:space="preserve"> </w:t>
      </w:r>
      <w:r w:rsidRPr="002D2455">
        <w:rPr>
          <w:sz w:val="18"/>
          <w:szCs w:val="18"/>
          <w:lang w:val="fr-FR"/>
        </w:rPr>
        <w:t>Ici, il faut voir UNFPA, IOM, CARITAS etc. – pas seulement les acteurs internationaux mais aussi les nationaux, locaux, communautaires. Les consultants doivent faire un mapping des acteurs.</w:t>
      </w:r>
    </w:p>
  </w:footnote>
  <w:footnote w:id="8">
    <w:p w14:paraId="1101AB70" w14:textId="77777777" w:rsidR="008A7A74" w:rsidRPr="002D2455" w:rsidRDefault="008A7A74" w:rsidP="002741AA">
      <w:pPr>
        <w:pStyle w:val="FootnoteText"/>
        <w:jc w:val="both"/>
        <w:rPr>
          <w:sz w:val="18"/>
          <w:szCs w:val="18"/>
          <w:lang w:val="fr-FR"/>
        </w:rPr>
      </w:pPr>
      <w:r w:rsidRPr="002D2455">
        <w:rPr>
          <w:rStyle w:val="FootnoteReference"/>
          <w:sz w:val="18"/>
          <w:szCs w:val="18"/>
        </w:rPr>
        <w:footnoteRef/>
      </w:r>
      <w:r w:rsidRPr="002D2455">
        <w:rPr>
          <w:sz w:val="18"/>
          <w:szCs w:val="18"/>
          <w:lang w:val="fr-FR"/>
        </w:rPr>
        <w:t xml:space="preserve"> </w:t>
      </w:r>
      <w:r w:rsidRPr="002D2455">
        <w:rPr>
          <w:bCs/>
          <w:sz w:val="18"/>
          <w:szCs w:val="18"/>
          <w:lang w:val="fr-FR"/>
        </w:rPr>
        <w:t>L'ayant-droit est la personne détenant un droit du fait de son lien avec l'auteur. L'ayant-droit (pl. ayants-droits), ou ayant-cause, est donc une personne bénéficiant d'un droit en raison de sa situation juridique, fiscale, financière, ou d'un lien familial avec le bénéficiaire direct de ce droit. Ce terme est utilisé quand on parle de copyright (notion anglo-saxonne du droit d'auteur limitée aux droits patrimoniaux de l'œuvre).</w:t>
      </w:r>
    </w:p>
  </w:footnote>
  <w:footnote w:id="9">
    <w:p w14:paraId="081AB28B" w14:textId="77777777" w:rsidR="008A7A74" w:rsidRPr="00EA155B" w:rsidRDefault="008A7A74" w:rsidP="002741AA">
      <w:pPr>
        <w:pStyle w:val="FootnoteText"/>
        <w:jc w:val="both"/>
        <w:rPr>
          <w:rFonts w:asciiTheme="minorHAnsi" w:hAnsiTheme="minorHAnsi" w:cstheme="minorHAnsi"/>
          <w:sz w:val="16"/>
          <w:szCs w:val="16"/>
          <w:lang w:val="fr-FR"/>
        </w:rPr>
      </w:pPr>
      <w:r w:rsidRPr="002D2455">
        <w:rPr>
          <w:rStyle w:val="FootnoteReference"/>
          <w:sz w:val="18"/>
          <w:szCs w:val="18"/>
        </w:rPr>
        <w:footnoteRef/>
      </w:r>
      <w:r w:rsidRPr="002D2455">
        <w:rPr>
          <w:sz w:val="18"/>
          <w:szCs w:val="18"/>
          <w:lang w:val="fr-FR"/>
        </w:rPr>
        <w:t xml:space="preserve"> </w:t>
      </w:r>
      <w:r w:rsidRPr="002D2455">
        <w:rPr>
          <w:bCs/>
          <w:sz w:val="18"/>
          <w:szCs w:val="18"/>
          <w:lang w:val="fr-FR"/>
        </w:rPr>
        <w:t>Quel est le degré de satisfaction des femmes, filles, garçons et hommes ainsi que des communautés avec la qualité des services de prévention et de réponse qu’ils ont reçu à travers ce programme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010"/>
    <w:multiLevelType w:val="hybridMultilevel"/>
    <w:tmpl w:val="4E72C4CA"/>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0210D"/>
    <w:multiLevelType w:val="hybridMultilevel"/>
    <w:tmpl w:val="6AC2F6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B7AAD"/>
    <w:multiLevelType w:val="hybridMultilevel"/>
    <w:tmpl w:val="3EA2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B64F8"/>
    <w:multiLevelType w:val="hybridMultilevel"/>
    <w:tmpl w:val="A3E6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C2A1E"/>
    <w:multiLevelType w:val="hybridMultilevel"/>
    <w:tmpl w:val="F81E26CE"/>
    <w:lvl w:ilvl="0" w:tplc="00809EB0">
      <w:start w:val="1"/>
      <w:numFmt w:val="decimal"/>
      <w:pStyle w:val="numberedpara"/>
      <w:lvlText w:val="%1."/>
      <w:lvlJc w:val="left"/>
      <w:pPr>
        <w:ind w:left="48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87121"/>
    <w:multiLevelType w:val="hybridMultilevel"/>
    <w:tmpl w:val="8590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100A5"/>
    <w:multiLevelType w:val="hybridMultilevel"/>
    <w:tmpl w:val="DE329D6A"/>
    <w:lvl w:ilvl="0" w:tplc="FFFFFFFF">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AE32FED"/>
    <w:multiLevelType w:val="hybridMultilevel"/>
    <w:tmpl w:val="C6903E58"/>
    <w:lvl w:ilvl="0" w:tplc="4DAAF0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5381E"/>
    <w:multiLevelType w:val="hybridMultilevel"/>
    <w:tmpl w:val="62668202"/>
    <w:lvl w:ilvl="0" w:tplc="77846C0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D5B2F"/>
    <w:multiLevelType w:val="hybridMultilevel"/>
    <w:tmpl w:val="678E4388"/>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305DEE"/>
    <w:multiLevelType w:val="hybridMultilevel"/>
    <w:tmpl w:val="7A9636B6"/>
    <w:lvl w:ilvl="0" w:tplc="70981B0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4297A"/>
    <w:multiLevelType w:val="hybridMultilevel"/>
    <w:tmpl w:val="E4506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184109"/>
    <w:multiLevelType w:val="hybridMultilevel"/>
    <w:tmpl w:val="61F42B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D44ED"/>
    <w:multiLevelType w:val="hybridMultilevel"/>
    <w:tmpl w:val="1A348530"/>
    <w:lvl w:ilvl="0" w:tplc="156E60E0">
      <w:start w:val="1"/>
      <w:numFmt w:val="decimal"/>
      <w:lvlText w:val="%1)"/>
      <w:lvlJc w:val="left"/>
      <w:pPr>
        <w:ind w:left="720" w:hanging="360"/>
      </w:pPr>
    </w:lvl>
    <w:lvl w:ilvl="1" w:tplc="0E7C2CC8">
      <w:start w:val="1"/>
      <w:numFmt w:val="lowerLetter"/>
      <w:lvlText w:val="%2."/>
      <w:lvlJc w:val="left"/>
      <w:pPr>
        <w:ind w:left="1440" w:hanging="360"/>
      </w:pPr>
    </w:lvl>
    <w:lvl w:ilvl="2" w:tplc="540A9F44">
      <w:start w:val="1"/>
      <w:numFmt w:val="lowerRoman"/>
      <w:lvlText w:val="%3."/>
      <w:lvlJc w:val="right"/>
      <w:pPr>
        <w:ind w:left="2160" w:hanging="180"/>
      </w:pPr>
    </w:lvl>
    <w:lvl w:ilvl="3" w:tplc="66C29FF4">
      <w:start w:val="1"/>
      <w:numFmt w:val="decimal"/>
      <w:lvlText w:val="%4."/>
      <w:lvlJc w:val="left"/>
      <w:pPr>
        <w:ind w:left="2880" w:hanging="360"/>
      </w:pPr>
    </w:lvl>
    <w:lvl w:ilvl="4" w:tplc="DFCAFB74">
      <w:start w:val="1"/>
      <w:numFmt w:val="lowerLetter"/>
      <w:lvlText w:val="%5."/>
      <w:lvlJc w:val="left"/>
      <w:pPr>
        <w:ind w:left="3600" w:hanging="360"/>
      </w:pPr>
    </w:lvl>
    <w:lvl w:ilvl="5" w:tplc="526A192E">
      <w:start w:val="1"/>
      <w:numFmt w:val="lowerRoman"/>
      <w:lvlText w:val="%6."/>
      <w:lvlJc w:val="right"/>
      <w:pPr>
        <w:ind w:left="4320" w:hanging="180"/>
      </w:pPr>
    </w:lvl>
    <w:lvl w:ilvl="6" w:tplc="43600A7A">
      <w:start w:val="1"/>
      <w:numFmt w:val="decimal"/>
      <w:lvlText w:val="%7."/>
      <w:lvlJc w:val="left"/>
      <w:pPr>
        <w:ind w:left="5040" w:hanging="360"/>
      </w:pPr>
    </w:lvl>
    <w:lvl w:ilvl="7" w:tplc="6D167FC0">
      <w:start w:val="1"/>
      <w:numFmt w:val="lowerLetter"/>
      <w:lvlText w:val="%8."/>
      <w:lvlJc w:val="left"/>
      <w:pPr>
        <w:ind w:left="5760" w:hanging="360"/>
      </w:pPr>
    </w:lvl>
    <w:lvl w:ilvl="8" w:tplc="5ACCDD38">
      <w:start w:val="1"/>
      <w:numFmt w:val="lowerRoman"/>
      <w:lvlText w:val="%9."/>
      <w:lvlJc w:val="right"/>
      <w:pPr>
        <w:ind w:left="6480" w:hanging="180"/>
      </w:pPr>
    </w:lvl>
  </w:abstractNum>
  <w:num w:numId="1">
    <w:abstractNumId w:val="5"/>
  </w:num>
  <w:num w:numId="2">
    <w:abstractNumId w:val="12"/>
  </w:num>
  <w:num w:numId="3">
    <w:abstractNumId w:val="4"/>
  </w:num>
  <w:num w:numId="4">
    <w:abstractNumId w:val="1"/>
  </w:num>
  <w:num w:numId="5">
    <w:abstractNumId w:val="9"/>
  </w:num>
  <w:num w:numId="6">
    <w:abstractNumId w:val="0"/>
  </w:num>
  <w:num w:numId="7">
    <w:abstractNumId w:val="3"/>
  </w:num>
  <w:num w:numId="8">
    <w:abstractNumId w:val="2"/>
  </w:num>
  <w:num w:numId="9">
    <w:abstractNumId w:val="13"/>
  </w:num>
  <w:num w:numId="10">
    <w:abstractNumId w:val="10"/>
  </w:num>
  <w:num w:numId="11">
    <w:abstractNumId w:val="11"/>
  </w:num>
  <w:num w:numId="12">
    <w:abstractNumId w:val="6"/>
  </w:num>
  <w:num w:numId="13">
    <w:abstractNumId w:val="7"/>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13"/>
    <w:rsid w:val="000018D4"/>
    <w:rsid w:val="000027FA"/>
    <w:rsid w:val="0001312E"/>
    <w:rsid w:val="0001663A"/>
    <w:rsid w:val="00016DC6"/>
    <w:rsid w:val="0002077F"/>
    <w:rsid w:val="00020F48"/>
    <w:rsid w:val="00022E50"/>
    <w:rsid w:val="00026E6A"/>
    <w:rsid w:val="00030BA9"/>
    <w:rsid w:val="00032101"/>
    <w:rsid w:val="00032B02"/>
    <w:rsid w:val="0003578E"/>
    <w:rsid w:val="00043F01"/>
    <w:rsid w:val="00043FA2"/>
    <w:rsid w:val="00044BCE"/>
    <w:rsid w:val="00045044"/>
    <w:rsid w:val="00046C6A"/>
    <w:rsid w:val="000547BF"/>
    <w:rsid w:val="000570A6"/>
    <w:rsid w:val="00057886"/>
    <w:rsid w:val="000615AA"/>
    <w:rsid w:val="00061D33"/>
    <w:rsid w:val="00062A20"/>
    <w:rsid w:val="0007007D"/>
    <w:rsid w:val="00073C67"/>
    <w:rsid w:val="0007737D"/>
    <w:rsid w:val="00082784"/>
    <w:rsid w:val="000838AB"/>
    <w:rsid w:val="000851C8"/>
    <w:rsid w:val="000907CA"/>
    <w:rsid w:val="00090CE3"/>
    <w:rsid w:val="00093CA6"/>
    <w:rsid w:val="00093D74"/>
    <w:rsid w:val="000964C2"/>
    <w:rsid w:val="000B1BF5"/>
    <w:rsid w:val="000B4B30"/>
    <w:rsid w:val="000B6745"/>
    <w:rsid w:val="000B730E"/>
    <w:rsid w:val="000C230C"/>
    <w:rsid w:val="000C47B8"/>
    <w:rsid w:val="000C563B"/>
    <w:rsid w:val="000C7798"/>
    <w:rsid w:val="000C7B54"/>
    <w:rsid w:val="000D1703"/>
    <w:rsid w:val="000D1D84"/>
    <w:rsid w:val="000E5237"/>
    <w:rsid w:val="000F1799"/>
    <w:rsid w:val="000F36CA"/>
    <w:rsid w:val="000F3733"/>
    <w:rsid w:val="000F3B86"/>
    <w:rsid w:val="000F45BF"/>
    <w:rsid w:val="000F551D"/>
    <w:rsid w:val="000F5E16"/>
    <w:rsid w:val="000F5F26"/>
    <w:rsid w:val="000F6A27"/>
    <w:rsid w:val="000F6F8D"/>
    <w:rsid w:val="0010007A"/>
    <w:rsid w:val="00101887"/>
    <w:rsid w:val="00101AF3"/>
    <w:rsid w:val="00106F02"/>
    <w:rsid w:val="00111D80"/>
    <w:rsid w:val="0011572E"/>
    <w:rsid w:val="00115985"/>
    <w:rsid w:val="0012099E"/>
    <w:rsid w:val="00126BD7"/>
    <w:rsid w:val="00130754"/>
    <w:rsid w:val="00131539"/>
    <w:rsid w:val="00131EA1"/>
    <w:rsid w:val="00133939"/>
    <w:rsid w:val="00133EF7"/>
    <w:rsid w:val="0014203D"/>
    <w:rsid w:val="0014412E"/>
    <w:rsid w:val="00153325"/>
    <w:rsid w:val="001559E6"/>
    <w:rsid w:val="00156A80"/>
    <w:rsid w:val="00157EB6"/>
    <w:rsid w:val="00160BF0"/>
    <w:rsid w:val="0016242D"/>
    <w:rsid w:val="00163440"/>
    <w:rsid w:val="00163806"/>
    <w:rsid w:val="00165C1B"/>
    <w:rsid w:val="00166DBC"/>
    <w:rsid w:val="00172E6A"/>
    <w:rsid w:val="00175937"/>
    <w:rsid w:val="00176627"/>
    <w:rsid w:val="00177F06"/>
    <w:rsid w:val="00180C21"/>
    <w:rsid w:val="0018528A"/>
    <w:rsid w:val="00191B0B"/>
    <w:rsid w:val="00192362"/>
    <w:rsid w:val="001A432D"/>
    <w:rsid w:val="001A5B63"/>
    <w:rsid w:val="001B2D5D"/>
    <w:rsid w:val="001C7276"/>
    <w:rsid w:val="001C7A4E"/>
    <w:rsid w:val="001D1478"/>
    <w:rsid w:val="001D375F"/>
    <w:rsid w:val="001D572A"/>
    <w:rsid w:val="001E3833"/>
    <w:rsid w:val="001E5AEE"/>
    <w:rsid w:val="001E6195"/>
    <w:rsid w:val="001F5424"/>
    <w:rsid w:val="001F58DA"/>
    <w:rsid w:val="001F625A"/>
    <w:rsid w:val="001F70A8"/>
    <w:rsid w:val="001F7AA5"/>
    <w:rsid w:val="00200FFA"/>
    <w:rsid w:val="002046DC"/>
    <w:rsid w:val="002048D5"/>
    <w:rsid w:val="00205E9F"/>
    <w:rsid w:val="002102E9"/>
    <w:rsid w:val="002103FC"/>
    <w:rsid w:val="002116F6"/>
    <w:rsid w:val="00213EE6"/>
    <w:rsid w:val="00214270"/>
    <w:rsid w:val="00216B6E"/>
    <w:rsid w:val="00217227"/>
    <w:rsid w:val="00217B71"/>
    <w:rsid w:val="00217D38"/>
    <w:rsid w:val="00221CCD"/>
    <w:rsid w:val="00222005"/>
    <w:rsid w:val="002222CE"/>
    <w:rsid w:val="0022262A"/>
    <w:rsid w:val="002264D5"/>
    <w:rsid w:val="002265CA"/>
    <w:rsid w:val="002270AC"/>
    <w:rsid w:val="00231422"/>
    <w:rsid w:val="00232A8F"/>
    <w:rsid w:val="00240650"/>
    <w:rsid w:val="00252F28"/>
    <w:rsid w:val="00253F51"/>
    <w:rsid w:val="002669F0"/>
    <w:rsid w:val="00266D33"/>
    <w:rsid w:val="002677ED"/>
    <w:rsid w:val="00270EF0"/>
    <w:rsid w:val="00272D0C"/>
    <w:rsid w:val="00274787"/>
    <w:rsid w:val="00280EFF"/>
    <w:rsid w:val="002833B4"/>
    <w:rsid w:val="00295841"/>
    <w:rsid w:val="0029587A"/>
    <w:rsid w:val="00297611"/>
    <w:rsid w:val="002A2C25"/>
    <w:rsid w:val="002A2C44"/>
    <w:rsid w:val="002A5F6F"/>
    <w:rsid w:val="002B14F9"/>
    <w:rsid w:val="002B1DFC"/>
    <w:rsid w:val="002B5746"/>
    <w:rsid w:val="002C2E50"/>
    <w:rsid w:val="002C351A"/>
    <w:rsid w:val="002C463C"/>
    <w:rsid w:val="002C5D9E"/>
    <w:rsid w:val="002D22FC"/>
    <w:rsid w:val="002D2455"/>
    <w:rsid w:val="002D5043"/>
    <w:rsid w:val="002D5068"/>
    <w:rsid w:val="002D51FC"/>
    <w:rsid w:val="002D628C"/>
    <w:rsid w:val="002D7E5D"/>
    <w:rsid w:val="002E0929"/>
    <w:rsid w:val="002E10C8"/>
    <w:rsid w:val="002E2CF3"/>
    <w:rsid w:val="002E4169"/>
    <w:rsid w:val="002E5D0A"/>
    <w:rsid w:val="002E7B2A"/>
    <w:rsid w:val="002F0F88"/>
    <w:rsid w:val="002F10D2"/>
    <w:rsid w:val="002F1F3E"/>
    <w:rsid w:val="0030322D"/>
    <w:rsid w:val="003115B8"/>
    <w:rsid w:val="00312B18"/>
    <w:rsid w:val="00315309"/>
    <w:rsid w:val="00321F33"/>
    <w:rsid w:val="00323333"/>
    <w:rsid w:val="003246E5"/>
    <w:rsid w:val="00325BC7"/>
    <w:rsid w:val="00332232"/>
    <w:rsid w:val="003351F0"/>
    <w:rsid w:val="00342142"/>
    <w:rsid w:val="0035084E"/>
    <w:rsid w:val="003530B1"/>
    <w:rsid w:val="003540B0"/>
    <w:rsid w:val="00356D7A"/>
    <w:rsid w:val="00363A72"/>
    <w:rsid w:val="00365420"/>
    <w:rsid w:val="0036605C"/>
    <w:rsid w:val="00367036"/>
    <w:rsid w:val="00371200"/>
    <w:rsid w:val="0037210B"/>
    <w:rsid w:val="00375C4B"/>
    <w:rsid w:val="00382BE9"/>
    <w:rsid w:val="003867AF"/>
    <w:rsid w:val="00386EAD"/>
    <w:rsid w:val="0039142E"/>
    <w:rsid w:val="00391D60"/>
    <w:rsid w:val="00391EA1"/>
    <w:rsid w:val="00392379"/>
    <w:rsid w:val="003A2B42"/>
    <w:rsid w:val="003A38F4"/>
    <w:rsid w:val="003A7261"/>
    <w:rsid w:val="003B1176"/>
    <w:rsid w:val="003B1A10"/>
    <w:rsid w:val="003B7EF6"/>
    <w:rsid w:val="003C4E84"/>
    <w:rsid w:val="003C65A0"/>
    <w:rsid w:val="003D1456"/>
    <w:rsid w:val="003D56D2"/>
    <w:rsid w:val="003D63E1"/>
    <w:rsid w:val="003E02BD"/>
    <w:rsid w:val="003E353B"/>
    <w:rsid w:val="003E4842"/>
    <w:rsid w:val="003F157F"/>
    <w:rsid w:val="003F2042"/>
    <w:rsid w:val="003F4354"/>
    <w:rsid w:val="003F4766"/>
    <w:rsid w:val="003F5918"/>
    <w:rsid w:val="0040021F"/>
    <w:rsid w:val="0040101E"/>
    <w:rsid w:val="00401643"/>
    <w:rsid w:val="004043DF"/>
    <w:rsid w:val="004070C6"/>
    <w:rsid w:val="00407B6B"/>
    <w:rsid w:val="004101A9"/>
    <w:rsid w:val="00413940"/>
    <w:rsid w:val="00413CC1"/>
    <w:rsid w:val="0041640B"/>
    <w:rsid w:val="00417368"/>
    <w:rsid w:val="004251DC"/>
    <w:rsid w:val="00427EE1"/>
    <w:rsid w:val="00433C4A"/>
    <w:rsid w:val="004349AD"/>
    <w:rsid w:val="004357FD"/>
    <w:rsid w:val="0045103A"/>
    <w:rsid w:val="0045278A"/>
    <w:rsid w:val="004531DA"/>
    <w:rsid w:val="0045509A"/>
    <w:rsid w:val="004574B7"/>
    <w:rsid w:val="00460F54"/>
    <w:rsid w:val="004647CB"/>
    <w:rsid w:val="004657A3"/>
    <w:rsid w:val="00466164"/>
    <w:rsid w:val="0047158F"/>
    <w:rsid w:val="004779FD"/>
    <w:rsid w:val="00482177"/>
    <w:rsid w:val="004848DE"/>
    <w:rsid w:val="0048501B"/>
    <w:rsid w:val="00493986"/>
    <w:rsid w:val="00494657"/>
    <w:rsid w:val="004A1255"/>
    <w:rsid w:val="004A1E57"/>
    <w:rsid w:val="004A5921"/>
    <w:rsid w:val="004A6FCD"/>
    <w:rsid w:val="004B0138"/>
    <w:rsid w:val="004B41C5"/>
    <w:rsid w:val="004B534E"/>
    <w:rsid w:val="004B6038"/>
    <w:rsid w:val="004B6500"/>
    <w:rsid w:val="004C3A25"/>
    <w:rsid w:val="004D0A00"/>
    <w:rsid w:val="004D33F8"/>
    <w:rsid w:val="004D3A8B"/>
    <w:rsid w:val="004D5FF0"/>
    <w:rsid w:val="004D74F0"/>
    <w:rsid w:val="004E1C9D"/>
    <w:rsid w:val="004E2736"/>
    <w:rsid w:val="004F3F2A"/>
    <w:rsid w:val="004F5399"/>
    <w:rsid w:val="00503F70"/>
    <w:rsid w:val="005066C4"/>
    <w:rsid w:val="00511C66"/>
    <w:rsid w:val="00513983"/>
    <w:rsid w:val="00514097"/>
    <w:rsid w:val="005167A2"/>
    <w:rsid w:val="00522C7A"/>
    <w:rsid w:val="00522FCC"/>
    <w:rsid w:val="00524671"/>
    <w:rsid w:val="00531130"/>
    <w:rsid w:val="00537C51"/>
    <w:rsid w:val="005425AC"/>
    <w:rsid w:val="00542A51"/>
    <w:rsid w:val="0054475D"/>
    <w:rsid w:val="00544A7A"/>
    <w:rsid w:val="005508A5"/>
    <w:rsid w:val="00555106"/>
    <w:rsid w:val="00556DA0"/>
    <w:rsid w:val="00560569"/>
    <w:rsid w:val="005627DC"/>
    <w:rsid w:val="005738AD"/>
    <w:rsid w:val="005801FA"/>
    <w:rsid w:val="0058438F"/>
    <w:rsid w:val="00587BFE"/>
    <w:rsid w:val="00590B39"/>
    <w:rsid w:val="00595833"/>
    <w:rsid w:val="005A167E"/>
    <w:rsid w:val="005A49F2"/>
    <w:rsid w:val="005A62F2"/>
    <w:rsid w:val="005B21EA"/>
    <w:rsid w:val="005B37D8"/>
    <w:rsid w:val="005B7B69"/>
    <w:rsid w:val="005C4715"/>
    <w:rsid w:val="005C697F"/>
    <w:rsid w:val="005D0219"/>
    <w:rsid w:val="005D0422"/>
    <w:rsid w:val="005D3DBE"/>
    <w:rsid w:val="005D40BF"/>
    <w:rsid w:val="005D5049"/>
    <w:rsid w:val="005E087D"/>
    <w:rsid w:val="005E2920"/>
    <w:rsid w:val="005E3C41"/>
    <w:rsid w:val="005E597B"/>
    <w:rsid w:val="005E7EFB"/>
    <w:rsid w:val="005F1412"/>
    <w:rsid w:val="005F5811"/>
    <w:rsid w:val="005F60DB"/>
    <w:rsid w:val="005F6BDE"/>
    <w:rsid w:val="005F7246"/>
    <w:rsid w:val="0060570B"/>
    <w:rsid w:val="00605D2B"/>
    <w:rsid w:val="00606BCC"/>
    <w:rsid w:val="00607F70"/>
    <w:rsid w:val="00612464"/>
    <w:rsid w:val="0061276B"/>
    <w:rsid w:val="00614053"/>
    <w:rsid w:val="0062166C"/>
    <w:rsid w:val="006264BE"/>
    <w:rsid w:val="006322A0"/>
    <w:rsid w:val="006340F5"/>
    <w:rsid w:val="006362AB"/>
    <w:rsid w:val="00636DCC"/>
    <w:rsid w:val="00643497"/>
    <w:rsid w:val="00643D3F"/>
    <w:rsid w:val="00644BE7"/>
    <w:rsid w:val="00645CDD"/>
    <w:rsid w:val="00655CBB"/>
    <w:rsid w:val="0066084A"/>
    <w:rsid w:val="0066508D"/>
    <w:rsid w:val="00666157"/>
    <w:rsid w:val="00670408"/>
    <w:rsid w:val="006719CF"/>
    <w:rsid w:val="006747E1"/>
    <w:rsid w:val="00674F09"/>
    <w:rsid w:val="0067648C"/>
    <w:rsid w:val="00677A65"/>
    <w:rsid w:val="006844D1"/>
    <w:rsid w:val="00687E5F"/>
    <w:rsid w:val="00691330"/>
    <w:rsid w:val="006945DE"/>
    <w:rsid w:val="006960E4"/>
    <w:rsid w:val="00696F84"/>
    <w:rsid w:val="006A128E"/>
    <w:rsid w:val="006A1906"/>
    <w:rsid w:val="006A3AB2"/>
    <w:rsid w:val="006A755E"/>
    <w:rsid w:val="006B12A8"/>
    <w:rsid w:val="006B1B43"/>
    <w:rsid w:val="006B1B7A"/>
    <w:rsid w:val="006B1F24"/>
    <w:rsid w:val="006B485A"/>
    <w:rsid w:val="006B536D"/>
    <w:rsid w:val="006C05BA"/>
    <w:rsid w:val="006C099E"/>
    <w:rsid w:val="006C6B5A"/>
    <w:rsid w:val="006C72EB"/>
    <w:rsid w:val="006C73E6"/>
    <w:rsid w:val="006D33FC"/>
    <w:rsid w:val="006E0537"/>
    <w:rsid w:val="006E5049"/>
    <w:rsid w:val="006E6041"/>
    <w:rsid w:val="006E6488"/>
    <w:rsid w:val="006F067C"/>
    <w:rsid w:val="00700D61"/>
    <w:rsid w:val="007023B9"/>
    <w:rsid w:val="0070460C"/>
    <w:rsid w:val="007106C3"/>
    <w:rsid w:val="00710AD5"/>
    <w:rsid w:val="00714D5B"/>
    <w:rsid w:val="00722CCD"/>
    <w:rsid w:val="007233CA"/>
    <w:rsid w:val="0073152A"/>
    <w:rsid w:val="00731684"/>
    <w:rsid w:val="007317E7"/>
    <w:rsid w:val="00732F44"/>
    <w:rsid w:val="00742424"/>
    <w:rsid w:val="00747447"/>
    <w:rsid w:val="00747A22"/>
    <w:rsid w:val="00750408"/>
    <w:rsid w:val="00753023"/>
    <w:rsid w:val="00754227"/>
    <w:rsid w:val="00756ACB"/>
    <w:rsid w:val="00757210"/>
    <w:rsid w:val="00757EE1"/>
    <w:rsid w:val="00760E7B"/>
    <w:rsid w:val="00762982"/>
    <w:rsid w:val="00773DF9"/>
    <w:rsid w:val="00774F84"/>
    <w:rsid w:val="007803E9"/>
    <w:rsid w:val="007846FA"/>
    <w:rsid w:val="00791100"/>
    <w:rsid w:val="007912BA"/>
    <w:rsid w:val="00791A71"/>
    <w:rsid w:val="007927F5"/>
    <w:rsid w:val="007972CE"/>
    <w:rsid w:val="007A18EA"/>
    <w:rsid w:val="007A2BEF"/>
    <w:rsid w:val="007B6D43"/>
    <w:rsid w:val="007C1A0B"/>
    <w:rsid w:val="007C1D00"/>
    <w:rsid w:val="007C1E56"/>
    <w:rsid w:val="007C327F"/>
    <w:rsid w:val="007C6F45"/>
    <w:rsid w:val="007D344C"/>
    <w:rsid w:val="007D70E7"/>
    <w:rsid w:val="007E0082"/>
    <w:rsid w:val="007E1AB2"/>
    <w:rsid w:val="007E1C2C"/>
    <w:rsid w:val="007E2BB9"/>
    <w:rsid w:val="007E6A0E"/>
    <w:rsid w:val="007E7372"/>
    <w:rsid w:val="007F2015"/>
    <w:rsid w:val="007F3AAF"/>
    <w:rsid w:val="00800A30"/>
    <w:rsid w:val="00801357"/>
    <w:rsid w:val="00806209"/>
    <w:rsid w:val="00806575"/>
    <w:rsid w:val="008102F2"/>
    <w:rsid w:val="008124B1"/>
    <w:rsid w:val="00823AE3"/>
    <w:rsid w:val="00825145"/>
    <w:rsid w:val="0083019A"/>
    <w:rsid w:val="008311FF"/>
    <w:rsid w:val="00831D70"/>
    <w:rsid w:val="00833B2E"/>
    <w:rsid w:val="008348BC"/>
    <w:rsid w:val="00835B8E"/>
    <w:rsid w:val="008373DD"/>
    <w:rsid w:val="008438B4"/>
    <w:rsid w:val="008446D5"/>
    <w:rsid w:val="00844A12"/>
    <w:rsid w:val="008464C8"/>
    <w:rsid w:val="00846FD3"/>
    <w:rsid w:val="00856B3A"/>
    <w:rsid w:val="00864E89"/>
    <w:rsid w:val="008672CE"/>
    <w:rsid w:val="00872C8B"/>
    <w:rsid w:val="008757A9"/>
    <w:rsid w:val="008764DD"/>
    <w:rsid w:val="0088230C"/>
    <w:rsid w:val="008835B4"/>
    <w:rsid w:val="0088678E"/>
    <w:rsid w:val="008874A7"/>
    <w:rsid w:val="00887A31"/>
    <w:rsid w:val="00887F35"/>
    <w:rsid w:val="00894310"/>
    <w:rsid w:val="00894FA8"/>
    <w:rsid w:val="008A70DC"/>
    <w:rsid w:val="008A7A74"/>
    <w:rsid w:val="008B3E82"/>
    <w:rsid w:val="008B4261"/>
    <w:rsid w:val="008C223A"/>
    <w:rsid w:val="008C5423"/>
    <w:rsid w:val="008C78C7"/>
    <w:rsid w:val="008D40D8"/>
    <w:rsid w:val="008D6343"/>
    <w:rsid w:val="008D74A8"/>
    <w:rsid w:val="008E0E2D"/>
    <w:rsid w:val="008E1F12"/>
    <w:rsid w:val="008E2D9C"/>
    <w:rsid w:val="008E3576"/>
    <w:rsid w:val="008E5D3B"/>
    <w:rsid w:val="008E72E1"/>
    <w:rsid w:val="008F29F3"/>
    <w:rsid w:val="008F5DBA"/>
    <w:rsid w:val="008F6C1B"/>
    <w:rsid w:val="0090109E"/>
    <w:rsid w:val="00901659"/>
    <w:rsid w:val="00903F65"/>
    <w:rsid w:val="0091011A"/>
    <w:rsid w:val="0091093E"/>
    <w:rsid w:val="0091163C"/>
    <w:rsid w:val="0091254C"/>
    <w:rsid w:val="0091461A"/>
    <w:rsid w:val="009146F4"/>
    <w:rsid w:val="00914D6A"/>
    <w:rsid w:val="0091581E"/>
    <w:rsid w:val="00915925"/>
    <w:rsid w:val="00920E97"/>
    <w:rsid w:val="00923F4D"/>
    <w:rsid w:val="009246F4"/>
    <w:rsid w:val="00924C4D"/>
    <w:rsid w:val="00927307"/>
    <w:rsid w:val="00933903"/>
    <w:rsid w:val="00935703"/>
    <w:rsid w:val="0093677F"/>
    <w:rsid w:val="009410A1"/>
    <w:rsid w:val="00943FBA"/>
    <w:rsid w:val="00944013"/>
    <w:rsid w:val="009520FD"/>
    <w:rsid w:val="00957B09"/>
    <w:rsid w:val="00957F33"/>
    <w:rsid w:val="00961675"/>
    <w:rsid w:val="009638F8"/>
    <w:rsid w:val="0096722B"/>
    <w:rsid w:val="00970383"/>
    <w:rsid w:val="009722A6"/>
    <w:rsid w:val="00974333"/>
    <w:rsid w:val="0097486A"/>
    <w:rsid w:val="009754F0"/>
    <w:rsid w:val="009765F5"/>
    <w:rsid w:val="00980259"/>
    <w:rsid w:val="009826E8"/>
    <w:rsid w:val="009A32A4"/>
    <w:rsid w:val="009B54BD"/>
    <w:rsid w:val="009B5529"/>
    <w:rsid w:val="009C1450"/>
    <w:rsid w:val="009C2707"/>
    <w:rsid w:val="009D186E"/>
    <w:rsid w:val="009D48E9"/>
    <w:rsid w:val="009E01B8"/>
    <w:rsid w:val="009E1167"/>
    <w:rsid w:val="009E1ABD"/>
    <w:rsid w:val="009E24F4"/>
    <w:rsid w:val="009E3892"/>
    <w:rsid w:val="009E535B"/>
    <w:rsid w:val="009E6FBA"/>
    <w:rsid w:val="009F0853"/>
    <w:rsid w:val="009F22E4"/>
    <w:rsid w:val="009F2CE8"/>
    <w:rsid w:val="009F2DEC"/>
    <w:rsid w:val="009F40E7"/>
    <w:rsid w:val="009F4B63"/>
    <w:rsid w:val="009F500E"/>
    <w:rsid w:val="009F65DD"/>
    <w:rsid w:val="009F6621"/>
    <w:rsid w:val="00A02053"/>
    <w:rsid w:val="00A02111"/>
    <w:rsid w:val="00A025BE"/>
    <w:rsid w:val="00A03901"/>
    <w:rsid w:val="00A0538A"/>
    <w:rsid w:val="00A0544F"/>
    <w:rsid w:val="00A22E34"/>
    <w:rsid w:val="00A24C3D"/>
    <w:rsid w:val="00A2567A"/>
    <w:rsid w:val="00A30B74"/>
    <w:rsid w:val="00A30D86"/>
    <w:rsid w:val="00A36A60"/>
    <w:rsid w:val="00A37064"/>
    <w:rsid w:val="00A370AB"/>
    <w:rsid w:val="00A4060E"/>
    <w:rsid w:val="00A41BC0"/>
    <w:rsid w:val="00A43BCD"/>
    <w:rsid w:val="00A47AF8"/>
    <w:rsid w:val="00A529EE"/>
    <w:rsid w:val="00A52A0C"/>
    <w:rsid w:val="00A52B81"/>
    <w:rsid w:val="00A53B7E"/>
    <w:rsid w:val="00A67C1D"/>
    <w:rsid w:val="00A70C13"/>
    <w:rsid w:val="00A72A68"/>
    <w:rsid w:val="00A82293"/>
    <w:rsid w:val="00A96381"/>
    <w:rsid w:val="00AA2F3A"/>
    <w:rsid w:val="00AB0A35"/>
    <w:rsid w:val="00AB4B36"/>
    <w:rsid w:val="00AC5A23"/>
    <w:rsid w:val="00AC62E8"/>
    <w:rsid w:val="00AD63A8"/>
    <w:rsid w:val="00AD734D"/>
    <w:rsid w:val="00AE0112"/>
    <w:rsid w:val="00AE3BC4"/>
    <w:rsid w:val="00AF1571"/>
    <w:rsid w:val="00AF45BA"/>
    <w:rsid w:val="00AF631D"/>
    <w:rsid w:val="00B013E2"/>
    <w:rsid w:val="00B02C16"/>
    <w:rsid w:val="00B034A7"/>
    <w:rsid w:val="00B03729"/>
    <w:rsid w:val="00B07130"/>
    <w:rsid w:val="00B129A8"/>
    <w:rsid w:val="00B17C31"/>
    <w:rsid w:val="00B207B3"/>
    <w:rsid w:val="00B27472"/>
    <w:rsid w:val="00B27777"/>
    <w:rsid w:val="00B34967"/>
    <w:rsid w:val="00B35C68"/>
    <w:rsid w:val="00B375C4"/>
    <w:rsid w:val="00B41C68"/>
    <w:rsid w:val="00B4303E"/>
    <w:rsid w:val="00B5043E"/>
    <w:rsid w:val="00B55EF2"/>
    <w:rsid w:val="00B57E18"/>
    <w:rsid w:val="00B65995"/>
    <w:rsid w:val="00B6673C"/>
    <w:rsid w:val="00B735C7"/>
    <w:rsid w:val="00B8379C"/>
    <w:rsid w:val="00B83BFE"/>
    <w:rsid w:val="00B86AC9"/>
    <w:rsid w:val="00B86E2D"/>
    <w:rsid w:val="00B916AB"/>
    <w:rsid w:val="00B91DF3"/>
    <w:rsid w:val="00B9252C"/>
    <w:rsid w:val="00B95CAD"/>
    <w:rsid w:val="00BA4503"/>
    <w:rsid w:val="00BB2698"/>
    <w:rsid w:val="00BB5D8F"/>
    <w:rsid w:val="00BB5F52"/>
    <w:rsid w:val="00BC2F72"/>
    <w:rsid w:val="00BC39C5"/>
    <w:rsid w:val="00BD01DB"/>
    <w:rsid w:val="00BD1547"/>
    <w:rsid w:val="00BD6119"/>
    <w:rsid w:val="00BE24BE"/>
    <w:rsid w:val="00BE4C72"/>
    <w:rsid w:val="00BE5953"/>
    <w:rsid w:val="00BE7C7D"/>
    <w:rsid w:val="00BE7EB2"/>
    <w:rsid w:val="00BF0881"/>
    <w:rsid w:val="00BF3C90"/>
    <w:rsid w:val="00BF5021"/>
    <w:rsid w:val="00BF53D1"/>
    <w:rsid w:val="00BF646C"/>
    <w:rsid w:val="00C01515"/>
    <w:rsid w:val="00C01DE8"/>
    <w:rsid w:val="00C06BE6"/>
    <w:rsid w:val="00C07A88"/>
    <w:rsid w:val="00C100D2"/>
    <w:rsid w:val="00C12DC7"/>
    <w:rsid w:val="00C176D6"/>
    <w:rsid w:val="00C21FF3"/>
    <w:rsid w:val="00C22139"/>
    <w:rsid w:val="00C2518D"/>
    <w:rsid w:val="00C42594"/>
    <w:rsid w:val="00C44C73"/>
    <w:rsid w:val="00C466B0"/>
    <w:rsid w:val="00C47336"/>
    <w:rsid w:val="00C478B0"/>
    <w:rsid w:val="00C50572"/>
    <w:rsid w:val="00C5082B"/>
    <w:rsid w:val="00C51F22"/>
    <w:rsid w:val="00C52984"/>
    <w:rsid w:val="00C53057"/>
    <w:rsid w:val="00C56CD6"/>
    <w:rsid w:val="00C631B1"/>
    <w:rsid w:val="00C6419F"/>
    <w:rsid w:val="00C74EA8"/>
    <w:rsid w:val="00C75B23"/>
    <w:rsid w:val="00C81CA7"/>
    <w:rsid w:val="00C82A69"/>
    <w:rsid w:val="00C83CC1"/>
    <w:rsid w:val="00C909CF"/>
    <w:rsid w:val="00C9253D"/>
    <w:rsid w:val="00C97734"/>
    <w:rsid w:val="00CA06A0"/>
    <w:rsid w:val="00CA1959"/>
    <w:rsid w:val="00CA5F9B"/>
    <w:rsid w:val="00CA6B11"/>
    <w:rsid w:val="00CA7120"/>
    <w:rsid w:val="00CB4AED"/>
    <w:rsid w:val="00CB7CB1"/>
    <w:rsid w:val="00CB7F72"/>
    <w:rsid w:val="00CC2B9A"/>
    <w:rsid w:val="00CC2D00"/>
    <w:rsid w:val="00CC2E41"/>
    <w:rsid w:val="00CC39A8"/>
    <w:rsid w:val="00CC4398"/>
    <w:rsid w:val="00CD1722"/>
    <w:rsid w:val="00CD2032"/>
    <w:rsid w:val="00CD28D8"/>
    <w:rsid w:val="00CD4BC5"/>
    <w:rsid w:val="00CD7C76"/>
    <w:rsid w:val="00CE069E"/>
    <w:rsid w:val="00CE2FEA"/>
    <w:rsid w:val="00CE5498"/>
    <w:rsid w:val="00CF0B51"/>
    <w:rsid w:val="00CF29BE"/>
    <w:rsid w:val="00CF3E8D"/>
    <w:rsid w:val="00CF5DBF"/>
    <w:rsid w:val="00CF6F3E"/>
    <w:rsid w:val="00D00D8C"/>
    <w:rsid w:val="00D0224A"/>
    <w:rsid w:val="00D0593A"/>
    <w:rsid w:val="00D069AB"/>
    <w:rsid w:val="00D17CB7"/>
    <w:rsid w:val="00D21216"/>
    <w:rsid w:val="00D213E4"/>
    <w:rsid w:val="00D21CB2"/>
    <w:rsid w:val="00D24854"/>
    <w:rsid w:val="00D26D25"/>
    <w:rsid w:val="00D276DA"/>
    <w:rsid w:val="00D330F9"/>
    <w:rsid w:val="00D33610"/>
    <w:rsid w:val="00D34C76"/>
    <w:rsid w:val="00D36CD1"/>
    <w:rsid w:val="00D46C07"/>
    <w:rsid w:val="00D4765B"/>
    <w:rsid w:val="00D548A4"/>
    <w:rsid w:val="00D54BF1"/>
    <w:rsid w:val="00D57A4A"/>
    <w:rsid w:val="00D60D94"/>
    <w:rsid w:val="00D628BF"/>
    <w:rsid w:val="00D63FCE"/>
    <w:rsid w:val="00D70C37"/>
    <w:rsid w:val="00D74BDE"/>
    <w:rsid w:val="00D7548A"/>
    <w:rsid w:val="00D82CB8"/>
    <w:rsid w:val="00D86E0F"/>
    <w:rsid w:val="00D87374"/>
    <w:rsid w:val="00D942E0"/>
    <w:rsid w:val="00DA0D23"/>
    <w:rsid w:val="00DA36C8"/>
    <w:rsid w:val="00DB06E6"/>
    <w:rsid w:val="00DB1FE3"/>
    <w:rsid w:val="00DB296F"/>
    <w:rsid w:val="00DB3502"/>
    <w:rsid w:val="00DB4C2B"/>
    <w:rsid w:val="00DC3838"/>
    <w:rsid w:val="00DC3CD8"/>
    <w:rsid w:val="00DC442E"/>
    <w:rsid w:val="00DC464B"/>
    <w:rsid w:val="00DD4F9E"/>
    <w:rsid w:val="00DD63F4"/>
    <w:rsid w:val="00DE0D62"/>
    <w:rsid w:val="00DE4842"/>
    <w:rsid w:val="00DE580B"/>
    <w:rsid w:val="00DE7C5C"/>
    <w:rsid w:val="00DF5353"/>
    <w:rsid w:val="00DF6CD2"/>
    <w:rsid w:val="00DF762E"/>
    <w:rsid w:val="00E01E42"/>
    <w:rsid w:val="00E027DC"/>
    <w:rsid w:val="00E0348B"/>
    <w:rsid w:val="00E0721C"/>
    <w:rsid w:val="00E07816"/>
    <w:rsid w:val="00E122D6"/>
    <w:rsid w:val="00E126B3"/>
    <w:rsid w:val="00E13E4E"/>
    <w:rsid w:val="00E14790"/>
    <w:rsid w:val="00E23282"/>
    <w:rsid w:val="00E25184"/>
    <w:rsid w:val="00E30E0E"/>
    <w:rsid w:val="00E31055"/>
    <w:rsid w:val="00E31184"/>
    <w:rsid w:val="00E31784"/>
    <w:rsid w:val="00E32A24"/>
    <w:rsid w:val="00E370FD"/>
    <w:rsid w:val="00E37501"/>
    <w:rsid w:val="00E4173D"/>
    <w:rsid w:val="00E419D6"/>
    <w:rsid w:val="00E43720"/>
    <w:rsid w:val="00E514D3"/>
    <w:rsid w:val="00E56B8B"/>
    <w:rsid w:val="00E61D5A"/>
    <w:rsid w:val="00E6213F"/>
    <w:rsid w:val="00E637E4"/>
    <w:rsid w:val="00E67FD7"/>
    <w:rsid w:val="00E70553"/>
    <w:rsid w:val="00E723A3"/>
    <w:rsid w:val="00E76353"/>
    <w:rsid w:val="00E772DC"/>
    <w:rsid w:val="00E877F1"/>
    <w:rsid w:val="00E90E69"/>
    <w:rsid w:val="00E91FB9"/>
    <w:rsid w:val="00EA01D2"/>
    <w:rsid w:val="00EA06A4"/>
    <w:rsid w:val="00EA45C0"/>
    <w:rsid w:val="00EB4E2E"/>
    <w:rsid w:val="00EB740B"/>
    <w:rsid w:val="00EB7630"/>
    <w:rsid w:val="00EB7C6B"/>
    <w:rsid w:val="00EC3D2B"/>
    <w:rsid w:val="00EC5290"/>
    <w:rsid w:val="00EC7F3B"/>
    <w:rsid w:val="00ED0E86"/>
    <w:rsid w:val="00ED306C"/>
    <w:rsid w:val="00EE0455"/>
    <w:rsid w:val="00EE0FDC"/>
    <w:rsid w:val="00EF656A"/>
    <w:rsid w:val="00F035FC"/>
    <w:rsid w:val="00F1005C"/>
    <w:rsid w:val="00F10F86"/>
    <w:rsid w:val="00F125BD"/>
    <w:rsid w:val="00F12FF2"/>
    <w:rsid w:val="00F13539"/>
    <w:rsid w:val="00F174C7"/>
    <w:rsid w:val="00F176D4"/>
    <w:rsid w:val="00F21345"/>
    <w:rsid w:val="00F21EC3"/>
    <w:rsid w:val="00F22020"/>
    <w:rsid w:val="00F222DF"/>
    <w:rsid w:val="00F24A13"/>
    <w:rsid w:val="00F26EB2"/>
    <w:rsid w:val="00F27661"/>
    <w:rsid w:val="00F375A2"/>
    <w:rsid w:val="00F41876"/>
    <w:rsid w:val="00F423C9"/>
    <w:rsid w:val="00F42782"/>
    <w:rsid w:val="00F449A7"/>
    <w:rsid w:val="00F45ED7"/>
    <w:rsid w:val="00F50AE4"/>
    <w:rsid w:val="00F53E4B"/>
    <w:rsid w:val="00F549EF"/>
    <w:rsid w:val="00F6366C"/>
    <w:rsid w:val="00F63FA1"/>
    <w:rsid w:val="00F6588D"/>
    <w:rsid w:val="00F66A34"/>
    <w:rsid w:val="00F67968"/>
    <w:rsid w:val="00F71FE8"/>
    <w:rsid w:val="00F7233C"/>
    <w:rsid w:val="00F749B4"/>
    <w:rsid w:val="00F77D97"/>
    <w:rsid w:val="00F84275"/>
    <w:rsid w:val="00F874C3"/>
    <w:rsid w:val="00F91674"/>
    <w:rsid w:val="00F939B3"/>
    <w:rsid w:val="00FA02FD"/>
    <w:rsid w:val="00FA207D"/>
    <w:rsid w:val="00FA30DC"/>
    <w:rsid w:val="00FA4A0C"/>
    <w:rsid w:val="00FA5E3E"/>
    <w:rsid w:val="00FB6DF8"/>
    <w:rsid w:val="00FC1C6E"/>
    <w:rsid w:val="00FC3716"/>
    <w:rsid w:val="00FC65E6"/>
    <w:rsid w:val="00FD1174"/>
    <w:rsid w:val="00FD1EB2"/>
    <w:rsid w:val="00FE7312"/>
    <w:rsid w:val="00FF3141"/>
    <w:rsid w:val="00FF5199"/>
    <w:rsid w:val="00FF6617"/>
    <w:rsid w:val="00FF7476"/>
    <w:rsid w:val="00FF7BE1"/>
    <w:rsid w:val="09BBADAC"/>
    <w:rsid w:val="17F1E582"/>
    <w:rsid w:val="1DF3E5FD"/>
    <w:rsid w:val="1F04D1B9"/>
    <w:rsid w:val="2144D75B"/>
    <w:rsid w:val="28E1864A"/>
    <w:rsid w:val="48C45804"/>
    <w:rsid w:val="643BDC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DCAE2"/>
  <w15:docId w15:val="{05CF7611-AFCC-443D-BB1A-0EE15BF7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3B4"/>
  </w:style>
  <w:style w:type="paragraph" w:styleId="Heading1">
    <w:name w:val="heading 1"/>
    <w:basedOn w:val="Normal"/>
    <w:next w:val="Normal"/>
    <w:link w:val="Heading1Char"/>
    <w:uiPriority w:val="9"/>
    <w:qFormat/>
    <w:rsid w:val="00325BC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B659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Page Heading"/>
    <w:next w:val="Normal"/>
    <w:link w:val="Heading3Char"/>
    <w:autoRedefine/>
    <w:qFormat/>
    <w:rsid w:val="005F6BDE"/>
    <w:pPr>
      <w:spacing w:before="240"/>
      <w:ind w:right="9"/>
      <w:jc w:val="center"/>
      <w:outlineLvl w:val="2"/>
    </w:pPr>
    <w:rPr>
      <w:rFonts w:asciiTheme="minorHAnsi" w:eastAsia="Times" w:hAnsiTheme="minorHAnsi" w:cstheme="minorHAnsi"/>
      <w:bCs/>
      <w:i/>
      <w:iCs/>
      <w:caps/>
      <w:spacing w:val="-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4013"/>
    <w:pPr>
      <w:tabs>
        <w:tab w:val="center" w:pos="4320"/>
        <w:tab w:val="right" w:pos="8640"/>
      </w:tabs>
    </w:pPr>
  </w:style>
  <w:style w:type="character" w:customStyle="1" w:styleId="HeaderChar">
    <w:name w:val="Header Char"/>
    <w:basedOn w:val="DefaultParagraphFont"/>
    <w:link w:val="Header"/>
    <w:rsid w:val="00944013"/>
  </w:style>
  <w:style w:type="table" w:styleId="TableGrid">
    <w:name w:val="Table Grid"/>
    <w:basedOn w:val="TableNormal"/>
    <w:rsid w:val="00944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4013"/>
    <w:rPr>
      <w:rFonts w:ascii="Tahoma" w:hAnsi="Tahoma" w:cs="Tahoma"/>
      <w:sz w:val="16"/>
      <w:szCs w:val="16"/>
    </w:rPr>
  </w:style>
  <w:style w:type="character" w:customStyle="1" w:styleId="BalloonTextChar">
    <w:name w:val="Balloon Text Char"/>
    <w:basedOn w:val="DefaultParagraphFont"/>
    <w:link w:val="BalloonText"/>
    <w:rsid w:val="00944013"/>
    <w:rPr>
      <w:rFonts w:ascii="Tahoma" w:hAnsi="Tahoma" w:cs="Tahoma"/>
      <w:sz w:val="16"/>
      <w:szCs w:val="16"/>
    </w:rPr>
  </w:style>
  <w:style w:type="character" w:styleId="Strong">
    <w:name w:val="Strong"/>
    <w:basedOn w:val="DefaultParagraphFont"/>
    <w:uiPriority w:val="22"/>
    <w:qFormat/>
    <w:rsid w:val="00944013"/>
    <w:rPr>
      <w:b/>
      <w:bCs/>
    </w:rPr>
  </w:style>
  <w:style w:type="paragraph" w:styleId="ListParagraph">
    <w:name w:val="List Paragraph"/>
    <w:aliases w:val="List bullets,Liste 1,MCHIP_list paragraph,List Paragraph1,Recommendation,List Paragraph (numbered (a)),Dot pt,F5 List Paragraph,No Spacing1,List Paragraph Char Char Char,Indicator Text,Numbered Para 1,MAIN CONTENT,Bullets,Bullet 1,L,L_4"/>
    <w:basedOn w:val="Normal"/>
    <w:link w:val="ListParagraphChar"/>
    <w:uiPriority w:val="1"/>
    <w:qFormat/>
    <w:rsid w:val="001C7A4E"/>
    <w:pPr>
      <w:ind w:left="720"/>
      <w:contextualSpacing/>
    </w:pPr>
  </w:style>
  <w:style w:type="character" w:styleId="CommentReference">
    <w:name w:val="annotation reference"/>
    <w:basedOn w:val="DefaultParagraphFont"/>
    <w:rsid w:val="00B86AC9"/>
    <w:rPr>
      <w:sz w:val="16"/>
      <w:szCs w:val="16"/>
    </w:rPr>
  </w:style>
  <w:style w:type="paragraph" w:styleId="CommentText">
    <w:name w:val="annotation text"/>
    <w:basedOn w:val="Normal"/>
    <w:link w:val="CommentTextChar"/>
    <w:rsid w:val="00B86AC9"/>
  </w:style>
  <w:style w:type="character" w:customStyle="1" w:styleId="CommentTextChar">
    <w:name w:val="Comment Text Char"/>
    <w:basedOn w:val="DefaultParagraphFont"/>
    <w:link w:val="CommentText"/>
    <w:rsid w:val="00B86AC9"/>
  </w:style>
  <w:style w:type="paragraph" w:styleId="CommentSubject">
    <w:name w:val="annotation subject"/>
    <w:basedOn w:val="CommentText"/>
    <w:next w:val="CommentText"/>
    <w:link w:val="CommentSubjectChar"/>
    <w:rsid w:val="00B86AC9"/>
    <w:rPr>
      <w:b/>
      <w:bCs/>
    </w:rPr>
  </w:style>
  <w:style w:type="character" w:customStyle="1" w:styleId="CommentSubjectChar">
    <w:name w:val="Comment Subject Char"/>
    <w:basedOn w:val="CommentTextChar"/>
    <w:link w:val="CommentSubject"/>
    <w:rsid w:val="00B86AC9"/>
    <w:rPr>
      <w:b/>
      <w:bCs/>
    </w:rPr>
  </w:style>
  <w:style w:type="paragraph" w:styleId="Footer">
    <w:name w:val="footer"/>
    <w:basedOn w:val="Normal"/>
    <w:link w:val="FooterChar"/>
    <w:uiPriority w:val="99"/>
    <w:unhideWhenUsed/>
    <w:rsid w:val="00ED306C"/>
    <w:pPr>
      <w:tabs>
        <w:tab w:val="center" w:pos="4680"/>
        <w:tab w:val="right" w:pos="9360"/>
      </w:tabs>
    </w:pPr>
  </w:style>
  <w:style w:type="character" w:customStyle="1" w:styleId="FooterChar">
    <w:name w:val="Footer Char"/>
    <w:basedOn w:val="DefaultParagraphFont"/>
    <w:link w:val="Footer"/>
    <w:uiPriority w:val="99"/>
    <w:rsid w:val="00ED306C"/>
  </w:style>
  <w:style w:type="character" w:customStyle="1" w:styleId="Heading3Char">
    <w:name w:val="Heading 3 Char"/>
    <w:aliases w:val="Page Heading Char"/>
    <w:basedOn w:val="DefaultParagraphFont"/>
    <w:link w:val="Heading3"/>
    <w:rsid w:val="005F6BDE"/>
    <w:rPr>
      <w:rFonts w:asciiTheme="minorHAnsi" w:eastAsia="Times" w:hAnsiTheme="minorHAnsi" w:cstheme="minorHAnsi"/>
      <w:bCs/>
      <w:i/>
      <w:iCs/>
      <w:caps/>
      <w:spacing w:val="-2"/>
      <w:lang w:eastAsia="en-GB"/>
    </w:rPr>
  </w:style>
  <w:style w:type="character" w:customStyle="1" w:styleId="ListParagraphChar">
    <w:name w:val="List Paragraph Char"/>
    <w:aliases w:val="List bullets Char,Liste 1 Char,MCHIP_list paragraph Char,List Paragraph1 Char,Recommendation Char,List Paragraph (numbered (a)) Char,Dot pt Char,F5 List Paragraph Char,No Spacing1 Char,List Paragraph Char Char Char Char,Bullets Char"/>
    <w:link w:val="ListParagraph"/>
    <w:uiPriority w:val="34"/>
    <w:qFormat/>
    <w:rsid w:val="008F29F3"/>
  </w:style>
  <w:style w:type="paragraph" w:styleId="Title">
    <w:name w:val="Title"/>
    <w:basedOn w:val="Normal"/>
    <w:link w:val="TitleChar"/>
    <w:qFormat/>
    <w:rsid w:val="0012099E"/>
    <w:pPr>
      <w:jc w:val="center"/>
    </w:pPr>
    <w:rPr>
      <w:b/>
      <w:sz w:val="32"/>
      <w:u w:val="single"/>
      <w:lang w:val="fr-FR" w:eastAsia="fr-FR"/>
    </w:rPr>
  </w:style>
  <w:style w:type="character" w:customStyle="1" w:styleId="TitleChar">
    <w:name w:val="Title Char"/>
    <w:basedOn w:val="DefaultParagraphFont"/>
    <w:link w:val="Title"/>
    <w:rsid w:val="0012099E"/>
    <w:rPr>
      <w:b/>
      <w:sz w:val="32"/>
      <w:u w:val="single"/>
      <w:lang w:val="fr-FR" w:eastAsia="fr-FR"/>
    </w:rPr>
  </w:style>
  <w:style w:type="character" w:styleId="Hyperlink">
    <w:name w:val="Hyperlink"/>
    <w:uiPriority w:val="99"/>
    <w:unhideWhenUsed/>
    <w:rsid w:val="00524671"/>
    <w:rPr>
      <w:color w:val="0000FF"/>
      <w:u w:val="single"/>
    </w:rPr>
  </w:style>
  <w:style w:type="paragraph" w:styleId="BodyText">
    <w:name w:val="Body Text"/>
    <w:basedOn w:val="Normal"/>
    <w:link w:val="BodyTextChar"/>
    <w:unhideWhenUsed/>
    <w:rsid w:val="00073C67"/>
    <w:pPr>
      <w:spacing w:after="120" w:line="276" w:lineRule="auto"/>
    </w:pPr>
    <w:rPr>
      <w:rFonts w:ascii="Arial" w:eastAsia="MS PGothic" w:hAnsi="Arial"/>
      <w:color w:val="000000"/>
    </w:rPr>
  </w:style>
  <w:style w:type="character" w:customStyle="1" w:styleId="BodyTextChar">
    <w:name w:val="Body Text Char"/>
    <w:basedOn w:val="DefaultParagraphFont"/>
    <w:link w:val="BodyText"/>
    <w:rsid w:val="00073C67"/>
    <w:rPr>
      <w:rFonts w:ascii="Arial" w:eastAsia="MS PGothic" w:hAnsi="Arial"/>
      <w:color w:val="000000"/>
    </w:rPr>
  </w:style>
  <w:style w:type="paragraph" w:styleId="FootnoteText">
    <w:name w:val="footnote text"/>
    <w:aliases w:val="ft,ADB,single space,06_BIJSCHRIFT,footnote text,FOOTNOTES,fn,single space1,FOOTNOTES1,fn1,ft1 Char,ft1,Car Car Car,Footnote Text Char Char Char Char,Footnote Text1 Char Char,Char Char Char Char1,Char Char Char Char Char Char,WBR,f,Geneva 9"/>
    <w:basedOn w:val="Normal"/>
    <w:link w:val="FootnoteTextChar"/>
    <w:uiPriority w:val="99"/>
    <w:qFormat/>
    <w:rsid w:val="00073C67"/>
    <w:pPr>
      <w:widowControl w:val="0"/>
    </w:pPr>
    <w:rPr>
      <w:rFonts w:eastAsia="MS Mincho"/>
      <w:snapToGrid w:val="0"/>
      <w:lang w:val="en-GB"/>
    </w:rPr>
  </w:style>
  <w:style w:type="character" w:customStyle="1" w:styleId="FootnoteTextChar">
    <w:name w:val="Footnote Text Char"/>
    <w:aliases w:val="ft Char,ADB Char,single space Char,06_BIJSCHRIFT Char,footnote text Char,FOOTNOTES Char,fn Char,single space1 Char,FOOTNOTES1 Char,fn1 Char,ft1 Char Char,ft1 Char1,Car Car Car Char,Footnote Text Char Char Char Char Char,WBR Char"/>
    <w:basedOn w:val="DefaultParagraphFont"/>
    <w:link w:val="FootnoteText"/>
    <w:uiPriority w:val="99"/>
    <w:rsid w:val="00073C67"/>
    <w:rPr>
      <w:rFonts w:eastAsia="MS Mincho"/>
      <w:snapToGrid w:val="0"/>
      <w:lang w:val="en-GB"/>
    </w:rPr>
  </w:style>
  <w:style w:type="character" w:styleId="FootnoteReference">
    <w:name w:val="footnote reference"/>
    <w:aliases w:val="16 Point,Superscript 6 Point,ftref,ftref Char,Char Char Char Char Car Char Char,16 Point Char,Superscript 6 Point Char,Char Char Char Char Car Char Char1 Char Char Char Char1 Char Char,Char Char Char1 Char Char Char Char1 Char Char,fr"/>
    <w:link w:val="CharCharCharCharCarChar"/>
    <w:uiPriority w:val="99"/>
    <w:qFormat/>
    <w:rsid w:val="00073C67"/>
    <w:rPr>
      <w:vertAlign w:val="superscript"/>
    </w:rPr>
  </w:style>
  <w:style w:type="character" w:customStyle="1" w:styleId="fontstyle01">
    <w:name w:val="fontstyle01"/>
    <w:rsid w:val="00B129A8"/>
    <w:rPr>
      <w:rFonts w:ascii="GillSansMT" w:hAnsi="GillSansMT" w:hint="default"/>
      <w:b w:val="0"/>
      <w:bCs w:val="0"/>
      <w:i w:val="0"/>
      <w:iCs w:val="0"/>
      <w:color w:val="6C6463"/>
      <w:sz w:val="22"/>
      <w:szCs w:val="22"/>
    </w:rPr>
  </w:style>
  <w:style w:type="paragraph" w:customStyle="1" w:styleId="numberedpara">
    <w:name w:val="numbered para"/>
    <w:basedOn w:val="NormalWeb"/>
    <w:qFormat/>
    <w:rsid w:val="004848DE"/>
    <w:pPr>
      <w:numPr>
        <w:numId w:val="3"/>
      </w:numPr>
      <w:shd w:val="clear" w:color="auto" w:fill="FFFFFF"/>
      <w:spacing w:after="120" w:line="259" w:lineRule="auto"/>
      <w:jc w:val="both"/>
    </w:pPr>
    <w:rPr>
      <w:rFonts w:ascii="Univers LT Std 55" w:eastAsia="Calibri" w:hAnsi="Univers LT Std 55" w:cs="Calibri"/>
      <w:color w:val="4D4D4F"/>
      <w:sz w:val="22"/>
      <w:szCs w:val="22"/>
      <w:shd w:val="clear" w:color="auto" w:fill="FFFFFF"/>
    </w:rPr>
  </w:style>
  <w:style w:type="paragraph" w:customStyle="1" w:styleId="CharCharCharCharCarChar">
    <w:name w:val="Char Char Char Char Car Char"/>
    <w:aliases w:val="Char Char Char Char Car Char Char1 Char Char Char Char1 Char,Char Char Char1 Char Char Char Char1 Char,Char Char Char Char Car Char Char1 Char Char,FNRefe Char Char,BVI fnr Char Char,Ref,Footnotes refss,de nota al pie"/>
    <w:basedOn w:val="Normal"/>
    <w:next w:val="Normal"/>
    <w:link w:val="FootnoteReference"/>
    <w:uiPriority w:val="99"/>
    <w:rsid w:val="004848DE"/>
    <w:pPr>
      <w:spacing w:line="240" w:lineRule="exact"/>
      <w:jc w:val="both"/>
    </w:pPr>
    <w:rPr>
      <w:vertAlign w:val="superscript"/>
    </w:rPr>
  </w:style>
  <w:style w:type="paragraph" w:styleId="NormalWeb">
    <w:name w:val="Normal (Web)"/>
    <w:basedOn w:val="Normal"/>
    <w:semiHidden/>
    <w:unhideWhenUsed/>
    <w:rsid w:val="004848DE"/>
    <w:rPr>
      <w:sz w:val="24"/>
      <w:szCs w:val="24"/>
    </w:rPr>
  </w:style>
  <w:style w:type="character" w:customStyle="1" w:styleId="Heading2Char">
    <w:name w:val="Heading 2 Char"/>
    <w:basedOn w:val="DefaultParagraphFont"/>
    <w:link w:val="Heading2"/>
    <w:rsid w:val="00B65995"/>
    <w:rPr>
      <w:rFonts w:asciiTheme="majorHAnsi" w:eastAsiaTheme="majorEastAsia" w:hAnsiTheme="majorHAnsi" w:cstheme="majorBidi"/>
      <w:color w:val="365F91" w:themeColor="accent1" w:themeShade="BF"/>
      <w:sz w:val="26"/>
      <w:szCs w:val="26"/>
    </w:rPr>
  </w:style>
  <w:style w:type="paragraph" w:customStyle="1" w:styleId="Default">
    <w:name w:val="Default"/>
    <w:rsid w:val="00757EE1"/>
    <w:pPr>
      <w:autoSpaceDE w:val="0"/>
      <w:autoSpaceDN w:val="0"/>
      <w:adjustRightInd w:val="0"/>
    </w:pPr>
    <w:rPr>
      <w:rFonts w:eastAsia="Calibri"/>
      <w:color w:val="000000"/>
      <w:sz w:val="24"/>
      <w:szCs w:val="24"/>
    </w:rPr>
  </w:style>
  <w:style w:type="character" w:customStyle="1" w:styleId="Heading1Char">
    <w:name w:val="Heading 1 Char"/>
    <w:basedOn w:val="DefaultParagraphFont"/>
    <w:link w:val="Heading1"/>
    <w:uiPriority w:val="9"/>
    <w:rsid w:val="00325BC7"/>
    <w:rPr>
      <w:rFonts w:ascii="Calibri Light" w:hAnsi="Calibri Light"/>
      <w:b/>
      <w:bCs/>
      <w:kern w:val="32"/>
      <w:sz w:val="32"/>
      <w:szCs w:val="32"/>
    </w:rPr>
  </w:style>
  <w:style w:type="paragraph" w:styleId="NoSpacing">
    <w:name w:val="No Spacing"/>
    <w:link w:val="NoSpacingChar"/>
    <w:uiPriority w:val="1"/>
    <w:qFormat/>
    <w:rsid w:val="004B0138"/>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4B013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9701">
      <w:bodyDiv w:val="1"/>
      <w:marLeft w:val="0"/>
      <w:marRight w:val="0"/>
      <w:marTop w:val="0"/>
      <w:marBottom w:val="0"/>
      <w:divBdr>
        <w:top w:val="none" w:sz="0" w:space="0" w:color="auto"/>
        <w:left w:val="none" w:sz="0" w:space="0" w:color="auto"/>
        <w:bottom w:val="none" w:sz="0" w:space="0" w:color="auto"/>
        <w:right w:val="none" w:sz="0" w:space="0" w:color="auto"/>
      </w:divBdr>
    </w:div>
    <w:div w:id="366833180">
      <w:bodyDiv w:val="1"/>
      <w:marLeft w:val="0"/>
      <w:marRight w:val="0"/>
      <w:marTop w:val="0"/>
      <w:marBottom w:val="0"/>
      <w:divBdr>
        <w:top w:val="none" w:sz="0" w:space="0" w:color="auto"/>
        <w:left w:val="none" w:sz="0" w:space="0" w:color="auto"/>
        <w:bottom w:val="none" w:sz="0" w:space="0" w:color="auto"/>
        <w:right w:val="none" w:sz="0" w:space="0" w:color="auto"/>
      </w:divBdr>
    </w:div>
    <w:div w:id="397896377">
      <w:bodyDiv w:val="1"/>
      <w:marLeft w:val="0"/>
      <w:marRight w:val="0"/>
      <w:marTop w:val="0"/>
      <w:marBottom w:val="0"/>
      <w:divBdr>
        <w:top w:val="none" w:sz="0" w:space="0" w:color="auto"/>
        <w:left w:val="none" w:sz="0" w:space="0" w:color="auto"/>
        <w:bottom w:val="none" w:sz="0" w:space="0" w:color="auto"/>
        <w:right w:val="none" w:sz="0" w:space="0" w:color="auto"/>
      </w:divBdr>
      <w:divsChild>
        <w:div w:id="730688671">
          <w:marLeft w:val="360"/>
          <w:marRight w:val="0"/>
          <w:marTop w:val="200"/>
          <w:marBottom w:val="0"/>
          <w:divBdr>
            <w:top w:val="none" w:sz="0" w:space="0" w:color="auto"/>
            <w:left w:val="none" w:sz="0" w:space="0" w:color="auto"/>
            <w:bottom w:val="none" w:sz="0" w:space="0" w:color="auto"/>
            <w:right w:val="none" w:sz="0" w:space="0" w:color="auto"/>
          </w:divBdr>
        </w:div>
        <w:div w:id="327903084">
          <w:marLeft w:val="1080"/>
          <w:marRight w:val="0"/>
          <w:marTop w:val="100"/>
          <w:marBottom w:val="0"/>
          <w:divBdr>
            <w:top w:val="none" w:sz="0" w:space="0" w:color="auto"/>
            <w:left w:val="none" w:sz="0" w:space="0" w:color="auto"/>
            <w:bottom w:val="none" w:sz="0" w:space="0" w:color="auto"/>
            <w:right w:val="none" w:sz="0" w:space="0" w:color="auto"/>
          </w:divBdr>
        </w:div>
        <w:div w:id="1029642378">
          <w:marLeft w:val="1800"/>
          <w:marRight w:val="0"/>
          <w:marTop w:val="100"/>
          <w:marBottom w:val="0"/>
          <w:divBdr>
            <w:top w:val="none" w:sz="0" w:space="0" w:color="auto"/>
            <w:left w:val="none" w:sz="0" w:space="0" w:color="auto"/>
            <w:bottom w:val="none" w:sz="0" w:space="0" w:color="auto"/>
            <w:right w:val="none" w:sz="0" w:space="0" w:color="auto"/>
          </w:divBdr>
        </w:div>
        <w:div w:id="1816415367">
          <w:marLeft w:val="1800"/>
          <w:marRight w:val="0"/>
          <w:marTop w:val="100"/>
          <w:marBottom w:val="0"/>
          <w:divBdr>
            <w:top w:val="none" w:sz="0" w:space="0" w:color="auto"/>
            <w:left w:val="none" w:sz="0" w:space="0" w:color="auto"/>
            <w:bottom w:val="none" w:sz="0" w:space="0" w:color="auto"/>
            <w:right w:val="none" w:sz="0" w:space="0" w:color="auto"/>
          </w:divBdr>
        </w:div>
        <w:div w:id="665087802">
          <w:marLeft w:val="1800"/>
          <w:marRight w:val="0"/>
          <w:marTop w:val="100"/>
          <w:marBottom w:val="0"/>
          <w:divBdr>
            <w:top w:val="none" w:sz="0" w:space="0" w:color="auto"/>
            <w:left w:val="none" w:sz="0" w:space="0" w:color="auto"/>
            <w:bottom w:val="none" w:sz="0" w:space="0" w:color="auto"/>
            <w:right w:val="none" w:sz="0" w:space="0" w:color="auto"/>
          </w:divBdr>
        </w:div>
        <w:div w:id="1587687006">
          <w:marLeft w:val="1800"/>
          <w:marRight w:val="0"/>
          <w:marTop w:val="100"/>
          <w:marBottom w:val="0"/>
          <w:divBdr>
            <w:top w:val="none" w:sz="0" w:space="0" w:color="auto"/>
            <w:left w:val="none" w:sz="0" w:space="0" w:color="auto"/>
            <w:bottom w:val="none" w:sz="0" w:space="0" w:color="auto"/>
            <w:right w:val="none" w:sz="0" w:space="0" w:color="auto"/>
          </w:divBdr>
        </w:div>
        <w:div w:id="2109227258">
          <w:marLeft w:val="1800"/>
          <w:marRight w:val="0"/>
          <w:marTop w:val="100"/>
          <w:marBottom w:val="0"/>
          <w:divBdr>
            <w:top w:val="none" w:sz="0" w:space="0" w:color="auto"/>
            <w:left w:val="none" w:sz="0" w:space="0" w:color="auto"/>
            <w:bottom w:val="none" w:sz="0" w:space="0" w:color="auto"/>
            <w:right w:val="none" w:sz="0" w:space="0" w:color="auto"/>
          </w:divBdr>
        </w:div>
        <w:div w:id="637420116">
          <w:marLeft w:val="1800"/>
          <w:marRight w:val="0"/>
          <w:marTop w:val="100"/>
          <w:marBottom w:val="0"/>
          <w:divBdr>
            <w:top w:val="none" w:sz="0" w:space="0" w:color="auto"/>
            <w:left w:val="none" w:sz="0" w:space="0" w:color="auto"/>
            <w:bottom w:val="none" w:sz="0" w:space="0" w:color="auto"/>
            <w:right w:val="none" w:sz="0" w:space="0" w:color="auto"/>
          </w:divBdr>
        </w:div>
        <w:div w:id="99953100">
          <w:marLeft w:val="1080"/>
          <w:marRight w:val="0"/>
          <w:marTop w:val="100"/>
          <w:marBottom w:val="0"/>
          <w:divBdr>
            <w:top w:val="none" w:sz="0" w:space="0" w:color="auto"/>
            <w:left w:val="none" w:sz="0" w:space="0" w:color="auto"/>
            <w:bottom w:val="none" w:sz="0" w:space="0" w:color="auto"/>
            <w:right w:val="none" w:sz="0" w:space="0" w:color="auto"/>
          </w:divBdr>
        </w:div>
        <w:div w:id="1213079664">
          <w:marLeft w:val="1080"/>
          <w:marRight w:val="0"/>
          <w:marTop w:val="100"/>
          <w:marBottom w:val="0"/>
          <w:divBdr>
            <w:top w:val="none" w:sz="0" w:space="0" w:color="auto"/>
            <w:left w:val="none" w:sz="0" w:space="0" w:color="auto"/>
            <w:bottom w:val="none" w:sz="0" w:space="0" w:color="auto"/>
            <w:right w:val="none" w:sz="0" w:space="0" w:color="auto"/>
          </w:divBdr>
        </w:div>
        <w:div w:id="608706555">
          <w:marLeft w:val="1080"/>
          <w:marRight w:val="0"/>
          <w:marTop w:val="100"/>
          <w:marBottom w:val="0"/>
          <w:divBdr>
            <w:top w:val="none" w:sz="0" w:space="0" w:color="auto"/>
            <w:left w:val="none" w:sz="0" w:space="0" w:color="auto"/>
            <w:bottom w:val="none" w:sz="0" w:space="0" w:color="auto"/>
            <w:right w:val="none" w:sz="0" w:space="0" w:color="auto"/>
          </w:divBdr>
        </w:div>
        <w:div w:id="1762800946">
          <w:marLeft w:val="1080"/>
          <w:marRight w:val="0"/>
          <w:marTop w:val="100"/>
          <w:marBottom w:val="0"/>
          <w:divBdr>
            <w:top w:val="none" w:sz="0" w:space="0" w:color="auto"/>
            <w:left w:val="none" w:sz="0" w:space="0" w:color="auto"/>
            <w:bottom w:val="none" w:sz="0" w:space="0" w:color="auto"/>
            <w:right w:val="none" w:sz="0" w:space="0" w:color="auto"/>
          </w:divBdr>
        </w:div>
        <w:div w:id="521629641">
          <w:marLeft w:val="1080"/>
          <w:marRight w:val="0"/>
          <w:marTop w:val="100"/>
          <w:marBottom w:val="0"/>
          <w:divBdr>
            <w:top w:val="none" w:sz="0" w:space="0" w:color="auto"/>
            <w:left w:val="none" w:sz="0" w:space="0" w:color="auto"/>
            <w:bottom w:val="none" w:sz="0" w:space="0" w:color="auto"/>
            <w:right w:val="none" w:sz="0" w:space="0" w:color="auto"/>
          </w:divBdr>
        </w:div>
      </w:divsChild>
    </w:div>
    <w:div w:id="480734266">
      <w:bodyDiv w:val="1"/>
      <w:marLeft w:val="0"/>
      <w:marRight w:val="0"/>
      <w:marTop w:val="0"/>
      <w:marBottom w:val="0"/>
      <w:divBdr>
        <w:top w:val="none" w:sz="0" w:space="0" w:color="auto"/>
        <w:left w:val="none" w:sz="0" w:space="0" w:color="auto"/>
        <w:bottom w:val="none" w:sz="0" w:space="0" w:color="auto"/>
        <w:right w:val="none" w:sz="0" w:space="0" w:color="auto"/>
      </w:divBdr>
    </w:div>
    <w:div w:id="481123538">
      <w:bodyDiv w:val="1"/>
      <w:marLeft w:val="0"/>
      <w:marRight w:val="0"/>
      <w:marTop w:val="0"/>
      <w:marBottom w:val="0"/>
      <w:divBdr>
        <w:top w:val="none" w:sz="0" w:space="0" w:color="auto"/>
        <w:left w:val="none" w:sz="0" w:space="0" w:color="auto"/>
        <w:bottom w:val="none" w:sz="0" w:space="0" w:color="auto"/>
        <w:right w:val="none" w:sz="0" w:space="0" w:color="auto"/>
      </w:divBdr>
      <w:divsChild>
        <w:div w:id="1463497884">
          <w:marLeft w:val="360"/>
          <w:marRight w:val="0"/>
          <w:marTop w:val="200"/>
          <w:marBottom w:val="0"/>
          <w:divBdr>
            <w:top w:val="none" w:sz="0" w:space="0" w:color="auto"/>
            <w:left w:val="none" w:sz="0" w:space="0" w:color="auto"/>
            <w:bottom w:val="none" w:sz="0" w:space="0" w:color="auto"/>
            <w:right w:val="none" w:sz="0" w:space="0" w:color="auto"/>
          </w:divBdr>
        </w:div>
        <w:div w:id="803812450">
          <w:marLeft w:val="360"/>
          <w:marRight w:val="0"/>
          <w:marTop w:val="200"/>
          <w:marBottom w:val="0"/>
          <w:divBdr>
            <w:top w:val="none" w:sz="0" w:space="0" w:color="auto"/>
            <w:left w:val="none" w:sz="0" w:space="0" w:color="auto"/>
            <w:bottom w:val="none" w:sz="0" w:space="0" w:color="auto"/>
            <w:right w:val="none" w:sz="0" w:space="0" w:color="auto"/>
          </w:divBdr>
        </w:div>
      </w:divsChild>
    </w:div>
    <w:div w:id="505025559">
      <w:bodyDiv w:val="1"/>
      <w:marLeft w:val="0"/>
      <w:marRight w:val="0"/>
      <w:marTop w:val="0"/>
      <w:marBottom w:val="0"/>
      <w:divBdr>
        <w:top w:val="none" w:sz="0" w:space="0" w:color="auto"/>
        <w:left w:val="none" w:sz="0" w:space="0" w:color="auto"/>
        <w:bottom w:val="none" w:sz="0" w:space="0" w:color="auto"/>
        <w:right w:val="none" w:sz="0" w:space="0" w:color="auto"/>
      </w:divBdr>
    </w:div>
    <w:div w:id="510409869">
      <w:bodyDiv w:val="1"/>
      <w:marLeft w:val="0"/>
      <w:marRight w:val="0"/>
      <w:marTop w:val="0"/>
      <w:marBottom w:val="0"/>
      <w:divBdr>
        <w:top w:val="none" w:sz="0" w:space="0" w:color="auto"/>
        <w:left w:val="none" w:sz="0" w:space="0" w:color="auto"/>
        <w:bottom w:val="none" w:sz="0" w:space="0" w:color="auto"/>
        <w:right w:val="none" w:sz="0" w:space="0" w:color="auto"/>
      </w:divBdr>
      <w:divsChild>
        <w:div w:id="1889294897">
          <w:marLeft w:val="360"/>
          <w:marRight w:val="0"/>
          <w:marTop w:val="200"/>
          <w:marBottom w:val="0"/>
          <w:divBdr>
            <w:top w:val="none" w:sz="0" w:space="0" w:color="auto"/>
            <w:left w:val="none" w:sz="0" w:space="0" w:color="auto"/>
            <w:bottom w:val="none" w:sz="0" w:space="0" w:color="auto"/>
            <w:right w:val="none" w:sz="0" w:space="0" w:color="auto"/>
          </w:divBdr>
        </w:div>
        <w:div w:id="1803882634">
          <w:marLeft w:val="1080"/>
          <w:marRight w:val="0"/>
          <w:marTop w:val="100"/>
          <w:marBottom w:val="0"/>
          <w:divBdr>
            <w:top w:val="none" w:sz="0" w:space="0" w:color="auto"/>
            <w:left w:val="none" w:sz="0" w:space="0" w:color="auto"/>
            <w:bottom w:val="none" w:sz="0" w:space="0" w:color="auto"/>
            <w:right w:val="none" w:sz="0" w:space="0" w:color="auto"/>
          </w:divBdr>
        </w:div>
        <w:div w:id="1741370772">
          <w:marLeft w:val="1080"/>
          <w:marRight w:val="0"/>
          <w:marTop w:val="100"/>
          <w:marBottom w:val="0"/>
          <w:divBdr>
            <w:top w:val="none" w:sz="0" w:space="0" w:color="auto"/>
            <w:left w:val="none" w:sz="0" w:space="0" w:color="auto"/>
            <w:bottom w:val="none" w:sz="0" w:space="0" w:color="auto"/>
            <w:right w:val="none" w:sz="0" w:space="0" w:color="auto"/>
          </w:divBdr>
        </w:div>
        <w:div w:id="1096945888">
          <w:marLeft w:val="1080"/>
          <w:marRight w:val="0"/>
          <w:marTop w:val="100"/>
          <w:marBottom w:val="0"/>
          <w:divBdr>
            <w:top w:val="none" w:sz="0" w:space="0" w:color="auto"/>
            <w:left w:val="none" w:sz="0" w:space="0" w:color="auto"/>
            <w:bottom w:val="none" w:sz="0" w:space="0" w:color="auto"/>
            <w:right w:val="none" w:sz="0" w:space="0" w:color="auto"/>
          </w:divBdr>
        </w:div>
        <w:div w:id="434402259">
          <w:marLeft w:val="1080"/>
          <w:marRight w:val="0"/>
          <w:marTop w:val="100"/>
          <w:marBottom w:val="0"/>
          <w:divBdr>
            <w:top w:val="none" w:sz="0" w:space="0" w:color="auto"/>
            <w:left w:val="none" w:sz="0" w:space="0" w:color="auto"/>
            <w:bottom w:val="none" w:sz="0" w:space="0" w:color="auto"/>
            <w:right w:val="none" w:sz="0" w:space="0" w:color="auto"/>
          </w:divBdr>
        </w:div>
      </w:divsChild>
    </w:div>
    <w:div w:id="518159185">
      <w:bodyDiv w:val="1"/>
      <w:marLeft w:val="0"/>
      <w:marRight w:val="0"/>
      <w:marTop w:val="0"/>
      <w:marBottom w:val="0"/>
      <w:divBdr>
        <w:top w:val="none" w:sz="0" w:space="0" w:color="auto"/>
        <w:left w:val="none" w:sz="0" w:space="0" w:color="auto"/>
        <w:bottom w:val="none" w:sz="0" w:space="0" w:color="auto"/>
        <w:right w:val="none" w:sz="0" w:space="0" w:color="auto"/>
      </w:divBdr>
    </w:div>
    <w:div w:id="537164060">
      <w:bodyDiv w:val="1"/>
      <w:marLeft w:val="0"/>
      <w:marRight w:val="0"/>
      <w:marTop w:val="0"/>
      <w:marBottom w:val="0"/>
      <w:divBdr>
        <w:top w:val="none" w:sz="0" w:space="0" w:color="auto"/>
        <w:left w:val="none" w:sz="0" w:space="0" w:color="auto"/>
        <w:bottom w:val="none" w:sz="0" w:space="0" w:color="auto"/>
        <w:right w:val="none" w:sz="0" w:space="0" w:color="auto"/>
      </w:divBdr>
      <w:divsChild>
        <w:div w:id="1442413006">
          <w:marLeft w:val="360"/>
          <w:marRight w:val="0"/>
          <w:marTop w:val="200"/>
          <w:marBottom w:val="0"/>
          <w:divBdr>
            <w:top w:val="none" w:sz="0" w:space="0" w:color="auto"/>
            <w:left w:val="none" w:sz="0" w:space="0" w:color="auto"/>
            <w:bottom w:val="none" w:sz="0" w:space="0" w:color="auto"/>
            <w:right w:val="none" w:sz="0" w:space="0" w:color="auto"/>
          </w:divBdr>
        </w:div>
        <w:div w:id="1458523256">
          <w:marLeft w:val="1080"/>
          <w:marRight w:val="0"/>
          <w:marTop w:val="100"/>
          <w:marBottom w:val="0"/>
          <w:divBdr>
            <w:top w:val="none" w:sz="0" w:space="0" w:color="auto"/>
            <w:left w:val="none" w:sz="0" w:space="0" w:color="auto"/>
            <w:bottom w:val="none" w:sz="0" w:space="0" w:color="auto"/>
            <w:right w:val="none" w:sz="0" w:space="0" w:color="auto"/>
          </w:divBdr>
        </w:div>
        <w:div w:id="1934511997">
          <w:marLeft w:val="1080"/>
          <w:marRight w:val="0"/>
          <w:marTop w:val="100"/>
          <w:marBottom w:val="0"/>
          <w:divBdr>
            <w:top w:val="none" w:sz="0" w:space="0" w:color="auto"/>
            <w:left w:val="none" w:sz="0" w:space="0" w:color="auto"/>
            <w:bottom w:val="none" w:sz="0" w:space="0" w:color="auto"/>
            <w:right w:val="none" w:sz="0" w:space="0" w:color="auto"/>
          </w:divBdr>
        </w:div>
      </w:divsChild>
    </w:div>
    <w:div w:id="541597558">
      <w:bodyDiv w:val="1"/>
      <w:marLeft w:val="0"/>
      <w:marRight w:val="0"/>
      <w:marTop w:val="0"/>
      <w:marBottom w:val="0"/>
      <w:divBdr>
        <w:top w:val="none" w:sz="0" w:space="0" w:color="auto"/>
        <w:left w:val="none" w:sz="0" w:space="0" w:color="auto"/>
        <w:bottom w:val="none" w:sz="0" w:space="0" w:color="auto"/>
        <w:right w:val="none" w:sz="0" w:space="0" w:color="auto"/>
      </w:divBdr>
    </w:div>
    <w:div w:id="642077154">
      <w:bodyDiv w:val="1"/>
      <w:marLeft w:val="0"/>
      <w:marRight w:val="0"/>
      <w:marTop w:val="0"/>
      <w:marBottom w:val="0"/>
      <w:divBdr>
        <w:top w:val="none" w:sz="0" w:space="0" w:color="auto"/>
        <w:left w:val="none" w:sz="0" w:space="0" w:color="auto"/>
        <w:bottom w:val="none" w:sz="0" w:space="0" w:color="auto"/>
        <w:right w:val="none" w:sz="0" w:space="0" w:color="auto"/>
      </w:divBdr>
    </w:div>
    <w:div w:id="714887362">
      <w:bodyDiv w:val="1"/>
      <w:marLeft w:val="0"/>
      <w:marRight w:val="0"/>
      <w:marTop w:val="0"/>
      <w:marBottom w:val="0"/>
      <w:divBdr>
        <w:top w:val="none" w:sz="0" w:space="0" w:color="auto"/>
        <w:left w:val="none" w:sz="0" w:space="0" w:color="auto"/>
        <w:bottom w:val="none" w:sz="0" w:space="0" w:color="auto"/>
        <w:right w:val="none" w:sz="0" w:space="0" w:color="auto"/>
      </w:divBdr>
    </w:div>
    <w:div w:id="721028834">
      <w:bodyDiv w:val="1"/>
      <w:marLeft w:val="0"/>
      <w:marRight w:val="0"/>
      <w:marTop w:val="0"/>
      <w:marBottom w:val="0"/>
      <w:divBdr>
        <w:top w:val="none" w:sz="0" w:space="0" w:color="auto"/>
        <w:left w:val="none" w:sz="0" w:space="0" w:color="auto"/>
        <w:bottom w:val="none" w:sz="0" w:space="0" w:color="auto"/>
        <w:right w:val="none" w:sz="0" w:space="0" w:color="auto"/>
      </w:divBdr>
      <w:divsChild>
        <w:div w:id="866017222">
          <w:marLeft w:val="360"/>
          <w:marRight w:val="0"/>
          <w:marTop w:val="200"/>
          <w:marBottom w:val="0"/>
          <w:divBdr>
            <w:top w:val="none" w:sz="0" w:space="0" w:color="auto"/>
            <w:left w:val="none" w:sz="0" w:space="0" w:color="auto"/>
            <w:bottom w:val="none" w:sz="0" w:space="0" w:color="auto"/>
            <w:right w:val="none" w:sz="0" w:space="0" w:color="auto"/>
          </w:divBdr>
        </w:div>
        <w:div w:id="331835632">
          <w:marLeft w:val="360"/>
          <w:marRight w:val="0"/>
          <w:marTop w:val="200"/>
          <w:marBottom w:val="0"/>
          <w:divBdr>
            <w:top w:val="none" w:sz="0" w:space="0" w:color="auto"/>
            <w:left w:val="none" w:sz="0" w:space="0" w:color="auto"/>
            <w:bottom w:val="none" w:sz="0" w:space="0" w:color="auto"/>
            <w:right w:val="none" w:sz="0" w:space="0" w:color="auto"/>
          </w:divBdr>
        </w:div>
        <w:div w:id="197203552">
          <w:marLeft w:val="360"/>
          <w:marRight w:val="0"/>
          <w:marTop w:val="200"/>
          <w:marBottom w:val="0"/>
          <w:divBdr>
            <w:top w:val="none" w:sz="0" w:space="0" w:color="auto"/>
            <w:left w:val="none" w:sz="0" w:space="0" w:color="auto"/>
            <w:bottom w:val="none" w:sz="0" w:space="0" w:color="auto"/>
            <w:right w:val="none" w:sz="0" w:space="0" w:color="auto"/>
          </w:divBdr>
        </w:div>
        <w:div w:id="623081044">
          <w:marLeft w:val="360"/>
          <w:marRight w:val="0"/>
          <w:marTop w:val="200"/>
          <w:marBottom w:val="0"/>
          <w:divBdr>
            <w:top w:val="none" w:sz="0" w:space="0" w:color="auto"/>
            <w:left w:val="none" w:sz="0" w:space="0" w:color="auto"/>
            <w:bottom w:val="none" w:sz="0" w:space="0" w:color="auto"/>
            <w:right w:val="none" w:sz="0" w:space="0" w:color="auto"/>
          </w:divBdr>
        </w:div>
      </w:divsChild>
    </w:div>
    <w:div w:id="785196186">
      <w:bodyDiv w:val="1"/>
      <w:marLeft w:val="0"/>
      <w:marRight w:val="0"/>
      <w:marTop w:val="0"/>
      <w:marBottom w:val="0"/>
      <w:divBdr>
        <w:top w:val="none" w:sz="0" w:space="0" w:color="auto"/>
        <w:left w:val="none" w:sz="0" w:space="0" w:color="auto"/>
        <w:bottom w:val="none" w:sz="0" w:space="0" w:color="auto"/>
        <w:right w:val="none" w:sz="0" w:space="0" w:color="auto"/>
      </w:divBdr>
      <w:divsChild>
        <w:div w:id="406654531">
          <w:marLeft w:val="547"/>
          <w:marRight w:val="0"/>
          <w:marTop w:val="0"/>
          <w:marBottom w:val="0"/>
          <w:divBdr>
            <w:top w:val="none" w:sz="0" w:space="0" w:color="auto"/>
            <w:left w:val="none" w:sz="0" w:space="0" w:color="auto"/>
            <w:bottom w:val="none" w:sz="0" w:space="0" w:color="auto"/>
            <w:right w:val="none" w:sz="0" w:space="0" w:color="auto"/>
          </w:divBdr>
        </w:div>
      </w:divsChild>
    </w:div>
    <w:div w:id="847597576">
      <w:bodyDiv w:val="1"/>
      <w:marLeft w:val="0"/>
      <w:marRight w:val="0"/>
      <w:marTop w:val="0"/>
      <w:marBottom w:val="0"/>
      <w:divBdr>
        <w:top w:val="none" w:sz="0" w:space="0" w:color="auto"/>
        <w:left w:val="none" w:sz="0" w:space="0" w:color="auto"/>
        <w:bottom w:val="none" w:sz="0" w:space="0" w:color="auto"/>
        <w:right w:val="none" w:sz="0" w:space="0" w:color="auto"/>
      </w:divBdr>
    </w:div>
    <w:div w:id="1049574273">
      <w:bodyDiv w:val="1"/>
      <w:marLeft w:val="0"/>
      <w:marRight w:val="0"/>
      <w:marTop w:val="0"/>
      <w:marBottom w:val="0"/>
      <w:divBdr>
        <w:top w:val="none" w:sz="0" w:space="0" w:color="auto"/>
        <w:left w:val="none" w:sz="0" w:space="0" w:color="auto"/>
        <w:bottom w:val="none" w:sz="0" w:space="0" w:color="auto"/>
        <w:right w:val="none" w:sz="0" w:space="0" w:color="auto"/>
      </w:divBdr>
    </w:div>
    <w:div w:id="1133524930">
      <w:bodyDiv w:val="1"/>
      <w:marLeft w:val="0"/>
      <w:marRight w:val="0"/>
      <w:marTop w:val="0"/>
      <w:marBottom w:val="0"/>
      <w:divBdr>
        <w:top w:val="none" w:sz="0" w:space="0" w:color="auto"/>
        <w:left w:val="none" w:sz="0" w:space="0" w:color="auto"/>
        <w:bottom w:val="none" w:sz="0" w:space="0" w:color="auto"/>
        <w:right w:val="none" w:sz="0" w:space="0" w:color="auto"/>
      </w:divBdr>
      <w:divsChild>
        <w:div w:id="892079400">
          <w:marLeft w:val="0"/>
          <w:marRight w:val="0"/>
          <w:marTop w:val="0"/>
          <w:marBottom w:val="0"/>
          <w:divBdr>
            <w:top w:val="none" w:sz="0" w:space="0" w:color="auto"/>
            <w:left w:val="none" w:sz="0" w:space="0" w:color="auto"/>
            <w:bottom w:val="none" w:sz="0" w:space="0" w:color="auto"/>
            <w:right w:val="none" w:sz="0" w:space="0" w:color="auto"/>
          </w:divBdr>
        </w:div>
      </w:divsChild>
    </w:div>
    <w:div w:id="1212957426">
      <w:bodyDiv w:val="1"/>
      <w:marLeft w:val="0"/>
      <w:marRight w:val="0"/>
      <w:marTop w:val="0"/>
      <w:marBottom w:val="0"/>
      <w:divBdr>
        <w:top w:val="none" w:sz="0" w:space="0" w:color="auto"/>
        <w:left w:val="none" w:sz="0" w:space="0" w:color="auto"/>
        <w:bottom w:val="none" w:sz="0" w:space="0" w:color="auto"/>
        <w:right w:val="none" w:sz="0" w:space="0" w:color="auto"/>
      </w:divBdr>
      <w:divsChild>
        <w:div w:id="206572550">
          <w:marLeft w:val="547"/>
          <w:marRight w:val="0"/>
          <w:marTop w:val="0"/>
          <w:marBottom w:val="0"/>
          <w:divBdr>
            <w:top w:val="none" w:sz="0" w:space="0" w:color="auto"/>
            <w:left w:val="none" w:sz="0" w:space="0" w:color="auto"/>
            <w:bottom w:val="none" w:sz="0" w:space="0" w:color="auto"/>
            <w:right w:val="none" w:sz="0" w:space="0" w:color="auto"/>
          </w:divBdr>
        </w:div>
      </w:divsChild>
    </w:div>
    <w:div w:id="1265383666">
      <w:bodyDiv w:val="1"/>
      <w:marLeft w:val="0"/>
      <w:marRight w:val="0"/>
      <w:marTop w:val="0"/>
      <w:marBottom w:val="0"/>
      <w:divBdr>
        <w:top w:val="none" w:sz="0" w:space="0" w:color="auto"/>
        <w:left w:val="none" w:sz="0" w:space="0" w:color="auto"/>
        <w:bottom w:val="none" w:sz="0" w:space="0" w:color="auto"/>
        <w:right w:val="none" w:sz="0" w:space="0" w:color="auto"/>
      </w:divBdr>
      <w:divsChild>
        <w:div w:id="2053990623">
          <w:marLeft w:val="0"/>
          <w:marRight w:val="0"/>
          <w:marTop w:val="0"/>
          <w:marBottom w:val="0"/>
          <w:divBdr>
            <w:top w:val="none" w:sz="0" w:space="0" w:color="auto"/>
            <w:left w:val="none" w:sz="0" w:space="0" w:color="auto"/>
            <w:bottom w:val="none" w:sz="0" w:space="0" w:color="auto"/>
            <w:right w:val="none" w:sz="0" w:space="0" w:color="auto"/>
          </w:divBdr>
        </w:div>
      </w:divsChild>
    </w:div>
    <w:div w:id="1383096762">
      <w:bodyDiv w:val="1"/>
      <w:marLeft w:val="0"/>
      <w:marRight w:val="0"/>
      <w:marTop w:val="0"/>
      <w:marBottom w:val="0"/>
      <w:divBdr>
        <w:top w:val="none" w:sz="0" w:space="0" w:color="auto"/>
        <w:left w:val="none" w:sz="0" w:space="0" w:color="auto"/>
        <w:bottom w:val="none" w:sz="0" w:space="0" w:color="auto"/>
        <w:right w:val="none" w:sz="0" w:space="0" w:color="auto"/>
      </w:divBdr>
    </w:div>
    <w:div w:id="1519081475">
      <w:bodyDiv w:val="1"/>
      <w:marLeft w:val="0"/>
      <w:marRight w:val="0"/>
      <w:marTop w:val="0"/>
      <w:marBottom w:val="0"/>
      <w:divBdr>
        <w:top w:val="none" w:sz="0" w:space="0" w:color="auto"/>
        <w:left w:val="none" w:sz="0" w:space="0" w:color="auto"/>
        <w:bottom w:val="none" w:sz="0" w:space="0" w:color="auto"/>
        <w:right w:val="none" w:sz="0" w:space="0" w:color="auto"/>
      </w:divBdr>
      <w:divsChild>
        <w:div w:id="644743950">
          <w:marLeft w:val="360"/>
          <w:marRight w:val="0"/>
          <w:marTop w:val="200"/>
          <w:marBottom w:val="0"/>
          <w:divBdr>
            <w:top w:val="none" w:sz="0" w:space="0" w:color="auto"/>
            <w:left w:val="none" w:sz="0" w:space="0" w:color="auto"/>
            <w:bottom w:val="none" w:sz="0" w:space="0" w:color="auto"/>
            <w:right w:val="none" w:sz="0" w:space="0" w:color="auto"/>
          </w:divBdr>
        </w:div>
        <w:div w:id="1600722508">
          <w:marLeft w:val="1080"/>
          <w:marRight w:val="0"/>
          <w:marTop w:val="100"/>
          <w:marBottom w:val="0"/>
          <w:divBdr>
            <w:top w:val="none" w:sz="0" w:space="0" w:color="auto"/>
            <w:left w:val="none" w:sz="0" w:space="0" w:color="auto"/>
            <w:bottom w:val="none" w:sz="0" w:space="0" w:color="auto"/>
            <w:right w:val="none" w:sz="0" w:space="0" w:color="auto"/>
          </w:divBdr>
        </w:div>
        <w:div w:id="63841566">
          <w:marLeft w:val="1800"/>
          <w:marRight w:val="0"/>
          <w:marTop w:val="100"/>
          <w:marBottom w:val="0"/>
          <w:divBdr>
            <w:top w:val="none" w:sz="0" w:space="0" w:color="auto"/>
            <w:left w:val="none" w:sz="0" w:space="0" w:color="auto"/>
            <w:bottom w:val="none" w:sz="0" w:space="0" w:color="auto"/>
            <w:right w:val="none" w:sz="0" w:space="0" w:color="auto"/>
          </w:divBdr>
        </w:div>
        <w:div w:id="1855075923">
          <w:marLeft w:val="1800"/>
          <w:marRight w:val="0"/>
          <w:marTop w:val="100"/>
          <w:marBottom w:val="0"/>
          <w:divBdr>
            <w:top w:val="none" w:sz="0" w:space="0" w:color="auto"/>
            <w:left w:val="none" w:sz="0" w:space="0" w:color="auto"/>
            <w:bottom w:val="none" w:sz="0" w:space="0" w:color="auto"/>
            <w:right w:val="none" w:sz="0" w:space="0" w:color="auto"/>
          </w:divBdr>
        </w:div>
        <w:div w:id="766269320">
          <w:marLeft w:val="1800"/>
          <w:marRight w:val="0"/>
          <w:marTop w:val="100"/>
          <w:marBottom w:val="0"/>
          <w:divBdr>
            <w:top w:val="none" w:sz="0" w:space="0" w:color="auto"/>
            <w:left w:val="none" w:sz="0" w:space="0" w:color="auto"/>
            <w:bottom w:val="none" w:sz="0" w:space="0" w:color="auto"/>
            <w:right w:val="none" w:sz="0" w:space="0" w:color="auto"/>
          </w:divBdr>
        </w:div>
        <w:div w:id="1210730957">
          <w:marLeft w:val="1800"/>
          <w:marRight w:val="0"/>
          <w:marTop w:val="100"/>
          <w:marBottom w:val="0"/>
          <w:divBdr>
            <w:top w:val="none" w:sz="0" w:space="0" w:color="auto"/>
            <w:left w:val="none" w:sz="0" w:space="0" w:color="auto"/>
            <w:bottom w:val="none" w:sz="0" w:space="0" w:color="auto"/>
            <w:right w:val="none" w:sz="0" w:space="0" w:color="auto"/>
          </w:divBdr>
        </w:div>
        <w:div w:id="1896890280">
          <w:marLeft w:val="1800"/>
          <w:marRight w:val="0"/>
          <w:marTop w:val="100"/>
          <w:marBottom w:val="0"/>
          <w:divBdr>
            <w:top w:val="none" w:sz="0" w:space="0" w:color="auto"/>
            <w:left w:val="none" w:sz="0" w:space="0" w:color="auto"/>
            <w:bottom w:val="none" w:sz="0" w:space="0" w:color="auto"/>
            <w:right w:val="none" w:sz="0" w:space="0" w:color="auto"/>
          </w:divBdr>
        </w:div>
        <w:div w:id="1317567866">
          <w:marLeft w:val="1800"/>
          <w:marRight w:val="0"/>
          <w:marTop w:val="100"/>
          <w:marBottom w:val="0"/>
          <w:divBdr>
            <w:top w:val="none" w:sz="0" w:space="0" w:color="auto"/>
            <w:left w:val="none" w:sz="0" w:space="0" w:color="auto"/>
            <w:bottom w:val="none" w:sz="0" w:space="0" w:color="auto"/>
            <w:right w:val="none" w:sz="0" w:space="0" w:color="auto"/>
          </w:divBdr>
        </w:div>
        <w:div w:id="1427537735">
          <w:marLeft w:val="1080"/>
          <w:marRight w:val="0"/>
          <w:marTop w:val="100"/>
          <w:marBottom w:val="0"/>
          <w:divBdr>
            <w:top w:val="none" w:sz="0" w:space="0" w:color="auto"/>
            <w:left w:val="none" w:sz="0" w:space="0" w:color="auto"/>
            <w:bottom w:val="none" w:sz="0" w:space="0" w:color="auto"/>
            <w:right w:val="none" w:sz="0" w:space="0" w:color="auto"/>
          </w:divBdr>
        </w:div>
        <w:div w:id="697662589">
          <w:marLeft w:val="1080"/>
          <w:marRight w:val="0"/>
          <w:marTop w:val="100"/>
          <w:marBottom w:val="0"/>
          <w:divBdr>
            <w:top w:val="none" w:sz="0" w:space="0" w:color="auto"/>
            <w:left w:val="none" w:sz="0" w:space="0" w:color="auto"/>
            <w:bottom w:val="none" w:sz="0" w:space="0" w:color="auto"/>
            <w:right w:val="none" w:sz="0" w:space="0" w:color="auto"/>
          </w:divBdr>
        </w:div>
        <w:div w:id="1293904833">
          <w:marLeft w:val="1080"/>
          <w:marRight w:val="0"/>
          <w:marTop w:val="100"/>
          <w:marBottom w:val="0"/>
          <w:divBdr>
            <w:top w:val="none" w:sz="0" w:space="0" w:color="auto"/>
            <w:left w:val="none" w:sz="0" w:space="0" w:color="auto"/>
            <w:bottom w:val="none" w:sz="0" w:space="0" w:color="auto"/>
            <w:right w:val="none" w:sz="0" w:space="0" w:color="auto"/>
          </w:divBdr>
        </w:div>
        <w:div w:id="673999806">
          <w:marLeft w:val="1080"/>
          <w:marRight w:val="0"/>
          <w:marTop w:val="100"/>
          <w:marBottom w:val="0"/>
          <w:divBdr>
            <w:top w:val="none" w:sz="0" w:space="0" w:color="auto"/>
            <w:left w:val="none" w:sz="0" w:space="0" w:color="auto"/>
            <w:bottom w:val="none" w:sz="0" w:space="0" w:color="auto"/>
            <w:right w:val="none" w:sz="0" w:space="0" w:color="auto"/>
          </w:divBdr>
        </w:div>
        <w:div w:id="1209150473">
          <w:marLeft w:val="1080"/>
          <w:marRight w:val="0"/>
          <w:marTop w:val="100"/>
          <w:marBottom w:val="0"/>
          <w:divBdr>
            <w:top w:val="none" w:sz="0" w:space="0" w:color="auto"/>
            <w:left w:val="none" w:sz="0" w:space="0" w:color="auto"/>
            <w:bottom w:val="none" w:sz="0" w:space="0" w:color="auto"/>
            <w:right w:val="none" w:sz="0" w:space="0" w:color="auto"/>
          </w:divBdr>
        </w:div>
      </w:divsChild>
    </w:div>
    <w:div w:id="1634747917">
      <w:bodyDiv w:val="1"/>
      <w:marLeft w:val="0"/>
      <w:marRight w:val="0"/>
      <w:marTop w:val="0"/>
      <w:marBottom w:val="0"/>
      <w:divBdr>
        <w:top w:val="none" w:sz="0" w:space="0" w:color="auto"/>
        <w:left w:val="none" w:sz="0" w:space="0" w:color="auto"/>
        <w:bottom w:val="none" w:sz="0" w:space="0" w:color="auto"/>
        <w:right w:val="none" w:sz="0" w:space="0" w:color="auto"/>
      </w:divBdr>
      <w:divsChild>
        <w:div w:id="1899973374">
          <w:marLeft w:val="360"/>
          <w:marRight w:val="0"/>
          <w:marTop w:val="200"/>
          <w:marBottom w:val="0"/>
          <w:divBdr>
            <w:top w:val="none" w:sz="0" w:space="0" w:color="auto"/>
            <w:left w:val="none" w:sz="0" w:space="0" w:color="auto"/>
            <w:bottom w:val="none" w:sz="0" w:space="0" w:color="auto"/>
            <w:right w:val="none" w:sz="0" w:space="0" w:color="auto"/>
          </w:divBdr>
        </w:div>
        <w:div w:id="1879080614">
          <w:marLeft w:val="1080"/>
          <w:marRight w:val="0"/>
          <w:marTop w:val="100"/>
          <w:marBottom w:val="0"/>
          <w:divBdr>
            <w:top w:val="none" w:sz="0" w:space="0" w:color="auto"/>
            <w:left w:val="none" w:sz="0" w:space="0" w:color="auto"/>
            <w:bottom w:val="none" w:sz="0" w:space="0" w:color="auto"/>
            <w:right w:val="none" w:sz="0" w:space="0" w:color="auto"/>
          </w:divBdr>
        </w:div>
        <w:div w:id="1983541859">
          <w:marLeft w:val="1800"/>
          <w:marRight w:val="0"/>
          <w:marTop w:val="100"/>
          <w:marBottom w:val="0"/>
          <w:divBdr>
            <w:top w:val="none" w:sz="0" w:space="0" w:color="auto"/>
            <w:left w:val="none" w:sz="0" w:space="0" w:color="auto"/>
            <w:bottom w:val="none" w:sz="0" w:space="0" w:color="auto"/>
            <w:right w:val="none" w:sz="0" w:space="0" w:color="auto"/>
          </w:divBdr>
        </w:div>
        <w:div w:id="472337048">
          <w:marLeft w:val="1800"/>
          <w:marRight w:val="0"/>
          <w:marTop w:val="100"/>
          <w:marBottom w:val="0"/>
          <w:divBdr>
            <w:top w:val="none" w:sz="0" w:space="0" w:color="auto"/>
            <w:left w:val="none" w:sz="0" w:space="0" w:color="auto"/>
            <w:bottom w:val="none" w:sz="0" w:space="0" w:color="auto"/>
            <w:right w:val="none" w:sz="0" w:space="0" w:color="auto"/>
          </w:divBdr>
        </w:div>
        <w:div w:id="450365969">
          <w:marLeft w:val="1800"/>
          <w:marRight w:val="0"/>
          <w:marTop w:val="100"/>
          <w:marBottom w:val="0"/>
          <w:divBdr>
            <w:top w:val="none" w:sz="0" w:space="0" w:color="auto"/>
            <w:left w:val="none" w:sz="0" w:space="0" w:color="auto"/>
            <w:bottom w:val="none" w:sz="0" w:space="0" w:color="auto"/>
            <w:right w:val="none" w:sz="0" w:space="0" w:color="auto"/>
          </w:divBdr>
        </w:div>
        <w:div w:id="421490710">
          <w:marLeft w:val="1080"/>
          <w:marRight w:val="0"/>
          <w:marTop w:val="100"/>
          <w:marBottom w:val="0"/>
          <w:divBdr>
            <w:top w:val="none" w:sz="0" w:space="0" w:color="auto"/>
            <w:left w:val="none" w:sz="0" w:space="0" w:color="auto"/>
            <w:bottom w:val="none" w:sz="0" w:space="0" w:color="auto"/>
            <w:right w:val="none" w:sz="0" w:space="0" w:color="auto"/>
          </w:divBdr>
        </w:div>
        <w:div w:id="1674985997">
          <w:marLeft w:val="1080"/>
          <w:marRight w:val="0"/>
          <w:marTop w:val="100"/>
          <w:marBottom w:val="0"/>
          <w:divBdr>
            <w:top w:val="none" w:sz="0" w:space="0" w:color="auto"/>
            <w:left w:val="none" w:sz="0" w:space="0" w:color="auto"/>
            <w:bottom w:val="none" w:sz="0" w:space="0" w:color="auto"/>
            <w:right w:val="none" w:sz="0" w:space="0" w:color="auto"/>
          </w:divBdr>
        </w:div>
        <w:div w:id="340931146">
          <w:marLeft w:val="1080"/>
          <w:marRight w:val="0"/>
          <w:marTop w:val="100"/>
          <w:marBottom w:val="0"/>
          <w:divBdr>
            <w:top w:val="none" w:sz="0" w:space="0" w:color="auto"/>
            <w:left w:val="none" w:sz="0" w:space="0" w:color="auto"/>
            <w:bottom w:val="none" w:sz="0" w:space="0" w:color="auto"/>
            <w:right w:val="none" w:sz="0" w:space="0" w:color="auto"/>
          </w:divBdr>
        </w:div>
        <w:div w:id="252016534">
          <w:marLeft w:val="1080"/>
          <w:marRight w:val="0"/>
          <w:marTop w:val="100"/>
          <w:marBottom w:val="0"/>
          <w:divBdr>
            <w:top w:val="none" w:sz="0" w:space="0" w:color="auto"/>
            <w:left w:val="none" w:sz="0" w:space="0" w:color="auto"/>
            <w:bottom w:val="none" w:sz="0" w:space="0" w:color="auto"/>
            <w:right w:val="none" w:sz="0" w:space="0" w:color="auto"/>
          </w:divBdr>
        </w:div>
      </w:divsChild>
    </w:div>
    <w:div w:id="1796867738">
      <w:bodyDiv w:val="1"/>
      <w:marLeft w:val="0"/>
      <w:marRight w:val="0"/>
      <w:marTop w:val="0"/>
      <w:marBottom w:val="0"/>
      <w:divBdr>
        <w:top w:val="none" w:sz="0" w:space="0" w:color="auto"/>
        <w:left w:val="none" w:sz="0" w:space="0" w:color="auto"/>
        <w:bottom w:val="none" w:sz="0" w:space="0" w:color="auto"/>
        <w:right w:val="none" w:sz="0" w:space="0" w:color="auto"/>
      </w:divBdr>
      <w:divsChild>
        <w:div w:id="1367213565">
          <w:marLeft w:val="360"/>
          <w:marRight w:val="0"/>
          <w:marTop w:val="200"/>
          <w:marBottom w:val="0"/>
          <w:divBdr>
            <w:top w:val="none" w:sz="0" w:space="0" w:color="auto"/>
            <w:left w:val="none" w:sz="0" w:space="0" w:color="auto"/>
            <w:bottom w:val="none" w:sz="0" w:space="0" w:color="auto"/>
            <w:right w:val="none" w:sz="0" w:space="0" w:color="auto"/>
          </w:divBdr>
        </w:div>
        <w:div w:id="1390684961">
          <w:marLeft w:val="360"/>
          <w:marRight w:val="0"/>
          <w:marTop w:val="200"/>
          <w:marBottom w:val="0"/>
          <w:divBdr>
            <w:top w:val="none" w:sz="0" w:space="0" w:color="auto"/>
            <w:left w:val="none" w:sz="0" w:space="0" w:color="auto"/>
            <w:bottom w:val="none" w:sz="0" w:space="0" w:color="auto"/>
            <w:right w:val="none" w:sz="0" w:space="0" w:color="auto"/>
          </w:divBdr>
        </w:div>
        <w:div w:id="553153309">
          <w:marLeft w:val="360"/>
          <w:marRight w:val="0"/>
          <w:marTop w:val="200"/>
          <w:marBottom w:val="0"/>
          <w:divBdr>
            <w:top w:val="none" w:sz="0" w:space="0" w:color="auto"/>
            <w:left w:val="none" w:sz="0" w:space="0" w:color="auto"/>
            <w:bottom w:val="none" w:sz="0" w:space="0" w:color="auto"/>
            <w:right w:val="none" w:sz="0" w:space="0" w:color="auto"/>
          </w:divBdr>
        </w:div>
        <w:div w:id="352650311">
          <w:marLeft w:val="360"/>
          <w:marRight w:val="0"/>
          <w:marTop w:val="200"/>
          <w:marBottom w:val="0"/>
          <w:divBdr>
            <w:top w:val="none" w:sz="0" w:space="0" w:color="auto"/>
            <w:left w:val="none" w:sz="0" w:space="0" w:color="auto"/>
            <w:bottom w:val="none" w:sz="0" w:space="0" w:color="auto"/>
            <w:right w:val="none" w:sz="0" w:space="0" w:color="auto"/>
          </w:divBdr>
        </w:div>
        <w:div w:id="581455559">
          <w:marLeft w:val="360"/>
          <w:marRight w:val="0"/>
          <w:marTop w:val="200"/>
          <w:marBottom w:val="0"/>
          <w:divBdr>
            <w:top w:val="none" w:sz="0" w:space="0" w:color="auto"/>
            <w:left w:val="none" w:sz="0" w:space="0" w:color="auto"/>
            <w:bottom w:val="none" w:sz="0" w:space="0" w:color="auto"/>
            <w:right w:val="none" w:sz="0" w:space="0" w:color="auto"/>
          </w:divBdr>
        </w:div>
        <w:div w:id="1994337616">
          <w:marLeft w:val="360"/>
          <w:marRight w:val="0"/>
          <w:marTop w:val="200"/>
          <w:marBottom w:val="0"/>
          <w:divBdr>
            <w:top w:val="none" w:sz="0" w:space="0" w:color="auto"/>
            <w:left w:val="none" w:sz="0" w:space="0" w:color="auto"/>
            <w:bottom w:val="none" w:sz="0" w:space="0" w:color="auto"/>
            <w:right w:val="none" w:sz="0" w:space="0" w:color="auto"/>
          </w:divBdr>
        </w:div>
      </w:divsChild>
    </w:div>
    <w:div w:id="1804544408">
      <w:bodyDiv w:val="1"/>
      <w:marLeft w:val="0"/>
      <w:marRight w:val="0"/>
      <w:marTop w:val="0"/>
      <w:marBottom w:val="0"/>
      <w:divBdr>
        <w:top w:val="none" w:sz="0" w:space="0" w:color="auto"/>
        <w:left w:val="none" w:sz="0" w:space="0" w:color="auto"/>
        <w:bottom w:val="none" w:sz="0" w:space="0" w:color="auto"/>
        <w:right w:val="none" w:sz="0" w:space="0" w:color="auto"/>
      </w:divBdr>
    </w:div>
    <w:div w:id="1893810154">
      <w:bodyDiv w:val="1"/>
      <w:marLeft w:val="0"/>
      <w:marRight w:val="0"/>
      <w:marTop w:val="0"/>
      <w:marBottom w:val="0"/>
      <w:divBdr>
        <w:top w:val="none" w:sz="0" w:space="0" w:color="auto"/>
        <w:left w:val="none" w:sz="0" w:space="0" w:color="auto"/>
        <w:bottom w:val="none" w:sz="0" w:space="0" w:color="auto"/>
        <w:right w:val="none" w:sz="0" w:space="0" w:color="auto"/>
      </w:divBdr>
      <w:divsChild>
        <w:div w:id="299924401">
          <w:marLeft w:val="547"/>
          <w:marRight w:val="0"/>
          <w:marTop w:val="0"/>
          <w:marBottom w:val="0"/>
          <w:divBdr>
            <w:top w:val="none" w:sz="0" w:space="0" w:color="auto"/>
            <w:left w:val="none" w:sz="0" w:space="0" w:color="auto"/>
            <w:bottom w:val="none" w:sz="0" w:space="0" w:color="auto"/>
            <w:right w:val="none" w:sz="0" w:space="0" w:color="auto"/>
          </w:divBdr>
        </w:div>
      </w:divsChild>
    </w:div>
    <w:div w:id="2025010197">
      <w:bodyDiv w:val="1"/>
      <w:marLeft w:val="0"/>
      <w:marRight w:val="0"/>
      <w:marTop w:val="0"/>
      <w:marBottom w:val="0"/>
      <w:divBdr>
        <w:top w:val="none" w:sz="0" w:space="0" w:color="auto"/>
        <w:left w:val="none" w:sz="0" w:space="0" w:color="auto"/>
        <w:bottom w:val="none" w:sz="0" w:space="0" w:color="auto"/>
        <w:right w:val="none" w:sz="0" w:space="0" w:color="auto"/>
      </w:divBdr>
    </w:div>
    <w:div w:id="2065181638">
      <w:bodyDiv w:val="1"/>
      <w:marLeft w:val="0"/>
      <w:marRight w:val="0"/>
      <w:marTop w:val="0"/>
      <w:marBottom w:val="0"/>
      <w:divBdr>
        <w:top w:val="none" w:sz="0" w:space="0" w:color="auto"/>
        <w:left w:val="none" w:sz="0" w:space="0" w:color="auto"/>
        <w:bottom w:val="none" w:sz="0" w:space="0" w:color="auto"/>
        <w:right w:val="none" w:sz="0" w:space="0" w:color="auto"/>
      </w:divBdr>
      <w:divsChild>
        <w:div w:id="1785801771">
          <w:marLeft w:val="547"/>
          <w:marRight w:val="0"/>
          <w:marTop w:val="0"/>
          <w:marBottom w:val="0"/>
          <w:divBdr>
            <w:top w:val="none" w:sz="0" w:space="0" w:color="auto"/>
            <w:left w:val="none" w:sz="0" w:space="0" w:color="auto"/>
            <w:bottom w:val="none" w:sz="0" w:space="0" w:color="auto"/>
            <w:right w:val="none" w:sz="0" w:space="0" w:color="auto"/>
          </w:divBdr>
        </w:div>
      </w:divsChild>
    </w:div>
    <w:div w:id="2091152322">
      <w:bodyDiv w:val="1"/>
      <w:marLeft w:val="0"/>
      <w:marRight w:val="0"/>
      <w:marTop w:val="0"/>
      <w:marBottom w:val="0"/>
      <w:divBdr>
        <w:top w:val="none" w:sz="0" w:space="0" w:color="auto"/>
        <w:left w:val="none" w:sz="0" w:space="0" w:color="auto"/>
        <w:bottom w:val="none" w:sz="0" w:space="0" w:color="auto"/>
        <w:right w:val="none" w:sz="0" w:space="0" w:color="auto"/>
      </w:divBdr>
      <w:divsChild>
        <w:div w:id="726950363">
          <w:marLeft w:val="360"/>
          <w:marRight w:val="0"/>
          <w:marTop w:val="200"/>
          <w:marBottom w:val="0"/>
          <w:divBdr>
            <w:top w:val="none" w:sz="0" w:space="0" w:color="auto"/>
            <w:left w:val="none" w:sz="0" w:space="0" w:color="auto"/>
            <w:bottom w:val="none" w:sz="0" w:space="0" w:color="auto"/>
            <w:right w:val="none" w:sz="0" w:space="0" w:color="auto"/>
          </w:divBdr>
        </w:div>
        <w:div w:id="569771512">
          <w:marLeft w:val="360"/>
          <w:marRight w:val="0"/>
          <w:marTop w:val="200"/>
          <w:marBottom w:val="0"/>
          <w:divBdr>
            <w:top w:val="none" w:sz="0" w:space="0" w:color="auto"/>
            <w:left w:val="none" w:sz="0" w:space="0" w:color="auto"/>
            <w:bottom w:val="none" w:sz="0" w:space="0" w:color="auto"/>
            <w:right w:val="none" w:sz="0" w:space="0" w:color="auto"/>
          </w:divBdr>
        </w:div>
        <w:div w:id="963467102">
          <w:marLeft w:val="360"/>
          <w:marRight w:val="0"/>
          <w:marTop w:val="200"/>
          <w:marBottom w:val="0"/>
          <w:divBdr>
            <w:top w:val="none" w:sz="0" w:space="0" w:color="auto"/>
            <w:left w:val="none" w:sz="0" w:space="0" w:color="auto"/>
            <w:bottom w:val="none" w:sz="0" w:space="0" w:color="auto"/>
            <w:right w:val="none" w:sz="0" w:space="0" w:color="auto"/>
          </w:divBdr>
        </w:div>
        <w:div w:id="1099523051">
          <w:marLeft w:val="360"/>
          <w:marRight w:val="0"/>
          <w:marTop w:val="200"/>
          <w:marBottom w:val="0"/>
          <w:divBdr>
            <w:top w:val="none" w:sz="0" w:space="0" w:color="auto"/>
            <w:left w:val="none" w:sz="0" w:space="0" w:color="auto"/>
            <w:bottom w:val="none" w:sz="0" w:space="0" w:color="auto"/>
            <w:right w:val="none" w:sz="0" w:space="0" w:color="auto"/>
          </w:divBdr>
        </w:div>
        <w:div w:id="388845609">
          <w:marLeft w:val="360"/>
          <w:marRight w:val="0"/>
          <w:marTop w:val="200"/>
          <w:marBottom w:val="0"/>
          <w:divBdr>
            <w:top w:val="none" w:sz="0" w:space="0" w:color="auto"/>
            <w:left w:val="none" w:sz="0" w:space="0" w:color="auto"/>
            <w:bottom w:val="none" w:sz="0" w:space="0" w:color="auto"/>
            <w:right w:val="none" w:sz="0" w:space="0" w:color="auto"/>
          </w:divBdr>
        </w:div>
        <w:div w:id="2090105737">
          <w:marLeft w:val="360"/>
          <w:marRight w:val="0"/>
          <w:marTop w:val="200"/>
          <w:marBottom w:val="0"/>
          <w:divBdr>
            <w:top w:val="none" w:sz="0" w:space="0" w:color="auto"/>
            <w:left w:val="none" w:sz="0" w:space="0" w:color="auto"/>
            <w:bottom w:val="none" w:sz="0" w:space="0" w:color="auto"/>
            <w:right w:val="none" w:sz="0" w:space="0" w:color="auto"/>
          </w:divBdr>
        </w:div>
        <w:div w:id="184681058">
          <w:marLeft w:val="360"/>
          <w:marRight w:val="0"/>
          <w:marTop w:val="200"/>
          <w:marBottom w:val="0"/>
          <w:divBdr>
            <w:top w:val="none" w:sz="0" w:space="0" w:color="auto"/>
            <w:left w:val="none" w:sz="0" w:space="0" w:color="auto"/>
            <w:bottom w:val="none" w:sz="0" w:space="0" w:color="auto"/>
            <w:right w:val="none" w:sz="0" w:space="0" w:color="auto"/>
          </w:divBdr>
        </w:div>
      </w:divsChild>
    </w:div>
    <w:div w:id="21252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TaxCatchAll>
    <Unit xmlns="3b4165b8-29ca-4289-b1a1-5e049cc725ef"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Fiji (Pacific Islands)-1430</TermName>
          <TermId xmlns="http://schemas.microsoft.com/office/infopath/2007/PartnerControls">21ff5ecf-94d7-4265-8556-d73710d30687</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fe739909-82f4-4a26-a9e4-e5ce440eb62e">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fe739909-82f4-4a26-a9e4-e5ce440eb62e">FJIC-753978735-118</_dlc_DocId>
    <_dlc_DocIdUrl xmlns="fe739909-82f4-4a26-a9e4-e5ce440eb62e">
      <Url>https://unicef.sharepoint.com/sites/FJI/_layouts/15/DocIdRedir.aspx?ID=FJIC-753978735-118</Url>
      <Description>FJIC-753978735-118</Description>
    </_dlc_DocIdUrl>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SemaphoreItemMetadata xmlns="fe739909-82f4-4a26-a9e4-e5ce440eb62e">{"ClassificationOrdered":false,"Columns":[],"HasBodyChanged":false,"HasPendingClassification":false,"IsUpdate":false,"IsUploading":false,"ShouldCancel":false,"SkipClassification":false,"ShouldDelay":false}</SemaphoreItemMetadat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3AC0D5BD65FA14D843B5E034FC0547B" ma:contentTypeVersion="47" ma:contentTypeDescription="" ma:contentTypeScope="" ma:versionID="34b386a96c33c81e13a29626118e62c5">
  <xsd:schema xmlns:xsd="http://www.w3.org/2001/XMLSchema" xmlns:xs="http://www.w3.org/2001/XMLSchema" xmlns:p="http://schemas.microsoft.com/office/2006/metadata/properties" xmlns:ns1="http://schemas.microsoft.com/sharepoint/v3" xmlns:ns2="ca283e0b-db31-4043-a2ef-b80661bf084a" xmlns:ns3="http://schemas.microsoft.com/sharepoint.v3" xmlns:ns4="fe739909-82f4-4a26-a9e4-e5ce440eb62e" xmlns:ns5="3b4165b8-29ca-4289-b1a1-5e049cc725ef" xmlns:ns6="http://schemas.microsoft.com/sharepoint/v4" targetNamespace="http://schemas.microsoft.com/office/2006/metadata/properties" ma:root="true" ma:fieldsID="891d1698a2789bd6620862c579af16de" ns1:_="" ns2:_="" ns3:_="" ns4:_="" ns5:_="" ns6:_="">
    <xsd:import namespace="http://schemas.microsoft.com/sharepoint/v3"/>
    <xsd:import namespace="ca283e0b-db31-4043-a2ef-b80661bf084a"/>
    <xsd:import namespace="http://schemas.microsoft.com/sharepoint.v3"/>
    <xsd:import namespace="fe739909-82f4-4a26-a9e4-e5ce440eb62e"/>
    <xsd:import namespace="3b4165b8-29ca-4289-b1a1-5e049cc725ef"/>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Unit"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93;#Fiji (Pacific Islands)-1430|21ff5ecf-94d7-4265-8556-d73710d3068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7c623beb-cee9-416d-be1c-09b37a23787a}" ma:internalName="TaxCatchAllLabel" ma:readOnly="true" ma:showField="CatchAllDataLabel" ma:web="fe739909-82f4-4a26-a9e4-e5ce440eb62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7c623beb-cee9-416d-be1c-09b37a23787a}" ma:internalName="TaxCatchAll" ma:showField="CatchAllData" ma:web="fe739909-82f4-4a26-a9e4-e5ce440eb62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39909-82f4-4a26-a9e4-e5ce440eb62e"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165b8-29ca-4289-b1a1-5e049cc725ef" elementFormDefault="qualified">
    <xsd:import namespace="http://schemas.microsoft.com/office/2006/documentManagement/types"/>
    <xsd:import namespace="http://schemas.microsoft.com/office/infopath/2007/PartnerControls"/>
    <xsd:element name="Unit" ma:index="31" nillable="true" ma:displayName="Unit" ma:format="Dropdown" ma:internalName="Unit">
      <xsd:simpleType>
        <xsd:restriction base="dms:Choice">
          <xsd:enumeration value="HR"/>
          <xsd:enumeration value="ICT"/>
          <xsd:enumeration value="Supply"/>
          <xsd:enumeration value="Finance"/>
          <xsd:enumeration value="Admin"/>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6A06FD52-AFEA-40A0-8891-7FD143E221DE}">
  <ds:schemaRefs>
    <ds:schemaRef ds:uri="http://schemas.microsoft.com/office/2006/metadata/properties"/>
    <ds:schemaRef ds:uri="http://schemas.microsoft.com/office/infopath/2007/PartnerControls"/>
    <ds:schemaRef ds:uri="ca283e0b-db31-4043-a2ef-b80661bf084a"/>
    <ds:schemaRef ds:uri="3b4165b8-29ca-4289-b1a1-5e049cc725ef"/>
    <ds:schemaRef ds:uri="http://schemas.microsoft.com/sharepoint/v4"/>
    <ds:schemaRef ds:uri="fe739909-82f4-4a26-a9e4-e5ce440eb62e"/>
    <ds:schemaRef ds:uri="http://schemas.microsoft.com/sharepoint.v3"/>
  </ds:schemaRefs>
</ds:datastoreItem>
</file>

<file path=customXml/itemProps2.xml><?xml version="1.0" encoding="utf-8"?>
<ds:datastoreItem xmlns:ds="http://schemas.openxmlformats.org/officeDocument/2006/customXml" ds:itemID="{291266AB-D254-4187-A870-E5145E0B2222}">
  <ds:schemaRefs>
    <ds:schemaRef ds:uri="http://schemas.openxmlformats.org/officeDocument/2006/bibliography"/>
  </ds:schemaRefs>
</ds:datastoreItem>
</file>

<file path=customXml/itemProps3.xml><?xml version="1.0" encoding="utf-8"?>
<ds:datastoreItem xmlns:ds="http://schemas.openxmlformats.org/officeDocument/2006/customXml" ds:itemID="{BFB8F6D6-01C0-4F01-B337-A5D99331A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fe739909-82f4-4a26-a9e4-e5ce440eb62e"/>
    <ds:schemaRef ds:uri="3b4165b8-29ca-4289-b1a1-5e049cc725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A7DE4-9BEE-4B4C-85E4-02354229F5AB}">
  <ds:schemaRefs>
    <ds:schemaRef ds:uri="http://schemas.microsoft.com/sharepoint/v3/contenttype/forms"/>
  </ds:schemaRefs>
</ds:datastoreItem>
</file>

<file path=customXml/itemProps5.xml><?xml version="1.0" encoding="utf-8"?>
<ds:datastoreItem xmlns:ds="http://schemas.openxmlformats.org/officeDocument/2006/customXml" ds:itemID="{CC592F00-23C0-40BB-B104-016F8F22C7AA}">
  <ds:schemaRefs>
    <ds:schemaRef ds:uri="http://schemas.microsoft.com/sharepoint/events"/>
  </ds:schemaRefs>
</ds:datastoreItem>
</file>

<file path=customXml/itemProps6.xml><?xml version="1.0" encoding="utf-8"?>
<ds:datastoreItem xmlns:ds="http://schemas.openxmlformats.org/officeDocument/2006/customXml" ds:itemID="{A965C63A-9D98-4034-93B2-341906DB5CD1}">
  <ds:schemaRefs>
    <ds:schemaRef ds:uri="http://schemas.microsoft.com/office/2006/metadata/customXsn"/>
  </ds:schemaRefs>
</ds:datastoreItem>
</file>

<file path=customXml/itemProps7.xml><?xml version="1.0" encoding="utf-8"?>
<ds:datastoreItem xmlns:ds="http://schemas.openxmlformats.org/officeDocument/2006/customXml" ds:itemID="{8D01F632-01B2-4EE3-8F2F-E2068D78AE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3947</Words>
  <Characters>21712</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Fatouma Salem</cp:lastModifiedBy>
  <cp:revision>2</cp:revision>
  <cp:lastPrinted>2016-04-17T23:41:00Z</cp:lastPrinted>
  <dcterms:created xsi:type="dcterms:W3CDTF">2022-09-28T07:52:00Z</dcterms:created>
  <dcterms:modified xsi:type="dcterms:W3CDTF">2022-09-28T07:52:00Z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0x0101009BA85F8052A6DA4FA3E31FF9F74C697000A3AC0D5BD65FA14D843B5E034FC0547B</vt:lpwstr>
  </property>
  <property fmtid="{D5CDD505-2E9C-101B-9397-08002B2CF9AE}" pid="3" name="OfficeDivision">
    <vt:lpwstr>6;#Fiji (Pacific Islands)-1430|21ff5ecf-94d7-4265-8556-d73710d30687</vt:lpwstr>
  </property>
  <property fmtid="{D5CDD505-2E9C-101B-9397-08002B2CF9AE}" pid="4" name="_dlc_DocIdItemGuid">
    <vt:lpwstr>76446428-88e2-4cdb-934d-a54411594966</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