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45AEA6BC">
                <wp:simplePos x="0" y="0"/>
                <wp:positionH relativeFrom="column">
                  <wp:posOffset>228600</wp:posOffset>
                </wp:positionH>
                <wp:positionV relativeFrom="paragraph">
                  <wp:posOffset>-114300</wp:posOffset>
                </wp:positionV>
                <wp:extent cx="4089400" cy="685800"/>
                <wp:effectExtent l="0" t="0" r="2540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18pt;margin-top:-9pt;width:3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260"/>
        <w:gridCol w:w="3870"/>
        <w:gridCol w:w="4230"/>
      </w:tblGrid>
      <w:tr w:rsidR="00C84D62" w:rsidRPr="00ED7B90" w14:paraId="6506FCF0" w14:textId="77777777" w:rsidTr="005379F0">
        <w:trPr>
          <w:trHeight w:val="332"/>
          <w:jc w:val="center"/>
        </w:trPr>
        <w:tc>
          <w:tcPr>
            <w:tcW w:w="9967" w:type="dxa"/>
            <w:gridSpan w:val="4"/>
          </w:tcPr>
          <w:p w14:paraId="16CD8228" w14:textId="0C01A254" w:rsidR="00EF6570" w:rsidRPr="00751CE9" w:rsidRDefault="00C84D62" w:rsidP="00751CE9">
            <w:pPr>
              <w:rPr>
                <w:rFonts w:ascii="Arial" w:hAnsi="Arial" w:cs="Arial"/>
                <w:b/>
              </w:rPr>
            </w:pPr>
            <w:r w:rsidRPr="00751CE9">
              <w:rPr>
                <w:rFonts w:ascii="Arial" w:hAnsi="Arial" w:cs="Arial"/>
                <w:b/>
              </w:rPr>
              <w:t>UNICEF-</w:t>
            </w:r>
            <w:r w:rsidR="00683462">
              <w:rPr>
                <w:rFonts w:ascii="Arial" w:hAnsi="Arial" w:cs="Arial"/>
                <w:b/>
              </w:rPr>
              <w:t>Cox’s Bazar</w:t>
            </w:r>
            <w:r w:rsidRPr="00751CE9">
              <w:rPr>
                <w:rFonts w:ascii="Arial" w:hAnsi="Arial" w:cs="Arial"/>
                <w:b/>
              </w:rPr>
              <w:t>:     TERMS OF REFERENCE (TOR)</w:t>
            </w:r>
          </w:p>
        </w:tc>
      </w:tr>
      <w:tr w:rsidR="00C84D62" w:rsidRPr="009A22FF" w14:paraId="3E28CFBC" w14:textId="77777777" w:rsidTr="005379F0">
        <w:trPr>
          <w:trHeight w:val="368"/>
          <w:jc w:val="center"/>
        </w:trPr>
        <w:tc>
          <w:tcPr>
            <w:tcW w:w="9967" w:type="dxa"/>
            <w:gridSpan w:val="4"/>
          </w:tcPr>
          <w:p w14:paraId="58227D2B" w14:textId="6C8473F4"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683462" w:rsidRPr="00683462">
              <w:rPr>
                <w:rFonts w:asciiTheme="minorHAnsi" w:hAnsiTheme="minorHAnsi" w:cs="Arial"/>
                <w:b/>
                <w:sz w:val="22"/>
                <w:szCs w:val="22"/>
              </w:rPr>
              <w:t>Health &amp; Nutrition Officer</w:t>
            </w:r>
            <w:r w:rsidR="00683462">
              <w:rPr>
                <w:rFonts w:asciiTheme="minorHAnsi" w:hAnsiTheme="minorHAnsi" w:cs="Arial"/>
                <w:b/>
                <w:sz w:val="22"/>
                <w:szCs w:val="22"/>
              </w:rPr>
              <w:t>, NOB</w:t>
            </w:r>
          </w:p>
        </w:tc>
      </w:tr>
      <w:tr w:rsidR="00D96BDC" w:rsidRPr="009A22FF" w14:paraId="6F2DEBB9" w14:textId="77777777" w:rsidTr="005379F0">
        <w:trPr>
          <w:trHeight w:val="332"/>
          <w:jc w:val="center"/>
        </w:trPr>
        <w:tc>
          <w:tcPr>
            <w:tcW w:w="9967" w:type="dxa"/>
            <w:gridSpan w:val="4"/>
          </w:tcPr>
          <w:p w14:paraId="3EB63577" w14:textId="71F0DAF8"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683462">
              <w:rPr>
                <w:rFonts w:asciiTheme="minorHAnsi" w:hAnsiTheme="minorHAnsi" w:cs="Arial"/>
                <w:b/>
                <w:sz w:val="22"/>
                <w:szCs w:val="22"/>
              </w:rPr>
              <w:t>Nutrition</w:t>
            </w:r>
          </w:p>
        </w:tc>
      </w:tr>
      <w:tr w:rsidR="00C84D62" w:rsidRPr="009A22FF" w14:paraId="069D575A" w14:textId="77777777" w:rsidTr="005379F0">
        <w:trPr>
          <w:trHeight w:val="368"/>
          <w:jc w:val="center"/>
        </w:trPr>
        <w:tc>
          <w:tcPr>
            <w:tcW w:w="9967" w:type="dxa"/>
            <w:gridSpan w:val="4"/>
          </w:tcPr>
          <w:p w14:paraId="4FB8FBB6" w14:textId="025AE5EF"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683462">
              <w:rPr>
                <w:rFonts w:asciiTheme="minorHAnsi" w:hAnsiTheme="minorHAnsi" w:cs="Arial"/>
                <w:b/>
                <w:sz w:val="22"/>
                <w:szCs w:val="22"/>
              </w:rPr>
              <w:t>364 days</w:t>
            </w:r>
          </w:p>
        </w:tc>
      </w:tr>
      <w:tr w:rsidR="00751CE9" w:rsidRPr="009A22FF" w14:paraId="1B3BBFFE" w14:textId="77777777" w:rsidTr="005379F0">
        <w:trPr>
          <w:trHeight w:val="368"/>
          <w:jc w:val="center"/>
        </w:trPr>
        <w:tc>
          <w:tcPr>
            <w:tcW w:w="9967" w:type="dxa"/>
            <w:gridSpan w:val="4"/>
          </w:tcPr>
          <w:p w14:paraId="5D2CD031" w14:textId="7A4DCCAA"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683462">
              <w:rPr>
                <w:rFonts w:asciiTheme="minorHAnsi" w:hAnsiTheme="minorHAnsi" w:cs="Arial"/>
                <w:b/>
                <w:sz w:val="22"/>
                <w:szCs w:val="22"/>
              </w:rPr>
              <w:t>Cox’s Bazar</w:t>
            </w:r>
          </w:p>
        </w:tc>
      </w:tr>
      <w:tr w:rsidR="00751CE9" w:rsidRPr="009A22FF" w14:paraId="0904910C" w14:textId="77777777" w:rsidTr="005379F0">
        <w:trPr>
          <w:trHeight w:val="368"/>
          <w:jc w:val="center"/>
        </w:trPr>
        <w:tc>
          <w:tcPr>
            <w:tcW w:w="9967" w:type="dxa"/>
            <w:gridSpan w:val="4"/>
          </w:tcPr>
          <w:p w14:paraId="5E414518" w14:textId="16D116C3"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683462">
              <w:rPr>
                <w:rFonts w:asciiTheme="minorHAnsi" w:eastAsia="Calibri" w:hAnsiTheme="minorHAnsi" w:cs="Arial"/>
                <w:b/>
                <w:sz w:val="22"/>
                <w:szCs w:val="22"/>
              </w:rPr>
              <w:t xml:space="preserve">Nutrition Specialist </w:t>
            </w:r>
          </w:p>
        </w:tc>
      </w:tr>
      <w:tr w:rsidR="00C84D62" w:rsidRPr="009A22FF" w14:paraId="1869ADDE" w14:textId="77777777" w:rsidTr="005379F0">
        <w:trPr>
          <w:jc w:val="center"/>
        </w:trPr>
        <w:tc>
          <w:tcPr>
            <w:tcW w:w="9967" w:type="dxa"/>
            <w:gridSpan w:val="4"/>
          </w:tcPr>
          <w:p w14:paraId="0F3D3F59" w14:textId="77777777" w:rsidR="009E2C45" w:rsidRPr="00157031" w:rsidRDefault="009E2C45" w:rsidP="009E2C45">
            <w:pPr>
              <w:numPr>
                <w:ilvl w:val="0"/>
                <w:numId w:val="1"/>
              </w:numPr>
              <w:tabs>
                <w:tab w:val="clear" w:pos="720"/>
                <w:tab w:val="num" w:pos="360"/>
              </w:tabs>
              <w:ind w:left="360"/>
              <w:rPr>
                <w:rFonts w:asciiTheme="minorHAnsi" w:hAnsiTheme="minorHAnsi" w:cs="Arial"/>
                <w:b/>
                <w:sz w:val="22"/>
                <w:szCs w:val="22"/>
              </w:rPr>
            </w:pPr>
            <w:r w:rsidRPr="00157031">
              <w:rPr>
                <w:rFonts w:asciiTheme="minorHAnsi" w:hAnsiTheme="minorHAnsi" w:cs="Arial"/>
                <w:b/>
                <w:sz w:val="22"/>
                <w:szCs w:val="22"/>
              </w:rPr>
              <w:t>Purpose of Assignment:</w:t>
            </w:r>
          </w:p>
          <w:p w14:paraId="3BB3DF79" w14:textId="1A841224" w:rsidR="009E2C45" w:rsidRDefault="00683462" w:rsidP="00683462">
            <w:pPr>
              <w:jc w:val="both"/>
              <w:rPr>
                <w:rFonts w:asciiTheme="minorHAnsi" w:hAnsiTheme="minorHAnsi" w:cs="Arial"/>
                <w:bCs/>
                <w:sz w:val="22"/>
                <w:szCs w:val="22"/>
              </w:rPr>
            </w:pPr>
            <w:r>
              <w:rPr>
                <w:rFonts w:asciiTheme="minorHAnsi" w:hAnsiTheme="minorHAnsi" w:cs="Arial"/>
                <w:bCs/>
                <w:sz w:val="22"/>
                <w:szCs w:val="22"/>
              </w:rPr>
              <w:t xml:space="preserve">The </w:t>
            </w:r>
            <w:r w:rsidRPr="00683462">
              <w:rPr>
                <w:rFonts w:asciiTheme="minorHAnsi" w:hAnsiTheme="minorHAnsi" w:cs="Arial"/>
                <w:bCs/>
                <w:sz w:val="22"/>
                <w:szCs w:val="22"/>
              </w:rPr>
              <w:t>Health &amp; Nutrition Officer provides professional technical assistance and support for programme/project design, planning, implementation, monitoring, evaluation, and administration of programme/project activities, including data analysis, progress reporting, knowledge networking and capacity building, in support of achievement of planned objectives of the work plan, aligned with Health &amp; Nutrition programme goals and strategy.</w:t>
            </w:r>
          </w:p>
          <w:p w14:paraId="7E90E9E3" w14:textId="77777777" w:rsidR="00282292" w:rsidRPr="00157031" w:rsidRDefault="00282292" w:rsidP="00730C79">
            <w:pPr>
              <w:jc w:val="both"/>
              <w:rPr>
                <w:rFonts w:asciiTheme="minorHAnsi" w:hAnsiTheme="minorHAnsi" w:cs="Arial"/>
                <w:sz w:val="22"/>
                <w:szCs w:val="22"/>
              </w:rPr>
            </w:pPr>
          </w:p>
        </w:tc>
      </w:tr>
      <w:tr w:rsidR="00074EE9" w:rsidRPr="009A22FF" w14:paraId="5FB4192F" w14:textId="77777777" w:rsidTr="005379F0">
        <w:trPr>
          <w:trHeight w:val="395"/>
          <w:jc w:val="center"/>
        </w:trPr>
        <w:tc>
          <w:tcPr>
            <w:tcW w:w="9967" w:type="dxa"/>
            <w:gridSpan w:val="4"/>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5379F0">
        <w:trPr>
          <w:jc w:val="center"/>
        </w:trPr>
        <w:tc>
          <w:tcPr>
            <w:tcW w:w="607" w:type="dxa"/>
            <w:tcBorders>
              <w:bottom w:val="nil"/>
            </w:tcBorders>
          </w:tcPr>
          <w:p w14:paraId="1B370D2C" w14:textId="2904F156" w:rsidR="00A8048B" w:rsidRPr="00157031" w:rsidRDefault="00683462" w:rsidP="009E2C45">
            <w:pPr>
              <w:rPr>
                <w:rFonts w:asciiTheme="minorHAnsi" w:hAnsiTheme="minorHAnsi" w:cs="Arial"/>
                <w:sz w:val="22"/>
                <w:szCs w:val="22"/>
              </w:rPr>
            </w:pPr>
            <w:r>
              <w:rPr>
                <w:rFonts w:asciiTheme="minorHAnsi" w:hAnsiTheme="minorHAnsi" w:cs="Arial"/>
                <w:sz w:val="22"/>
                <w:szCs w:val="22"/>
              </w:rPr>
              <w:t>1</w:t>
            </w:r>
          </w:p>
        </w:tc>
        <w:tc>
          <w:tcPr>
            <w:tcW w:w="9360" w:type="dxa"/>
            <w:gridSpan w:val="3"/>
            <w:tcBorders>
              <w:bottom w:val="nil"/>
            </w:tcBorders>
          </w:tcPr>
          <w:p w14:paraId="4C39F4E4" w14:textId="77777777" w:rsidR="00A8048B" w:rsidRPr="00683462" w:rsidRDefault="00683462" w:rsidP="00DF2E62">
            <w:pPr>
              <w:jc w:val="both"/>
              <w:rPr>
                <w:rFonts w:asciiTheme="minorHAnsi" w:hAnsiTheme="minorHAnsi" w:cs="Arial"/>
                <w:b/>
                <w:bCs/>
                <w:sz w:val="22"/>
                <w:szCs w:val="22"/>
              </w:rPr>
            </w:pPr>
            <w:r w:rsidRPr="00683462">
              <w:rPr>
                <w:rFonts w:asciiTheme="minorHAnsi" w:hAnsiTheme="minorHAnsi" w:cs="Arial"/>
                <w:b/>
                <w:bCs/>
                <w:sz w:val="22"/>
                <w:szCs w:val="22"/>
              </w:rPr>
              <w:t>Accurate information, data analysis, and documentation are timely made available to contribute to situation analysis, sectoral input and reporting.</w:t>
            </w:r>
          </w:p>
          <w:p w14:paraId="241B7DEF" w14:textId="77777777" w:rsidR="00683462" w:rsidRPr="00B76C78" w:rsidRDefault="00683462" w:rsidP="00DF2E62">
            <w:pPr>
              <w:jc w:val="both"/>
              <w:rPr>
                <w:rFonts w:asciiTheme="minorHAnsi" w:hAnsiTheme="minorHAnsi" w:cs="Arial"/>
                <w:sz w:val="8"/>
                <w:szCs w:val="8"/>
              </w:rPr>
            </w:pPr>
          </w:p>
          <w:p w14:paraId="64E7BF42" w14:textId="77777777" w:rsidR="00683462" w:rsidRDefault="00683462" w:rsidP="00DF2E62">
            <w:pPr>
              <w:jc w:val="both"/>
              <w:rPr>
                <w:rFonts w:asciiTheme="minorHAnsi" w:hAnsiTheme="minorHAnsi" w:cs="Arial"/>
                <w:sz w:val="22"/>
                <w:szCs w:val="22"/>
              </w:rPr>
            </w:pPr>
            <w:r w:rsidRPr="00683462">
              <w:rPr>
                <w:rFonts w:asciiTheme="minorHAnsi" w:hAnsiTheme="minorHAnsi" w:cs="Arial"/>
                <w:sz w:val="22"/>
                <w:szCs w:val="22"/>
              </w:rPr>
              <w:t xml:space="preserve">Assists the preparation and periodic update of the Situation Analysis by compiling Health &amp; Nutrition data, </w:t>
            </w:r>
            <w:r w:rsidR="00421415" w:rsidRPr="00683462">
              <w:rPr>
                <w:rFonts w:asciiTheme="minorHAnsi" w:hAnsiTheme="minorHAnsi" w:cs="Arial"/>
                <w:sz w:val="22"/>
                <w:szCs w:val="22"/>
              </w:rPr>
              <w:t>analyzing</w:t>
            </w:r>
            <w:r w:rsidRPr="00683462">
              <w:rPr>
                <w:rFonts w:asciiTheme="minorHAnsi" w:hAnsiTheme="minorHAnsi" w:cs="Arial"/>
                <w:sz w:val="22"/>
                <w:szCs w:val="22"/>
              </w:rPr>
              <w:t xml:space="preserve"> and evaluating relevant information and providing the technical input in a timely and accurate manner. Drafts chapters, prepares statistical data reports, and assists with preparation of sectoral input to the programme documents as required. Contributes to the consultation and coordination with key partners at all levels.</w:t>
            </w:r>
          </w:p>
          <w:p w14:paraId="2A011672" w14:textId="1951744F" w:rsidR="00B76C78" w:rsidRPr="00157031" w:rsidRDefault="00B76C78" w:rsidP="00DF2E62">
            <w:pPr>
              <w:jc w:val="both"/>
              <w:rPr>
                <w:rFonts w:asciiTheme="minorHAnsi" w:hAnsiTheme="minorHAnsi" w:cs="Arial"/>
                <w:sz w:val="22"/>
                <w:szCs w:val="22"/>
              </w:rPr>
            </w:pPr>
          </w:p>
        </w:tc>
      </w:tr>
      <w:tr w:rsidR="00A8048B" w:rsidRPr="009A22FF" w14:paraId="647E5597" w14:textId="77777777" w:rsidTr="005379F0">
        <w:trPr>
          <w:jc w:val="center"/>
        </w:trPr>
        <w:tc>
          <w:tcPr>
            <w:tcW w:w="607" w:type="dxa"/>
            <w:tcBorders>
              <w:bottom w:val="nil"/>
            </w:tcBorders>
          </w:tcPr>
          <w:p w14:paraId="14F97149" w14:textId="376FC6B6" w:rsidR="00A8048B" w:rsidRPr="00157031" w:rsidRDefault="00683462" w:rsidP="009E2C45">
            <w:pPr>
              <w:rPr>
                <w:rFonts w:asciiTheme="minorHAnsi" w:hAnsiTheme="minorHAnsi" w:cs="Arial"/>
                <w:sz w:val="22"/>
                <w:szCs w:val="22"/>
              </w:rPr>
            </w:pPr>
            <w:r>
              <w:rPr>
                <w:rFonts w:asciiTheme="minorHAnsi" w:hAnsiTheme="minorHAnsi" w:cs="Arial"/>
                <w:sz w:val="22"/>
                <w:szCs w:val="22"/>
              </w:rPr>
              <w:t>2</w:t>
            </w:r>
          </w:p>
        </w:tc>
        <w:tc>
          <w:tcPr>
            <w:tcW w:w="9360" w:type="dxa"/>
            <w:gridSpan w:val="3"/>
            <w:tcBorders>
              <w:bottom w:val="nil"/>
            </w:tcBorders>
          </w:tcPr>
          <w:p w14:paraId="68A5AFE9" w14:textId="7424F65C" w:rsidR="00683462" w:rsidRPr="00683462" w:rsidRDefault="00683462" w:rsidP="00683462">
            <w:pPr>
              <w:jc w:val="both"/>
              <w:rPr>
                <w:rFonts w:asciiTheme="minorHAnsi" w:hAnsiTheme="minorHAnsi" w:cs="Arial"/>
                <w:b/>
                <w:bCs/>
                <w:sz w:val="22"/>
                <w:szCs w:val="22"/>
              </w:rPr>
            </w:pPr>
            <w:r w:rsidRPr="00683462">
              <w:rPr>
                <w:rFonts w:asciiTheme="minorHAnsi" w:hAnsiTheme="minorHAnsi" w:cs="Arial"/>
                <w:b/>
                <w:bCs/>
                <w:sz w:val="22"/>
                <w:szCs w:val="22"/>
              </w:rPr>
              <w:t xml:space="preserve">Technical assistance is provided in the implementation of integrated Health &amp; Nutrition approaches through participation and collaboration with internal and external partners. </w:t>
            </w:r>
          </w:p>
          <w:p w14:paraId="74524C50" w14:textId="77777777" w:rsidR="00683462" w:rsidRPr="00B76C78" w:rsidRDefault="00683462" w:rsidP="00683462">
            <w:pPr>
              <w:jc w:val="both"/>
              <w:rPr>
                <w:rFonts w:asciiTheme="minorHAnsi" w:hAnsiTheme="minorHAnsi" w:cs="Arial"/>
                <w:sz w:val="10"/>
                <w:szCs w:val="10"/>
              </w:rPr>
            </w:pPr>
          </w:p>
          <w:p w14:paraId="0FAEA316" w14:textId="77777777" w:rsidR="00683462" w:rsidRDefault="00683462" w:rsidP="00683462">
            <w:pPr>
              <w:jc w:val="both"/>
              <w:rPr>
                <w:rFonts w:asciiTheme="minorHAnsi" w:hAnsiTheme="minorHAnsi" w:cs="Arial"/>
                <w:sz w:val="22"/>
                <w:szCs w:val="22"/>
              </w:rPr>
            </w:pPr>
            <w:r w:rsidRPr="00683462">
              <w:rPr>
                <w:rFonts w:asciiTheme="minorHAnsi" w:hAnsiTheme="minorHAnsi" w:cs="Arial"/>
                <w:sz w:val="22"/>
                <w:szCs w:val="22"/>
              </w:rPr>
              <w:t>Provides technical assistance in the integration of the Health &amp; Nutrition programme with other sectors in</w:t>
            </w:r>
            <w:r>
              <w:rPr>
                <w:rFonts w:asciiTheme="minorHAnsi" w:hAnsiTheme="minorHAnsi" w:cs="Arial"/>
                <w:sz w:val="22"/>
                <w:szCs w:val="22"/>
              </w:rPr>
              <w:t xml:space="preserve"> </w:t>
            </w:r>
            <w:r w:rsidRPr="00683462">
              <w:rPr>
                <w:rFonts w:asciiTheme="minorHAnsi" w:hAnsiTheme="minorHAnsi" w:cs="Arial"/>
                <w:sz w:val="22"/>
                <w:szCs w:val="22"/>
              </w:rPr>
              <w:t>collaboration with other UNICEF sectors, particularly Health, Nutrition, CSD, HIV/AIDS. WASH, and programme</w:t>
            </w:r>
            <w:r>
              <w:rPr>
                <w:rFonts w:asciiTheme="minorHAnsi" w:hAnsiTheme="minorHAnsi" w:cs="Arial"/>
                <w:sz w:val="22"/>
                <w:szCs w:val="22"/>
              </w:rPr>
              <w:t xml:space="preserve"> </w:t>
            </w:r>
            <w:r w:rsidRPr="00683462">
              <w:rPr>
                <w:rFonts w:asciiTheme="minorHAnsi" w:hAnsiTheme="minorHAnsi" w:cs="Arial"/>
                <w:sz w:val="22"/>
                <w:szCs w:val="22"/>
              </w:rPr>
              <w:t>communication.</w:t>
            </w:r>
            <w:r>
              <w:rPr>
                <w:rFonts w:asciiTheme="minorHAnsi" w:hAnsiTheme="minorHAnsi" w:cs="Arial"/>
                <w:sz w:val="22"/>
                <w:szCs w:val="22"/>
              </w:rPr>
              <w:t xml:space="preserve"> </w:t>
            </w:r>
          </w:p>
          <w:p w14:paraId="2EA18436" w14:textId="77777777" w:rsidR="00683462" w:rsidRPr="00B76C78" w:rsidRDefault="00683462" w:rsidP="00683462">
            <w:pPr>
              <w:jc w:val="both"/>
              <w:rPr>
                <w:rFonts w:asciiTheme="minorHAnsi" w:hAnsiTheme="minorHAnsi" w:cs="Arial"/>
                <w:sz w:val="10"/>
                <w:szCs w:val="10"/>
              </w:rPr>
            </w:pPr>
          </w:p>
          <w:p w14:paraId="373BD956" w14:textId="0E0D8D10" w:rsidR="00683462" w:rsidRDefault="00683462" w:rsidP="00683462">
            <w:pPr>
              <w:jc w:val="both"/>
              <w:rPr>
                <w:rFonts w:asciiTheme="minorHAnsi" w:hAnsiTheme="minorHAnsi" w:cs="Arial"/>
                <w:sz w:val="22"/>
                <w:szCs w:val="22"/>
              </w:rPr>
            </w:pPr>
            <w:r w:rsidRPr="00683462">
              <w:rPr>
                <w:rFonts w:asciiTheme="minorHAnsi" w:hAnsiTheme="minorHAnsi" w:cs="Arial"/>
                <w:sz w:val="22"/>
                <w:szCs w:val="22"/>
              </w:rPr>
              <w:t xml:space="preserve">Contributes to build on intersectoral experience and establish partnerships to promote innovative approaches to address immediate and underlying determinants of maternal, newborn and child health and nutrition, recognizing that health and nutrition outcomes are not the results of action in the health and nutrition sectors alone. </w:t>
            </w:r>
          </w:p>
          <w:p w14:paraId="38E969F7" w14:textId="77777777" w:rsidR="00683462" w:rsidRPr="00B76C78" w:rsidRDefault="00683462" w:rsidP="00683462">
            <w:pPr>
              <w:jc w:val="both"/>
              <w:rPr>
                <w:rFonts w:asciiTheme="minorHAnsi" w:hAnsiTheme="minorHAnsi" w:cs="Arial"/>
                <w:sz w:val="8"/>
                <w:szCs w:val="8"/>
              </w:rPr>
            </w:pPr>
          </w:p>
          <w:p w14:paraId="32730E8C" w14:textId="77777777" w:rsidR="00683462" w:rsidRDefault="00683462" w:rsidP="00683462">
            <w:pPr>
              <w:jc w:val="both"/>
              <w:rPr>
                <w:rFonts w:asciiTheme="minorHAnsi" w:hAnsiTheme="minorHAnsi" w:cs="Arial"/>
                <w:sz w:val="22"/>
                <w:szCs w:val="22"/>
              </w:rPr>
            </w:pPr>
            <w:r w:rsidRPr="00683462">
              <w:rPr>
                <w:rFonts w:asciiTheme="minorHAnsi" w:hAnsiTheme="minorHAnsi" w:cs="Arial"/>
                <w:sz w:val="22"/>
                <w:szCs w:val="22"/>
              </w:rPr>
              <w:t xml:space="preserve">Assists in the design, planning, monitoring and evaluation of the Health &amp; Nutrition programme to be implemented in the locality. </w:t>
            </w:r>
          </w:p>
          <w:p w14:paraId="79FD790F" w14:textId="77777777" w:rsidR="00683462" w:rsidRPr="00B76C78" w:rsidRDefault="00683462" w:rsidP="00683462">
            <w:pPr>
              <w:jc w:val="both"/>
              <w:rPr>
                <w:rFonts w:asciiTheme="minorHAnsi" w:hAnsiTheme="minorHAnsi" w:cs="Arial"/>
                <w:sz w:val="6"/>
                <w:szCs w:val="6"/>
              </w:rPr>
            </w:pPr>
          </w:p>
          <w:p w14:paraId="711E3614" w14:textId="77777777" w:rsidR="004505F3" w:rsidRDefault="00683462" w:rsidP="00683462">
            <w:pPr>
              <w:jc w:val="both"/>
              <w:rPr>
                <w:rFonts w:asciiTheme="minorHAnsi" w:hAnsiTheme="minorHAnsi" w:cs="Arial"/>
                <w:sz w:val="22"/>
                <w:szCs w:val="22"/>
              </w:rPr>
            </w:pPr>
            <w:r w:rsidRPr="00683462">
              <w:rPr>
                <w:rFonts w:asciiTheme="minorHAnsi" w:hAnsiTheme="minorHAnsi" w:cs="Arial"/>
                <w:sz w:val="22"/>
                <w:szCs w:val="22"/>
              </w:rPr>
              <w:t>Supports the improvement of programme delivery with emphasis on sustainability of intervention and community participation based on Human Rights framework and cross sector approach to programming and Community Capacity Development.</w:t>
            </w:r>
          </w:p>
          <w:p w14:paraId="407BB292" w14:textId="4168EB78" w:rsidR="00421415" w:rsidRPr="00157031" w:rsidRDefault="00421415" w:rsidP="00683462">
            <w:pPr>
              <w:jc w:val="both"/>
              <w:rPr>
                <w:rFonts w:asciiTheme="minorHAnsi" w:hAnsiTheme="minorHAnsi" w:cs="Arial"/>
                <w:sz w:val="22"/>
                <w:szCs w:val="22"/>
              </w:rPr>
            </w:pPr>
          </w:p>
        </w:tc>
      </w:tr>
      <w:tr w:rsidR="00A8048B" w:rsidRPr="009A22FF" w14:paraId="1C1812A2" w14:textId="77777777" w:rsidTr="005379F0">
        <w:trPr>
          <w:jc w:val="center"/>
        </w:trPr>
        <w:tc>
          <w:tcPr>
            <w:tcW w:w="607" w:type="dxa"/>
            <w:tcBorders>
              <w:bottom w:val="nil"/>
            </w:tcBorders>
          </w:tcPr>
          <w:p w14:paraId="5DA677CB" w14:textId="2773EF6E" w:rsidR="00A8048B" w:rsidRPr="00157031" w:rsidRDefault="00683462" w:rsidP="009E2C45">
            <w:pPr>
              <w:rPr>
                <w:rFonts w:asciiTheme="minorHAnsi" w:hAnsiTheme="minorHAnsi"/>
                <w:sz w:val="22"/>
                <w:szCs w:val="22"/>
              </w:rPr>
            </w:pPr>
            <w:r>
              <w:rPr>
                <w:rFonts w:asciiTheme="minorHAnsi" w:hAnsiTheme="minorHAnsi"/>
                <w:sz w:val="22"/>
                <w:szCs w:val="22"/>
              </w:rPr>
              <w:t>3</w:t>
            </w:r>
          </w:p>
        </w:tc>
        <w:tc>
          <w:tcPr>
            <w:tcW w:w="9360" w:type="dxa"/>
            <w:gridSpan w:val="3"/>
            <w:tcBorders>
              <w:bottom w:val="nil"/>
            </w:tcBorders>
          </w:tcPr>
          <w:p w14:paraId="58BA8DFB" w14:textId="5A3A47E6" w:rsidR="00683462" w:rsidRDefault="00683462" w:rsidP="00683462">
            <w:pPr>
              <w:jc w:val="both"/>
              <w:rPr>
                <w:rFonts w:asciiTheme="minorHAnsi" w:hAnsiTheme="minorHAnsi" w:cs="Arial"/>
                <w:b/>
                <w:bCs/>
                <w:sz w:val="22"/>
                <w:szCs w:val="22"/>
              </w:rPr>
            </w:pPr>
            <w:r w:rsidRPr="00683462">
              <w:rPr>
                <w:rFonts w:asciiTheme="minorHAnsi" w:hAnsiTheme="minorHAnsi" w:cs="Arial"/>
                <w:b/>
                <w:bCs/>
                <w:sz w:val="22"/>
                <w:szCs w:val="22"/>
              </w:rPr>
              <w:t>Work plan and objectives are effectively implemented, and planned results are timely delivered through technical support and coordination.</w:t>
            </w:r>
          </w:p>
          <w:p w14:paraId="08E5210B" w14:textId="77777777" w:rsidR="00683462" w:rsidRPr="00B76C78" w:rsidRDefault="00683462" w:rsidP="00683462">
            <w:pPr>
              <w:jc w:val="both"/>
              <w:rPr>
                <w:rFonts w:asciiTheme="minorHAnsi" w:hAnsiTheme="minorHAnsi" w:cs="Arial"/>
                <w:b/>
                <w:bCs/>
                <w:sz w:val="6"/>
                <w:szCs w:val="6"/>
              </w:rPr>
            </w:pPr>
          </w:p>
          <w:p w14:paraId="07E5C4A2" w14:textId="59315858" w:rsidR="00683462" w:rsidRDefault="00683462" w:rsidP="00683462">
            <w:pPr>
              <w:jc w:val="both"/>
              <w:rPr>
                <w:rFonts w:asciiTheme="minorHAnsi" w:hAnsiTheme="minorHAnsi" w:cs="Arial"/>
                <w:sz w:val="22"/>
                <w:szCs w:val="22"/>
              </w:rPr>
            </w:pPr>
            <w:r w:rsidRPr="00683462">
              <w:rPr>
                <w:rFonts w:asciiTheme="minorHAnsi" w:hAnsiTheme="minorHAnsi" w:cs="Arial"/>
                <w:sz w:val="22"/>
                <w:szCs w:val="22"/>
              </w:rPr>
              <w:t xml:space="preserve">Assists in the development of the sectoral work plan and technical decisions as well as for administration, implementation and monitoring of sectoral project activities. Analyses data and information, and drafts progress reports; drafts changes in project work plans, as required. Monitors to ensure objectives and targets are timely met and achieved, through effective coordination and </w:t>
            </w:r>
            <w:r w:rsidRPr="00683462">
              <w:rPr>
                <w:rFonts w:asciiTheme="minorHAnsi" w:hAnsiTheme="minorHAnsi" w:cs="Arial"/>
                <w:sz w:val="22"/>
                <w:szCs w:val="22"/>
              </w:rPr>
              <w:lastRenderedPageBreak/>
              <w:t>collaboration, by participating in a teamwork of professional and support staff. Support maintenance of info system for monitoring gender sex aggregated data.</w:t>
            </w:r>
          </w:p>
          <w:p w14:paraId="55170E65" w14:textId="77777777" w:rsidR="00683462" w:rsidRPr="00B76C78" w:rsidRDefault="00683462" w:rsidP="00683462">
            <w:pPr>
              <w:jc w:val="both"/>
              <w:rPr>
                <w:rFonts w:asciiTheme="minorHAnsi" w:hAnsiTheme="minorHAnsi" w:cs="Arial"/>
                <w:sz w:val="8"/>
                <w:szCs w:val="8"/>
              </w:rPr>
            </w:pPr>
          </w:p>
          <w:p w14:paraId="63E14908" w14:textId="77777777" w:rsidR="00683462" w:rsidRDefault="00683462" w:rsidP="00683462">
            <w:pPr>
              <w:jc w:val="both"/>
              <w:rPr>
                <w:rFonts w:asciiTheme="minorHAnsi" w:hAnsiTheme="minorHAnsi" w:cs="Arial"/>
                <w:sz w:val="22"/>
                <w:szCs w:val="22"/>
              </w:rPr>
            </w:pPr>
            <w:r w:rsidRPr="00683462">
              <w:rPr>
                <w:rFonts w:asciiTheme="minorHAnsi" w:hAnsiTheme="minorHAnsi" w:cs="Arial"/>
                <w:sz w:val="22"/>
                <w:szCs w:val="22"/>
              </w:rPr>
              <w:t xml:space="preserve">Assists in the planning and organizing training/development activities to upgrade the capacity of the Country Office staff as well as government and NGOs in the programme development, implementation and management of Health &amp; Nutrition programme.  </w:t>
            </w:r>
          </w:p>
          <w:p w14:paraId="3CC7478E" w14:textId="77777777" w:rsidR="00683462" w:rsidRPr="00B76C78" w:rsidRDefault="00683462" w:rsidP="00683462">
            <w:pPr>
              <w:jc w:val="both"/>
              <w:rPr>
                <w:rFonts w:asciiTheme="minorHAnsi" w:hAnsiTheme="minorHAnsi" w:cs="Arial"/>
                <w:sz w:val="8"/>
                <w:szCs w:val="8"/>
              </w:rPr>
            </w:pPr>
          </w:p>
          <w:p w14:paraId="371FC49F" w14:textId="77777777" w:rsidR="00A8048B" w:rsidRDefault="00683462" w:rsidP="00683462">
            <w:pPr>
              <w:jc w:val="both"/>
              <w:rPr>
                <w:rFonts w:asciiTheme="minorHAnsi" w:hAnsiTheme="minorHAnsi" w:cs="Arial"/>
                <w:sz w:val="22"/>
                <w:szCs w:val="22"/>
              </w:rPr>
            </w:pPr>
            <w:r w:rsidRPr="00683462">
              <w:rPr>
                <w:rFonts w:asciiTheme="minorHAnsi" w:hAnsiTheme="minorHAnsi" w:cs="Arial"/>
                <w:sz w:val="22"/>
                <w:szCs w:val="22"/>
              </w:rPr>
              <w:t>Assists in Identifying training needs and conducts relevant orientation, workshop, training and learning/development activities for the staff as well as for government personnel and beneficiaries, in collaboration with knowledge institutions.</w:t>
            </w:r>
          </w:p>
          <w:p w14:paraId="564E7CD6" w14:textId="2F0D9527" w:rsidR="00421415" w:rsidRPr="00157031" w:rsidRDefault="00421415" w:rsidP="00683462">
            <w:pPr>
              <w:jc w:val="both"/>
              <w:rPr>
                <w:rFonts w:asciiTheme="minorHAnsi" w:hAnsiTheme="minorHAnsi" w:cs="Arial"/>
                <w:sz w:val="22"/>
                <w:szCs w:val="22"/>
              </w:rPr>
            </w:pPr>
          </w:p>
        </w:tc>
      </w:tr>
      <w:tr w:rsidR="00A8048B" w:rsidRPr="009A22FF" w14:paraId="4E7D92B5" w14:textId="77777777" w:rsidTr="005379F0">
        <w:trPr>
          <w:jc w:val="center"/>
        </w:trPr>
        <w:tc>
          <w:tcPr>
            <w:tcW w:w="607" w:type="dxa"/>
            <w:tcBorders>
              <w:bottom w:val="single" w:sz="4" w:space="0" w:color="auto"/>
            </w:tcBorders>
          </w:tcPr>
          <w:p w14:paraId="628F921D" w14:textId="41E13BA0" w:rsidR="00A8048B" w:rsidRPr="00157031" w:rsidRDefault="00683462" w:rsidP="009E2C45">
            <w:pPr>
              <w:rPr>
                <w:rFonts w:asciiTheme="minorHAnsi" w:hAnsiTheme="minorHAnsi" w:cs="Arial"/>
                <w:sz w:val="22"/>
                <w:szCs w:val="22"/>
              </w:rPr>
            </w:pPr>
            <w:r>
              <w:rPr>
                <w:rFonts w:asciiTheme="minorHAnsi" w:hAnsiTheme="minorHAnsi" w:cs="Arial"/>
                <w:sz w:val="22"/>
                <w:szCs w:val="22"/>
              </w:rPr>
              <w:lastRenderedPageBreak/>
              <w:t>4</w:t>
            </w:r>
          </w:p>
        </w:tc>
        <w:tc>
          <w:tcPr>
            <w:tcW w:w="9360" w:type="dxa"/>
            <w:gridSpan w:val="3"/>
            <w:tcBorders>
              <w:bottom w:val="single" w:sz="4" w:space="0" w:color="auto"/>
            </w:tcBorders>
          </w:tcPr>
          <w:p w14:paraId="7A0A8CB7" w14:textId="77777777" w:rsidR="00683462" w:rsidRDefault="00683462" w:rsidP="00683462">
            <w:pPr>
              <w:jc w:val="both"/>
              <w:rPr>
                <w:rFonts w:asciiTheme="minorHAnsi" w:hAnsiTheme="minorHAnsi" w:cs="Arial"/>
                <w:b/>
                <w:bCs/>
                <w:sz w:val="22"/>
                <w:szCs w:val="22"/>
              </w:rPr>
            </w:pPr>
            <w:r w:rsidRPr="00683462">
              <w:rPr>
                <w:rFonts w:asciiTheme="minorHAnsi" w:hAnsiTheme="minorHAnsi" w:cs="Arial"/>
                <w:b/>
                <w:bCs/>
                <w:sz w:val="22"/>
                <w:szCs w:val="22"/>
              </w:rPr>
              <w:t xml:space="preserve">Project efficiency and effectiveness are enhanced through effective implementation follow-up. </w:t>
            </w:r>
          </w:p>
          <w:p w14:paraId="0987C7A2" w14:textId="77777777" w:rsidR="00683462" w:rsidRPr="00B76C78" w:rsidRDefault="00683462" w:rsidP="00683462">
            <w:pPr>
              <w:jc w:val="both"/>
              <w:rPr>
                <w:rFonts w:asciiTheme="minorHAnsi" w:hAnsiTheme="minorHAnsi" w:cs="Arial"/>
                <w:b/>
                <w:bCs/>
                <w:sz w:val="10"/>
                <w:szCs w:val="10"/>
              </w:rPr>
            </w:pPr>
          </w:p>
          <w:p w14:paraId="33FD3B3F" w14:textId="39023512" w:rsidR="00683462" w:rsidRDefault="00683462" w:rsidP="00683462">
            <w:pPr>
              <w:jc w:val="both"/>
              <w:rPr>
                <w:rFonts w:asciiTheme="minorHAnsi" w:hAnsiTheme="minorHAnsi" w:cs="Arial"/>
                <w:sz w:val="22"/>
                <w:szCs w:val="22"/>
              </w:rPr>
            </w:pPr>
            <w:r w:rsidRPr="00683462">
              <w:rPr>
                <w:rFonts w:asciiTheme="minorHAnsi" w:hAnsiTheme="minorHAnsi" w:cs="Arial"/>
                <w:sz w:val="22"/>
                <w:szCs w:val="22"/>
              </w:rPr>
              <w:t xml:space="preserve">Provides timely implementation follow-up, including monitoring UNICEF inputs, local conditions and resources, flow of supply and non-supply assistance, and project status to build on project efficiency and effectiveness. </w:t>
            </w:r>
          </w:p>
          <w:p w14:paraId="24BACC3F" w14:textId="77777777" w:rsidR="00683462" w:rsidRPr="00B76C78" w:rsidRDefault="00683462" w:rsidP="00683462">
            <w:pPr>
              <w:jc w:val="both"/>
              <w:rPr>
                <w:rFonts w:asciiTheme="minorHAnsi" w:hAnsiTheme="minorHAnsi" w:cs="Arial"/>
                <w:b/>
                <w:bCs/>
                <w:sz w:val="4"/>
                <w:szCs w:val="4"/>
              </w:rPr>
            </w:pPr>
          </w:p>
          <w:p w14:paraId="269CD647" w14:textId="77777777" w:rsidR="00A8048B" w:rsidRDefault="00683462" w:rsidP="00683462">
            <w:pPr>
              <w:jc w:val="both"/>
              <w:rPr>
                <w:rFonts w:asciiTheme="minorHAnsi" w:hAnsiTheme="minorHAnsi" w:cs="Arial"/>
                <w:sz w:val="22"/>
                <w:szCs w:val="22"/>
              </w:rPr>
            </w:pPr>
            <w:r w:rsidRPr="00683462">
              <w:rPr>
                <w:rFonts w:asciiTheme="minorHAnsi" w:hAnsiTheme="minorHAnsi" w:cs="Arial"/>
                <w:sz w:val="22"/>
                <w:szCs w:val="22"/>
              </w:rPr>
              <w:t>Assists in identification and selection of Health &amp; Nutrition supplies and equipment. Follows up on delivery of cash assistance and liquidation of advances and proper planning, delivery and use of supply component of the project. Ensures that activities are in accordance with plans of action. Records information on utilization of resources and distribution of supplies.</w:t>
            </w:r>
          </w:p>
          <w:p w14:paraId="38E54464" w14:textId="29A12889" w:rsidR="00B76C78" w:rsidRPr="00B76C78" w:rsidRDefault="00B76C78" w:rsidP="00683462">
            <w:pPr>
              <w:jc w:val="both"/>
              <w:rPr>
                <w:rFonts w:asciiTheme="minorHAnsi" w:hAnsiTheme="minorHAnsi" w:cs="Arial"/>
                <w:sz w:val="14"/>
                <w:szCs w:val="14"/>
              </w:rPr>
            </w:pPr>
          </w:p>
        </w:tc>
      </w:tr>
      <w:tr w:rsidR="00A84D4E" w:rsidRPr="009A22FF" w14:paraId="4FFF3D8E" w14:textId="77777777" w:rsidTr="005379F0">
        <w:trPr>
          <w:jc w:val="center"/>
        </w:trPr>
        <w:tc>
          <w:tcPr>
            <w:tcW w:w="607" w:type="dxa"/>
            <w:tcBorders>
              <w:bottom w:val="single" w:sz="4" w:space="0" w:color="auto"/>
            </w:tcBorders>
          </w:tcPr>
          <w:p w14:paraId="4272168D" w14:textId="4F0A1E0E" w:rsidR="00A84D4E" w:rsidRPr="00157031" w:rsidRDefault="00683462" w:rsidP="009E2C45">
            <w:pPr>
              <w:rPr>
                <w:rFonts w:asciiTheme="minorHAnsi" w:hAnsiTheme="minorHAnsi" w:cs="Arial"/>
                <w:sz w:val="22"/>
                <w:szCs w:val="22"/>
              </w:rPr>
            </w:pPr>
            <w:r>
              <w:rPr>
                <w:rFonts w:asciiTheme="minorHAnsi" w:hAnsiTheme="minorHAnsi" w:cs="Arial"/>
                <w:sz w:val="22"/>
                <w:szCs w:val="22"/>
              </w:rPr>
              <w:t>5</w:t>
            </w:r>
          </w:p>
        </w:tc>
        <w:tc>
          <w:tcPr>
            <w:tcW w:w="9360" w:type="dxa"/>
            <w:gridSpan w:val="3"/>
            <w:tcBorders>
              <w:bottom w:val="single" w:sz="4" w:space="0" w:color="auto"/>
            </w:tcBorders>
          </w:tcPr>
          <w:p w14:paraId="20E6F693" w14:textId="3424C4AA" w:rsidR="00683462" w:rsidRDefault="00683462" w:rsidP="00683462">
            <w:pPr>
              <w:jc w:val="both"/>
              <w:rPr>
                <w:rFonts w:asciiTheme="minorHAnsi" w:hAnsiTheme="minorHAnsi"/>
                <w:b/>
                <w:bCs/>
                <w:sz w:val="22"/>
                <w:szCs w:val="22"/>
              </w:rPr>
            </w:pPr>
            <w:r w:rsidRPr="00683462">
              <w:rPr>
                <w:rFonts w:asciiTheme="minorHAnsi" w:hAnsiTheme="minorHAnsi"/>
                <w:b/>
                <w:bCs/>
                <w:sz w:val="22"/>
                <w:szCs w:val="22"/>
              </w:rPr>
              <w:t>Project implementation progress is monitored for adjustment and improvement of program delivery and sustainability. Gender sex aggregated data and inputs provided relevant to the Health &amp; Nutrition programme.</w:t>
            </w:r>
          </w:p>
          <w:p w14:paraId="01998A39" w14:textId="77777777" w:rsidR="00683462" w:rsidRPr="00B76C78" w:rsidRDefault="00683462" w:rsidP="00683462">
            <w:pPr>
              <w:jc w:val="both"/>
              <w:rPr>
                <w:rFonts w:asciiTheme="minorHAnsi" w:hAnsiTheme="minorHAnsi"/>
                <w:b/>
                <w:bCs/>
                <w:sz w:val="8"/>
                <w:szCs w:val="8"/>
              </w:rPr>
            </w:pPr>
          </w:p>
          <w:p w14:paraId="40391AD2" w14:textId="259D54F7"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Participates in the field visits to UNICEF project sites for monitoring project activities and local conditions and follows up with local government counterparts and other partners on project implementation. </w:t>
            </w:r>
          </w:p>
          <w:p w14:paraId="076ACE2B" w14:textId="77777777" w:rsidR="00683462" w:rsidRPr="00B76C78" w:rsidRDefault="00683462" w:rsidP="00683462">
            <w:pPr>
              <w:jc w:val="both"/>
              <w:rPr>
                <w:rFonts w:asciiTheme="minorHAnsi" w:hAnsiTheme="minorHAnsi"/>
                <w:sz w:val="6"/>
                <w:szCs w:val="6"/>
              </w:rPr>
            </w:pPr>
          </w:p>
          <w:p w14:paraId="3C5449D6" w14:textId="77777777"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Assists in identifying necessary action for programme adjustments, acceleration, improvement and sustainability. Assists government counterparts and other partners in the planning and management of Health and Nutrition Programme.  </w:t>
            </w:r>
          </w:p>
          <w:p w14:paraId="329CEA7E" w14:textId="77777777" w:rsidR="00683462" w:rsidRPr="00B76C78" w:rsidRDefault="00683462" w:rsidP="00683462">
            <w:pPr>
              <w:jc w:val="both"/>
              <w:rPr>
                <w:rFonts w:asciiTheme="minorHAnsi" w:hAnsiTheme="minorHAnsi"/>
                <w:sz w:val="8"/>
                <w:szCs w:val="8"/>
              </w:rPr>
            </w:pPr>
          </w:p>
          <w:p w14:paraId="6048486F" w14:textId="77777777" w:rsidR="00A84D4E" w:rsidRDefault="00683462" w:rsidP="00683462">
            <w:pPr>
              <w:jc w:val="both"/>
              <w:rPr>
                <w:rFonts w:asciiTheme="minorHAnsi" w:hAnsiTheme="minorHAnsi"/>
                <w:sz w:val="22"/>
                <w:szCs w:val="22"/>
              </w:rPr>
            </w:pPr>
            <w:r w:rsidRPr="00683462">
              <w:rPr>
                <w:rFonts w:asciiTheme="minorHAnsi" w:hAnsiTheme="minorHAnsi"/>
                <w:sz w:val="22"/>
                <w:szCs w:val="22"/>
              </w:rPr>
              <w:t>Reports to supervisor and/or Head of Office the outcome of programme</w:t>
            </w:r>
            <w:r>
              <w:rPr>
                <w:rFonts w:asciiTheme="minorHAnsi" w:hAnsiTheme="minorHAnsi"/>
                <w:sz w:val="22"/>
                <w:szCs w:val="22"/>
              </w:rPr>
              <w:t xml:space="preserve"> </w:t>
            </w:r>
            <w:r w:rsidRPr="00683462">
              <w:rPr>
                <w:rFonts w:asciiTheme="minorHAnsi" w:hAnsiTheme="minorHAnsi"/>
                <w:sz w:val="22"/>
                <w:szCs w:val="22"/>
              </w:rPr>
              <w:t>monitoring and review meetings with Government counterparts and all other relevant partners. Drafts changes in programme work plans as required.</w:t>
            </w:r>
          </w:p>
          <w:p w14:paraId="2DD7EF2C" w14:textId="58C6DE3A" w:rsidR="00421415" w:rsidRDefault="00421415" w:rsidP="00683462">
            <w:pPr>
              <w:jc w:val="both"/>
              <w:rPr>
                <w:rFonts w:asciiTheme="minorHAnsi" w:hAnsiTheme="minorHAnsi"/>
                <w:sz w:val="22"/>
                <w:szCs w:val="22"/>
              </w:rPr>
            </w:pPr>
          </w:p>
        </w:tc>
      </w:tr>
      <w:tr w:rsidR="00A84D4E" w:rsidRPr="009A22FF" w14:paraId="31ED080E" w14:textId="77777777" w:rsidTr="005379F0">
        <w:trPr>
          <w:jc w:val="center"/>
        </w:trPr>
        <w:tc>
          <w:tcPr>
            <w:tcW w:w="607" w:type="dxa"/>
            <w:tcBorders>
              <w:bottom w:val="single" w:sz="4" w:space="0" w:color="auto"/>
            </w:tcBorders>
          </w:tcPr>
          <w:p w14:paraId="0DE950DF" w14:textId="522FDFBE" w:rsidR="00A84D4E" w:rsidRPr="00157031" w:rsidRDefault="00683462" w:rsidP="009E2C45">
            <w:pPr>
              <w:rPr>
                <w:rFonts w:asciiTheme="minorHAnsi" w:hAnsiTheme="minorHAnsi" w:cs="Arial"/>
                <w:sz w:val="22"/>
                <w:szCs w:val="22"/>
              </w:rPr>
            </w:pPr>
            <w:r>
              <w:rPr>
                <w:rFonts w:asciiTheme="minorHAnsi" w:hAnsiTheme="minorHAnsi" w:cs="Arial"/>
                <w:sz w:val="22"/>
                <w:szCs w:val="22"/>
              </w:rPr>
              <w:t>6</w:t>
            </w:r>
          </w:p>
        </w:tc>
        <w:tc>
          <w:tcPr>
            <w:tcW w:w="9360" w:type="dxa"/>
            <w:gridSpan w:val="3"/>
            <w:tcBorders>
              <w:bottom w:val="single" w:sz="4" w:space="0" w:color="auto"/>
            </w:tcBorders>
          </w:tcPr>
          <w:p w14:paraId="2257F717" w14:textId="63EFAEA7" w:rsidR="00683462" w:rsidRDefault="00683462" w:rsidP="00683462">
            <w:pPr>
              <w:jc w:val="both"/>
              <w:rPr>
                <w:rFonts w:asciiTheme="minorHAnsi" w:hAnsiTheme="minorHAnsi"/>
                <w:b/>
                <w:bCs/>
                <w:sz w:val="22"/>
                <w:szCs w:val="22"/>
              </w:rPr>
            </w:pPr>
            <w:r w:rsidRPr="00683462">
              <w:rPr>
                <w:rFonts w:asciiTheme="minorHAnsi" w:hAnsiTheme="minorHAnsi"/>
                <w:b/>
                <w:bCs/>
                <w:sz w:val="22"/>
                <w:szCs w:val="22"/>
              </w:rPr>
              <w:t>Transparency is ensured for supply and non-supply assistance and disbursement of programme funds for Health &amp; Nutrition.</w:t>
            </w:r>
          </w:p>
          <w:p w14:paraId="7D0C2A23" w14:textId="77777777" w:rsidR="00683462" w:rsidRPr="00421415" w:rsidRDefault="00683462" w:rsidP="00683462">
            <w:pPr>
              <w:jc w:val="both"/>
              <w:rPr>
                <w:rFonts w:asciiTheme="minorHAnsi" w:hAnsiTheme="minorHAnsi"/>
                <w:b/>
                <w:bCs/>
                <w:sz w:val="6"/>
                <w:szCs w:val="6"/>
              </w:rPr>
            </w:pPr>
          </w:p>
          <w:p w14:paraId="75118368" w14:textId="77777777"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Coordinating with Operations and Supply staff on supply and non-supply assistance activities, ensures UNICEF and Government partner and all implementing partners accountability. </w:t>
            </w:r>
          </w:p>
          <w:p w14:paraId="45E7CB5D" w14:textId="77777777" w:rsidR="00683462" w:rsidRPr="00421415" w:rsidRDefault="00683462" w:rsidP="00683462">
            <w:pPr>
              <w:jc w:val="both"/>
              <w:rPr>
                <w:rFonts w:asciiTheme="minorHAnsi" w:hAnsiTheme="minorHAnsi"/>
                <w:sz w:val="8"/>
                <w:szCs w:val="8"/>
              </w:rPr>
            </w:pPr>
          </w:p>
          <w:p w14:paraId="07D3DA7D" w14:textId="77777777" w:rsidR="00A84D4E" w:rsidRDefault="00683462" w:rsidP="00683462">
            <w:pPr>
              <w:jc w:val="both"/>
              <w:rPr>
                <w:rFonts w:asciiTheme="minorHAnsi" w:hAnsiTheme="minorHAnsi"/>
                <w:sz w:val="22"/>
                <w:szCs w:val="22"/>
              </w:rPr>
            </w:pPr>
            <w:r w:rsidRPr="00683462">
              <w:rPr>
                <w:rFonts w:asciiTheme="minorHAnsi" w:hAnsiTheme="minorHAnsi"/>
                <w:sz w:val="22"/>
                <w:szCs w:val="22"/>
              </w:rPr>
              <w:t>Liaises with local authorities to ensure timely submission of financial requests and reports. Monitors disbursements of funds, ensuring those activities are within established plans of action and programme budget allotments; and to orientate and train Government and UNICEF implementing partners in UNICEF supply and non-supply policies and procedures. Drafts financial status reports for management as required.</w:t>
            </w:r>
          </w:p>
          <w:p w14:paraId="4AD03E26" w14:textId="3C752560" w:rsidR="005379F0" w:rsidRPr="00157031" w:rsidRDefault="005379F0" w:rsidP="00683462">
            <w:pPr>
              <w:jc w:val="both"/>
              <w:rPr>
                <w:rFonts w:asciiTheme="minorHAnsi" w:hAnsiTheme="minorHAnsi"/>
                <w:sz w:val="22"/>
                <w:szCs w:val="22"/>
              </w:rPr>
            </w:pPr>
          </w:p>
        </w:tc>
      </w:tr>
      <w:tr w:rsidR="009A22FF" w:rsidRPr="009A22FF" w14:paraId="266E61F2" w14:textId="77777777" w:rsidTr="005379F0">
        <w:trPr>
          <w:jc w:val="center"/>
        </w:trPr>
        <w:tc>
          <w:tcPr>
            <w:tcW w:w="607" w:type="dxa"/>
            <w:tcBorders>
              <w:bottom w:val="single" w:sz="4" w:space="0" w:color="auto"/>
            </w:tcBorders>
          </w:tcPr>
          <w:p w14:paraId="6D5AC92A" w14:textId="11A76201" w:rsidR="009A22FF" w:rsidRPr="00157031" w:rsidRDefault="00683462" w:rsidP="009E2C45">
            <w:pPr>
              <w:rPr>
                <w:rFonts w:asciiTheme="minorHAnsi" w:hAnsiTheme="minorHAnsi" w:cs="Arial"/>
                <w:sz w:val="22"/>
                <w:szCs w:val="22"/>
              </w:rPr>
            </w:pPr>
            <w:r>
              <w:rPr>
                <w:rFonts w:asciiTheme="minorHAnsi" w:hAnsiTheme="minorHAnsi" w:cs="Arial"/>
                <w:sz w:val="22"/>
                <w:szCs w:val="22"/>
              </w:rPr>
              <w:t>7</w:t>
            </w:r>
          </w:p>
        </w:tc>
        <w:tc>
          <w:tcPr>
            <w:tcW w:w="9360" w:type="dxa"/>
            <w:gridSpan w:val="3"/>
            <w:tcBorders>
              <w:bottom w:val="single" w:sz="4" w:space="0" w:color="auto"/>
            </w:tcBorders>
          </w:tcPr>
          <w:p w14:paraId="6CB1B372" w14:textId="77777777" w:rsidR="00683462" w:rsidRDefault="00683462" w:rsidP="00683462">
            <w:pPr>
              <w:jc w:val="both"/>
              <w:rPr>
                <w:rFonts w:asciiTheme="minorHAnsi" w:hAnsiTheme="minorHAnsi"/>
                <w:b/>
                <w:bCs/>
                <w:sz w:val="22"/>
                <w:szCs w:val="22"/>
              </w:rPr>
            </w:pPr>
            <w:r w:rsidRPr="00683462">
              <w:rPr>
                <w:rFonts w:asciiTheme="minorHAnsi" w:hAnsiTheme="minorHAnsi"/>
                <w:b/>
                <w:bCs/>
                <w:sz w:val="22"/>
                <w:szCs w:val="22"/>
              </w:rPr>
              <w:t>Effective partnership and working relationships are maintained for advocacy, technical coordination, information sharing and knowledge networking.</w:t>
            </w:r>
          </w:p>
          <w:p w14:paraId="7FDA2237" w14:textId="77777777" w:rsidR="00683462" w:rsidRPr="00421415" w:rsidRDefault="00683462" w:rsidP="00683462">
            <w:pPr>
              <w:jc w:val="both"/>
              <w:rPr>
                <w:rFonts w:asciiTheme="minorHAnsi" w:hAnsiTheme="minorHAnsi"/>
                <w:b/>
                <w:bCs/>
                <w:sz w:val="6"/>
                <w:szCs w:val="6"/>
              </w:rPr>
            </w:pPr>
          </w:p>
          <w:p w14:paraId="65A00656" w14:textId="69D538B5"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Exchanges information and knowledge with other programmes to contribute to achievement of overall country programme objectives. </w:t>
            </w:r>
          </w:p>
          <w:p w14:paraId="33ED6C91" w14:textId="77777777" w:rsidR="00B76C78" w:rsidRPr="00B76C78" w:rsidRDefault="00B76C78" w:rsidP="00683462">
            <w:pPr>
              <w:jc w:val="both"/>
              <w:rPr>
                <w:rFonts w:asciiTheme="minorHAnsi" w:hAnsiTheme="minorHAnsi"/>
                <w:sz w:val="10"/>
                <w:szCs w:val="10"/>
              </w:rPr>
            </w:pPr>
          </w:p>
          <w:p w14:paraId="14F15602" w14:textId="471FF07A"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Assists in establishing effective monitoring, knowledge database/network and reporting systems to ensure the availability of current and accurate programme information/data, and contributes to the development of communication materials and strategies to support advocacy and community participation for Health &amp; Nutrition; and to widen partnership with all stakeholder at national, regional, </w:t>
            </w:r>
            <w:r w:rsidRPr="00683462">
              <w:rPr>
                <w:rFonts w:asciiTheme="minorHAnsi" w:hAnsiTheme="minorHAnsi"/>
                <w:sz w:val="22"/>
                <w:szCs w:val="22"/>
              </w:rPr>
              <w:lastRenderedPageBreak/>
              <w:t xml:space="preserve">district, community and household levels as well as with funding partners including the private sector in order to accelerate achievement of Health and Nutrition related MDGs goals. </w:t>
            </w:r>
          </w:p>
          <w:p w14:paraId="2F594CFE" w14:textId="77777777" w:rsidR="00683462" w:rsidRPr="00421415" w:rsidRDefault="00683462" w:rsidP="00683462">
            <w:pPr>
              <w:jc w:val="both"/>
              <w:rPr>
                <w:rFonts w:asciiTheme="minorHAnsi" w:hAnsiTheme="minorHAnsi"/>
                <w:b/>
                <w:bCs/>
                <w:sz w:val="8"/>
                <w:szCs w:val="8"/>
              </w:rPr>
            </w:pPr>
          </w:p>
          <w:p w14:paraId="51DA25C9" w14:textId="77777777" w:rsidR="009A22FF" w:rsidRDefault="00683462" w:rsidP="00683462">
            <w:pPr>
              <w:jc w:val="both"/>
              <w:rPr>
                <w:rFonts w:asciiTheme="minorHAnsi" w:hAnsiTheme="minorHAnsi"/>
                <w:sz w:val="22"/>
                <w:szCs w:val="22"/>
              </w:rPr>
            </w:pPr>
            <w:r w:rsidRPr="00683462">
              <w:rPr>
                <w:rFonts w:asciiTheme="minorHAnsi" w:hAnsiTheme="minorHAnsi"/>
                <w:sz w:val="22"/>
                <w:szCs w:val="22"/>
              </w:rPr>
              <w:t>Keeps close contacts with external counterparts, including those of the UN and national partners, in order to improve the ability to collect and disseminate relevant data, exchange information on programme/project development and implementation. Shares knowledge, information, experience and lessons learned.</w:t>
            </w:r>
          </w:p>
          <w:p w14:paraId="4EE4466B" w14:textId="657197D1" w:rsidR="00421415" w:rsidRPr="00157031" w:rsidRDefault="00421415" w:rsidP="00683462">
            <w:pPr>
              <w:jc w:val="both"/>
              <w:rPr>
                <w:rFonts w:asciiTheme="minorHAnsi" w:hAnsiTheme="minorHAnsi"/>
                <w:sz w:val="22"/>
                <w:szCs w:val="22"/>
              </w:rPr>
            </w:pPr>
          </w:p>
        </w:tc>
      </w:tr>
      <w:tr w:rsidR="00683462" w:rsidRPr="009A22FF" w14:paraId="2760FE57" w14:textId="77777777" w:rsidTr="005379F0">
        <w:trPr>
          <w:jc w:val="center"/>
        </w:trPr>
        <w:tc>
          <w:tcPr>
            <w:tcW w:w="607" w:type="dxa"/>
            <w:tcBorders>
              <w:bottom w:val="single" w:sz="4" w:space="0" w:color="auto"/>
            </w:tcBorders>
          </w:tcPr>
          <w:p w14:paraId="543BFDA1" w14:textId="5D677C01" w:rsidR="00683462" w:rsidRPr="00157031" w:rsidRDefault="00683462" w:rsidP="009E2C45">
            <w:pPr>
              <w:rPr>
                <w:rFonts w:asciiTheme="minorHAnsi" w:hAnsiTheme="minorHAnsi" w:cs="Arial"/>
                <w:sz w:val="22"/>
                <w:szCs w:val="22"/>
              </w:rPr>
            </w:pPr>
            <w:r>
              <w:rPr>
                <w:rFonts w:asciiTheme="minorHAnsi" w:hAnsiTheme="minorHAnsi" w:cs="Arial"/>
                <w:sz w:val="22"/>
                <w:szCs w:val="22"/>
              </w:rPr>
              <w:lastRenderedPageBreak/>
              <w:t>8</w:t>
            </w:r>
          </w:p>
        </w:tc>
        <w:tc>
          <w:tcPr>
            <w:tcW w:w="9360" w:type="dxa"/>
            <w:gridSpan w:val="3"/>
            <w:tcBorders>
              <w:bottom w:val="single" w:sz="4" w:space="0" w:color="auto"/>
            </w:tcBorders>
          </w:tcPr>
          <w:p w14:paraId="4E794C93" w14:textId="291ED22C" w:rsidR="00683462" w:rsidRDefault="00683462" w:rsidP="00683462">
            <w:pPr>
              <w:jc w:val="both"/>
              <w:rPr>
                <w:rFonts w:asciiTheme="minorHAnsi" w:hAnsiTheme="minorHAnsi"/>
                <w:b/>
                <w:bCs/>
                <w:sz w:val="22"/>
                <w:szCs w:val="22"/>
              </w:rPr>
            </w:pPr>
            <w:r w:rsidRPr="00683462">
              <w:rPr>
                <w:rFonts w:asciiTheme="minorHAnsi" w:hAnsiTheme="minorHAnsi"/>
                <w:b/>
                <w:bCs/>
                <w:sz w:val="22"/>
                <w:szCs w:val="22"/>
              </w:rPr>
              <w:t xml:space="preserve">Up to date programme information is kept available and reports prepared to support the Health &amp; Nutrition programme by the effective implementation of integrated monitoring system. </w:t>
            </w:r>
          </w:p>
          <w:p w14:paraId="1E71B130" w14:textId="77777777" w:rsidR="00683462" w:rsidRPr="00421415" w:rsidRDefault="00683462" w:rsidP="00683462">
            <w:pPr>
              <w:jc w:val="both"/>
              <w:rPr>
                <w:rFonts w:asciiTheme="minorHAnsi" w:hAnsiTheme="minorHAnsi"/>
                <w:b/>
                <w:bCs/>
                <w:sz w:val="12"/>
                <w:szCs w:val="12"/>
              </w:rPr>
            </w:pPr>
          </w:p>
          <w:p w14:paraId="1E7B7DC5" w14:textId="466D1190"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In consultation with monitoring and evaluation colleagues, conducts accurate and timely monitoring and data collection, and supports an integrated monitoring system, in consultation with all relevant stakeholders.  </w:t>
            </w:r>
          </w:p>
          <w:p w14:paraId="614796BB" w14:textId="77777777" w:rsidR="003B3AAD" w:rsidRPr="00B76C78" w:rsidRDefault="003B3AAD" w:rsidP="00683462">
            <w:pPr>
              <w:jc w:val="both"/>
              <w:rPr>
                <w:rFonts w:asciiTheme="minorHAnsi" w:hAnsiTheme="minorHAnsi"/>
                <w:sz w:val="6"/>
                <w:szCs w:val="6"/>
              </w:rPr>
            </w:pPr>
          </w:p>
          <w:p w14:paraId="0294A44B" w14:textId="40376D7C"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Assists with partners to ensure that monitoring systems are properly designed, and that data collection and analysis from field visits are coordinated and </w:t>
            </w:r>
            <w:r w:rsidR="005379F0" w:rsidRPr="00683462">
              <w:rPr>
                <w:rFonts w:asciiTheme="minorHAnsi" w:hAnsiTheme="minorHAnsi"/>
                <w:sz w:val="22"/>
                <w:szCs w:val="22"/>
              </w:rPr>
              <w:t>standardized</w:t>
            </w:r>
            <w:r w:rsidRPr="00683462">
              <w:rPr>
                <w:rFonts w:asciiTheme="minorHAnsi" w:hAnsiTheme="minorHAnsi"/>
                <w:sz w:val="22"/>
                <w:szCs w:val="22"/>
              </w:rPr>
              <w:t xml:space="preserve"> across programmes to feed into to programme performance monitoring. </w:t>
            </w:r>
          </w:p>
          <w:p w14:paraId="28AB6541" w14:textId="77777777" w:rsidR="003B3AAD" w:rsidRPr="005379F0" w:rsidRDefault="003B3AAD" w:rsidP="00683462">
            <w:pPr>
              <w:jc w:val="both"/>
              <w:rPr>
                <w:rFonts w:asciiTheme="minorHAnsi" w:hAnsiTheme="minorHAnsi"/>
                <w:sz w:val="10"/>
                <w:szCs w:val="10"/>
              </w:rPr>
            </w:pPr>
          </w:p>
          <w:p w14:paraId="1B6F8DCA" w14:textId="525836FE" w:rsidR="00683462" w:rsidRDefault="00683462" w:rsidP="00683462">
            <w:pPr>
              <w:jc w:val="both"/>
              <w:rPr>
                <w:rFonts w:asciiTheme="minorHAnsi" w:hAnsiTheme="minorHAnsi"/>
                <w:sz w:val="22"/>
                <w:szCs w:val="22"/>
              </w:rPr>
            </w:pPr>
            <w:r w:rsidRPr="00683462">
              <w:rPr>
                <w:rFonts w:asciiTheme="minorHAnsi" w:hAnsiTheme="minorHAnsi"/>
                <w:sz w:val="22"/>
                <w:szCs w:val="22"/>
              </w:rPr>
              <w:t xml:space="preserve">Analyses monitoring </w:t>
            </w:r>
            <w:r w:rsidR="003B3AAD" w:rsidRPr="00683462">
              <w:rPr>
                <w:rFonts w:asciiTheme="minorHAnsi" w:hAnsiTheme="minorHAnsi"/>
                <w:sz w:val="22"/>
                <w:szCs w:val="22"/>
              </w:rPr>
              <w:t>data and</w:t>
            </w:r>
            <w:r w:rsidRPr="00683462">
              <w:rPr>
                <w:rFonts w:asciiTheme="minorHAnsi" w:hAnsiTheme="minorHAnsi"/>
                <w:sz w:val="22"/>
                <w:szCs w:val="22"/>
              </w:rPr>
              <w:t xml:space="preserve"> provides feed-forward or recommends adjustment as appropriate to ensure achievement of programme objectives.</w:t>
            </w:r>
          </w:p>
          <w:p w14:paraId="1D4299F3" w14:textId="77777777" w:rsidR="003B3AAD" w:rsidRPr="00421415" w:rsidRDefault="003B3AAD" w:rsidP="00683462">
            <w:pPr>
              <w:jc w:val="both"/>
              <w:rPr>
                <w:rFonts w:asciiTheme="minorHAnsi" w:hAnsiTheme="minorHAnsi"/>
                <w:sz w:val="8"/>
                <w:szCs w:val="8"/>
              </w:rPr>
            </w:pPr>
          </w:p>
          <w:p w14:paraId="471DCF80" w14:textId="77777777" w:rsidR="00683462" w:rsidRDefault="00683462" w:rsidP="00683462">
            <w:pPr>
              <w:jc w:val="both"/>
              <w:rPr>
                <w:rFonts w:asciiTheme="minorHAnsi" w:hAnsiTheme="minorHAnsi"/>
                <w:sz w:val="22"/>
                <w:szCs w:val="22"/>
              </w:rPr>
            </w:pPr>
            <w:r w:rsidRPr="00683462">
              <w:rPr>
                <w:rFonts w:asciiTheme="minorHAnsi" w:hAnsiTheme="minorHAnsi"/>
                <w:sz w:val="22"/>
                <w:szCs w:val="22"/>
              </w:rPr>
              <w:t>Assists in the timely preparation of annual sector status reports in compliance with the established guidelines and procedures. Assists in the drafting and preparation of programme reports for management, Board, donors, budget reviews, programme analysis, and annual reports, as required.</w:t>
            </w:r>
          </w:p>
          <w:p w14:paraId="1C7DF65D" w14:textId="38E86956" w:rsidR="00421415" w:rsidRPr="00157031" w:rsidRDefault="00421415" w:rsidP="00683462">
            <w:pPr>
              <w:jc w:val="both"/>
              <w:rPr>
                <w:rFonts w:asciiTheme="minorHAnsi" w:hAnsiTheme="minorHAnsi"/>
                <w:sz w:val="22"/>
                <w:szCs w:val="22"/>
              </w:rPr>
            </w:pPr>
          </w:p>
        </w:tc>
      </w:tr>
      <w:tr w:rsidR="00683462" w:rsidRPr="009A22FF" w14:paraId="734A827F" w14:textId="77777777" w:rsidTr="005379F0">
        <w:trPr>
          <w:jc w:val="center"/>
        </w:trPr>
        <w:tc>
          <w:tcPr>
            <w:tcW w:w="607" w:type="dxa"/>
            <w:tcBorders>
              <w:bottom w:val="single" w:sz="4" w:space="0" w:color="auto"/>
            </w:tcBorders>
          </w:tcPr>
          <w:p w14:paraId="09E24768" w14:textId="660D22AE" w:rsidR="00683462" w:rsidRPr="00157031" w:rsidRDefault="00683462" w:rsidP="009E2C45">
            <w:pPr>
              <w:rPr>
                <w:rFonts w:asciiTheme="minorHAnsi" w:hAnsiTheme="minorHAnsi" w:cs="Arial"/>
                <w:sz w:val="22"/>
                <w:szCs w:val="22"/>
              </w:rPr>
            </w:pPr>
            <w:r>
              <w:rPr>
                <w:rFonts w:asciiTheme="minorHAnsi" w:hAnsiTheme="minorHAnsi" w:cs="Arial"/>
                <w:sz w:val="22"/>
                <w:szCs w:val="22"/>
              </w:rPr>
              <w:t>9</w:t>
            </w:r>
          </w:p>
        </w:tc>
        <w:tc>
          <w:tcPr>
            <w:tcW w:w="9360" w:type="dxa"/>
            <w:gridSpan w:val="3"/>
            <w:tcBorders>
              <w:bottom w:val="single" w:sz="4" w:space="0" w:color="auto"/>
            </w:tcBorders>
          </w:tcPr>
          <w:p w14:paraId="57CB3727" w14:textId="231EDB5E" w:rsidR="003B3AAD" w:rsidRPr="003B3AAD" w:rsidRDefault="003B3AAD" w:rsidP="003B3AAD">
            <w:pPr>
              <w:jc w:val="both"/>
              <w:rPr>
                <w:rFonts w:asciiTheme="minorHAnsi" w:hAnsiTheme="minorHAnsi"/>
                <w:b/>
                <w:bCs/>
                <w:sz w:val="22"/>
                <w:szCs w:val="22"/>
              </w:rPr>
            </w:pPr>
            <w:r w:rsidRPr="003B3AAD">
              <w:rPr>
                <w:rFonts w:asciiTheme="minorHAnsi" w:hAnsiTheme="minorHAnsi"/>
                <w:b/>
                <w:bCs/>
                <w:sz w:val="22"/>
                <w:szCs w:val="22"/>
              </w:rPr>
              <w:t xml:space="preserve">Emergency preparedness is maintained, and in emergencies, emergency responses are                       </w:t>
            </w:r>
          </w:p>
          <w:p w14:paraId="2A0FC523" w14:textId="4E103F2D" w:rsidR="003B3AAD" w:rsidRDefault="003B3AAD" w:rsidP="003B3AAD">
            <w:pPr>
              <w:jc w:val="both"/>
              <w:rPr>
                <w:rFonts w:asciiTheme="minorHAnsi" w:hAnsiTheme="minorHAnsi"/>
                <w:b/>
                <w:bCs/>
                <w:sz w:val="22"/>
                <w:szCs w:val="22"/>
              </w:rPr>
            </w:pPr>
            <w:r w:rsidRPr="003B3AAD">
              <w:rPr>
                <w:rFonts w:asciiTheme="minorHAnsi" w:hAnsiTheme="minorHAnsi"/>
                <w:b/>
                <w:bCs/>
                <w:sz w:val="22"/>
                <w:szCs w:val="22"/>
              </w:rPr>
              <w:t>effectively provided.</w:t>
            </w:r>
          </w:p>
          <w:p w14:paraId="4707F55D" w14:textId="77777777" w:rsidR="003B3AAD" w:rsidRPr="00421415" w:rsidRDefault="003B3AAD" w:rsidP="003B3AAD">
            <w:pPr>
              <w:jc w:val="both"/>
              <w:rPr>
                <w:rFonts w:asciiTheme="minorHAnsi" w:hAnsiTheme="minorHAnsi"/>
                <w:b/>
                <w:bCs/>
                <w:sz w:val="6"/>
                <w:szCs w:val="6"/>
              </w:rPr>
            </w:pPr>
          </w:p>
          <w:p w14:paraId="5F295E89" w14:textId="0242DDA7" w:rsidR="003B3AAD" w:rsidRDefault="003B3AAD" w:rsidP="003B3AAD">
            <w:pPr>
              <w:jc w:val="both"/>
              <w:rPr>
                <w:rFonts w:asciiTheme="minorHAnsi" w:hAnsiTheme="minorHAnsi"/>
                <w:sz w:val="22"/>
                <w:szCs w:val="22"/>
              </w:rPr>
            </w:pPr>
            <w:r w:rsidRPr="003B3AAD">
              <w:rPr>
                <w:rFonts w:asciiTheme="minorHAnsi" w:hAnsiTheme="minorHAnsi"/>
                <w:sz w:val="22"/>
                <w:szCs w:val="22"/>
              </w:rPr>
              <w:t xml:space="preserve">Assists in the implementation of emergency preparedness plan relating to Health &amp; Nutrition. In case of emergency, assists in monitoring and assessing the nature and extent of the emergency in the assigned area. </w:t>
            </w:r>
          </w:p>
          <w:p w14:paraId="5A3E05FD" w14:textId="77777777" w:rsidR="00421415" w:rsidRPr="00B76C78" w:rsidRDefault="00421415" w:rsidP="003B3AAD">
            <w:pPr>
              <w:jc w:val="both"/>
              <w:rPr>
                <w:rFonts w:asciiTheme="minorHAnsi" w:hAnsiTheme="minorHAnsi"/>
                <w:sz w:val="2"/>
                <w:szCs w:val="2"/>
              </w:rPr>
            </w:pPr>
          </w:p>
          <w:p w14:paraId="505728A7" w14:textId="77777777" w:rsidR="003B3AAD" w:rsidRPr="00421415" w:rsidRDefault="003B3AAD" w:rsidP="003B3AAD">
            <w:pPr>
              <w:jc w:val="both"/>
              <w:rPr>
                <w:rFonts w:asciiTheme="minorHAnsi" w:hAnsiTheme="minorHAnsi"/>
                <w:sz w:val="8"/>
                <w:szCs w:val="8"/>
              </w:rPr>
            </w:pPr>
          </w:p>
          <w:p w14:paraId="7EA8FB79" w14:textId="77777777" w:rsidR="00683462" w:rsidRDefault="003B3AAD" w:rsidP="003B3AAD">
            <w:pPr>
              <w:jc w:val="both"/>
              <w:rPr>
                <w:rFonts w:asciiTheme="minorHAnsi" w:hAnsiTheme="minorHAnsi"/>
                <w:sz w:val="22"/>
                <w:szCs w:val="22"/>
              </w:rPr>
            </w:pPr>
            <w:r w:rsidRPr="003B3AAD">
              <w:rPr>
                <w:rFonts w:asciiTheme="minorHAnsi" w:hAnsiTheme="minorHAnsi"/>
                <w:sz w:val="22"/>
                <w:szCs w:val="22"/>
              </w:rPr>
              <w:t>Provides assistance to the Country Office as required. In line with the Core Commitments for Children (CCCs) in Humanitarian Action, strengthens partnerships with the Health and Nutrition humanitarian actors within the Inter-Agency Standing Committee (IASC).</w:t>
            </w:r>
          </w:p>
          <w:p w14:paraId="48DA21AB" w14:textId="5DAE315F" w:rsidR="00421415" w:rsidRPr="00157031" w:rsidRDefault="00421415" w:rsidP="003B3AAD">
            <w:pPr>
              <w:jc w:val="both"/>
              <w:rPr>
                <w:rFonts w:asciiTheme="minorHAnsi" w:hAnsiTheme="minorHAnsi"/>
                <w:sz w:val="22"/>
                <w:szCs w:val="22"/>
              </w:rPr>
            </w:pPr>
          </w:p>
        </w:tc>
      </w:tr>
      <w:tr w:rsidR="00683462" w:rsidRPr="009A22FF" w14:paraId="38718BBA" w14:textId="77777777" w:rsidTr="005379F0">
        <w:trPr>
          <w:jc w:val="center"/>
        </w:trPr>
        <w:tc>
          <w:tcPr>
            <w:tcW w:w="607" w:type="dxa"/>
            <w:tcBorders>
              <w:bottom w:val="single" w:sz="4" w:space="0" w:color="auto"/>
            </w:tcBorders>
          </w:tcPr>
          <w:p w14:paraId="4DE5D1E4" w14:textId="71659CE6" w:rsidR="00683462" w:rsidRPr="00157031" w:rsidRDefault="00683462" w:rsidP="009E2C45">
            <w:pPr>
              <w:rPr>
                <w:rFonts w:asciiTheme="minorHAnsi" w:hAnsiTheme="minorHAnsi" w:cs="Arial"/>
                <w:sz w:val="22"/>
                <w:szCs w:val="22"/>
              </w:rPr>
            </w:pPr>
            <w:r>
              <w:rPr>
                <w:rFonts w:asciiTheme="minorHAnsi" w:hAnsiTheme="minorHAnsi" w:cs="Arial"/>
                <w:sz w:val="22"/>
                <w:szCs w:val="22"/>
              </w:rPr>
              <w:t>10</w:t>
            </w:r>
          </w:p>
        </w:tc>
        <w:tc>
          <w:tcPr>
            <w:tcW w:w="9360" w:type="dxa"/>
            <w:gridSpan w:val="3"/>
            <w:tcBorders>
              <w:bottom w:val="single" w:sz="4" w:space="0" w:color="auto"/>
            </w:tcBorders>
          </w:tcPr>
          <w:p w14:paraId="4C1D27EC" w14:textId="77777777" w:rsidR="003B3AAD" w:rsidRPr="003B3AAD" w:rsidRDefault="003B3AAD" w:rsidP="003B3AAD">
            <w:pPr>
              <w:jc w:val="both"/>
              <w:rPr>
                <w:rFonts w:asciiTheme="minorHAnsi" w:hAnsiTheme="minorHAnsi"/>
                <w:b/>
                <w:bCs/>
                <w:sz w:val="22"/>
                <w:szCs w:val="22"/>
              </w:rPr>
            </w:pPr>
            <w:r w:rsidRPr="003B3AAD">
              <w:rPr>
                <w:rFonts w:asciiTheme="minorHAnsi" w:hAnsiTheme="minorHAnsi"/>
                <w:b/>
                <w:bCs/>
                <w:sz w:val="22"/>
                <w:szCs w:val="22"/>
              </w:rPr>
              <w:t>Other assigned duties and responsibilities are effectively accomplished.</w:t>
            </w:r>
          </w:p>
          <w:p w14:paraId="7A422168" w14:textId="77777777" w:rsidR="003B3AAD" w:rsidRPr="00421415" w:rsidRDefault="003B3AAD" w:rsidP="003B3AAD">
            <w:pPr>
              <w:jc w:val="both"/>
              <w:rPr>
                <w:rFonts w:asciiTheme="minorHAnsi" w:hAnsiTheme="minorHAnsi"/>
                <w:sz w:val="8"/>
                <w:szCs w:val="8"/>
              </w:rPr>
            </w:pPr>
          </w:p>
          <w:p w14:paraId="04B1EA2E" w14:textId="5FCA9850" w:rsidR="00683462" w:rsidRPr="00157031" w:rsidRDefault="003B3AAD" w:rsidP="003B3AAD">
            <w:pPr>
              <w:jc w:val="both"/>
              <w:rPr>
                <w:rFonts w:asciiTheme="minorHAnsi" w:hAnsiTheme="minorHAnsi"/>
                <w:sz w:val="22"/>
                <w:szCs w:val="22"/>
              </w:rPr>
            </w:pPr>
            <w:r w:rsidRPr="003B3AAD">
              <w:rPr>
                <w:rFonts w:asciiTheme="minorHAnsi" w:hAnsiTheme="minorHAnsi"/>
                <w:sz w:val="22"/>
                <w:szCs w:val="22"/>
              </w:rPr>
              <w:t>Performs any other duties and responsibilities assigned as appropriate to the purpose of this post, and delivers the results as required.</w:t>
            </w:r>
          </w:p>
        </w:tc>
      </w:tr>
      <w:tr w:rsidR="00074EE9" w:rsidRPr="009A22FF" w14:paraId="72A7DACA" w14:textId="77777777" w:rsidTr="005379F0">
        <w:trPr>
          <w:trHeight w:val="440"/>
          <w:jc w:val="center"/>
        </w:trPr>
        <w:tc>
          <w:tcPr>
            <w:tcW w:w="9967" w:type="dxa"/>
            <w:gridSpan w:val="4"/>
            <w:tcBorders>
              <w:top w:val="single" w:sz="4" w:space="0" w:color="auto"/>
              <w:left w:val="single" w:sz="4" w:space="0" w:color="auto"/>
              <w:bottom w:val="nil"/>
              <w:right w:val="single" w:sz="4" w:space="0" w:color="auto"/>
            </w:tcBorders>
          </w:tcPr>
          <w:p w14:paraId="73B04A0B" w14:textId="45275C91" w:rsidR="00FB6CC7" w:rsidRPr="00B76C78" w:rsidRDefault="00FB6CC7" w:rsidP="00B76C78">
            <w:pPr>
              <w:pStyle w:val="ListParagraph"/>
              <w:numPr>
                <w:ilvl w:val="0"/>
                <w:numId w:val="1"/>
              </w:numPr>
              <w:tabs>
                <w:tab w:val="left" w:pos="340"/>
              </w:tabs>
              <w:ind w:right="-360"/>
              <w:rPr>
                <w:rFonts w:asciiTheme="minorHAnsi" w:hAnsiTheme="minorHAnsi" w:cs="Arial"/>
                <w:b/>
                <w:bCs/>
                <w:sz w:val="22"/>
                <w:szCs w:val="22"/>
              </w:rPr>
            </w:pPr>
            <w:r w:rsidRPr="00B76C78">
              <w:rPr>
                <w:rFonts w:asciiTheme="minorHAnsi" w:hAnsiTheme="minorHAnsi" w:cs="Arial"/>
                <w:b/>
                <w:bCs/>
                <w:sz w:val="22"/>
                <w:szCs w:val="22"/>
              </w:rPr>
              <w:t>QUALIFICATION and COMPETENCIES (indicates the level of proficiency required for the job.)</w:t>
            </w:r>
          </w:p>
          <w:p w14:paraId="3BD3BDDB" w14:textId="77777777" w:rsidR="00B76C78" w:rsidRPr="00B76C78" w:rsidRDefault="00B76C78" w:rsidP="00B76C78">
            <w:pPr>
              <w:tabs>
                <w:tab w:val="left" w:pos="340"/>
              </w:tabs>
              <w:ind w:right="-360"/>
              <w:rPr>
                <w:rFonts w:asciiTheme="minorHAnsi" w:hAnsiTheme="minorHAnsi" w:cs="Arial"/>
                <w:b/>
                <w:bCs/>
                <w:sz w:val="6"/>
                <w:szCs w:val="6"/>
              </w:rPr>
            </w:pPr>
          </w:p>
          <w:p w14:paraId="4D156CA0" w14:textId="77777777" w:rsidR="0032563A" w:rsidRPr="005379F0" w:rsidRDefault="0032563A" w:rsidP="00FB6CC7">
            <w:pPr>
              <w:tabs>
                <w:tab w:val="left" w:pos="340"/>
              </w:tabs>
              <w:ind w:right="-360"/>
              <w:rPr>
                <w:rFonts w:asciiTheme="minorHAnsi" w:hAnsiTheme="minorHAnsi" w:cs="Arial"/>
                <w:b/>
                <w:bCs/>
                <w:sz w:val="4"/>
                <w:szCs w:val="4"/>
              </w:rPr>
            </w:pPr>
          </w:p>
          <w:p w14:paraId="5921CC06" w14:textId="229820D7" w:rsidR="00FB6CC7" w:rsidRPr="00157031" w:rsidRDefault="00B27DC4" w:rsidP="00FB6CC7">
            <w:pPr>
              <w:tabs>
                <w:tab w:val="left" w:pos="340"/>
              </w:tabs>
              <w:ind w:right="-360"/>
              <w:rPr>
                <w:rFonts w:asciiTheme="minorHAnsi" w:hAnsiTheme="minorHAnsi" w:cs="Arial"/>
                <w:sz w:val="22"/>
                <w:szCs w:val="22"/>
              </w:rPr>
            </w:pPr>
            <w:r w:rsidRPr="00157031">
              <w:rPr>
                <w:rFonts w:asciiTheme="minorHAnsi" w:hAnsiTheme="minorHAnsi" w:cs="Arial"/>
                <w:b/>
                <w:bCs/>
                <w:sz w:val="22"/>
                <w:szCs w:val="22"/>
              </w:rPr>
              <w:t xml:space="preserve">EDUCATION </w:t>
            </w:r>
            <w:r w:rsidR="003E3D30" w:rsidRPr="00157031">
              <w:rPr>
                <w:rFonts w:asciiTheme="minorHAnsi" w:hAnsiTheme="minorHAnsi" w:cs="Arial"/>
                <w:b/>
                <w:bCs/>
                <w:sz w:val="22"/>
                <w:szCs w:val="22"/>
              </w:rPr>
              <w:t>&amp; OTHER</w:t>
            </w:r>
            <w:r w:rsidRPr="00157031">
              <w:rPr>
                <w:rFonts w:asciiTheme="minorHAnsi" w:hAnsiTheme="minorHAnsi" w:cs="Arial"/>
                <w:b/>
                <w:bCs/>
                <w:sz w:val="22"/>
                <w:szCs w:val="22"/>
              </w:rPr>
              <w:t xml:space="preserve"> </w:t>
            </w:r>
            <w:r w:rsidR="00282292" w:rsidRPr="00157031">
              <w:rPr>
                <w:rFonts w:asciiTheme="minorHAnsi" w:hAnsiTheme="minorHAnsi" w:cs="Arial"/>
                <w:b/>
                <w:bCs/>
                <w:sz w:val="22"/>
                <w:szCs w:val="22"/>
              </w:rPr>
              <w:t>SKILL:</w:t>
            </w:r>
            <w:r w:rsidR="003B3AAD">
              <w:rPr>
                <w:rFonts w:asciiTheme="minorHAnsi" w:hAnsiTheme="minorHAnsi" w:cs="Arial"/>
                <w:b/>
                <w:bCs/>
                <w:sz w:val="22"/>
                <w:szCs w:val="22"/>
              </w:rPr>
              <w:t xml:space="preserve"> </w:t>
            </w:r>
            <w:r w:rsidR="000826E5" w:rsidRPr="000826E5">
              <w:rPr>
                <w:rFonts w:asciiTheme="minorHAnsi" w:hAnsiTheme="minorHAnsi" w:cs="Arial"/>
                <w:sz w:val="22"/>
                <w:szCs w:val="22"/>
              </w:rPr>
              <w:t>Medical Doctor/MBSS with knowledge of Public Health and Nutrition, Child Development, Water Sanitation, Public Administration, Social Policy, Social Development, Community Development, or other relevant disciplines.</w:t>
            </w:r>
            <w:r w:rsidR="00FB6CC7" w:rsidRPr="00157031">
              <w:rPr>
                <w:rFonts w:asciiTheme="minorHAnsi" w:hAnsiTheme="minorHAnsi" w:cs="Arial"/>
                <w:sz w:val="22"/>
                <w:szCs w:val="22"/>
              </w:rPr>
              <w:tab/>
            </w:r>
            <w:r w:rsidR="00FB6CC7" w:rsidRPr="00157031">
              <w:rPr>
                <w:rFonts w:asciiTheme="minorHAnsi" w:hAnsiTheme="minorHAnsi" w:cs="Arial"/>
                <w:sz w:val="22"/>
                <w:szCs w:val="22"/>
              </w:rPr>
              <w:tab/>
              <w:t xml:space="preserve">  </w:t>
            </w:r>
          </w:p>
          <w:p w14:paraId="43AD4502" w14:textId="77777777" w:rsidR="00421415" w:rsidRDefault="00B27DC4" w:rsidP="003B3AAD">
            <w:pPr>
              <w:spacing w:before="115"/>
              <w:rPr>
                <w:rFonts w:asciiTheme="minorHAnsi" w:hAnsiTheme="minorHAnsi" w:cs="Arial"/>
                <w:sz w:val="22"/>
                <w:szCs w:val="22"/>
              </w:rPr>
            </w:pPr>
            <w:r w:rsidRPr="00157031">
              <w:rPr>
                <w:rFonts w:asciiTheme="minorHAnsi" w:hAnsiTheme="minorHAnsi" w:cs="Arial"/>
                <w:b/>
                <w:bCs/>
                <w:sz w:val="22"/>
                <w:szCs w:val="22"/>
              </w:rPr>
              <w:t>WORK EXPERIENCE</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10C037C6" w14:textId="638A1750" w:rsidR="003B3AAD" w:rsidRPr="003B3AAD" w:rsidRDefault="003B3AAD" w:rsidP="003B3AAD">
            <w:pPr>
              <w:spacing w:before="115"/>
              <w:rPr>
                <w:rFonts w:asciiTheme="minorHAnsi" w:hAnsiTheme="minorHAnsi" w:cs="Arial"/>
                <w:sz w:val="22"/>
                <w:szCs w:val="22"/>
              </w:rPr>
            </w:pPr>
            <w:r w:rsidRPr="003B3AAD">
              <w:rPr>
                <w:rFonts w:asciiTheme="minorHAnsi" w:hAnsiTheme="minorHAnsi" w:cs="Arial"/>
                <w:sz w:val="22"/>
                <w:szCs w:val="22"/>
              </w:rPr>
              <w:t>Two years of professional work experience in planning, programming, implementation monitoring and evaluation of health programmes. Professional work experience in a programme management function or a technical expert capacity in child survival &amp; health care.</w:t>
            </w:r>
          </w:p>
          <w:p w14:paraId="39284F77" w14:textId="581BA3F9" w:rsidR="003B3AAD" w:rsidRPr="003B3AAD" w:rsidRDefault="003B3AAD" w:rsidP="003B3AAD">
            <w:pPr>
              <w:rPr>
                <w:rFonts w:asciiTheme="minorHAnsi" w:hAnsiTheme="minorHAnsi" w:cs="Arial"/>
                <w:sz w:val="22"/>
                <w:szCs w:val="22"/>
              </w:rPr>
            </w:pPr>
            <w:r>
              <w:rPr>
                <w:rFonts w:asciiTheme="minorHAnsi" w:hAnsiTheme="minorHAnsi" w:cs="Arial"/>
                <w:sz w:val="22"/>
                <w:szCs w:val="22"/>
              </w:rPr>
              <w:t>F</w:t>
            </w:r>
            <w:r w:rsidRPr="003B3AAD">
              <w:rPr>
                <w:rFonts w:asciiTheme="minorHAnsi" w:hAnsiTheme="minorHAnsi" w:cs="Arial"/>
                <w:sz w:val="22"/>
                <w:szCs w:val="22"/>
              </w:rPr>
              <w:t>ield work experience</w:t>
            </w:r>
            <w:r>
              <w:rPr>
                <w:rFonts w:asciiTheme="minorHAnsi" w:hAnsiTheme="minorHAnsi" w:cs="Arial"/>
                <w:sz w:val="22"/>
                <w:szCs w:val="22"/>
              </w:rPr>
              <w:t>.</w:t>
            </w:r>
          </w:p>
          <w:p w14:paraId="1CABBDC0" w14:textId="376E706F" w:rsidR="001933A6" w:rsidRPr="00157031" w:rsidRDefault="003B3AAD" w:rsidP="003B3AAD">
            <w:pPr>
              <w:rPr>
                <w:rFonts w:asciiTheme="minorHAnsi" w:hAnsiTheme="minorHAnsi" w:cs="Arial"/>
                <w:sz w:val="22"/>
                <w:szCs w:val="22"/>
              </w:rPr>
            </w:pPr>
            <w:r w:rsidRPr="003B3AAD">
              <w:rPr>
                <w:rFonts w:asciiTheme="minorHAnsi" w:hAnsiTheme="minorHAnsi" w:cs="Arial"/>
                <w:sz w:val="22"/>
                <w:szCs w:val="22"/>
              </w:rPr>
              <w:t>Background/familiarity with Emergency.</w:t>
            </w:r>
          </w:p>
          <w:p w14:paraId="039B2A06" w14:textId="191237E9" w:rsidR="00597E08" w:rsidRPr="00157031" w:rsidRDefault="00B27DC4" w:rsidP="00B27DC4">
            <w:pPr>
              <w:widowControl w:val="0"/>
              <w:rPr>
                <w:rFonts w:asciiTheme="minorHAnsi" w:hAnsiTheme="minorHAnsi" w:cs="Arial"/>
                <w:bCs/>
                <w:sz w:val="22"/>
                <w:szCs w:val="22"/>
              </w:rPr>
            </w:pPr>
            <w:r w:rsidRPr="00157031">
              <w:rPr>
                <w:rFonts w:asciiTheme="minorHAnsi" w:hAnsiTheme="minorHAnsi" w:cs="Arial"/>
                <w:b/>
                <w:bCs/>
                <w:sz w:val="22"/>
                <w:szCs w:val="22"/>
              </w:rPr>
              <w:t>LANGUAGE PROFICIENCY</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r w:rsidR="003B3AAD" w:rsidRPr="003B3AAD">
              <w:rPr>
                <w:rFonts w:asciiTheme="minorHAnsi" w:hAnsiTheme="minorHAnsi" w:cs="Arial"/>
                <w:sz w:val="22"/>
                <w:szCs w:val="22"/>
              </w:rPr>
              <w:t>Fluency in English and local working language of the duty station</w:t>
            </w:r>
            <w:r w:rsidR="003B3AAD">
              <w:rPr>
                <w:rFonts w:asciiTheme="minorHAnsi" w:hAnsiTheme="minorHAnsi" w:cs="Arial"/>
                <w:sz w:val="22"/>
                <w:szCs w:val="22"/>
              </w:rPr>
              <w:t>.</w:t>
            </w:r>
          </w:p>
        </w:tc>
      </w:tr>
      <w:tr w:rsidR="00C84D62" w:rsidRPr="009A22FF" w14:paraId="7EF94A25" w14:textId="77777777" w:rsidTr="005379F0">
        <w:trPr>
          <w:trHeight w:val="431"/>
          <w:jc w:val="center"/>
        </w:trPr>
        <w:tc>
          <w:tcPr>
            <w:tcW w:w="9967" w:type="dxa"/>
            <w:gridSpan w:val="4"/>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t>COMPETENCIES/SKILLS</w:t>
            </w:r>
            <w:r w:rsidR="00FB6CC7" w:rsidRPr="00157031">
              <w:rPr>
                <w:rFonts w:asciiTheme="minorHAnsi" w:hAnsiTheme="minorHAnsi"/>
                <w:b/>
                <w:sz w:val="22"/>
                <w:szCs w:val="22"/>
              </w:rPr>
              <w:t>: UNICEF foundational/functional competencies</w:t>
            </w:r>
          </w:p>
        </w:tc>
      </w:tr>
      <w:tr w:rsidR="00C84D62" w:rsidRPr="009A22FF" w14:paraId="5F8C7E2B" w14:textId="77777777" w:rsidTr="005379F0">
        <w:trPr>
          <w:trHeight w:val="269"/>
          <w:jc w:val="center"/>
        </w:trPr>
        <w:tc>
          <w:tcPr>
            <w:tcW w:w="1867" w:type="dxa"/>
            <w:gridSpan w:val="2"/>
            <w:tcBorders>
              <w:bottom w:val="single" w:sz="4" w:space="0" w:color="auto"/>
            </w:tcBorders>
          </w:tcPr>
          <w:p w14:paraId="3C9E7B5B" w14:textId="77777777" w:rsidR="00FB6CC7" w:rsidRPr="00157031" w:rsidRDefault="00FB6CC7"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Core Values </w:t>
            </w:r>
          </w:p>
          <w:p w14:paraId="26EF2D19" w14:textId="77777777" w:rsidR="00B1579A" w:rsidRDefault="00FB6CC7"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sidR="00B1579A">
              <w:rPr>
                <w:rFonts w:asciiTheme="minorHAnsi" w:hAnsiTheme="minorHAnsi" w:cs="Arial"/>
                <w:bCs/>
                <w:sz w:val="22"/>
                <w:szCs w:val="22"/>
              </w:rPr>
              <w:t>are</w:t>
            </w:r>
          </w:p>
          <w:p w14:paraId="40A1E628" w14:textId="77777777" w:rsidR="00B1579A" w:rsidRDefault="00B1579A"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7C379D" w:rsidRDefault="00B1579A"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lastRenderedPageBreak/>
              <w:t>Integrity</w:t>
            </w:r>
          </w:p>
          <w:p w14:paraId="1E7BCA57" w14:textId="77777777" w:rsidR="00B1579A" w:rsidRDefault="00B1579A"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C84D62" w:rsidRDefault="00B1579A"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7D5F6E" w:rsidRPr="00B1579A" w:rsidRDefault="007D5F6E" w:rsidP="007D5F6E">
            <w:pPr>
              <w:jc w:val="both"/>
              <w:rPr>
                <w:rFonts w:asciiTheme="minorHAnsi" w:hAnsiTheme="minorHAnsi" w:cs="Arial"/>
                <w:bCs/>
                <w:sz w:val="22"/>
                <w:szCs w:val="22"/>
              </w:rPr>
            </w:pPr>
          </w:p>
        </w:tc>
        <w:tc>
          <w:tcPr>
            <w:tcW w:w="3870" w:type="dxa"/>
            <w:tcBorders>
              <w:bottom w:val="single" w:sz="4" w:space="0" w:color="auto"/>
            </w:tcBorders>
          </w:tcPr>
          <w:p w14:paraId="14A3342E" w14:textId="77777777" w:rsidR="00FB6CC7" w:rsidRPr="00157031" w:rsidRDefault="00FB6CC7"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lastRenderedPageBreak/>
              <w:t>Core competencies</w:t>
            </w:r>
          </w:p>
          <w:p w14:paraId="43FFF250" w14:textId="5DA20825"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t>Nurtures, Leads and Manages People (1)</w:t>
            </w:r>
          </w:p>
          <w:p w14:paraId="4CFFB729" w14:textId="0EFFB156"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lastRenderedPageBreak/>
              <w:t xml:space="preserve">Demonstrates </w:t>
            </w:r>
            <w:r w:rsidR="00421415" w:rsidRPr="003B3AAD">
              <w:rPr>
                <w:rFonts w:asciiTheme="minorHAnsi" w:hAnsiTheme="minorHAnsi"/>
                <w:bCs/>
                <w:sz w:val="22"/>
                <w:szCs w:val="22"/>
              </w:rPr>
              <w:t>Self-Awareness</w:t>
            </w:r>
            <w:r w:rsidRPr="003B3AAD">
              <w:rPr>
                <w:rFonts w:asciiTheme="minorHAnsi" w:hAnsiTheme="minorHAnsi"/>
                <w:bCs/>
                <w:sz w:val="22"/>
                <w:szCs w:val="22"/>
              </w:rPr>
              <w:t xml:space="preserve"> and Ethical Awareness (2)</w:t>
            </w:r>
          </w:p>
          <w:p w14:paraId="09228068" w14:textId="47283E10"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t>Works Collaboratively with others (2)</w:t>
            </w:r>
          </w:p>
          <w:p w14:paraId="0BA4C776" w14:textId="08B3517E"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t>Builds and Maintains Partnerships (2)</w:t>
            </w:r>
          </w:p>
          <w:p w14:paraId="4B84BDC0" w14:textId="4AE0B2F5"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t>Innovates and Embraces Change (2)</w:t>
            </w:r>
          </w:p>
          <w:p w14:paraId="3E705E52" w14:textId="552A6DB5"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t>Thinks and Acts Strategically (2)</w:t>
            </w:r>
          </w:p>
          <w:p w14:paraId="77DF3505" w14:textId="6B7EA1DB" w:rsidR="003B3AAD" w:rsidRPr="003B3AAD" w:rsidRDefault="003B3AAD" w:rsidP="003B3AAD">
            <w:pPr>
              <w:jc w:val="both"/>
              <w:rPr>
                <w:rFonts w:asciiTheme="minorHAnsi" w:hAnsiTheme="minorHAnsi"/>
                <w:bCs/>
                <w:sz w:val="22"/>
                <w:szCs w:val="22"/>
              </w:rPr>
            </w:pPr>
            <w:r w:rsidRPr="003B3AAD">
              <w:rPr>
                <w:rFonts w:asciiTheme="minorHAnsi" w:hAnsiTheme="minorHAnsi"/>
                <w:bCs/>
                <w:sz w:val="22"/>
                <w:szCs w:val="22"/>
              </w:rPr>
              <w:t>Drives to achieve impactful results (2)</w:t>
            </w:r>
          </w:p>
          <w:p w14:paraId="76161B96" w14:textId="451C5A44" w:rsidR="00EE05B1" w:rsidRPr="00157031" w:rsidRDefault="003B3AAD" w:rsidP="003B3AAD">
            <w:pPr>
              <w:jc w:val="both"/>
              <w:rPr>
                <w:rFonts w:asciiTheme="minorHAnsi" w:hAnsiTheme="minorHAnsi"/>
                <w:b/>
                <w:sz w:val="22"/>
                <w:szCs w:val="22"/>
              </w:rPr>
            </w:pPr>
            <w:r w:rsidRPr="003B3AAD">
              <w:rPr>
                <w:rFonts w:asciiTheme="minorHAnsi" w:hAnsiTheme="minorHAnsi"/>
                <w:bCs/>
                <w:sz w:val="22"/>
                <w:szCs w:val="22"/>
              </w:rPr>
              <w:t>Manages ambiguity and complexity (2)</w:t>
            </w:r>
          </w:p>
        </w:tc>
        <w:tc>
          <w:tcPr>
            <w:tcW w:w="4230" w:type="dxa"/>
            <w:tcBorders>
              <w:bottom w:val="single" w:sz="4" w:space="0" w:color="auto"/>
            </w:tcBorders>
          </w:tcPr>
          <w:p w14:paraId="492D2E45" w14:textId="77777777" w:rsidR="00FB6CC7" w:rsidRPr="00157031" w:rsidRDefault="00FB6CC7" w:rsidP="005A401E">
            <w:pPr>
              <w:rPr>
                <w:rFonts w:asciiTheme="minorHAnsi" w:hAnsiTheme="minorHAnsi" w:cs="Arial"/>
                <w:sz w:val="22"/>
                <w:szCs w:val="22"/>
              </w:rPr>
            </w:pPr>
            <w:r w:rsidRPr="00157031">
              <w:rPr>
                <w:rFonts w:asciiTheme="minorHAnsi" w:hAnsiTheme="minorHAnsi" w:cs="Arial"/>
                <w:b/>
                <w:bCs/>
                <w:sz w:val="22"/>
                <w:szCs w:val="22"/>
                <w:u w:val="single"/>
              </w:rPr>
              <w:lastRenderedPageBreak/>
              <w:t>Functional Competencies</w:t>
            </w:r>
            <w:r w:rsidRPr="00157031">
              <w:rPr>
                <w:rFonts w:asciiTheme="minorHAnsi" w:hAnsiTheme="minorHAnsi" w:cs="Arial"/>
                <w:sz w:val="22"/>
                <w:szCs w:val="22"/>
              </w:rPr>
              <w:t>:</w:t>
            </w:r>
          </w:p>
          <w:p w14:paraId="51B9BC8C" w14:textId="77777777" w:rsidR="003B3AAD" w:rsidRPr="003B3AAD" w:rsidRDefault="003B3AAD" w:rsidP="003B3AAD">
            <w:pPr>
              <w:rPr>
                <w:rFonts w:asciiTheme="minorHAnsi" w:hAnsiTheme="minorHAnsi"/>
                <w:bCs/>
                <w:sz w:val="22"/>
                <w:szCs w:val="22"/>
              </w:rPr>
            </w:pPr>
            <w:r w:rsidRPr="003B3AAD">
              <w:rPr>
                <w:rFonts w:asciiTheme="minorHAnsi" w:hAnsiTheme="minorHAnsi"/>
                <w:bCs/>
                <w:sz w:val="22"/>
                <w:szCs w:val="22"/>
              </w:rPr>
              <w:t>•</w:t>
            </w:r>
            <w:r w:rsidRPr="003B3AAD">
              <w:rPr>
                <w:rFonts w:asciiTheme="minorHAnsi" w:hAnsiTheme="minorHAnsi"/>
                <w:bCs/>
                <w:sz w:val="22"/>
                <w:szCs w:val="22"/>
              </w:rPr>
              <w:tab/>
              <w:t>Analyzing (2)</w:t>
            </w:r>
          </w:p>
          <w:p w14:paraId="5D831D8D" w14:textId="77777777" w:rsidR="003B3AAD" w:rsidRPr="003B3AAD" w:rsidRDefault="003B3AAD" w:rsidP="003B3AAD">
            <w:pPr>
              <w:rPr>
                <w:rFonts w:asciiTheme="minorHAnsi" w:hAnsiTheme="minorHAnsi"/>
                <w:bCs/>
                <w:sz w:val="22"/>
                <w:szCs w:val="22"/>
              </w:rPr>
            </w:pPr>
            <w:r w:rsidRPr="003B3AAD">
              <w:rPr>
                <w:rFonts w:asciiTheme="minorHAnsi" w:hAnsiTheme="minorHAnsi"/>
                <w:bCs/>
                <w:sz w:val="22"/>
                <w:szCs w:val="22"/>
              </w:rPr>
              <w:t>•</w:t>
            </w:r>
            <w:r w:rsidRPr="003B3AAD">
              <w:rPr>
                <w:rFonts w:asciiTheme="minorHAnsi" w:hAnsiTheme="minorHAnsi"/>
                <w:bCs/>
                <w:sz w:val="22"/>
                <w:szCs w:val="22"/>
              </w:rPr>
              <w:tab/>
              <w:t>Applying Technical Expertise (2)</w:t>
            </w:r>
          </w:p>
          <w:p w14:paraId="0A118A22" w14:textId="77777777" w:rsidR="003B3AAD" w:rsidRPr="003B3AAD" w:rsidRDefault="003B3AAD" w:rsidP="003B3AAD">
            <w:pPr>
              <w:rPr>
                <w:rFonts w:asciiTheme="minorHAnsi" w:hAnsiTheme="minorHAnsi"/>
                <w:bCs/>
                <w:sz w:val="22"/>
                <w:szCs w:val="22"/>
              </w:rPr>
            </w:pPr>
            <w:r w:rsidRPr="003B3AAD">
              <w:rPr>
                <w:rFonts w:asciiTheme="minorHAnsi" w:hAnsiTheme="minorHAnsi"/>
                <w:bCs/>
                <w:sz w:val="22"/>
                <w:szCs w:val="22"/>
              </w:rPr>
              <w:lastRenderedPageBreak/>
              <w:t>•</w:t>
            </w:r>
            <w:r w:rsidRPr="003B3AAD">
              <w:rPr>
                <w:rFonts w:asciiTheme="minorHAnsi" w:hAnsiTheme="minorHAnsi"/>
                <w:bCs/>
                <w:sz w:val="22"/>
                <w:szCs w:val="22"/>
              </w:rPr>
              <w:tab/>
              <w:t>Learning and Researching (2)</w:t>
            </w:r>
          </w:p>
          <w:p w14:paraId="72847BC1" w14:textId="5DED0102" w:rsidR="008F755B" w:rsidRPr="00157031" w:rsidRDefault="003B3AAD" w:rsidP="003B3AAD">
            <w:pPr>
              <w:rPr>
                <w:rFonts w:asciiTheme="minorHAnsi" w:hAnsiTheme="minorHAnsi"/>
                <w:b/>
                <w:sz w:val="22"/>
                <w:szCs w:val="22"/>
              </w:rPr>
            </w:pPr>
            <w:r w:rsidRPr="003B3AAD">
              <w:rPr>
                <w:rFonts w:asciiTheme="minorHAnsi" w:hAnsiTheme="minorHAnsi"/>
                <w:bCs/>
                <w:sz w:val="22"/>
                <w:szCs w:val="22"/>
              </w:rPr>
              <w:t>•</w:t>
            </w:r>
            <w:r w:rsidRPr="003B3AAD">
              <w:rPr>
                <w:rFonts w:asciiTheme="minorHAnsi" w:hAnsiTheme="minorHAnsi"/>
                <w:bCs/>
                <w:sz w:val="22"/>
                <w:szCs w:val="22"/>
              </w:rPr>
              <w:tab/>
              <w:t>Planning and Organizing (2)</w:t>
            </w:r>
          </w:p>
        </w:tc>
      </w:tr>
    </w:tbl>
    <w:p w14:paraId="65ACD612" w14:textId="329D6CB2" w:rsidR="007D5F6E" w:rsidRDefault="007D5F6E"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4E1F9D" w:rsidP="007D5F6E">
      <w:pPr>
        <w:jc w:val="both"/>
        <w:rPr>
          <w:sz w:val="22"/>
          <w:szCs w:val="18"/>
        </w:rPr>
      </w:pPr>
      <w:hyperlink r:id="rId10"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9990" w:type="dxa"/>
        <w:tblInd w:w="355" w:type="dxa"/>
        <w:tblLook w:val="04A0" w:firstRow="1" w:lastRow="0" w:firstColumn="1" w:lastColumn="0" w:noHBand="0" w:noVBand="1"/>
      </w:tblPr>
      <w:tblGrid>
        <w:gridCol w:w="7110"/>
        <w:gridCol w:w="2880"/>
      </w:tblGrid>
      <w:tr w:rsidR="007D5F6E" w:rsidRPr="00833A21" w14:paraId="2B24FDA9" w14:textId="77777777" w:rsidTr="005379F0">
        <w:tc>
          <w:tcPr>
            <w:tcW w:w="7110"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2880" w:type="dxa"/>
          </w:tcPr>
          <w:p w14:paraId="6F1427E8" w14:textId="77777777" w:rsidR="007D5F6E" w:rsidRPr="00833A21" w:rsidRDefault="007D5F6E" w:rsidP="0056339A">
            <w:pPr>
              <w:pStyle w:val="ListParagraph"/>
              <w:jc w:val="both"/>
              <w:rPr>
                <w:rFonts w:eastAsia="MS Gothic" w:cs="Arial"/>
                <w:bCs/>
                <w:sz w:val="20"/>
              </w:rPr>
            </w:pPr>
          </w:p>
          <w:p w14:paraId="734BDBD9" w14:textId="2AFA77E1" w:rsidR="007D5F6E" w:rsidRPr="00833A21" w:rsidRDefault="004E1F9D"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2B5F80">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379F0">
        <w:tc>
          <w:tcPr>
            <w:tcW w:w="7110"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2880" w:type="dxa"/>
          </w:tcPr>
          <w:p w14:paraId="2E6D1305" w14:textId="77777777" w:rsidR="007D5F6E" w:rsidRPr="00833A21" w:rsidRDefault="007D5F6E" w:rsidP="0056339A">
            <w:pPr>
              <w:pStyle w:val="ListParagraph"/>
              <w:jc w:val="both"/>
              <w:rPr>
                <w:rFonts w:eastAsia="MS Gothic" w:cs="Arial"/>
                <w:bCs/>
                <w:sz w:val="20"/>
              </w:rPr>
            </w:pPr>
          </w:p>
          <w:p w14:paraId="297F7B30" w14:textId="560CA222" w:rsidR="007D5F6E" w:rsidRPr="00833A21" w:rsidRDefault="004E1F9D"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2B5F80">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0C0A095C" w:rsidR="007D5F6E" w:rsidRPr="00833A21" w:rsidRDefault="004E1F9D"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2B5F80">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379F0">
        <w:tc>
          <w:tcPr>
            <w:tcW w:w="7110"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2880" w:type="dxa"/>
          </w:tcPr>
          <w:p w14:paraId="7AADF320" w14:textId="77777777" w:rsidR="007D5F6E" w:rsidRPr="00833A21" w:rsidRDefault="007D5F6E" w:rsidP="0056339A">
            <w:pPr>
              <w:pStyle w:val="ListParagraph"/>
              <w:jc w:val="both"/>
              <w:rPr>
                <w:rFonts w:eastAsia="MS Gothic" w:cs="Arial"/>
                <w:bCs/>
                <w:sz w:val="20"/>
              </w:rPr>
            </w:pPr>
          </w:p>
          <w:p w14:paraId="7E551752" w14:textId="40ACB54C" w:rsidR="007D5F6E" w:rsidRPr="00833A21" w:rsidRDefault="004E1F9D"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2B5F80">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77777777" w:rsidR="007D5F6E" w:rsidRPr="00833A21" w:rsidRDefault="004E1F9D"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379F0">
        <w:tc>
          <w:tcPr>
            <w:tcW w:w="7110"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2880" w:type="dxa"/>
          </w:tcPr>
          <w:p w14:paraId="418EB8A4" w14:textId="77777777" w:rsidR="007D5F6E" w:rsidRPr="00833A21" w:rsidRDefault="007D5F6E" w:rsidP="0056339A">
            <w:pPr>
              <w:pStyle w:val="ListParagraph"/>
              <w:jc w:val="both"/>
              <w:rPr>
                <w:rFonts w:eastAsia="MS Gothic" w:cs="Arial"/>
                <w:bCs/>
                <w:sz w:val="20"/>
              </w:rPr>
            </w:pPr>
          </w:p>
          <w:p w14:paraId="1B4E31DD" w14:textId="788DE5C3" w:rsidR="007D5F6E" w:rsidRPr="00833A21" w:rsidRDefault="004E1F9D"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2B5F80">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379F0">
        <w:tc>
          <w:tcPr>
            <w:tcW w:w="7110"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lastRenderedPageBreak/>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2880" w:type="dxa"/>
          </w:tcPr>
          <w:p w14:paraId="65536B7B" w14:textId="77777777" w:rsidR="007D5F6E" w:rsidRPr="00833A21" w:rsidRDefault="007D5F6E" w:rsidP="0056339A">
            <w:pPr>
              <w:pStyle w:val="ListParagraph"/>
              <w:jc w:val="both"/>
              <w:rPr>
                <w:rFonts w:eastAsia="MS Gothic" w:cs="Arial"/>
                <w:bCs/>
                <w:sz w:val="20"/>
              </w:rPr>
            </w:pPr>
          </w:p>
          <w:p w14:paraId="4C4F49D7" w14:textId="027D37F0" w:rsidR="007D5F6E" w:rsidRPr="00833A21" w:rsidRDefault="004E1F9D"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2B5F80">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43917DDB" w14:textId="7A1DEFCB" w:rsidR="007D5F6E" w:rsidRPr="005379F0" w:rsidRDefault="005379F0" w:rsidP="005379F0">
      <w:pPr>
        <w:tabs>
          <w:tab w:val="left" w:pos="1430"/>
        </w:tabs>
        <w:jc w:val="both"/>
        <w:rPr>
          <w:sz w:val="2"/>
          <w:szCs w:val="2"/>
        </w:rPr>
      </w:pPr>
      <w:r>
        <w:tab/>
      </w:r>
    </w:p>
    <w:p w14:paraId="6C932E15" w14:textId="3F960A82" w:rsidR="005379F0" w:rsidRPr="005379F0" w:rsidRDefault="005379F0" w:rsidP="005379F0">
      <w:pPr>
        <w:tabs>
          <w:tab w:val="left" w:pos="1430"/>
        </w:tabs>
        <w:sectPr w:rsidR="005379F0" w:rsidRPr="005379F0" w:rsidSect="00833A21">
          <w:pgSz w:w="12240" w:h="15840"/>
          <w:pgMar w:top="720" w:right="720" w:bottom="720" w:left="720" w:header="720" w:footer="720" w:gutter="0"/>
          <w:cols w:space="720"/>
          <w:docGrid w:linePitch="360"/>
        </w:sectPr>
      </w:pPr>
      <w:r>
        <w:tab/>
      </w: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66"/>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3960"/>
        <w:gridCol w:w="2880"/>
      </w:tblGrid>
      <w:tr w:rsidR="00421415" w:rsidRPr="00A530CD" w14:paraId="056F025C" w14:textId="77777777" w:rsidTr="005379F0">
        <w:trPr>
          <w:trHeight w:val="269"/>
        </w:trPr>
        <w:tc>
          <w:tcPr>
            <w:tcW w:w="3142"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3215D8EA" w14:textId="77777777" w:rsidR="00421415" w:rsidRPr="00A530CD" w:rsidRDefault="00421415" w:rsidP="00421415">
            <w:pPr>
              <w:jc w:val="center"/>
              <w:rPr>
                <w:rFonts w:asciiTheme="minorHAnsi" w:hAnsiTheme="minorHAnsi" w:cs="Arial"/>
                <w:b/>
                <w:bCs/>
                <w:sz w:val="22"/>
                <w:szCs w:val="22"/>
              </w:rPr>
            </w:pPr>
            <w:r w:rsidRPr="00A530CD">
              <w:rPr>
                <w:rFonts w:asciiTheme="minorHAnsi" w:hAnsiTheme="minorHAnsi" w:cs="Arial"/>
                <w:b/>
                <w:bCs/>
                <w:sz w:val="22"/>
                <w:szCs w:val="22"/>
              </w:rPr>
              <w:t>Approvals</w:t>
            </w:r>
          </w:p>
        </w:tc>
        <w:tc>
          <w:tcPr>
            <w:tcW w:w="396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0B2F592F" w14:textId="77777777" w:rsidR="00421415" w:rsidRPr="00A530CD" w:rsidRDefault="00421415" w:rsidP="00421415">
            <w:pPr>
              <w:jc w:val="center"/>
              <w:rPr>
                <w:rFonts w:asciiTheme="minorHAnsi" w:hAnsiTheme="minorHAnsi" w:cs="Arial"/>
                <w:b/>
                <w:bCs/>
                <w:sz w:val="22"/>
                <w:szCs w:val="22"/>
              </w:rPr>
            </w:pPr>
            <w:r w:rsidRPr="00A530CD">
              <w:rPr>
                <w:rFonts w:asciiTheme="minorHAnsi" w:hAnsiTheme="minorHAnsi" w:cs="Arial"/>
                <w:b/>
                <w:bCs/>
                <w:sz w:val="22"/>
                <w:szCs w:val="22"/>
              </w:rPr>
              <w:t>Name</w:t>
            </w:r>
          </w:p>
        </w:tc>
        <w:tc>
          <w:tcPr>
            <w:tcW w:w="288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327D2130" w14:textId="77777777" w:rsidR="00421415" w:rsidRPr="00A530CD" w:rsidRDefault="00421415" w:rsidP="00421415">
            <w:pPr>
              <w:jc w:val="center"/>
              <w:rPr>
                <w:rFonts w:asciiTheme="minorHAnsi" w:hAnsiTheme="minorHAnsi" w:cs="Arial"/>
                <w:b/>
                <w:bCs/>
                <w:sz w:val="22"/>
                <w:szCs w:val="22"/>
              </w:rPr>
            </w:pPr>
            <w:r w:rsidRPr="00A530CD">
              <w:rPr>
                <w:rFonts w:asciiTheme="minorHAnsi" w:hAnsiTheme="minorHAnsi" w:cs="Arial"/>
                <w:b/>
                <w:bCs/>
                <w:sz w:val="22"/>
                <w:szCs w:val="22"/>
              </w:rPr>
              <w:t>Signature &amp; Date</w:t>
            </w:r>
          </w:p>
        </w:tc>
      </w:tr>
      <w:tr w:rsidR="00421415" w:rsidRPr="009A22FF" w14:paraId="10B86DCA" w14:textId="77777777" w:rsidTr="00C7001C">
        <w:trPr>
          <w:trHeight w:val="1329"/>
        </w:trPr>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BA47AF" w14:textId="3C11EAAA" w:rsidR="00421415" w:rsidRPr="00A530CD" w:rsidRDefault="00421415" w:rsidP="005379F0">
            <w:pPr>
              <w:rPr>
                <w:rFonts w:asciiTheme="minorHAnsi" w:hAnsiTheme="minorHAnsi" w:cs="Arial"/>
                <w:b/>
                <w:i/>
                <w:iCs/>
                <w:sz w:val="22"/>
                <w:szCs w:val="22"/>
              </w:rPr>
            </w:pPr>
            <w:r w:rsidRPr="00A530CD">
              <w:rPr>
                <w:rFonts w:asciiTheme="minorHAnsi" w:hAnsiTheme="minorHAnsi" w:cs="Arial"/>
                <w:b/>
                <w:i/>
                <w:iCs/>
                <w:sz w:val="22"/>
                <w:szCs w:val="22"/>
              </w:rPr>
              <w:t>Supervisor of the post</w:t>
            </w:r>
          </w:p>
          <w:p w14:paraId="1B5CCA43" w14:textId="77777777" w:rsidR="00421415" w:rsidRPr="00A530CD" w:rsidRDefault="00421415" w:rsidP="005379F0">
            <w:pPr>
              <w:rPr>
                <w:rFonts w:asciiTheme="minorHAnsi" w:hAnsiTheme="minorHAnsi" w:cs="Arial"/>
                <w:bCs/>
                <w:i/>
                <w:iCs/>
                <w:sz w:val="16"/>
                <w:szCs w:val="16"/>
              </w:rPr>
            </w:pPr>
          </w:p>
          <w:p w14:paraId="51C81CF8" w14:textId="16644830" w:rsidR="00421415" w:rsidRPr="00A530CD" w:rsidRDefault="00421415" w:rsidP="005379F0">
            <w:pPr>
              <w:rPr>
                <w:rFonts w:asciiTheme="minorHAnsi" w:hAnsiTheme="minorHAnsi" w:cs="Arial"/>
                <w:bCs/>
                <w:i/>
                <w:iCs/>
                <w:sz w:val="16"/>
                <w:szCs w:val="16"/>
              </w:rPr>
            </w:pPr>
            <w:r w:rsidRPr="00A530CD">
              <w:rPr>
                <w:rFonts w:asciiTheme="minorHAnsi" w:hAnsiTheme="minorHAnsi" w:cs="Arial"/>
                <w:bCs/>
                <w:i/>
                <w:iCs/>
                <w:sz w:val="16"/>
                <w:szCs w:val="16"/>
              </w:rPr>
              <w:t>Confirms by signing:</w:t>
            </w:r>
          </w:p>
          <w:p w14:paraId="050C2B84" w14:textId="77777777" w:rsidR="00421415" w:rsidRPr="005379F0" w:rsidRDefault="00421415" w:rsidP="005379F0">
            <w:pPr>
              <w:rPr>
                <w:rFonts w:asciiTheme="minorHAnsi" w:hAnsiTheme="minorHAnsi" w:cs="Arial"/>
                <w:bCs/>
                <w:i/>
                <w:iCs/>
                <w:sz w:val="4"/>
                <w:szCs w:val="4"/>
              </w:rPr>
            </w:pPr>
          </w:p>
          <w:p w14:paraId="3EEE1D20" w14:textId="77777777" w:rsidR="00421415" w:rsidRPr="00A530CD" w:rsidRDefault="00421415" w:rsidP="005379F0">
            <w:pPr>
              <w:rPr>
                <w:rFonts w:asciiTheme="minorHAnsi" w:hAnsiTheme="minorHAnsi" w:cs="Arial"/>
                <w:bCs/>
                <w:i/>
                <w:iCs/>
                <w:sz w:val="16"/>
                <w:szCs w:val="16"/>
              </w:rPr>
            </w:pPr>
            <w:r w:rsidRPr="00A530CD">
              <w:rPr>
                <w:rFonts w:asciiTheme="minorHAnsi" w:hAnsiTheme="minorHAnsi" w:cs="Arial"/>
                <w:bCs/>
                <w:i/>
                <w:iCs/>
                <w:sz w:val="16"/>
                <w:szCs w:val="16"/>
              </w:rPr>
              <w:t>1) that the JD describes the responsibilities and requirements of the post;</w:t>
            </w:r>
          </w:p>
          <w:p w14:paraId="4FE03AFA" w14:textId="77777777" w:rsidR="00421415" w:rsidRPr="00A530CD" w:rsidRDefault="00421415" w:rsidP="005379F0">
            <w:pPr>
              <w:rPr>
                <w:rFonts w:asciiTheme="minorHAnsi" w:hAnsiTheme="minorHAnsi" w:cs="Arial"/>
                <w:bCs/>
                <w:i/>
                <w:iCs/>
                <w:sz w:val="16"/>
                <w:szCs w:val="16"/>
              </w:rPr>
            </w:pPr>
            <w:r w:rsidRPr="00A530CD">
              <w:rPr>
                <w:rFonts w:asciiTheme="minorHAnsi" w:hAnsiTheme="minorHAnsi" w:cs="Arial"/>
                <w:bCs/>
                <w:i/>
                <w:iCs/>
                <w:sz w:val="16"/>
                <w:szCs w:val="16"/>
              </w:rPr>
              <w:t>2) that the funds are available to fill the post</w:t>
            </w:r>
          </w:p>
        </w:tc>
        <w:tc>
          <w:tcPr>
            <w:tcW w:w="39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43674E" w14:textId="77777777" w:rsidR="00421415" w:rsidRPr="00421415" w:rsidRDefault="00421415" w:rsidP="00C7001C">
            <w:pPr>
              <w:jc w:val="center"/>
              <w:rPr>
                <w:rFonts w:eastAsia="SimSun" w:cs="Calibri"/>
                <w:bCs/>
              </w:rPr>
            </w:pPr>
            <w:r w:rsidRPr="00421415">
              <w:rPr>
                <w:rFonts w:eastAsia="SimSun" w:cs="Calibri"/>
                <w:bCs/>
              </w:rPr>
              <w:t>Anjuman Tahmina Ferdous</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CDEF70B" w14:textId="77777777" w:rsidR="00421415" w:rsidRPr="00015A15" w:rsidRDefault="00421415" w:rsidP="00421415">
            <w:pPr>
              <w:rPr>
                <w:rFonts w:eastAsia="SimSun" w:cs="Calibri"/>
                <w:b/>
              </w:rPr>
            </w:pPr>
          </w:p>
        </w:tc>
      </w:tr>
      <w:tr w:rsidR="00421415" w:rsidRPr="009A22FF" w14:paraId="3C97BCF9" w14:textId="77777777" w:rsidTr="00C7001C">
        <w:trPr>
          <w:trHeight w:val="269"/>
        </w:trPr>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589D8D" w14:textId="7CE2C390" w:rsidR="00421415" w:rsidRPr="00A530CD" w:rsidRDefault="00AF305A" w:rsidP="005379F0">
            <w:pPr>
              <w:jc w:val="center"/>
              <w:rPr>
                <w:rFonts w:asciiTheme="minorHAnsi" w:hAnsiTheme="minorHAnsi" w:cs="Arial"/>
                <w:bCs/>
                <w:i/>
                <w:iCs/>
                <w:sz w:val="16"/>
                <w:szCs w:val="16"/>
              </w:rPr>
            </w:pPr>
            <w:r w:rsidRPr="00A530CD">
              <w:rPr>
                <w:rFonts w:asciiTheme="minorHAnsi" w:hAnsiTheme="minorHAnsi" w:cs="Arial"/>
                <w:b/>
                <w:i/>
                <w:iCs/>
                <w:sz w:val="22"/>
                <w:szCs w:val="22"/>
              </w:rPr>
              <w:t>Chi</w:t>
            </w:r>
            <w:r>
              <w:rPr>
                <w:rFonts w:asciiTheme="minorHAnsi" w:hAnsiTheme="minorHAnsi" w:cs="Arial"/>
                <w:b/>
                <w:i/>
                <w:iCs/>
                <w:sz w:val="22"/>
                <w:szCs w:val="22"/>
              </w:rPr>
              <w:t>e</w:t>
            </w:r>
            <w:r w:rsidRPr="00A530CD">
              <w:rPr>
                <w:rFonts w:asciiTheme="minorHAnsi" w:hAnsiTheme="minorHAnsi" w:cs="Arial"/>
                <w:b/>
                <w:i/>
                <w:iCs/>
                <w:sz w:val="22"/>
                <w:szCs w:val="22"/>
              </w:rPr>
              <w:t>f</w:t>
            </w:r>
            <w:r w:rsidR="00421415" w:rsidRPr="00A530CD">
              <w:rPr>
                <w:rFonts w:asciiTheme="minorHAnsi" w:hAnsiTheme="minorHAnsi" w:cs="Arial"/>
                <w:b/>
                <w:i/>
                <w:iCs/>
                <w:sz w:val="22"/>
                <w:szCs w:val="22"/>
              </w:rPr>
              <w:t xml:space="preserve"> of  Field Office</w:t>
            </w:r>
          </w:p>
        </w:tc>
        <w:tc>
          <w:tcPr>
            <w:tcW w:w="39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A0E26A" w14:textId="77777777" w:rsidR="00421415" w:rsidRPr="00421415" w:rsidRDefault="00421415" w:rsidP="00C7001C">
            <w:pPr>
              <w:jc w:val="center"/>
              <w:rPr>
                <w:rFonts w:eastAsia="SimSun" w:cs="Calibri"/>
                <w:bCs/>
              </w:rPr>
            </w:pPr>
            <w:r w:rsidRPr="00421415">
              <w:rPr>
                <w:rFonts w:eastAsia="SimSun" w:cs="Calibri"/>
                <w:bCs/>
              </w:rPr>
              <w:t>Ezatullah Majeed</w:t>
            </w:r>
          </w:p>
          <w:p w14:paraId="4F1B058D" w14:textId="77777777" w:rsidR="00421415" w:rsidRPr="00421415" w:rsidRDefault="00421415" w:rsidP="00C7001C">
            <w:pPr>
              <w:jc w:val="center"/>
              <w:rPr>
                <w:rFonts w:eastAsia="SimSun" w:cs="Calibri"/>
                <w:bCs/>
              </w:rPr>
            </w:pPr>
          </w:p>
          <w:p w14:paraId="5AB0D49A" w14:textId="77777777" w:rsidR="00421415" w:rsidRPr="00421415" w:rsidRDefault="00421415" w:rsidP="00C7001C">
            <w:pPr>
              <w:jc w:val="center"/>
              <w:rPr>
                <w:rFonts w:eastAsia="SimSun" w:cs="Calibri"/>
                <w:bCs/>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D904BE" w14:textId="77777777" w:rsidR="00421415" w:rsidRPr="00015A15" w:rsidRDefault="00421415" w:rsidP="00421415">
            <w:pPr>
              <w:rPr>
                <w:rFonts w:eastAsia="SimSun" w:cs="Calibri"/>
                <w:b/>
              </w:rPr>
            </w:pPr>
          </w:p>
        </w:tc>
      </w:tr>
      <w:tr w:rsidR="00421415" w:rsidRPr="009A22FF" w14:paraId="482C86AF" w14:textId="77777777" w:rsidTr="00C7001C">
        <w:trPr>
          <w:trHeight w:val="269"/>
        </w:trPr>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396F08" w14:textId="77777777" w:rsidR="00421415" w:rsidRDefault="00421415" w:rsidP="005379F0">
            <w:pPr>
              <w:jc w:val="center"/>
              <w:rPr>
                <w:rFonts w:asciiTheme="minorHAnsi" w:hAnsiTheme="minorHAnsi" w:cs="Arial"/>
                <w:b/>
                <w:i/>
                <w:iCs/>
                <w:sz w:val="22"/>
                <w:szCs w:val="22"/>
              </w:rPr>
            </w:pPr>
            <w:r w:rsidRPr="00A530CD">
              <w:rPr>
                <w:rFonts w:asciiTheme="minorHAnsi" w:hAnsiTheme="minorHAnsi" w:cs="Arial"/>
                <w:b/>
                <w:i/>
                <w:iCs/>
                <w:sz w:val="22"/>
                <w:szCs w:val="22"/>
              </w:rPr>
              <w:t>Chief Human Resources</w:t>
            </w:r>
          </w:p>
          <w:p w14:paraId="4A653FD3" w14:textId="77777777" w:rsidR="00421415" w:rsidRDefault="00421415" w:rsidP="005379F0">
            <w:pPr>
              <w:jc w:val="center"/>
              <w:rPr>
                <w:rFonts w:eastAsia="SimSun" w:cs="Calibri"/>
                <w:b/>
              </w:rPr>
            </w:pPr>
          </w:p>
        </w:tc>
        <w:tc>
          <w:tcPr>
            <w:tcW w:w="39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4E6B27" w14:textId="77777777" w:rsidR="00421415" w:rsidRPr="00421415" w:rsidRDefault="00421415" w:rsidP="00C7001C">
            <w:pPr>
              <w:jc w:val="center"/>
              <w:rPr>
                <w:rFonts w:eastAsia="SimSun" w:cs="Calibri"/>
                <w:bCs/>
              </w:rPr>
            </w:pPr>
          </w:p>
          <w:p w14:paraId="4071876B" w14:textId="77777777" w:rsidR="00421415" w:rsidRPr="00421415" w:rsidRDefault="00421415" w:rsidP="00C7001C">
            <w:pPr>
              <w:jc w:val="center"/>
              <w:rPr>
                <w:rFonts w:eastAsia="SimSun" w:cs="Calibri"/>
                <w:bCs/>
              </w:rPr>
            </w:pPr>
            <w:r w:rsidRPr="00421415">
              <w:rPr>
                <w:rFonts w:eastAsia="SimSun" w:cs="Calibri"/>
                <w:bCs/>
              </w:rPr>
              <w:t>Dejan Jasnic</w:t>
            </w:r>
          </w:p>
          <w:p w14:paraId="5E64DBF3" w14:textId="77777777" w:rsidR="00421415" w:rsidRPr="00421415" w:rsidRDefault="00421415" w:rsidP="00C7001C">
            <w:pPr>
              <w:jc w:val="center"/>
              <w:rPr>
                <w:rFonts w:eastAsia="SimSun" w:cs="Calibri"/>
                <w:bCs/>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56EF70" w14:textId="77777777" w:rsidR="00421415" w:rsidRPr="00015A15" w:rsidRDefault="00421415" w:rsidP="00421415">
            <w:pPr>
              <w:rPr>
                <w:rFonts w:eastAsia="SimSun" w:cs="Calibri"/>
                <w:b/>
              </w:rPr>
            </w:pPr>
          </w:p>
        </w:tc>
      </w:tr>
      <w:tr w:rsidR="00C7001C" w:rsidRPr="009A22FF" w14:paraId="544615BB" w14:textId="77777777" w:rsidTr="00C7001C">
        <w:trPr>
          <w:trHeight w:val="269"/>
        </w:trPr>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37D019" w14:textId="0E5A5F97" w:rsidR="00421415" w:rsidRPr="00A530CD" w:rsidRDefault="00421415" w:rsidP="005379F0">
            <w:pPr>
              <w:jc w:val="center"/>
              <w:rPr>
                <w:rFonts w:asciiTheme="minorHAnsi" w:hAnsiTheme="minorHAnsi" w:cs="Arial"/>
                <w:b/>
                <w:i/>
                <w:iCs/>
                <w:sz w:val="22"/>
                <w:szCs w:val="22"/>
              </w:rPr>
            </w:pPr>
            <w:r w:rsidRPr="00A530CD">
              <w:rPr>
                <w:rFonts w:asciiTheme="minorHAnsi" w:hAnsiTheme="minorHAnsi" w:cs="Arial"/>
                <w:b/>
                <w:i/>
                <w:iCs/>
                <w:sz w:val="22"/>
                <w:szCs w:val="22"/>
              </w:rPr>
              <w:t>Chief of Field Services</w:t>
            </w:r>
          </w:p>
          <w:p w14:paraId="4B3737D5" w14:textId="77777777" w:rsidR="00421415" w:rsidRDefault="00421415" w:rsidP="005379F0">
            <w:pPr>
              <w:jc w:val="center"/>
              <w:rPr>
                <w:rFonts w:asciiTheme="minorHAnsi" w:hAnsiTheme="minorHAnsi" w:cs="Arial"/>
                <w:bCs/>
                <w:i/>
                <w:iCs/>
                <w:sz w:val="16"/>
                <w:szCs w:val="16"/>
              </w:rPr>
            </w:pPr>
            <w:r w:rsidRPr="00A530CD">
              <w:rPr>
                <w:rFonts w:asciiTheme="minorHAnsi" w:hAnsiTheme="minorHAnsi" w:cs="Arial"/>
                <w:bCs/>
                <w:i/>
                <w:iCs/>
                <w:sz w:val="16"/>
                <w:szCs w:val="16"/>
              </w:rPr>
              <w:t>(If applicable)</w:t>
            </w:r>
          </w:p>
          <w:p w14:paraId="2065BDD3" w14:textId="77777777" w:rsidR="00421415" w:rsidRDefault="00421415" w:rsidP="005379F0">
            <w:pPr>
              <w:jc w:val="center"/>
              <w:rPr>
                <w:rFonts w:eastAsia="SimSun" w:cs="Calibri"/>
                <w:b/>
              </w:rPr>
            </w:pPr>
          </w:p>
        </w:tc>
        <w:tc>
          <w:tcPr>
            <w:tcW w:w="39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2FFA27" w14:textId="77777777" w:rsidR="00421415" w:rsidRPr="00421415" w:rsidRDefault="00421415" w:rsidP="00C7001C">
            <w:pPr>
              <w:jc w:val="center"/>
              <w:rPr>
                <w:rFonts w:eastAsia="SimSun" w:cs="Calibri"/>
                <w:bCs/>
              </w:rPr>
            </w:pPr>
          </w:p>
          <w:p w14:paraId="1D9C9458" w14:textId="77777777" w:rsidR="00421415" w:rsidRPr="00421415" w:rsidRDefault="00421415" w:rsidP="00C7001C">
            <w:pPr>
              <w:jc w:val="center"/>
              <w:rPr>
                <w:rFonts w:eastAsia="SimSun" w:cs="Calibri"/>
                <w:bCs/>
              </w:rPr>
            </w:pPr>
          </w:p>
          <w:p w14:paraId="1AF3B648" w14:textId="77777777" w:rsidR="00421415" w:rsidRPr="00421415" w:rsidRDefault="00421415" w:rsidP="00C7001C">
            <w:pPr>
              <w:jc w:val="center"/>
              <w:rPr>
                <w:rFonts w:eastAsia="SimSun" w:cs="Calibri"/>
                <w:bCs/>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A4B87C" w14:textId="77777777" w:rsidR="00421415" w:rsidRPr="00015A15" w:rsidRDefault="00421415" w:rsidP="00421415">
            <w:pPr>
              <w:rPr>
                <w:rFonts w:eastAsia="SimSun" w:cs="Calibri"/>
                <w:b/>
              </w:rPr>
            </w:pPr>
          </w:p>
        </w:tc>
      </w:tr>
      <w:tr w:rsidR="00C7001C" w:rsidRPr="009A22FF" w14:paraId="56004F15" w14:textId="77777777" w:rsidTr="00C7001C">
        <w:trPr>
          <w:trHeight w:val="269"/>
        </w:trPr>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FBC98FA" w14:textId="77777777" w:rsidR="00421415" w:rsidRDefault="00421415" w:rsidP="005379F0">
            <w:pPr>
              <w:jc w:val="center"/>
              <w:rPr>
                <w:rFonts w:asciiTheme="minorHAnsi" w:hAnsiTheme="minorHAnsi" w:cs="Arial"/>
                <w:b/>
                <w:i/>
                <w:iCs/>
                <w:sz w:val="22"/>
                <w:szCs w:val="22"/>
              </w:rPr>
            </w:pPr>
            <w:r w:rsidRPr="00A530CD">
              <w:rPr>
                <w:rFonts w:asciiTheme="minorHAnsi" w:hAnsiTheme="minorHAnsi" w:cs="Arial"/>
                <w:b/>
                <w:i/>
                <w:iCs/>
                <w:sz w:val="22"/>
                <w:szCs w:val="22"/>
              </w:rPr>
              <w:t>Deputy Representative</w:t>
            </w:r>
          </w:p>
          <w:p w14:paraId="214573D5" w14:textId="77777777" w:rsidR="00421415" w:rsidRPr="00A530CD" w:rsidRDefault="00421415" w:rsidP="005379F0">
            <w:pPr>
              <w:jc w:val="center"/>
              <w:rPr>
                <w:rFonts w:asciiTheme="minorHAnsi" w:hAnsiTheme="minorHAnsi" w:cs="Arial"/>
                <w:b/>
                <w:i/>
                <w:iCs/>
                <w:sz w:val="22"/>
                <w:szCs w:val="22"/>
              </w:rPr>
            </w:pPr>
          </w:p>
        </w:tc>
        <w:tc>
          <w:tcPr>
            <w:tcW w:w="39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797106" w14:textId="77777777" w:rsidR="00421415" w:rsidRPr="00421415" w:rsidRDefault="00421415" w:rsidP="00C7001C">
            <w:pPr>
              <w:jc w:val="center"/>
              <w:rPr>
                <w:rFonts w:eastAsia="SimSun" w:cs="Calibri"/>
                <w:bCs/>
              </w:rPr>
            </w:pPr>
          </w:p>
          <w:p w14:paraId="4DF1A0F6" w14:textId="77777777" w:rsidR="00421415" w:rsidRPr="00421415" w:rsidRDefault="00421415" w:rsidP="00C7001C">
            <w:pPr>
              <w:jc w:val="center"/>
              <w:rPr>
                <w:rFonts w:eastAsia="SimSun" w:cs="Calibri"/>
                <w:bCs/>
              </w:rPr>
            </w:pPr>
            <w:r w:rsidRPr="00421415">
              <w:rPr>
                <w:rFonts w:eastAsia="SimSun" w:cs="Calibri"/>
                <w:bCs/>
              </w:rPr>
              <w:t>Veera Mendonca</w:t>
            </w:r>
          </w:p>
          <w:p w14:paraId="49B8D688" w14:textId="77777777" w:rsidR="00421415" w:rsidRPr="00421415" w:rsidRDefault="00421415" w:rsidP="00C7001C">
            <w:pPr>
              <w:jc w:val="center"/>
              <w:rPr>
                <w:rFonts w:eastAsia="SimSun" w:cs="Calibri"/>
                <w:bCs/>
              </w:rPr>
            </w:pPr>
          </w:p>
          <w:p w14:paraId="530B0A8E" w14:textId="77777777" w:rsidR="00421415" w:rsidRPr="00421415" w:rsidRDefault="00421415" w:rsidP="00C7001C">
            <w:pPr>
              <w:jc w:val="center"/>
              <w:rPr>
                <w:rFonts w:eastAsia="SimSun" w:cs="Calibri"/>
                <w:bCs/>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A0B9AF" w14:textId="77777777" w:rsidR="00421415" w:rsidRPr="00015A15" w:rsidRDefault="00421415" w:rsidP="00421415">
            <w:pPr>
              <w:rPr>
                <w:rFonts w:eastAsia="SimSun" w:cs="Calibri"/>
                <w:b/>
              </w:rPr>
            </w:pPr>
          </w:p>
        </w:tc>
      </w:tr>
    </w:tbl>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2C0C5DE4" w:rsidR="007D5F6E" w:rsidRDefault="007D5F6E" w:rsidP="00362333">
      <w:pPr>
        <w:jc w:val="both"/>
        <w:rPr>
          <w:rFonts w:asciiTheme="minorHAnsi" w:hAnsiTheme="minorHAnsi"/>
          <w:sz w:val="22"/>
          <w:szCs w:val="22"/>
        </w:rPr>
      </w:pP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1"/>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36A6" w14:textId="77777777" w:rsidR="004E1F9D" w:rsidRDefault="004E1F9D">
      <w:r>
        <w:separator/>
      </w:r>
    </w:p>
  </w:endnote>
  <w:endnote w:type="continuationSeparator" w:id="0">
    <w:p w14:paraId="13562240" w14:textId="77777777" w:rsidR="004E1F9D" w:rsidRDefault="004E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3882" w14:textId="77777777" w:rsidR="004E1F9D" w:rsidRDefault="004E1F9D">
      <w:r>
        <w:separator/>
      </w:r>
    </w:p>
  </w:footnote>
  <w:footnote w:type="continuationSeparator" w:id="0">
    <w:p w14:paraId="5DC692FC" w14:textId="77777777" w:rsidR="004E1F9D" w:rsidRDefault="004E1F9D">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E5D8470"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9471B05"/>
    <w:multiLevelType w:val="multilevel"/>
    <w:tmpl w:val="6234CC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Da0MDM2Mja2NLNQ0lEKTi0uzszPAykwrAUA6X32CiwAAAA="/>
  </w:docVars>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826E5"/>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460C"/>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545E"/>
    <w:rsid w:val="001E5FFB"/>
    <w:rsid w:val="001F1185"/>
    <w:rsid w:val="001F6A78"/>
    <w:rsid w:val="00205E2F"/>
    <w:rsid w:val="00206366"/>
    <w:rsid w:val="00210830"/>
    <w:rsid w:val="00213DE9"/>
    <w:rsid w:val="00214453"/>
    <w:rsid w:val="002146F1"/>
    <w:rsid w:val="002236C0"/>
    <w:rsid w:val="00227651"/>
    <w:rsid w:val="00231080"/>
    <w:rsid w:val="00232B85"/>
    <w:rsid w:val="00233245"/>
    <w:rsid w:val="00233BC6"/>
    <w:rsid w:val="00247285"/>
    <w:rsid w:val="00251DC3"/>
    <w:rsid w:val="00253C35"/>
    <w:rsid w:val="00254B72"/>
    <w:rsid w:val="002627B9"/>
    <w:rsid w:val="00264883"/>
    <w:rsid w:val="00267685"/>
    <w:rsid w:val="00282292"/>
    <w:rsid w:val="00283E5B"/>
    <w:rsid w:val="002A43EA"/>
    <w:rsid w:val="002B2644"/>
    <w:rsid w:val="002B5F80"/>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3A25"/>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A6C30"/>
    <w:rsid w:val="003B3AAD"/>
    <w:rsid w:val="003B6B1E"/>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1415"/>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1F9D"/>
    <w:rsid w:val="004E376B"/>
    <w:rsid w:val="0050623E"/>
    <w:rsid w:val="00513645"/>
    <w:rsid w:val="005208C5"/>
    <w:rsid w:val="00522706"/>
    <w:rsid w:val="00524493"/>
    <w:rsid w:val="00532AB5"/>
    <w:rsid w:val="0053366E"/>
    <w:rsid w:val="005379F0"/>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346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22899"/>
    <w:rsid w:val="00722E94"/>
    <w:rsid w:val="007250FD"/>
    <w:rsid w:val="00730C79"/>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42E2B"/>
    <w:rsid w:val="00851105"/>
    <w:rsid w:val="00860703"/>
    <w:rsid w:val="00862E0B"/>
    <w:rsid w:val="00865585"/>
    <w:rsid w:val="008736FE"/>
    <w:rsid w:val="00873995"/>
    <w:rsid w:val="008778C5"/>
    <w:rsid w:val="00880136"/>
    <w:rsid w:val="00882802"/>
    <w:rsid w:val="00885186"/>
    <w:rsid w:val="008917AE"/>
    <w:rsid w:val="00891FAF"/>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22FF"/>
    <w:rsid w:val="009B65C0"/>
    <w:rsid w:val="009D0FE8"/>
    <w:rsid w:val="009D4EEE"/>
    <w:rsid w:val="009D7CAD"/>
    <w:rsid w:val="009E2C45"/>
    <w:rsid w:val="009E33E1"/>
    <w:rsid w:val="009F1B60"/>
    <w:rsid w:val="009F302A"/>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47EA"/>
    <w:rsid w:val="00A96F0A"/>
    <w:rsid w:val="00AA2F22"/>
    <w:rsid w:val="00AB48E7"/>
    <w:rsid w:val="00AB6F56"/>
    <w:rsid w:val="00AB77E8"/>
    <w:rsid w:val="00AC457E"/>
    <w:rsid w:val="00AD0832"/>
    <w:rsid w:val="00AD34CC"/>
    <w:rsid w:val="00AD6F5D"/>
    <w:rsid w:val="00AF0D2A"/>
    <w:rsid w:val="00AF305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C78"/>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01C"/>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46A0C"/>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374-EEEA-45C5-9FF0-65E0F37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Edith Homonnai</cp:lastModifiedBy>
  <cp:revision>2</cp:revision>
  <cp:lastPrinted>2021-07-01T11:10:00Z</cp:lastPrinted>
  <dcterms:created xsi:type="dcterms:W3CDTF">2021-07-04T06:20:00Z</dcterms:created>
  <dcterms:modified xsi:type="dcterms:W3CDTF">2021-07-04T06:20:00Z</dcterms:modified>
</cp:coreProperties>
</file>