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656BDCE5"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066B50">
              <w:rPr>
                <w:rFonts w:asciiTheme="minorHAnsi" w:hAnsiTheme="minorHAnsi" w:cstheme="minorHAnsi"/>
                <w:color w:val="000000" w:themeColor="text1"/>
                <w:sz w:val="22"/>
                <w:szCs w:val="22"/>
              </w:rPr>
              <w:t>UNICEF Belarus CO</w:t>
            </w:r>
          </w:p>
        </w:tc>
      </w:tr>
      <w:tr w:rsidR="001142CC" w:rsidRPr="00392F18" w14:paraId="58569FBE" w14:textId="77777777" w:rsidTr="0058634B">
        <w:trPr>
          <w:trHeight w:val="430"/>
        </w:trPr>
        <w:tc>
          <w:tcPr>
            <w:tcW w:w="10800" w:type="dxa"/>
            <w:shd w:val="pct15" w:color="auto" w:fill="FFFFFF"/>
          </w:tcPr>
          <w:p w14:paraId="4C78FB89" w14:textId="0ED90614"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893D68" w:rsidRPr="00893D68">
              <w:rPr>
                <w:rFonts w:asciiTheme="minorHAnsi" w:hAnsiTheme="minorHAnsi" w:cstheme="minorHAnsi"/>
                <w:b/>
                <w:bCs/>
                <w:color w:val="000000" w:themeColor="text1"/>
                <w:sz w:val="22"/>
                <w:szCs w:val="22"/>
              </w:rPr>
              <w:t>International Consultant to support UNICEF Belarus Country Office in conducting the Situational Analysis of the situation of children and adolescents in the Republic of Belarus</w:t>
            </w:r>
          </w:p>
        </w:tc>
      </w:tr>
      <w:tr w:rsidR="00B73E53" w:rsidRPr="00392F18" w14:paraId="4BA3379B" w14:textId="77777777" w:rsidTr="00CE73B9">
        <w:trPr>
          <w:trHeight w:val="516"/>
        </w:trPr>
        <w:tc>
          <w:tcPr>
            <w:tcW w:w="10800" w:type="dxa"/>
          </w:tcPr>
          <w:p w14:paraId="0E82D147" w14:textId="2BFE14EE"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893D68" w:rsidRPr="00893D68">
              <w:rPr>
                <w:rFonts w:asciiTheme="minorHAnsi" w:hAnsiTheme="minorHAnsi" w:cstheme="minorHAnsi"/>
                <w:color w:val="000000" w:themeColor="text1"/>
                <w:sz w:val="22"/>
                <w:szCs w:val="22"/>
              </w:rPr>
              <w:t>UNICEF Belarus Country Office (CO) seeks to hire an international consultant to support development of the Situational Analysis of children and adolescents in the Republic of Belarus (SitAn) for the period of September 2020 - June 2024.</w:t>
            </w:r>
            <w:r w:rsidR="0066621A">
              <w:rPr>
                <w:rFonts w:asciiTheme="minorHAnsi" w:hAnsiTheme="minorHAnsi" w:cstheme="minorHAnsi"/>
                <w:color w:val="000000" w:themeColor="text1"/>
                <w:sz w:val="22"/>
                <w:szCs w:val="22"/>
              </w:rPr>
              <w:t xml:space="preserve"> </w:t>
            </w:r>
          </w:p>
        </w:tc>
      </w:tr>
      <w:tr w:rsidR="00B73E53" w:rsidRPr="00392F18" w14:paraId="3E6B3087" w14:textId="77777777" w:rsidTr="00016AB4">
        <w:tc>
          <w:tcPr>
            <w:tcW w:w="10800" w:type="dxa"/>
          </w:tcPr>
          <w:p w14:paraId="4F991298" w14:textId="06015AB8"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893D68" w:rsidRPr="00893D68">
              <w:rPr>
                <w:rFonts w:asciiTheme="minorHAnsi" w:hAnsiTheme="minorHAnsi" w:cstheme="minorHAnsi"/>
                <w:sz w:val="22"/>
                <w:szCs w:val="22"/>
              </w:rPr>
              <w:t>The Monitoring and Evaluation Specialist is the contract manager and major focal point responsible for coordinating the performance of the tasks, providing necessary documents, arranging consultations and other steps necessary to complete planned deliverables.</w:t>
            </w:r>
          </w:p>
        </w:tc>
      </w:tr>
    </w:tbl>
    <w:p w14:paraId="7A2C3021" w14:textId="57876B23" w:rsidR="0005047B" w:rsidRDefault="0005047B" w:rsidP="0005047B">
      <w:pPr>
        <w:jc w:val="both"/>
        <w:rPr>
          <w:rFonts w:asciiTheme="minorHAnsi" w:hAnsiTheme="minorHAnsi" w:cstheme="minorHAnsi"/>
          <w:sz w:val="22"/>
          <w:szCs w:val="22"/>
        </w:rPr>
      </w:pPr>
    </w:p>
    <w:tbl>
      <w:tblPr>
        <w:tblW w:w="9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4348"/>
        <w:gridCol w:w="1499"/>
        <w:gridCol w:w="1498"/>
      </w:tblGrid>
      <w:tr w:rsidR="00B5296B" w:rsidRPr="00F158B5" w14:paraId="31E01E45" w14:textId="77777777" w:rsidTr="0096021C">
        <w:trPr>
          <w:trHeight w:val="1198"/>
          <w:tblHeader/>
        </w:trPr>
        <w:tc>
          <w:tcPr>
            <w:tcW w:w="2275" w:type="dxa"/>
            <w:shd w:val="clear" w:color="auto" w:fill="DDD9C3" w:themeFill="background2" w:themeFillShade="E6"/>
            <w:vAlign w:val="center"/>
          </w:tcPr>
          <w:p w14:paraId="0ED81126" w14:textId="22D07647" w:rsidR="00B5296B" w:rsidRPr="003C5AC0" w:rsidRDefault="00B5296B" w:rsidP="00B5296B">
            <w:pPr>
              <w:jc w:val="center"/>
              <w:rPr>
                <w:rFonts w:asciiTheme="minorHAnsi" w:hAnsiTheme="minorHAnsi" w:cstheme="minorBidi"/>
                <w:b/>
                <w:lang w:eastAsia="sr-Latn-CS"/>
              </w:rPr>
            </w:pPr>
            <w:r w:rsidRPr="003C5AC0">
              <w:rPr>
                <w:rFonts w:asciiTheme="minorHAnsi" w:hAnsiTheme="minorHAnsi" w:cstheme="minorBidi"/>
                <w:b/>
                <w:lang w:eastAsia="sr-Latn-CS"/>
              </w:rPr>
              <w:t>Work Assignment Overview</w:t>
            </w:r>
          </w:p>
        </w:tc>
        <w:tc>
          <w:tcPr>
            <w:tcW w:w="4348" w:type="dxa"/>
            <w:shd w:val="clear" w:color="auto" w:fill="DDD9C3" w:themeFill="background2" w:themeFillShade="E6"/>
            <w:vAlign w:val="center"/>
          </w:tcPr>
          <w:p w14:paraId="12168924" w14:textId="34EF5412" w:rsidR="00B5296B" w:rsidRPr="003C5AC0" w:rsidRDefault="00B5296B" w:rsidP="00B5296B">
            <w:pPr>
              <w:jc w:val="center"/>
              <w:rPr>
                <w:rFonts w:asciiTheme="minorHAnsi" w:hAnsiTheme="minorHAnsi" w:cstheme="minorBidi"/>
                <w:b/>
                <w:lang w:eastAsia="sr-Latn-CS"/>
              </w:rPr>
            </w:pPr>
            <w:r w:rsidRPr="003C5AC0">
              <w:rPr>
                <w:rFonts w:asciiTheme="minorHAnsi" w:hAnsiTheme="minorHAnsi" w:cstheme="minorBidi"/>
                <w:b/>
                <w:lang w:eastAsia="sr-Latn-CS"/>
              </w:rPr>
              <w:t>Deliverables/ Outputs</w:t>
            </w:r>
          </w:p>
        </w:tc>
        <w:tc>
          <w:tcPr>
            <w:tcW w:w="1499" w:type="dxa"/>
            <w:shd w:val="clear" w:color="auto" w:fill="DDD9C3" w:themeFill="background2" w:themeFillShade="E6"/>
            <w:vAlign w:val="center"/>
          </w:tcPr>
          <w:p w14:paraId="0597F59C" w14:textId="280F3219" w:rsidR="00B5296B" w:rsidRPr="003C5AC0" w:rsidRDefault="00B5296B" w:rsidP="00B5296B">
            <w:pPr>
              <w:jc w:val="center"/>
              <w:rPr>
                <w:rFonts w:asciiTheme="minorHAnsi" w:hAnsiTheme="minorHAnsi" w:cstheme="minorBidi"/>
                <w:b/>
                <w:lang w:eastAsia="sr-Latn-CS"/>
              </w:rPr>
            </w:pPr>
            <w:r w:rsidRPr="003C5AC0">
              <w:rPr>
                <w:rFonts w:asciiTheme="minorHAnsi" w:hAnsiTheme="minorHAnsi" w:cstheme="minorBidi"/>
                <w:b/>
                <w:lang w:eastAsia="sr-Latn-CS"/>
              </w:rPr>
              <w:t>Delivery deadline</w:t>
            </w:r>
          </w:p>
        </w:tc>
        <w:tc>
          <w:tcPr>
            <w:tcW w:w="1498" w:type="dxa"/>
            <w:shd w:val="clear" w:color="auto" w:fill="DDD9C3" w:themeFill="background2" w:themeFillShade="E6"/>
          </w:tcPr>
          <w:p w14:paraId="31B618BF" w14:textId="28537665" w:rsidR="00B5296B" w:rsidRPr="5BB71389" w:rsidRDefault="00B5296B" w:rsidP="00B5296B">
            <w:pPr>
              <w:jc w:val="center"/>
              <w:rPr>
                <w:rFonts w:asciiTheme="minorHAnsi" w:hAnsiTheme="minorHAnsi" w:cstheme="minorBidi"/>
                <w:b/>
                <w:lang w:eastAsia="sr-Latn-CS"/>
              </w:rPr>
            </w:pPr>
            <w:r w:rsidRPr="00697648">
              <w:rPr>
                <w:rFonts w:asciiTheme="minorHAnsi" w:hAnsiTheme="minorHAnsi" w:cstheme="minorBidi"/>
                <w:b/>
                <w:lang w:eastAsia="sr-Latn-CS"/>
              </w:rPr>
              <w:t>Lumpsum fee* per deliverable (USD)</w:t>
            </w:r>
          </w:p>
        </w:tc>
      </w:tr>
      <w:tr w:rsidR="00B5296B" w:rsidRPr="225811B0" w14:paraId="506C0085" w14:textId="77777777" w:rsidTr="0096021C">
        <w:trPr>
          <w:trHeight w:val="1323"/>
        </w:trPr>
        <w:tc>
          <w:tcPr>
            <w:tcW w:w="2275" w:type="dxa"/>
            <w:tcBorders>
              <w:bottom w:val="single" w:sz="4" w:space="0" w:color="auto"/>
            </w:tcBorders>
          </w:tcPr>
          <w:p w14:paraId="7DF61075" w14:textId="5DF6680E" w:rsidR="00B5296B" w:rsidRDefault="00B5296B" w:rsidP="00B5296B">
            <w:pPr>
              <w:spacing w:before="60" w:after="60" w:line="259" w:lineRule="auto"/>
              <w:jc w:val="both"/>
              <w:rPr>
                <w:rFonts w:asciiTheme="minorHAnsi" w:hAnsiTheme="minorHAnsi" w:cstheme="minorBidi"/>
                <w:lang w:eastAsia="sr-Latn-CS"/>
              </w:rPr>
            </w:pPr>
            <w:r w:rsidRPr="007C6E66">
              <w:rPr>
                <w:rFonts w:asciiTheme="minorHAnsi" w:hAnsiTheme="minorHAnsi" w:cstheme="minorHAnsi"/>
              </w:rPr>
              <w:t>Contract signing; initial briefings with the CO</w:t>
            </w:r>
          </w:p>
        </w:tc>
        <w:tc>
          <w:tcPr>
            <w:tcW w:w="4348" w:type="dxa"/>
          </w:tcPr>
          <w:p w14:paraId="735C2A27" w14:textId="77777777" w:rsidR="00B5296B" w:rsidRDefault="00B5296B" w:rsidP="00B5296B">
            <w:pPr>
              <w:spacing w:before="60" w:after="60" w:line="259" w:lineRule="auto"/>
              <w:rPr>
                <w:rFonts w:asciiTheme="minorHAnsi" w:hAnsiTheme="minorHAnsi" w:cstheme="minorHAnsi"/>
              </w:rPr>
            </w:pPr>
            <w:r>
              <w:rPr>
                <w:rFonts w:asciiTheme="minorHAnsi" w:hAnsiTheme="minorHAnsi" w:cstheme="minorHAnsi"/>
              </w:rPr>
              <w:t>Contract signed</w:t>
            </w:r>
          </w:p>
          <w:p w14:paraId="63E25F13" w14:textId="31CA02EB" w:rsidR="00B5296B" w:rsidRDefault="00B5296B" w:rsidP="00B5296B">
            <w:pPr>
              <w:autoSpaceDE w:val="0"/>
              <w:autoSpaceDN w:val="0"/>
              <w:adjustRightInd w:val="0"/>
              <w:spacing w:before="60" w:after="60" w:line="259" w:lineRule="auto"/>
              <w:jc w:val="both"/>
              <w:rPr>
                <w:rFonts w:asciiTheme="minorHAnsi" w:hAnsiTheme="minorHAnsi" w:cstheme="minorBidi"/>
                <w:lang w:eastAsia="ru-RU"/>
              </w:rPr>
            </w:pPr>
            <w:r>
              <w:rPr>
                <w:rFonts w:asciiTheme="minorHAnsi" w:hAnsiTheme="minorHAnsi" w:cstheme="minorHAnsi"/>
              </w:rPr>
              <w:t>Briefing with the CO held</w:t>
            </w:r>
          </w:p>
        </w:tc>
        <w:tc>
          <w:tcPr>
            <w:tcW w:w="1499" w:type="dxa"/>
          </w:tcPr>
          <w:p w14:paraId="7E663E6E" w14:textId="49EDEEC9" w:rsidR="00B5296B" w:rsidRPr="225811B0" w:rsidRDefault="00B5296B" w:rsidP="00B5296B">
            <w:pPr>
              <w:tabs>
                <w:tab w:val="left" w:pos="144"/>
              </w:tabs>
              <w:spacing w:before="60" w:after="60" w:line="259" w:lineRule="auto"/>
              <w:rPr>
                <w:rFonts w:asciiTheme="minorHAnsi" w:hAnsiTheme="minorHAnsi" w:cstheme="minorBidi"/>
                <w:lang w:eastAsia="sr-Latn-CS"/>
              </w:rPr>
            </w:pPr>
            <w:r>
              <w:rPr>
                <w:rFonts w:asciiTheme="minorHAnsi" w:hAnsiTheme="minorHAnsi" w:cstheme="minorHAnsi"/>
              </w:rPr>
              <w:t>July 15, 2024</w:t>
            </w:r>
            <w:r w:rsidR="001E4360">
              <w:rPr>
                <w:rFonts w:asciiTheme="minorHAnsi" w:hAnsiTheme="minorHAnsi" w:cstheme="minorHAnsi"/>
              </w:rPr>
              <w:t xml:space="preserve"> </w:t>
            </w:r>
          </w:p>
        </w:tc>
        <w:tc>
          <w:tcPr>
            <w:tcW w:w="1498" w:type="dxa"/>
          </w:tcPr>
          <w:p w14:paraId="3375FCB2" w14:textId="77777777" w:rsidR="00B5296B" w:rsidRPr="002E4D6E" w:rsidRDefault="00B5296B" w:rsidP="00B5296B">
            <w:pPr>
              <w:tabs>
                <w:tab w:val="left" w:pos="144"/>
              </w:tabs>
              <w:spacing w:before="60" w:after="60" w:line="259" w:lineRule="auto"/>
              <w:rPr>
                <w:rFonts w:asciiTheme="minorHAnsi" w:hAnsiTheme="minorHAnsi" w:cstheme="minorHAnsi"/>
              </w:rPr>
            </w:pPr>
          </w:p>
        </w:tc>
      </w:tr>
      <w:tr w:rsidR="00B5296B" w:rsidRPr="00F158B5" w14:paraId="15749705" w14:textId="77777777" w:rsidTr="0096021C">
        <w:tc>
          <w:tcPr>
            <w:tcW w:w="2275" w:type="dxa"/>
            <w:tcBorders>
              <w:bottom w:val="single" w:sz="4" w:space="0" w:color="auto"/>
            </w:tcBorders>
          </w:tcPr>
          <w:p w14:paraId="5A5CCF92" w14:textId="66415D2A" w:rsidR="00B5296B" w:rsidRPr="00F158B5" w:rsidRDefault="00B5296B" w:rsidP="00B5296B">
            <w:pPr>
              <w:spacing w:before="60" w:after="60" w:line="259" w:lineRule="auto"/>
              <w:jc w:val="both"/>
              <w:rPr>
                <w:rFonts w:asciiTheme="minorHAnsi" w:hAnsiTheme="minorHAnsi" w:cstheme="minorBidi"/>
                <w:lang w:eastAsia="sr-Latn-CS"/>
              </w:rPr>
            </w:pPr>
            <w:r>
              <w:rPr>
                <w:rFonts w:asciiTheme="minorHAnsi" w:hAnsiTheme="minorHAnsi" w:cstheme="minorHAnsi"/>
              </w:rPr>
              <w:t>Support provided to the CO in finalizing the SitAn structure, data sources, methodology, tools, and approaches to be defined in the inception report</w:t>
            </w:r>
          </w:p>
        </w:tc>
        <w:tc>
          <w:tcPr>
            <w:tcW w:w="4348" w:type="dxa"/>
          </w:tcPr>
          <w:p w14:paraId="39C560FE" w14:textId="77777777" w:rsidR="00B5296B" w:rsidRDefault="00B5296B" w:rsidP="00B5296B">
            <w:pPr>
              <w:pStyle w:val="ListParagraph"/>
              <w:numPr>
                <w:ilvl w:val="0"/>
                <w:numId w:val="53"/>
              </w:numPr>
              <w:spacing w:before="60" w:after="60" w:line="259" w:lineRule="auto"/>
              <w:ind w:left="177" w:hanging="142"/>
              <w:rPr>
                <w:rFonts w:asciiTheme="minorHAnsi" w:hAnsiTheme="minorHAnsi" w:cstheme="minorHAnsi"/>
              </w:rPr>
            </w:pPr>
            <w:r>
              <w:rPr>
                <w:rFonts w:asciiTheme="minorHAnsi" w:hAnsiTheme="minorHAnsi" w:cstheme="minorHAnsi"/>
              </w:rPr>
              <w:t>Online consultations with the national research institute and the CO conducted to achieve mutual understanding of the scope, content and expected results of the SitAn (as necessary)</w:t>
            </w:r>
          </w:p>
          <w:p w14:paraId="6426BBB9" w14:textId="77777777" w:rsidR="00B5296B" w:rsidRDefault="00B5296B" w:rsidP="00B5296B">
            <w:pPr>
              <w:pStyle w:val="ListParagraph"/>
              <w:numPr>
                <w:ilvl w:val="0"/>
                <w:numId w:val="53"/>
              </w:numPr>
              <w:spacing w:before="60" w:after="60" w:line="259" w:lineRule="auto"/>
              <w:ind w:left="177" w:hanging="142"/>
              <w:rPr>
                <w:rFonts w:asciiTheme="minorHAnsi" w:hAnsiTheme="minorHAnsi" w:cstheme="minorHAnsi"/>
              </w:rPr>
            </w:pPr>
            <w:r>
              <w:rPr>
                <w:rFonts w:asciiTheme="minorHAnsi" w:hAnsiTheme="minorHAnsi" w:cstheme="minorHAnsi"/>
              </w:rPr>
              <w:t>Online consultations with the national research institute and the CO M&amp;E specialist conducted to provide recommendations and expertise to identify data sources, appropriate tools and methodology to ensure robust analysis</w:t>
            </w:r>
          </w:p>
          <w:p w14:paraId="3CFCA50A" w14:textId="77777777" w:rsidR="00B5296B" w:rsidRDefault="00B5296B" w:rsidP="00B5296B">
            <w:pPr>
              <w:pStyle w:val="ListParagraph"/>
              <w:numPr>
                <w:ilvl w:val="0"/>
                <w:numId w:val="53"/>
              </w:numPr>
              <w:spacing w:before="60" w:after="60" w:line="259" w:lineRule="auto"/>
              <w:ind w:left="177" w:hanging="142"/>
              <w:rPr>
                <w:rFonts w:asciiTheme="minorHAnsi" w:hAnsiTheme="minorHAnsi" w:cstheme="minorHAnsi"/>
              </w:rPr>
            </w:pPr>
            <w:r>
              <w:rPr>
                <w:rFonts w:asciiTheme="minorHAnsi" w:hAnsiTheme="minorHAnsi" w:cstheme="minorHAnsi"/>
              </w:rPr>
              <w:t>Review and finalization of the SitAn inception report to ensure its high quality, feasibility of proposed methodology to achieve planned results, objectiveness and reliability of proposed data sources and integration of the key cross-cutting issues such as disability, gender, human-rights based approach into the SitAn</w:t>
            </w:r>
          </w:p>
          <w:p w14:paraId="73197EDF" w14:textId="43543BA3" w:rsidR="00B5296B" w:rsidRPr="00E60A82" w:rsidRDefault="00B5296B" w:rsidP="00B5296B">
            <w:pPr>
              <w:pStyle w:val="ListParagraph"/>
              <w:numPr>
                <w:ilvl w:val="0"/>
                <w:numId w:val="50"/>
              </w:numPr>
              <w:autoSpaceDE w:val="0"/>
              <w:autoSpaceDN w:val="0"/>
              <w:adjustRightInd w:val="0"/>
              <w:spacing w:before="60" w:after="60" w:line="259" w:lineRule="auto"/>
              <w:ind w:left="177" w:hanging="142"/>
              <w:jc w:val="both"/>
              <w:rPr>
                <w:rFonts w:asciiTheme="minorHAnsi" w:hAnsiTheme="minorHAnsi" w:cstheme="minorBidi"/>
                <w:lang w:eastAsia="ru-RU"/>
              </w:rPr>
            </w:pPr>
            <w:r>
              <w:rPr>
                <w:rFonts w:asciiTheme="minorHAnsi" w:hAnsiTheme="minorHAnsi" w:cstheme="minorHAnsi"/>
              </w:rPr>
              <w:t>Comments resulting from the review are provided in writing and integrated in the final inception report to be approved by the CO</w:t>
            </w:r>
          </w:p>
        </w:tc>
        <w:tc>
          <w:tcPr>
            <w:tcW w:w="1499" w:type="dxa"/>
          </w:tcPr>
          <w:p w14:paraId="342526E0" w14:textId="10CF7488" w:rsidR="00B5296B" w:rsidRPr="00F158B5" w:rsidRDefault="00B5296B" w:rsidP="00B5296B">
            <w:pPr>
              <w:tabs>
                <w:tab w:val="left" w:pos="144"/>
              </w:tabs>
              <w:spacing w:before="60" w:after="60" w:line="259" w:lineRule="auto"/>
              <w:rPr>
                <w:rFonts w:asciiTheme="minorHAnsi" w:hAnsiTheme="minorHAnsi" w:cstheme="minorBidi"/>
                <w:lang w:eastAsia="sr-Latn-CS"/>
              </w:rPr>
            </w:pPr>
            <w:r>
              <w:rPr>
                <w:rFonts w:asciiTheme="minorHAnsi" w:hAnsiTheme="minorHAnsi" w:cstheme="minorHAnsi"/>
              </w:rPr>
              <w:t>July 15-31, 2024</w:t>
            </w:r>
          </w:p>
        </w:tc>
        <w:tc>
          <w:tcPr>
            <w:tcW w:w="1498" w:type="dxa"/>
          </w:tcPr>
          <w:p w14:paraId="10512E94" w14:textId="77777777" w:rsidR="00B5296B" w:rsidRPr="225811B0" w:rsidRDefault="00B5296B" w:rsidP="00B5296B">
            <w:pPr>
              <w:tabs>
                <w:tab w:val="left" w:pos="144"/>
              </w:tabs>
              <w:spacing w:before="60" w:after="60" w:line="259" w:lineRule="auto"/>
              <w:rPr>
                <w:rFonts w:asciiTheme="minorHAnsi" w:hAnsiTheme="minorHAnsi" w:cstheme="minorBidi"/>
                <w:lang w:eastAsia="sr-Latn-CS"/>
              </w:rPr>
            </w:pPr>
          </w:p>
        </w:tc>
      </w:tr>
      <w:tr w:rsidR="00B5296B" w:rsidRPr="00F158B5" w14:paraId="42FDB0B9" w14:textId="77777777" w:rsidTr="0096021C">
        <w:trPr>
          <w:trHeight w:val="470"/>
        </w:trPr>
        <w:tc>
          <w:tcPr>
            <w:tcW w:w="2275" w:type="dxa"/>
            <w:tcBorders>
              <w:bottom w:val="single" w:sz="4" w:space="0" w:color="auto"/>
            </w:tcBorders>
          </w:tcPr>
          <w:p w14:paraId="34D25796" w14:textId="4555376C" w:rsidR="00B5296B" w:rsidRPr="003C4A84" w:rsidRDefault="00B5296B" w:rsidP="00B5296B">
            <w:pPr>
              <w:autoSpaceDE w:val="0"/>
              <w:autoSpaceDN w:val="0"/>
              <w:adjustRightInd w:val="0"/>
              <w:spacing w:before="60" w:after="60" w:line="259" w:lineRule="auto"/>
              <w:jc w:val="both"/>
              <w:rPr>
                <w:rFonts w:asciiTheme="minorHAnsi" w:hAnsiTheme="minorHAnsi" w:cstheme="minorBidi"/>
                <w:lang w:eastAsia="sr-Latn-CS"/>
              </w:rPr>
            </w:pPr>
            <w:r>
              <w:rPr>
                <w:rFonts w:asciiTheme="minorHAnsi" w:hAnsiTheme="minorHAnsi" w:cstheme="minorHAnsi"/>
              </w:rPr>
              <w:t>Oversight and support provided to the CO and to the national research institute in the process of the SitAn development to ensure robust results</w:t>
            </w:r>
          </w:p>
        </w:tc>
        <w:tc>
          <w:tcPr>
            <w:tcW w:w="4348" w:type="dxa"/>
          </w:tcPr>
          <w:p w14:paraId="2661167C"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sidRPr="00A84048">
              <w:rPr>
                <w:rFonts w:asciiTheme="minorHAnsi" w:hAnsiTheme="minorHAnsi" w:cstheme="minorHAnsi"/>
              </w:rPr>
              <w:t>Ongoing online consultations and support provided to the national research institution and the CO to ensure implementation of the SitAn in line with the inception report, agreed methodology and UNICEF requirements</w:t>
            </w:r>
            <w:r>
              <w:rPr>
                <w:rFonts w:asciiTheme="minorHAnsi" w:hAnsiTheme="minorHAnsi" w:cstheme="minorHAnsi"/>
              </w:rPr>
              <w:t xml:space="preserve"> (as necessary)</w:t>
            </w:r>
          </w:p>
          <w:p w14:paraId="75A85A00"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sidRPr="00A84048">
              <w:rPr>
                <w:rFonts w:asciiTheme="minorHAnsi" w:hAnsiTheme="minorHAnsi" w:cstheme="minorHAnsi"/>
              </w:rPr>
              <w:t xml:space="preserve">Developed SitAn materials to support each child rights domain are reviewed </w:t>
            </w:r>
            <w:r>
              <w:rPr>
                <w:rFonts w:asciiTheme="minorHAnsi" w:hAnsiTheme="minorHAnsi" w:cstheme="minorHAnsi"/>
              </w:rPr>
              <w:t xml:space="preserve">when available </w:t>
            </w:r>
            <w:r w:rsidRPr="00A84048">
              <w:rPr>
                <w:rFonts w:asciiTheme="minorHAnsi" w:hAnsiTheme="minorHAnsi" w:cstheme="minorHAnsi"/>
              </w:rPr>
              <w:t xml:space="preserve">for data completeness and integrity, data and analysis gaps are identified, recommendations are provided on addressing identified </w:t>
            </w:r>
            <w:r>
              <w:rPr>
                <w:rFonts w:asciiTheme="minorHAnsi" w:hAnsiTheme="minorHAnsi" w:cstheme="minorHAnsi"/>
              </w:rPr>
              <w:t xml:space="preserve">data </w:t>
            </w:r>
            <w:r w:rsidRPr="00A84048">
              <w:rPr>
                <w:rFonts w:asciiTheme="minorHAnsi" w:hAnsiTheme="minorHAnsi" w:cstheme="minorHAnsi"/>
              </w:rPr>
              <w:t>gaps</w:t>
            </w:r>
          </w:p>
          <w:p w14:paraId="5691B2BA"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t>Reflecting the situation of the most vulnerable groups of children, capturing any substantial differences resulting from disability, gender, other key risk factors is ensured as feasible</w:t>
            </w:r>
          </w:p>
          <w:p w14:paraId="2E8265CF"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lastRenderedPageBreak/>
              <w:t>Recommendations are provided to the CO on enhancing the quality and applicability of the final product</w:t>
            </w:r>
          </w:p>
          <w:p w14:paraId="503B3435" w14:textId="5B8880AD" w:rsidR="00B5296B" w:rsidRPr="00526568" w:rsidRDefault="00B5296B" w:rsidP="00B5296B">
            <w:pPr>
              <w:pStyle w:val="ListParagraph"/>
              <w:numPr>
                <w:ilvl w:val="0"/>
                <w:numId w:val="51"/>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rPr>
              <w:t>A visit to Minsk, Belarus is conducted (tentatively in the last week of August – first week of September 2024, 4 days consultancy visit) for in person consultations with the national research institute and the CO to enhance the SitAn and verify any data as relevant</w:t>
            </w:r>
          </w:p>
        </w:tc>
        <w:tc>
          <w:tcPr>
            <w:tcW w:w="1499" w:type="dxa"/>
          </w:tcPr>
          <w:p w14:paraId="0A4EB8B0" w14:textId="61783B23" w:rsidR="00B5296B" w:rsidRPr="00F158B5" w:rsidRDefault="00B5296B" w:rsidP="00B5296B">
            <w:pPr>
              <w:tabs>
                <w:tab w:val="left" w:pos="144"/>
              </w:tabs>
              <w:spacing w:before="60" w:after="60" w:line="259" w:lineRule="auto"/>
              <w:rPr>
                <w:rFonts w:asciiTheme="minorHAnsi" w:hAnsiTheme="minorHAnsi" w:cstheme="minorHAnsi"/>
                <w:iCs/>
                <w:lang w:eastAsia="sr-Latn-CS"/>
              </w:rPr>
            </w:pPr>
            <w:r>
              <w:rPr>
                <w:rFonts w:asciiTheme="minorHAnsi" w:hAnsiTheme="minorHAnsi" w:cstheme="minorHAnsi"/>
              </w:rPr>
              <w:lastRenderedPageBreak/>
              <w:t>1 August – 15 September, 2024</w:t>
            </w:r>
          </w:p>
        </w:tc>
        <w:tc>
          <w:tcPr>
            <w:tcW w:w="1498" w:type="dxa"/>
          </w:tcPr>
          <w:p w14:paraId="090FECD7" w14:textId="77777777" w:rsidR="00B5296B" w:rsidRDefault="00B5296B" w:rsidP="00B5296B">
            <w:pPr>
              <w:tabs>
                <w:tab w:val="left" w:pos="144"/>
              </w:tabs>
              <w:spacing w:before="60" w:after="60" w:line="259" w:lineRule="auto"/>
              <w:rPr>
                <w:rFonts w:asciiTheme="minorHAnsi" w:hAnsiTheme="minorHAnsi" w:cstheme="minorHAnsi"/>
                <w:iCs/>
                <w:lang w:eastAsia="sr-Latn-CS"/>
              </w:rPr>
            </w:pPr>
          </w:p>
        </w:tc>
      </w:tr>
      <w:tr w:rsidR="00B5296B" w:rsidRPr="003F1D8D" w14:paraId="7AB4BA22" w14:textId="77777777" w:rsidTr="0096021C">
        <w:trPr>
          <w:trHeight w:val="470"/>
        </w:trPr>
        <w:tc>
          <w:tcPr>
            <w:tcW w:w="2275" w:type="dxa"/>
            <w:tcBorders>
              <w:bottom w:val="single" w:sz="4" w:space="0" w:color="auto"/>
            </w:tcBorders>
          </w:tcPr>
          <w:p w14:paraId="19718107" w14:textId="74397637" w:rsidR="00B5296B" w:rsidRPr="003C4A84" w:rsidRDefault="00B5296B" w:rsidP="00B5296B">
            <w:pPr>
              <w:autoSpaceDE w:val="0"/>
              <w:autoSpaceDN w:val="0"/>
              <w:adjustRightInd w:val="0"/>
              <w:spacing w:before="60" w:after="60" w:line="259" w:lineRule="auto"/>
              <w:jc w:val="both"/>
              <w:rPr>
                <w:rFonts w:asciiTheme="minorHAnsi" w:hAnsiTheme="minorHAnsi" w:cstheme="minorBidi"/>
                <w:lang w:eastAsia="sr-Latn-CS"/>
              </w:rPr>
            </w:pPr>
            <w:r>
              <w:rPr>
                <w:rFonts w:asciiTheme="minorHAnsi" w:hAnsiTheme="minorHAnsi" w:cstheme="minorHAnsi"/>
              </w:rPr>
              <w:t xml:space="preserve">The draft SitAn report is reviewed, recommendations are provided on enhancing the content and streamlining it with UNICEF requirements provided </w:t>
            </w:r>
          </w:p>
        </w:tc>
        <w:tc>
          <w:tcPr>
            <w:tcW w:w="4348" w:type="dxa"/>
          </w:tcPr>
          <w:p w14:paraId="4EC559A2"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t>The draft SitAn report is reviewed for data verification, integrity of causality links between identified factors impacting the rights and best interests of the child and provided recommendations and consistency of methodological approaches</w:t>
            </w:r>
          </w:p>
          <w:p w14:paraId="040C7ADD"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t>The content of the report, including each domain, key findings and recommendations, is revised to properly reflect the situation of vulnerable groups of children and any differences resulting from such cross-cutting factors as gender equality, disability inclusion, place of living and other vulnerabilities</w:t>
            </w:r>
          </w:p>
          <w:p w14:paraId="6DD2300C"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t>The text of the report is revised for the consistency, integrity of findings and proposed recommendations, and sufficiency of analysis for each child rights domain included in the SitAn</w:t>
            </w:r>
          </w:p>
          <w:p w14:paraId="3D9DB55C" w14:textId="338A2C4E" w:rsidR="00B5296B" w:rsidRPr="00E92E98" w:rsidRDefault="00B5296B" w:rsidP="00B5296B">
            <w:pPr>
              <w:pStyle w:val="ListParagraph"/>
              <w:numPr>
                <w:ilvl w:val="0"/>
                <w:numId w:val="52"/>
              </w:numPr>
              <w:autoSpaceDE w:val="0"/>
              <w:autoSpaceDN w:val="0"/>
              <w:adjustRightInd w:val="0"/>
              <w:spacing w:before="60" w:after="60" w:line="259" w:lineRule="auto"/>
              <w:ind w:left="170" w:hanging="170"/>
              <w:jc w:val="both"/>
              <w:rPr>
                <w:rFonts w:asciiTheme="minorHAnsi" w:hAnsiTheme="minorHAnsi" w:cstheme="minorHAnsi"/>
                <w:bCs/>
                <w:lang w:eastAsia="ru-RU"/>
              </w:rPr>
            </w:pPr>
            <w:r>
              <w:rPr>
                <w:rFonts w:asciiTheme="minorHAnsi" w:hAnsiTheme="minorHAnsi" w:cstheme="minorHAnsi"/>
              </w:rPr>
              <w:t>Relevant recommendations are provided to address identified gaps, inconsistencies, and lack of analysis.</w:t>
            </w:r>
          </w:p>
        </w:tc>
        <w:tc>
          <w:tcPr>
            <w:tcW w:w="1499" w:type="dxa"/>
          </w:tcPr>
          <w:p w14:paraId="6643689B" w14:textId="61DA6767" w:rsidR="00B5296B" w:rsidRPr="003F1D8D" w:rsidRDefault="00B5296B" w:rsidP="00B5296B">
            <w:pPr>
              <w:tabs>
                <w:tab w:val="left" w:pos="144"/>
              </w:tabs>
              <w:spacing w:before="60" w:after="60" w:line="259" w:lineRule="auto"/>
              <w:rPr>
                <w:rFonts w:asciiTheme="minorHAnsi" w:hAnsiTheme="minorHAnsi" w:cstheme="minorHAnsi"/>
                <w:iCs/>
                <w:lang w:eastAsia="sr-Latn-CS"/>
              </w:rPr>
            </w:pPr>
            <w:r>
              <w:rPr>
                <w:rFonts w:asciiTheme="minorHAnsi" w:hAnsiTheme="minorHAnsi" w:cstheme="minorHAnsi"/>
              </w:rPr>
              <w:t>16 September – 10 October 2024</w:t>
            </w:r>
          </w:p>
        </w:tc>
        <w:tc>
          <w:tcPr>
            <w:tcW w:w="1498" w:type="dxa"/>
          </w:tcPr>
          <w:p w14:paraId="4310E883" w14:textId="77777777" w:rsidR="00B5296B" w:rsidRDefault="00B5296B" w:rsidP="00B5296B">
            <w:pPr>
              <w:tabs>
                <w:tab w:val="left" w:pos="144"/>
              </w:tabs>
              <w:spacing w:before="60" w:after="60" w:line="259" w:lineRule="auto"/>
              <w:rPr>
                <w:rFonts w:asciiTheme="minorHAnsi" w:hAnsiTheme="minorHAnsi" w:cstheme="minorHAnsi"/>
                <w:iCs/>
                <w:lang w:eastAsia="sr-Latn-CS"/>
              </w:rPr>
            </w:pPr>
          </w:p>
        </w:tc>
      </w:tr>
      <w:tr w:rsidR="00B5296B" w:rsidRPr="00342174" w14:paraId="31CC192D" w14:textId="77777777" w:rsidTr="0096021C">
        <w:trPr>
          <w:trHeight w:val="470"/>
        </w:trPr>
        <w:tc>
          <w:tcPr>
            <w:tcW w:w="2275" w:type="dxa"/>
          </w:tcPr>
          <w:p w14:paraId="0255B4AC" w14:textId="14CFC199" w:rsidR="00B5296B" w:rsidRPr="00AC799C" w:rsidRDefault="00B5296B" w:rsidP="00B5296B">
            <w:pPr>
              <w:autoSpaceDE w:val="0"/>
              <w:autoSpaceDN w:val="0"/>
              <w:adjustRightInd w:val="0"/>
              <w:spacing w:before="60" w:after="60" w:line="259" w:lineRule="auto"/>
              <w:jc w:val="both"/>
              <w:rPr>
                <w:rFonts w:asciiTheme="minorHAnsi" w:hAnsiTheme="minorHAnsi" w:cstheme="minorBidi"/>
                <w:lang w:eastAsia="sr-Latn-CS"/>
              </w:rPr>
            </w:pPr>
            <w:r>
              <w:rPr>
                <w:rFonts w:asciiTheme="minorHAnsi" w:hAnsiTheme="minorHAnsi" w:cstheme="minorHAnsi"/>
              </w:rPr>
              <w:t>The SitAn report is finalized in line with provided comments and the CO is provided recommendations on further research resulting from its findings and recommendations</w:t>
            </w:r>
          </w:p>
        </w:tc>
        <w:tc>
          <w:tcPr>
            <w:tcW w:w="4348" w:type="dxa"/>
          </w:tcPr>
          <w:p w14:paraId="788D969A"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t>The final SitAn report is reviewed for consistency with provided recommendations</w:t>
            </w:r>
          </w:p>
          <w:p w14:paraId="6AD78136" w14:textId="77777777" w:rsidR="00B5296B" w:rsidRPr="00336467" w:rsidRDefault="00B5296B" w:rsidP="00B5296B">
            <w:pPr>
              <w:pStyle w:val="ListParagraph"/>
              <w:numPr>
                <w:ilvl w:val="0"/>
                <w:numId w:val="54"/>
              </w:numPr>
              <w:spacing w:before="60" w:after="60" w:line="259" w:lineRule="auto"/>
              <w:ind w:left="177" w:hanging="177"/>
              <w:rPr>
                <w:rFonts w:asciiTheme="minorHAnsi" w:hAnsiTheme="minorHAnsi" w:cstheme="minorHAnsi"/>
              </w:rPr>
            </w:pPr>
            <w:r w:rsidRPr="00336467">
              <w:rPr>
                <w:rFonts w:asciiTheme="minorHAnsi" w:hAnsiTheme="minorHAnsi" w:cstheme="minorHAnsi"/>
              </w:rPr>
              <w:t>An executive summary (max 5 pages)</w:t>
            </w:r>
            <w:r>
              <w:rPr>
                <w:rFonts w:asciiTheme="minorHAnsi" w:hAnsiTheme="minorHAnsi" w:cstheme="minorHAnsi"/>
              </w:rPr>
              <w:t xml:space="preserve"> and/or a preface is developed </w:t>
            </w:r>
            <w:r w:rsidRPr="00336467">
              <w:rPr>
                <w:rFonts w:asciiTheme="minorHAnsi" w:hAnsiTheme="minorHAnsi" w:cstheme="minorHAnsi"/>
              </w:rPr>
              <w:t>by the consultant and reviewed and approved by the CO</w:t>
            </w:r>
          </w:p>
          <w:p w14:paraId="6884F651" w14:textId="77777777" w:rsidR="00B5296B"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t>The consultant participated in the final offline event to present the final SitAn report to the national partners and other key stakeholders in Minsk, Belarus (tentatively in the last week of October 2024, 3-days consultancy visit)</w:t>
            </w:r>
          </w:p>
          <w:p w14:paraId="4FEA6B73" w14:textId="77777777" w:rsidR="00B5296B" w:rsidRPr="001723B9" w:rsidRDefault="00B5296B" w:rsidP="00B5296B">
            <w:pPr>
              <w:pStyle w:val="ListParagraph"/>
              <w:numPr>
                <w:ilvl w:val="0"/>
                <w:numId w:val="54"/>
              </w:numPr>
              <w:spacing w:before="60" w:after="60" w:line="259" w:lineRule="auto"/>
              <w:ind w:left="177" w:hanging="177"/>
              <w:rPr>
                <w:rFonts w:asciiTheme="minorHAnsi" w:hAnsiTheme="minorHAnsi" w:cstheme="minorHAnsi"/>
              </w:rPr>
            </w:pPr>
            <w:r>
              <w:rPr>
                <w:rFonts w:asciiTheme="minorHAnsi" w:hAnsiTheme="minorHAnsi" w:cstheme="minorHAnsi"/>
              </w:rPr>
              <w:t xml:space="preserve">An internal offline presentation to the CO to discuss any observations from the SitAn and provide recommendations for the research and Child Rights Monitoring activities for the CO is conducted during the </w:t>
            </w:r>
            <w:r w:rsidRPr="001723B9">
              <w:rPr>
                <w:rFonts w:asciiTheme="minorHAnsi" w:hAnsiTheme="minorHAnsi" w:cstheme="minorHAnsi"/>
              </w:rPr>
              <w:t>visit</w:t>
            </w:r>
          </w:p>
          <w:p w14:paraId="23EDB689" w14:textId="6F28F570" w:rsidR="00B5296B" w:rsidRPr="0076326A" w:rsidRDefault="00B5296B" w:rsidP="00B5296B">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sidRPr="001723B9">
              <w:rPr>
                <w:rFonts w:asciiTheme="minorHAnsi" w:hAnsiTheme="minorHAnsi" w:cstheme="minorHAnsi"/>
              </w:rPr>
              <w:t>A final report by the consultant on key findings and observations made through the SitAn process and based on its results (including recommendations on further</w:t>
            </w:r>
            <w:r>
              <w:rPr>
                <w:rFonts w:asciiTheme="minorHAnsi" w:hAnsiTheme="minorHAnsi" w:cstheme="minorHAnsi"/>
              </w:rPr>
              <w:t xml:space="preserve"> research and Child Rights Monitoring activities to be prioritized by the CO in the next programme cycle) is submitted and approved by the CO.</w:t>
            </w:r>
          </w:p>
        </w:tc>
        <w:tc>
          <w:tcPr>
            <w:tcW w:w="1499" w:type="dxa"/>
          </w:tcPr>
          <w:p w14:paraId="71805A24" w14:textId="2E7DCFCD" w:rsidR="00B5296B" w:rsidRPr="00342174" w:rsidRDefault="00B5296B" w:rsidP="00B5296B">
            <w:pPr>
              <w:tabs>
                <w:tab w:val="left" w:pos="144"/>
              </w:tabs>
              <w:spacing w:before="60" w:after="60" w:line="259" w:lineRule="auto"/>
              <w:rPr>
                <w:rFonts w:asciiTheme="minorHAnsi" w:hAnsiTheme="minorHAnsi" w:cstheme="minorBidi"/>
                <w:lang w:eastAsia="sr-Latn-CS"/>
              </w:rPr>
            </w:pPr>
            <w:r>
              <w:rPr>
                <w:rFonts w:asciiTheme="minorHAnsi" w:hAnsiTheme="minorHAnsi" w:cstheme="minorHAnsi"/>
              </w:rPr>
              <w:t>11-31 October 2024</w:t>
            </w:r>
          </w:p>
        </w:tc>
        <w:tc>
          <w:tcPr>
            <w:tcW w:w="1498" w:type="dxa"/>
          </w:tcPr>
          <w:p w14:paraId="640F1601" w14:textId="77777777" w:rsidR="00B5296B" w:rsidRPr="00C24135" w:rsidRDefault="00B5296B" w:rsidP="00B5296B">
            <w:pPr>
              <w:tabs>
                <w:tab w:val="left" w:pos="144"/>
              </w:tabs>
              <w:spacing w:before="60" w:after="60" w:line="259" w:lineRule="auto"/>
              <w:rPr>
                <w:rFonts w:asciiTheme="minorHAnsi" w:hAnsiTheme="minorHAnsi" w:cstheme="minorBidi"/>
                <w:lang w:eastAsia="sr-Latn-CS"/>
              </w:rPr>
            </w:pPr>
          </w:p>
        </w:tc>
      </w:tr>
      <w:tr w:rsidR="006C259F" w:rsidRPr="00347C35" w14:paraId="013DCE66" w14:textId="77777777" w:rsidTr="00A304CC">
        <w:trPr>
          <w:trHeight w:val="470"/>
        </w:trPr>
        <w:tc>
          <w:tcPr>
            <w:tcW w:w="8122" w:type="dxa"/>
            <w:gridSpan w:val="3"/>
          </w:tcPr>
          <w:p w14:paraId="30E126D2" w14:textId="575DFCA6" w:rsidR="006C259F" w:rsidRPr="009859D2" w:rsidRDefault="009859D2" w:rsidP="009859D2">
            <w:pPr>
              <w:autoSpaceDE w:val="0"/>
              <w:autoSpaceDN w:val="0"/>
              <w:adjustRightInd w:val="0"/>
              <w:spacing w:before="60" w:after="60" w:line="259" w:lineRule="auto"/>
              <w:jc w:val="right"/>
              <w:rPr>
                <w:rFonts w:asciiTheme="minorHAnsi" w:hAnsiTheme="minorHAnsi" w:cstheme="minorHAnsi"/>
                <w:b/>
                <w:bCs/>
              </w:rPr>
            </w:pPr>
            <w:r w:rsidRPr="009859D2">
              <w:rPr>
                <w:rFonts w:asciiTheme="minorHAnsi" w:hAnsiTheme="minorHAnsi" w:cstheme="minorHAnsi"/>
                <w:b/>
                <w:bCs/>
              </w:rPr>
              <w:lastRenderedPageBreak/>
              <w:t>TOTAL COST FOR DELIVERABLES (USD):</w:t>
            </w:r>
          </w:p>
        </w:tc>
        <w:tc>
          <w:tcPr>
            <w:tcW w:w="1498" w:type="dxa"/>
          </w:tcPr>
          <w:p w14:paraId="489B19E9" w14:textId="0D6C6B07" w:rsidR="006C259F" w:rsidRPr="009859D2" w:rsidRDefault="009859D2" w:rsidP="0096021C">
            <w:pPr>
              <w:autoSpaceDE w:val="0"/>
              <w:autoSpaceDN w:val="0"/>
              <w:adjustRightInd w:val="0"/>
              <w:spacing w:before="60" w:after="60" w:line="259" w:lineRule="auto"/>
              <w:rPr>
                <w:rFonts w:asciiTheme="minorHAnsi" w:hAnsiTheme="minorHAnsi" w:cstheme="minorHAnsi"/>
                <w:b/>
                <w:bCs/>
              </w:rPr>
            </w:pPr>
            <w:r w:rsidRPr="009859D2">
              <w:rPr>
                <w:rFonts w:asciiTheme="minorHAnsi" w:hAnsiTheme="minorHAnsi" w:cstheme="minorHAnsi"/>
                <w:b/>
                <w:bCs/>
              </w:rPr>
              <w:t>USD …</w:t>
            </w:r>
          </w:p>
        </w:tc>
      </w:tr>
      <w:tr w:rsidR="006C259F" w:rsidRPr="00347C35" w14:paraId="681BC77E" w14:textId="77777777" w:rsidTr="005D20B8">
        <w:trPr>
          <w:trHeight w:val="470"/>
        </w:trPr>
        <w:tc>
          <w:tcPr>
            <w:tcW w:w="8122" w:type="dxa"/>
            <w:gridSpan w:val="3"/>
          </w:tcPr>
          <w:p w14:paraId="3531076A" w14:textId="4BB24AF0" w:rsidR="006C259F" w:rsidRPr="009859D2" w:rsidRDefault="009859D2" w:rsidP="009859D2">
            <w:pPr>
              <w:autoSpaceDE w:val="0"/>
              <w:autoSpaceDN w:val="0"/>
              <w:adjustRightInd w:val="0"/>
              <w:spacing w:before="60" w:after="60" w:line="259" w:lineRule="auto"/>
              <w:jc w:val="right"/>
              <w:rPr>
                <w:rFonts w:asciiTheme="minorHAnsi" w:hAnsiTheme="minorHAnsi" w:cstheme="minorHAnsi"/>
                <w:b/>
                <w:bCs/>
              </w:rPr>
            </w:pPr>
            <w:r w:rsidRPr="009859D2">
              <w:rPr>
                <w:rFonts w:asciiTheme="minorHAnsi" w:hAnsiTheme="minorHAnsi" w:cstheme="minorHAnsi"/>
                <w:b/>
                <w:bCs/>
              </w:rPr>
              <w:t>International travel(s) to Belarus, based on the preliminarily agreed timeline and activities</w:t>
            </w:r>
            <w:r>
              <w:rPr>
                <w:rFonts w:asciiTheme="minorHAnsi" w:hAnsiTheme="minorHAnsi" w:cstheme="minorHAnsi"/>
                <w:b/>
                <w:bCs/>
              </w:rPr>
              <w:t>:</w:t>
            </w:r>
          </w:p>
        </w:tc>
        <w:tc>
          <w:tcPr>
            <w:tcW w:w="1498" w:type="dxa"/>
          </w:tcPr>
          <w:p w14:paraId="34F64E04" w14:textId="1BB5BB96" w:rsidR="006C259F" w:rsidRPr="009859D2" w:rsidRDefault="009859D2" w:rsidP="0096021C">
            <w:pPr>
              <w:autoSpaceDE w:val="0"/>
              <w:autoSpaceDN w:val="0"/>
              <w:adjustRightInd w:val="0"/>
              <w:spacing w:before="60" w:after="60" w:line="259" w:lineRule="auto"/>
              <w:rPr>
                <w:rFonts w:asciiTheme="minorHAnsi" w:hAnsiTheme="minorHAnsi" w:cstheme="minorHAnsi"/>
                <w:b/>
                <w:bCs/>
              </w:rPr>
            </w:pPr>
            <w:r w:rsidRPr="009859D2">
              <w:rPr>
                <w:rFonts w:asciiTheme="minorHAnsi" w:hAnsiTheme="minorHAnsi" w:cstheme="minorHAnsi"/>
                <w:b/>
                <w:bCs/>
              </w:rPr>
              <w:t>USD …</w:t>
            </w:r>
          </w:p>
        </w:tc>
      </w:tr>
    </w:tbl>
    <w:p w14:paraId="445F1984" w14:textId="77777777" w:rsidR="006C259F" w:rsidRPr="00392F18" w:rsidRDefault="006C259F"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 :</w:t>
            </w:r>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BF46" w14:textId="77777777" w:rsidR="00B70978" w:rsidRDefault="00B70978" w:rsidP="00545FAA">
      <w:r>
        <w:separator/>
      </w:r>
    </w:p>
  </w:endnote>
  <w:endnote w:type="continuationSeparator" w:id="0">
    <w:p w14:paraId="0D4EA4F5" w14:textId="77777777" w:rsidR="00B70978" w:rsidRDefault="00B70978"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CE02" w14:textId="77777777" w:rsidR="00B70978" w:rsidRDefault="00B70978" w:rsidP="00545FAA">
      <w:r>
        <w:separator/>
      </w:r>
    </w:p>
  </w:footnote>
  <w:footnote w:type="continuationSeparator" w:id="0">
    <w:p w14:paraId="3BD0D950" w14:textId="77777777" w:rsidR="00B70978" w:rsidRDefault="00B70978"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271D2"/>
    <w:multiLevelType w:val="hybridMultilevel"/>
    <w:tmpl w:val="B9963C44"/>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9237B9"/>
    <w:multiLevelType w:val="hybridMultilevel"/>
    <w:tmpl w:val="EC6684D4"/>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8F1A51"/>
    <w:multiLevelType w:val="hybridMultilevel"/>
    <w:tmpl w:val="8668D458"/>
    <w:lvl w:ilvl="0" w:tplc="7C4295F8">
      <w:start w:val="17"/>
      <w:numFmt w:val="bullet"/>
      <w:lvlText w:val="-"/>
      <w:lvlJc w:val="left"/>
      <w:pPr>
        <w:ind w:left="360" w:hanging="360"/>
      </w:pPr>
      <w:rPr>
        <w:rFonts w:ascii="Calibri" w:eastAsia="MS PGothic"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5"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A0A1A"/>
    <w:multiLevelType w:val="hybridMultilevel"/>
    <w:tmpl w:val="56C2B722"/>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3"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4"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BE2B76"/>
    <w:multiLevelType w:val="hybridMultilevel"/>
    <w:tmpl w:val="179C27C6"/>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51"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52"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50"/>
  </w:num>
  <w:num w:numId="2" w16cid:durableId="1364094206">
    <w:abstractNumId w:val="43"/>
  </w:num>
  <w:num w:numId="3" w16cid:durableId="1702321937">
    <w:abstractNumId w:val="24"/>
  </w:num>
  <w:num w:numId="4" w16cid:durableId="1346665118">
    <w:abstractNumId w:val="6"/>
  </w:num>
  <w:num w:numId="5" w16cid:durableId="2133405024">
    <w:abstractNumId w:val="51"/>
  </w:num>
  <w:num w:numId="6" w16cid:durableId="976181028">
    <w:abstractNumId w:val="44"/>
  </w:num>
  <w:num w:numId="7" w16cid:durableId="490562535">
    <w:abstractNumId w:val="11"/>
  </w:num>
  <w:num w:numId="8" w16cid:durableId="1321039942">
    <w:abstractNumId w:val="3"/>
  </w:num>
  <w:num w:numId="9" w16cid:durableId="273755551">
    <w:abstractNumId w:val="17"/>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5"/>
  </w:num>
  <w:num w:numId="17" w16cid:durableId="899362062">
    <w:abstractNumId w:val="34"/>
  </w:num>
  <w:num w:numId="18" w16cid:durableId="1077023397">
    <w:abstractNumId w:val="25"/>
  </w:num>
  <w:num w:numId="19" w16cid:durableId="160896618">
    <w:abstractNumId w:val="39"/>
  </w:num>
  <w:num w:numId="20" w16cid:durableId="273177986">
    <w:abstractNumId w:val="8"/>
  </w:num>
  <w:num w:numId="21" w16cid:durableId="1856646828">
    <w:abstractNumId w:val="36"/>
  </w:num>
  <w:num w:numId="22" w16cid:durableId="792942388">
    <w:abstractNumId w:val="2"/>
  </w:num>
  <w:num w:numId="23" w16cid:durableId="2054647481">
    <w:abstractNumId w:val="30"/>
  </w:num>
  <w:num w:numId="24" w16cid:durableId="850993902">
    <w:abstractNumId w:val="49"/>
  </w:num>
  <w:num w:numId="25" w16cid:durableId="675501803">
    <w:abstractNumId w:val="42"/>
  </w:num>
  <w:num w:numId="26" w16cid:durableId="1851330143">
    <w:abstractNumId w:val="38"/>
  </w:num>
  <w:num w:numId="27" w16cid:durableId="1315986609">
    <w:abstractNumId w:val="32"/>
  </w:num>
  <w:num w:numId="28" w16cid:durableId="422576206">
    <w:abstractNumId w:val="13"/>
  </w:num>
  <w:num w:numId="29" w16cid:durableId="1650746409">
    <w:abstractNumId w:val="37"/>
  </w:num>
  <w:num w:numId="30" w16cid:durableId="315307889">
    <w:abstractNumId w:val="0"/>
  </w:num>
  <w:num w:numId="31" w16cid:durableId="228153130">
    <w:abstractNumId w:val="53"/>
  </w:num>
  <w:num w:numId="32" w16cid:durableId="150803044">
    <w:abstractNumId w:val="47"/>
  </w:num>
  <w:num w:numId="33" w16cid:durableId="1667004846">
    <w:abstractNumId w:val="19"/>
  </w:num>
  <w:num w:numId="34" w16cid:durableId="512916550">
    <w:abstractNumId w:val="21"/>
  </w:num>
  <w:num w:numId="35" w16cid:durableId="1654792620">
    <w:abstractNumId w:val="48"/>
  </w:num>
  <w:num w:numId="36" w16cid:durableId="1256134880">
    <w:abstractNumId w:val="31"/>
  </w:num>
  <w:num w:numId="37" w16cid:durableId="1169516834">
    <w:abstractNumId w:val="22"/>
  </w:num>
  <w:num w:numId="38" w16cid:durableId="1299529683">
    <w:abstractNumId w:val="45"/>
  </w:num>
  <w:num w:numId="39" w16cid:durableId="1619143484">
    <w:abstractNumId w:val="52"/>
  </w:num>
  <w:num w:numId="40" w16cid:durableId="390733882">
    <w:abstractNumId w:val="41"/>
  </w:num>
  <w:num w:numId="41" w16cid:durableId="1192959450">
    <w:abstractNumId w:val="28"/>
  </w:num>
  <w:num w:numId="42" w16cid:durableId="533345612">
    <w:abstractNumId w:val="29"/>
  </w:num>
  <w:num w:numId="43" w16cid:durableId="993096981">
    <w:abstractNumId w:val="5"/>
  </w:num>
  <w:num w:numId="44" w16cid:durableId="800458439">
    <w:abstractNumId w:val="40"/>
  </w:num>
  <w:num w:numId="45" w16cid:durableId="1369725012">
    <w:abstractNumId w:val="4"/>
  </w:num>
  <w:num w:numId="46" w16cid:durableId="583685125">
    <w:abstractNumId w:val="33"/>
  </w:num>
  <w:num w:numId="47" w16cid:durableId="1193808531">
    <w:abstractNumId w:val="15"/>
  </w:num>
  <w:num w:numId="48" w16cid:durableId="147134272">
    <w:abstractNumId w:val="23"/>
  </w:num>
  <w:num w:numId="49" w16cid:durableId="871845339">
    <w:abstractNumId w:val="26"/>
  </w:num>
  <w:num w:numId="50" w16cid:durableId="1682707610">
    <w:abstractNumId w:val="27"/>
  </w:num>
  <w:num w:numId="51" w16cid:durableId="462306215">
    <w:abstractNumId w:val="46"/>
  </w:num>
  <w:num w:numId="52" w16cid:durableId="781069937">
    <w:abstractNumId w:val="20"/>
  </w:num>
  <w:num w:numId="53" w16cid:durableId="464197253">
    <w:abstractNumId w:val="18"/>
  </w:num>
  <w:num w:numId="54" w16cid:durableId="1894658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047B"/>
    <w:rsid w:val="00054438"/>
    <w:rsid w:val="000552A9"/>
    <w:rsid w:val="0005614B"/>
    <w:rsid w:val="00057C7C"/>
    <w:rsid w:val="00066B50"/>
    <w:rsid w:val="0007738D"/>
    <w:rsid w:val="00082F26"/>
    <w:rsid w:val="000832AE"/>
    <w:rsid w:val="00091D9F"/>
    <w:rsid w:val="000C0341"/>
    <w:rsid w:val="000D39E5"/>
    <w:rsid w:val="000E3A95"/>
    <w:rsid w:val="000E405B"/>
    <w:rsid w:val="000E58D7"/>
    <w:rsid w:val="000E7447"/>
    <w:rsid w:val="000F7AE6"/>
    <w:rsid w:val="001142CC"/>
    <w:rsid w:val="00122C5D"/>
    <w:rsid w:val="00126636"/>
    <w:rsid w:val="00143416"/>
    <w:rsid w:val="00144EF3"/>
    <w:rsid w:val="00157B7C"/>
    <w:rsid w:val="00166B61"/>
    <w:rsid w:val="001972EA"/>
    <w:rsid w:val="001A2859"/>
    <w:rsid w:val="001B595B"/>
    <w:rsid w:val="001D338F"/>
    <w:rsid w:val="001D3671"/>
    <w:rsid w:val="001D46F8"/>
    <w:rsid w:val="001E303C"/>
    <w:rsid w:val="001E4360"/>
    <w:rsid w:val="001E64D0"/>
    <w:rsid w:val="001E7C55"/>
    <w:rsid w:val="001F3961"/>
    <w:rsid w:val="001F488A"/>
    <w:rsid w:val="00222B54"/>
    <w:rsid w:val="00223042"/>
    <w:rsid w:val="002325FC"/>
    <w:rsid w:val="00240E6A"/>
    <w:rsid w:val="00254E09"/>
    <w:rsid w:val="00260664"/>
    <w:rsid w:val="002607BB"/>
    <w:rsid w:val="00260B1C"/>
    <w:rsid w:val="00271FC6"/>
    <w:rsid w:val="00274F2E"/>
    <w:rsid w:val="002800AD"/>
    <w:rsid w:val="002860AB"/>
    <w:rsid w:val="0029017E"/>
    <w:rsid w:val="0029193D"/>
    <w:rsid w:val="002B7413"/>
    <w:rsid w:val="002B75B3"/>
    <w:rsid w:val="002C433E"/>
    <w:rsid w:val="002D5C9A"/>
    <w:rsid w:val="002E61B8"/>
    <w:rsid w:val="002F649A"/>
    <w:rsid w:val="003017B4"/>
    <w:rsid w:val="00302B73"/>
    <w:rsid w:val="00307CB9"/>
    <w:rsid w:val="00320F04"/>
    <w:rsid w:val="00322C03"/>
    <w:rsid w:val="00342849"/>
    <w:rsid w:val="00346D3A"/>
    <w:rsid w:val="00350E33"/>
    <w:rsid w:val="00360881"/>
    <w:rsid w:val="003669C1"/>
    <w:rsid w:val="003730E9"/>
    <w:rsid w:val="003832EF"/>
    <w:rsid w:val="00391D6B"/>
    <w:rsid w:val="00392F18"/>
    <w:rsid w:val="00393B3E"/>
    <w:rsid w:val="003974A0"/>
    <w:rsid w:val="003A7E8A"/>
    <w:rsid w:val="003B6A60"/>
    <w:rsid w:val="003C09C9"/>
    <w:rsid w:val="003C5AC0"/>
    <w:rsid w:val="003C68BF"/>
    <w:rsid w:val="003C7893"/>
    <w:rsid w:val="003D341B"/>
    <w:rsid w:val="003E4488"/>
    <w:rsid w:val="003F3261"/>
    <w:rsid w:val="00411152"/>
    <w:rsid w:val="00422F44"/>
    <w:rsid w:val="004455AB"/>
    <w:rsid w:val="004533FC"/>
    <w:rsid w:val="00460D8A"/>
    <w:rsid w:val="00463216"/>
    <w:rsid w:val="00467E26"/>
    <w:rsid w:val="0047558B"/>
    <w:rsid w:val="00477DEF"/>
    <w:rsid w:val="004817D9"/>
    <w:rsid w:val="00492B67"/>
    <w:rsid w:val="0049654B"/>
    <w:rsid w:val="004C1B19"/>
    <w:rsid w:val="004F354E"/>
    <w:rsid w:val="004F643D"/>
    <w:rsid w:val="005003B4"/>
    <w:rsid w:val="00522BD5"/>
    <w:rsid w:val="00524646"/>
    <w:rsid w:val="0053475B"/>
    <w:rsid w:val="005374A0"/>
    <w:rsid w:val="0054139A"/>
    <w:rsid w:val="00545FAA"/>
    <w:rsid w:val="00547D94"/>
    <w:rsid w:val="00560063"/>
    <w:rsid w:val="00560A9F"/>
    <w:rsid w:val="00565D98"/>
    <w:rsid w:val="0057053A"/>
    <w:rsid w:val="00573630"/>
    <w:rsid w:val="00575CE4"/>
    <w:rsid w:val="0058634B"/>
    <w:rsid w:val="00594E3D"/>
    <w:rsid w:val="005A0516"/>
    <w:rsid w:val="005B66AC"/>
    <w:rsid w:val="005C4B0E"/>
    <w:rsid w:val="005C7538"/>
    <w:rsid w:val="005D0B6F"/>
    <w:rsid w:val="005D13F4"/>
    <w:rsid w:val="005D5C6B"/>
    <w:rsid w:val="005E121B"/>
    <w:rsid w:val="005F3058"/>
    <w:rsid w:val="005F57DC"/>
    <w:rsid w:val="00617B7D"/>
    <w:rsid w:val="00617CC6"/>
    <w:rsid w:val="00622F0D"/>
    <w:rsid w:val="00660DF6"/>
    <w:rsid w:val="0066621A"/>
    <w:rsid w:val="00666439"/>
    <w:rsid w:val="006677F0"/>
    <w:rsid w:val="00682B88"/>
    <w:rsid w:val="006B519B"/>
    <w:rsid w:val="006C259F"/>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A6E13"/>
    <w:rsid w:val="007B34BE"/>
    <w:rsid w:val="007B5A8F"/>
    <w:rsid w:val="007C1BDC"/>
    <w:rsid w:val="007C346B"/>
    <w:rsid w:val="007C5C84"/>
    <w:rsid w:val="007C7175"/>
    <w:rsid w:val="007D0409"/>
    <w:rsid w:val="007D27DD"/>
    <w:rsid w:val="007D5B94"/>
    <w:rsid w:val="007E6DD4"/>
    <w:rsid w:val="008244FC"/>
    <w:rsid w:val="00834356"/>
    <w:rsid w:val="0084580E"/>
    <w:rsid w:val="00846FBB"/>
    <w:rsid w:val="00850F62"/>
    <w:rsid w:val="00857580"/>
    <w:rsid w:val="00860359"/>
    <w:rsid w:val="00863E98"/>
    <w:rsid w:val="00864CC8"/>
    <w:rsid w:val="0088024F"/>
    <w:rsid w:val="00892EF1"/>
    <w:rsid w:val="00893D68"/>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33928"/>
    <w:rsid w:val="00953E0C"/>
    <w:rsid w:val="009859D2"/>
    <w:rsid w:val="00990A67"/>
    <w:rsid w:val="0099263C"/>
    <w:rsid w:val="009B3571"/>
    <w:rsid w:val="009B5F4E"/>
    <w:rsid w:val="009C330A"/>
    <w:rsid w:val="009C7437"/>
    <w:rsid w:val="009D25AA"/>
    <w:rsid w:val="009E11B0"/>
    <w:rsid w:val="009E3E32"/>
    <w:rsid w:val="009E3EE0"/>
    <w:rsid w:val="009F22CB"/>
    <w:rsid w:val="00A01542"/>
    <w:rsid w:val="00A042EE"/>
    <w:rsid w:val="00A10511"/>
    <w:rsid w:val="00A13443"/>
    <w:rsid w:val="00A17871"/>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D7CB3"/>
    <w:rsid w:val="00AF2493"/>
    <w:rsid w:val="00AF4A5A"/>
    <w:rsid w:val="00B04F48"/>
    <w:rsid w:val="00B11CC6"/>
    <w:rsid w:val="00B123AC"/>
    <w:rsid w:val="00B1247D"/>
    <w:rsid w:val="00B27BCC"/>
    <w:rsid w:val="00B34EFE"/>
    <w:rsid w:val="00B35558"/>
    <w:rsid w:val="00B47C9A"/>
    <w:rsid w:val="00B520A3"/>
    <w:rsid w:val="00B5296B"/>
    <w:rsid w:val="00B65235"/>
    <w:rsid w:val="00B66896"/>
    <w:rsid w:val="00B706F1"/>
    <w:rsid w:val="00B70978"/>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01C8"/>
    <w:rsid w:val="00C747F0"/>
    <w:rsid w:val="00C83207"/>
    <w:rsid w:val="00C858AE"/>
    <w:rsid w:val="00C91662"/>
    <w:rsid w:val="00C91D0E"/>
    <w:rsid w:val="00C94DCC"/>
    <w:rsid w:val="00CA075A"/>
    <w:rsid w:val="00CA26D1"/>
    <w:rsid w:val="00CA2E35"/>
    <w:rsid w:val="00CA47C5"/>
    <w:rsid w:val="00CC2F00"/>
    <w:rsid w:val="00CC77EE"/>
    <w:rsid w:val="00CE73B9"/>
    <w:rsid w:val="00CF6407"/>
    <w:rsid w:val="00D01350"/>
    <w:rsid w:val="00D0344B"/>
    <w:rsid w:val="00D040FB"/>
    <w:rsid w:val="00D11853"/>
    <w:rsid w:val="00D1793D"/>
    <w:rsid w:val="00D30D86"/>
    <w:rsid w:val="00D57F2A"/>
    <w:rsid w:val="00D642D2"/>
    <w:rsid w:val="00D76B36"/>
    <w:rsid w:val="00D90C4C"/>
    <w:rsid w:val="00D92F13"/>
    <w:rsid w:val="00D9537E"/>
    <w:rsid w:val="00DC5EE0"/>
    <w:rsid w:val="00DD0F20"/>
    <w:rsid w:val="00DD5A5A"/>
    <w:rsid w:val="00DD7E64"/>
    <w:rsid w:val="00DD7F19"/>
    <w:rsid w:val="00DE5B5A"/>
    <w:rsid w:val="00E0465F"/>
    <w:rsid w:val="00E05211"/>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35B2"/>
    <w:rsid w:val="00EA4748"/>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A2BB9"/>
    <w:rsid w:val="00FA3CBF"/>
    <w:rsid w:val="00FC1C7F"/>
    <w:rsid w:val="00FC3E95"/>
    <w:rsid w:val="00FC5B2E"/>
    <w:rsid w:val="00FD2FAC"/>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aliases w:val="References,Bullet List,FooterText,List Paragraph1,Colorful List Accent 1,Bullets,List Paragraph (numbered (a)),Scriptoria bullet points,Table,Dot pt,F5 List Paragraph,No Spacing1,List Paragraph Char Char Char,Indicator Text,Liste 1,lp1"/>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 List Char,FooterText Char,List Paragraph1 Char,Colorful List Accent 1 Char,Bullets Char,List Paragraph (numbered (a)) Char,Scriptoria bullet points Char,Table Char,Dot pt Char,F5 List Paragraph Char,lp1 Char"/>
    <w:link w:val="ListParagraph"/>
    <w:uiPriority w:val="34"/>
    <w:qFormat/>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 w:type="paragraph" w:customStyle="1" w:styleId="AddressText">
    <w:name w:val="Address Text"/>
    <w:rsid w:val="00B5296B"/>
    <w:pPr>
      <w:tabs>
        <w:tab w:val="left" w:pos="2699"/>
        <w:tab w:val="left" w:pos="3549"/>
      </w:tabs>
      <w:spacing w:line="200" w:lineRule="exact"/>
    </w:pPr>
    <w:rPr>
      <w:rFonts w:ascii="Arial" w:eastAsia="Times" w:hAnsi="Arial" w:cs="Times New Roman"/>
      <w:noProof/>
      <w:color w:val="36A7E9"/>
      <w:spacing w:val="-2"/>
      <w:sz w:val="16"/>
      <w:lang w:val="en-GB" w:eastAsia="en-GB"/>
    </w:rPr>
  </w:style>
  <w:style w:type="paragraph" w:styleId="Revision">
    <w:name w:val="Revision"/>
    <w:hidden/>
    <w:uiPriority w:val="99"/>
    <w:semiHidden/>
    <w:rsid w:val="00C94D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2.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3.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6.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7.xml><?xml version="1.0" encoding="utf-8"?>
<ds:datastoreItem xmlns:ds="http://schemas.openxmlformats.org/officeDocument/2006/customXml" ds:itemID="{8C047C83-4505-4A75-8BE8-5557BC31464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5</cp:revision>
  <cp:lastPrinted>2019-02-18T11:54:00Z</cp:lastPrinted>
  <dcterms:created xsi:type="dcterms:W3CDTF">2024-06-19T10:36:00Z</dcterms:created>
  <dcterms:modified xsi:type="dcterms:W3CDTF">2024-06-19T12:18:00Z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