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2A74" w14:textId="77777777" w:rsidR="003D6039" w:rsidRDefault="003D6039" w:rsidP="00226C67">
      <w:pPr>
        <w:pStyle w:val="Title"/>
        <w:ind w:left="720"/>
        <w:jc w:val="left"/>
      </w:pPr>
    </w:p>
    <w:tbl>
      <w:tblPr>
        <w:tblW w:w="0" w:type="auto"/>
        <w:tblInd w:w="72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370"/>
      </w:tblGrid>
      <w:tr w:rsidR="00153FBF" w14:paraId="1059ABB1" w14:textId="77777777" w:rsidTr="00226C67">
        <w:trPr>
          <w:cantSplit/>
          <w:trHeight w:val="1485"/>
        </w:trPr>
        <w:tc>
          <w:tcPr>
            <w:tcW w:w="1458" w:type="dxa"/>
            <w:shd w:val="clear" w:color="auto" w:fill="FFFFFF"/>
            <w:vAlign w:val="center"/>
          </w:tcPr>
          <w:p w14:paraId="17C07E48" w14:textId="2A0267E8" w:rsidR="00153FBF" w:rsidRPr="00C87D05" w:rsidRDefault="0045567B">
            <w:pPr>
              <w:jc w:val="center"/>
              <w:rPr>
                <w:b/>
                <w:color w:val="FF0000"/>
                <w:sz w:val="22"/>
              </w:rPr>
            </w:pPr>
            <w:r>
              <w:rPr>
                <w:noProof/>
              </w:rPr>
              <w:drawing>
                <wp:inline distT="0" distB="0" distL="0" distR="0" wp14:anchorId="7CC611DB" wp14:editId="07FA57AE">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370" w:type="dxa"/>
            <w:shd w:val="clear" w:color="auto" w:fill="FFFFFF"/>
          </w:tcPr>
          <w:p w14:paraId="4EB95756" w14:textId="77777777" w:rsidR="00153FBF" w:rsidRDefault="00153FBF" w:rsidP="00153FBF">
            <w:pPr>
              <w:jc w:val="center"/>
              <w:rPr>
                <w:b/>
                <w:sz w:val="22"/>
              </w:rPr>
            </w:pPr>
          </w:p>
          <w:p w14:paraId="37586D83" w14:textId="77777777" w:rsidR="00153FBF" w:rsidRDefault="00153FBF" w:rsidP="00153FBF">
            <w:pPr>
              <w:jc w:val="center"/>
              <w:rPr>
                <w:b/>
                <w:sz w:val="22"/>
              </w:rPr>
            </w:pPr>
          </w:p>
          <w:p w14:paraId="566E0A50" w14:textId="77777777" w:rsidR="00153FBF" w:rsidRDefault="00153FBF" w:rsidP="00153FBF">
            <w:pPr>
              <w:jc w:val="center"/>
              <w:rPr>
                <w:b/>
                <w:sz w:val="22"/>
              </w:rPr>
            </w:pPr>
          </w:p>
          <w:p w14:paraId="568E8317" w14:textId="77777777" w:rsidR="00153FBF" w:rsidRDefault="00153FBF" w:rsidP="00153FBF">
            <w:pPr>
              <w:jc w:val="center"/>
              <w:rPr>
                <w:b/>
                <w:sz w:val="22"/>
              </w:rPr>
            </w:pPr>
            <w:r>
              <w:rPr>
                <w:b/>
                <w:sz w:val="22"/>
              </w:rPr>
              <w:t>UNITED NATIONS CHILDREN’S FUND</w:t>
            </w:r>
          </w:p>
          <w:p w14:paraId="3447F601" w14:textId="77777777" w:rsidR="00153FBF" w:rsidRDefault="00153FBF" w:rsidP="00153FBF">
            <w:pPr>
              <w:jc w:val="center"/>
              <w:rPr>
                <w:b/>
                <w:sz w:val="22"/>
              </w:rPr>
            </w:pPr>
            <w:r>
              <w:rPr>
                <w:b/>
                <w:sz w:val="22"/>
              </w:rPr>
              <w:t>(GENERIC) JOB PROFILE</w:t>
            </w:r>
          </w:p>
          <w:p w14:paraId="47B54660" w14:textId="77777777" w:rsidR="00153FBF" w:rsidRDefault="00153FBF" w:rsidP="00153FBF">
            <w:pPr>
              <w:jc w:val="center"/>
            </w:pPr>
          </w:p>
        </w:tc>
      </w:tr>
    </w:tbl>
    <w:p w14:paraId="5B1C5E78" w14:textId="77777777" w:rsidR="00153FBF" w:rsidRDefault="00153FBF" w:rsidP="00226C67">
      <w:pPr>
        <w:pStyle w:val="Title"/>
        <w:ind w:left="720"/>
        <w:jc w:val="left"/>
      </w:pPr>
    </w:p>
    <w:tbl>
      <w:tblPr>
        <w:tblW w:w="9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860"/>
      </w:tblGrid>
      <w:tr w:rsidR="00153FBF" w14:paraId="0650CA36" w14:textId="77777777" w:rsidTr="00226C67">
        <w:tc>
          <w:tcPr>
            <w:tcW w:w="9828" w:type="dxa"/>
            <w:gridSpan w:val="2"/>
            <w:shd w:val="clear" w:color="auto" w:fill="E0E0E0"/>
          </w:tcPr>
          <w:p w14:paraId="6A611222" w14:textId="77777777" w:rsidR="00153FBF" w:rsidRDefault="00153FBF"/>
          <w:p w14:paraId="29019BD0" w14:textId="77777777" w:rsidR="00153FBF" w:rsidRDefault="00153FBF">
            <w:pPr>
              <w:rPr>
                <w:b/>
                <w:bCs/>
                <w:sz w:val="24"/>
              </w:rPr>
            </w:pPr>
            <w:r>
              <w:rPr>
                <w:b/>
                <w:bCs/>
                <w:sz w:val="24"/>
              </w:rPr>
              <w:t>I. Post Information</w:t>
            </w:r>
          </w:p>
          <w:p w14:paraId="3DC33EE6" w14:textId="77777777" w:rsidR="00153FBF" w:rsidRDefault="00153FBF">
            <w:pPr>
              <w:rPr>
                <w:b/>
                <w:bCs/>
                <w:sz w:val="24"/>
              </w:rPr>
            </w:pPr>
          </w:p>
        </w:tc>
      </w:tr>
      <w:tr w:rsidR="00153FBF" w14:paraId="0F78E1D4" w14:textId="77777777" w:rsidTr="0045567B">
        <w:tc>
          <w:tcPr>
            <w:tcW w:w="4968" w:type="dxa"/>
          </w:tcPr>
          <w:p w14:paraId="646A261F" w14:textId="77777777" w:rsidR="00153FBF" w:rsidRDefault="00153FBF"/>
          <w:p w14:paraId="57456F6B" w14:textId="271AD618" w:rsidR="00211AF2" w:rsidRPr="00643357" w:rsidRDefault="00211AF2" w:rsidP="00211AF2">
            <w:pPr>
              <w:rPr>
                <w:b/>
              </w:rPr>
            </w:pPr>
            <w:r>
              <w:t xml:space="preserve">Job Title: </w:t>
            </w:r>
            <w:r w:rsidR="007F4002" w:rsidRPr="00C245E2">
              <w:rPr>
                <w:b/>
                <w:bCs/>
              </w:rPr>
              <w:t xml:space="preserve">Emergency </w:t>
            </w:r>
            <w:r>
              <w:rPr>
                <w:b/>
              </w:rPr>
              <w:t>WASH Officer</w:t>
            </w:r>
          </w:p>
          <w:p w14:paraId="1DD034E3" w14:textId="0B0CB577" w:rsidR="00211AF2" w:rsidRPr="00D8481D" w:rsidRDefault="00211AF2" w:rsidP="00211AF2">
            <w:pPr>
              <w:rPr>
                <w:b/>
              </w:rPr>
            </w:pPr>
            <w:r>
              <w:t xml:space="preserve">Supervisor Title/ Level: </w:t>
            </w:r>
            <w:r w:rsidRPr="00E32996">
              <w:rPr>
                <w:b/>
              </w:rPr>
              <w:t xml:space="preserve">Chief of </w:t>
            </w:r>
            <w:r w:rsidRPr="00E32996">
              <w:rPr>
                <w:rFonts w:cs="Arial"/>
                <w:b/>
                <w:szCs w:val="26"/>
              </w:rPr>
              <w:t>WASH</w:t>
            </w:r>
          </w:p>
          <w:p w14:paraId="5789BA36" w14:textId="77777777" w:rsidR="00211AF2" w:rsidRPr="00D8481D" w:rsidRDefault="00211AF2" w:rsidP="00211AF2">
            <w:pPr>
              <w:rPr>
                <w:b/>
              </w:rPr>
            </w:pPr>
            <w:r>
              <w:t xml:space="preserve">Organizational Unit: </w:t>
            </w:r>
            <w:r w:rsidR="000F0AF4">
              <w:rPr>
                <w:b/>
              </w:rPr>
              <w:t>Programme</w:t>
            </w:r>
          </w:p>
          <w:p w14:paraId="59B989F9" w14:textId="16D18B2C" w:rsidR="00153FBF" w:rsidRDefault="00211AF2" w:rsidP="00211AF2">
            <w:r>
              <w:t xml:space="preserve">Post Location: </w:t>
            </w:r>
            <w:r w:rsidR="0045567B" w:rsidRPr="0045567B">
              <w:rPr>
                <w:b/>
                <w:bCs/>
              </w:rPr>
              <w:t>Dhaka, UNICEF Bangladesh</w:t>
            </w:r>
            <w:r w:rsidR="0045567B">
              <w:t xml:space="preserve"> </w:t>
            </w:r>
            <w:r w:rsidRPr="00D810B2">
              <w:rPr>
                <w:b/>
              </w:rPr>
              <w:t>Country Office</w:t>
            </w:r>
          </w:p>
        </w:tc>
        <w:tc>
          <w:tcPr>
            <w:tcW w:w="4860" w:type="dxa"/>
          </w:tcPr>
          <w:p w14:paraId="3DEF05ED" w14:textId="77777777" w:rsidR="00153FBF" w:rsidRDefault="00153FBF"/>
          <w:p w14:paraId="15C3213A" w14:textId="77777777" w:rsidR="00153FBF" w:rsidRPr="00D810B2" w:rsidRDefault="00153FBF" w:rsidP="00153FBF">
            <w:pPr>
              <w:rPr>
                <w:b/>
              </w:rPr>
            </w:pPr>
            <w:r>
              <w:t xml:space="preserve">Job Level: </w:t>
            </w:r>
            <w:r>
              <w:rPr>
                <w:b/>
              </w:rPr>
              <w:t>Level 2</w:t>
            </w:r>
          </w:p>
          <w:p w14:paraId="79DE7686" w14:textId="7D1DD660" w:rsidR="00153FBF" w:rsidRPr="0045567B" w:rsidRDefault="00153FBF">
            <w:pPr>
              <w:rPr>
                <w:b/>
                <w:bCs/>
              </w:rPr>
            </w:pPr>
            <w:r>
              <w:t xml:space="preserve">Job Profile No.: </w:t>
            </w:r>
            <w:r w:rsidR="0045567B" w:rsidRPr="0045567B">
              <w:rPr>
                <w:b/>
                <w:bCs/>
              </w:rPr>
              <w:t>BAN22028</w:t>
            </w:r>
          </w:p>
          <w:p w14:paraId="6675E551" w14:textId="77777777" w:rsidR="00153FBF" w:rsidRDefault="00153FBF">
            <w:r>
              <w:t>CCOG Code:</w:t>
            </w:r>
            <w:r w:rsidR="00B0010C">
              <w:t xml:space="preserve"> </w:t>
            </w:r>
            <w:r w:rsidR="00B0010C" w:rsidRPr="00B6555E">
              <w:rPr>
                <w:b/>
              </w:rPr>
              <w:t>1B06e</w:t>
            </w:r>
          </w:p>
          <w:p w14:paraId="53EB5155" w14:textId="77777777" w:rsidR="00153FBF" w:rsidRDefault="00153FBF">
            <w:r>
              <w:t>Functional Code:</w:t>
            </w:r>
            <w:r w:rsidR="00B0010C">
              <w:t xml:space="preserve"> </w:t>
            </w:r>
            <w:r w:rsidR="00B0010C" w:rsidRPr="00B6555E">
              <w:rPr>
                <w:b/>
              </w:rPr>
              <w:t>WSH</w:t>
            </w:r>
          </w:p>
          <w:p w14:paraId="059BFBDB" w14:textId="77777777" w:rsidR="00153FBF" w:rsidRDefault="00153FBF" w:rsidP="00153FBF">
            <w:pPr>
              <w:rPr>
                <w:color w:val="FF0000"/>
              </w:rPr>
            </w:pPr>
            <w:r>
              <w:t xml:space="preserve">Job Classification Level: </w:t>
            </w:r>
            <w:r w:rsidR="000F0AF4" w:rsidRPr="002A6742">
              <w:rPr>
                <w:b/>
              </w:rPr>
              <w:t>Level 2</w:t>
            </w:r>
          </w:p>
          <w:p w14:paraId="4C19A918" w14:textId="77777777" w:rsidR="00153FBF" w:rsidRDefault="00153FBF" w:rsidP="00153FBF"/>
        </w:tc>
      </w:tr>
    </w:tbl>
    <w:p w14:paraId="2B7C28E8" w14:textId="0F0E9C70" w:rsidR="00153FBF" w:rsidRDefault="00153FBF" w:rsidP="00226C67">
      <w:pPr>
        <w:ind w:left="720"/>
      </w:pPr>
    </w:p>
    <w:p w14:paraId="3E943281" w14:textId="77777777" w:rsidR="0045567B" w:rsidRDefault="0045567B" w:rsidP="00226C67">
      <w:pPr>
        <w:ind w:left="720"/>
      </w:pPr>
    </w:p>
    <w:tbl>
      <w:tblPr>
        <w:tblW w:w="9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28"/>
      </w:tblGrid>
      <w:tr w:rsidR="00153FBF" w14:paraId="7F745692" w14:textId="77777777" w:rsidTr="00226C67">
        <w:tc>
          <w:tcPr>
            <w:tcW w:w="9828" w:type="dxa"/>
            <w:tcBorders>
              <w:bottom w:val="single" w:sz="4" w:space="0" w:color="auto"/>
            </w:tcBorders>
            <w:shd w:val="clear" w:color="auto" w:fill="E0E0E0"/>
          </w:tcPr>
          <w:p w14:paraId="553A0A2C" w14:textId="77777777" w:rsidR="00153FBF" w:rsidRDefault="00153FBF">
            <w:pPr>
              <w:pStyle w:val="Heading1"/>
            </w:pPr>
          </w:p>
          <w:p w14:paraId="2EA5152C" w14:textId="77777777" w:rsidR="00153FBF" w:rsidRDefault="00153FBF">
            <w:pPr>
              <w:pStyle w:val="Heading1"/>
            </w:pPr>
            <w:r>
              <w:t>II. Organizational Context and Purpose for the job</w:t>
            </w:r>
          </w:p>
          <w:p w14:paraId="0E2A1500" w14:textId="77777777" w:rsidR="00153FBF" w:rsidRDefault="00153FBF">
            <w:pPr>
              <w:pStyle w:val="Heading1"/>
              <w:rPr>
                <w:b w:val="0"/>
                <w:bCs w:val="0"/>
                <w:i/>
                <w:iCs/>
                <w:sz w:val="18"/>
              </w:rPr>
            </w:pPr>
          </w:p>
        </w:tc>
      </w:tr>
      <w:tr w:rsidR="00153FBF" w14:paraId="023777CE" w14:textId="77777777" w:rsidTr="0045567B">
        <w:trPr>
          <w:trHeight w:val="6713"/>
        </w:trPr>
        <w:tc>
          <w:tcPr>
            <w:tcW w:w="9828" w:type="dxa"/>
          </w:tcPr>
          <w:p w14:paraId="2D2A1A5F" w14:textId="77777777" w:rsidR="00153FBF" w:rsidRDefault="00153FBF"/>
          <w:p w14:paraId="434287C0" w14:textId="77777777" w:rsidR="00211AF2" w:rsidRPr="009A5A1E" w:rsidRDefault="00211AF2" w:rsidP="00211AF2">
            <w:pPr>
              <w:widowControl w:val="0"/>
              <w:autoSpaceDE w:val="0"/>
              <w:autoSpaceDN w:val="0"/>
              <w:adjustRightInd w:val="0"/>
              <w:jc w:val="both"/>
              <w:rPr>
                <w:szCs w:val="32"/>
              </w:rPr>
            </w:pPr>
            <w:r w:rsidRPr="00163786">
              <w:rPr>
                <w:rFonts w:cs="Cambria"/>
                <w:bCs/>
                <w:szCs w:val="32"/>
              </w:rPr>
              <w:t xml:space="preserve">The fundamental mission of UNICEF is to promote the rights of every child, everywhere, in everything the </w:t>
            </w:r>
            <w:r>
              <w:rPr>
                <w:rFonts w:cs="Cambria"/>
                <w:bCs/>
                <w:szCs w:val="32"/>
              </w:rPr>
              <w:t>O</w:t>
            </w:r>
            <w:r w:rsidRPr="00163786">
              <w:rPr>
                <w:rFonts w:cs="Cambria"/>
                <w:bCs/>
                <w:szCs w:val="32"/>
              </w:rPr>
              <w:t>rganization does —</w:t>
            </w:r>
            <w:r>
              <w:rPr>
                <w:rFonts w:cs="Cambria"/>
                <w:bCs/>
                <w:szCs w:val="32"/>
              </w:rPr>
              <w:t xml:space="preserve"> in </w:t>
            </w:r>
            <w:r w:rsidR="000F0AF4">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w:t>
            </w:r>
            <w:r>
              <w:rPr>
                <w:rFonts w:cs="Cambria"/>
                <w:bCs/>
                <w:szCs w:val="32"/>
              </w:rPr>
              <w:t>more</w:t>
            </w:r>
            <w:r w:rsidRPr="00163786">
              <w:rPr>
                <w:rFonts w:cs="Cambria"/>
                <w:bCs/>
                <w:szCs w:val="32"/>
              </w:rPr>
              <w:t xml:space="preserv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6A5EB766" w14:textId="77777777" w:rsidR="00153FBF" w:rsidRDefault="00153FBF" w:rsidP="00153FBF">
            <w:pPr>
              <w:jc w:val="both"/>
              <w:rPr>
                <w:rFonts w:cs="Arial"/>
                <w:szCs w:val="26"/>
              </w:rPr>
            </w:pPr>
          </w:p>
          <w:p w14:paraId="4EAEBE69" w14:textId="23E6C572" w:rsidR="00153FBF" w:rsidRDefault="00153FBF" w:rsidP="00153FBF">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r w:rsidR="00211AF2">
              <w:rPr>
                <w:rFonts w:cs="Arial"/>
                <w:szCs w:val="26"/>
              </w:rPr>
              <w:t xml:space="preserve">This </w:t>
            </w:r>
            <w:r w:rsidR="00FC050F">
              <w:rPr>
                <w:rFonts w:cs="Arial"/>
                <w:szCs w:val="26"/>
              </w:rPr>
              <w:t xml:space="preserve">Emergency </w:t>
            </w:r>
            <w:r w:rsidR="00211AF2">
              <w:rPr>
                <w:rFonts w:cs="Arial"/>
                <w:szCs w:val="26"/>
              </w:rPr>
              <w:t>WASH Officer</w:t>
            </w:r>
            <w:r w:rsidR="00211AF2" w:rsidRPr="003B07E0">
              <w:rPr>
                <w:rFonts w:cs="Arial"/>
                <w:szCs w:val="26"/>
              </w:rPr>
              <w:t xml:space="preserve"> </w:t>
            </w:r>
            <w:r w:rsidR="00211AF2">
              <w:rPr>
                <w:rFonts w:cs="Arial"/>
                <w:szCs w:val="26"/>
              </w:rPr>
              <w:t xml:space="preserve">level 2 GJP is to be used in a </w:t>
            </w:r>
            <w:r w:rsidR="00211AF2" w:rsidRPr="003B07E0">
              <w:rPr>
                <w:rFonts w:cs="Arial"/>
                <w:szCs w:val="26"/>
              </w:rPr>
              <w:t>Co</w:t>
            </w:r>
            <w:r w:rsidR="00211AF2">
              <w:rPr>
                <w:rFonts w:cs="Arial"/>
                <w:szCs w:val="26"/>
              </w:rPr>
              <w:t>untry Office (CO) where WASH</w:t>
            </w:r>
            <w:r w:rsidR="00211AF2" w:rsidRPr="003B07E0">
              <w:rPr>
                <w:rFonts w:cs="Arial"/>
                <w:szCs w:val="26"/>
              </w:rPr>
              <w:t xml:space="preserve"> is a </w:t>
            </w:r>
            <w:r w:rsidR="00211AF2">
              <w:rPr>
                <w:rFonts w:cs="Arial"/>
                <w:szCs w:val="26"/>
              </w:rPr>
              <w:t xml:space="preserve">substantial </w:t>
            </w:r>
            <w:r w:rsidR="00211AF2" w:rsidRPr="003B07E0">
              <w:rPr>
                <w:rFonts w:cs="Arial"/>
                <w:szCs w:val="26"/>
              </w:rPr>
              <w:t xml:space="preserve">component of the Country </w:t>
            </w:r>
            <w:r w:rsidR="000F0AF4">
              <w:rPr>
                <w:rFonts w:cs="Arial"/>
                <w:szCs w:val="26"/>
              </w:rPr>
              <w:t>Programme</w:t>
            </w:r>
            <w:r w:rsidR="00211AF2" w:rsidRPr="003B07E0">
              <w:rPr>
                <w:rFonts w:cs="Arial"/>
                <w:szCs w:val="26"/>
              </w:rPr>
              <w:t xml:space="preserve"> (or </w:t>
            </w:r>
            <w:r w:rsidR="002A6742">
              <w:rPr>
                <w:rFonts w:cs="Arial"/>
                <w:szCs w:val="26"/>
              </w:rPr>
              <w:t>C</w:t>
            </w:r>
            <w:r w:rsidR="00211AF2">
              <w:rPr>
                <w:rFonts w:cs="Arial"/>
                <w:szCs w:val="26"/>
              </w:rPr>
              <w:t>CPD</w:t>
            </w:r>
            <w:r w:rsidR="00211AF2" w:rsidRPr="003B07E0">
              <w:rPr>
                <w:rFonts w:cs="Arial"/>
                <w:szCs w:val="26"/>
              </w:rPr>
              <w:t xml:space="preserve">). </w:t>
            </w:r>
            <w:r w:rsidR="00211AF2">
              <w:rPr>
                <w:rFonts w:cs="Arial"/>
                <w:szCs w:val="26"/>
              </w:rPr>
              <w:t>The WASH Officer reports to the Chief of WASH</w:t>
            </w:r>
          </w:p>
          <w:p w14:paraId="20CBB3BD" w14:textId="77777777" w:rsidR="00153FBF" w:rsidRDefault="00153FBF" w:rsidP="00153FBF">
            <w:pPr>
              <w:jc w:val="both"/>
              <w:rPr>
                <w:color w:val="FF0000"/>
              </w:rPr>
            </w:pPr>
          </w:p>
          <w:p w14:paraId="41BB1B39" w14:textId="277A397C" w:rsidR="00153FBF" w:rsidRDefault="00153FBF" w:rsidP="00153FBF">
            <w:pPr>
              <w:jc w:val="both"/>
            </w:pPr>
            <w:r w:rsidRPr="00DC15B7">
              <w:rPr>
                <w:b/>
                <w:u w:val="single"/>
              </w:rPr>
              <w:t xml:space="preserve">Purpose </w:t>
            </w:r>
            <w:r w:rsidR="00211AF2">
              <w:rPr>
                <w:b/>
                <w:u w:val="single"/>
              </w:rPr>
              <w:t>of</w:t>
            </w:r>
            <w:r w:rsidRPr="00DC15B7">
              <w:rPr>
                <w:b/>
                <w:u w:val="single"/>
              </w:rPr>
              <w:t xml:space="preserve"> the job:</w:t>
            </w:r>
            <w:r>
              <w:t xml:space="preserve"> The </w:t>
            </w:r>
            <w:r w:rsidR="007F4002">
              <w:t xml:space="preserve">Emergency </w:t>
            </w:r>
            <w:r>
              <w:t>WASH Officer reports</w:t>
            </w:r>
            <w:r w:rsidRPr="009C60E6">
              <w:rPr>
                <w:b/>
              </w:rPr>
              <w:t xml:space="preserve"> </w:t>
            </w:r>
            <w:r w:rsidRPr="00211AF2">
              <w:t xml:space="preserve">to the Chief of </w:t>
            </w:r>
            <w:r w:rsidR="00C22D95" w:rsidRPr="00211AF2">
              <w:rPr>
                <w:rFonts w:cs="Arial"/>
                <w:szCs w:val="26"/>
              </w:rPr>
              <w:t>WASH</w:t>
            </w:r>
            <w:r w:rsidR="007F4002">
              <w:t xml:space="preserve"> and</w:t>
            </w:r>
            <w:r w:rsidR="007F4002" w:rsidRPr="007F4002">
              <w:t xml:space="preserve"> will provide this support as WASH cluster coordinator at the national level. At the same time, S/he will support the WASH section in UNICEF related humanitarian response in accordance with UNICEF’s Core Commitment for Children in Emergencies (CCCs) and national and international humanitarian standards if required. S/he will also support resource mobilization and policy advocacy efforts relating to WASH emergency response.</w:t>
            </w:r>
            <w:r w:rsidR="007F4002">
              <w:t xml:space="preserve"> </w:t>
            </w:r>
            <w:r>
              <w:t xml:space="preserve">The </w:t>
            </w:r>
            <w:r w:rsidR="009E3966">
              <w:t xml:space="preserve">Emergency </w:t>
            </w:r>
            <w:r w:rsidR="00211AF2">
              <w:t xml:space="preserve">WASH </w:t>
            </w:r>
            <w:r>
              <w:t xml:space="preserve">Officer </w:t>
            </w:r>
            <w:r w:rsidR="009E3966">
              <w:t xml:space="preserve">will also </w:t>
            </w:r>
            <w:r>
              <w:t xml:space="preserve">provide technical, operational and administrative assistance throughout the </w:t>
            </w:r>
            <w:r w:rsidR="00211AF2">
              <w:t xml:space="preserve">WASH </w:t>
            </w:r>
            <w:r w:rsidR="000F0AF4">
              <w:t>programming</w:t>
            </w:r>
            <w:r>
              <w:t xml:space="preserve"> process</w:t>
            </w:r>
            <w:r w:rsidR="00ED7FD6">
              <w:t>.</w:t>
            </w:r>
            <w:r w:rsidR="00211AF2">
              <w:t xml:space="preserve"> The Officer </w:t>
            </w:r>
            <w:r>
              <w:t>prepa</w:t>
            </w:r>
            <w:r w:rsidR="00211AF2">
              <w:t>res</w:t>
            </w:r>
            <w:r>
              <w:t>, manag</w:t>
            </w:r>
            <w:r w:rsidR="00211AF2">
              <w:t>es</w:t>
            </w:r>
            <w:r>
              <w:t xml:space="preserve"> and implement</w:t>
            </w:r>
            <w:r w:rsidR="00211AF2">
              <w:t xml:space="preserve">s </w:t>
            </w:r>
            <w:r>
              <w:t xml:space="preserve">a variety of technical and administrative </w:t>
            </w:r>
            <w:r w:rsidR="00211AF2">
              <w:t>t</w:t>
            </w:r>
            <w:r>
              <w:t>asks</w:t>
            </w:r>
            <w:r w:rsidR="00ED7FD6">
              <w:t xml:space="preserve">, related to the </w:t>
            </w:r>
            <w:r w:rsidR="00211AF2">
              <w:t>development, implementation</w:t>
            </w:r>
            <w:r w:rsidR="00ED7FD6">
              <w:t>,</w:t>
            </w:r>
            <w:r w:rsidR="00211AF2">
              <w:t xml:space="preserve"> monitoring </w:t>
            </w:r>
            <w:r w:rsidR="00ED7FD6">
              <w:t xml:space="preserve">and evaluation </w:t>
            </w:r>
            <w:r w:rsidR="00211AF2">
              <w:t xml:space="preserve">of </w:t>
            </w:r>
            <w:r w:rsidR="002A6742">
              <w:t xml:space="preserve">the </w:t>
            </w:r>
            <w:r w:rsidR="009E3966">
              <w:t xml:space="preserve">emergency </w:t>
            </w:r>
            <w:r w:rsidR="002A6742">
              <w:t>WASH output results of the c</w:t>
            </w:r>
            <w:r w:rsidR="00211AF2">
              <w:t xml:space="preserve">ountry </w:t>
            </w:r>
            <w:r w:rsidR="002A6742">
              <w:t>p</w:t>
            </w:r>
            <w:r w:rsidR="000F0AF4">
              <w:t>rogramme</w:t>
            </w:r>
            <w:r w:rsidR="00211AF2">
              <w:t>.</w:t>
            </w:r>
          </w:p>
          <w:p w14:paraId="42103113" w14:textId="77777777" w:rsidR="00153FBF" w:rsidRDefault="00153FBF" w:rsidP="00153FBF">
            <w:pPr>
              <w:jc w:val="both"/>
            </w:pPr>
          </w:p>
        </w:tc>
      </w:tr>
    </w:tbl>
    <w:p w14:paraId="24FBBB68" w14:textId="56625315" w:rsidR="00153FBF" w:rsidRDefault="00153FBF" w:rsidP="00226C67">
      <w:pPr>
        <w:ind w:left="720"/>
      </w:pPr>
    </w:p>
    <w:p w14:paraId="151A2CC4" w14:textId="28341067" w:rsidR="0045567B" w:rsidRDefault="0045567B" w:rsidP="00226C67">
      <w:pPr>
        <w:ind w:left="720"/>
      </w:pPr>
    </w:p>
    <w:p w14:paraId="706617E8" w14:textId="17B00CFB" w:rsidR="0045567B" w:rsidRDefault="0045567B" w:rsidP="00226C67">
      <w:pPr>
        <w:ind w:left="720"/>
      </w:pPr>
    </w:p>
    <w:p w14:paraId="57EEA9A9" w14:textId="79EFA63C" w:rsidR="0045567B" w:rsidRDefault="0045567B" w:rsidP="00226C67">
      <w:pPr>
        <w:ind w:left="720"/>
      </w:pPr>
    </w:p>
    <w:p w14:paraId="79C956EF" w14:textId="3C191ADE" w:rsidR="0045567B" w:rsidRDefault="0045567B" w:rsidP="00226C67">
      <w:pPr>
        <w:ind w:left="720"/>
      </w:pPr>
    </w:p>
    <w:p w14:paraId="2A287CDC" w14:textId="6E4ABEF6" w:rsidR="0045567B" w:rsidRDefault="0045567B" w:rsidP="00226C67">
      <w:pPr>
        <w:ind w:left="720"/>
      </w:pPr>
    </w:p>
    <w:p w14:paraId="448CE8AA" w14:textId="6CC6A0FD" w:rsidR="0045567B" w:rsidRDefault="0045567B" w:rsidP="00226C67">
      <w:pPr>
        <w:ind w:left="720"/>
      </w:pPr>
    </w:p>
    <w:p w14:paraId="1B1B04F2" w14:textId="77777777" w:rsidR="0045567B" w:rsidRDefault="0045567B" w:rsidP="00226C67">
      <w:pPr>
        <w:ind w:left="720"/>
      </w:pPr>
    </w:p>
    <w:tbl>
      <w:tblPr>
        <w:tblW w:w="9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28"/>
      </w:tblGrid>
      <w:tr w:rsidR="00153FBF" w14:paraId="01CA0842" w14:textId="77777777" w:rsidTr="00226C67">
        <w:tc>
          <w:tcPr>
            <w:tcW w:w="9828" w:type="dxa"/>
            <w:shd w:val="clear" w:color="auto" w:fill="E0E0E0"/>
          </w:tcPr>
          <w:p w14:paraId="685146A5" w14:textId="77777777" w:rsidR="00153FBF" w:rsidRDefault="00153FBF">
            <w:pPr>
              <w:rPr>
                <w:b/>
                <w:bCs/>
                <w:sz w:val="24"/>
              </w:rPr>
            </w:pPr>
          </w:p>
          <w:p w14:paraId="11100BD3" w14:textId="77777777" w:rsidR="00153FBF" w:rsidRDefault="00153FBF">
            <w:pPr>
              <w:pStyle w:val="Heading1"/>
            </w:pPr>
            <w:r>
              <w:t xml:space="preserve">III. Key function, accountabilities and related duties/tasks </w:t>
            </w:r>
          </w:p>
          <w:p w14:paraId="2FA25600" w14:textId="77777777" w:rsidR="00153FBF" w:rsidRDefault="00153FBF">
            <w:pPr>
              <w:rPr>
                <w:i/>
                <w:iCs/>
                <w:sz w:val="18"/>
              </w:rPr>
            </w:pPr>
          </w:p>
        </w:tc>
      </w:tr>
      <w:tr w:rsidR="00153FBF" w14:paraId="20DA2C3D" w14:textId="77777777" w:rsidTr="0045567B">
        <w:trPr>
          <w:trHeight w:val="2591"/>
        </w:trPr>
        <w:tc>
          <w:tcPr>
            <w:tcW w:w="9828" w:type="dxa"/>
          </w:tcPr>
          <w:p w14:paraId="3EAB7FAD" w14:textId="77777777" w:rsidR="00153FBF" w:rsidRDefault="00153FBF"/>
          <w:p w14:paraId="544DF66D" w14:textId="77777777" w:rsidR="00153FBF" w:rsidRDefault="00153FBF" w:rsidP="00153FBF">
            <w:pPr>
              <w:rPr>
                <w:b/>
              </w:rPr>
            </w:pPr>
            <w:r>
              <w:rPr>
                <w:b/>
              </w:rPr>
              <w:t>Summary of key functions/accountabilities</w:t>
            </w:r>
            <w:r w:rsidRPr="00F52191">
              <w:rPr>
                <w:b/>
              </w:rPr>
              <w:t>:</w:t>
            </w:r>
            <w:r>
              <w:rPr>
                <w:b/>
              </w:rPr>
              <w:t xml:space="preserve"> </w:t>
            </w:r>
          </w:p>
          <w:p w14:paraId="4DF397A0" w14:textId="77777777" w:rsidR="00153FBF" w:rsidRDefault="00153FBF" w:rsidP="00153FBF">
            <w:pPr>
              <w:rPr>
                <w:b/>
              </w:rPr>
            </w:pPr>
          </w:p>
          <w:p w14:paraId="08B2D9F9" w14:textId="01765962" w:rsidR="00FA62F8" w:rsidRDefault="00FC050F" w:rsidP="0045567B">
            <w:pPr>
              <w:numPr>
                <w:ilvl w:val="0"/>
                <w:numId w:val="23"/>
              </w:numPr>
              <w:spacing w:after="40"/>
              <w:rPr>
                <w:b/>
              </w:rPr>
            </w:pPr>
            <w:r>
              <w:rPr>
                <w:b/>
              </w:rPr>
              <w:t xml:space="preserve">Coordination </w:t>
            </w:r>
            <w:r w:rsidR="00FA62F8">
              <w:rPr>
                <w:b/>
              </w:rPr>
              <w:t>mechanisms</w:t>
            </w:r>
          </w:p>
          <w:p w14:paraId="344FC2DE" w14:textId="2EAF962F" w:rsidR="00FA62F8" w:rsidRPr="00FA62F8" w:rsidRDefault="00FA62F8" w:rsidP="0045567B">
            <w:pPr>
              <w:numPr>
                <w:ilvl w:val="0"/>
                <w:numId w:val="23"/>
              </w:numPr>
              <w:spacing w:after="40"/>
              <w:rPr>
                <w:b/>
              </w:rPr>
            </w:pPr>
            <w:r w:rsidRPr="00E6781E">
              <w:rPr>
                <w:rFonts w:eastAsia="MS Mincho" w:cs="Arial"/>
                <w:b/>
                <w:szCs w:val="20"/>
                <w:lang w:val="en-GB" w:eastAsia="ja-JP"/>
              </w:rPr>
              <w:t>Humanitarian Needs assessment, analysis and strategy development</w:t>
            </w:r>
          </w:p>
          <w:p w14:paraId="21216803" w14:textId="199FF3E3" w:rsidR="00FA62F8" w:rsidRDefault="00FA62F8" w:rsidP="0045567B">
            <w:pPr>
              <w:numPr>
                <w:ilvl w:val="0"/>
                <w:numId w:val="23"/>
              </w:numPr>
              <w:spacing w:after="40"/>
              <w:rPr>
                <w:b/>
              </w:rPr>
            </w:pPr>
            <w:r w:rsidRPr="00FD6395">
              <w:rPr>
                <w:rFonts w:eastAsia="MS Mincho" w:cs="Arial"/>
                <w:b/>
                <w:szCs w:val="20"/>
                <w:lang w:val="en-GB" w:eastAsia="ja-JP"/>
              </w:rPr>
              <w:t>Effective Management of Assigned UNICEF WASH in Emergency Responses</w:t>
            </w:r>
          </w:p>
          <w:p w14:paraId="25728AF2" w14:textId="77777777" w:rsidR="00ED7FD6" w:rsidRDefault="000F0AF4" w:rsidP="0045567B">
            <w:pPr>
              <w:numPr>
                <w:ilvl w:val="0"/>
                <w:numId w:val="23"/>
              </w:numPr>
              <w:spacing w:after="40"/>
              <w:rPr>
                <w:b/>
              </w:rPr>
            </w:pPr>
            <w:r>
              <w:rPr>
                <w:b/>
              </w:rPr>
              <w:t>Programme</w:t>
            </w:r>
            <w:r w:rsidR="00ED7FD6">
              <w:rPr>
                <w:b/>
              </w:rPr>
              <w:t xml:space="preserve"> management, monitoring and delivery of results</w:t>
            </w:r>
          </w:p>
          <w:p w14:paraId="36491A5D" w14:textId="77777777" w:rsidR="00ED7FD6" w:rsidRDefault="00D01DF6" w:rsidP="0045567B">
            <w:pPr>
              <w:numPr>
                <w:ilvl w:val="0"/>
                <w:numId w:val="23"/>
              </w:numPr>
              <w:spacing w:after="40"/>
              <w:rPr>
                <w:b/>
              </w:rPr>
            </w:pPr>
            <w:r>
              <w:rPr>
                <w:b/>
              </w:rPr>
              <w:t>T</w:t>
            </w:r>
            <w:r w:rsidR="00ED7FD6">
              <w:rPr>
                <w:b/>
              </w:rPr>
              <w:t xml:space="preserve">echnical and operational support for </w:t>
            </w:r>
            <w:r w:rsidR="000F0AF4">
              <w:rPr>
                <w:b/>
              </w:rPr>
              <w:t>programme</w:t>
            </w:r>
            <w:r w:rsidR="00ED7FD6">
              <w:rPr>
                <w:b/>
              </w:rPr>
              <w:t xml:space="preserve"> implementation</w:t>
            </w:r>
          </w:p>
          <w:p w14:paraId="6C27B0F7" w14:textId="77777777" w:rsidR="00ED7FD6" w:rsidRDefault="00ED7FD6" w:rsidP="0045567B">
            <w:pPr>
              <w:numPr>
                <w:ilvl w:val="0"/>
                <w:numId w:val="23"/>
              </w:numPr>
              <w:spacing w:after="40"/>
              <w:rPr>
                <w:b/>
              </w:rPr>
            </w:pPr>
            <w:r>
              <w:rPr>
                <w:b/>
              </w:rPr>
              <w:t>Networking and partnership building</w:t>
            </w:r>
          </w:p>
          <w:p w14:paraId="49BCED30" w14:textId="77777777" w:rsidR="00ED7FD6" w:rsidRDefault="00ED7FD6" w:rsidP="00ED7FD6">
            <w:pPr>
              <w:numPr>
                <w:ilvl w:val="0"/>
                <w:numId w:val="23"/>
              </w:numPr>
              <w:rPr>
                <w:b/>
              </w:rPr>
            </w:pPr>
            <w:r>
              <w:rPr>
                <w:b/>
              </w:rPr>
              <w:t>Innovation, knowledge management and capacity building</w:t>
            </w:r>
          </w:p>
          <w:p w14:paraId="6FE43535" w14:textId="77777777" w:rsidR="00153FBF" w:rsidRPr="00E96557" w:rsidRDefault="00153FBF" w:rsidP="00153FBF">
            <w:pPr>
              <w:ind w:left="360"/>
              <w:rPr>
                <w:b/>
              </w:rPr>
            </w:pPr>
          </w:p>
        </w:tc>
      </w:tr>
      <w:tr w:rsidR="00E6781E" w14:paraId="05CE982E" w14:textId="77777777" w:rsidTr="0045567B">
        <w:trPr>
          <w:trHeight w:val="4013"/>
        </w:trPr>
        <w:tc>
          <w:tcPr>
            <w:tcW w:w="9828" w:type="dxa"/>
          </w:tcPr>
          <w:p w14:paraId="2AE0F4DA" w14:textId="77777777" w:rsidR="00E6781E" w:rsidRPr="00E6781E" w:rsidRDefault="00E6781E" w:rsidP="00E6781E">
            <w:pPr>
              <w:pStyle w:val="ColorfulList-Accent11"/>
              <w:numPr>
                <w:ilvl w:val="0"/>
                <w:numId w:val="26"/>
              </w:numPr>
              <w:spacing w:before="120" w:after="120"/>
              <w:jc w:val="both"/>
              <w:rPr>
                <w:rFonts w:eastAsia="MS Mincho" w:cs="Arial"/>
                <w:b/>
                <w:szCs w:val="20"/>
                <w:lang w:val="en-GB" w:eastAsia="ja-JP"/>
              </w:rPr>
            </w:pPr>
            <w:r w:rsidRPr="00E6781E">
              <w:rPr>
                <w:rFonts w:eastAsia="MS Mincho" w:cs="Arial"/>
                <w:b/>
                <w:szCs w:val="20"/>
                <w:lang w:val="en-GB" w:eastAsia="ja-JP"/>
              </w:rPr>
              <w:t>Coordination mechanisms</w:t>
            </w:r>
          </w:p>
          <w:p w14:paraId="077DAB6B" w14:textId="77777777" w:rsidR="00E6781E" w:rsidRPr="00C245E2" w:rsidRDefault="00E6781E" w:rsidP="00C245E2">
            <w:pPr>
              <w:pStyle w:val="ColorfulList-Accent11"/>
              <w:numPr>
                <w:ilvl w:val="0"/>
                <w:numId w:val="47"/>
              </w:numPr>
              <w:spacing w:before="120" w:after="120"/>
              <w:jc w:val="both"/>
              <w:rPr>
                <w:rFonts w:eastAsia="MS Mincho" w:cs="Arial"/>
                <w:bCs/>
                <w:szCs w:val="20"/>
                <w:lang w:val="en-GB" w:eastAsia="ja-JP"/>
              </w:rPr>
            </w:pPr>
            <w:r w:rsidRPr="00C245E2">
              <w:rPr>
                <w:rFonts w:eastAsia="MS Mincho" w:cs="Arial"/>
                <w:bCs/>
                <w:szCs w:val="20"/>
                <w:lang w:val="en-GB" w:eastAsia="ja-JP"/>
              </w:rPr>
              <w:t>Support the national and local authorities to ensure coordination mechanisms between all WASH humanitarian partners, including effective links, communication and information management, as well as technical working groups and/or sub-national coordination platforms as appropriate.</w:t>
            </w:r>
          </w:p>
          <w:p w14:paraId="7B25E41C" w14:textId="77777777" w:rsidR="00E6781E" w:rsidRPr="00C245E2" w:rsidRDefault="00E6781E" w:rsidP="00C245E2">
            <w:pPr>
              <w:pStyle w:val="ColorfulList-Accent11"/>
              <w:numPr>
                <w:ilvl w:val="0"/>
                <w:numId w:val="47"/>
              </w:numPr>
              <w:spacing w:before="120" w:after="120"/>
              <w:jc w:val="both"/>
              <w:rPr>
                <w:rFonts w:eastAsia="MS Mincho" w:cs="Arial"/>
                <w:bCs/>
                <w:szCs w:val="20"/>
                <w:lang w:val="en-GB" w:eastAsia="ja-JP"/>
              </w:rPr>
            </w:pPr>
            <w:r w:rsidRPr="00C245E2">
              <w:rPr>
                <w:rFonts w:eastAsia="MS Mincho" w:cs="Arial"/>
                <w:bCs/>
                <w:szCs w:val="20"/>
                <w:lang w:val="en-GB" w:eastAsia="ja-JP"/>
              </w:rPr>
              <w:t>Support the national and local authorities to ensure the inclusion of key WASH humanitarian partners in a way that respects their mandates and programme priorities as well as civil society and other actors working and related to the WASH sectoral response.</w:t>
            </w:r>
          </w:p>
          <w:p w14:paraId="4413E009" w14:textId="64220480" w:rsidR="00E6781E" w:rsidRPr="00C245E2" w:rsidRDefault="00E6781E" w:rsidP="00C245E2">
            <w:pPr>
              <w:pStyle w:val="ColorfulList-Accent11"/>
              <w:numPr>
                <w:ilvl w:val="0"/>
                <w:numId w:val="47"/>
              </w:numPr>
              <w:spacing w:before="120" w:after="120"/>
              <w:jc w:val="both"/>
              <w:rPr>
                <w:rFonts w:eastAsia="MS Mincho" w:cs="Arial"/>
                <w:bCs/>
                <w:szCs w:val="20"/>
                <w:lang w:val="en-GB" w:eastAsia="ja-JP"/>
              </w:rPr>
            </w:pPr>
            <w:r w:rsidRPr="00C245E2">
              <w:rPr>
                <w:rFonts w:eastAsia="MS Mincho" w:cs="Arial"/>
                <w:bCs/>
                <w:szCs w:val="20"/>
                <w:lang w:val="en-GB" w:eastAsia="ja-JP"/>
              </w:rPr>
              <w:t xml:space="preserve">Ensure information on all current and potential WASH partners, their capacities and areas of work (including Who, What, Where and When) are properly collected, </w:t>
            </w:r>
            <w:r w:rsidRPr="00E6781E">
              <w:rPr>
                <w:rFonts w:eastAsia="MS Mincho" w:cs="Arial"/>
                <w:bCs/>
                <w:szCs w:val="20"/>
                <w:lang w:val="en-GB" w:eastAsia="ja-JP"/>
              </w:rPr>
              <w:t>analysed</w:t>
            </w:r>
            <w:r w:rsidRPr="00C245E2">
              <w:rPr>
                <w:rFonts w:eastAsia="MS Mincho" w:cs="Arial"/>
                <w:bCs/>
                <w:szCs w:val="20"/>
                <w:lang w:val="en-GB" w:eastAsia="ja-JP"/>
              </w:rPr>
              <w:t xml:space="preserve"> and fed back to partners</w:t>
            </w:r>
          </w:p>
          <w:p w14:paraId="315ADC9F" w14:textId="49869402" w:rsidR="00E6781E" w:rsidRDefault="00E6781E" w:rsidP="00C245E2">
            <w:pPr>
              <w:pStyle w:val="ColorfulList-Accent11"/>
              <w:numPr>
                <w:ilvl w:val="0"/>
                <w:numId w:val="47"/>
              </w:numPr>
              <w:spacing w:before="120" w:after="120"/>
              <w:jc w:val="both"/>
              <w:rPr>
                <w:rFonts w:eastAsia="MS Mincho" w:cs="Arial"/>
                <w:b/>
                <w:szCs w:val="20"/>
                <w:lang w:val="en-GB" w:eastAsia="ja-JP"/>
              </w:rPr>
            </w:pPr>
            <w:r w:rsidRPr="00C245E2">
              <w:rPr>
                <w:rFonts w:eastAsia="MS Mincho" w:cs="Arial"/>
                <w:bCs/>
                <w:szCs w:val="20"/>
                <w:lang w:val="en-GB" w:eastAsia="ja-JP"/>
              </w:rPr>
              <w:t>In coordination with the DPHE and MoDMR co-lead and prepare coordination meetings according to guidelines and represent the WASH sector in coordination meetings with Government Institutions and participate to coordination efforts led by MoMDR (Information Management, multi-sectorial Emergency preparedness plan, multi-sectorial assessment).</w:t>
            </w:r>
          </w:p>
        </w:tc>
      </w:tr>
      <w:tr w:rsidR="00E6781E" w14:paraId="4F38314B" w14:textId="77777777" w:rsidTr="0045567B">
        <w:trPr>
          <w:trHeight w:val="6137"/>
        </w:trPr>
        <w:tc>
          <w:tcPr>
            <w:tcW w:w="9828" w:type="dxa"/>
          </w:tcPr>
          <w:p w14:paraId="5A661350" w14:textId="77777777" w:rsidR="00E6781E" w:rsidRPr="00E6781E" w:rsidRDefault="00E6781E" w:rsidP="00E6781E">
            <w:pPr>
              <w:pStyle w:val="ColorfulList-Accent11"/>
              <w:numPr>
                <w:ilvl w:val="0"/>
                <w:numId w:val="26"/>
              </w:numPr>
              <w:spacing w:before="120" w:after="120"/>
              <w:jc w:val="both"/>
              <w:rPr>
                <w:rFonts w:eastAsia="MS Mincho" w:cs="Arial"/>
                <w:b/>
                <w:szCs w:val="20"/>
                <w:lang w:val="en-GB" w:eastAsia="ja-JP"/>
              </w:rPr>
            </w:pPr>
            <w:r w:rsidRPr="00E6781E">
              <w:rPr>
                <w:rFonts w:eastAsia="MS Mincho" w:cs="Arial"/>
                <w:b/>
                <w:szCs w:val="20"/>
                <w:lang w:val="en-GB" w:eastAsia="ja-JP"/>
              </w:rPr>
              <w:t>Humanitarian Needs assessment, analysis and strategy development</w:t>
            </w:r>
          </w:p>
          <w:p w14:paraId="2A35A9C7" w14:textId="77777777" w:rsidR="00E6781E" w:rsidRPr="00C245E2" w:rsidRDefault="00E6781E" w:rsidP="00C245E2">
            <w:pPr>
              <w:pStyle w:val="ColorfulList-Accent11"/>
              <w:numPr>
                <w:ilvl w:val="0"/>
                <w:numId w:val="48"/>
              </w:numPr>
              <w:spacing w:before="120" w:after="120"/>
              <w:jc w:val="both"/>
              <w:rPr>
                <w:rFonts w:eastAsia="MS Mincho" w:cs="Arial"/>
                <w:bCs/>
                <w:szCs w:val="20"/>
                <w:lang w:val="en-GB" w:eastAsia="ja-JP"/>
              </w:rPr>
            </w:pPr>
            <w:r w:rsidRPr="00C245E2">
              <w:rPr>
                <w:rFonts w:eastAsia="MS Mincho" w:cs="Arial"/>
                <w:bCs/>
                <w:szCs w:val="20"/>
                <w:lang w:val="en-GB" w:eastAsia="ja-JP"/>
              </w:rPr>
              <w:t>Support effective and coherent WASH assessment and analysis involving all relevant partners, including the identification of gaps and implementation of sectoral responses through collective delivery, involving all relevant partners and ensuring complementarity of their actions.</w:t>
            </w:r>
          </w:p>
          <w:p w14:paraId="67BEEEAA" w14:textId="77777777" w:rsidR="00E6781E" w:rsidRPr="00C245E2" w:rsidRDefault="00E6781E" w:rsidP="00C245E2">
            <w:pPr>
              <w:pStyle w:val="ColorfulList-Accent11"/>
              <w:numPr>
                <w:ilvl w:val="0"/>
                <w:numId w:val="48"/>
              </w:numPr>
              <w:spacing w:before="120" w:after="120"/>
              <w:jc w:val="both"/>
              <w:rPr>
                <w:rFonts w:eastAsia="MS Mincho" w:cs="Arial"/>
                <w:bCs/>
                <w:szCs w:val="20"/>
                <w:lang w:val="en-GB" w:eastAsia="ja-JP"/>
              </w:rPr>
            </w:pPr>
            <w:r w:rsidRPr="00C245E2">
              <w:rPr>
                <w:rFonts w:eastAsia="MS Mincho" w:cs="Arial"/>
                <w:bCs/>
                <w:szCs w:val="20"/>
                <w:lang w:val="en-GB" w:eastAsia="ja-JP"/>
              </w:rPr>
              <w:t>Support the Government to ensure WASH sector and its partners and technical working groups to:</w:t>
            </w:r>
          </w:p>
          <w:p w14:paraId="22D6D284" w14:textId="160A1AB7" w:rsidR="00E6781E" w:rsidRPr="00C245E2" w:rsidRDefault="00E6781E" w:rsidP="00C245E2">
            <w:pPr>
              <w:pStyle w:val="ColorfulList-Accent11"/>
              <w:numPr>
                <w:ilvl w:val="0"/>
                <w:numId w:val="48"/>
              </w:numPr>
              <w:spacing w:before="120" w:after="120"/>
              <w:jc w:val="both"/>
              <w:rPr>
                <w:rFonts w:eastAsia="MS Mincho" w:cs="Arial"/>
                <w:bCs/>
                <w:szCs w:val="20"/>
                <w:lang w:val="en-GB" w:eastAsia="ja-JP"/>
              </w:rPr>
            </w:pPr>
            <w:r w:rsidRPr="00C245E2">
              <w:rPr>
                <w:rFonts w:eastAsia="MS Mincho" w:cs="Arial"/>
                <w:bCs/>
                <w:szCs w:val="20"/>
                <w:lang w:val="en-GB" w:eastAsia="ja-JP"/>
              </w:rPr>
              <w:t xml:space="preserve">agree on technical standards, </w:t>
            </w:r>
            <w:r w:rsidRPr="00E6781E">
              <w:rPr>
                <w:rFonts w:eastAsia="MS Mincho" w:cs="Arial"/>
                <w:bCs/>
                <w:szCs w:val="20"/>
                <w:lang w:val="en-GB" w:eastAsia="ja-JP"/>
              </w:rPr>
              <w:t>strategies,</w:t>
            </w:r>
            <w:r w:rsidRPr="00C245E2">
              <w:rPr>
                <w:rFonts w:eastAsia="MS Mincho" w:cs="Arial"/>
                <w:bCs/>
                <w:szCs w:val="20"/>
                <w:lang w:val="en-GB" w:eastAsia="ja-JP"/>
              </w:rPr>
              <w:t xml:space="preserve"> and action plans, in line with national relevant policies, guidelines and governmental </w:t>
            </w:r>
            <w:r w:rsidRPr="00E6781E">
              <w:rPr>
                <w:rFonts w:eastAsia="MS Mincho" w:cs="Arial"/>
                <w:bCs/>
                <w:szCs w:val="20"/>
                <w:lang w:val="en-GB" w:eastAsia="ja-JP"/>
              </w:rPr>
              <w:t>commitments.</w:t>
            </w:r>
          </w:p>
          <w:p w14:paraId="2656D4DE" w14:textId="77777777" w:rsidR="00E6781E" w:rsidRPr="00C245E2" w:rsidRDefault="00E6781E" w:rsidP="00C245E2">
            <w:pPr>
              <w:pStyle w:val="ColorfulList-Accent11"/>
              <w:numPr>
                <w:ilvl w:val="0"/>
                <w:numId w:val="48"/>
              </w:numPr>
              <w:spacing w:before="120" w:after="120"/>
              <w:jc w:val="both"/>
              <w:rPr>
                <w:rFonts w:eastAsia="MS Mincho" w:cs="Arial"/>
                <w:bCs/>
                <w:szCs w:val="20"/>
                <w:lang w:val="en-GB" w:eastAsia="ja-JP"/>
              </w:rPr>
            </w:pPr>
            <w:r w:rsidRPr="00C245E2">
              <w:rPr>
                <w:rFonts w:eastAsia="MS Mincho" w:cs="Arial"/>
                <w:bCs/>
                <w:szCs w:val="20"/>
                <w:lang w:val="en-GB" w:eastAsia="ja-JP"/>
              </w:rPr>
              <w:t>are aware of relevant policies, guidelines, technical standards and relevant commitments that the Government and national and sub national authorities have undertaken under international human rights law; and that sectoral response is in line with them.</w:t>
            </w:r>
          </w:p>
          <w:p w14:paraId="6C3103FD" w14:textId="77777777" w:rsidR="00E6781E" w:rsidRPr="00C245E2" w:rsidRDefault="00E6781E" w:rsidP="00C245E2">
            <w:pPr>
              <w:pStyle w:val="ColorfulList-Accent11"/>
              <w:numPr>
                <w:ilvl w:val="0"/>
                <w:numId w:val="48"/>
              </w:numPr>
              <w:spacing w:before="120" w:after="120"/>
              <w:jc w:val="both"/>
              <w:rPr>
                <w:rFonts w:eastAsia="MS Mincho" w:cs="Arial"/>
                <w:bCs/>
                <w:szCs w:val="20"/>
                <w:lang w:val="en-GB" w:eastAsia="ja-JP"/>
              </w:rPr>
            </w:pPr>
            <w:r w:rsidRPr="00C245E2">
              <w:rPr>
                <w:rFonts w:eastAsia="MS Mincho" w:cs="Arial"/>
                <w:bCs/>
                <w:szCs w:val="20"/>
                <w:lang w:val="en-GB" w:eastAsia="ja-JP"/>
              </w:rPr>
              <w:t>develop an exit/transition strategy for the WASH sector and key sector partners.</w:t>
            </w:r>
          </w:p>
          <w:p w14:paraId="2F72FBB8" w14:textId="77777777" w:rsidR="00E6781E" w:rsidRPr="00C245E2" w:rsidRDefault="00E6781E" w:rsidP="00C245E2">
            <w:pPr>
              <w:pStyle w:val="ColorfulList-Accent11"/>
              <w:numPr>
                <w:ilvl w:val="0"/>
                <w:numId w:val="48"/>
              </w:numPr>
              <w:spacing w:before="120" w:after="120"/>
              <w:jc w:val="both"/>
              <w:rPr>
                <w:rFonts w:eastAsia="MS Mincho" w:cs="Arial"/>
                <w:bCs/>
                <w:szCs w:val="20"/>
                <w:lang w:val="en-GB" w:eastAsia="ja-JP"/>
              </w:rPr>
            </w:pPr>
            <w:r w:rsidRPr="00C245E2">
              <w:rPr>
                <w:rFonts w:eastAsia="MS Mincho" w:cs="Arial"/>
                <w:bCs/>
                <w:szCs w:val="20"/>
                <w:lang w:val="en-GB" w:eastAsia="ja-JP"/>
              </w:rPr>
              <w:t>Facilitate integration of agreed priority cross-cutting issues in WASH assessments, analysis, planning, monitoring and response (e.g. age, diversity, environment, gender, HIV/AIDS and human rights) as well as the utilization of participatory and community-based approaches in WASH design, implementation, monitoring and evaluation of the WASH response.</w:t>
            </w:r>
          </w:p>
          <w:p w14:paraId="692F9097" w14:textId="77777777" w:rsidR="00E6781E" w:rsidRPr="00C245E2" w:rsidRDefault="00E6781E" w:rsidP="00C245E2">
            <w:pPr>
              <w:pStyle w:val="ColorfulList-Accent11"/>
              <w:numPr>
                <w:ilvl w:val="0"/>
                <w:numId w:val="48"/>
              </w:numPr>
              <w:spacing w:before="120" w:after="120"/>
              <w:jc w:val="both"/>
              <w:rPr>
                <w:rFonts w:eastAsia="MS Mincho" w:cs="Arial"/>
                <w:bCs/>
                <w:szCs w:val="20"/>
                <w:lang w:val="en-GB" w:eastAsia="ja-JP"/>
              </w:rPr>
            </w:pPr>
            <w:r w:rsidRPr="00C245E2">
              <w:rPr>
                <w:rFonts w:eastAsia="MS Mincho" w:cs="Arial"/>
                <w:bCs/>
                <w:szCs w:val="20"/>
                <w:lang w:val="en-GB" w:eastAsia="ja-JP"/>
              </w:rPr>
              <w:t>Facilitate WASH humanitarian responses build on local capacities.</w:t>
            </w:r>
          </w:p>
          <w:p w14:paraId="60CAED62" w14:textId="77777777" w:rsidR="00E6781E" w:rsidRPr="00C245E2" w:rsidRDefault="00E6781E" w:rsidP="00C245E2">
            <w:pPr>
              <w:pStyle w:val="ColorfulList-Accent11"/>
              <w:numPr>
                <w:ilvl w:val="0"/>
                <w:numId w:val="48"/>
              </w:numPr>
              <w:spacing w:before="120" w:after="120"/>
              <w:jc w:val="both"/>
              <w:rPr>
                <w:rFonts w:eastAsia="MS Mincho" w:cs="Arial"/>
                <w:bCs/>
                <w:szCs w:val="20"/>
                <w:lang w:val="en-GB" w:eastAsia="ja-JP"/>
              </w:rPr>
            </w:pPr>
            <w:r w:rsidRPr="00C245E2">
              <w:rPr>
                <w:rFonts w:eastAsia="MS Mincho" w:cs="Arial"/>
                <w:bCs/>
                <w:szCs w:val="20"/>
                <w:lang w:val="en-GB" w:eastAsia="ja-JP"/>
              </w:rPr>
              <w:t>Ensure adequate WASH related contingency planning and preparedness for potential significant changes</w:t>
            </w:r>
          </w:p>
          <w:p w14:paraId="23E97B9E" w14:textId="6401C475" w:rsidR="00E6781E" w:rsidRDefault="00E6781E" w:rsidP="00C245E2">
            <w:pPr>
              <w:pStyle w:val="ColorfulList-Accent11"/>
              <w:numPr>
                <w:ilvl w:val="0"/>
                <w:numId w:val="48"/>
              </w:numPr>
              <w:spacing w:before="120" w:after="120"/>
              <w:jc w:val="both"/>
              <w:rPr>
                <w:rFonts w:eastAsia="MS Mincho" w:cs="Arial"/>
                <w:b/>
                <w:szCs w:val="20"/>
                <w:lang w:val="en-GB" w:eastAsia="ja-JP"/>
              </w:rPr>
            </w:pPr>
            <w:r w:rsidRPr="00C245E2">
              <w:rPr>
                <w:rFonts w:eastAsia="MS Mincho" w:cs="Arial"/>
                <w:bCs/>
                <w:szCs w:val="20"/>
                <w:lang w:val="en-GB" w:eastAsia="ja-JP"/>
              </w:rPr>
              <w:t>Promote WASH emergency response actions while ate the same time considering WASH within early recovery planning as well as prevention and risk reduction concerns.</w:t>
            </w:r>
          </w:p>
        </w:tc>
      </w:tr>
      <w:tr w:rsidR="00FD6395" w14:paraId="5D4CAB5E" w14:textId="77777777" w:rsidTr="0045567B">
        <w:trPr>
          <w:trHeight w:val="8810"/>
        </w:trPr>
        <w:tc>
          <w:tcPr>
            <w:tcW w:w="9828" w:type="dxa"/>
          </w:tcPr>
          <w:p w14:paraId="46FF1797" w14:textId="77777777" w:rsidR="00FD6395" w:rsidRPr="00FD6395" w:rsidRDefault="00FD6395" w:rsidP="0045567B">
            <w:pPr>
              <w:pStyle w:val="ColorfulList-Accent11"/>
              <w:numPr>
                <w:ilvl w:val="0"/>
                <w:numId w:val="26"/>
              </w:numPr>
              <w:spacing w:before="240" w:after="240"/>
              <w:jc w:val="both"/>
              <w:rPr>
                <w:rFonts w:eastAsia="MS Mincho" w:cs="Arial"/>
                <w:b/>
                <w:szCs w:val="20"/>
                <w:lang w:val="en-GB" w:eastAsia="ja-JP"/>
              </w:rPr>
            </w:pPr>
            <w:r w:rsidRPr="00FD6395">
              <w:rPr>
                <w:rFonts w:eastAsia="MS Mincho" w:cs="Arial"/>
                <w:b/>
                <w:szCs w:val="20"/>
                <w:lang w:val="en-GB" w:eastAsia="ja-JP"/>
              </w:rPr>
              <w:lastRenderedPageBreak/>
              <w:t xml:space="preserve">Effective Management of Assigned UNICEF WASH in Emergency Responses </w:t>
            </w:r>
          </w:p>
          <w:p w14:paraId="77DDAEA6" w14:textId="77777777" w:rsidR="00FD6395" w:rsidRPr="00C245E2" w:rsidRDefault="00FD6395" w:rsidP="0045567B">
            <w:pPr>
              <w:pStyle w:val="ColorfulList-Accent11"/>
              <w:numPr>
                <w:ilvl w:val="0"/>
                <w:numId w:val="49"/>
              </w:numPr>
              <w:spacing w:before="240" w:after="120"/>
              <w:jc w:val="both"/>
              <w:rPr>
                <w:rFonts w:eastAsia="MS Mincho" w:cs="Arial"/>
                <w:bCs/>
                <w:szCs w:val="20"/>
                <w:lang w:val="en-GB" w:eastAsia="ja-JP"/>
              </w:rPr>
            </w:pPr>
            <w:r w:rsidRPr="00C245E2">
              <w:rPr>
                <w:rFonts w:eastAsia="MS Mincho" w:cs="Arial"/>
                <w:bCs/>
                <w:szCs w:val="20"/>
                <w:lang w:val="en-GB" w:eastAsia="ja-JP"/>
              </w:rPr>
              <w:t>Update the Emergency Preparedness Platform for BCO, with specific focus on the WASH inputs corresponding to the agreed risks and scenarios for 2017-2020</w:t>
            </w:r>
          </w:p>
          <w:p w14:paraId="0E821B88" w14:textId="77777777"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 xml:space="preserve">In the event of an emergency, support the Chief of Field Services and the Chief WASH by ensuring flow of information and communication for emergency WASH response, as well as in collating information from the Field Offices towards the development of a SitRep. </w:t>
            </w:r>
          </w:p>
          <w:p w14:paraId="7607A95B" w14:textId="2614A934"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In coordination with Field Offices/OICs and WASH Staff in FO, identify availability of resources for anticipated emergencies and support the supply and logistics planning as per emergency preparedness plan and contingency plan</w:t>
            </w:r>
          </w:p>
          <w:p w14:paraId="1EF90D82" w14:textId="77777777"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In relation of FO, identify implementing/operational partners and support FOs and establish implementing arrangements including preparation of needed documents for implementing the assigned projects.</w:t>
            </w:r>
          </w:p>
          <w:p w14:paraId="5387FB08" w14:textId="77777777"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Implement and manage Emergency response of the WASH Section Rolling Work Plan in coordination with Field offices. Undertakes field visits to emergency project areas, to assess local conditions and monitor project progress. Make technical decisions on project administration (e.g., activates, requests or re-programmes allocation of emergency funds).</w:t>
            </w:r>
          </w:p>
          <w:p w14:paraId="22B654B3" w14:textId="77777777"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Ensure that the project funds are properly utilized, managed and reported duly considering UNICEF procedures and internal timelines.</w:t>
            </w:r>
          </w:p>
          <w:p w14:paraId="47DC14FE" w14:textId="77777777"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Contribute to the preparation of quality reporting on the project progress and completion including identification of potential human-interest stories.</w:t>
            </w:r>
          </w:p>
          <w:p w14:paraId="611E366E" w14:textId="77777777"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Emergency preparedness and response strategies are mainstreamed in Sectoral work plans.  Sectoral input is provided for all related documents for the office’s Emergency Preparedness and Response, as well as for the Situation Analysis and the Country Programme Document.</w:t>
            </w:r>
          </w:p>
          <w:p w14:paraId="5F1AF1DA" w14:textId="77777777"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 xml:space="preserve">Contribute to the preparation of Emergency appeals and project proposals (Flash Appeal, CAP, ERF/CHF, CERF), and concerted efforts are put forward to mobilize donor response and recovery/rehabilitation-related funding. </w:t>
            </w:r>
          </w:p>
          <w:p w14:paraId="27BD1482" w14:textId="77777777"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Communicates and advocates on the situation and needs of children through local and international media, as appropriate.</w:t>
            </w:r>
          </w:p>
          <w:p w14:paraId="71080FA2" w14:textId="1BC890AD" w:rsidR="00FD6395" w:rsidRPr="00C245E2" w:rsidRDefault="00FD6395" w:rsidP="00C245E2">
            <w:pPr>
              <w:pStyle w:val="ColorfulList-Accent11"/>
              <w:numPr>
                <w:ilvl w:val="0"/>
                <w:numId w:val="49"/>
              </w:numPr>
              <w:spacing w:before="120" w:after="120"/>
              <w:jc w:val="both"/>
              <w:rPr>
                <w:rFonts w:eastAsia="MS Mincho" w:cs="Arial"/>
                <w:bCs/>
                <w:szCs w:val="20"/>
                <w:lang w:val="en-GB" w:eastAsia="ja-JP"/>
              </w:rPr>
            </w:pPr>
            <w:r w:rsidRPr="00C245E2">
              <w:rPr>
                <w:rFonts w:eastAsia="MS Mincho" w:cs="Arial"/>
                <w:bCs/>
                <w:szCs w:val="20"/>
                <w:lang w:val="en-GB" w:eastAsia="ja-JP"/>
              </w:rPr>
              <w:t>Support risk-informed programming in BCO</w:t>
            </w:r>
          </w:p>
        </w:tc>
      </w:tr>
      <w:tr w:rsidR="00153FBF" w:rsidRPr="0006158E" w14:paraId="537CA7AB" w14:textId="77777777" w:rsidTr="0045567B">
        <w:trPr>
          <w:trHeight w:val="5120"/>
        </w:trPr>
        <w:tc>
          <w:tcPr>
            <w:tcW w:w="9828" w:type="dxa"/>
          </w:tcPr>
          <w:p w14:paraId="1B164835" w14:textId="77777777" w:rsidR="00153FBF" w:rsidRPr="00D01DF6" w:rsidRDefault="00153FBF" w:rsidP="0045567B">
            <w:pPr>
              <w:spacing w:before="120"/>
              <w:jc w:val="both"/>
            </w:pPr>
          </w:p>
          <w:p w14:paraId="40DCDF50" w14:textId="77777777" w:rsidR="00153FBF" w:rsidRPr="00D01DF6" w:rsidRDefault="000F0AF4" w:rsidP="00297BF6">
            <w:pPr>
              <w:numPr>
                <w:ilvl w:val="0"/>
                <w:numId w:val="26"/>
              </w:numPr>
              <w:contextualSpacing/>
              <w:jc w:val="both"/>
              <w:rPr>
                <w:b/>
              </w:rPr>
            </w:pPr>
            <w:r>
              <w:rPr>
                <w:b/>
              </w:rPr>
              <w:t>Programme</w:t>
            </w:r>
            <w:r w:rsidR="00153FBF" w:rsidRPr="00D01DF6">
              <w:rPr>
                <w:b/>
              </w:rPr>
              <w:t xml:space="preserve"> </w:t>
            </w:r>
            <w:r w:rsidR="00ED7FD6" w:rsidRPr="00D01DF6">
              <w:rPr>
                <w:b/>
              </w:rPr>
              <w:t>management</w:t>
            </w:r>
            <w:r w:rsidR="00153FBF" w:rsidRPr="00D01DF6">
              <w:rPr>
                <w:b/>
              </w:rPr>
              <w:t xml:space="preserve">, monitoring and </w:t>
            </w:r>
            <w:r w:rsidR="00ED7FD6" w:rsidRPr="00D01DF6">
              <w:rPr>
                <w:b/>
              </w:rPr>
              <w:t>delivery of results</w:t>
            </w:r>
          </w:p>
          <w:p w14:paraId="746FD388" w14:textId="77777777" w:rsidR="00297BF6" w:rsidRPr="00D01DF6" w:rsidRDefault="00297BF6" w:rsidP="00297BF6">
            <w:pPr>
              <w:jc w:val="both"/>
              <w:rPr>
                <w:b/>
              </w:rPr>
            </w:pPr>
          </w:p>
          <w:p w14:paraId="0112EF96" w14:textId="77777777" w:rsidR="00297BF6" w:rsidRDefault="00297BF6" w:rsidP="0045567B">
            <w:pPr>
              <w:numPr>
                <w:ilvl w:val="0"/>
                <w:numId w:val="38"/>
              </w:numPr>
              <w:spacing w:before="120"/>
              <w:jc w:val="both"/>
            </w:pPr>
            <w:r>
              <w:t xml:space="preserve">Work collaboratively </w:t>
            </w:r>
            <w:r w:rsidRPr="00AF0762">
              <w:t xml:space="preserve">with colleagues and partners to </w:t>
            </w:r>
            <w:r>
              <w:t xml:space="preserve">collect/analyze/ share information on implementation issues, provide solutions on routine </w:t>
            </w:r>
            <w:r w:rsidR="000F0AF4">
              <w:t>programme</w:t>
            </w:r>
            <w:r>
              <w:t xml:space="preserve"> implementation and alert appropriate officials and stakeholders for higher-level interventions and/or decisions. Keep record</w:t>
            </w:r>
            <w:r w:rsidR="002A6742">
              <w:t>s</w:t>
            </w:r>
            <w:r>
              <w:t xml:space="preserve"> of reports and assessments for easy reference and/or to capture and institutionalize lessons learned.</w:t>
            </w:r>
          </w:p>
          <w:p w14:paraId="4E7E059D" w14:textId="77777777" w:rsidR="00297BF6" w:rsidRDefault="00297BF6" w:rsidP="00297BF6">
            <w:pPr>
              <w:ind w:left="720"/>
              <w:jc w:val="both"/>
            </w:pPr>
          </w:p>
          <w:p w14:paraId="53AA33BF" w14:textId="77777777" w:rsidR="00153FBF" w:rsidRPr="00297BF6" w:rsidRDefault="00153FBF" w:rsidP="00297BF6">
            <w:pPr>
              <w:numPr>
                <w:ilvl w:val="0"/>
                <w:numId w:val="38"/>
              </w:numPr>
              <w:contextualSpacing/>
              <w:jc w:val="both"/>
              <w:rPr>
                <w:b/>
              </w:rPr>
            </w:pPr>
            <w:r w:rsidRPr="00D01DF6">
              <w:t xml:space="preserve">Participate in monitoring and evaluation exercises, </w:t>
            </w:r>
            <w:r w:rsidR="000F0AF4">
              <w:t>programme</w:t>
            </w:r>
            <w:r w:rsidRPr="00D01DF6">
              <w:t xml:space="preserve"> reviews and annual </w:t>
            </w:r>
            <w:r w:rsidR="00297BF6">
              <w:t xml:space="preserve">sectoral </w:t>
            </w:r>
            <w:r w:rsidRPr="00D01DF6">
              <w:t xml:space="preserve">reviews with government and other counterparts </w:t>
            </w:r>
            <w:r w:rsidR="00297BF6">
              <w:t xml:space="preserve">and prepare reports on results for </w:t>
            </w:r>
            <w:r w:rsidRPr="00D01DF6">
              <w:t xml:space="preserve">required action/interventions at the higher level of </w:t>
            </w:r>
            <w:r w:rsidR="000F0AF4">
              <w:t>programme</w:t>
            </w:r>
            <w:r w:rsidRPr="00D01DF6">
              <w:t xml:space="preserve"> management.</w:t>
            </w:r>
          </w:p>
          <w:p w14:paraId="43901847" w14:textId="77777777" w:rsidR="00297BF6" w:rsidRPr="00D01DF6" w:rsidRDefault="00297BF6" w:rsidP="00297BF6">
            <w:pPr>
              <w:contextualSpacing/>
              <w:jc w:val="both"/>
              <w:rPr>
                <w:b/>
              </w:rPr>
            </w:pPr>
          </w:p>
          <w:p w14:paraId="0A00393B" w14:textId="77777777" w:rsidR="00297BF6" w:rsidRPr="00297BF6" w:rsidRDefault="00297BF6" w:rsidP="00297BF6">
            <w:pPr>
              <w:numPr>
                <w:ilvl w:val="0"/>
                <w:numId w:val="38"/>
              </w:numPr>
              <w:contextualSpacing/>
              <w:jc w:val="both"/>
              <w:rPr>
                <w:b/>
              </w:rPr>
            </w:pPr>
            <w:r>
              <w:t xml:space="preserve">Monitor and report on the use of sectoral </w:t>
            </w:r>
            <w:r w:rsidR="000F0AF4">
              <w:t>programme</w:t>
            </w:r>
            <w:r>
              <w:t xml:space="preserve"> resources (financial, administrative and other assets), verify compliance with approved allocations, organizational rules, regulations/procedures and donor commitments, standards of accountability and integrity. Report on issues identified to enable timely resolut</w:t>
            </w:r>
            <w:r w:rsidR="00CA2C51">
              <w:t>ion by management/stakeholders.</w:t>
            </w:r>
          </w:p>
          <w:p w14:paraId="45A05351" w14:textId="77777777" w:rsidR="00297BF6" w:rsidRPr="0025246D" w:rsidRDefault="00297BF6" w:rsidP="00297BF6">
            <w:pPr>
              <w:contextualSpacing/>
              <w:jc w:val="both"/>
              <w:rPr>
                <w:b/>
              </w:rPr>
            </w:pPr>
          </w:p>
          <w:p w14:paraId="32A91DD2" w14:textId="77777777" w:rsidR="00153FBF" w:rsidRPr="00CA2C51" w:rsidRDefault="00153FBF" w:rsidP="00896335">
            <w:pPr>
              <w:numPr>
                <w:ilvl w:val="0"/>
                <w:numId w:val="38"/>
              </w:numPr>
              <w:contextualSpacing/>
              <w:jc w:val="both"/>
              <w:rPr>
                <w:b/>
              </w:rPr>
            </w:pPr>
            <w:r w:rsidRPr="00D01DF6">
              <w:t xml:space="preserve">Prepare sectoral </w:t>
            </w:r>
            <w:r w:rsidR="00297BF6">
              <w:t>progress</w:t>
            </w:r>
            <w:r w:rsidRPr="00D01DF6">
              <w:t xml:space="preserve"> reports for management, donors and partners</w:t>
            </w:r>
            <w:r w:rsidR="00CA2C51">
              <w:t>.</w:t>
            </w:r>
          </w:p>
          <w:p w14:paraId="028C11A8" w14:textId="77777777" w:rsidR="00F47565" w:rsidRDefault="00F47565" w:rsidP="00153FBF">
            <w:pPr>
              <w:ind w:left="720"/>
              <w:contextualSpacing/>
              <w:jc w:val="both"/>
              <w:rPr>
                <w:b/>
              </w:rPr>
            </w:pPr>
          </w:p>
          <w:p w14:paraId="306C5199" w14:textId="77777777" w:rsidR="0045567B" w:rsidRDefault="0045567B" w:rsidP="00153FBF">
            <w:pPr>
              <w:ind w:left="720"/>
              <w:contextualSpacing/>
              <w:jc w:val="both"/>
              <w:rPr>
                <w:b/>
              </w:rPr>
            </w:pPr>
          </w:p>
          <w:p w14:paraId="687FD851" w14:textId="77777777" w:rsidR="0045567B" w:rsidRDefault="0045567B" w:rsidP="00153FBF">
            <w:pPr>
              <w:ind w:left="720"/>
              <w:contextualSpacing/>
              <w:jc w:val="both"/>
              <w:rPr>
                <w:b/>
              </w:rPr>
            </w:pPr>
          </w:p>
          <w:p w14:paraId="1CE9E180" w14:textId="552E33A3" w:rsidR="00764709" w:rsidRPr="00D01DF6" w:rsidRDefault="00764709" w:rsidP="00153FBF">
            <w:pPr>
              <w:ind w:left="720"/>
              <w:contextualSpacing/>
              <w:jc w:val="both"/>
              <w:rPr>
                <w:b/>
              </w:rPr>
            </w:pPr>
          </w:p>
        </w:tc>
      </w:tr>
      <w:tr w:rsidR="00153FBF" w:rsidRPr="00A73357" w14:paraId="72FBD2D8" w14:textId="77777777" w:rsidTr="00226C67">
        <w:tc>
          <w:tcPr>
            <w:tcW w:w="9828" w:type="dxa"/>
          </w:tcPr>
          <w:p w14:paraId="70391F7D" w14:textId="77777777" w:rsidR="00153FBF" w:rsidRPr="00D01DF6" w:rsidRDefault="00153FBF" w:rsidP="00153FBF">
            <w:pPr>
              <w:jc w:val="both"/>
            </w:pPr>
          </w:p>
          <w:p w14:paraId="5A79EC7B" w14:textId="77777777" w:rsidR="00153FBF" w:rsidRPr="00D01DF6" w:rsidRDefault="00D01DF6" w:rsidP="00D01DF6">
            <w:pPr>
              <w:numPr>
                <w:ilvl w:val="0"/>
                <w:numId w:val="26"/>
              </w:numPr>
              <w:rPr>
                <w:b/>
              </w:rPr>
            </w:pPr>
            <w:r w:rsidRPr="00D01DF6">
              <w:rPr>
                <w:b/>
              </w:rPr>
              <w:t>T</w:t>
            </w:r>
            <w:r w:rsidR="00ED7FD6" w:rsidRPr="00D01DF6">
              <w:rPr>
                <w:b/>
              </w:rPr>
              <w:t xml:space="preserve">echnical and operational support for </w:t>
            </w:r>
            <w:r w:rsidR="000F0AF4">
              <w:rPr>
                <w:b/>
              </w:rPr>
              <w:t>programme</w:t>
            </w:r>
            <w:r w:rsidR="00ED7FD6" w:rsidRPr="00D01DF6">
              <w:rPr>
                <w:b/>
              </w:rPr>
              <w:t xml:space="preserve"> implementation</w:t>
            </w:r>
          </w:p>
          <w:p w14:paraId="1271FE15" w14:textId="77777777" w:rsidR="00153FBF" w:rsidRPr="00D01DF6" w:rsidRDefault="00153FBF" w:rsidP="00153FBF">
            <w:pPr>
              <w:jc w:val="both"/>
              <w:rPr>
                <w:b/>
              </w:rPr>
            </w:pPr>
          </w:p>
          <w:p w14:paraId="3A2D2579" w14:textId="77777777" w:rsidR="00F47565" w:rsidRPr="009E3898" w:rsidRDefault="00F47565" w:rsidP="00F47565">
            <w:pPr>
              <w:numPr>
                <w:ilvl w:val="0"/>
                <w:numId w:val="28"/>
              </w:numPr>
              <w:contextualSpacing/>
              <w:jc w:val="both"/>
              <w:rPr>
                <w:b/>
              </w:rPr>
            </w:pPr>
            <w:r>
              <w:t>Undertake field visits and surveys, collect and share reports with partners/stakeholders. Report critical issues, bottlenecks and potential problems to supervisor, for timely action.</w:t>
            </w:r>
          </w:p>
          <w:p w14:paraId="7103757C" w14:textId="77777777" w:rsidR="00F47565" w:rsidRPr="00D83F67" w:rsidRDefault="00F47565" w:rsidP="00F47565">
            <w:pPr>
              <w:ind w:left="720"/>
              <w:contextualSpacing/>
              <w:jc w:val="both"/>
              <w:rPr>
                <w:b/>
              </w:rPr>
            </w:pPr>
          </w:p>
          <w:p w14:paraId="2CBF10C8" w14:textId="77777777" w:rsidR="00F47565" w:rsidRPr="008B607E" w:rsidRDefault="00F47565" w:rsidP="00F47565">
            <w:pPr>
              <w:numPr>
                <w:ilvl w:val="0"/>
                <w:numId w:val="33"/>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processes and best practices in WASH, to support </w:t>
            </w:r>
            <w:r w:rsidR="000F0AF4">
              <w:t>programme</w:t>
            </w:r>
            <w:r>
              <w:t xml:space="preserve"> implementation.</w:t>
            </w:r>
          </w:p>
          <w:p w14:paraId="38F39083" w14:textId="77777777" w:rsidR="00153FBF" w:rsidRPr="00D01DF6" w:rsidRDefault="00153FBF" w:rsidP="00153FBF">
            <w:pPr>
              <w:ind w:left="720"/>
              <w:contextualSpacing/>
              <w:jc w:val="both"/>
              <w:rPr>
                <w:b/>
              </w:rPr>
            </w:pPr>
          </w:p>
        </w:tc>
      </w:tr>
      <w:tr w:rsidR="00153FBF" w:rsidRPr="00EE7D39" w14:paraId="5EC028B4" w14:textId="77777777" w:rsidTr="0045567B">
        <w:trPr>
          <w:trHeight w:val="3617"/>
        </w:trPr>
        <w:tc>
          <w:tcPr>
            <w:tcW w:w="9828" w:type="dxa"/>
          </w:tcPr>
          <w:p w14:paraId="244D02B1" w14:textId="77777777" w:rsidR="00153FBF" w:rsidRPr="00D01DF6" w:rsidRDefault="00153FBF" w:rsidP="00153FBF">
            <w:pPr>
              <w:rPr>
                <w:b/>
              </w:rPr>
            </w:pPr>
          </w:p>
          <w:p w14:paraId="396D0323" w14:textId="2624BFED" w:rsidR="00153FBF" w:rsidRPr="00D01DF6" w:rsidRDefault="00153FBF" w:rsidP="00C76FA3">
            <w:pPr>
              <w:numPr>
                <w:ilvl w:val="0"/>
                <w:numId w:val="50"/>
              </w:numPr>
              <w:rPr>
                <w:b/>
              </w:rPr>
            </w:pPr>
            <w:r w:rsidRPr="00D01DF6">
              <w:rPr>
                <w:b/>
              </w:rPr>
              <w:t>Networking and partnership building</w:t>
            </w:r>
          </w:p>
          <w:p w14:paraId="261E3074" w14:textId="77777777" w:rsidR="00153FBF" w:rsidRPr="00D01DF6" w:rsidRDefault="00153FBF" w:rsidP="00153FBF">
            <w:pPr>
              <w:rPr>
                <w:b/>
              </w:rPr>
            </w:pPr>
          </w:p>
          <w:p w14:paraId="6F35AAB4" w14:textId="77777777" w:rsidR="00F47565" w:rsidRPr="00E37374" w:rsidRDefault="00F47565" w:rsidP="00F47565">
            <w:pPr>
              <w:numPr>
                <w:ilvl w:val="0"/>
                <w:numId w:val="29"/>
              </w:numPr>
              <w:spacing w:after="120"/>
              <w:contextualSpacing/>
              <w:jc w:val="both"/>
              <w:rPr>
                <w:rFonts w:eastAsia="Calibri" w:cs="Calibri"/>
                <w:szCs w:val="22"/>
                <w:lang w:val="en-GB"/>
              </w:rPr>
            </w:pPr>
            <w:r w:rsidRPr="009B1ABA">
              <w:rPr>
                <w:rFonts w:eastAsia="Calibri" w:cs="Calibri"/>
                <w:szCs w:val="22"/>
                <w:lang w:val="en-GB"/>
              </w:rPr>
              <w:t xml:space="preserve">Build and sustain close working partnerships with government counterparts and national stakeholders through active sharing of information and knowledge to facilitate </w:t>
            </w:r>
            <w:r w:rsidR="000F0AF4">
              <w:rPr>
                <w:rFonts w:eastAsia="Calibri" w:cs="Calibri"/>
                <w:szCs w:val="22"/>
                <w:lang w:val="en-GB"/>
              </w:rPr>
              <w:t>programme</w:t>
            </w:r>
            <w:r w:rsidRPr="009B1ABA">
              <w:rPr>
                <w:rFonts w:eastAsia="Calibri" w:cs="Calibri"/>
                <w:szCs w:val="22"/>
                <w:lang w:val="en-GB"/>
              </w:rPr>
              <w:t xml:space="preserve"> implementation and build capacity of stakeholders to achieve </w:t>
            </w:r>
            <w:r>
              <w:rPr>
                <w:rFonts w:eastAsia="Calibri" w:cs="Calibri"/>
                <w:szCs w:val="22"/>
                <w:lang w:val="en-GB"/>
              </w:rPr>
              <w:t>WASH output</w:t>
            </w:r>
            <w:r w:rsidRPr="009B1ABA">
              <w:rPr>
                <w:rFonts w:eastAsia="Calibri" w:cs="Calibri"/>
                <w:szCs w:val="22"/>
                <w:lang w:val="en-GB"/>
              </w:rPr>
              <w:t xml:space="preserve"> </w:t>
            </w:r>
            <w:r>
              <w:rPr>
                <w:rFonts w:eastAsia="Calibri" w:cs="Calibri"/>
                <w:szCs w:val="22"/>
                <w:lang w:val="en-GB"/>
              </w:rPr>
              <w:t>results.</w:t>
            </w:r>
          </w:p>
          <w:p w14:paraId="78E2B00D" w14:textId="77777777" w:rsidR="00F47565" w:rsidRPr="00B20B75" w:rsidRDefault="00F47565" w:rsidP="00F47565">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WASH </w:t>
            </w:r>
            <w:r w:rsidR="000F0AF4">
              <w:t>programme</w:t>
            </w:r>
            <w:r>
              <w:t xml:space="preserve"> advocacy to promote awareness, establish partner</w:t>
            </w:r>
            <w:r w:rsidR="00822AA6">
              <w:t>ship/alliances and support fund-</w:t>
            </w:r>
            <w:r>
              <w:t>raising for WASH.</w:t>
            </w:r>
          </w:p>
          <w:p w14:paraId="2B88DBE2" w14:textId="77777777" w:rsidR="00F47565" w:rsidRDefault="00F47565" w:rsidP="00F47565">
            <w:pPr>
              <w:numPr>
                <w:ilvl w:val="0"/>
                <w:numId w:val="30"/>
              </w:numPr>
              <w:jc w:val="both"/>
            </w:pPr>
            <w:r>
              <w:t>Participate</w:t>
            </w:r>
            <w:r w:rsidRPr="00AF0762">
              <w:t xml:space="preserve"> in</w:t>
            </w:r>
            <w:r>
              <w:t xml:space="preserve"> </w:t>
            </w:r>
            <w:r w:rsidRPr="00AF0762">
              <w:t>inter-agency</w:t>
            </w:r>
            <w:r>
              <w:t xml:space="preserve"> meetings </w:t>
            </w:r>
            <w:r w:rsidR="00822AA6">
              <w:t>o</w:t>
            </w:r>
            <w:r>
              <w:t>n UNDAF planning</w:t>
            </w:r>
            <w:r w:rsidR="00822AA6">
              <w:t>,</w:t>
            </w:r>
            <w:r>
              <w:t xml:space="preserve"> to integrate and harmonize UNICEF output results and implementation strategies with </w:t>
            </w:r>
            <w:r w:rsidRPr="00AF0762">
              <w:t xml:space="preserve">UNDAF </w:t>
            </w:r>
            <w:r>
              <w:t xml:space="preserve">development and planning </w:t>
            </w:r>
            <w:r w:rsidRPr="00AF0762">
              <w:t>process</w:t>
            </w:r>
            <w:r>
              <w:t>es</w:t>
            </w:r>
            <w:r w:rsidRPr="00AF0762">
              <w:t xml:space="preserve">. </w:t>
            </w:r>
          </w:p>
          <w:p w14:paraId="3C683C00" w14:textId="77777777" w:rsidR="00F47565" w:rsidRDefault="00F47565" w:rsidP="00F47565">
            <w:pPr>
              <w:ind w:left="720"/>
              <w:jc w:val="both"/>
            </w:pPr>
          </w:p>
          <w:p w14:paraId="05D2B01C" w14:textId="77777777" w:rsidR="00F47565" w:rsidRDefault="00F47565" w:rsidP="00F47565">
            <w:pPr>
              <w:numPr>
                <w:ilvl w:val="0"/>
                <w:numId w:val="30"/>
              </w:numPr>
              <w:jc w:val="both"/>
            </w:pPr>
            <w:r>
              <w:t>Research information on potential donors and prepare resource mobilization materials and briefs for fund raising and partnership development purposes.</w:t>
            </w:r>
          </w:p>
          <w:p w14:paraId="7EBAC90E" w14:textId="77777777" w:rsidR="00153FBF" w:rsidRPr="00D01DF6" w:rsidRDefault="00153FBF" w:rsidP="00153FBF">
            <w:pPr>
              <w:ind w:left="720"/>
              <w:jc w:val="both"/>
            </w:pPr>
          </w:p>
        </w:tc>
      </w:tr>
      <w:tr w:rsidR="00153FBF" w:rsidRPr="003D4E17" w14:paraId="5A8CD3E4" w14:textId="77777777" w:rsidTr="0045567B">
        <w:trPr>
          <w:trHeight w:val="3680"/>
        </w:trPr>
        <w:tc>
          <w:tcPr>
            <w:tcW w:w="9828" w:type="dxa"/>
          </w:tcPr>
          <w:p w14:paraId="0CE65CBB" w14:textId="77777777" w:rsidR="00153FBF" w:rsidRPr="00D01DF6" w:rsidRDefault="00153FBF"/>
          <w:p w14:paraId="7C803584" w14:textId="5E59A07D" w:rsidR="00153FBF" w:rsidRPr="00D01DF6" w:rsidRDefault="00153FBF" w:rsidP="00C76FA3">
            <w:pPr>
              <w:numPr>
                <w:ilvl w:val="0"/>
                <w:numId w:val="50"/>
              </w:numPr>
              <w:rPr>
                <w:b/>
              </w:rPr>
            </w:pPr>
            <w:r w:rsidRPr="00D01DF6">
              <w:rPr>
                <w:b/>
              </w:rPr>
              <w:t>Innovation, knowledge management and capacity building</w:t>
            </w:r>
          </w:p>
          <w:p w14:paraId="5D920303" w14:textId="77777777" w:rsidR="00153FBF" w:rsidRPr="00D01DF6" w:rsidRDefault="00153FBF" w:rsidP="00153FBF">
            <w:pPr>
              <w:contextualSpacing/>
              <w:jc w:val="both"/>
              <w:rPr>
                <w:rFonts w:cs="Verdana"/>
                <w:szCs w:val="19"/>
              </w:rPr>
            </w:pPr>
          </w:p>
          <w:p w14:paraId="458A5FE2" w14:textId="77777777" w:rsidR="00F47565" w:rsidRDefault="00F47565" w:rsidP="00F47565">
            <w:pPr>
              <w:numPr>
                <w:ilvl w:val="0"/>
                <w:numId w:val="9"/>
              </w:numPr>
              <w:contextualSpacing/>
              <w:jc w:val="both"/>
            </w:pPr>
            <w:r>
              <w:t xml:space="preserve">Assist in the development, implementation, monitoring and documentation of WASH action research and innovation (technical or systems).  </w:t>
            </w:r>
          </w:p>
          <w:p w14:paraId="688D3A1D" w14:textId="77777777" w:rsidR="00F47565" w:rsidRDefault="00F47565" w:rsidP="00F47565">
            <w:pPr>
              <w:ind w:left="720"/>
              <w:contextualSpacing/>
              <w:jc w:val="both"/>
            </w:pPr>
          </w:p>
          <w:p w14:paraId="0CFB62A6" w14:textId="77777777" w:rsidR="00F47565" w:rsidRDefault="00F47565" w:rsidP="00F47565">
            <w:pPr>
              <w:numPr>
                <w:ilvl w:val="0"/>
                <w:numId w:val="9"/>
              </w:numPr>
              <w:contextualSpacing/>
              <w:jc w:val="both"/>
            </w:pPr>
            <w:r>
              <w:t>Assist in the preparation of learning/knowledge products, covering innovative approaches and good practices, to support overall WASH sector development.</w:t>
            </w:r>
          </w:p>
          <w:p w14:paraId="2304344D" w14:textId="77777777" w:rsidR="00F47565" w:rsidRDefault="00F47565" w:rsidP="00F47565">
            <w:pPr>
              <w:pStyle w:val="ListParagraph"/>
            </w:pPr>
          </w:p>
          <w:p w14:paraId="73573813" w14:textId="77777777" w:rsidR="00F47565" w:rsidRDefault="00F47565" w:rsidP="00F47565">
            <w:pPr>
              <w:pStyle w:val="Default"/>
              <w:numPr>
                <w:ilvl w:val="0"/>
                <w:numId w:val="24"/>
              </w:numPr>
              <w:jc w:val="both"/>
              <w:rPr>
                <w:rFonts w:cs="Verdana"/>
                <w:color w:val="auto"/>
                <w:sz w:val="20"/>
                <w:szCs w:val="19"/>
              </w:rPr>
            </w:pPr>
            <w:r>
              <w:rPr>
                <w:rFonts w:cs="Verdana"/>
                <w:color w:val="auto"/>
                <w:sz w:val="20"/>
                <w:szCs w:val="19"/>
              </w:rPr>
              <w:t xml:space="preserve">Assist in creating and delivering learning opportunities for UNICEF WASH staff, to ensure our sector capacity remains up-to-date with latest developments.  </w:t>
            </w:r>
          </w:p>
          <w:p w14:paraId="740F2364" w14:textId="77777777" w:rsidR="00F47565" w:rsidRPr="00880C51" w:rsidRDefault="00F47565" w:rsidP="00F47565">
            <w:pPr>
              <w:pStyle w:val="Default"/>
              <w:ind w:left="720"/>
              <w:jc w:val="both"/>
              <w:rPr>
                <w:rFonts w:cs="Verdana"/>
                <w:color w:val="auto"/>
                <w:sz w:val="20"/>
                <w:szCs w:val="19"/>
              </w:rPr>
            </w:pPr>
          </w:p>
          <w:p w14:paraId="03CDA227" w14:textId="77777777" w:rsidR="00F47565" w:rsidRPr="005F55C1" w:rsidRDefault="00F47565" w:rsidP="00F47565">
            <w:pPr>
              <w:pStyle w:val="Default"/>
              <w:numPr>
                <w:ilvl w:val="0"/>
                <w:numId w:val="24"/>
              </w:numPr>
              <w:jc w:val="both"/>
              <w:rPr>
                <w:rFonts w:cs="Verdana"/>
                <w:color w:val="auto"/>
                <w:sz w:val="20"/>
                <w:szCs w:val="19"/>
              </w:rPr>
            </w:pPr>
            <w:r>
              <w:rPr>
                <w:rFonts w:cs="Verdana"/>
                <w:color w:val="auto"/>
                <w:sz w:val="20"/>
                <w:szCs w:val="19"/>
              </w:rPr>
              <w:t>Participate as</w:t>
            </w:r>
            <w:r w:rsidR="002A6742">
              <w:rPr>
                <w:rFonts w:cs="Verdana"/>
                <w:color w:val="auto"/>
                <w:sz w:val="20"/>
                <w:szCs w:val="19"/>
              </w:rPr>
              <w:t xml:space="preserve"> a</w:t>
            </w:r>
            <w:r>
              <w:rPr>
                <w:rFonts w:cs="Verdana"/>
                <w:color w:val="auto"/>
                <w:sz w:val="20"/>
                <w:szCs w:val="19"/>
              </w:rPr>
              <w:t xml:space="preserve"> resource person in capacity building initiatives to enhance the competencies of clients/stakeholders.</w:t>
            </w:r>
          </w:p>
          <w:p w14:paraId="02D25829" w14:textId="77777777" w:rsidR="00153FBF" w:rsidRPr="00D01DF6" w:rsidRDefault="00153FBF" w:rsidP="00153FBF">
            <w:pPr>
              <w:pStyle w:val="Default"/>
              <w:ind w:left="720"/>
              <w:jc w:val="both"/>
              <w:rPr>
                <w:rFonts w:ascii="Times New Roman" w:hAnsi="Times New Roman"/>
                <w:bCs/>
                <w:sz w:val="20"/>
              </w:rPr>
            </w:pPr>
          </w:p>
        </w:tc>
      </w:tr>
    </w:tbl>
    <w:p w14:paraId="67A9B81B" w14:textId="68DDD021" w:rsidR="00153FBF" w:rsidRDefault="00153FBF" w:rsidP="00226C67">
      <w:pPr>
        <w:ind w:left="720"/>
      </w:pPr>
    </w:p>
    <w:p w14:paraId="208679CD" w14:textId="77777777" w:rsidR="0045567B" w:rsidRDefault="0045567B" w:rsidP="00226C67">
      <w:pPr>
        <w:ind w:left="720"/>
      </w:pPr>
    </w:p>
    <w:tbl>
      <w:tblPr>
        <w:tblW w:w="9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28"/>
      </w:tblGrid>
      <w:tr w:rsidR="00153FBF" w14:paraId="19A0D7A0" w14:textId="77777777" w:rsidTr="00226C67">
        <w:tc>
          <w:tcPr>
            <w:tcW w:w="9828" w:type="dxa"/>
            <w:tcBorders>
              <w:bottom w:val="single" w:sz="4" w:space="0" w:color="auto"/>
            </w:tcBorders>
            <w:shd w:val="clear" w:color="auto" w:fill="E0E0E0"/>
          </w:tcPr>
          <w:p w14:paraId="7508D253" w14:textId="77777777" w:rsidR="00153FBF" w:rsidRDefault="00153FBF">
            <w:pPr>
              <w:pStyle w:val="Heading1"/>
            </w:pPr>
          </w:p>
          <w:p w14:paraId="6E79B748" w14:textId="77777777" w:rsidR="00153FBF" w:rsidRDefault="00153FBF">
            <w:pPr>
              <w:pStyle w:val="Heading1"/>
            </w:pPr>
            <w:r>
              <w:t xml:space="preserve">IV. Impact of Results </w:t>
            </w:r>
          </w:p>
          <w:p w14:paraId="4E792C2F" w14:textId="77777777" w:rsidR="00153FBF" w:rsidRDefault="00153FBF">
            <w:pPr>
              <w:pStyle w:val="Heading1"/>
              <w:rPr>
                <w:b w:val="0"/>
                <w:bCs w:val="0"/>
                <w:i/>
                <w:iCs/>
                <w:sz w:val="18"/>
              </w:rPr>
            </w:pPr>
          </w:p>
        </w:tc>
      </w:tr>
      <w:tr w:rsidR="00153FBF" w14:paraId="45EF9707" w14:textId="77777777" w:rsidTr="0045567B">
        <w:trPr>
          <w:trHeight w:val="1628"/>
        </w:trPr>
        <w:tc>
          <w:tcPr>
            <w:tcW w:w="9828" w:type="dxa"/>
          </w:tcPr>
          <w:p w14:paraId="4A7CD2B7" w14:textId="77777777" w:rsidR="00153FBF" w:rsidRDefault="00153FBF" w:rsidP="00153FBF">
            <w:pPr>
              <w:jc w:val="both"/>
            </w:pPr>
          </w:p>
          <w:p w14:paraId="31AC9C29" w14:textId="760C76B5" w:rsidR="00153FBF" w:rsidRDefault="00F47565" w:rsidP="0045567B">
            <w:pPr>
              <w:spacing w:before="120"/>
              <w:jc w:val="both"/>
            </w:pPr>
            <w:r>
              <w:t xml:space="preserve">The </w:t>
            </w:r>
            <w:r w:rsidR="002A6742">
              <w:t xml:space="preserve">support provided by the </w:t>
            </w:r>
            <w:r w:rsidR="00FF2000">
              <w:t xml:space="preserve">Emergency </w:t>
            </w:r>
            <w:r w:rsidR="002A6742">
              <w:t>WASH officer will enable the country o</w:t>
            </w:r>
            <w:r>
              <w:t xml:space="preserve">ffice to achieve the WASH-related output results of the country </w:t>
            </w:r>
            <w:r w:rsidR="000F0AF4">
              <w:t>programme</w:t>
            </w:r>
            <w:r>
              <w:t>.  This, in turn, will contribute to the achievement of the outcome re</w:t>
            </w:r>
            <w:r w:rsidR="002A6742">
              <w:t>sults of the c</w:t>
            </w:r>
            <w:r>
              <w:t xml:space="preserve">ountry </w:t>
            </w:r>
            <w:r w:rsidR="002A6742">
              <w:t>p</w:t>
            </w:r>
            <w:r w:rsidR="000F0AF4">
              <w:t>rogramme</w:t>
            </w:r>
            <w:r w:rsidR="002A6742">
              <w:t xml:space="preserve"> document</w:t>
            </w:r>
            <w:r>
              <w:t>.  When done effectively, the achievement of the outcome results will improve child survival, growth and development</w:t>
            </w:r>
            <w:r w:rsidR="002A6742">
              <w:t>,</w:t>
            </w:r>
            <w:r>
              <w:t xml:space="preserve"> and reduce inequalities in the country.  </w:t>
            </w:r>
          </w:p>
        </w:tc>
      </w:tr>
    </w:tbl>
    <w:p w14:paraId="1381C1FC" w14:textId="7B129F90" w:rsidR="00153FBF" w:rsidRDefault="00153FBF" w:rsidP="00226C67">
      <w:pPr>
        <w:ind w:left="720"/>
      </w:pPr>
    </w:p>
    <w:p w14:paraId="14805439" w14:textId="1A2BBA65" w:rsidR="0045567B" w:rsidRDefault="0045567B" w:rsidP="00226C67">
      <w:pPr>
        <w:ind w:left="720"/>
      </w:pPr>
    </w:p>
    <w:p w14:paraId="1A9A6433" w14:textId="3002B226" w:rsidR="0045567B" w:rsidRDefault="0045567B" w:rsidP="00226C67">
      <w:pPr>
        <w:ind w:left="720"/>
      </w:pPr>
    </w:p>
    <w:p w14:paraId="7279296D" w14:textId="2D3741B2" w:rsidR="0045567B" w:rsidRDefault="0045567B" w:rsidP="00226C67">
      <w:pPr>
        <w:ind w:left="720"/>
      </w:pPr>
    </w:p>
    <w:p w14:paraId="3BE01052" w14:textId="1DDEFEA5" w:rsidR="0045567B" w:rsidRDefault="0045567B" w:rsidP="00226C67">
      <w:pPr>
        <w:ind w:left="720"/>
      </w:pPr>
    </w:p>
    <w:p w14:paraId="0EDBC627" w14:textId="204D8137" w:rsidR="0045567B" w:rsidRDefault="0045567B" w:rsidP="00226C67">
      <w:pPr>
        <w:ind w:left="720"/>
      </w:pPr>
    </w:p>
    <w:p w14:paraId="5862D38D" w14:textId="625AA761" w:rsidR="0045567B" w:rsidRDefault="0045567B" w:rsidP="00226C67">
      <w:pPr>
        <w:ind w:left="720"/>
      </w:pPr>
    </w:p>
    <w:p w14:paraId="4AD4284D" w14:textId="481AF9AC" w:rsidR="0045567B" w:rsidRDefault="0045567B" w:rsidP="00226C67">
      <w:pPr>
        <w:ind w:left="720"/>
      </w:pPr>
    </w:p>
    <w:p w14:paraId="4DE9244F" w14:textId="77777777" w:rsidR="0045567B" w:rsidRDefault="0045567B" w:rsidP="00226C67">
      <w:pPr>
        <w:ind w:left="720"/>
      </w:pPr>
    </w:p>
    <w:tbl>
      <w:tblPr>
        <w:tblW w:w="9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28"/>
      </w:tblGrid>
      <w:tr w:rsidR="00153FBF" w14:paraId="045B3888" w14:textId="77777777" w:rsidTr="00226C67">
        <w:tc>
          <w:tcPr>
            <w:tcW w:w="9828" w:type="dxa"/>
            <w:shd w:val="clear" w:color="auto" w:fill="E0E0E0"/>
          </w:tcPr>
          <w:p w14:paraId="73FB9D3C" w14:textId="77777777" w:rsidR="00153FBF" w:rsidRDefault="00153FBF"/>
          <w:p w14:paraId="16CC0BF3" w14:textId="77777777" w:rsidR="00153FBF" w:rsidRPr="00DF1708" w:rsidRDefault="00153FBF" w:rsidP="00153FBF">
            <w:pPr>
              <w:pStyle w:val="Heading1"/>
              <w:rPr>
                <w:color w:val="FF0000"/>
                <w:sz w:val="16"/>
              </w:rPr>
            </w:pPr>
            <w:r>
              <w:t>V. Competencies and level of proficiency required (</w:t>
            </w:r>
            <w:r w:rsidRPr="003C0834">
              <w:rPr>
                <w:sz w:val="16"/>
              </w:rPr>
              <w:t>based on UNICEF Professional Competency Profiles</w:t>
            </w:r>
            <w:r w:rsidR="009C07B0">
              <w:rPr>
                <w:sz w:val="16"/>
              </w:rPr>
              <w:t>)</w:t>
            </w:r>
            <w:r>
              <w:rPr>
                <w:color w:val="FF0000"/>
              </w:rPr>
              <w:t xml:space="preserve"> </w:t>
            </w:r>
          </w:p>
          <w:p w14:paraId="2CF31436" w14:textId="77777777" w:rsidR="00153FBF" w:rsidRDefault="00153FBF"/>
        </w:tc>
      </w:tr>
      <w:tr w:rsidR="009C07B0" w14:paraId="09620521" w14:textId="77777777" w:rsidTr="00226C67">
        <w:trPr>
          <w:cantSplit/>
          <w:trHeight w:val="353"/>
        </w:trPr>
        <w:tc>
          <w:tcPr>
            <w:tcW w:w="9828" w:type="dxa"/>
          </w:tcPr>
          <w:p w14:paraId="3A9475E0" w14:textId="77777777" w:rsidR="009C07B0" w:rsidRDefault="009C07B0" w:rsidP="009C07B0">
            <w:pPr>
              <w:jc w:val="both"/>
              <w:rPr>
                <w:b/>
                <w:bCs/>
                <w:u w:val="single"/>
              </w:rPr>
            </w:pPr>
          </w:p>
          <w:p w14:paraId="6C7ADC40" w14:textId="77777777" w:rsidR="009C07B0" w:rsidRDefault="009C07B0" w:rsidP="009C07B0">
            <w:pPr>
              <w:jc w:val="both"/>
              <w:rPr>
                <w:b/>
                <w:bCs/>
                <w:u w:val="single"/>
              </w:rPr>
            </w:pPr>
            <w:r>
              <w:rPr>
                <w:b/>
                <w:bCs/>
                <w:u w:val="single"/>
              </w:rPr>
              <w:t xml:space="preserve">Core Values </w:t>
            </w:r>
          </w:p>
          <w:p w14:paraId="40608733" w14:textId="77777777" w:rsidR="009C07B0" w:rsidRDefault="009C07B0" w:rsidP="009C07B0">
            <w:pPr>
              <w:jc w:val="both"/>
              <w:rPr>
                <w:b/>
                <w:bCs/>
                <w:u w:val="single"/>
              </w:rPr>
            </w:pPr>
          </w:p>
          <w:p w14:paraId="522F846C" w14:textId="77777777" w:rsidR="009C07B0" w:rsidRDefault="009C07B0" w:rsidP="009C07B0">
            <w:pPr>
              <w:numPr>
                <w:ilvl w:val="0"/>
                <w:numId w:val="46"/>
              </w:numPr>
              <w:jc w:val="both"/>
              <w:rPr>
                <w:rFonts w:cs="Arial"/>
                <w:bCs/>
                <w:szCs w:val="20"/>
              </w:rPr>
            </w:pPr>
            <w:r>
              <w:rPr>
                <w:rFonts w:cs="Arial"/>
                <w:bCs/>
                <w:szCs w:val="20"/>
              </w:rPr>
              <w:t xml:space="preserve">Care </w:t>
            </w:r>
          </w:p>
          <w:p w14:paraId="03F7F55C" w14:textId="77777777" w:rsidR="009C07B0" w:rsidRDefault="009C07B0" w:rsidP="009C07B0">
            <w:pPr>
              <w:numPr>
                <w:ilvl w:val="0"/>
                <w:numId w:val="46"/>
              </w:numPr>
              <w:jc w:val="both"/>
              <w:rPr>
                <w:rFonts w:cs="Arial"/>
                <w:bCs/>
                <w:szCs w:val="20"/>
              </w:rPr>
            </w:pPr>
            <w:r>
              <w:rPr>
                <w:rFonts w:cs="Arial"/>
                <w:bCs/>
                <w:szCs w:val="20"/>
              </w:rPr>
              <w:t>Respect</w:t>
            </w:r>
          </w:p>
          <w:p w14:paraId="5A8C80E5" w14:textId="77777777" w:rsidR="009C07B0" w:rsidRDefault="009C07B0" w:rsidP="009C07B0">
            <w:pPr>
              <w:numPr>
                <w:ilvl w:val="0"/>
                <w:numId w:val="46"/>
              </w:numPr>
              <w:jc w:val="both"/>
              <w:rPr>
                <w:rFonts w:cs="Arial"/>
                <w:bCs/>
                <w:szCs w:val="20"/>
              </w:rPr>
            </w:pPr>
            <w:r>
              <w:rPr>
                <w:rFonts w:cs="Arial"/>
                <w:bCs/>
                <w:szCs w:val="20"/>
              </w:rPr>
              <w:t>Integrity</w:t>
            </w:r>
          </w:p>
          <w:p w14:paraId="5B39AD0D" w14:textId="77777777" w:rsidR="009C07B0" w:rsidRDefault="009C07B0" w:rsidP="009C07B0">
            <w:pPr>
              <w:numPr>
                <w:ilvl w:val="0"/>
                <w:numId w:val="46"/>
              </w:numPr>
              <w:jc w:val="both"/>
              <w:rPr>
                <w:rFonts w:cs="Arial"/>
                <w:bCs/>
                <w:szCs w:val="20"/>
              </w:rPr>
            </w:pPr>
            <w:r>
              <w:rPr>
                <w:rFonts w:cs="Arial"/>
                <w:bCs/>
                <w:szCs w:val="20"/>
              </w:rPr>
              <w:t>Trust</w:t>
            </w:r>
          </w:p>
          <w:p w14:paraId="4EB0C016" w14:textId="77777777" w:rsidR="009C07B0" w:rsidRDefault="009C07B0" w:rsidP="009C07B0">
            <w:pPr>
              <w:numPr>
                <w:ilvl w:val="0"/>
                <w:numId w:val="46"/>
              </w:numPr>
              <w:jc w:val="both"/>
              <w:rPr>
                <w:rFonts w:cs="Arial"/>
                <w:bCs/>
                <w:szCs w:val="20"/>
              </w:rPr>
            </w:pPr>
            <w:r>
              <w:rPr>
                <w:rFonts w:cs="Arial"/>
                <w:bCs/>
                <w:szCs w:val="20"/>
              </w:rPr>
              <w:t>Accountability</w:t>
            </w:r>
          </w:p>
          <w:p w14:paraId="6DC5E933" w14:textId="77777777" w:rsidR="009C07B0" w:rsidRDefault="009C07B0" w:rsidP="009C07B0">
            <w:pPr>
              <w:ind w:left="720"/>
              <w:jc w:val="both"/>
              <w:rPr>
                <w:bCs/>
              </w:rPr>
            </w:pPr>
          </w:p>
          <w:p w14:paraId="5C90483B" w14:textId="77777777" w:rsidR="009C07B0" w:rsidRDefault="009C07B0" w:rsidP="009C07B0">
            <w:pPr>
              <w:jc w:val="both"/>
              <w:rPr>
                <w:b/>
                <w:bCs/>
                <w:u w:val="single"/>
              </w:rPr>
            </w:pPr>
            <w:r>
              <w:rPr>
                <w:b/>
                <w:bCs/>
                <w:u w:val="single"/>
              </w:rPr>
              <w:t>Core Competencies</w:t>
            </w:r>
          </w:p>
          <w:p w14:paraId="262FDF45" w14:textId="77777777" w:rsidR="009C07B0" w:rsidRDefault="009C07B0" w:rsidP="009C07B0">
            <w:pPr>
              <w:jc w:val="both"/>
              <w:rPr>
                <w:b/>
                <w:bCs/>
                <w:u w:val="single"/>
              </w:rPr>
            </w:pPr>
          </w:p>
          <w:p w14:paraId="159519C2" w14:textId="77777777" w:rsidR="009C07B0" w:rsidRDefault="009C07B0" w:rsidP="009C07B0">
            <w:pPr>
              <w:numPr>
                <w:ilvl w:val="0"/>
                <w:numId w:val="46"/>
              </w:numPr>
              <w:jc w:val="both"/>
              <w:rPr>
                <w:rFonts w:cs="Arial"/>
                <w:bCs/>
                <w:szCs w:val="20"/>
              </w:rPr>
            </w:pPr>
            <w:r>
              <w:rPr>
                <w:rFonts w:cs="Arial"/>
                <w:bCs/>
                <w:szCs w:val="20"/>
              </w:rPr>
              <w:t>Nurtures, Leads and Manages People (1)</w:t>
            </w:r>
          </w:p>
          <w:p w14:paraId="1409EA17" w14:textId="77777777" w:rsidR="009C07B0" w:rsidRDefault="009C07B0" w:rsidP="009C07B0">
            <w:pPr>
              <w:numPr>
                <w:ilvl w:val="0"/>
                <w:numId w:val="46"/>
              </w:numPr>
              <w:jc w:val="both"/>
              <w:rPr>
                <w:rFonts w:cs="Arial"/>
                <w:bCs/>
                <w:szCs w:val="20"/>
              </w:rPr>
            </w:pPr>
            <w:r>
              <w:rPr>
                <w:rFonts w:cs="Arial"/>
                <w:bCs/>
                <w:szCs w:val="20"/>
              </w:rPr>
              <w:t>Demonstrates Self Awareness and Ethical Awareness (</w:t>
            </w:r>
            <w:r w:rsidR="004E4A2E">
              <w:rPr>
                <w:rFonts w:cs="Arial"/>
                <w:bCs/>
                <w:szCs w:val="20"/>
              </w:rPr>
              <w:t>2</w:t>
            </w:r>
            <w:r>
              <w:rPr>
                <w:rFonts w:cs="Arial"/>
                <w:bCs/>
                <w:szCs w:val="20"/>
              </w:rPr>
              <w:t>)</w:t>
            </w:r>
          </w:p>
          <w:p w14:paraId="5B663A30" w14:textId="77777777" w:rsidR="009C07B0" w:rsidRDefault="009C07B0" w:rsidP="009C07B0">
            <w:pPr>
              <w:numPr>
                <w:ilvl w:val="0"/>
                <w:numId w:val="46"/>
              </w:numPr>
              <w:jc w:val="both"/>
              <w:rPr>
                <w:rFonts w:cs="Arial"/>
                <w:bCs/>
                <w:szCs w:val="20"/>
              </w:rPr>
            </w:pPr>
            <w:r>
              <w:rPr>
                <w:rFonts w:cs="Arial"/>
                <w:bCs/>
                <w:szCs w:val="20"/>
              </w:rPr>
              <w:t>Works Collaboratively with others (2)</w:t>
            </w:r>
          </w:p>
          <w:p w14:paraId="7BD3285D" w14:textId="77777777" w:rsidR="009C07B0" w:rsidRDefault="009C07B0" w:rsidP="009C07B0">
            <w:pPr>
              <w:numPr>
                <w:ilvl w:val="0"/>
                <w:numId w:val="46"/>
              </w:numPr>
              <w:jc w:val="both"/>
              <w:rPr>
                <w:rFonts w:cs="Arial"/>
                <w:bCs/>
                <w:szCs w:val="20"/>
              </w:rPr>
            </w:pPr>
            <w:r>
              <w:rPr>
                <w:rFonts w:cs="Arial"/>
                <w:bCs/>
                <w:szCs w:val="20"/>
              </w:rPr>
              <w:t>Builds and Maintains Partnerships (2)</w:t>
            </w:r>
          </w:p>
          <w:p w14:paraId="6EC06B52" w14:textId="77777777" w:rsidR="009C07B0" w:rsidRDefault="009C07B0" w:rsidP="009C07B0">
            <w:pPr>
              <w:numPr>
                <w:ilvl w:val="0"/>
                <w:numId w:val="46"/>
              </w:numPr>
              <w:jc w:val="both"/>
              <w:rPr>
                <w:rFonts w:cs="Arial"/>
                <w:bCs/>
                <w:szCs w:val="20"/>
              </w:rPr>
            </w:pPr>
            <w:r>
              <w:rPr>
                <w:rFonts w:cs="Arial"/>
                <w:bCs/>
                <w:szCs w:val="20"/>
              </w:rPr>
              <w:t>Innovates and Embraces Change (2)</w:t>
            </w:r>
          </w:p>
          <w:p w14:paraId="66E22C96" w14:textId="77777777" w:rsidR="009C07B0" w:rsidRDefault="009C07B0" w:rsidP="009C07B0">
            <w:pPr>
              <w:numPr>
                <w:ilvl w:val="0"/>
                <w:numId w:val="46"/>
              </w:numPr>
              <w:jc w:val="both"/>
              <w:rPr>
                <w:rFonts w:cs="Arial"/>
                <w:bCs/>
                <w:szCs w:val="20"/>
              </w:rPr>
            </w:pPr>
            <w:r>
              <w:rPr>
                <w:rFonts w:cs="Arial"/>
                <w:bCs/>
                <w:szCs w:val="20"/>
              </w:rPr>
              <w:t>Thinks and Acts Strategically (2)</w:t>
            </w:r>
          </w:p>
          <w:p w14:paraId="0DD563D1" w14:textId="77777777" w:rsidR="009C07B0" w:rsidRDefault="009C07B0" w:rsidP="009C07B0">
            <w:pPr>
              <w:numPr>
                <w:ilvl w:val="0"/>
                <w:numId w:val="46"/>
              </w:numPr>
              <w:jc w:val="both"/>
              <w:rPr>
                <w:rFonts w:cs="Arial"/>
                <w:bCs/>
                <w:szCs w:val="20"/>
              </w:rPr>
            </w:pPr>
            <w:r>
              <w:rPr>
                <w:rFonts w:cs="Arial"/>
                <w:bCs/>
                <w:szCs w:val="20"/>
              </w:rPr>
              <w:t>Drive</w:t>
            </w:r>
            <w:r w:rsidR="004E4A2E">
              <w:rPr>
                <w:rFonts w:cs="Arial"/>
                <w:bCs/>
                <w:szCs w:val="20"/>
              </w:rPr>
              <w:t>s</w:t>
            </w:r>
            <w:r>
              <w:rPr>
                <w:rFonts w:cs="Arial"/>
                <w:bCs/>
                <w:szCs w:val="20"/>
              </w:rPr>
              <w:t xml:space="preserve"> to achieve impactful results (2)</w:t>
            </w:r>
          </w:p>
          <w:p w14:paraId="4E62FCED" w14:textId="77777777" w:rsidR="009C07B0" w:rsidRDefault="009C07B0" w:rsidP="009C07B0">
            <w:pPr>
              <w:numPr>
                <w:ilvl w:val="0"/>
                <w:numId w:val="46"/>
              </w:numPr>
              <w:jc w:val="both"/>
              <w:rPr>
                <w:rFonts w:cs="Arial"/>
                <w:bCs/>
                <w:szCs w:val="20"/>
              </w:rPr>
            </w:pPr>
            <w:r>
              <w:rPr>
                <w:rFonts w:cs="Arial"/>
                <w:bCs/>
                <w:szCs w:val="20"/>
              </w:rPr>
              <w:t>Manages ambiguity and complexity (2)</w:t>
            </w:r>
          </w:p>
          <w:p w14:paraId="468DEC2F" w14:textId="77777777" w:rsidR="00807D67" w:rsidRDefault="00807D67" w:rsidP="00807D67">
            <w:pPr>
              <w:jc w:val="both"/>
              <w:rPr>
                <w:rFonts w:cs="Arial"/>
                <w:bCs/>
                <w:szCs w:val="20"/>
              </w:rPr>
            </w:pPr>
          </w:p>
          <w:p w14:paraId="4DAAA9FB" w14:textId="77777777" w:rsidR="00807D67" w:rsidRPr="00807D67" w:rsidRDefault="00807D67" w:rsidP="00807D67">
            <w:pPr>
              <w:rPr>
                <w:b/>
                <w:bCs/>
                <w:u w:val="single"/>
              </w:rPr>
            </w:pPr>
            <w:r w:rsidRPr="00807D67">
              <w:rPr>
                <w:b/>
                <w:bCs/>
                <w:u w:val="single"/>
              </w:rPr>
              <w:t>Functional Competencies</w:t>
            </w:r>
          </w:p>
          <w:p w14:paraId="2747D308" w14:textId="77777777" w:rsidR="00807D67" w:rsidRDefault="00807D67" w:rsidP="00807D67"/>
          <w:p w14:paraId="0977B360" w14:textId="77777777" w:rsidR="00807D67" w:rsidRPr="00807D67" w:rsidRDefault="00807D67" w:rsidP="00807D67">
            <w:pPr>
              <w:numPr>
                <w:ilvl w:val="0"/>
                <w:numId w:val="46"/>
              </w:numPr>
              <w:jc w:val="both"/>
              <w:rPr>
                <w:rFonts w:cs="Arial"/>
                <w:bCs/>
                <w:szCs w:val="20"/>
              </w:rPr>
            </w:pPr>
            <w:r w:rsidRPr="00807D67">
              <w:rPr>
                <w:rFonts w:cs="Arial"/>
                <w:bCs/>
                <w:szCs w:val="20"/>
              </w:rPr>
              <w:t xml:space="preserve">Analyzing (2) </w:t>
            </w:r>
          </w:p>
          <w:p w14:paraId="502918B4" w14:textId="77777777" w:rsidR="00807D67" w:rsidRPr="00807D67" w:rsidRDefault="00807D67" w:rsidP="00807D67">
            <w:pPr>
              <w:numPr>
                <w:ilvl w:val="0"/>
                <w:numId w:val="46"/>
              </w:numPr>
              <w:jc w:val="both"/>
              <w:rPr>
                <w:rFonts w:cs="Arial"/>
                <w:bCs/>
                <w:szCs w:val="20"/>
              </w:rPr>
            </w:pPr>
            <w:r w:rsidRPr="00807D67">
              <w:rPr>
                <w:rFonts w:cs="Arial"/>
                <w:bCs/>
                <w:szCs w:val="20"/>
              </w:rPr>
              <w:t xml:space="preserve">Applying technical expertise (2) </w:t>
            </w:r>
          </w:p>
          <w:p w14:paraId="53A59F62" w14:textId="77777777" w:rsidR="00807D67" w:rsidRPr="00807D67" w:rsidRDefault="00807D67" w:rsidP="00807D67">
            <w:pPr>
              <w:numPr>
                <w:ilvl w:val="0"/>
                <w:numId w:val="46"/>
              </w:numPr>
              <w:jc w:val="both"/>
              <w:rPr>
                <w:rFonts w:cs="Arial"/>
                <w:bCs/>
                <w:szCs w:val="20"/>
              </w:rPr>
            </w:pPr>
            <w:r w:rsidRPr="00807D67">
              <w:rPr>
                <w:rFonts w:cs="Arial"/>
                <w:bCs/>
                <w:szCs w:val="20"/>
              </w:rPr>
              <w:t xml:space="preserve">Learning and researching (2) </w:t>
            </w:r>
          </w:p>
          <w:p w14:paraId="13E06552" w14:textId="77777777" w:rsidR="00807D67" w:rsidRPr="00807D67" w:rsidRDefault="00807D67" w:rsidP="00807D67">
            <w:pPr>
              <w:numPr>
                <w:ilvl w:val="0"/>
                <w:numId w:val="46"/>
              </w:numPr>
              <w:jc w:val="both"/>
              <w:rPr>
                <w:rFonts w:cs="Arial"/>
                <w:bCs/>
                <w:szCs w:val="20"/>
              </w:rPr>
            </w:pPr>
            <w:r w:rsidRPr="00807D67">
              <w:rPr>
                <w:rFonts w:cs="Arial"/>
                <w:bCs/>
                <w:szCs w:val="20"/>
              </w:rPr>
              <w:t>Planning and organizing (2)</w:t>
            </w:r>
          </w:p>
          <w:p w14:paraId="229BB1CA" w14:textId="77777777" w:rsidR="00807D67" w:rsidRDefault="00807D67" w:rsidP="00807D67">
            <w:pPr>
              <w:jc w:val="both"/>
              <w:rPr>
                <w:rFonts w:cs="Arial"/>
                <w:bCs/>
                <w:szCs w:val="20"/>
              </w:rPr>
            </w:pPr>
          </w:p>
          <w:p w14:paraId="4A00524C" w14:textId="77777777" w:rsidR="009C07B0" w:rsidRDefault="009C07B0" w:rsidP="009C07B0">
            <w:pPr>
              <w:jc w:val="both"/>
            </w:pPr>
          </w:p>
        </w:tc>
      </w:tr>
    </w:tbl>
    <w:p w14:paraId="106B7C76" w14:textId="1A9CA226" w:rsidR="00153FBF" w:rsidRDefault="00153FBF" w:rsidP="00226C67">
      <w:pPr>
        <w:ind w:left="720"/>
      </w:pPr>
    </w:p>
    <w:p w14:paraId="0605535D" w14:textId="77777777" w:rsidR="0045567B" w:rsidRDefault="0045567B" w:rsidP="00226C67">
      <w:pPr>
        <w:ind w:left="720"/>
      </w:pPr>
    </w:p>
    <w:tbl>
      <w:tblPr>
        <w:tblW w:w="9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548"/>
        <w:gridCol w:w="8280"/>
      </w:tblGrid>
      <w:tr w:rsidR="00153FBF" w14:paraId="095D3460" w14:textId="77777777" w:rsidTr="00226C67">
        <w:tc>
          <w:tcPr>
            <w:tcW w:w="9828" w:type="dxa"/>
            <w:gridSpan w:val="2"/>
            <w:shd w:val="clear" w:color="auto" w:fill="E0E0E0"/>
          </w:tcPr>
          <w:p w14:paraId="06927A8F" w14:textId="77777777" w:rsidR="00153FBF" w:rsidRDefault="00153FBF">
            <w:pPr>
              <w:rPr>
                <w:b/>
                <w:bCs/>
                <w:sz w:val="24"/>
              </w:rPr>
            </w:pPr>
          </w:p>
          <w:p w14:paraId="3C748290" w14:textId="77777777" w:rsidR="00153FBF" w:rsidRDefault="00153FBF">
            <w:pPr>
              <w:rPr>
                <w:b/>
                <w:bCs/>
                <w:sz w:val="24"/>
              </w:rPr>
            </w:pPr>
            <w:r>
              <w:rPr>
                <w:b/>
                <w:bCs/>
                <w:sz w:val="24"/>
              </w:rPr>
              <w:t>VI. Recruitment Qualifications</w:t>
            </w:r>
          </w:p>
          <w:p w14:paraId="5CC19425" w14:textId="77777777" w:rsidR="00153FBF" w:rsidRDefault="00153FBF">
            <w:pPr>
              <w:rPr>
                <w:b/>
                <w:bCs/>
                <w:sz w:val="24"/>
              </w:rPr>
            </w:pPr>
          </w:p>
        </w:tc>
      </w:tr>
      <w:tr w:rsidR="00153FBF" w14:paraId="73DC0F9A" w14:textId="77777777" w:rsidTr="0045567B">
        <w:trPr>
          <w:trHeight w:val="2861"/>
        </w:trPr>
        <w:tc>
          <w:tcPr>
            <w:tcW w:w="1548" w:type="dxa"/>
            <w:tcBorders>
              <w:bottom w:val="single" w:sz="4" w:space="0" w:color="auto"/>
            </w:tcBorders>
          </w:tcPr>
          <w:p w14:paraId="57AEEDB0" w14:textId="77777777" w:rsidR="00153FBF" w:rsidRDefault="00153FBF"/>
          <w:p w14:paraId="6CE15639" w14:textId="77777777" w:rsidR="00153FBF" w:rsidRDefault="00153FBF">
            <w:r>
              <w:t>Education:</w:t>
            </w:r>
          </w:p>
        </w:tc>
        <w:tc>
          <w:tcPr>
            <w:tcW w:w="8280" w:type="dxa"/>
            <w:tcBorders>
              <w:bottom w:val="single" w:sz="4" w:space="0" w:color="auto"/>
            </w:tcBorders>
          </w:tcPr>
          <w:p w14:paraId="1BB5A805" w14:textId="77777777" w:rsidR="00153FBF" w:rsidRDefault="00153FBF"/>
          <w:p w14:paraId="22FB7D18" w14:textId="700A6EF7" w:rsidR="00F47565" w:rsidRDefault="000F0AF4" w:rsidP="00F47565">
            <w:pPr>
              <w:jc w:val="both"/>
            </w:pPr>
            <w:r w:rsidRPr="000F0AF4">
              <w:t>An advanced university degree in one of the following fields is required:</w:t>
            </w:r>
            <w:r w:rsidR="00C6495E">
              <w:t xml:space="preserve"> engineering sciences, environmental sciences, </w:t>
            </w:r>
            <w:r w:rsidR="00F47565" w:rsidRPr="007E33A8">
              <w:t xml:space="preserve">public health, </w:t>
            </w:r>
            <w:r w:rsidR="00F47565">
              <w:t xml:space="preserve">social sciences, behavior change communication, </w:t>
            </w:r>
            <w:r w:rsidR="00F47565" w:rsidRPr="007E33A8">
              <w:t>sanita</w:t>
            </w:r>
            <w:r w:rsidR="00F47565">
              <w:t>ry</w:t>
            </w:r>
            <w:r w:rsidR="00F47565" w:rsidRPr="007E33A8">
              <w:t xml:space="preserve"> </w:t>
            </w:r>
            <w:r w:rsidR="00BC677A" w:rsidRPr="007E33A8">
              <w:t>engineering,</w:t>
            </w:r>
            <w:r w:rsidR="00F47565">
              <w:t xml:space="preserve"> </w:t>
            </w:r>
            <w:r>
              <w:t>or</w:t>
            </w:r>
            <w:r w:rsidRPr="007E33A8">
              <w:t xml:space="preserve"> another </w:t>
            </w:r>
            <w:r>
              <w:t xml:space="preserve">relevant technical </w:t>
            </w:r>
            <w:r w:rsidR="002A6742">
              <w:t>field.</w:t>
            </w:r>
          </w:p>
          <w:p w14:paraId="24FABAD1" w14:textId="77777777" w:rsidR="005633BC" w:rsidRDefault="005633BC" w:rsidP="00F47565">
            <w:pPr>
              <w:jc w:val="both"/>
            </w:pPr>
          </w:p>
          <w:p w14:paraId="41DDA723" w14:textId="26289817" w:rsidR="005633BC" w:rsidRPr="0079526A" w:rsidRDefault="005633BC" w:rsidP="005633BC">
            <w:pPr>
              <w:jc w:val="both"/>
              <w:rPr>
                <w:i/>
              </w:rPr>
            </w:pPr>
            <w:r w:rsidRPr="0079526A">
              <w:rPr>
                <w:i/>
              </w:rPr>
              <w:t>(Whi</w:t>
            </w:r>
            <w:r>
              <w:rPr>
                <w:i/>
              </w:rPr>
              <w:t xml:space="preserve">le </w:t>
            </w:r>
            <w:r w:rsidRPr="0079526A">
              <w:rPr>
                <w:i/>
              </w:rPr>
              <w:t>advanced university degree</w:t>
            </w:r>
            <w:r>
              <w:rPr>
                <w:i/>
              </w:rPr>
              <w:t>s for WASH positions are</w:t>
            </w:r>
            <w:r w:rsidRPr="0079526A">
              <w:rPr>
                <w:i/>
              </w:rPr>
              <w:t xml:space="preserve"> strongly preferable, offices are able to request a University degree</w:t>
            </w:r>
            <w:r>
              <w:rPr>
                <w:i/>
              </w:rPr>
              <w:t xml:space="preserve"> at this level</w:t>
            </w:r>
            <w:r w:rsidRPr="0079526A">
              <w:rPr>
                <w:i/>
              </w:rPr>
              <w:t xml:space="preserve"> if they</w:t>
            </w:r>
            <w:r>
              <w:rPr>
                <w:i/>
              </w:rPr>
              <w:t xml:space="preserve"> find </w:t>
            </w:r>
            <w:r w:rsidRPr="0079526A">
              <w:rPr>
                <w:i/>
              </w:rPr>
              <w:t xml:space="preserve">difficulty in attracting a sufficient </w:t>
            </w:r>
            <w:r w:rsidR="00BC677A" w:rsidRPr="0079526A">
              <w:rPr>
                <w:i/>
              </w:rPr>
              <w:t>number</w:t>
            </w:r>
            <w:r w:rsidRPr="0079526A">
              <w:rPr>
                <w:i/>
              </w:rPr>
              <w:t xml:space="preserve"> of candidates)</w:t>
            </w:r>
          </w:p>
          <w:p w14:paraId="143354CA" w14:textId="77777777" w:rsidR="00F47565" w:rsidRDefault="00F47565" w:rsidP="00F47565">
            <w:pPr>
              <w:jc w:val="both"/>
            </w:pPr>
          </w:p>
          <w:p w14:paraId="10487345" w14:textId="77777777" w:rsidR="00F47565" w:rsidRPr="007E33A8" w:rsidRDefault="00F47565" w:rsidP="00F47565">
            <w:pPr>
              <w:jc w:val="both"/>
            </w:pPr>
            <w:r>
              <w:t>Additional relevant post-graduate courses that complement/supplement the main degree are a strong asset.</w:t>
            </w:r>
          </w:p>
          <w:p w14:paraId="467AE626" w14:textId="77777777" w:rsidR="00153FBF" w:rsidRPr="0045567B" w:rsidRDefault="00153FBF" w:rsidP="00153FBF">
            <w:pPr>
              <w:jc w:val="both"/>
              <w:rPr>
                <w:sz w:val="16"/>
                <w:szCs w:val="20"/>
              </w:rPr>
            </w:pPr>
          </w:p>
        </w:tc>
      </w:tr>
      <w:tr w:rsidR="00153FBF" w14:paraId="33188306" w14:textId="77777777" w:rsidTr="0045567B">
        <w:trPr>
          <w:trHeight w:val="230"/>
        </w:trPr>
        <w:tc>
          <w:tcPr>
            <w:tcW w:w="1548" w:type="dxa"/>
            <w:tcBorders>
              <w:bottom w:val="single" w:sz="4" w:space="0" w:color="auto"/>
            </w:tcBorders>
          </w:tcPr>
          <w:p w14:paraId="5C4F71F1" w14:textId="77777777" w:rsidR="00153FBF" w:rsidRDefault="00153FBF"/>
          <w:p w14:paraId="6ED31313" w14:textId="77777777" w:rsidR="00153FBF" w:rsidRDefault="00153FBF">
            <w:r>
              <w:t>Experience:</w:t>
            </w:r>
          </w:p>
        </w:tc>
        <w:tc>
          <w:tcPr>
            <w:tcW w:w="8280" w:type="dxa"/>
            <w:tcBorders>
              <w:bottom w:val="single" w:sz="4" w:space="0" w:color="auto"/>
            </w:tcBorders>
          </w:tcPr>
          <w:p w14:paraId="328FA8A7" w14:textId="77777777" w:rsidR="00153FBF" w:rsidRDefault="00153FBF" w:rsidP="00153FBF">
            <w:pPr>
              <w:jc w:val="both"/>
            </w:pPr>
          </w:p>
          <w:p w14:paraId="4C45E61C" w14:textId="77777777" w:rsidR="002D6B10" w:rsidRDefault="002D6B10" w:rsidP="002D6B10">
            <w:pPr>
              <w:jc w:val="both"/>
            </w:pPr>
            <w:r>
              <w:t>DEVELOPMENTAL:  a minimum of two years</w:t>
            </w:r>
            <w:r w:rsidRPr="007E33A8">
              <w:t xml:space="preserve"> of professional </w:t>
            </w:r>
            <w:r>
              <w:t xml:space="preserve">work </w:t>
            </w:r>
            <w:r w:rsidRPr="007E33A8">
              <w:t xml:space="preserve">experience in </w:t>
            </w:r>
            <w:r>
              <w:t xml:space="preserve">WASH-related </w:t>
            </w:r>
            <w:r w:rsidR="000F0AF4">
              <w:t>programme</w:t>
            </w:r>
            <w:r>
              <w:t>s for developing countries</w:t>
            </w:r>
            <w:r w:rsidR="000F0AF4">
              <w:t xml:space="preserve"> is required</w:t>
            </w:r>
            <w:r w:rsidRPr="007E33A8">
              <w:t>.</w:t>
            </w:r>
          </w:p>
          <w:p w14:paraId="3099990A" w14:textId="77777777" w:rsidR="002D6B10" w:rsidRDefault="002D6B10" w:rsidP="002D6B10">
            <w:pPr>
              <w:jc w:val="both"/>
            </w:pPr>
          </w:p>
          <w:p w14:paraId="0F90D872" w14:textId="77777777" w:rsidR="002D6B10" w:rsidRPr="007E33A8" w:rsidRDefault="002D6B10" w:rsidP="002D6B10">
            <w:pPr>
              <w:jc w:val="both"/>
            </w:pPr>
            <w:r>
              <w:t>HUMANITARIAN: nil</w:t>
            </w:r>
          </w:p>
          <w:p w14:paraId="42CC4FA7" w14:textId="77777777" w:rsidR="00153FBF" w:rsidRPr="0045567B" w:rsidRDefault="00153FBF" w:rsidP="00153FBF">
            <w:pPr>
              <w:jc w:val="both"/>
            </w:pPr>
          </w:p>
        </w:tc>
      </w:tr>
      <w:tr w:rsidR="00153FBF" w:rsidRPr="00482327" w14:paraId="43EA7CF0" w14:textId="77777777" w:rsidTr="0045567B">
        <w:trPr>
          <w:trHeight w:val="899"/>
        </w:trPr>
        <w:tc>
          <w:tcPr>
            <w:tcW w:w="1548" w:type="dxa"/>
            <w:tcBorders>
              <w:bottom w:val="single" w:sz="4" w:space="0" w:color="auto"/>
            </w:tcBorders>
          </w:tcPr>
          <w:p w14:paraId="4E675059" w14:textId="77777777" w:rsidR="00153FBF" w:rsidRDefault="00153FBF"/>
          <w:p w14:paraId="6C8257FF" w14:textId="77777777" w:rsidR="00153FBF" w:rsidRDefault="00153FBF">
            <w:r>
              <w:t>Language Requirements:</w:t>
            </w:r>
          </w:p>
        </w:tc>
        <w:tc>
          <w:tcPr>
            <w:tcW w:w="8280" w:type="dxa"/>
            <w:tcBorders>
              <w:bottom w:val="single" w:sz="4" w:space="0" w:color="auto"/>
            </w:tcBorders>
          </w:tcPr>
          <w:p w14:paraId="5F76C087" w14:textId="77777777" w:rsidR="00153FBF" w:rsidRDefault="00153FBF"/>
          <w:p w14:paraId="69C4F4A6" w14:textId="77777777" w:rsidR="00896335" w:rsidRPr="00482327" w:rsidRDefault="000F0AF4">
            <w:pPr>
              <w:rPr>
                <w:rFonts w:cs="Arial"/>
              </w:rPr>
            </w:pPr>
            <w:r>
              <w:t>Fluency in English is required.  Knowledge of another official UN language or local language of the duty station is considered as an asset</w:t>
            </w:r>
            <w:r w:rsidRPr="00482327">
              <w:rPr>
                <w:rFonts w:cs="Arial"/>
              </w:rPr>
              <w:t xml:space="preserve"> </w:t>
            </w:r>
          </w:p>
        </w:tc>
      </w:tr>
    </w:tbl>
    <w:p w14:paraId="15C7EDF7" w14:textId="77777777" w:rsidR="002D6B10" w:rsidRDefault="002D6B10" w:rsidP="00226C67">
      <w:pPr>
        <w:ind w:left="720"/>
      </w:pPr>
    </w:p>
    <w:tbl>
      <w:tblPr>
        <w:tblW w:w="9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038"/>
        <w:gridCol w:w="2790"/>
      </w:tblGrid>
      <w:tr w:rsidR="002D6B10" w14:paraId="78CBB3CD" w14:textId="77777777" w:rsidTr="00226C67">
        <w:tc>
          <w:tcPr>
            <w:tcW w:w="9828" w:type="dxa"/>
            <w:gridSpan w:val="2"/>
            <w:shd w:val="clear" w:color="auto" w:fill="E0E0E0"/>
          </w:tcPr>
          <w:p w14:paraId="3200C9FD" w14:textId="77777777" w:rsidR="002D6B10" w:rsidRDefault="002D6B10" w:rsidP="00896335">
            <w:pPr>
              <w:rPr>
                <w:b/>
                <w:bCs/>
                <w:sz w:val="24"/>
              </w:rPr>
            </w:pPr>
          </w:p>
          <w:p w14:paraId="6351BDA8" w14:textId="77777777" w:rsidR="002D6B10" w:rsidRDefault="002D6B10" w:rsidP="00896335">
            <w:pPr>
              <w:rPr>
                <w:b/>
                <w:bCs/>
                <w:sz w:val="24"/>
              </w:rPr>
            </w:pPr>
            <w:r>
              <w:rPr>
                <w:b/>
                <w:bCs/>
                <w:sz w:val="24"/>
              </w:rPr>
              <w:t>VII. Technical requirements</w:t>
            </w:r>
          </w:p>
          <w:p w14:paraId="51E5D290" w14:textId="77777777" w:rsidR="002D6B10" w:rsidRDefault="002D6B10" w:rsidP="00896335">
            <w:pPr>
              <w:rPr>
                <w:b/>
                <w:bCs/>
                <w:sz w:val="24"/>
              </w:rPr>
            </w:pPr>
          </w:p>
        </w:tc>
      </w:tr>
      <w:tr w:rsidR="002D6B10" w14:paraId="21D6BD6D" w14:textId="77777777" w:rsidTr="0045567B">
        <w:trPr>
          <w:trHeight w:val="4139"/>
        </w:trPr>
        <w:tc>
          <w:tcPr>
            <w:tcW w:w="7038" w:type="dxa"/>
            <w:tcBorders>
              <w:bottom w:val="single" w:sz="4" w:space="0" w:color="auto"/>
            </w:tcBorders>
          </w:tcPr>
          <w:p w14:paraId="39BDC957" w14:textId="77777777" w:rsidR="002D6B10" w:rsidRDefault="002D6B10" w:rsidP="0045567B">
            <w:pPr>
              <w:numPr>
                <w:ilvl w:val="0"/>
                <w:numId w:val="39"/>
              </w:numPr>
              <w:spacing w:before="240" w:after="120"/>
            </w:pPr>
            <w:r>
              <w:t>Rural water supply for low- and middle-income countries - including water safety, sustainability</w:t>
            </w:r>
          </w:p>
          <w:p w14:paraId="40E1F0D6" w14:textId="77777777" w:rsidR="002D6B10" w:rsidRDefault="002D6B10" w:rsidP="0045567B">
            <w:pPr>
              <w:numPr>
                <w:ilvl w:val="0"/>
                <w:numId w:val="39"/>
              </w:numPr>
              <w:spacing w:after="120"/>
            </w:pPr>
            <w:r>
              <w:t>Rural sanitation for low- and middle-income countries, incl sustainability; applying CATS principles</w:t>
            </w:r>
          </w:p>
          <w:p w14:paraId="36E1209A" w14:textId="77777777" w:rsidR="002D6B10" w:rsidRDefault="002D6B10" w:rsidP="0045567B">
            <w:pPr>
              <w:numPr>
                <w:ilvl w:val="0"/>
                <w:numId w:val="39"/>
              </w:numPr>
              <w:spacing w:after="120"/>
            </w:pPr>
            <w:r>
              <w:t>Urban sanitation for low- and middle-income countries, incl sustainability</w:t>
            </w:r>
          </w:p>
          <w:p w14:paraId="75AC8C22" w14:textId="77777777" w:rsidR="002D6B10" w:rsidRDefault="002D6B10" w:rsidP="0045567B">
            <w:pPr>
              <w:numPr>
                <w:ilvl w:val="0"/>
                <w:numId w:val="39"/>
              </w:numPr>
              <w:spacing w:after="120"/>
            </w:pPr>
            <w:r>
              <w:t>Handwashing with soap</w:t>
            </w:r>
          </w:p>
          <w:p w14:paraId="7788EC89" w14:textId="77777777" w:rsidR="002D6B10" w:rsidRDefault="002D6B10" w:rsidP="0045567B">
            <w:pPr>
              <w:numPr>
                <w:ilvl w:val="0"/>
                <w:numId w:val="39"/>
              </w:numPr>
              <w:spacing w:after="120"/>
            </w:pPr>
            <w:r>
              <w:t>WASH-in-Schools and Health Centres</w:t>
            </w:r>
          </w:p>
          <w:p w14:paraId="5AE72B18" w14:textId="77777777" w:rsidR="002D6B10" w:rsidRDefault="002D6B10" w:rsidP="0045567B">
            <w:pPr>
              <w:numPr>
                <w:ilvl w:val="0"/>
                <w:numId w:val="39"/>
              </w:numPr>
              <w:spacing w:after="120"/>
            </w:pPr>
            <w:r>
              <w:t>Menstrual hygiene management</w:t>
            </w:r>
          </w:p>
          <w:p w14:paraId="716D2423" w14:textId="77777777" w:rsidR="002D6B10" w:rsidRDefault="002D6B10" w:rsidP="0045567B">
            <w:pPr>
              <w:numPr>
                <w:ilvl w:val="0"/>
                <w:numId w:val="39"/>
              </w:numPr>
              <w:spacing w:after="120"/>
            </w:pPr>
            <w:r>
              <w:t>National government WASH policies, plans and strategies</w:t>
            </w:r>
          </w:p>
          <w:p w14:paraId="03104C8D" w14:textId="77777777" w:rsidR="002D6B10" w:rsidRDefault="002D6B10" w:rsidP="002D6B10">
            <w:pPr>
              <w:numPr>
                <w:ilvl w:val="0"/>
                <w:numId w:val="39"/>
              </w:numPr>
            </w:pPr>
            <w:r>
              <w:t>Analysis of national budgets and expenditure for basic WASH, and related advocacy</w:t>
            </w:r>
          </w:p>
        </w:tc>
        <w:tc>
          <w:tcPr>
            <w:tcW w:w="2790" w:type="dxa"/>
            <w:tcBorders>
              <w:bottom w:val="single" w:sz="4" w:space="0" w:color="auto"/>
            </w:tcBorders>
            <w:vAlign w:val="center"/>
          </w:tcPr>
          <w:p w14:paraId="23557E30" w14:textId="77777777" w:rsidR="002D6B10" w:rsidRDefault="002D6B10" w:rsidP="0045567B">
            <w:r w:rsidRPr="00B46359">
              <w:t xml:space="preserve">Basic knowledge of </w:t>
            </w:r>
            <w:r>
              <w:t>six</w:t>
            </w:r>
            <w:r w:rsidRPr="00B46359">
              <w:t xml:space="preserve"> of the eight components</w:t>
            </w:r>
          </w:p>
        </w:tc>
      </w:tr>
      <w:tr w:rsidR="002D6B10" w14:paraId="3B4DF821" w14:textId="77777777" w:rsidTr="0045567B">
        <w:trPr>
          <w:trHeight w:val="1070"/>
        </w:trPr>
        <w:tc>
          <w:tcPr>
            <w:tcW w:w="7038" w:type="dxa"/>
            <w:tcBorders>
              <w:bottom w:val="single" w:sz="4" w:space="0" w:color="auto"/>
            </w:tcBorders>
          </w:tcPr>
          <w:p w14:paraId="462DBBBD" w14:textId="77777777" w:rsidR="002D6B10" w:rsidRDefault="002D6B10" w:rsidP="0045567B">
            <w:pPr>
              <w:numPr>
                <w:ilvl w:val="0"/>
                <w:numId w:val="40"/>
              </w:numPr>
              <w:spacing w:before="240"/>
            </w:pPr>
            <w:r>
              <w:t>Humanitarian WASH - preparedness</w:t>
            </w:r>
          </w:p>
          <w:p w14:paraId="638823E4" w14:textId="77777777" w:rsidR="002D6B10" w:rsidRDefault="002D6B10" w:rsidP="002D6B10">
            <w:pPr>
              <w:numPr>
                <w:ilvl w:val="0"/>
                <w:numId w:val="40"/>
              </w:numPr>
            </w:pPr>
            <w:r>
              <w:t>Humanitarian WASH - response and recovery</w:t>
            </w:r>
          </w:p>
        </w:tc>
        <w:tc>
          <w:tcPr>
            <w:tcW w:w="2790" w:type="dxa"/>
            <w:tcBorders>
              <w:bottom w:val="single" w:sz="4" w:space="0" w:color="auto"/>
            </w:tcBorders>
          </w:tcPr>
          <w:p w14:paraId="78D5C0AF" w14:textId="77777777" w:rsidR="002D6B10" w:rsidRDefault="002D6B10" w:rsidP="0045567B">
            <w:pPr>
              <w:spacing w:before="240"/>
              <w:jc w:val="both"/>
            </w:pPr>
            <w:r w:rsidRPr="002D6B10">
              <w:t>Basic knowledge of one component</w:t>
            </w:r>
          </w:p>
        </w:tc>
      </w:tr>
      <w:tr w:rsidR="005E0C7E" w:rsidRPr="00482327" w14:paraId="429319EB" w14:textId="77777777" w:rsidTr="0045567B">
        <w:trPr>
          <w:trHeight w:val="890"/>
        </w:trPr>
        <w:tc>
          <w:tcPr>
            <w:tcW w:w="7038" w:type="dxa"/>
          </w:tcPr>
          <w:p w14:paraId="3934DBE3" w14:textId="77777777" w:rsidR="005E0C7E" w:rsidRDefault="005E0C7E" w:rsidP="0045567B">
            <w:pPr>
              <w:numPr>
                <w:ilvl w:val="0"/>
                <w:numId w:val="41"/>
              </w:numPr>
              <w:spacing w:before="240"/>
            </w:pPr>
            <w:r>
              <w:t>Humanitarian WASH – coordination of the response</w:t>
            </w:r>
          </w:p>
        </w:tc>
        <w:tc>
          <w:tcPr>
            <w:tcW w:w="2790" w:type="dxa"/>
          </w:tcPr>
          <w:p w14:paraId="3BE45B66" w14:textId="77777777" w:rsidR="005E0C7E" w:rsidRPr="002D6B10" w:rsidRDefault="005E0C7E" w:rsidP="0045567B">
            <w:pPr>
              <w:spacing w:before="240"/>
              <w:rPr>
                <w:rFonts w:cs="Arial"/>
              </w:rPr>
            </w:pPr>
            <w:r>
              <w:rPr>
                <w:rFonts w:cs="Arial"/>
              </w:rPr>
              <w:t>Basic knowledge</w:t>
            </w:r>
          </w:p>
        </w:tc>
      </w:tr>
      <w:tr w:rsidR="002D6B10" w:rsidRPr="00482327" w14:paraId="52C5C62F" w14:textId="77777777" w:rsidTr="0045567B">
        <w:trPr>
          <w:trHeight w:val="1880"/>
        </w:trPr>
        <w:tc>
          <w:tcPr>
            <w:tcW w:w="7038" w:type="dxa"/>
          </w:tcPr>
          <w:p w14:paraId="20561940" w14:textId="77777777" w:rsidR="002D6B10" w:rsidRDefault="000F0AF4" w:rsidP="0045567B">
            <w:pPr>
              <w:numPr>
                <w:ilvl w:val="0"/>
                <w:numId w:val="41"/>
              </w:numPr>
              <w:spacing w:before="240" w:after="120"/>
            </w:pPr>
            <w:r>
              <w:t>Programme</w:t>
            </w:r>
            <w:r w:rsidR="002D6B10">
              <w:t>/project management</w:t>
            </w:r>
          </w:p>
          <w:p w14:paraId="22136DAA" w14:textId="77777777" w:rsidR="002D6B10" w:rsidRDefault="002D6B10" w:rsidP="0045567B">
            <w:pPr>
              <w:numPr>
                <w:ilvl w:val="0"/>
                <w:numId w:val="41"/>
              </w:numPr>
              <w:spacing w:after="120"/>
            </w:pPr>
            <w:r>
              <w:t>Capacity development</w:t>
            </w:r>
          </w:p>
          <w:p w14:paraId="5E62DC30" w14:textId="77777777" w:rsidR="002D6B10" w:rsidRDefault="002D6B10" w:rsidP="0045567B">
            <w:pPr>
              <w:numPr>
                <w:ilvl w:val="0"/>
                <w:numId w:val="41"/>
              </w:numPr>
              <w:spacing w:after="120"/>
            </w:pPr>
            <w:r>
              <w:t>Knowledge management</w:t>
            </w:r>
          </w:p>
          <w:p w14:paraId="11A5F794" w14:textId="77777777" w:rsidR="002D6B10" w:rsidRDefault="002D6B10" w:rsidP="002D6B10">
            <w:pPr>
              <w:numPr>
                <w:ilvl w:val="0"/>
                <w:numId w:val="41"/>
              </w:numPr>
            </w:pPr>
            <w:r>
              <w:t>Monitoring and evaluation</w:t>
            </w:r>
          </w:p>
        </w:tc>
        <w:tc>
          <w:tcPr>
            <w:tcW w:w="2790" w:type="dxa"/>
          </w:tcPr>
          <w:p w14:paraId="2717AFF3" w14:textId="77777777" w:rsidR="002D6B10" w:rsidRPr="00482327" w:rsidRDefault="002D6B10" w:rsidP="0045567B">
            <w:pPr>
              <w:spacing w:before="240"/>
              <w:rPr>
                <w:rFonts w:cs="Arial"/>
              </w:rPr>
            </w:pPr>
            <w:r w:rsidRPr="002D6B10">
              <w:rPr>
                <w:rFonts w:cs="Arial"/>
              </w:rPr>
              <w:t>Basic knowledge of all four comp</w:t>
            </w:r>
            <w:r w:rsidR="0082400C">
              <w:rPr>
                <w:rFonts w:cs="Arial"/>
              </w:rPr>
              <w:t>o</w:t>
            </w:r>
            <w:r w:rsidRPr="002D6B10">
              <w:rPr>
                <w:rFonts w:cs="Arial"/>
              </w:rPr>
              <w:t>nents</w:t>
            </w:r>
          </w:p>
        </w:tc>
      </w:tr>
      <w:tr w:rsidR="002D6B10" w:rsidRPr="00482327" w14:paraId="3627DECC" w14:textId="77777777" w:rsidTr="0045567B">
        <w:trPr>
          <w:trHeight w:val="1340"/>
        </w:trPr>
        <w:tc>
          <w:tcPr>
            <w:tcW w:w="7038" w:type="dxa"/>
            <w:tcBorders>
              <w:bottom w:val="single" w:sz="4" w:space="0" w:color="auto"/>
            </w:tcBorders>
          </w:tcPr>
          <w:p w14:paraId="0850C8CD" w14:textId="77777777" w:rsidR="002D6B10" w:rsidRDefault="002D6B10" w:rsidP="0045567B">
            <w:pPr>
              <w:numPr>
                <w:ilvl w:val="0"/>
                <w:numId w:val="42"/>
              </w:numPr>
              <w:spacing w:before="240" w:after="120"/>
            </w:pPr>
            <w:r>
              <w:t>Human rights and WASH</w:t>
            </w:r>
          </w:p>
          <w:p w14:paraId="1E341E24" w14:textId="77777777" w:rsidR="002D6B10" w:rsidRDefault="002D6B10" w:rsidP="002D6B10">
            <w:pPr>
              <w:numPr>
                <w:ilvl w:val="0"/>
                <w:numId w:val="42"/>
              </w:numPr>
            </w:pPr>
            <w:r>
              <w:t>Gender equality and WASH</w:t>
            </w:r>
          </w:p>
        </w:tc>
        <w:tc>
          <w:tcPr>
            <w:tcW w:w="2790" w:type="dxa"/>
            <w:tcBorders>
              <w:bottom w:val="single" w:sz="4" w:space="0" w:color="auto"/>
            </w:tcBorders>
          </w:tcPr>
          <w:p w14:paraId="5075115C" w14:textId="77777777" w:rsidR="002D6B10" w:rsidRPr="00482327" w:rsidRDefault="002D6B10" w:rsidP="0045567B">
            <w:pPr>
              <w:spacing w:before="240"/>
              <w:rPr>
                <w:rFonts w:cs="Arial"/>
              </w:rPr>
            </w:pPr>
            <w:r w:rsidRPr="00B46359">
              <w:rPr>
                <w:rFonts w:cs="Arial"/>
              </w:rPr>
              <w:t>Basic knowledge</w:t>
            </w:r>
          </w:p>
        </w:tc>
      </w:tr>
    </w:tbl>
    <w:p w14:paraId="329B12EC" w14:textId="77777777" w:rsidR="00153FBF" w:rsidRDefault="00153FBF" w:rsidP="00226C67">
      <w:pPr>
        <w:ind w:left="720"/>
      </w:pPr>
    </w:p>
    <w:p w14:paraId="0231C746" w14:textId="77777777" w:rsidR="00226C67" w:rsidRDefault="00226C67"/>
    <w:p w14:paraId="4AB66C3F" w14:textId="77777777" w:rsidR="00226C67" w:rsidRDefault="00226C67"/>
    <w:p w14:paraId="53637FFC" w14:textId="77777777" w:rsidR="00226C67" w:rsidRDefault="00226C67"/>
    <w:p w14:paraId="2B31C1E3" w14:textId="77777777" w:rsidR="00226C67" w:rsidRDefault="00226C67"/>
    <w:p w14:paraId="2EE7E50D" w14:textId="77777777" w:rsidR="00226C67" w:rsidRDefault="00226C67"/>
    <w:p w14:paraId="114AF76C" w14:textId="77777777" w:rsidR="00226C67" w:rsidRDefault="00226C67"/>
    <w:p w14:paraId="04029998" w14:textId="77777777" w:rsidR="00226C67" w:rsidRDefault="00226C67"/>
    <w:p w14:paraId="72CB07E6" w14:textId="77777777" w:rsidR="00226C67" w:rsidRDefault="00226C67"/>
    <w:p w14:paraId="71FAFEC8" w14:textId="77777777" w:rsidR="00226C67" w:rsidRDefault="00226C67"/>
    <w:p w14:paraId="450D4527" w14:textId="77777777" w:rsidR="00226C67" w:rsidRDefault="00226C67"/>
    <w:p w14:paraId="2922C4CF" w14:textId="77777777" w:rsidR="00226C67" w:rsidRDefault="00226C67"/>
    <w:p w14:paraId="35E4F24C" w14:textId="77777777" w:rsidR="00226C67" w:rsidRDefault="00226C67"/>
    <w:p w14:paraId="2B3010D2" w14:textId="77777777" w:rsidR="00226C67" w:rsidRDefault="00226C67"/>
    <w:p w14:paraId="6E021F81" w14:textId="77777777" w:rsidR="00226C67" w:rsidRDefault="00226C67"/>
    <w:p w14:paraId="627F822F" w14:textId="77777777" w:rsidR="00226C67" w:rsidRDefault="00226C67"/>
    <w:p w14:paraId="50B23BAF" w14:textId="77777777" w:rsidR="00226C67" w:rsidRDefault="00226C67"/>
    <w:p w14:paraId="3510C9DA" w14:textId="77777777" w:rsidR="00226C67" w:rsidRDefault="00226C67"/>
    <w:p w14:paraId="601C7BCC" w14:textId="77777777" w:rsidR="00226C67" w:rsidRPr="00226C67" w:rsidRDefault="00226C67" w:rsidP="00226C67">
      <w:pPr>
        <w:shd w:val="clear" w:color="auto" w:fill="00B0F0"/>
        <w:jc w:val="center"/>
        <w:rPr>
          <w:b/>
          <w:bCs/>
          <w:color w:val="FFFFFF"/>
          <w:sz w:val="32"/>
          <w:lang w:val="en-GB" w:eastAsia="en-GB"/>
        </w:rPr>
      </w:pPr>
      <w:r w:rsidRPr="00226C67">
        <w:rPr>
          <w:b/>
          <w:bCs/>
          <w:color w:val="FFFFFF"/>
          <w:sz w:val="32"/>
          <w:lang w:val="en-GB" w:eastAsia="en-GB"/>
        </w:rPr>
        <w:t>Child Safeguarding Certification</w:t>
      </w:r>
    </w:p>
    <w:p w14:paraId="3FC62583" w14:textId="77777777" w:rsidR="00226C67" w:rsidRPr="00226C67" w:rsidRDefault="00226C67" w:rsidP="00226C67">
      <w:pPr>
        <w:shd w:val="clear" w:color="auto" w:fill="00B0F0"/>
        <w:jc w:val="center"/>
        <w:rPr>
          <w:b/>
          <w:bCs/>
          <w:color w:val="FFFFFF"/>
          <w:sz w:val="22"/>
          <w:szCs w:val="18"/>
          <w:lang w:val="en-GB" w:eastAsia="en-GB"/>
        </w:rPr>
      </w:pPr>
      <w:r w:rsidRPr="00226C67">
        <w:rPr>
          <w:b/>
          <w:bCs/>
          <w:color w:val="FFFFFF"/>
          <w:sz w:val="22"/>
          <w:szCs w:val="18"/>
          <w:lang w:val="en-GB" w:eastAsia="en-GB"/>
        </w:rPr>
        <w:t>(to be completed by Supervisor of the post)</w:t>
      </w:r>
    </w:p>
    <w:p w14:paraId="2F99FBB7" w14:textId="77777777" w:rsidR="00226C67" w:rsidRPr="00226C67" w:rsidRDefault="00226C67" w:rsidP="00226C67">
      <w:pPr>
        <w:rPr>
          <w:b/>
          <w:bCs/>
          <w:sz w:val="24"/>
          <w:szCs w:val="20"/>
          <w:lang w:val="en-GB" w:eastAsia="en-GB"/>
        </w:rPr>
      </w:pPr>
    </w:p>
    <w:p w14:paraId="415A6F40" w14:textId="77777777" w:rsidR="00226C67" w:rsidRPr="00226C67" w:rsidRDefault="00226C67" w:rsidP="00226C67">
      <w:pPr>
        <w:jc w:val="both"/>
        <w:rPr>
          <w:sz w:val="24"/>
          <w:szCs w:val="20"/>
          <w:lang w:val="en-GB" w:eastAsia="en-GB"/>
        </w:rPr>
      </w:pPr>
    </w:p>
    <w:p w14:paraId="456AC6F0" w14:textId="77777777" w:rsidR="00226C67" w:rsidRPr="00226C67" w:rsidRDefault="006628FC" w:rsidP="00226C67">
      <w:pPr>
        <w:jc w:val="both"/>
        <w:rPr>
          <w:sz w:val="22"/>
          <w:szCs w:val="18"/>
          <w:lang w:val="en-GB" w:eastAsia="en-GB"/>
        </w:rPr>
      </w:pPr>
      <w:hyperlink r:id="rId15" w:history="1">
        <w:r w:rsidR="00226C67" w:rsidRPr="00226C67">
          <w:rPr>
            <w:b/>
            <w:bCs/>
            <w:color w:val="0563C1"/>
            <w:sz w:val="22"/>
            <w:szCs w:val="18"/>
            <w:u w:val="single"/>
            <w:lang w:val="en-GB" w:eastAsia="en-GB"/>
          </w:rPr>
          <w:t>Child Safeguarding</w:t>
        </w:r>
      </w:hyperlink>
      <w:r w:rsidR="00226C67" w:rsidRPr="00226C67">
        <w:rPr>
          <w:sz w:val="22"/>
          <w:szCs w:val="18"/>
          <w:lang w:val="en-GB" w:eastAsia="en-GB"/>
        </w:rPr>
        <w:t xml:space="preserve"> refers to proactive measures taken to limit direct and indirect collateral risks of harm to children, arising from UNICEF’s work or UNICEF personnel. Effective </w:t>
      </w:r>
      <w:r w:rsidR="00226C67" w:rsidRPr="00226C67">
        <w:rPr>
          <w:sz w:val="22"/>
          <w:szCs w:val="18"/>
          <w:u w:val="single"/>
          <w:lang w:val="en-GB" w:eastAsia="en-GB"/>
        </w:rPr>
        <w:t>01 January 2021</w:t>
      </w:r>
      <w:r w:rsidR="00226C67" w:rsidRPr="00226C67">
        <w:rPr>
          <w:sz w:val="22"/>
          <w:szCs w:val="18"/>
          <w:lang w:val="en-GB" w:eastAsia="en-GB"/>
        </w:rPr>
        <w:t xml:space="preserve">, Child Safeguarding Certification is required for all recruitments. </w:t>
      </w:r>
    </w:p>
    <w:p w14:paraId="2C5EB31D" w14:textId="77777777" w:rsidR="00226C67" w:rsidRPr="00226C67" w:rsidRDefault="00226C67" w:rsidP="00226C67">
      <w:pPr>
        <w:jc w:val="both"/>
        <w:rPr>
          <w:sz w:val="22"/>
          <w:szCs w:val="18"/>
          <w:lang w:val="en-GB" w:eastAsia="en-GB"/>
        </w:rPr>
      </w:pPr>
    </w:p>
    <w:p w14:paraId="480A35C7" w14:textId="77777777" w:rsidR="00226C67" w:rsidRPr="00226C67" w:rsidRDefault="00226C67" w:rsidP="00226C67">
      <w:pPr>
        <w:jc w:val="both"/>
        <w:rPr>
          <w:sz w:val="24"/>
          <w:szCs w:val="20"/>
          <w:lang w:val="en-GB" w:eastAsia="en-G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226C67" w:rsidRPr="00226C67" w14:paraId="5DD6C381" w14:textId="77777777" w:rsidTr="008F39CB">
        <w:tc>
          <w:tcPr>
            <w:tcW w:w="7465" w:type="dxa"/>
            <w:shd w:val="clear" w:color="auto" w:fill="auto"/>
          </w:tcPr>
          <w:p w14:paraId="4ABDEFC1" w14:textId="77777777" w:rsidR="00226C67" w:rsidRPr="00226C67" w:rsidRDefault="00226C67" w:rsidP="008F39CB">
            <w:pPr>
              <w:ind w:left="720"/>
              <w:contextualSpacing/>
              <w:jc w:val="both"/>
              <w:rPr>
                <w:rFonts w:eastAsia="Calibri" w:cs="Arial"/>
                <w:szCs w:val="20"/>
                <w:lang w:val="en-GB" w:eastAsia="en-GB"/>
              </w:rPr>
            </w:pPr>
          </w:p>
          <w:p w14:paraId="73A39E7F" w14:textId="77777777" w:rsidR="00226C67" w:rsidRPr="00226C67" w:rsidRDefault="00226C67" w:rsidP="008F39CB">
            <w:pPr>
              <w:jc w:val="both"/>
              <w:rPr>
                <w:rFonts w:eastAsia="Calibri" w:cs="Arial"/>
                <w:szCs w:val="20"/>
                <w:lang w:val="en-GB" w:eastAsia="en-GB"/>
              </w:rPr>
            </w:pPr>
            <w:r w:rsidRPr="00226C67">
              <w:rPr>
                <w:rFonts w:eastAsia="Calibri" w:cs="Arial"/>
                <w:szCs w:val="20"/>
                <w:lang w:val="en-GB" w:eastAsia="en-GB"/>
              </w:rPr>
              <w:t xml:space="preserve">1.Is this position considered as "elevated risk role" from a child safeguarding perspective?* If yes, check all that apply below. </w:t>
            </w:r>
          </w:p>
          <w:p w14:paraId="670450BE" w14:textId="77777777" w:rsidR="00226C67" w:rsidRPr="00226C67" w:rsidRDefault="00226C67" w:rsidP="008F39CB">
            <w:pPr>
              <w:jc w:val="both"/>
              <w:rPr>
                <w:rFonts w:eastAsia="Calibri" w:cs="Arial"/>
                <w:szCs w:val="20"/>
                <w:lang w:val="en-GB" w:eastAsia="en-GB"/>
              </w:rPr>
            </w:pPr>
          </w:p>
        </w:tc>
        <w:tc>
          <w:tcPr>
            <w:tcW w:w="3330" w:type="dxa"/>
            <w:shd w:val="clear" w:color="auto" w:fill="auto"/>
          </w:tcPr>
          <w:p w14:paraId="2B9A645D" w14:textId="77777777" w:rsidR="00226C67" w:rsidRPr="00226C67" w:rsidRDefault="00226C67" w:rsidP="008F39CB">
            <w:pPr>
              <w:ind w:left="720"/>
              <w:contextualSpacing/>
              <w:jc w:val="both"/>
              <w:rPr>
                <w:rFonts w:eastAsia="Calibri" w:cs="Arial"/>
                <w:szCs w:val="20"/>
                <w:lang w:val="en-GB" w:eastAsia="en-GB"/>
              </w:rPr>
            </w:pPr>
          </w:p>
          <w:p w14:paraId="5D09075E" w14:textId="77777777" w:rsidR="00226C67" w:rsidRPr="00226C67" w:rsidRDefault="00226C67" w:rsidP="008F39CB">
            <w:pPr>
              <w:ind w:left="720"/>
              <w:contextualSpacing/>
              <w:jc w:val="both"/>
              <w:rPr>
                <w:rFonts w:eastAsia="Calibri" w:cs="Arial"/>
                <w:szCs w:val="20"/>
                <w:lang w:val="en-GB" w:eastAsia="en-GB"/>
              </w:rPr>
            </w:pP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Yes</w:t>
            </w:r>
            <w:r w:rsidRPr="00226C67">
              <w:rPr>
                <w:rFonts w:eastAsia="Calibri" w:cs="Arial"/>
                <w:szCs w:val="20"/>
                <w:lang w:val="en-GB" w:eastAsia="en-GB"/>
              </w:rPr>
              <w:tab/>
            </w:r>
            <w:r w:rsidRPr="00226C67">
              <w:rPr>
                <w:rFonts w:eastAsia="Calibri" w:cs="Arial"/>
                <w:szCs w:val="20"/>
                <w:lang w:val="en-GB" w:eastAsia="en-GB"/>
              </w:rPr>
              <w:tab/>
            </w:r>
            <w:r w:rsidRPr="001A451C">
              <w:rPr>
                <w:rFonts w:ascii="Segoe UI Symbol" w:eastAsia="Calibri" w:hAnsi="Segoe UI Symbol" w:cs="Segoe UI Symbol"/>
                <w:szCs w:val="20"/>
                <w:shd w:val="clear" w:color="auto" w:fill="000000"/>
                <w:lang w:val="en-GB" w:eastAsia="en-GB"/>
              </w:rPr>
              <w:t>☐</w:t>
            </w:r>
            <w:r w:rsidRPr="00226C67">
              <w:rPr>
                <w:rFonts w:eastAsia="Calibri" w:cs="Arial"/>
                <w:szCs w:val="20"/>
                <w:lang w:val="en-GB" w:eastAsia="en-GB"/>
              </w:rPr>
              <w:t xml:space="preserve"> No</w:t>
            </w:r>
          </w:p>
          <w:p w14:paraId="3E6C9B35" w14:textId="77777777" w:rsidR="00226C67" w:rsidRPr="00226C67" w:rsidRDefault="00226C67" w:rsidP="008F39CB">
            <w:pPr>
              <w:jc w:val="both"/>
              <w:rPr>
                <w:rFonts w:eastAsia="Calibri" w:cs="Arial"/>
                <w:szCs w:val="20"/>
                <w:lang w:val="en-GB" w:eastAsia="en-GB"/>
              </w:rPr>
            </w:pPr>
            <w:r w:rsidRPr="00226C67">
              <w:rPr>
                <w:rFonts w:eastAsia="Calibri" w:cs="Arial"/>
                <w:szCs w:val="20"/>
                <w:lang w:val="en-GB" w:eastAsia="en-GB"/>
              </w:rPr>
              <w:t xml:space="preserve">  </w:t>
            </w:r>
          </w:p>
          <w:p w14:paraId="678B15F8" w14:textId="77777777" w:rsidR="00226C67" w:rsidRPr="00226C67" w:rsidRDefault="00226C67" w:rsidP="008F39CB">
            <w:pPr>
              <w:jc w:val="both"/>
              <w:rPr>
                <w:rFonts w:eastAsia="Calibri" w:cs="Arial"/>
                <w:szCs w:val="20"/>
                <w:lang w:val="en-GB" w:eastAsia="en-GB"/>
              </w:rPr>
            </w:pPr>
          </w:p>
        </w:tc>
      </w:tr>
      <w:tr w:rsidR="00226C67" w:rsidRPr="00226C67" w14:paraId="44C700EA" w14:textId="77777777" w:rsidTr="008F39CB">
        <w:tc>
          <w:tcPr>
            <w:tcW w:w="7465" w:type="dxa"/>
            <w:shd w:val="clear" w:color="auto" w:fill="auto"/>
          </w:tcPr>
          <w:p w14:paraId="131701BC" w14:textId="77777777" w:rsidR="00226C67" w:rsidRPr="00226C67" w:rsidRDefault="00226C67" w:rsidP="008F39CB">
            <w:pPr>
              <w:ind w:left="720"/>
              <w:contextualSpacing/>
              <w:jc w:val="both"/>
              <w:rPr>
                <w:rFonts w:eastAsia="Calibri" w:cs="Arial"/>
                <w:szCs w:val="20"/>
                <w:lang w:val="en-GB" w:eastAsia="en-GB"/>
              </w:rPr>
            </w:pPr>
          </w:p>
          <w:p w14:paraId="74AA42EA" w14:textId="77777777" w:rsidR="00226C67" w:rsidRPr="00226C67" w:rsidRDefault="00226C67" w:rsidP="008F39CB">
            <w:pPr>
              <w:jc w:val="both"/>
              <w:rPr>
                <w:rFonts w:eastAsia="Calibri" w:cs="Arial"/>
                <w:szCs w:val="20"/>
                <w:lang w:val="en-GB" w:eastAsia="en-GB"/>
              </w:rPr>
            </w:pPr>
            <w:r w:rsidRPr="00226C67">
              <w:rPr>
                <w:rFonts w:eastAsia="Calibri" w:cs="Arial"/>
                <w:szCs w:val="20"/>
                <w:lang w:val="en-GB" w:eastAsia="en-GB"/>
              </w:rPr>
              <w:t>2a. Is this a Direct* contact role?</w:t>
            </w:r>
          </w:p>
          <w:p w14:paraId="42D5FEFF" w14:textId="77777777" w:rsidR="00226C67" w:rsidRPr="00226C67" w:rsidRDefault="00226C67" w:rsidP="008F39CB">
            <w:pPr>
              <w:jc w:val="both"/>
              <w:rPr>
                <w:rFonts w:eastAsia="Calibri" w:cs="Arial"/>
                <w:szCs w:val="20"/>
                <w:lang w:val="en-GB" w:eastAsia="en-GB"/>
              </w:rPr>
            </w:pPr>
          </w:p>
          <w:p w14:paraId="26A45D5F" w14:textId="77777777" w:rsidR="00226C67" w:rsidRPr="00226C67" w:rsidRDefault="00226C67" w:rsidP="008F39CB">
            <w:pPr>
              <w:jc w:val="both"/>
              <w:rPr>
                <w:rFonts w:eastAsia="Calibri" w:cs="Arial"/>
                <w:szCs w:val="20"/>
                <w:lang w:val="en-GB" w:eastAsia="en-GB"/>
              </w:rPr>
            </w:pPr>
          </w:p>
          <w:p w14:paraId="0A9ECC19" w14:textId="77777777" w:rsidR="00226C67" w:rsidRPr="00226C67" w:rsidRDefault="00226C67" w:rsidP="008F39CB">
            <w:pPr>
              <w:jc w:val="both"/>
              <w:rPr>
                <w:rFonts w:eastAsia="Calibri" w:cs="Arial"/>
                <w:szCs w:val="20"/>
                <w:lang w:val="en-GB" w:eastAsia="en-GB"/>
              </w:rPr>
            </w:pPr>
            <w:r w:rsidRPr="00226C67">
              <w:rPr>
                <w:rFonts w:eastAsia="Calibri" w:cs="Arial"/>
                <w:szCs w:val="20"/>
                <w:lang w:val="en-GB" w:eastAsia="en-GB"/>
              </w:rPr>
              <w:t xml:space="preserve">2b. If yes, in a typical month, will the post incumbent spend </w:t>
            </w:r>
            <w:r w:rsidRPr="00226C67">
              <w:rPr>
                <w:rFonts w:eastAsia="Calibri" w:cs="Arial"/>
                <w:szCs w:val="20"/>
                <w:u w:val="single"/>
                <w:lang w:val="en-GB" w:eastAsia="en-GB"/>
              </w:rPr>
              <w:t>more than 5 hours</w:t>
            </w:r>
            <w:r w:rsidRPr="00226C67">
              <w:rPr>
                <w:rFonts w:eastAsia="Calibri" w:cs="Arial"/>
                <w:szCs w:val="20"/>
                <w:lang w:val="en-GB" w:eastAsia="en-GB"/>
              </w:rPr>
              <w:t xml:space="preserve"> of direct interpersonal contact with children, or work in their immediate physical proximity, with limited supervision by a more senior member of personnel.</w:t>
            </w:r>
          </w:p>
          <w:p w14:paraId="0908929C" w14:textId="77777777" w:rsidR="00226C67" w:rsidRPr="00226C67" w:rsidRDefault="00226C67" w:rsidP="008F39CB">
            <w:pPr>
              <w:jc w:val="both"/>
              <w:rPr>
                <w:rFonts w:eastAsia="Calibri" w:cs="Arial"/>
                <w:szCs w:val="20"/>
                <w:lang w:val="en-GB" w:eastAsia="en-GB"/>
              </w:rPr>
            </w:pPr>
          </w:p>
          <w:p w14:paraId="28ED0EA4" w14:textId="77777777" w:rsidR="00226C67" w:rsidRPr="00226C67" w:rsidRDefault="00226C67" w:rsidP="008F39CB">
            <w:pPr>
              <w:jc w:val="both"/>
              <w:rPr>
                <w:rFonts w:eastAsia="Calibri" w:cs="Arial"/>
                <w:i/>
                <w:iCs/>
                <w:sz w:val="18"/>
                <w:szCs w:val="18"/>
                <w:lang w:val="en-GB" w:eastAsia="en-GB"/>
              </w:rPr>
            </w:pPr>
            <w:r w:rsidRPr="00226C67">
              <w:rPr>
                <w:rFonts w:eastAsia="Calibri" w:cs="Arial"/>
                <w:i/>
                <w:iCs/>
                <w:sz w:val="18"/>
                <w:szCs w:val="18"/>
                <w:lang w:val="en-GB" w:eastAsia="en-GB"/>
              </w:rPr>
              <w:t xml:space="preserve">*“Direct” contact that is either face-to-face, or by remote communicate, but it does not include communication that is moderated and relayed by another person.  </w:t>
            </w:r>
          </w:p>
          <w:p w14:paraId="29576440" w14:textId="77777777" w:rsidR="00226C67" w:rsidRPr="00226C67" w:rsidRDefault="00226C67" w:rsidP="008F39CB">
            <w:pPr>
              <w:jc w:val="both"/>
              <w:rPr>
                <w:rFonts w:eastAsia="Calibri" w:cs="Arial"/>
                <w:szCs w:val="20"/>
                <w:lang w:val="en-GB" w:eastAsia="en-GB"/>
              </w:rPr>
            </w:pPr>
          </w:p>
        </w:tc>
        <w:tc>
          <w:tcPr>
            <w:tcW w:w="3330" w:type="dxa"/>
            <w:shd w:val="clear" w:color="auto" w:fill="auto"/>
          </w:tcPr>
          <w:p w14:paraId="18ADA758" w14:textId="77777777" w:rsidR="00226C67" w:rsidRPr="00226C67" w:rsidRDefault="00226C67" w:rsidP="008F39CB">
            <w:pPr>
              <w:ind w:left="720"/>
              <w:contextualSpacing/>
              <w:jc w:val="both"/>
              <w:rPr>
                <w:rFonts w:eastAsia="Calibri" w:cs="Arial"/>
                <w:szCs w:val="20"/>
                <w:lang w:val="en-GB" w:eastAsia="en-GB"/>
              </w:rPr>
            </w:pPr>
          </w:p>
          <w:p w14:paraId="58F9A85E" w14:textId="77777777" w:rsidR="00226C67" w:rsidRPr="00226C67" w:rsidRDefault="00226C67" w:rsidP="008F39CB">
            <w:pPr>
              <w:ind w:left="720"/>
              <w:contextualSpacing/>
              <w:jc w:val="both"/>
              <w:rPr>
                <w:rFonts w:eastAsia="Calibri" w:cs="Arial"/>
                <w:szCs w:val="20"/>
                <w:lang w:val="en-GB" w:eastAsia="en-GB"/>
              </w:rPr>
            </w:pP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Yes</w:t>
            </w:r>
            <w:r w:rsidRPr="00226C67">
              <w:rPr>
                <w:rFonts w:eastAsia="Calibri" w:cs="Arial"/>
                <w:szCs w:val="20"/>
                <w:lang w:val="en-GB" w:eastAsia="en-GB"/>
              </w:rPr>
              <w:tab/>
            </w:r>
            <w:r w:rsidRPr="00226C67">
              <w:rPr>
                <w:rFonts w:eastAsia="Calibri" w:cs="Arial"/>
                <w:szCs w:val="20"/>
                <w:lang w:val="en-GB" w:eastAsia="en-GB"/>
              </w:rPr>
              <w:tab/>
            </w:r>
            <w:r w:rsidRPr="001A451C">
              <w:rPr>
                <w:rFonts w:ascii="Segoe UI Symbol" w:eastAsia="Calibri" w:hAnsi="Segoe UI Symbol" w:cs="Segoe UI Symbol"/>
                <w:szCs w:val="20"/>
                <w:shd w:val="clear" w:color="auto" w:fill="000000"/>
                <w:lang w:val="en-GB" w:eastAsia="en-GB"/>
              </w:rPr>
              <w:t>☐</w:t>
            </w:r>
            <w:r w:rsidRPr="00226C67">
              <w:rPr>
                <w:rFonts w:eastAsia="Calibri" w:cs="Arial"/>
                <w:szCs w:val="20"/>
                <w:lang w:val="en-GB" w:eastAsia="en-GB"/>
              </w:rPr>
              <w:t xml:space="preserve"> No</w:t>
            </w:r>
          </w:p>
          <w:p w14:paraId="7CBD1056" w14:textId="77777777" w:rsidR="00226C67" w:rsidRPr="00226C67" w:rsidRDefault="00226C67" w:rsidP="008F39CB">
            <w:pPr>
              <w:pBdr>
                <w:bottom w:val="single" w:sz="6" w:space="1" w:color="auto"/>
              </w:pBdr>
              <w:jc w:val="both"/>
              <w:rPr>
                <w:rFonts w:eastAsia="Calibri" w:cs="Arial"/>
                <w:szCs w:val="20"/>
                <w:lang w:val="en-GB" w:eastAsia="en-GB"/>
              </w:rPr>
            </w:pPr>
          </w:p>
          <w:p w14:paraId="7C28AC8C" w14:textId="77777777" w:rsidR="00226C67" w:rsidRPr="00226C67" w:rsidRDefault="00226C67" w:rsidP="008F39CB">
            <w:pPr>
              <w:jc w:val="both"/>
              <w:rPr>
                <w:rFonts w:eastAsia="Calibri" w:cs="Arial"/>
                <w:szCs w:val="20"/>
                <w:lang w:val="en-GB" w:eastAsia="en-GB"/>
              </w:rPr>
            </w:pPr>
          </w:p>
          <w:p w14:paraId="3F707A0F" w14:textId="77777777" w:rsidR="00226C67" w:rsidRPr="00226C67" w:rsidRDefault="00226C67" w:rsidP="008F39CB">
            <w:pPr>
              <w:jc w:val="both"/>
              <w:rPr>
                <w:rFonts w:eastAsia="Calibri" w:cs="Arial"/>
                <w:szCs w:val="20"/>
                <w:lang w:val="en-GB" w:eastAsia="en-GB"/>
              </w:rPr>
            </w:pPr>
          </w:p>
          <w:p w14:paraId="59076D63" w14:textId="77777777" w:rsidR="00226C67" w:rsidRPr="00226C67" w:rsidRDefault="00226C67" w:rsidP="008F39CB">
            <w:pPr>
              <w:ind w:left="720"/>
              <w:contextualSpacing/>
              <w:jc w:val="both"/>
              <w:rPr>
                <w:rFonts w:eastAsia="Calibri" w:cs="Arial"/>
                <w:szCs w:val="20"/>
                <w:lang w:val="en-GB" w:eastAsia="en-GB"/>
              </w:rPr>
            </w:pP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Yes</w:t>
            </w:r>
            <w:r w:rsidRPr="00226C67">
              <w:rPr>
                <w:rFonts w:eastAsia="Calibri" w:cs="Arial"/>
                <w:szCs w:val="20"/>
                <w:lang w:val="en-GB" w:eastAsia="en-GB"/>
              </w:rPr>
              <w:tab/>
            </w:r>
            <w:r w:rsidRPr="00226C67">
              <w:rPr>
                <w:rFonts w:eastAsia="Calibri" w:cs="Arial"/>
                <w:szCs w:val="20"/>
                <w:lang w:val="en-GB" w:eastAsia="en-GB"/>
              </w:rPr>
              <w:tab/>
            </w: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No</w:t>
            </w:r>
          </w:p>
          <w:p w14:paraId="0CFC43F0" w14:textId="77777777" w:rsidR="00226C67" w:rsidRPr="00226C67" w:rsidRDefault="00226C67" w:rsidP="008F39CB">
            <w:pPr>
              <w:jc w:val="both"/>
              <w:rPr>
                <w:rFonts w:eastAsia="Calibri" w:cs="Arial"/>
                <w:szCs w:val="20"/>
                <w:lang w:val="en-GB" w:eastAsia="en-GB"/>
              </w:rPr>
            </w:pPr>
          </w:p>
        </w:tc>
      </w:tr>
      <w:tr w:rsidR="00226C67" w:rsidRPr="00226C67" w14:paraId="542100E2" w14:textId="77777777" w:rsidTr="008F39CB">
        <w:tc>
          <w:tcPr>
            <w:tcW w:w="7465" w:type="dxa"/>
            <w:shd w:val="clear" w:color="auto" w:fill="auto"/>
          </w:tcPr>
          <w:p w14:paraId="217AE9BA" w14:textId="77777777" w:rsidR="00226C67" w:rsidRPr="00226C67" w:rsidRDefault="00226C67" w:rsidP="008F39CB">
            <w:pPr>
              <w:jc w:val="both"/>
              <w:rPr>
                <w:rFonts w:eastAsia="Calibri" w:cs="Arial"/>
                <w:szCs w:val="20"/>
                <w:lang w:val="en-GB" w:eastAsia="en-GB"/>
              </w:rPr>
            </w:pPr>
          </w:p>
          <w:p w14:paraId="03653A73" w14:textId="77777777" w:rsidR="00226C67" w:rsidRPr="00226C67" w:rsidRDefault="00226C67" w:rsidP="008F39CB">
            <w:pPr>
              <w:jc w:val="both"/>
              <w:rPr>
                <w:rFonts w:eastAsia="Calibri" w:cs="Arial"/>
                <w:szCs w:val="20"/>
                <w:lang w:val="en-GB" w:eastAsia="en-GB"/>
              </w:rPr>
            </w:pPr>
            <w:r w:rsidRPr="00226C67">
              <w:rPr>
                <w:rFonts w:eastAsia="Calibri" w:cs="Arial"/>
                <w:szCs w:val="20"/>
                <w:lang w:val="en-GB" w:eastAsia="en-GB"/>
              </w:rPr>
              <w:t>3a. Is this a Child data role? *:</w:t>
            </w:r>
          </w:p>
          <w:p w14:paraId="5D7FF1E4" w14:textId="77777777" w:rsidR="00226C67" w:rsidRPr="00226C67" w:rsidRDefault="00226C67" w:rsidP="008F39CB">
            <w:pPr>
              <w:jc w:val="both"/>
              <w:rPr>
                <w:rFonts w:eastAsia="Calibri" w:cs="Arial"/>
                <w:szCs w:val="20"/>
                <w:lang w:val="en-GB" w:eastAsia="en-GB"/>
              </w:rPr>
            </w:pPr>
          </w:p>
          <w:p w14:paraId="106FA6CD" w14:textId="77777777" w:rsidR="00226C67" w:rsidRPr="00226C67" w:rsidRDefault="00226C67" w:rsidP="008F39CB">
            <w:pPr>
              <w:jc w:val="both"/>
              <w:rPr>
                <w:rFonts w:eastAsia="Calibri" w:cs="Arial"/>
                <w:szCs w:val="20"/>
                <w:lang w:val="en-GB" w:eastAsia="en-GB"/>
              </w:rPr>
            </w:pPr>
          </w:p>
          <w:p w14:paraId="265EBA53" w14:textId="77777777" w:rsidR="00226C67" w:rsidRPr="00226C67" w:rsidRDefault="00226C67" w:rsidP="008F39CB">
            <w:pPr>
              <w:jc w:val="both"/>
              <w:rPr>
                <w:rFonts w:eastAsia="Calibri" w:cs="Arial"/>
                <w:szCs w:val="20"/>
                <w:lang w:val="en-GB" w:eastAsia="en-GB"/>
              </w:rPr>
            </w:pPr>
          </w:p>
          <w:p w14:paraId="1B1ED04E" w14:textId="77777777" w:rsidR="00226C67" w:rsidRPr="00226C67" w:rsidRDefault="00226C67" w:rsidP="008F39CB">
            <w:pPr>
              <w:jc w:val="both"/>
              <w:rPr>
                <w:rFonts w:eastAsia="Calibri" w:cs="Arial"/>
                <w:szCs w:val="20"/>
                <w:lang w:val="en-GB" w:eastAsia="en-GB"/>
              </w:rPr>
            </w:pPr>
            <w:r w:rsidRPr="00226C67">
              <w:rPr>
                <w:rFonts w:eastAsia="Calibri" w:cs="Arial"/>
                <w:szCs w:val="20"/>
                <w:lang w:val="en-GB" w:eastAsia="en-GB"/>
              </w:rPr>
              <w:t xml:space="preserve">3b. If yes, in a typical month, will the incumbent spend </w:t>
            </w:r>
            <w:r w:rsidRPr="00226C67">
              <w:rPr>
                <w:rFonts w:eastAsia="Calibri" w:cs="Arial"/>
                <w:szCs w:val="20"/>
                <w:u w:val="single"/>
                <w:lang w:val="en-GB" w:eastAsia="en-GB"/>
              </w:rPr>
              <w:t>more than 5 hours</w:t>
            </w:r>
            <w:r w:rsidRPr="00226C67">
              <w:rPr>
                <w:rFonts w:eastAsia="Calibri" w:cs="Arial"/>
                <w:szCs w:val="20"/>
                <w:lang w:val="en-GB" w:eastAsia="en-GB"/>
              </w:rPr>
              <w:t xml:space="preserve"> manipulating or transmitting personal-identifiable information of children (names, national ID, location data, photos)</w:t>
            </w:r>
          </w:p>
          <w:p w14:paraId="082A0520" w14:textId="77777777" w:rsidR="00226C67" w:rsidRPr="00226C67" w:rsidRDefault="00226C67" w:rsidP="008F39CB">
            <w:pPr>
              <w:jc w:val="both"/>
              <w:rPr>
                <w:rFonts w:eastAsia="Calibri" w:cs="Arial"/>
                <w:szCs w:val="20"/>
                <w:lang w:val="en-GB" w:eastAsia="en-GB"/>
              </w:rPr>
            </w:pPr>
          </w:p>
          <w:p w14:paraId="4F13465C" w14:textId="77777777" w:rsidR="00226C67" w:rsidRPr="00226C67" w:rsidRDefault="00226C67" w:rsidP="008F39CB">
            <w:pPr>
              <w:jc w:val="both"/>
              <w:rPr>
                <w:rFonts w:eastAsia="Calibri" w:cs="Arial"/>
                <w:i/>
                <w:iCs/>
                <w:sz w:val="18"/>
                <w:szCs w:val="18"/>
                <w:lang w:val="en-GB" w:eastAsia="en-GB"/>
              </w:rPr>
            </w:pPr>
            <w:r w:rsidRPr="00226C67">
              <w:rPr>
                <w:rFonts w:eastAsia="Calibri" w:cs="Arial"/>
                <w:i/>
                <w:iCs/>
                <w:sz w:val="18"/>
                <w:szCs w:val="18"/>
                <w:lang w:val="en-GB" w:eastAsia="en-GB"/>
              </w:rPr>
              <w:t>* “Personally-identifiable information”, in this context, means any information relating to a child who can be identified, directly or indirectly, by an identifier like a name, ID number, location data, photograph, etc. This is a “child data role”.</w:t>
            </w:r>
          </w:p>
          <w:p w14:paraId="317F17EE" w14:textId="77777777" w:rsidR="00226C67" w:rsidRPr="00226C67" w:rsidRDefault="00226C67" w:rsidP="008F39CB">
            <w:pPr>
              <w:jc w:val="both"/>
              <w:rPr>
                <w:rFonts w:eastAsia="Calibri" w:cs="Arial"/>
                <w:szCs w:val="20"/>
                <w:lang w:val="en-GB" w:eastAsia="en-GB"/>
              </w:rPr>
            </w:pPr>
          </w:p>
        </w:tc>
        <w:tc>
          <w:tcPr>
            <w:tcW w:w="3330" w:type="dxa"/>
            <w:shd w:val="clear" w:color="auto" w:fill="auto"/>
          </w:tcPr>
          <w:p w14:paraId="73C5DD80" w14:textId="77777777" w:rsidR="00226C67" w:rsidRPr="00226C67" w:rsidRDefault="00226C67" w:rsidP="008F39CB">
            <w:pPr>
              <w:ind w:left="720"/>
              <w:contextualSpacing/>
              <w:jc w:val="both"/>
              <w:rPr>
                <w:rFonts w:eastAsia="Calibri" w:cs="Arial"/>
                <w:szCs w:val="20"/>
                <w:lang w:val="en-GB" w:eastAsia="en-GB"/>
              </w:rPr>
            </w:pPr>
          </w:p>
          <w:p w14:paraId="08CF61C1" w14:textId="77777777" w:rsidR="00226C67" w:rsidRPr="00226C67" w:rsidRDefault="00226C67" w:rsidP="008F39CB">
            <w:pPr>
              <w:ind w:left="720"/>
              <w:contextualSpacing/>
              <w:jc w:val="both"/>
              <w:rPr>
                <w:rFonts w:eastAsia="Calibri" w:cs="Arial"/>
                <w:szCs w:val="20"/>
                <w:lang w:val="en-GB" w:eastAsia="en-GB"/>
              </w:rPr>
            </w:pP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Yes</w:t>
            </w:r>
            <w:r w:rsidRPr="00226C67">
              <w:rPr>
                <w:rFonts w:eastAsia="Calibri" w:cs="Arial"/>
                <w:szCs w:val="20"/>
                <w:lang w:val="en-GB" w:eastAsia="en-GB"/>
              </w:rPr>
              <w:tab/>
            </w:r>
            <w:r w:rsidRPr="00226C67">
              <w:rPr>
                <w:rFonts w:eastAsia="Calibri" w:cs="Arial"/>
                <w:szCs w:val="20"/>
                <w:lang w:val="en-GB" w:eastAsia="en-GB"/>
              </w:rPr>
              <w:tab/>
            </w:r>
            <w:r w:rsidRPr="001A451C">
              <w:rPr>
                <w:rFonts w:ascii="Segoe UI Symbol" w:eastAsia="Calibri" w:hAnsi="Segoe UI Symbol" w:cs="Segoe UI Symbol"/>
                <w:szCs w:val="20"/>
                <w:shd w:val="clear" w:color="auto" w:fill="000000"/>
                <w:lang w:val="en-GB" w:eastAsia="en-GB"/>
              </w:rPr>
              <w:t>☐</w:t>
            </w:r>
            <w:r w:rsidRPr="00226C67">
              <w:rPr>
                <w:rFonts w:eastAsia="Calibri" w:cs="Arial"/>
                <w:szCs w:val="20"/>
                <w:lang w:val="en-GB" w:eastAsia="en-GB"/>
              </w:rPr>
              <w:t xml:space="preserve"> No</w:t>
            </w:r>
          </w:p>
          <w:p w14:paraId="16E5CC1C" w14:textId="77777777" w:rsidR="00226C67" w:rsidRPr="00226C67" w:rsidRDefault="00226C67" w:rsidP="008F39CB">
            <w:pPr>
              <w:pBdr>
                <w:bottom w:val="single" w:sz="6" w:space="1" w:color="auto"/>
              </w:pBdr>
              <w:jc w:val="both"/>
              <w:rPr>
                <w:rFonts w:eastAsia="Calibri" w:cs="Arial"/>
                <w:szCs w:val="20"/>
                <w:lang w:val="en-GB" w:eastAsia="en-GB"/>
              </w:rPr>
            </w:pPr>
          </w:p>
          <w:p w14:paraId="08D3FAFC" w14:textId="77777777" w:rsidR="00226C67" w:rsidRPr="00226C67" w:rsidRDefault="00226C67" w:rsidP="008F39CB">
            <w:pPr>
              <w:pBdr>
                <w:bottom w:val="single" w:sz="6" w:space="1" w:color="auto"/>
              </w:pBdr>
              <w:jc w:val="both"/>
              <w:rPr>
                <w:rFonts w:eastAsia="Calibri" w:cs="Arial"/>
                <w:szCs w:val="20"/>
                <w:lang w:val="en-GB" w:eastAsia="en-GB"/>
              </w:rPr>
            </w:pPr>
          </w:p>
          <w:p w14:paraId="47503A7D" w14:textId="77777777" w:rsidR="00226C67" w:rsidRPr="00226C67" w:rsidRDefault="00226C67" w:rsidP="008F39CB">
            <w:pPr>
              <w:jc w:val="both"/>
              <w:rPr>
                <w:rFonts w:eastAsia="Calibri" w:cs="Arial"/>
                <w:szCs w:val="20"/>
                <w:lang w:val="en-GB" w:eastAsia="en-GB"/>
              </w:rPr>
            </w:pPr>
          </w:p>
          <w:p w14:paraId="6BE095F0" w14:textId="77777777" w:rsidR="00226C67" w:rsidRPr="00226C67" w:rsidRDefault="00226C67" w:rsidP="008F39CB">
            <w:pPr>
              <w:jc w:val="both"/>
              <w:rPr>
                <w:rFonts w:eastAsia="Calibri" w:cs="Arial"/>
                <w:szCs w:val="20"/>
                <w:lang w:val="en-GB" w:eastAsia="en-GB"/>
              </w:rPr>
            </w:pPr>
          </w:p>
          <w:p w14:paraId="21E511CC" w14:textId="77777777" w:rsidR="00226C67" w:rsidRPr="00226C67" w:rsidRDefault="00226C67" w:rsidP="008F39CB">
            <w:pPr>
              <w:ind w:left="720"/>
              <w:contextualSpacing/>
              <w:jc w:val="both"/>
              <w:rPr>
                <w:rFonts w:eastAsia="Calibri" w:cs="Arial"/>
                <w:szCs w:val="20"/>
                <w:lang w:val="en-GB" w:eastAsia="en-GB"/>
              </w:rPr>
            </w:pP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Yes</w:t>
            </w:r>
            <w:r w:rsidRPr="00226C67">
              <w:rPr>
                <w:rFonts w:eastAsia="Calibri" w:cs="Arial"/>
                <w:szCs w:val="20"/>
                <w:lang w:val="en-GB" w:eastAsia="en-GB"/>
              </w:rPr>
              <w:tab/>
            </w:r>
            <w:r w:rsidRPr="00226C67">
              <w:rPr>
                <w:rFonts w:eastAsia="Calibri" w:cs="Arial"/>
                <w:szCs w:val="20"/>
                <w:lang w:val="en-GB" w:eastAsia="en-GB"/>
              </w:rPr>
              <w:tab/>
            </w: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No</w:t>
            </w:r>
          </w:p>
          <w:p w14:paraId="6BE89174" w14:textId="77777777" w:rsidR="00226C67" w:rsidRPr="00226C67" w:rsidRDefault="00226C67" w:rsidP="008F39CB">
            <w:pPr>
              <w:jc w:val="both"/>
              <w:rPr>
                <w:rFonts w:eastAsia="Calibri" w:cs="Arial"/>
                <w:szCs w:val="20"/>
                <w:lang w:val="en-GB" w:eastAsia="en-GB"/>
              </w:rPr>
            </w:pPr>
          </w:p>
        </w:tc>
      </w:tr>
      <w:tr w:rsidR="00226C67" w:rsidRPr="00226C67" w14:paraId="517806B0" w14:textId="77777777" w:rsidTr="008F39CB">
        <w:tc>
          <w:tcPr>
            <w:tcW w:w="7465" w:type="dxa"/>
            <w:shd w:val="clear" w:color="auto" w:fill="auto"/>
          </w:tcPr>
          <w:p w14:paraId="112BADC1" w14:textId="77777777" w:rsidR="00226C67" w:rsidRPr="00226C67" w:rsidRDefault="00226C67" w:rsidP="008F39CB">
            <w:pPr>
              <w:jc w:val="both"/>
              <w:rPr>
                <w:rFonts w:eastAsia="Calibri" w:cs="Arial"/>
                <w:szCs w:val="20"/>
                <w:lang w:val="en-GB" w:eastAsia="en-GB"/>
              </w:rPr>
            </w:pPr>
          </w:p>
          <w:p w14:paraId="53B57BCF" w14:textId="77777777" w:rsidR="00226C67" w:rsidRPr="00226C67" w:rsidRDefault="00226C67" w:rsidP="008F39CB">
            <w:pPr>
              <w:jc w:val="both"/>
              <w:rPr>
                <w:rFonts w:eastAsia="Calibri" w:cs="Arial"/>
                <w:szCs w:val="20"/>
                <w:lang w:val="en-GB" w:eastAsia="en-GB"/>
              </w:rPr>
            </w:pPr>
            <w:r w:rsidRPr="00226C67">
              <w:rPr>
                <w:rFonts w:eastAsia="Calibri" w:cs="Arial"/>
                <w:szCs w:val="20"/>
                <w:lang w:val="en-GB" w:eastAsia="en-GB"/>
              </w:rPr>
              <w:t>4. Is this a Safeguarding response role*</w:t>
            </w:r>
          </w:p>
          <w:p w14:paraId="745BA4F7" w14:textId="77777777" w:rsidR="00226C67" w:rsidRPr="00226C67" w:rsidRDefault="00226C67" w:rsidP="008F39CB">
            <w:pPr>
              <w:jc w:val="both"/>
              <w:rPr>
                <w:rFonts w:eastAsia="Calibri" w:cs="Arial"/>
                <w:szCs w:val="20"/>
                <w:lang w:val="en-GB" w:eastAsia="en-GB"/>
              </w:rPr>
            </w:pPr>
          </w:p>
          <w:p w14:paraId="7AD47FBA" w14:textId="77777777" w:rsidR="00226C67" w:rsidRPr="00226C67" w:rsidRDefault="00226C67" w:rsidP="008F39CB">
            <w:pPr>
              <w:jc w:val="both"/>
              <w:rPr>
                <w:rFonts w:eastAsia="Calibri" w:cs="Arial"/>
                <w:i/>
                <w:iCs/>
                <w:szCs w:val="20"/>
                <w:lang w:val="en-GB" w:eastAsia="en-GB"/>
              </w:rPr>
            </w:pPr>
            <w:r w:rsidRPr="00226C67">
              <w:rPr>
                <w:rFonts w:eastAsia="Calibri" w:cs="Arial"/>
                <w:i/>
                <w:iCs/>
                <w:szCs w:val="20"/>
                <w:lang w:val="en-GB" w:eastAsia="en-GB"/>
              </w:rPr>
              <w:t>*</w:t>
            </w:r>
            <w:r w:rsidRPr="00226C67">
              <w:rPr>
                <w:rFonts w:eastAsia="Calibri" w:cs="Arial"/>
                <w:i/>
                <w:iCs/>
                <w:sz w:val="18"/>
                <w:szCs w:val="18"/>
                <w:lang w:val="en-GB" w:eastAsia="en-GB"/>
              </w:rPr>
              <w:t>Representative; Deputy representative; Chief of Field Office; the most senior Child Protection role in the office; any focal point that the office designated for Child Safeguarding; Investigator (Office of Internal Audit and Investigations</w:t>
            </w:r>
          </w:p>
          <w:p w14:paraId="45350745" w14:textId="77777777" w:rsidR="00226C67" w:rsidRPr="00226C67" w:rsidRDefault="00226C67" w:rsidP="008F39CB">
            <w:pPr>
              <w:jc w:val="both"/>
              <w:rPr>
                <w:rFonts w:eastAsia="Calibri" w:cs="Arial"/>
                <w:szCs w:val="20"/>
                <w:lang w:val="en-GB" w:eastAsia="en-GB"/>
              </w:rPr>
            </w:pPr>
          </w:p>
        </w:tc>
        <w:tc>
          <w:tcPr>
            <w:tcW w:w="3330" w:type="dxa"/>
            <w:shd w:val="clear" w:color="auto" w:fill="auto"/>
          </w:tcPr>
          <w:p w14:paraId="1E64AFEB" w14:textId="77777777" w:rsidR="00226C67" w:rsidRPr="00226C67" w:rsidRDefault="00226C67" w:rsidP="008F39CB">
            <w:pPr>
              <w:ind w:left="720"/>
              <w:contextualSpacing/>
              <w:jc w:val="both"/>
              <w:rPr>
                <w:rFonts w:eastAsia="Calibri" w:cs="Arial"/>
                <w:szCs w:val="20"/>
                <w:lang w:val="en-GB" w:eastAsia="en-GB"/>
              </w:rPr>
            </w:pPr>
          </w:p>
          <w:p w14:paraId="17BD99A6" w14:textId="77777777" w:rsidR="00226C67" w:rsidRPr="00226C67" w:rsidRDefault="00226C67" w:rsidP="008F39CB">
            <w:pPr>
              <w:ind w:left="720"/>
              <w:contextualSpacing/>
              <w:jc w:val="both"/>
              <w:rPr>
                <w:rFonts w:eastAsia="Calibri" w:cs="Arial"/>
                <w:szCs w:val="20"/>
                <w:lang w:val="en-GB" w:eastAsia="en-GB"/>
              </w:rPr>
            </w:pP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Yes</w:t>
            </w:r>
            <w:r w:rsidRPr="00226C67">
              <w:rPr>
                <w:rFonts w:eastAsia="Calibri" w:cs="Arial"/>
                <w:szCs w:val="20"/>
                <w:lang w:val="en-GB" w:eastAsia="en-GB"/>
              </w:rPr>
              <w:tab/>
            </w:r>
            <w:r w:rsidRPr="00226C67">
              <w:rPr>
                <w:rFonts w:eastAsia="Calibri" w:cs="Arial"/>
                <w:szCs w:val="20"/>
                <w:lang w:val="en-GB" w:eastAsia="en-GB"/>
              </w:rPr>
              <w:tab/>
            </w:r>
            <w:r w:rsidRPr="001A451C">
              <w:rPr>
                <w:rFonts w:ascii="Segoe UI Symbol" w:eastAsia="Calibri" w:hAnsi="Segoe UI Symbol" w:cs="Segoe UI Symbol"/>
                <w:szCs w:val="20"/>
                <w:shd w:val="clear" w:color="auto" w:fill="000000"/>
                <w:lang w:val="en-GB" w:eastAsia="en-GB"/>
              </w:rPr>
              <w:t>☐</w:t>
            </w:r>
            <w:r w:rsidRPr="00226C67">
              <w:rPr>
                <w:rFonts w:eastAsia="Calibri" w:cs="Arial"/>
                <w:szCs w:val="20"/>
                <w:lang w:val="en-GB" w:eastAsia="en-GB"/>
              </w:rPr>
              <w:t xml:space="preserve"> No</w:t>
            </w:r>
          </w:p>
          <w:p w14:paraId="5FBC2F86" w14:textId="77777777" w:rsidR="00226C67" w:rsidRPr="00226C67" w:rsidRDefault="00226C67" w:rsidP="008F39CB">
            <w:pPr>
              <w:ind w:left="720"/>
              <w:contextualSpacing/>
              <w:jc w:val="both"/>
              <w:rPr>
                <w:rFonts w:eastAsia="Calibri" w:cs="Arial"/>
                <w:szCs w:val="20"/>
                <w:lang w:val="en-GB" w:eastAsia="en-GB"/>
              </w:rPr>
            </w:pPr>
          </w:p>
        </w:tc>
      </w:tr>
      <w:tr w:rsidR="00226C67" w:rsidRPr="00226C67" w14:paraId="3253276C" w14:textId="77777777" w:rsidTr="008F39CB">
        <w:tc>
          <w:tcPr>
            <w:tcW w:w="7465" w:type="dxa"/>
            <w:shd w:val="clear" w:color="auto" w:fill="auto"/>
          </w:tcPr>
          <w:p w14:paraId="04A57412" w14:textId="77777777" w:rsidR="00226C67" w:rsidRPr="00226C67" w:rsidRDefault="00226C67" w:rsidP="008F39CB">
            <w:pPr>
              <w:jc w:val="both"/>
              <w:rPr>
                <w:rFonts w:eastAsia="Calibri" w:cs="Arial"/>
                <w:szCs w:val="20"/>
                <w:lang w:val="en-GB" w:eastAsia="en-GB"/>
              </w:rPr>
            </w:pPr>
          </w:p>
          <w:p w14:paraId="5A6279C1" w14:textId="77777777" w:rsidR="00226C67" w:rsidRPr="00226C67" w:rsidRDefault="00226C67" w:rsidP="008F39CB">
            <w:pPr>
              <w:jc w:val="both"/>
              <w:rPr>
                <w:rFonts w:eastAsia="Calibri" w:cs="Arial"/>
                <w:szCs w:val="20"/>
                <w:lang w:val="en-GB" w:eastAsia="en-GB"/>
              </w:rPr>
            </w:pPr>
            <w:r w:rsidRPr="00226C67">
              <w:rPr>
                <w:rFonts w:eastAsia="Calibri" w:cs="Arial"/>
                <w:szCs w:val="20"/>
                <w:lang w:val="en-GB" w:eastAsia="en-GB"/>
              </w:rPr>
              <w:t xml:space="preserve">5. Is this an Assessed risk role*? </w:t>
            </w:r>
          </w:p>
          <w:p w14:paraId="0EE5C931" w14:textId="77777777" w:rsidR="00226C67" w:rsidRPr="00226C67" w:rsidRDefault="00226C67" w:rsidP="008F39CB">
            <w:pPr>
              <w:jc w:val="both"/>
              <w:rPr>
                <w:rFonts w:eastAsia="Calibri" w:cs="Arial"/>
                <w:szCs w:val="20"/>
                <w:lang w:val="en-GB" w:eastAsia="en-GB"/>
              </w:rPr>
            </w:pPr>
          </w:p>
          <w:p w14:paraId="20641BBE" w14:textId="77777777" w:rsidR="00226C67" w:rsidRPr="00226C67" w:rsidRDefault="00226C67" w:rsidP="008F39CB">
            <w:pPr>
              <w:jc w:val="both"/>
              <w:rPr>
                <w:rFonts w:eastAsia="Calibri" w:cs="Arial"/>
                <w:i/>
                <w:iCs/>
                <w:sz w:val="18"/>
                <w:szCs w:val="18"/>
                <w:lang w:val="en-GB" w:eastAsia="en-GB"/>
              </w:rPr>
            </w:pPr>
            <w:r w:rsidRPr="00226C67">
              <w:rPr>
                <w:rFonts w:eastAsia="Calibri" w:cs="Arial"/>
                <w:i/>
                <w:iCs/>
                <w:sz w:val="18"/>
                <w:szCs w:val="18"/>
                <w:lang w:val="en-GB" w:eastAsia="en-GB"/>
              </w:rPr>
              <w:t>*The incumbent will engage with particularly vulnerable children</w:t>
            </w:r>
            <w:r w:rsidRPr="00226C67">
              <w:rPr>
                <w:rFonts w:eastAsia="Calibri" w:cs="Arial"/>
                <w:i/>
                <w:iCs/>
                <w:sz w:val="18"/>
                <w:szCs w:val="18"/>
                <w:vertAlign w:val="superscript"/>
                <w:lang w:val="en-GB" w:eastAsia="en-GB"/>
              </w:rPr>
              <w:footnoteReference w:id="1"/>
            </w:r>
            <w:r w:rsidRPr="00226C67">
              <w:rPr>
                <w:rFonts w:eastAsia="Calibri" w:cs="Arial"/>
                <w:i/>
                <w:iCs/>
                <w:sz w:val="18"/>
                <w:szCs w:val="18"/>
                <w:lang w:val="en-GB" w:eastAsia="en-GB"/>
              </w:rPr>
              <w:t>; or Measures to manage other safeguarding risks are considered unlikely to be effective</w:t>
            </w:r>
            <w:r w:rsidRPr="00226C67">
              <w:rPr>
                <w:rFonts w:eastAsia="Calibri" w:cs="Arial"/>
                <w:i/>
                <w:iCs/>
                <w:sz w:val="18"/>
                <w:szCs w:val="18"/>
                <w:vertAlign w:val="superscript"/>
                <w:lang w:val="en-GB" w:eastAsia="en-GB"/>
              </w:rPr>
              <w:footnoteReference w:id="2"/>
            </w:r>
            <w:r w:rsidRPr="00226C67">
              <w:rPr>
                <w:rFonts w:eastAsia="Calibri" w:cs="Arial"/>
                <w:i/>
                <w:iCs/>
                <w:sz w:val="18"/>
                <w:szCs w:val="18"/>
                <w:lang w:val="en-GB" w:eastAsia="en-GB"/>
              </w:rPr>
              <w:t>.</w:t>
            </w:r>
          </w:p>
          <w:p w14:paraId="3B8911AE" w14:textId="77777777" w:rsidR="00226C67" w:rsidRPr="00226C67" w:rsidRDefault="00226C67" w:rsidP="008F39CB">
            <w:pPr>
              <w:jc w:val="both"/>
              <w:rPr>
                <w:rFonts w:eastAsia="Calibri" w:cs="Arial"/>
                <w:szCs w:val="20"/>
                <w:lang w:val="en-GB" w:eastAsia="en-GB"/>
              </w:rPr>
            </w:pPr>
          </w:p>
        </w:tc>
        <w:tc>
          <w:tcPr>
            <w:tcW w:w="3330" w:type="dxa"/>
            <w:shd w:val="clear" w:color="auto" w:fill="auto"/>
          </w:tcPr>
          <w:p w14:paraId="147808E5" w14:textId="77777777" w:rsidR="00226C67" w:rsidRPr="00226C67" w:rsidRDefault="00226C67" w:rsidP="008F39CB">
            <w:pPr>
              <w:ind w:left="720"/>
              <w:contextualSpacing/>
              <w:jc w:val="both"/>
              <w:rPr>
                <w:rFonts w:eastAsia="Calibri" w:cs="Arial"/>
                <w:szCs w:val="20"/>
                <w:lang w:val="en-GB" w:eastAsia="en-GB"/>
              </w:rPr>
            </w:pPr>
          </w:p>
          <w:p w14:paraId="5BF9F402" w14:textId="77777777" w:rsidR="00226C67" w:rsidRPr="00226C67" w:rsidRDefault="00226C67" w:rsidP="008F39CB">
            <w:pPr>
              <w:ind w:left="720"/>
              <w:contextualSpacing/>
              <w:jc w:val="both"/>
              <w:rPr>
                <w:rFonts w:eastAsia="Calibri" w:cs="Arial"/>
                <w:szCs w:val="20"/>
                <w:lang w:val="en-GB" w:eastAsia="en-GB"/>
              </w:rPr>
            </w:pPr>
            <w:r w:rsidRPr="00226C67">
              <w:rPr>
                <w:rFonts w:ascii="Segoe UI Symbol" w:eastAsia="Calibri" w:hAnsi="Segoe UI Symbol" w:cs="Segoe UI Symbol"/>
                <w:szCs w:val="20"/>
                <w:lang w:val="en-GB" w:eastAsia="en-GB"/>
              </w:rPr>
              <w:t>☐</w:t>
            </w:r>
            <w:r w:rsidRPr="00226C67">
              <w:rPr>
                <w:rFonts w:eastAsia="Calibri" w:cs="Arial"/>
                <w:szCs w:val="20"/>
                <w:lang w:val="en-GB" w:eastAsia="en-GB"/>
              </w:rPr>
              <w:t xml:space="preserve"> Yes</w:t>
            </w:r>
            <w:r w:rsidRPr="00226C67">
              <w:rPr>
                <w:rFonts w:eastAsia="Calibri" w:cs="Arial"/>
                <w:szCs w:val="20"/>
                <w:lang w:val="en-GB" w:eastAsia="en-GB"/>
              </w:rPr>
              <w:tab/>
            </w:r>
            <w:r w:rsidRPr="00226C67">
              <w:rPr>
                <w:rFonts w:eastAsia="Calibri" w:cs="Arial"/>
                <w:szCs w:val="20"/>
                <w:lang w:val="en-GB" w:eastAsia="en-GB"/>
              </w:rPr>
              <w:tab/>
            </w:r>
            <w:r w:rsidRPr="001A451C">
              <w:rPr>
                <w:rFonts w:ascii="Segoe UI Symbol" w:eastAsia="Calibri" w:hAnsi="Segoe UI Symbol" w:cs="Segoe UI Symbol"/>
                <w:szCs w:val="20"/>
                <w:shd w:val="clear" w:color="auto" w:fill="000000"/>
                <w:lang w:val="en-GB" w:eastAsia="en-GB"/>
              </w:rPr>
              <w:t>☐</w:t>
            </w:r>
            <w:r w:rsidRPr="00226C67">
              <w:rPr>
                <w:rFonts w:eastAsia="Calibri" w:cs="Arial"/>
                <w:szCs w:val="20"/>
                <w:lang w:val="en-GB" w:eastAsia="en-GB"/>
              </w:rPr>
              <w:t xml:space="preserve"> No</w:t>
            </w:r>
          </w:p>
          <w:p w14:paraId="1F12E11F" w14:textId="77777777" w:rsidR="00226C67" w:rsidRPr="00226C67" w:rsidRDefault="00226C67" w:rsidP="008F39CB">
            <w:pPr>
              <w:jc w:val="both"/>
              <w:rPr>
                <w:rFonts w:eastAsia="Calibri" w:cs="Arial"/>
                <w:szCs w:val="20"/>
                <w:lang w:val="en-GB" w:eastAsia="en-GB"/>
              </w:rPr>
            </w:pPr>
          </w:p>
        </w:tc>
      </w:tr>
    </w:tbl>
    <w:p w14:paraId="3B1C26D0" w14:textId="77777777" w:rsidR="00226C67" w:rsidRPr="00226C67" w:rsidRDefault="00226C67" w:rsidP="00226C67">
      <w:pPr>
        <w:jc w:val="both"/>
        <w:rPr>
          <w:sz w:val="24"/>
          <w:szCs w:val="20"/>
          <w:lang w:val="en-GB" w:eastAsia="en-GB"/>
        </w:rPr>
        <w:sectPr w:rsidR="00226C67" w:rsidRPr="00226C67" w:rsidSect="008F39CB">
          <w:pgSz w:w="12240" w:h="15840"/>
          <w:pgMar w:top="720" w:right="720" w:bottom="720" w:left="720" w:header="720" w:footer="720" w:gutter="0"/>
          <w:cols w:space="720"/>
          <w:docGrid w:linePitch="360"/>
        </w:sectPr>
      </w:pPr>
    </w:p>
    <w:p w14:paraId="4209C577" w14:textId="77777777" w:rsidR="00226C67" w:rsidRPr="00226C67" w:rsidRDefault="00226C67" w:rsidP="00226C67">
      <w:pPr>
        <w:jc w:val="both"/>
        <w:rPr>
          <w:sz w:val="24"/>
          <w:szCs w:val="20"/>
          <w:lang w:val="en-GB" w:eastAsia="en-GB"/>
        </w:rPr>
        <w:sectPr w:rsidR="00226C67" w:rsidRPr="00226C67" w:rsidSect="008F39CB">
          <w:type w:val="continuous"/>
          <w:pgSz w:w="12240" w:h="15840"/>
          <w:pgMar w:top="1440" w:right="1440" w:bottom="1440" w:left="1440" w:header="720" w:footer="720" w:gutter="0"/>
          <w:cols w:space="720"/>
          <w:docGrid w:linePitch="360"/>
        </w:sectPr>
      </w:pPr>
    </w:p>
    <w:p w14:paraId="0BE94026" w14:textId="77777777" w:rsidR="00226C67" w:rsidRPr="00226C67" w:rsidRDefault="00226C67" w:rsidP="00226C67">
      <w:pPr>
        <w:jc w:val="both"/>
        <w:rPr>
          <w:sz w:val="24"/>
          <w:szCs w:val="20"/>
          <w:lang w:val="en-GB" w:eastAsia="en-GB"/>
        </w:rPr>
        <w:sectPr w:rsidR="00226C67" w:rsidRPr="00226C67" w:rsidSect="008F39CB">
          <w:type w:val="continuous"/>
          <w:pgSz w:w="12240" w:h="15840"/>
          <w:pgMar w:top="1440" w:right="1440" w:bottom="1440" w:left="1440" w:header="720" w:footer="720" w:gutter="0"/>
          <w:cols w:space="720"/>
          <w:docGrid w:linePitch="360"/>
        </w:sectPr>
      </w:pPr>
    </w:p>
    <w:p w14:paraId="0E4EA416" w14:textId="77777777" w:rsidR="00226C67" w:rsidRPr="00226C67" w:rsidRDefault="00226C67" w:rsidP="00226C67">
      <w:pPr>
        <w:jc w:val="both"/>
        <w:rPr>
          <w:rFonts w:cs="Arial"/>
          <w:bCs/>
          <w:sz w:val="24"/>
          <w:szCs w:val="20"/>
          <w:lang w:val="en-GB" w:eastAsia="en-GB"/>
        </w:rPr>
        <w:sectPr w:rsidR="00226C67" w:rsidRPr="00226C67" w:rsidSect="008F39CB">
          <w:type w:val="continuous"/>
          <w:pgSz w:w="12240" w:h="15840"/>
          <w:pgMar w:top="1440" w:right="1440" w:bottom="1440" w:left="1440" w:header="720" w:footer="720" w:gutter="0"/>
          <w:cols w:space="720"/>
          <w:docGrid w:linePitch="360"/>
        </w:sectPr>
      </w:pPr>
    </w:p>
    <w:p w14:paraId="79F98EE5" w14:textId="77777777" w:rsidR="00226C67" w:rsidRPr="00226C67" w:rsidRDefault="00226C67" w:rsidP="00226C67">
      <w:pPr>
        <w:jc w:val="both"/>
        <w:rPr>
          <w:sz w:val="24"/>
          <w:szCs w:val="20"/>
          <w:lang w:val="en-GB" w:eastAsia="en-GB"/>
        </w:rPr>
        <w:sectPr w:rsidR="00226C67" w:rsidRPr="00226C67" w:rsidSect="008F39CB">
          <w:type w:val="continuous"/>
          <w:pgSz w:w="12240" w:h="15840"/>
          <w:pgMar w:top="1440" w:right="1440" w:bottom="1440" w:left="1440" w:header="720" w:footer="720" w:gutter="0"/>
          <w:cols w:space="720"/>
          <w:docGrid w:linePitch="360"/>
        </w:sectPr>
      </w:pPr>
    </w:p>
    <w:p w14:paraId="75EBDC27" w14:textId="77777777" w:rsidR="00226C67" w:rsidRPr="00226C67" w:rsidRDefault="00226C67" w:rsidP="00226C67">
      <w:pPr>
        <w:rPr>
          <w:b/>
          <w:bCs/>
          <w:sz w:val="24"/>
          <w:szCs w:val="20"/>
          <w:lang w:val="en-GB" w:eastAsia="en-GB"/>
        </w:rPr>
        <w:sectPr w:rsidR="00226C67" w:rsidRPr="00226C67" w:rsidSect="008F39CB">
          <w:type w:val="continuous"/>
          <w:pgSz w:w="12240" w:h="15840"/>
          <w:pgMar w:top="1440" w:right="1440" w:bottom="1440" w:left="1440" w:header="720" w:footer="720" w:gutter="0"/>
          <w:cols w:space="720"/>
          <w:docGrid w:linePitch="360"/>
        </w:sectPr>
      </w:pPr>
    </w:p>
    <w:p w14:paraId="7469B2D6" w14:textId="77777777" w:rsidR="00226C67" w:rsidRPr="00226C67" w:rsidRDefault="00226C67" w:rsidP="00226C67">
      <w:pPr>
        <w:rPr>
          <w:b/>
          <w:bCs/>
          <w:sz w:val="24"/>
          <w:szCs w:val="20"/>
          <w:lang w:val="en-GB" w:eastAsia="en-GB"/>
        </w:rPr>
        <w:sectPr w:rsidR="00226C67" w:rsidRPr="00226C67" w:rsidSect="008F39CB">
          <w:type w:val="continuous"/>
          <w:pgSz w:w="12240" w:h="15840"/>
          <w:pgMar w:top="1440" w:right="1440" w:bottom="1440" w:left="1440" w:header="720" w:footer="720" w:gutter="0"/>
          <w:cols w:space="720"/>
          <w:docGrid w:linePitch="360"/>
        </w:sectPr>
      </w:pPr>
    </w:p>
    <w:p w14:paraId="772DB14F" w14:textId="77777777" w:rsidR="00226C67" w:rsidRPr="00226C67" w:rsidRDefault="00226C67" w:rsidP="00226C67">
      <w:pPr>
        <w:rPr>
          <w:b/>
          <w:bCs/>
          <w:sz w:val="24"/>
          <w:szCs w:val="20"/>
          <w:lang w:val="en-GB" w:eastAsia="en-GB"/>
        </w:rPr>
      </w:pPr>
    </w:p>
    <w:p w14:paraId="2EF80AE0" w14:textId="559BAD6F" w:rsidR="00226C67" w:rsidRDefault="008F13DA">
      <w:r>
        <w:t>End.</w:t>
      </w:r>
    </w:p>
    <w:sectPr w:rsidR="00226C67" w:rsidSect="00111B27">
      <w:headerReference w:type="default" r:id="rId16"/>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8BD3" w14:textId="77777777" w:rsidR="006628FC" w:rsidRDefault="006628FC" w:rsidP="00111B27">
      <w:r>
        <w:separator/>
      </w:r>
    </w:p>
  </w:endnote>
  <w:endnote w:type="continuationSeparator" w:id="0">
    <w:p w14:paraId="5C746004" w14:textId="77777777" w:rsidR="006628FC" w:rsidRDefault="006628FC" w:rsidP="0011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6874" w14:textId="77777777" w:rsidR="006628FC" w:rsidRDefault="006628FC" w:rsidP="00111B27">
      <w:r>
        <w:separator/>
      </w:r>
    </w:p>
  </w:footnote>
  <w:footnote w:type="continuationSeparator" w:id="0">
    <w:p w14:paraId="0E5C8C41" w14:textId="77777777" w:rsidR="006628FC" w:rsidRDefault="006628FC" w:rsidP="00111B27">
      <w:r>
        <w:continuationSeparator/>
      </w:r>
    </w:p>
  </w:footnote>
  <w:footnote w:id="1">
    <w:p w14:paraId="0E919AD1" w14:textId="77777777" w:rsidR="00226C67" w:rsidRPr="00A44A60" w:rsidRDefault="00226C67" w:rsidP="00226C67">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02ECF29C" w14:textId="77777777" w:rsidR="00226C67" w:rsidRPr="0076043A" w:rsidRDefault="00226C67" w:rsidP="00226C67">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79C7" w14:textId="77777777" w:rsidR="00111B27" w:rsidRDefault="00111B27" w:rsidP="00111B27">
    <w:pPr>
      <w:pStyle w:val="Header"/>
      <w:pBdr>
        <w:bottom w:val="single" w:sz="4" w:space="1" w:color="D9D9D9"/>
      </w:pBdr>
      <w:jc w:val="right"/>
      <w:rPr>
        <w:b/>
        <w:bCs/>
      </w:rPr>
    </w:pPr>
    <w:r w:rsidRPr="00111B27">
      <w:rPr>
        <w:color w:val="7F7F7F"/>
        <w:spacing w:val="60"/>
      </w:rPr>
      <w:t>Page</w:t>
    </w:r>
    <w:r>
      <w:t xml:space="preserve"> | </w:t>
    </w:r>
    <w:r>
      <w:fldChar w:fldCharType="begin"/>
    </w:r>
    <w:r>
      <w:instrText xml:space="preserve"> PAGE   \* MERGEFORMAT </w:instrText>
    </w:r>
    <w:r>
      <w:fldChar w:fldCharType="separate"/>
    </w:r>
    <w:r w:rsidR="00225467" w:rsidRPr="00225467">
      <w:rPr>
        <w:b/>
        <w:bCs/>
        <w:noProof/>
      </w:rPr>
      <w:t>1</w:t>
    </w:r>
    <w:r>
      <w:rPr>
        <w:b/>
        <w:bCs/>
        <w:noProof/>
      </w:rPr>
      <w:fldChar w:fldCharType="end"/>
    </w:r>
  </w:p>
  <w:p w14:paraId="722992F8" w14:textId="77777777" w:rsidR="00111B27" w:rsidRDefault="0011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CAD"/>
    <w:multiLevelType w:val="hybridMultilevel"/>
    <w:tmpl w:val="FCA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E5807"/>
    <w:multiLevelType w:val="hybridMultilevel"/>
    <w:tmpl w:val="F244BBC4"/>
    <w:lvl w:ilvl="0" w:tplc="07CEDB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A22E6"/>
    <w:multiLevelType w:val="hybridMultilevel"/>
    <w:tmpl w:val="186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549B4"/>
    <w:multiLevelType w:val="hybridMultilevel"/>
    <w:tmpl w:val="7E8A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82D66"/>
    <w:multiLevelType w:val="hybridMultilevel"/>
    <w:tmpl w:val="257E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65FC6"/>
    <w:multiLevelType w:val="hybridMultilevel"/>
    <w:tmpl w:val="176CF3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8C1AFF"/>
    <w:multiLevelType w:val="hybridMultilevel"/>
    <w:tmpl w:val="DE329F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AC315BB"/>
    <w:multiLevelType w:val="hybridMultilevel"/>
    <w:tmpl w:val="AB8822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E23BA9"/>
    <w:multiLevelType w:val="hybridMultilevel"/>
    <w:tmpl w:val="BF2A38BE"/>
    <w:lvl w:ilvl="0" w:tplc="7CAA29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41A4CAE"/>
    <w:multiLevelType w:val="hybridMultilevel"/>
    <w:tmpl w:val="E1C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0"/>
  </w:num>
  <w:num w:numId="4">
    <w:abstractNumId w:val="17"/>
  </w:num>
  <w:num w:numId="5">
    <w:abstractNumId w:val="3"/>
  </w:num>
  <w:num w:numId="6">
    <w:abstractNumId w:val="26"/>
  </w:num>
  <w:num w:numId="7">
    <w:abstractNumId w:val="12"/>
  </w:num>
  <w:num w:numId="8">
    <w:abstractNumId w:val="32"/>
  </w:num>
  <w:num w:numId="9">
    <w:abstractNumId w:val="6"/>
  </w:num>
  <w:num w:numId="10">
    <w:abstractNumId w:val="49"/>
  </w:num>
  <w:num w:numId="11">
    <w:abstractNumId w:val="1"/>
  </w:num>
  <w:num w:numId="12">
    <w:abstractNumId w:val="41"/>
  </w:num>
  <w:num w:numId="13">
    <w:abstractNumId w:val="36"/>
  </w:num>
  <w:num w:numId="14">
    <w:abstractNumId w:val="47"/>
  </w:num>
  <w:num w:numId="15">
    <w:abstractNumId w:val="45"/>
  </w:num>
  <w:num w:numId="16">
    <w:abstractNumId w:val="15"/>
  </w:num>
  <w:num w:numId="17">
    <w:abstractNumId w:val="5"/>
  </w:num>
  <w:num w:numId="18">
    <w:abstractNumId w:val="33"/>
  </w:num>
  <w:num w:numId="19">
    <w:abstractNumId w:val="8"/>
  </w:num>
  <w:num w:numId="20">
    <w:abstractNumId w:val="48"/>
  </w:num>
  <w:num w:numId="21">
    <w:abstractNumId w:val="29"/>
  </w:num>
  <w:num w:numId="22">
    <w:abstractNumId w:val="23"/>
  </w:num>
  <w:num w:numId="23">
    <w:abstractNumId w:val="25"/>
  </w:num>
  <w:num w:numId="24">
    <w:abstractNumId w:val="16"/>
  </w:num>
  <w:num w:numId="25">
    <w:abstractNumId w:val="31"/>
  </w:num>
  <w:num w:numId="26">
    <w:abstractNumId w:val="13"/>
  </w:num>
  <w:num w:numId="27">
    <w:abstractNumId w:val="40"/>
  </w:num>
  <w:num w:numId="28">
    <w:abstractNumId w:val="20"/>
  </w:num>
  <w:num w:numId="29">
    <w:abstractNumId w:val="19"/>
  </w:num>
  <w:num w:numId="30">
    <w:abstractNumId w:val="28"/>
  </w:num>
  <w:num w:numId="31">
    <w:abstractNumId w:val="11"/>
  </w:num>
  <w:num w:numId="32">
    <w:abstractNumId w:val="4"/>
  </w:num>
  <w:num w:numId="33">
    <w:abstractNumId w:val="24"/>
  </w:num>
  <w:num w:numId="34">
    <w:abstractNumId w:val="9"/>
  </w:num>
  <w:num w:numId="35">
    <w:abstractNumId w:val="10"/>
  </w:num>
  <w:num w:numId="36">
    <w:abstractNumId w:val="21"/>
  </w:num>
  <w:num w:numId="37">
    <w:abstractNumId w:val="46"/>
  </w:num>
  <w:num w:numId="38">
    <w:abstractNumId w:val="2"/>
  </w:num>
  <w:num w:numId="39">
    <w:abstractNumId w:val="35"/>
  </w:num>
  <w:num w:numId="40">
    <w:abstractNumId w:val="39"/>
  </w:num>
  <w:num w:numId="41">
    <w:abstractNumId w:val="37"/>
  </w:num>
  <w:num w:numId="42">
    <w:abstractNumId w:val="14"/>
  </w:num>
  <w:num w:numId="43">
    <w:abstractNumId w:val="0"/>
  </w:num>
  <w:num w:numId="44">
    <w:abstractNumId w:val="7"/>
  </w:num>
  <w:num w:numId="45">
    <w:abstractNumId w:val="42"/>
  </w:num>
  <w:num w:numId="46">
    <w:abstractNumId w:val="18"/>
  </w:num>
  <w:num w:numId="47">
    <w:abstractNumId w:val="38"/>
  </w:num>
  <w:num w:numId="48">
    <w:abstractNumId w:val="43"/>
  </w:num>
  <w:num w:numId="49">
    <w:abstractNumId w:val="3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76835"/>
    <w:rsid w:val="00092330"/>
    <w:rsid w:val="000F0AF4"/>
    <w:rsid w:val="000F58B6"/>
    <w:rsid w:val="00111B27"/>
    <w:rsid w:val="001210A8"/>
    <w:rsid w:val="00152B40"/>
    <w:rsid w:val="00153FBF"/>
    <w:rsid w:val="001A451C"/>
    <w:rsid w:val="001C6902"/>
    <w:rsid w:val="001D70A5"/>
    <w:rsid w:val="00211AF2"/>
    <w:rsid w:val="00225467"/>
    <w:rsid w:val="00226C67"/>
    <w:rsid w:val="00227A54"/>
    <w:rsid w:val="0026739B"/>
    <w:rsid w:val="00294E34"/>
    <w:rsid w:val="00297BF6"/>
    <w:rsid w:val="002A6742"/>
    <w:rsid w:val="002D6B10"/>
    <w:rsid w:val="00357E8E"/>
    <w:rsid w:val="00381642"/>
    <w:rsid w:val="003951A3"/>
    <w:rsid w:val="003C665F"/>
    <w:rsid w:val="003D4B19"/>
    <w:rsid w:val="003D6039"/>
    <w:rsid w:val="0045567B"/>
    <w:rsid w:val="004A6BB7"/>
    <w:rsid w:val="004E4A2E"/>
    <w:rsid w:val="0053110B"/>
    <w:rsid w:val="00532988"/>
    <w:rsid w:val="005633BC"/>
    <w:rsid w:val="005E0C7E"/>
    <w:rsid w:val="00605961"/>
    <w:rsid w:val="006123FE"/>
    <w:rsid w:val="006628FC"/>
    <w:rsid w:val="00691312"/>
    <w:rsid w:val="007204E2"/>
    <w:rsid w:val="00764709"/>
    <w:rsid w:val="007801A4"/>
    <w:rsid w:val="00792FB6"/>
    <w:rsid w:val="0079793B"/>
    <w:rsid w:val="007F4002"/>
    <w:rsid w:val="00807D67"/>
    <w:rsid w:val="00822AA6"/>
    <w:rsid w:val="008239B9"/>
    <w:rsid w:val="0082400C"/>
    <w:rsid w:val="0083446C"/>
    <w:rsid w:val="00876A21"/>
    <w:rsid w:val="00896335"/>
    <w:rsid w:val="008B6966"/>
    <w:rsid w:val="008E6BB3"/>
    <w:rsid w:val="008F13DA"/>
    <w:rsid w:val="008F39CB"/>
    <w:rsid w:val="00900E6B"/>
    <w:rsid w:val="009C07B0"/>
    <w:rsid w:val="009E3966"/>
    <w:rsid w:val="009E3EB2"/>
    <w:rsid w:val="00A7098E"/>
    <w:rsid w:val="00B0010C"/>
    <w:rsid w:val="00B3219E"/>
    <w:rsid w:val="00B6555E"/>
    <w:rsid w:val="00BA155C"/>
    <w:rsid w:val="00BB14E2"/>
    <w:rsid w:val="00BC677A"/>
    <w:rsid w:val="00BC7AE5"/>
    <w:rsid w:val="00C04222"/>
    <w:rsid w:val="00C22D95"/>
    <w:rsid w:val="00C245E2"/>
    <w:rsid w:val="00C3531C"/>
    <w:rsid w:val="00C42701"/>
    <w:rsid w:val="00C56467"/>
    <w:rsid w:val="00C6495E"/>
    <w:rsid w:val="00C70AD1"/>
    <w:rsid w:val="00C76FA3"/>
    <w:rsid w:val="00CA2C51"/>
    <w:rsid w:val="00D01DF6"/>
    <w:rsid w:val="00D23D97"/>
    <w:rsid w:val="00D54E87"/>
    <w:rsid w:val="00DC521E"/>
    <w:rsid w:val="00E21E12"/>
    <w:rsid w:val="00E6781E"/>
    <w:rsid w:val="00E7132F"/>
    <w:rsid w:val="00ED7F38"/>
    <w:rsid w:val="00ED7FD6"/>
    <w:rsid w:val="00EE0DCA"/>
    <w:rsid w:val="00EF21A6"/>
    <w:rsid w:val="00F47565"/>
    <w:rsid w:val="00F50805"/>
    <w:rsid w:val="00FA62F8"/>
    <w:rsid w:val="00FC050F"/>
    <w:rsid w:val="00FD6395"/>
    <w:rsid w:val="00FF20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792A3"/>
  <w15:chartTrackingRefBased/>
  <w15:docId w15:val="{BE547C4A-71B1-4EBF-A975-EF49E46A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BA155C"/>
    <w:pPr>
      <w:ind w:left="720"/>
    </w:pPr>
  </w:style>
  <w:style w:type="paragraph" w:styleId="Header">
    <w:name w:val="header"/>
    <w:basedOn w:val="Normal"/>
    <w:link w:val="HeaderChar"/>
    <w:uiPriority w:val="99"/>
    <w:rsid w:val="00111B27"/>
    <w:pPr>
      <w:tabs>
        <w:tab w:val="center" w:pos="4680"/>
        <w:tab w:val="right" w:pos="9360"/>
      </w:tabs>
    </w:pPr>
  </w:style>
  <w:style w:type="character" w:customStyle="1" w:styleId="HeaderChar">
    <w:name w:val="Header Char"/>
    <w:link w:val="Header"/>
    <w:uiPriority w:val="99"/>
    <w:rsid w:val="00111B27"/>
    <w:rPr>
      <w:rFonts w:ascii="Arial" w:hAnsi="Arial"/>
      <w:szCs w:val="24"/>
    </w:rPr>
  </w:style>
  <w:style w:type="paragraph" w:styleId="Footer">
    <w:name w:val="footer"/>
    <w:basedOn w:val="Normal"/>
    <w:link w:val="FooterChar"/>
    <w:rsid w:val="00111B27"/>
    <w:pPr>
      <w:tabs>
        <w:tab w:val="center" w:pos="4680"/>
        <w:tab w:val="right" w:pos="9360"/>
      </w:tabs>
    </w:pPr>
  </w:style>
  <w:style w:type="character" w:customStyle="1" w:styleId="FooterChar">
    <w:name w:val="Footer Char"/>
    <w:link w:val="Footer"/>
    <w:rsid w:val="00111B27"/>
    <w:rPr>
      <w:rFonts w:ascii="Arial" w:hAnsi="Arial"/>
      <w:szCs w:val="24"/>
    </w:rPr>
  </w:style>
  <w:style w:type="table" w:styleId="TableGrid">
    <w:name w:val="Table Grid"/>
    <w:basedOn w:val="TableNormal"/>
    <w:uiPriority w:val="39"/>
    <w:rsid w:val="00226C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26C67"/>
    <w:rPr>
      <w:szCs w:val="20"/>
      <w:lang w:val="en-GB" w:eastAsia="en-GB"/>
    </w:rPr>
  </w:style>
  <w:style w:type="character" w:customStyle="1" w:styleId="FootnoteTextChar">
    <w:name w:val="Footnote Text Char"/>
    <w:link w:val="FootnoteText"/>
    <w:uiPriority w:val="99"/>
    <w:rsid w:val="00226C67"/>
    <w:rPr>
      <w:rFonts w:ascii="Arial" w:hAnsi="Arial"/>
      <w:lang w:val="en-GB" w:eastAsia="en-GB"/>
    </w:rPr>
  </w:style>
  <w:style w:type="character" w:styleId="FootnoteReference">
    <w:name w:val="footnote reference"/>
    <w:uiPriority w:val="99"/>
    <w:unhideWhenUsed/>
    <w:rsid w:val="00226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766776">
      <w:bodyDiv w:val="1"/>
      <w:marLeft w:val="0"/>
      <w:marRight w:val="0"/>
      <w:marTop w:val="0"/>
      <w:marBottom w:val="0"/>
      <w:divBdr>
        <w:top w:val="none" w:sz="0" w:space="0" w:color="auto"/>
        <w:left w:val="none" w:sz="0" w:space="0" w:color="auto"/>
        <w:bottom w:val="none" w:sz="0" w:space="0" w:color="auto"/>
        <w:right w:val="none" w:sz="0" w:space="0" w:color="auto"/>
      </w:divBdr>
    </w:div>
    <w:div w:id="1624144986">
      <w:bodyDiv w:val="1"/>
      <w:marLeft w:val="0"/>
      <w:marRight w:val="0"/>
      <w:marTop w:val="0"/>
      <w:marBottom w:val="0"/>
      <w:divBdr>
        <w:top w:val="none" w:sz="0" w:space="0" w:color="auto"/>
        <w:left w:val="none" w:sz="0" w:space="0" w:color="auto"/>
        <w:bottom w:val="none" w:sz="0" w:space="0" w:color="auto"/>
        <w:right w:val="none" w:sz="0" w:space="0" w:color="auto"/>
      </w:divBdr>
    </w:div>
    <w:div w:id="18149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Value>
      <Value>54</Value>
      <Value>35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ypeofJD xmlns="fba5df58-8537-4f23-891f-44aa50a2c828">Generic</TypeofJD>
    <CategoryDescription xmlns="http://schemas.microsoft.com/sharepoint.v3" xsi:nil="true"/>
    <TaxKeywordTaxHTField xmlns="b2bd76a3-c9da-4abe-8b47-475ddb2787f5">
      <Terms xmlns="http://schemas.microsoft.com/office/infopath/2007/PartnerControls"/>
    </TaxKeywordTaxHTField>
    <SemaphoreItemMetadata xmlns="b2bd76a3-c9da-4abe-8b47-475ddb2787f5">{"ClassificationOrdered":false,"Columns":[],"HasBodyChanged":false,"HasPendingClassification":false,"IsUpdate":false,"IsUploading":false,"ShouldCancel":false,"SkipClassification":false,"ShouldDelay":false}</SemaphoreItemMetadata>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OrgUnit xmlns="fba5df58-8537-4f23-891f-44aa50a2c828">Programme - WASH, Dhaka</OrgUnit>
    <WrittenBy xmlns="ca283e0b-db31-4043-a2ef-b80661bf084a">
      <UserInfo>
        <DisplayName/>
        <AccountId xsi:nil="true"/>
        <AccountType/>
      </UserInfo>
    </Written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9B09BF546C8E14B81DAFAA4458877B6" ma:contentTypeVersion="51" ma:contentTypeDescription="" ma:contentTypeScope="" ma:versionID="2fb552f4380b348552a05fbd6bb00210">
  <xsd:schema xmlns:xsd="http://www.w3.org/2001/XMLSchema" xmlns:xs="http://www.w3.org/2001/XMLSchema" xmlns:p="http://schemas.microsoft.com/office/2006/metadata/properties" xmlns:ns1="http://schemas.microsoft.com/sharepoint/v3" xmlns:ns2="ca283e0b-db31-4043-a2ef-b80661bf084a" xmlns:ns3="http://schemas.microsoft.com/sharepoint.v3" xmlns:ns4="b2bd76a3-c9da-4abe-8b47-475ddb2787f5" xmlns:ns5="fba5df58-8537-4f23-891f-44aa50a2c828" xmlns:ns6="http://schemas.microsoft.com/sharepoint/v4" targetNamespace="http://schemas.microsoft.com/office/2006/metadata/properties" ma:root="true" ma:fieldsID="37254a61a56505ac6146088bc752389c" ns1:_="" ns2:_="" ns3:_="" ns4:_="" ns5:_="" ns6:_="">
    <xsd:import namespace="http://schemas.microsoft.com/sharepoint/v3"/>
    <xsd:import namespace="ca283e0b-db31-4043-a2ef-b80661bf084a"/>
    <xsd:import namespace="http://schemas.microsoft.com/sharepoint.v3"/>
    <xsd:import namespace="b2bd76a3-c9da-4abe-8b47-475ddb2787f5"/>
    <xsd:import namespace="fba5df58-8537-4f23-891f-44aa50a2c82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SemaphoreItemMetadata" minOccurs="0"/>
                <xsd:element ref="ns5:OrgUnit" minOccurs="0"/>
                <xsd:element ref="ns5:TypeofJ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28;#Bangladesh-5070|4f4ea5ab-81f0-4c7b-8ce6-c419f7985349"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4bd1271-58a1-4b3f-8a42-b0f01c605046}" ma:internalName="TaxCatchAllLabel" ma:readOnly="true" ma:showField="CatchAllDataLabel" ma:web="b2bd76a3-c9da-4abe-8b47-475ddb2787f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4bd1271-58a1-4b3f-8a42-b0f01c605046}" ma:internalName="TaxCatchAll" ma:showField="CatchAllData" ma:web="b2bd76a3-c9da-4abe-8b47-475ddb2787f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d76a3-c9da-4abe-8b47-475ddb2787f5"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5df58-8537-4f23-891f-44aa50a2c82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OrgUnit" ma:index="48" nillable="true" ma:displayName="Org Unit" ma:format="Dropdown" ma:internalName="OrgUnit">
      <xsd:simpleType>
        <xsd:restriction base="dms:Text">
          <xsd:maxLength value="255"/>
        </xsd:restriction>
      </xsd:simpleType>
    </xsd:element>
    <xsd:element name="TypeofJD" ma:index="49" nillable="true" ma:displayName="Type of JD" ma:format="Dropdown" ma:internalName="TypeofJ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0C9B30F7-65EE-4857-AAD1-06FD9225085A}">
  <ds:schemaRefs>
    <ds:schemaRef ds:uri="http://schemas.microsoft.com/office/2006/metadata/properties"/>
    <ds:schemaRef ds:uri="http://schemas.microsoft.com/office/infopath/2007/PartnerControls"/>
    <ds:schemaRef ds:uri="ca283e0b-db31-4043-a2ef-b80661bf084a"/>
    <ds:schemaRef ds:uri="http://schemas.microsoft.com/sharepoint/v4"/>
    <ds:schemaRef ds:uri="fba5df58-8537-4f23-891f-44aa50a2c828"/>
    <ds:schemaRef ds:uri="http://schemas.microsoft.com/sharepoint.v3"/>
    <ds:schemaRef ds:uri="b2bd76a3-c9da-4abe-8b47-475ddb2787f5"/>
  </ds:schemaRefs>
</ds:datastoreItem>
</file>

<file path=customXml/itemProps2.xml><?xml version="1.0" encoding="utf-8"?>
<ds:datastoreItem xmlns:ds="http://schemas.openxmlformats.org/officeDocument/2006/customXml" ds:itemID="{C166C0C0-3D62-4ECB-B90C-330C9321679D}">
  <ds:schemaRefs>
    <ds:schemaRef ds:uri="http://schemas.microsoft.com/sharepoint/v3/contenttype/forms"/>
  </ds:schemaRefs>
</ds:datastoreItem>
</file>

<file path=customXml/itemProps3.xml><?xml version="1.0" encoding="utf-8"?>
<ds:datastoreItem xmlns:ds="http://schemas.openxmlformats.org/officeDocument/2006/customXml" ds:itemID="{B212CAF1-C78D-4E04-904D-53AC721BF9BB}">
  <ds:schemaRefs>
    <ds:schemaRef ds:uri="http://schemas.microsoft.com/office/2006/metadata/customXsn"/>
  </ds:schemaRefs>
</ds:datastoreItem>
</file>

<file path=customXml/itemProps4.xml><?xml version="1.0" encoding="utf-8"?>
<ds:datastoreItem xmlns:ds="http://schemas.openxmlformats.org/officeDocument/2006/customXml" ds:itemID="{6F71F6CD-9DC6-42A5-AF9E-46CADC8BB58A}">
  <ds:schemaRefs>
    <ds:schemaRef ds:uri="Microsoft.SharePoint.Taxonomy.ContentTypeSync"/>
  </ds:schemaRefs>
</ds:datastoreItem>
</file>

<file path=customXml/itemProps5.xml><?xml version="1.0" encoding="utf-8"?>
<ds:datastoreItem xmlns:ds="http://schemas.openxmlformats.org/officeDocument/2006/customXml" ds:itemID="{0D6A9EA1-5340-41ED-8C3F-698471FA6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2bd76a3-c9da-4abe-8b47-475ddb2787f5"/>
    <ds:schemaRef ds:uri="fba5df58-8537-4f23-891f-44aa50a2c8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B2A826-5689-41F5-AB75-5B3D646B9E05}">
  <ds:schemaRefs>
    <ds:schemaRef ds:uri="http://schemas.microsoft.com/sharepoint/events"/>
  </ds:schemaRefs>
</ds:datastoreItem>
</file>

<file path=customXml/itemProps7.xml><?xml version="1.0" encoding="utf-8"?>
<ds:datastoreItem xmlns:ds="http://schemas.openxmlformats.org/officeDocument/2006/customXml" ds:itemID="{46FC4E74-41FA-4035-A2D4-F3DE342C3C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16468</CharactersWithSpaces>
  <SharedDoc>false</SharedDoc>
  <HLinks>
    <vt:vector size="6" baseType="variant">
      <vt:variant>
        <vt:i4>7012434</vt:i4>
      </vt:variant>
      <vt:variant>
        <vt:i4>0</vt:i4>
      </vt:variant>
      <vt:variant>
        <vt:i4>0</vt:i4>
      </vt:variant>
      <vt:variant>
        <vt:i4>5</vt:i4>
      </vt:variant>
      <vt:variant>
        <vt:lpwstr>https://unicef.sharepoint.com/teams/DHR-TalentAcquisition/DocumentLibrary1/Forms/AllItems.aspx?id=/teams/DHR-TalentAcquisition/DocumentLibrary1/Child%20Safeguarding%20Risk%20Roles%20Assessment_finalversion.pdf&amp;parent=/teams/DHR-TalentAcquisition/DocumentLibrary1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Deena Shahabuddin</cp:lastModifiedBy>
  <cp:revision>8</cp:revision>
  <cp:lastPrinted>2015-01-19T15:37:00Z</cp:lastPrinted>
  <dcterms:created xsi:type="dcterms:W3CDTF">2021-07-15T06:56:00Z</dcterms:created>
  <dcterms:modified xsi:type="dcterms:W3CDTF">2021-11-18T07:40:00Z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TMRKK6SKNHVK-893620061-583</vt:lpwstr>
  </property>
  <property fmtid="{D5CDD505-2E9C-101B-9397-08002B2CF9AE}" pid="24" name="_dlc_DocIdItemGuid">
    <vt:lpwstr>9b442d7c-97f0-42b9-911e-dfd64b1472c3</vt:lpwstr>
  </property>
  <property fmtid="{D5CDD505-2E9C-101B-9397-08002B2CF9AE}" pid="25" name="_dlc_DocIdUrl">
    <vt:lpwstr>https://unicef.sharepoint.com/sites/DHR/_layouts/15/DocIdRedir.aspx?ID=TMRKK6SKNHVK-893620061-583, TMRKK6SKNHVK-893620061-583</vt:lpwstr>
  </property>
  <property fmtid="{D5CDD505-2E9C-101B-9397-08002B2CF9AE}" pid="26" name="DocumentType">
    <vt:lpwstr>13;#Job descriptions, ToRs (draft, individual)|4b79484e-8d78-4297-9552-ed7ad69e7044</vt:lpwstr>
  </property>
  <property fmtid="{D5CDD505-2E9C-101B-9397-08002B2CF9AE}" pid="27" name="GeographicScope">
    <vt:lpwstr/>
  </property>
  <property fmtid="{D5CDD505-2E9C-101B-9397-08002B2CF9AE}" pid="28" name="TaxKeyword">
    <vt:lpwstr/>
  </property>
  <property fmtid="{D5CDD505-2E9C-101B-9397-08002B2CF9AE}" pid="29" name="Topic">
    <vt:lpwstr>35;#HR Capacity HQ|5dfbef22-74f3-4590-8e9b-b76c325b633c</vt:lpwstr>
  </property>
  <property fmtid="{D5CDD505-2E9C-101B-9397-08002B2CF9AE}" pid="30" name="OfficeDivision">
    <vt:lpwstr>54;#Division of Human Resources-456K|47cb919c-ee56-4ab5-aca3-222bb3cb66d5</vt:lpwstr>
  </property>
  <property fmtid="{D5CDD505-2E9C-101B-9397-08002B2CF9AE}" pid="31" name="SystemDTAC">
    <vt:lpwstr/>
  </property>
  <property fmtid="{D5CDD505-2E9C-101B-9397-08002B2CF9AE}" pid="32" name="CriticalForLongTermRetention">
    <vt:lpwstr/>
  </property>
  <property fmtid="{D5CDD505-2E9C-101B-9397-08002B2CF9AE}" pid="33" name="KnowledgeHub">
    <vt:lpwstr/>
  </property>
  <property fmtid="{D5CDD505-2E9C-101B-9397-08002B2CF9AE}" pid="34" name="UNV">
    <vt:lpwstr/>
  </property>
</Properties>
</file>