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BF" w:rsidRDefault="00635FBF" w:rsidP="00635FBF">
      <w:pPr>
        <w:tabs>
          <w:tab w:val="center" w:pos="4680"/>
        </w:tabs>
        <w:jc w:val="center"/>
      </w:pPr>
      <w:r>
        <w:t>TERMS OF REFERENCE</w:t>
      </w:r>
    </w:p>
    <w:p w:rsidR="00F23FF3" w:rsidRPr="00F23FF3" w:rsidRDefault="00F23FF3" w:rsidP="00F23FF3">
      <w:pPr>
        <w:tabs>
          <w:tab w:val="center" w:pos="4680"/>
        </w:tabs>
        <w:jc w:val="center"/>
      </w:pPr>
      <w:r w:rsidRPr="00F23FF3">
        <w:t>MEASLES-RUBELLA SUPPLEMENTARY IMMUNIZATION ACTIVITY (MR-SIA)</w:t>
      </w:r>
    </w:p>
    <w:p w:rsidR="00F23FF3" w:rsidRPr="00F23FF3" w:rsidRDefault="00F23FF3" w:rsidP="00F23FF3">
      <w:pPr>
        <w:tabs>
          <w:tab w:val="center" w:pos="4680"/>
        </w:tabs>
        <w:jc w:val="center"/>
      </w:pPr>
      <w:r w:rsidRPr="00F23FF3">
        <w:t>POST MR-SIA COVERAGE SURVEY</w:t>
      </w:r>
    </w:p>
    <w:p w:rsidR="007D3F44" w:rsidRPr="00261FAC" w:rsidRDefault="007D3F44" w:rsidP="00A87F90">
      <w:pPr>
        <w:tabs>
          <w:tab w:val="center" w:pos="4680"/>
        </w:tabs>
        <w:jc w:val="center"/>
        <w:rPr>
          <w:b/>
          <w:color w:val="FF0000"/>
        </w:rPr>
      </w:pPr>
      <w:r w:rsidRPr="00261FAC">
        <w:rPr>
          <w:b/>
        </w:rPr>
        <w:t>UNICEF DPR Korea</w:t>
      </w:r>
      <w:r w:rsidR="00811884" w:rsidRPr="00261FAC">
        <w:rPr>
          <w:b/>
        </w:rPr>
        <w:t xml:space="preserve"> </w:t>
      </w: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2E57E6" w:rsidRPr="00261FAC" w:rsidTr="00725234">
        <w:trPr>
          <w:trHeight w:val="2114"/>
        </w:trPr>
        <w:tc>
          <w:tcPr>
            <w:tcW w:w="10080" w:type="dxa"/>
          </w:tcPr>
          <w:p w:rsidR="00EE5496" w:rsidRPr="00725234" w:rsidRDefault="00D65D82" w:rsidP="00500B0A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25234">
              <w:rPr>
                <w:b/>
              </w:rPr>
              <w:t>Outcome/output</w:t>
            </w:r>
            <w:r w:rsidR="00EE5496" w:rsidRPr="00725234">
              <w:rPr>
                <w:b/>
              </w:rPr>
              <w:t xml:space="preserve"> Title and Project/</w:t>
            </w:r>
            <w:proofErr w:type="spellStart"/>
            <w:r w:rsidR="00EE5496" w:rsidRPr="00725234">
              <w:rPr>
                <w:b/>
              </w:rPr>
              <w:t>Program</w:t>
            </w:r>
            <w:r w:rsidR="009319AF">
              <w:rPr>
                <w:b/>
              </w:rPr>
              <w:t>me</w:t>
            </w:r>
            <w:proofErr w:type="spellEnd"/>
            <w:r w:rsidR="00EE5496" w:rsidRPr="00725234">
              <w:rPr>
                <w:b/>
              </w:rPr>
              <w:t xml:space="preserve"> Title and Intermediate Result References:</w:t>
            </w:r>
          </w:p>
          <w:p w:rsidR="00CE4612" w:rsidRPr="00261FAC" w:rsidRDefault="00635FBF" w:rsidP="00EE5496">
            <w:pPr>
              <w:spacing w:line="276" w:lineRule="auto"/>
              <w:ind w:left="360"/>
            </w:pPr>
            <w:r>
              <w:rPr>
                <w:b/>
              </w:rPr>
              <w:t xml:space="preserve">Outcome </w:t>
            </w:r>
            <w:r w:rsidR="00D65D82" w:rsidRPr="00261FAC">
              <w:rPr>
                <w:b/>
              </w:rPr>
              <w:t>1</w:t>
            </w:r>
            <w:r w:rsidR="00EE5496" w:rsidRPr="00261FAC">
              <w:rPr>
                <w:b/>
              </w:rPr>
              <w:t xml:space="preserve">: </w:t>
            </w:r>
            <w:r w:rsidR="00CE4612" w:rsidRPr="00261FAC">
              <w:t>By 2021, pregnant women, newborn and under-five children have equitable access to</w:t>
            </w:r>
            <w:r w:rsidR="00E265A7">
              <w:t xml:space="preserve"> essential health care services</w:t>
            </w:r>
            <w:r w:rsidR="001341C9">
              <w:t>.</w:t>
            </w:r>
          </w:p>
          <w:p w:rsidR="00F23FF3" w:rsidRPr="007F273D" w:rsidRDefault="00922BB1" w:rsidP="00F23FF3">
            <w:pPr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>Output 1.3</w:t>
            </w:r>
            <w:r w:rsidR="00F23FF3" w:rsidRPr="00261FAC">
              <w:rPr>
                <w:b/>
              </w:rPr>
              <w:t xml:space="preserve">: </w:t>
            </w:r>
            <w:proofErr w:type="spellStart"/>
            <w:r w:rsidR="00F23FF3" w:rsidRPr="00E56676">
              <w:t>MoPH</w:t>
            </w:r>
            <w:proofErr w:type="spellEnd"/>
            <w:r w:rsidR="00F23FF3" w:rsidRPr="00E56676">
              <w:t xml:space="preserve"> </w:t>
            </w:r>
            <w:r w:rsidR="00F23FF3">
              <w:t xml:space="preserve">and health system have enhanced capacity to provide equitable access to   </w:t>
            </w:r>
            <w:r w:rsidR="00F23FF3" w:rsidRPr="006B66AC">
              <w:t>quality immunization nationwide and IMNCI services, particularly in those regions affected by the protracted humanitarian crisis</w:t>
            </w:r>
            <w:r w:rsidR="00F23FF3">
              <w:t>.</w:t>
            </w:r>
          </w:p>
          <w:p w:rsidR="00275698" w:rsidRPr="00935677" w:rsidRDefault="00D330C0" w:rsidP="0093567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F273D">
              <w:rPr>
                <w:b/>
              </w:rPr>
              <w:t>Funding Source:</w:t>
            </w:r>
            <w:r w:rsidRPr="007F273D">
              <w:rPr>
                <w:rFonts w:eastAsia="Malgun Gothic"/>
                <w:b/>
                <w:lang w:eastAsia="ko-KR"/>
              </w:rPr>
              <w:t xml:space="preserve"> </w:t>
            </w:r>
            <w:r w:rsidR="00F23FF3" w:rsidRPr="00F23FF3">
              <w:rPr>
                <w:rFonts w:eastAsia="Malgun Gothic"/>
                <w:b/>
                <w:lang w:eastAsia="ko-KR"/>
              </w:rPr>
              <w:t>Grant: SC190375</w:t>
            </w:r>
          </w:p>
        </w:tc>
      </w:tr>
      <w:tr w:rsidR="00E10CD8" w:rsidRPr="00261FAC" w:rsidTr="00635FBF">
        <w:trPr>
          <w:trHeight w:val="602"/>
        </w:trPr>
        <w:tc>
          <w:tcPr>
            <w:tcW w:w="10080" w:type="dxa"/>
          </w:tcPr>
          <w:p w:rsidR="00E10CD8" w:rsidRPr="001341C9" w:rsidRDefault="00E10CD8" w:rsidP="00E10CD8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1341C9">
              <w:rPr>
                <w:b/>
                <w:u w:val="single"/>
              </w:rPr>
              <w:t>Background:</w:t>
            </w:r>
          </w:p>
          <w:p w:rsidR="00243EB2" w:rsidRPr="00243EB2" w:rsidRDefault="00F23FF3" w:rsidP="00243EB2">
            <w:pPr>
              <w:shd w:val="clear" w:color="auto" w:fill="FFFFFF" w:themeFill="background1"/>
              <w:jc w:val="both"/>
            </w:pPr>
            <w:r w:rsidRPr="00922BB1">
              <w:t>The Democratic People’s Republic of Korea (DPRK) plans to introduce Measles-Rubella (MR) vaccine, switching from the Measles Containing Vaccine (MCV) which is currently in use. Introduction of the rubella component is in keeping with the Global Vaccine Action Plan</w:t>
            </w:r>
            <w:r w:rsidR="00910934">
              <w:t xml:space="preserve"> (GVAP)</w:t>
            </w:r>
            <w:r w:rsidRPr="00922BB1">
              <w:t xml:space="preserve"> which set the agenda for elimination of measles and control of rubella/congenital rubella syndrome</w:t>
            </w:r>
            <w:r w:rsidR="00BB592F">
              <w:t xml:space="preserve"> (CRS)</w:t>
            </w:r>
            <w:r w:rsidRPr="00922BB1">
              <w:t xml:space="preserve"> in at least five WHO regions by 2020; and the South East Asia Regional Vaccine Action Plan 2016-2</w:t>
            </w:r>
            <w:r w:rsidR="00BB592F" w:rsidRPr="00BB592F">
              <w:t>020 which set the same target of being</w:t>
            </w:r>
            <w:r w:rsidRPr="00922BB1">
              <w:t xml:space="preserve"> one of the regions to eliminate</w:t>
            </w:r>
            <w:r w:rsidR="00BB592F">
              <w:t xml:space="preserve"> measles and achieve control of CRS</w:t>
            </w:r>
            <w:r w:rsidRPr="00922BB1">
              <w:t xml:space="preserve">. To achieve this goal, DPRK plans to implement a Measles-Rubella Catch-up Supplementary Immunization Activity (MR SIA).  The MR </w:t>
            </w:r>
            <w:r w:rsidR="004E0173">
              <w:t>SIA is scheduled to commence on</w:t>
            </w:r>
            <w:r w:rsidR="009319AF">
              <w:t xml:space="preserve"> 4</w:t>
            </w:r>
            <w:r w:rsidRPr="00922BB1">
              <w:t xml:space="preserve"> October 2019, and the activity is supported by UNICEF in collaboration with WHO through provision of technical assistance and logist</w:t>
            </w:r>
            <w:r w:rsidR="00935677">
              <w:t>ical support including supply of vaccines</w:t>
            </w:r>
            <w:r w:rsidRPr="00922BB1">
              <w:t xml:space="preserve"> using Gavi funding. </w:t>
            </w:r>
            <w:r w:rsidR="00243EB2" w:rsidRPr="00243EB2">
              <w:t>The MR introduction will be done through a catch-up supplementary</w:t>
            </w:r>
            <w:r w:rsidR="00FF0D98">
              <w:t xml:space="preserve"> immunization activity</w:t>
            </w:r>
            <w:r w:rsidR="00243EB2" w:rsidRPr="00243EB2">
              <w:t xml:space="preserve"> with the aim of achieving high coverage amongst children aged 9 months up to 15 years of age, as well as amongst women of child-bearing age</w:t>
            </w:r>
            <w:r w:rsidR="00FF0D98">
              <w:t xml:space="preserve"> (WCBA)</w:t>
            </w:r>
            <w:r w:rsidR="00243EB2" w:rsidRPr="00243EB2">
              <w:t xml:space="preserve"> in the age band 16 to 18 years of age. The purpose of this contract is to implement a post MR-SIA coverage survey for purposes of assessing the coverage that wil</w:t>
            </w:r>
            <w:r w:rsidR="004B31BC">
              <w:t>l have been achieved by the SIA.</w:t>
            </w:r>
          </w:p>
          <w:p w:rsidR="007944EA" w:rsidRDefault="00F23FF3" w:rsidP="00635FBF">
            <w:pPr>
              <w:shd w:val="clear" w:color="auto" w:fill="FFFFFF" w:themeFill="background1"/>
              <w:jc w:val="both"/>
            </w:pPr>
            <w:r w:rsidRPr="00922BB1">
              <w:t xml:space="preserve"> </w:t>
            </w:r>
          </w:p>
          <w:p w:rsidR="007944EA" w:rsidRPr="007944EA" w:rsidRDefault="007944EA" w:rsidP="007944EA">
            <w:pPr>
              <w:shd w:val="clear" w:color="auto" w:fill="FFFFFF" w:themeFill="background1"/>
              <w:jc w:val="both"/>
              <w:rPr>
                <w:b/>
              </w:rPr>
            </w:pPr>
            <w:r w:rsidRPr="007944EA">
              <w:rPr>
                <w:b/>
              </w:rPr>
              <w:t>Methodology</w:t>
            </w:r>
          </w:p>
          <w:p w:rsidR="007944EA" w:rsidRPr="007944EA" w:rsidRDefault="007944EA" w:rsidP="007944EA">
            <w:pPr>
              <w:shd w:val="clear" w:color="auto" w:fill="FFFFFF" w:themeFill="background1"/>
              <w:jc w:val="both"/>
            </w:pPr>
            <w:r w:rsidRPr="007944EA">
              <w:t xml:space="preserve">A contractor will be selected by UNICEF to implement the tasks </w:t>
            </w:r>
            <w:r w:rsidR="00C71440">
              <w:t>as relates to implementation of a post MR</w:t>
            </w:r>
            <w:r w:rsidR="00F03014">
              <w:t>-</w:t>
            </w:r>
            <w:r w:rsidR="00C71440">
              <w:t>SIA coverage survey</w:t>
            </w:r>
            <w:r w:rsidRPr="007944EA">
              <w:t xml:space="preserve">. </w:t>
            </w:r>
          </w:p>
          <w:p w:rsidR="007944EA" w:rsidRPr="007944EA" w:rsidRDefault="007944EA" w:rsidP="007944EA">
            <w:pPr>
              <w:shd w:val="clear" w:color="auto" w:fill="FFFFFF" w:themeFill="background1"/>
              <w:jc w:val="both"/>
            </w:pPr>
            <w:r w:rsidRPr="007944EA">
              <w:t xml:space="preserve">The </w:t>
            </w:r>
            <w:r w:rsidR="00BC284F">
              <w:t xml:space="preserve">coverage survey design will be consistent with </w:t>
            </w:r>
            <w:r w:rsidR="002D5CA2">
              <w:t>the</w:t>
            </w:r>
            <w:r w:rsidR="00303F43">
              <w:t xml:space="preserve"> la</w:t>
            </w:r>
            <w:r w:rsidR="000443DC">
              <w:t>test WHO Vaccination Coverage Survey Guidelines 2015</w:t>
            </w:r>
            <w:r w:rsidR="00935677">
              <w:t>.</w:t>
            </w:r>
          </w:p>
          <w:p w:rsidR="007944EA" w:rsidRPr="007944EA" w:rsidRDefault="00BC284F" w:rsidP="007944EA">
            <w:pPr>
              <w:numPr>
                <w:ilvl w:val="0"/>
                <w:numId w:val="27"/>
              </w:numPr>
              <w:shd w:val="clear" w:color="auto" w:fill="FFFFFF" w:themeFill="background1"/>
              <w:jc w:val="both"/>
            </w:pPr>
            <w:r>
              <w:t xml:space="preserve">The survey will adopt probability sample </w:t>
            </w:r>
            <w:r w:rsidR="006644BC">
              <w:t>two</w:t>
            </w:r>
            <w:r w:rsidR="003430E1">
              <w:t xml:space="preserve">-stage </w:t>
            </w:r>
            <w:r>
              <w:t>cluster survey methodology</w:t>
            </w:r>
            <w:r w:rsidR="006A5576">
              <w:t xml:space="preserve">, including weighted analysis to account for variations in probabilities of selection of </w:t>
            </w:r>
            <w:r w:rsidR="002D5CA2">
              <w:t>everyone</w:t>
            </w:r>
            <w:r w:rsidR="00935677">
              <w:t xml:space="preserve"> in the target population</w:t>
            </w:r>
            <w:r w:rsidR="00A30A30">
              <w:t>.</w:t>
            </w:r>
          </w:p>
          <w:p w:rsidR="007944EA" w:rsidRPr="007944EA" w:rsidRDefault="00BC284F" w:rsidP="007944EA">
            <w:pPr>
              <w:numPr>
                <w:ilvl w:val="0"/>
                <w:numId w:val="27"/>
              </w:numPr>
              <w:shd w:val="clear" w:color="auto" w:fill="FFFFFF" w:themeFill="background1"/>
              <w:jc w:val="both"/>
            </w:pPr>
            <w:r>
              <w:t>The survey will be at national level and</w:t>
            </w:r>
            <w:r w:rsidR="007B1A82">
              <w:t xml:space="preserve"> possibl</w:t>
            </w:r>
            <w:r w:rsidR="00A30A30">
              <w:t>y</w:t>
            </w:r>
            <w:r>
              <w:t xml:space="preserve"> stratified by</w:t>
            </w:r>
            <w:r w:rsidR="00156709">
              <w:t xml:space="preserve"> urban/rural or</w:t>
            </w:r>
            <w:r>
              <w:t xml:space="preserve"> </w:t>
            </w:r>
            <w:r w:rsidR="007B1A82">
              <w:t>province.</w:t>
            </w:r>
            <w:r w:rsidR="007944EA" w:rsidRPr="007944EA">
              <w:t xml:space="preserve"> </w:t>
            </w:r>
          </w:p>
          <w:p w:rsidR="001E1D0D" w:rsidRDefault="001E1D0D" w:rsidP="007944EA">
            <w:pPr>
              <w:numPr>
                <w:ilvl w:val="0"/>
                <w:numId w:val="27"/>
              </w:numPr>
              <w:shd w:val="clear" w:color="auto" w:fill="FFFFFF" w:themeFill="background1"/>
              <w:jc w:val="both"/>
            </w:pPr>
            <w:r>
              <w:t xml:space="preserve">Results will be reported with gender disaggregation </w:t>
            </w:r>
            <w:r w:rsidR="00303F43">
              <w:t xml:space="preserve">and </w:t>
            </w:r>
            <w:r>
              <w:t>by age band</w:t>
            </w:r>
            <w:r w:rsidR="00C73A48">
              <w:t>s</w:t>
            </w:r>
            <w:r w:rsidR="00303F43">
              <w:t>.</w:t>
            </w:r>
          </w:p>
          <w:p w:rsidR="00303F43" w:rsidRDefault="00303F43" w:rsidP="00303F43">
            <w:pPr>
              <w:shd w:val="clear" w:color="auto" w:fill="FFFFFF" w:themeFill="background1"/>
              <w:ind w:left="360"/>
              <w:jc w:val="both"/>
            </w:pPr>
          </w:p>
          <w:p w:rsidR="007944EA" w:rsidRDefault="00474092" w:rsidP="00303F43">
            <w:pPr>
              <w:shd w:val="clear" w:color="auto" w:fill="FFFFFF" w:themeFill="background1"/>
              <w:jc w:val="both"/>
            </w:pPr>
            <w:r>
              <w:t xml:space="preserve">The survey will be conducted promptly after the MR SIA is declared complete by </w:t>
            </w:r>
            <w:proofErr w:type="spellStart"/>
            <w:r>
              <w:t>MoPH</w:t>
            </w:r>
            <w:proofErr w:type="spellEnd"/>
            <w:r>
              <w:t xml:space="preserve"> to ensure evidence of</w:t>
            </w:r>
            <w:r w:rsidR="00AA11A5">
              <w:t xml:space="preserve"> indelible marker </w:t>
            </w:r>
            <w:r>
              <w:t>ink is still visible; this being the main validation modality in addition to interviews.</w:t>
            </w:r>
            <w:r w:rsidR="00935677">
              <w:t xml:space="preserve"> Review of health facility registers will be considered based on completeness and quality.</w:t>
            </w:r>
          </w:p>
          <w:p w:rsidR="000958CA" w:rsidRPr="00261FAC" w:rsidRDefault="000958CA" w:rsidP="00303F43">
            <w:pPr>
              <w:shd w:val="clear" w:color="auto" w:fill="FFFFFF" w:themeFill="background1"/>
              <w:jc w:val="both"/>
            </w:pPr>
          </w:p>
        </w:tc>
      </w:tr>
      <w:tr w:rsidR="002E57E6" w:rsidRPr="00261FAC" w:rsidTr="00806F4D">
        <w:trPr>
          <w:trHeight w:val="576"/>
        </w:trPr>
        <w:tc>
          <w:tcPr>
            <w:tcW w:w="10080" w:type="dxa"/>
          </w:tcPr>
          <w:p w:rsidR="00986F4A" w:rsidRPr="001341C9" w:rsidRDefault="001341C9" w:rsidP="00986F4A">
            <w:pPr>
              <w:pStyle w:val="ListParagraph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Purpose of the contract</w:t>
            </w:r>
            <w:r w:rsidR="00986F4A" w:rsidRPr="001341C9">
              <w:rPr>
                <w:b/>
                <w:u w:val="single"/>
              </w:rPr>
              <w:t xml:space="preserve">:  </w:t>
            </w:r>
          </w:p>
          <w:p w:rsidR="00603D2B" w:rsidRDefault="00F23FF3" w:rsidP="00F23FF3">
            <w:pPr>
              <w:pStyle w:val="BodyText"/>
              <w:spacing w:line="276" w:lineRule="auto"/>
              <w:ind w:left="360"/>
            </w:pPr>
            <w:r>
              <w:t xml:space="preserve">The proposed contract relates to </w:t>
            </w:r>
            <w:proofErr w:type="spellStart"/>
            <w:r>
              <w:t>MoPH</w:t>
            </w:r>
            <w:proofErr w:type="spellEnd"/>
            <w:r>
              <w:t>/UNICEF annual workplan 2019, sub-activity 1.3.4.3: Post SIA Coverage Evaluation Survey</w:t>
            </w:r>
            <w:r w:rsidRPr="00A2657A">
              <w:t>.</w:t>
            </w:r>
            <w:r w:rsidR="00603D2B">
              <w:t xml:space="preserve"> </w:t>
            </w:r>
          </w:p>
          <w:p w:rsidR="00F23FF3" w:rsidRPr="00A2657A" w:rsidRDefault="00603D2B" w:rsidP="00F23FF3">
            <w:pPr>
              <w:pStyle w:val="BodyText"/>
              <w:spacing w:line="276" w:lineRule="auto"/>
              <w:ind w:left="360"/>
            </w:pPr>
            <w:r>
              <w:t>Whereas the coverage survey is of national interest, there is also need for regional validation of the coverage achieved during the MR catch up SIA/vaccine introduction as it constitutes a part of the regional goal of effectively introducing the rubella vaccine in the final country in th</w:t>
            </w:r>
            <w:r w:rsidR="00795A09">
              <w:t>is</w:t>
            </w:r>
            <w:r>
              <w:t xml:space="preserve"> region</w:t>
            </w:r>
            <w:r w:rsidR="00910934">
              <w:t>, in line with the GVAP</w:t>
            </w:r>
            <w:r w:rsidR="00EB3817">
              <w:t xml:space="preserve">. Consequently, the coverage survey would benefit from dedicated expert capacity to facilitate and steward the entire exercise. </w:t>
            </w:r>
            <w:r w:rsidR="00910934">
              <w:t xml:space="preserve"> </w:t>
            </w:r>
          </w:p>
          <w:p w:rsidR="00511545" w:rsidRDefault="00511545" w:rsidP="00F23FF3">
            <w:pPr>
              <w:pStyle w:val="BodyText"/>
              <w:spacing w:line="276" w:lineRule="auto"/>
              <w:rPr>
                <w:b/>
              </w:rPr>
            </w:pPr>
          </w:p>
          <w:p w:rsidR="00F23FF3" w:rsidRPr="00A2657A" w:rsidRDefault="00F23FF3" w:rsidP="00F23FF3">
            <w:pPr>
              <w:pStyle w:val="BodyText"/>
              <w:spacing w:line="276" w:lineRule="auto"/>
              <w:rPr>
                <w:b/>
              </w:rPr>
            </w:pPr>
            <w:r w:rsidRPr="00A2657A">
              <w:rPr>
                <w:b/>
              </w:rPr>
              <w:t>Objectives</w:t>
            </w:r>
          </w:p>
          <w:p w:rsidR="00F23FF3" w:rsidRDefault="00F23FF3" w:rsidP="00F23FF3">
            <w:pPr>
              <w:pStyle w:val="BodyText"/>
              <w:numPr>
                <w:ilvl w:val="0"/>
                <w:numId w:val="23"/>
              </w:numPr>
              <w:spacing w:line="276" w:lineRule="auto"/>
            </w:pPr>
            <w:r w:rsidRPr="001C08E4">
              <w:t>Assess coverage reached during the SIA</w:t>
            </w:r>
            <w:r w:rsidR="00795A09">
              <w:t xml:space="preserve"> by gender</w:t>
            </w:r>
            <w:r w:rsidR="007B1A82">
              <w:t>, urban/rural and other demographic characteristic</w:t>
            </w:r>
            <w:r w:rsidR="00C73A48">
              <w:t>s</w:t>
            </w:r>
          </w:p>
          <w:p w:rsidR="00574BBD" w:rsidRPr="001C08E4" w:rsidRDefault="007B1A82" w:rsidP="00303F43">
            <w:pPr>
              <w:pStyle w:val="BodyText"/>
              <w:numPr>
                <w:ilvl w:val="0"/>
                <w:numId w:val="23"/>
              </w:numPr>
              <w:spacing w:line="276" w:lineRule="auto"/>
            </w:pPr>
            <w:r>
              <w:t xml:space="preserve">Assess the occurrence of adverse events following </w:t>
            </w:r>
            <w:r w:rsidR="00C73A48">
              <w:t>immunization</w:t>
            </w:r>
            <w:r>
              <w:t xml:space="preserve"> (AEFI), systematic and local reactions, and those</w:t>
            </w:r>
            <w:r w:rsidR="00795A09">
              <w:t xml:space="preserve"> that</w:t>
            </w:r>
            <w:r>
              <w:t xml:space="preserve"> required medical consultation </w:t>
            </w:r>
          </w:p>
          <w:p w:rsidR="0009515D" w:rsidRPr="00574BBD" w:rsidRDefault="00F23FF3" w:rsidP="00303F43">
            <w:pPr>
              <w:pStyle w:val="BodyText"/>
              <w:numPr>
                <w:ilvl w:val="0"/>
                <w:numId w:val="23"/>
              </w:numPr>
              <w:spacing w:line="276" w:lineRule="auto"/>
              <w:rPr>
                <w:szCs w:val="24"/>
              </w:rPr>
            </w:pPr>
            <w:r>
              <w:t>Document c</w:t>
            </w:r>
            <w:r w:rsidRPr="001C08E4">
              <w:t>ommunication channels that informed people about the SIA</w:t>
            </w:r>
          </w:p>
        </w:tc>
      </w:tr>
      <w:tr w:rsidR="002E57E6" w:rsidRPr="00261FAC" w:rsidTr="00725234">
        <w:trPr>
          <w:trHeight w:val="404"/>
        </w:trPr>
        <w:tc>
          <w:tcPr>
            <w:tcW w:w="10080" w:type="dxa"/>
          </w:tcPr>
          <w:p w:rsidR="00F234F3" w:rsidRPr="00261FAC" w:rsidRDefault="00261FAC" w:rsidP="00261FAC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511545">
              <w:rPr>
                <w:b/>
              </w:rPr>
              <w:t>Place of the requested activity</w:t>
            </w:r>
            <w:r w:rsidR="00A2657A" w:rsidRPr="00511545">
              <w:rPr>
                <w:b/>
              </w:rPr>
              <w:t>:</w:t>
            </w:r>
            <w:r w:rsidR="00A2657A">
              <w:t xml:space="preserve"> At national level </w:t>
            </w:r>
            <w:r w:rsidR="00795A09">
              <w:t>in the DPRK</w:t>
            </w:r>
            <w:r w:rsidR="00B54861" w:rsidRPr="00261FAC">
              <w:rPr>
                <w:rFonts w:eastAsia="Malgun Gothic"/>
                <w:lang w:eastAsia="ko-KR"/>
              </w:rPr>
              <w:t>.</w:t>
            </w:r>
            <w:r w:rsidR="003B1763" w:rsidRPr="00261FAC">
              <w:t xml:space="preserve"> </w:t>
            </w:r>
          </w:p>
        </w:tc>
      </w:tr>
      <w:tr w:rsidR="002E57E6" w:rsidRPr="00261FAC" w:rsidTr="00806F4D">
        <w:trPr>
          <w:trHeight w:val="576"/>
        </w:trPr>
        <w:tc>
          <w:tcPr>
            <w:tcW w:w="10080" w:type="dxa"/>
          </w:tcPr>
          <w:p w:rsidR="00363767" w:rsidRPr="00261FAC" w:rsidRDefault="00F234F3" w:rsidP="00986F4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261FAC">
              <w:t xml:space="preserve">Duration: </w:t>
            </w:r>
          </w:p>
          <w:p w:rsidR="00F23FF3" w:rsidRDefault="00F23FF3" w:rsidP="00F23FF3">
            <w:pPr>
              <w:pStyle w:val="ListParagraph"/>
              <w:numPr>
                <w:ilvl w:val="0"/>
                <w:numId w:val="24"/>
              </w:numPr>
              <w:spacing w:line="276" w:lineRule="auto"/>
            </w:pPr>
            <w:r w:rsidRPr="00261FAC">
              <w:t xml:space="preserve">Expected to be completed within maximum </w:t>
            </w:r>
            <w:r w:rsidR="00A30A30">
              <w:t>s</w:t>
            </w:r>
            <w:r>
              <w:t>ix (6</w:t>
            </w:r>
            <w:r w:rsidRPr="00A2657A">
              <w:t xml:space="preserve">) </w:t>
            </w:r>
            <w:r>
              <w:t>weeks</w:t>
            </w:r>
            <w:r w:rsidR="00A30A30">
              <w:t>.</w:t>
            </w:r>
          </w:p>
          <w:p w:rsidR="00A2657A" w:rsidRPr="00261FAC" w:rsidRDefault="00F23FF3" w:rsidP="00986F4A">
            <w:pPr>
              <w:numPr>
                <w:ilvl w:val="0"/>
                <w:numId w:val="24"/>
              </w:numPr>
              <w:spacing w:line="276" w:lineRule="auto"/>
            </w:pPr>
            <w:r>
              <w:t xml:space="preserve">Subject to extension by a maximum of one (1) additional week contingent on completion date of the </w:t>
            </w:r>
            <w:r w:rsidR="0037724E">
              <w:t xml:space="preserve">MR </w:t>
            </w:r>
            <w:r>
              <w:t xml:space="preserve">SIA by </w:t>
            </w:r>
            <w:proofErr w:type="spellStart"/>
            <w:r>
              <w:t>MoPH</w:t>
            </w:r>
            <w:proofErr w:type="spellEnd"/>
            <w:r>
              <w:t xml:space="preserve">.  </w:t>
            </w:r>
          </w:p>
        </w:tc>
      </w:tr>
      <w:tr w:rsidR="002E57E6" w:rsidRPr="00261FAC" w:rsidTr="00687362">
        <w:trPr>
          <w:trHeight w:val="310"/>
        </w:trPr>
        <w:tc>
          <w:tcPr>
            <w:tcW w:w="10080" w:type="dxa"/>
          </w:tcPr>
          <w:p w:rsidR="00194900" w:rsidRPr="00261FAC" w:rsidRDefault="00687362" w:rsidP="000A0BDF">
            <w:pPr>
              <w:pStyle w:val="ListParagraph"/>
              <w:numPr>
                <w:ilvl w:val="0"/>
                <w:numId w:val="1"/>
              </w:numPr>
            </w:pPr>
            <w:r w:rsidRPr="00511545">
              <w:rPr>
                <w:b/>
              </w:rPr>
              <w:t>Supervisor:</w:t>
            </w:r>
            <w:r w:rsidR="000A0BDF">
              <w:t xml:space="preserve"> </w:t>
            </w:r>
            <w:r w:rsidR="00A2657A">
              <w:t xml:space="preserve">Dr </w:t>
            </w:r>
            <w:r w:rsidR="004D7CFD">
              <w:t>Jonas C Mwale</w:t>
            </w:r>
            <w:r w:rsidR="005019C4">
              <w:t xml:space="preserve"> – Health Specialist</w:t>
            </w:r>
            <w:r w:rsidR="00511545">
              <w:t xml:space="preserve">, under overall guidance of </w:t>
            </w:r>
            <w:r w:rsidR="00A30A30">
              <w:t xml:space="preserve">the </w:t>
            </w:r>
            <w:r w:rsidR="00574BBD">
              <w:t>Health Specialist (</w:t>
            </w:r>
            <w:r w:rsidR="00C73A48">
              <w:t>Immunization</w:t>
            </w:r>
            <w:r w:rsidR="00574BBD">
              <w:t xml:space="preserve">) and </w:t>
            </w:r>
            <w:r w:rsidR="00511545">
              <w:t>Chief of Health</w:t>
            </w:r>
            <w:r w:rsidR="00574BBD">
              <w:t xml:space="preserve"> </w:t>
            </w:r>
          </w:p>
        </w:tc>
      </w:tr>
      <w:tr w:rsidR="00687362" w:rsidRPr="00261FAC" w:rsidTr="00725234">
        <w:trPr>
          <w:trHeight w:val="287"/>
        </w:trPr>
        <w:tc>
          <w:tcPr>
            <w:tcW w:w="10080" w:type="dxa"/>
          </w:tcPr>
          <w:p w:rsidR="00D157E6" w:rsidRPr="00511545" w:rsidRDefault="00261FAC" w:rsidP="00261FA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</w:rPr>
            </w:pPr>
            <w:r w:rsidRPr="00511545">
              <w:rPr>
                <w:b/>
              </w:rPr>
              <w:t xml:space="preserve">Type of Supervision required: </w:t>
            </w:r>
          </w:p>
          <w:p w:rsidR="007632C3" w:rsidRPr="00261FAC" w:rsidRDefault="007632C3" w:rsidP="007632C3">
            <w:pPr>
              <w:shd w:val="clear" w:color="auto" w:fill="FFFFFF" w:themeFill="background1"/>
              <w:jc w:val="both"/>
            </w:pPr>
            <w:r>
              <w:t xml:space="preserve">The UNICEF Health </w:t>
            </w:r>
            <w:r w:rsidR="00E66836">
              <w:t>S</w:t>
            </w:r>
            <w:r>
              <w:t>pecialist will be responsible for day-to-day supervision</w:t>
            </w:r>
            <w:r w:rsidR="007C7FF0">
              <w:t xml:space="preserve"> to ensure all administrative details are compliant with UNICEF procedures</w:t>
            </w:r>
            <w:r>
              <w:t xml:space="preserve">; the </w:t>
            </w:r>
            <w:proofErr w:type="spellStart"/>
            <w:r>
              <w:t>MoPH</w:t>
            </w:r>
            <w:proofErr w:type="spellEnd"/>
            <w:r w:rsidR="007C7FF0">
              <w:t xml:space="preserve"> EPI department and C</w:t>
            </w:r>
            <w:r w:rsidR="001A2784">
              <w:t xml:space="preserve">entral Bureau of </w:t>
            </w:r>
            <w:r w:rsidR="007C7FF0">
              <w:t>S</w:t>
            </w:r>
            <w:r w:rsidR="001A2784">
              <w:t>tatistics (CBS)</w:t>
            </w:r>
            <w:r>
              <w:t xml:space="preserve"> will co-supervise the tasks’ implementation stages, approv</w:t>
            </w:r>
            <w:r w:rsidR="007C7FF0">
              <w:t>al</w:t>
            </w:r>
            <w:r>
              <w:t xml:space="preserve"> </w:t>
            </w:r>
            <w:r w:rsidR="007C7FF0">
              <w:t>of</w:t>
            </w:r>
            <w:r>
              <w:t xml:space="preserve"> deliverables and release permission for </w:t>
            </w:r>
            <w:r w:rsidR="007C7FF0">
              <w:t xml:space="preserve">dissemination of the final coverage report. </w:t>
            </w:r>
          </w:p>
        </w:tc>
      </w:tr>
      <w:tr w:rsidR="00194900" w:rsidRPr="00261FAC" w:rsidTr="00725234">
        <w:trPr>
          <w:trHeight w:val="314"/>
        </w:trPr>
        <w:tc>
          <w:tcPr>
            <w:tcW w:w="10080" w:type="dxa"/>
          </w:tcPr>
          <w:p w:rsidR="00F9025F" w:rsidRPr="007632C3" w:rsidRDefault="007632C3" w:rsidP="000A0BD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 w:rsidRPr="00511545">
              <w:rPr>
                <w:b/>
              </w:rPr>
              <w:t>Travel required:</w:t>
            </w:r>
            <w:r w:rsidRPr="007632C3">
              <w:t xml:space="preserve"> Travel to </w:t>
            </w:r>
            <w:r w:rsidR="007C7FF0">
              <w:t xml:space="preserve">sampled </w:t>
            </w:r>
            <w:r w:rsidRPr="007632C3">
              <w:t>count</w:t>
            </w:r>
            <w:r w:rsidR="007C7FF0">
              <w:t>ies will be required</w:t>
            </w:r>
            <w:r w:rsidRPr="007632C3">
              <w:t xml:space="preserve"> for </w:t>
            </w:r>
            <w:r w:rsidR="007C7FF0">
              <w:t>quality assurance checks during data collection</w:t>
            </w:r>
            <w:r w:rsidR="00E66836">
              <w:t>.</w:t>
            </w:r>
            <w:r w:rsidR="00986F4A" w:rsidRPr="007632C3">
              <w:t xml:space="preserve">       </w:t>
            </w:r>
          </w:p>
        </w:tc>
      </w:tr>
      <w:tr w:rsidR="002E57E6" w:rsidRPr="00261FAC" w:rsidTr="00725234">
        <w:trPr>
          <w:trHeight w:val="215"/>
        </w:trPr>
        <w:tc>
          <w:tcPr>
            <w:tcW w:w="10080" w:type="dxa"/>
          </w:tcPr>
          <w:p w:rsidR="00880217" w:rsidRPr="00922BB1" w:rsidRDefault="007315D2" w:rsidP="00511545">
            <w:pPr>
              <w:pStyle w:val="ListParagraph"/>
              <w:spacing w:line="276" w:lineRule="auto"/>
              <w:ind w:left="0"/>
              <w:rPr>
                <w:rFonts w:eastAsia="Malgun Gothic"/>
                <w:lang w:eastAsia="ko-KR"/>
              </w:rPr>
            </w:pPr>
            <w:r w:rsidRPr="00511545">
              <w:rPr>
                <w:b/>
              </w:rPr>
              <w:t>Support provided by UNICEF:</w:t>
            </w:r>
            <w:r w:rsidRPr="00261FAC">
              <w:t xml:space="preserve"> </w:t>
            </w:r>
            <w:r w:rsidR="00D9394A">
              <w:t xml:space="preserve">UNICEF </w:t>
            </w:r>
            <w:r w:rsidR="00E66836">
              <w:t>H</w:t>
            </w:r>
            <w:r w:rsidR="00D9394A">
              <w:t xml:space="preserve">ealth </w:t>
            </w:r>
            <w:r w:rsidR="00E66836">
              <w:t>S</w:t>
            </w:r>
            <w:r w:rsidR="00D9394A">
              <w:t>pecialists and WHO consultant will support quality assurance checks during data collection.</w:t>
            </w:r>
          </w:p>
          <w:p w:rsidR="00F47907" w:rsidRPr="000958CA" w:rsidRDefault="00F47907" w:rsidP="000958CA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t>Office space will be provided for the consultant within the UNICEF office block.</w:t>
            </w:r>
          </w:p>
        </w:tc>
      </w:tr>
      <w:tr w:rsidR="002E57E6" w:rsidRPr="00261FAC" w:rsidTr="00806F4D">
        <w:trPr>
          <w:trHeight w:val="576"/>
        </w:trPr>
        <w:tc>
          <w:tcPr>
            <w:tcW w:w="10080" w:type="dxa"/>
            <w:tcBorders>
              <w:bottom w:val="single" w:sz="4" w:space="0" w:color="auto"/>
            </w:tcBorders>
          </w:tcPr>
          <w:p w:rsidR="007632C3" w:rsidRPr="00303F43" w:rsidRDefault="000A0BDF" w:rsidP="007632C3">
            <w:pPr>
              <w:pStyle w:val="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545">
              <w:rPr>
                <w:rFonts w:ascii="Times New Roman" w:hAnsi="Times New Roman" w:cs="Times New Roman"/>
                <w:b/>
              </w:rPr>
              <w:t>Description of assignment</w:t>
            </w:r>
            <w:r w:rsidRPr="00511545">
              <w:rPr>
                <w:rFonts w:ascii="Times New Roman" w:hAnsi="Times New Roman" w:cs="Times New Roman"/>
                <w:b/>
              </w:rPr>
              <w:tab/>
            </w:r>
          </w:p>
          <w:p w:rsidR="00FF0D98" w:rsidRDefault="00FF0D98" w:rsidP="00FF0D98">
            <w:pPr>
              <w:shd w:val="clear" w:color="auto" w:fill="FFFFFF" w:themeFill="background1"/>
              <w:jc w:val="both"/>
            </w:pPr>
            <w:r w:rsidRPr="00FF0D98">
              <w:t>The following tasks/activities</w:t>
            </w:r>
            <w:r w:rsidR="00C36E5E">
              <w:t xml:space="preserve"> are</w:t>
            </w:r>
            <w:r w:rsidRPr="00FF0D98">
              <w:t xml:space="preserve"> to be implemented</w:t>
            </w:r>
            <w:r w:rsidR="00080393">
              <w:t xml:space="preserve"> within the</w:t>
            </w:r>
            <w:r w:rsidR="00511545">
              <w:t>se</w:t>
            </w:r>
            <w:r w:rsidR="00080393">
              <w:t xml:space="preserve"> estimated timeframes</w:t>
            </w:r>
            <w:r w:rsidRPr="00FF0D98">
              <w:t>:</w:t>
            </w:r>
          </w:p>
          <w:p w:rsidR="00FB29AE" w:rsidRPr="000958CA" w:rsidRDefault="00FB29AE" w:rsidP="00FF0D98">
            <w:pPr>
              <w:shd w:val="clear" w:color="auto" w:fill="FFFFFF" w:themeFill="background1"/>
              <w:jc w:val="both"/>
              <w:rPr>
                <w:sz w:val="12"/>
                <w:szCs w:val="12"/>
              </w:rPr>
            </w:pPr>
          </w:p>
          <w:tbl>
            <w:tblPr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6737"/>
              <w:gridCol w:w="2790"/>
            </w:tblGrid>
            <w:tr w:rsidR="00EE7E99" w:rsidRPr="00EE7E99" w:rsidTr="00EE7E99">
              <w:trPr>
                <w:trHeight w:val="315"/>
              </w:trPr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E99" w:rsidRPr="00EE7E99" w:rsidRDefault="00EE7E99" w:rsidP="00EE7E9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E7E9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67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E99" w:rsidRPr="00EE7E99" w:rsidRDefault="00EE7E99" w:rsidP="00EE7E9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EE7E9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ACTIVITY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7E99" w:rsidRPr="00EE7E99" w:rsidRDefault="00221C86" w:rsidP="00EE7E9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DURATION</w:t>
                  </w:r>
                </w:p>
              </w:tc>
            </w:tr>
            <w:tr w:rsidR="008966B2" w:rsidRPr="00EE7E99" w:rsidTr="00B54954">
              <w:trPr>
                <w:trHeight w:val="555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6B2" w:rsidRPr="00EE7E99" w:rsidRDefault="008966B2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6B2" w:rsidRPr="00EE7E99" w:rsidRDefault="008966B2" w:rsidP="00EE7E99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Draft survey protocols according to the WHO guidelines of national coverage survey 2015 which includes sampling scenarios and estimated timeline and budget. </w:t>
                  </w:r>
                </w:p>
              </w:tc>
              <w:tc>
                <w:tcPr>
                  <w:tcW w:w="2790" w:type="dxa"/>
                  <w:vMerge w:val="restart"/>
                  <w:tcBorders>
                    <w:top w:val="nil"/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966B2" w:rsidRPr="00EE7E99" w:rsidRDefault="00221C86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7 DAYS</w:t>
                  </w:r>
                  <w:r w:rsidR="008966B2"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8966B2" w:rsidRPr="00EE7E99" w:rsidTr="00B54954">
              <w:trPr>
                <w:trHeight w:val="555"/>
              </w:trPr>
              <w:tc>
                <w:tcPr>
                  <w:tcW w:w="34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66B2" w:rsidRPr="00EE7E99" w:rsidRDefault="008966B2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66B2" w:rsidRPr="00EE7E99" w:rsidRDefault="008966B2" w:rsidP="00EE7E99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Conv</w:t>
                  </w:r>
                  <w:r w:rsidR="000958CA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ene coordination meetings with CBS</w:t>
                  </w: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MoPH</w:t>
                  </w:r>
                  <w:proofErr w:type="spellEnd"/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, UNICEF and WHO for 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finalization of survey protocols</w:t>
                  </w:r>
                  <w:r w:rsidR="00E66836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790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66B2" w:rsidRPr="00EE7E99" w:rsidRDefault="008966B2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966B2" w:rsidRPr="00EE7E99" w:rsidTr="00B54954">
              <w:trPr>
                <w:trHeight w:val="1035"/>
              </w:trPr>
              <w:tc>
                <w:tcPr>
                  <w:tcW w:w="34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66B2" w:rsidRPr="00EE7E99" w:rsidRDefault="008966B2" w:rsidP="00EE7E99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66B2" w:rsidRPr="00EE7E99" w:rsidRDefault="008966B2" w:rsidP="00EE7E99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Lead the sampling exercise to be conducted based on WHO guidance for immunization coverage surveys using probability-based sampling for a cluster survey technique; in collaboration with the CBS. </w:t>
                  </w:r>
                </w:p>
              </w:tc>
              <w:tc>
                <w:tcPr>
                  <w:tcW w:w="27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966B2" w:rsidRPr="00EE7E99" w:rsidRDefault="008966B2" w:rsidP="00EE7E99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E7E99" w:rsidRPr="00EE7E99" w:rsidTr="00EE7E99">
              <w:trPr>
                <w:trHeight w:val="765"/>
              </w:trPr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E99" w:rsidRPr="00EE7E99" w:rsidRDefault="00EE7E99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E99" w:rsidRPr="00EE7E99" w:rsidRDefault="00EE7E99" w:rsidP="00EE7E99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Coordinate with </w:t>
                  </w:r>
                  <w:proofErr w:type="spellStart"/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MoPH</w:t>
                  </w:r>
                  <w:proofErr w:type="spellEnd"/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to set</w:t>
                  </w:r>
                  <w:r w:rsidR="00E66836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up teams of field supervisors and data collectors; and undertake train</w:t>
                  </w:r>
                  <w:r w:rsidR="000958CA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ing</w:t>
                  </w: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of field supervisors and data collectors.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E99" w:rsidRPr="00EE7E99" w:rsidRDefault="00221C86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8 DAYS</w:t>
                  </w:r>
                </w:p>
              </w:tc>
            </w:tr>
            <w:tr w:rsidR="00EE7E99" w:rsidRPr="00EE7E99" w:rsidTr="00EE7E99">
              <w:trPr>
                <w:trHeight w:val="510"/>
              </w:trPr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E99" w:rsidRPr="00EE7E99" w:rsidRDefault="00EE7E99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E99" w:rsidRPr="00EE7E99" w:rsidRDefault="00EE7E99" w:rsidP="00EE7E99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Finalize all field tools and coordinate deployment of data collection teams</w:t>
                  </w:r>
                  <w:r w:rsidR="00377876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E99" w:rsidRPr="00EE7E99" w:rsidRDefault="00221C86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5 DAYS</w:t>
                  </w:r>
                </w:p>
              </w:tc>
            </w:tr>
            <w:tr w:rsidR="00EE7E99" w:rsidRPr="00EE7E99" w:rsidTr="00EE7E99">
              <w:trPr>
                <w:trHeight w:val="765"/>
              </w:trPr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E99" w:rsidRPr="00EE7E99" w:rsidRDefault="00EE7E99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E99" w:rsidRPr="00EE7E99" w:rsidRDefault="00EE7E99" w:rsidP="00EE7E99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Lead the field work for data collection, including coordinating quality assurance in collaboration with </w:t>
                  </w:r>
                  <w:proofErr w:type="spellStart"/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MoPH</w:t>
                  </w:r>
                  <w:proofErr w:type="spellEnd"/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, UNICEF and WHO</w:t>
                  </w:r>
                  <w:r w:rsidR="00377876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E99" w:rsidRPr="00EE7E99" w:rsidRDefault="00221C86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10 DAYS</w:t>
                  </w:r>
                </w:p>
              </w:tc>
            </w:tr>
            <w:tr w:rsidR="00EE7E99" w:rsidRPr="00EE7E99" w:rsidTr="00EE7E99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E99" w:rsidRPr="00EE7E99" w:rsidRDefault="00EE7E99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E99" w:rsidRPr="00EE7E99" w:rsidRDefault="00EE7E99" w:rsidP="00EE7E99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Undertake the data analysis and report writing. 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E99" w:rsidRPr="00EE7E99" w:rsidRDefault="00221C86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8 DAYS</w:t>
                  </w:r>
                </w:p>
              </w:tc>
            </w:tr>
            <w:tr w:rsidR="00EE7E99" w:rsidRPr="00EE7E99" w:rsidTr="00EE7E99">
              <w:trPr>
                <w:trHeight w:val="510"/>
              </w:trPr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E99" w:rsidRPr="00EE7E99" w:rsidRDefault="00EE7E99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E99" w:rsidRPr="00EE7E99" w:rsidRDefault="00EE7E99" w:rsidP="00EE7E99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Hold a report review meeting with </w:t>
                  </w:r>
                  <w:proofErr w:type="spellStart"/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MoPH</w:t>
                  </w:r>
                  <w:proofErr w:type="spellEnd"/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to obtain input and arrive at consensus on the report for finalization</w:t>
                  </w:r>
                  <w:r w:rsidR="00377876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E99" w:rsidRPr="00EE7E99" w:rsidRDefault="00221C86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1 DAY</w:t>
                  </w:r>
                </w:p>
              </w:tc>
            </w:tr>
            <w:tr w:rsidR="00EE7E99" w:rsidRPr="00EE7E99" w:rsidTr="004E0173">
              <w:trPr>
                <w:trHeight w:val="525"/>
              </w:trPr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E99" w:rsidRPr="00EE7E99" w:rsidRDefault="00EE7E99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7E99" w:rsidRPr="00EE7E99" w:rsidRDefault="00EE7E99" w:rsidP="00EE7E99">
                  <w:pP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 xml:space="preserve">Submit a final narrative report, and a power-point presentation to UNICEF and </w:t>
                  </w:r>
                  <w:proofErr w:type="spellStart"/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MoPH</w:t>
                  </w:r>
                  <w:proofErr w:type="spellEnd"/>
                  <w:r w:rsidRPr="00EE7E99"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7E99" w:rsidRPr="00EE7E99" w:rsidRDefault="00221C86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  <w:t>3 DAYS</w:t>
                  </w:r>
                </w:p>
              </w:tc>
            </w:tr>
            <w:tr w:rsidR="00377876" w:rsidRPr="00EE7E99" w:rsidTr="00EE7E99">
              <w:trPr>
                <w:trHeight w:val="525"/>
              </w:trPr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7876" w:rsidRPr="00EE7E99" w:rsidRDefault="00377876" w:rsidP="00EE7E99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7876" w:rsidRPr="004E0173" w:rsidRDefault="00377876" w:rsidP="004E0173">
                  <w:pPr>
                    <w:jc w:val="right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4E0173"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Total 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77876" w:rsidRPr="004E0173" w:rsidRDefault="00377876" w:rsidP="00EE7E99">
                  <w:pPr>
                    <w:jc w:val="right"/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4E0173">
                    <w:rPr>
                      <w:rFonts w:eastAsia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42 DAYS </w:t>
                  </w:r>
                </w:p>
              </w:tc>
            </w:tr>
          </w:tbl>
          <w:p w:rsidR="00BA19A8" w:rsidRPr="000958CA" w:rsidRDefault="00BA19A8" w:rsidP="00FF0D98">
            <w:pPr>
              <w:shd w:val="clear" w:color="auto" w:fill="FFFFFF" w:themeFill="background1"/>
              <w:jc w:val="both"/>
              <w:rPr>
                <w:sz w:val="12"/>
                <w:szCs w:val="12"/>
              </w:rPr>
            </w:pPr>
          </w:p>
          <w:p w:rsidR="00867DB3" w:rsidRDefault="00867DB3" w:rsidP="00FF0D98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="007632C3" w:rsidRPr="00D42DF8">
              <w:rPr>
                <w:b/>
              </w:rPr>
              <w:t>eliverables</w:t>
            </w:r>
          </w:p>
          <w:p w:rsidR="00CD6A2D" w:rsidRPr="00922BB1" w:rsidRDefault="00CD6A2D" w:rsidP="00922BB1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b/>
              </w:rPr>
            </w:pPr>
            <w:r>
              <w:t xml:space="preserve">Final cleaned data-sets to be handed to </w:t>
            </w:r>
            <w:proofErr w:type="spellStart"/>
            <w:r w:rsidR="000958CA">
              <w:t>MoPH</w:t>
            </w:r>
            <w:proofErr w:type="spellEnd"/>
            <w:r>
              <w:t xml:space="preserve"> for future secondary data analysis as may be required</w:t>
            </w:r>
            <w:r w:rsidR="005F79FB">
              <w:t>.</w:t>
            </w:r>
          </w:p>
          <w:p w:rsidR="00CD6A2D" w:rsidRPr="00922BB1" w:rsidRDefault="00CD6A2D" w:rsidP="00922BB1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b/>
              </w:rPr>
            </w:pPr>
            <w:r>
              <w:t>All field tools, guidance material and sampling frames used for the survey.</w:t>
            </w:r>
          </w:p>
          <w:p w:rsidR="008D1E44" w:rsidRPr="000958CA" w:rsidRDefault="00CD6A2D" w:rsidP="00922BB1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jc w:val="both"/>
              <w:rPr>
                <w:b/>
              </w:rPr>
            </w:pPr>
            <w:r w:rsidRPr="00922BB1">
              <w:t>MR-SIA coverage survey report narrative and power-point slides</w:t>
            </w:r>
            <w:r w:rsidRPr="00CD6A2D">
              <w:rPr>
                <w:b/>
              </w:rPr>
              <w:t>.</w:t>
            </w:r>
          </w:p>
        </w:tc>
      </w:tr>
      <w:tr w:rsidR="002E57E6" w:rsidRPr="00261FAC" w:rsidTr="008956F9">
        <w:trPr>
          <w:trHeight w:val="720"/>
        </w:trPr>
        <w:tc>
          <w:tcPr>
            <w:tcW w:w="10080" w:type="dxa"/>
            <w:tcBorders>
              <w:top w:val="nil"/>
              <w:bottom w:val="single" w:sz="4" w:space="0" w:color="auto"/>
            </w:tcBorders>
          </w:tcPr>
          <w:p w:rsidR="00B45FCA" w:rsidRPr="00BA19A8" w:rsidRDefault="000958CA" w:rsidP="00BA19A8">
            <w:pPr>
              <w:pStyle w:val="Paragraph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Qualification and</w:t>
            </w:r>
            <w:r w:rsidR="000A0BDF" w:rsidRPr="00BA19A8">
              <w:rPr>
                <w:rFonts w:ascii="Times New Roman" w:hAnsi="Times New Roman" w:cs="Times New Roman"/>
                <w:b/>
              </w:rPr>
              <w:t xml:space="preserve"> specialized knowledge/experience required for the assignment:</w:t>
            </w:r>
          </w:p>
          <w:p w:rsidR="007805A6" w:rsidRPr="00BA19A8" w:rsidRDefault="007805A6" w:rsidP="007805A6">
            <w:pPr>
              <w:shd w:val="clear" w:color="auto" w:fill="FFFFFF" w:themeFill="background1"/>
              <w:jc w:val="both"/>
              <w:rPr>
                <w:u w:val="single"/>
              </w:rPr>
            </w:pPr>
            <w:r w:rsidRPr="00BA19A8">
              <w:rPr>
                <w:u w:val="single"/>
              </w:rPr>
              <w:t>Minimum requirements for potential service provider</w:t>
            </w:r>
          </w:p>
          <w:p w:rsidR="00333C5C" w:rsidRDefault="00333C5C" w:rsidP="007805A6">
            <w:pPr>
              <w:shd w:val="clear" w:color="auto" w:fill="FFFFFF" w:themeFill="background1"/>
              <w:jc w:val="both"/>
            </w:pPr>
            <w:r>
              <w:t xml:space="preserve">Technical </w:t>
            </w:r>
            <w:r w:rsidR="005F79FB">
              <w:t>s</w:t>
            </w:r>
            <w:r>
              <w:t>kills and knowledge</w:t>
            </w:r>
          </w:p>
          <w:p w:rsidR="00333C5C" w:rsidRPr="00333C5C" w:rsidRDefault="00BA19A8" w:rsidP="00333C5C">
            <w:pPr>
              <w:numPr>
                <w:ilvl w:val="0"/>
                <w:numId w:val="32"/>
              </w:numPr>
              <w:shd w:val="clear" w:color="auto" w:fill="FFFFFF" w:themeFill="background1"/>
              <w:jc w:val="both"/>
            </w:pPr>
            <w:r w:rsidRPr="00333C5C">
              <w:t>Master’s</w:t>
            </w:r>
            <w:r w:rsidR="00333C5C" w:rsidRPr="00333C5C">
              <w:t xml:space="preserve"> degree or higher in </w:t>
            </w:r>
            <w:r>
              <w:t>public health</w:t>
            </w:r>
            <w:r w:rsidR="00333C5C" w:rsidRPr="00333C5C">
              <w:t xml:space="preserve">, monitoring &amp; evaluation, health or related fields. Additional qualification in biostatistics will be an asset. </w:t>
            </w:r>
          </w:p>
          <w:p w:rsidR="00333C5C" w:rsidRPr="00333C5C" w:rsidRDefault="00333C5C" w:rsidP="00333C5C">
            <w:pPr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 w:rsidRPr="00333C5C">
              <w:t xml:space="preserve">Experience in applying </w:t>
            </w:r>
            <w:r w:rsidR="000443DC">
              <w:t xml:space="preserve">2015 </w:t>
            </w:r>
            <w:r w:rsidRPr="00333C5C">
              <w:t xml:space="preserve">WHO vaccination coverage survey guidelines for SIA purposes. </w:t>
            </w:r>
          </w:p>
          <w:p w:rsidR="00333C5C" w:rsidRDefault="00333C5C" w:rsidP="00333C5C">
            <w:pPr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 w:rsidRPr="00333C5C">
              <w:t>Proficiency in the use of relevant statistical packages as well as Microsoft Office applications including Excel, Word and PowerPoint</w:t>
            </w:r>
            <w:r w:rsidR="005F79FB">
              <w:t>.</w:t>
            </w:r>
          </w:p>
          <w:p w:rsidR="00333C5C" w:rsidRPr="000958CA" w:rsidRDefault="00333C5C" w:rsidP="007805A6">
            <w:pPr>
              <w:shd w:val="clear" w:color="auto" w:fill="FFFFFF" w:themeFill="background1"/>
              <w:jc w:val="both"/>
              <w:rPr>
                <w:sz w:val="12"/>
                <w:szCs w:val="12"/>
              </w:rPr>
            </w:pPr>
          </w:p>
          <w:p w:rsidR="00333C5C" w:rsidRPr="00BA19A8" w:rsidRDefault="00333C5C" w:rsidP="007805A6">
            <w:pPr>
              <w:shd w:val="clear" w:color="auto" w:fill="FFFFFF" w:themeFill="background1"/>
              <w:jc w:val="both"/>
              <w:rPr>
                <w:u w:val="single"/>
              </w:rPr>
            </w:pPr>
            <w:r w:rsidRPr="00BA19A8">
              <w:rPr>
                <w:u w:val="single"/>
              </w:rPr>
              <w:t>Work experience</w:t>
            </w:r>
          </w:p>
          <w:p w:rsidR="00333C5C" w:rsidRDefault="00CC139E" w:rsidP="00922BB1">
            <w:pPr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>
              <w:t>At least 5 years and above of international professional experience in development/humanitarian assistance work</w:t>
            </w:r>
            <w:r w:rsidR="005F79FB">
              <w:t>.</w:t>
            </w:r>
          </w:p>
          <w:p w:rsidR="00CC139E" w:rsidRDefault="00CC139E" w:rsidP="00922BB1">
            <w:pPr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>
              <w:t xml:space="preserve">Previous work experience with United Nations agencies </w:t>
            </w:r>
            <w:r w:rsidR="00636E8E">
              <w:t>or other international organizations involved in global health</w:t>
            </w:r>
            <w:r>
              <w:t>.</w:t>
            </w:r>
          </w:p>
          <w:p w:rsidR="00983F79" w:rsidRDefault="00983F79" w:rsidP="00922BB1">
            <w:pPr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>
              <w:t>Experience in conducting training workshops and coordinating field data collection activities</w:t>
            </w:r>
            <w:r w:rsidR="005F79FB">
              <w:t>.</w:t>
            </w:r>
          </w:p>
          <w:p w:rsidR="00983F79" w:rsidRDefault="00983F79" w:rsidP="00922BB1">
            <w:pPr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>
              <w:t>Strong writing skills with proven track record of production of high quality analytical reports</w:t>
            </w:r>
            <w:r w:rsidR="005F79FB">
              <w:t>.</w:t>
            </w:r>
          </w:p>
          <w:p w:rsidR="00303F43" w:rsidRPr="000A0BDF" w:rsidRDefault="00983F79" w:rsidP="000958CA">
            <w:pPr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 w:rsidRPr="00983F79">
              <w:t>Knowledge of operational modalities of international organizations in the DPRK is desirable.</w:t>
            </w:r>
          </w:p>
        </w:tc>
      </w:tr>
      <w:tr w:rsidR="002D630B" w:rsidRPr="00261FAC" w:rsidTr="008956F9">
        <w:trPr>
          <w:trHeight w:val="226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2D630B" w:rsidRPr="00BA19A8" w:rsidRDefault="002D630B" w:rsidP="00BA19A8">
            <w:pPr>
              <w:pStyle w:val="Paragraph"/>
              <w:rPr>
                <w:rFonts w:ascii="Times New Roman" w:hAnsi="Times New Roman" w:cs="Times New Roman"/>
                <w:b/>
              </w:rPr>
            </w:pPr>
            <w:r w:rsidRPr="00BA19A8">
              <w:rPr>
                <w:rFonts w:ascii="Times New Roman" w:hAnsi="Times New Roman" w:cs="Times New Roman"/>
                <w:b/>
              </w:rPr>
              <w:t>Evaluation process</w:t>
            </w:r>
          </w:p>
          <w:p w:rsidR="002D630B" w:rsidRDefault="002D630B" w:rsidP="002D630B">
            <w:pPr>
              <w:pStyle w:val="Paragraph"/>
              <w:rPr>
                <w:rFonts w:asciiTheme="majorHAnsi" w:hAnsiTheme="majorHAnsi"/>
                <w:sz w:val="22"/>
                <w:szCs w:val="22"/>
              </w:rPr>
            </w:pPr>
            <w:r w:rsidRPr="00F01130">
              <w:rPr>
                <w:rFonts w:asciiTheme="majorHAnsi" w:hAnsiTheme="majorHAnsi"/>
                <w:sz w:val="22"/>
                <w:szCs w:val="22"/>
              </w:rPr>
              <w:t>Qualified candidates are requested to submit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their ex</w:t>
            </w:r>
            <w:r w:rsidR="00BA19A8">
              <w:rPr>
                <w:rFonts w:asciiTheme="majorHAnsi" w:hAnsiTheme="majorHAnsi"/>
                <w:sz w:val="22"/>
                <w:szCs w:val="22"/>
              </w:rPr>
              <w:t>pression of interest comprising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2D630B" w:rsidRDefault="002D630B" w:rsidP="00922BB1">
            <w:pPr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 w:rsidRPr="00922BB1">
              <w:t>An application cover letter</w:t>
            </w:r>
            <w:r w:rsidR="005F79FB">
              <w:t>.</w:t>
            </w:r>
          </w:p>
          <w:p w:rsidR="00CE2756" w:rsidRDefault="00CE2756" w:rsidP="00922BB1">
            <w:pPr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 w:rsidRPr="00922BB1">
              <w:t>S</w:t>
            </w:r>
            <w:r w:rsidR="002D630B" w:rsidRPr="00CE2756">
              <w:t>ample work</w:t>
            </w:r>
            <w:r w:rsidR="004751A1">
              <w:t>plan</w:t>
            </w:r>
            <w:r w:rsidR="002D630B" w:rsidRPr="00CE2756">
              <w:t>/</w:t>
            </w:r>
            <w:r w:rsidRPr="00922BB1">
              <w:t>methodology</w:t>
            </w:r>
            <w:r>
              <w:t xml:space="preserve"> for undertaking these term</w:t>
            </w:r>
            <w:r w:rsidR="004751A1">
              <w:t>s of reference as detailed above</w:t>
            </w:r>
            <w:r w:rsidR="00156709">
              <w:t xml:space="preserve"> with different strata scenarios</w:t>
            </w:r>
            <w:r w:rsidR="005F79FB">
              <w:t>.</w:t>
            </w:r>
          </w:p>
          <w:p w:rsidR="00CE2756" w:rsidRPr="00922BB1" w:rsidRDefault="00CE2756" w:rsidP="00922BB1">
            <w:pPr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>
              <w:t xml:space="preserve">A financial quote with break-down of daily </w:t>
            </w:r>
            <w:r w:rsidR="00212031">
              <w:t xml:space="preserve">professional </w:t>
            </w:r>
            <w:r>
              <w:t>rate</w:t>
            </w:r>
            <w:r w:rsidR="00212031">
              <w:t>, DSA</w:t>
            </w:r>
            <w:r>
              <w:t xml:space="preserve"> and travel costs in US dollar.</w:t>
            </w:r>
            <w:r w:rsidR="002D630B" w:rsidRPr="00CE2756">
              <w:t xml:space="preserve"> </w:t>
            </w:r>
          </w:p>
          <w:p w:rsidR="002D630B" w:rsidRDefault="00CE2756" w:rsidP="00922BB1">
            <w:pPr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 w:rsidRPr="00922BB1">
              <w:t xml:space="preserve">CV accompanied by samples of previous relevant work. </w:t>
            </w:r>
          </w:p>
          <w:p w:rsidR="00CE2756" w:rsidRDefault="00CE2756" w:rsidP="00922BB1">
            <w:pPr>
              <w:numPr>
                <w:ilvl w:val="0"/>
                <w:numId w:val="31"/>
              </w:numPr>
              <w:shd w:val="clear" w:color="auto" w:fill="FFFFFF" w:themeFill="background1"/>
              <w:jc w:val="both"/>
            </w:pPr>
            <w:r>
              <w:t>References</w:t>
            </w:r>
            <w:r w:rsidR="005F79FB">
              <w:t>.</w:t>
            </w:r>
          </w:p>
          <w:p w:rsidR="004751A1" w:rsidRPr="000958CA" w:rsidRDefault="004751A1" w:rsidP="00922BB1">
            <w:pPr>
              <w:shd w:val="clear" w:color="auto" w:fill="FFFFFF" w:themeFill="background1"/>
              <w:jc w:val="both"/>
              <w:rPr>
                <w:sz w:val="12"/>
                <w:szCs w:val="12"/>
              </w:rPr>
            </w:pPr>
          </w:p>
          <w:p w:rsidR="002D630B" w:rsidRPr="007F273D" w:rsidRDefault="004751A1" w:rsidP="000958CA">
            <w:pPr>
              <w:shd w:val="clear" w:color="auto" w:fill="FFFFFF" w:themeFill="background1"/>
              <w:jc w:val="both"/>
            </w:pPr>
            <w:r w:rsidRPr="00922BB1">
              <w:rPr>
                <w:b/>
              </w:rPr>
              <w:t>Note:</w:t>
            </w:r>
            <w:r w:rsidR="00FA0DC6">
              <w:t xml:space="preserve"> </w:t>
            </w:r>
            <w:r w:rsidR="00212031">
              <w:t>Transportation for travel within the DP</w:t>
            </w:r>
            <w:r w:rsidR="000958CA">
              <w:t>RK</w:t>
            </w:r>
            <w:r>
              <w:t xml:space="preserve"> will be arranged by UNICEF country office. No other remunerations apply. UNICEF considers best value for money criterion</w:t>
            </w:r>
            <w:r w:rsidR="009A340C">
              <w:t xml:space="preserve"> for evaluating potential </w:t>
            </w:r>
            <w:r w:rsidR="009A340C">
              <w:lastRenderedPageBreak/>
              <w:t>candidates. As a general principle, the fees payable to a consultant follow the “best value for money” principle, i.e. achieving the desired outcome at the lowest possible fee</w:t>
            </w:r>
            <w:r w:rsidR="000958CA">
              <w:t>.</w:t>
            </w:r>
            <w:r>
              <w:t xml:space="preserve"> </w:t>
            </w:r>
          </w:p>
        </w:tc>
      </w:tr>
      <w:tr w:rsidR="008956F9" w:rsidRPr="00261FAC" w:rsidTr="008956F9">
        <w:trPr>
          <w:trHeight w:val="226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C766CE" w:rsidRPr="005D3727" w:rsidRDefault="00C766CE" w:rsidP="00725234">
            <w:pPr>
              <w:pStyle w:val="Paragraph"/>
              <w:rPr>
                <w:rFonts w:ascii="Times New Roman" w:hAnsi="Times New Roman" w:cs="Times New Roman"/>
              </w:rPr>
            </w:pPr>
          </w:p>
        </w:tc>
      </w:tr>
      <w:tr w:rsidR="002E57E6" w:rsidRPr="00261FAC" w:rsidTr="00E70AF8">
        <w:trPr>
          <w:trHeight w:val="1923"/>
        </w:trPr>
        <w:tc>
          <w:tcPr>
            <w:tcW w:w="10080" w:type="dxa"/>
          </w:tcPr>
          <w:p w:rsidR="00E70AF8" w:rsidRPr="00BA19A8" w:rsidRDefault="00E70AF8" w:rsidP="00BA19A8">
            <w:pPr>
              <w:pStyle w:val="Paragraph"/>
              <w:rPr>
                <w:rFonts w:ascii="Times New Roman" w:hAnsi="Times New Roman" w:cs="Times New Roman"/>
                <w:b/>
              </w:rPr>
            </w:pPr>
            <w:r w:rsidRPr="00BA19A8">
              <w:rPr>
                <w:rFonts w:ascii="Times New Roman" w:hAnsi="Times New Roman" w:cs="Times New Roman"/>
                <w:b/>
              </w:rPr>
              <w:t>Conditions:</w:t>
            </w:r>
          </w:p>
          <w:p w:rsidR="007805A6" w:rsidRDefault="007805A6" w:rsidP="007805A6">
            <w:pPr>
              <w:shd w:val="clear" w:color="auto" w:fill="FFFFFF" w:themeFill="background1"/>
              <w:jc w:val="both"/>
            </w:pPr>
            <w:r>
              <w:t xml:space="preserve">UNICEF will call </w:t>
            </w:r>
            <w:r w:rsidR="00BF0E6C">
              <w:t>consultants to submit expressions of interest</w:t>
            </w:r>
            <w:r>
              <w:t xml:space="preserve"> and will contract after selection of the best </w:t>
            </w:r>
            <w:r w:rsidR="00BF0E6C">
              <w:t>application</w:t>
            </w:r>
            <w:r>
              <w:t xml:space="preserve">. Selection process will consider the “best </w:t>
            </w:r>
            <w:r w:rsidR="00BF0E6C">
              <w:t>demonstrable technical expertise and experience”</w:t>
            </w:r>
            <w:r>
              <w:t>.</w:t>
            </w:r>
          </w:p>
          <w:p w:rsidR="007805A6" w:rsidRDefault="007805A6" w:rsidP="000958CA">
            <w:pPr>
              <w:shd w:val="clear" w:color="auto" w:fill="FFFFFF" w:themeFill="background1"/>
              <w:jc w:val="both"/>
            </w:pPr>
            <w:r>
              <w:t>UNICEF contract will be a legal document to regulate the contract conditions</w:t>
            </w:r>
            <w:r w:rsidR="0001544A">
              <w:t>.</w:t>
            </w:r>
          </w:p>
          <w:p w:rsidR="000958CA" w:rsidRPr="000958CA" w:rsidRDefault="000958CA" w:rsidP="000958CA">
            <w:pPr>
              <w:shd w:val="clear" w:color="auto" w:fill="FFFFFF" w:themeFill="background1"/>
              <w:jc w:val="both"/>
              <w:rPr>
                <w:sz w:val="12"/>
                <w:szCs w:val="12"/>
              </w:rPr>
            </w:pPr>
          </w:p>
          <w:p w:rsidR="00B45FCA" w:rsidRPr="00B4606A" w:rsidRDefault="00B45FCA" w:rsidP="00B45FCA">
            <w:pPr>
              <w:shd w:val="clear" w:color="auto" w:fill="FFFFFF" w:themeFill="background1"/>
              <w:jc w:val="both"/>
              <w:rPr>
                <w:b/>
              </w:rPr>
            </w:pPr>
            <w:r w:rsidRPr="00B4606A">
              <w:rPr>
                <w:b/>
              </w:rPr>
              <w:t>Payment modality</w:t>
            </w:r>
          </w:p>
          <w:p w:rsidR="008534FE" w:rsidRPr="00E70AF8" w:rsidRDefault="00B96CB7" w:rsidP="007805A6">
            <w:pPr>
              <w:shd w:val="clear" w:color="auto" w:fill="FFFFFF" w:themeFill="background1"/>
              <w:jc w:val="both"/>
            </w:pPr>
            <w:r>
              <w:t>100%</w:t>
            </w:r>
            <w:r w:rsidR="00B45FCA">
              <w:t xml:space="preserve"> payment will </w:t>
            </w:r>
            <w:r>
              <w:t xml:space="preserve">be completed based on submission of </w:t>
            </w:r>
            <w:r w:rsidR="00FF14ED">
              <w:t xml:space="preserve">all </w:t>
            </w:r>
            <w:r>
              <w:t>deliverables</w:t>
            </w:r>
            <w:r w:rsidR="00B45FCA">
              <w:t xml:space="preserve">, after acceptance and approval of the </w:t>
            </w:r>
            <w:proofErr w:type="spellStart"/>
            <w:r w:rsidR="00B45FCA">
              <w:t>MoPH</w:t>
            </w:r>
            <w:proofErr w:type="spellEnd"/>
            <w:r w:rsidR="00B45FCA">
              <w:t xml:space="preserve"> </w:t>
            </w:r>
            <w:r w:rsidR="007D08EC">
              <w:t>EPI</w:t>
            </w:r>
            <w:r w:rsidR="00B45FCA">
              <w:t xml:space="preserve"> department</w:t>
            </w:r>
            <w:r w:rsidR="00935677">
              <w:t>,</w:t>
            </w:r>
            <w:r w:rsidR="00B45FCA">
              <w:t xml:space="preserve"> i.e. retrospectively. UNICEF has rights to withhold any payment if quality of the product will not meet required standards and/or the </w:t>
            </w:r>
            <w:proofErr w:type="spellStart"/>
            <w:r w:rsidR="00B45FCA">
              <w:t>MoPH</w:t>
            </w:r>
            <w:proofErr w:type="spellEnd"/>
            <w:r w:rsidR="00B45FCA">
              <w:t xml:space="preserve"> will not be satisfied with the </w:t>
            </w:r>
            <w:r w:rsidR="007D08EC">
              <w:t>final deliverable</w:t>
            </w:r>
            <w:r w:rsidR="00B45FCA">
              <w:t>.</w:t>
            </w:r>
          </w:p>
        </w:tc>
      </w:tr>
      <w:tr w:rsidR="00E70AF8" w:rsidRPr="00261FAC" w:rsidTr="00037906">
        <w:trPr>
          <w:trHeight w:val="274"/>
        </w:trPr>
        <w:tc>
          <w:tcPr>
            <w:tcW w:w="10080" w:type="dxa"/>
          </w:tcPr>
          <w:p w:rsidR="00E70AF8" w:rsidRPr="00BA19A8" w:rsidRDefault="00E70AF8" w:rsidP="00BA19A8">
            <w:pPr>
              <w:pStyle w:val="Paragraph"/>
              <w:rPr>
                <w:rFonts w:ascii="Times New Roman" w:hAnsi="Times New Roman" w:cs="Times New Roman"/>
                <w:b/>
              </w:rPr>
            </w:pPr>
            <w:r w:rsidRPr="00BA19A8">
              <w:rPr>
                <w:rFonts w:ascii="Times New Roman" w:hAnsi="Times New Roman" w:cs="Times New Roman"/>
                <w:b/>
              </w:rPr>
              <w:t>Nature of Penalty Clause to be stipulated in the contract:</w:t>
            </w:r>
          </w:p>
          <w:p w:rsidR="00117DC6" w:rsidRDefault="00E70AF8" w:rsidP="00117DC6">
            <w:pPr>
              <w:shd w:val="clear" w:color="auto" w:fill="FFFFFF" w:themeFill="background1"/>
              <w:spacing w:after="160"/>
              <w:jc w:val="both"/>
            </w:pPr>
            <w:r w:rsidRPr="00B3082E">
              <w:t xml:space="preserve">• </w:t>
            </w:r>
            <w:r w:rsidR="00117DC6">
              <w:t>UNICEF reserves the right to withhold all or a portion of payment if performance is unsatisfactory, if work/outputs is incomplete, not delivered or for failure to meet deadlines</w:t>
            </w:r>
            <w:r w:rsidR="00965747">
              <w:t>.</w:t>
            </w:r>
          </w:p>
          <w:p w:rsidR="00117DC6" w:rsidRDefault="00117DC6" w:rsidP="00117DC6">
            <w:pPr>
              <w:shd w:val="clear" w:color="auto" w:fill="FFFFFF" w:themeFill="background1"/>
              <w:spacing w:after="160"/>
              <w:jc w:val="both"/>
            </w:pPr>
            <w:r w:rsidRPr="00B3082E">
              <w:t xml:space="preserve">• </w:t>
            </w:r>
            <w:r>
              <w:t xml:space="preserve">Without limiting any other rights or obligations of the parties hereunder, if the </w:t>
            </w:r>
            <w:r w:rsidR="007D08EC">
              <w:t>consultant</w:t>
            </w:r>
            <w:r>
              <w:t xml:space="preserve"> will be unable to deliver the work or services by the delivery date stipulated in the Contract, the </w:t>
            </w:r>
            <w:r w:rsidR="007D08EC">
              <w:t>consultant</w:t>
            </w:r>
            <w:r>
              <w:t xml:space="preserve"> shall (</w:t>
            </w:r>
            <w:proofErr w:type="spellStart"/>
            <w:r>
              <w:t>i</w:t>
            </w:r>
            <w:proofErr w:type="spellEnd"/>
            <w:r>
              <w:t xml:space="preserve">) immediately consult with UNICEF to determine the most expeditious means for delivering the work or services and (ii) use an expedited means of delivery, at the </w:t>
            </w:r>
            <w:r w:rsidR="007D08EC">
              <w:t>consultant</w:t>
            </w:r>
            <w:r w:rsidR="0001544A">
              <w:t>’</w:t>
            </w:r>
            <w:r w:rsidR="007D08EC">
              <w:t>s</w:t>
            </w:r>
            <w:r>
              <w:t xml:space="preserve"> cost, if reasonably so requested by UN</w:t>
            </w:r>
            <w:r w:rsidR="0001544A">
              <w:t>I</w:t>
            </w:r>
            <w:r>
              <w:t>CEF</w:t>
            </w:r>
            <w:r w:rsidR="0001544A">
              <w:t>.</w:t>
            </w:r>
          </w:p>
          <w:p w:rsidR="00E70AF8" w:rsidRPr="00B3082E" w:rsidRDefault="00117DC6" w:rsidP="00117DC6">
            <w:pPr>
              <w:shd w:val="clear" w:color="auto" w:fill="FFFFFF" w:themeFill="background1"/>
              <w:spacing w:after="160"/>
              <w:jc w:val="both"/>
            </w:pPr>
            <w:r w:rsidRPr="00B3082E">
              <w:t xml:space="preserve">• </w:t>
            </w:r>
            <w:r>
              <w:t xml:space="preserve">If the </w:t>
            </w:r>
            <w:r w:rsidR="007D08EC">
              <w:t>consultant</w:t>
            </w:r>
            <w:r>
              <w:t xml:space="preserve"> fails to complete the </w:t>
            </w:r>
            <w:r w:rsidR="007D08EC">
              <w:t>w</w:t>
            </w:r>
            <w:r>
              <w:t xml:space="preserve">orks in accordance with the dates stipulated in the </w:t>
            </w:r>
            <w:r w:rsidR="007D08EC">
              <w:t>c</w:t>
            </w:r>
            <w:r>
              <w:t xml:space="preserve">ontract with a grace period of 5 (five) days, UNICEF shall have the right to deduct from any payment due to the </w:t>
            </w:r>
            <w:r w:rsidR="007D08EC">
              <w:t>consultant</w:t>
            </w:r>
            <w:r>
              <w:t xml:space="preserve"> the amount of one tenth of a per cent (0.1 %) of the </w:t>
            </w:r>
            <w:r w:rsidR="007D08EC">
              <w:t>c</w:t>
            </w:r>
            <w:r>
              <w:t xml:space="preserve">ontract </w:t>
            </w:r>
            <w:r w:rsidR="007D08EC">
              <w:t>p</w:t>
            </w:r>
            <w:r>
              <w:t xml:space="preserve">rice per day of delay up to a maximum of ten per cent (10%) of the </w:t>
            </w:r>
            <w:r w:rsidR="007D08EC">
              <w:t>c</w:t>
            </w:r>
            <w:r>
              <w:t xml:space="preserve">ontract </w:t>
            </w:r>
            <w:r w:rsidR="007D08EC">
              <w:t>p</w:t>
            </w:r>
            <w:r>
              <w:t>rice</w:t>
            </w:r>
            <w:r w:rsidR="007D08EC">
              <w:t>; except when such delays are agreed as necessary and included in an approved extension of implementation period</w:t>
            </w:r>
            <w:r>
              <w:t xml:space="preserve">. These liquidated damages shall not relieve the </w:t>
            </w:r>
            <w:r w:rsidR="007D08EC">
              <w:t>consultant</w:t>
            </w:r>
            <w:r>
              <w:t xml:space="preserve"> of </w:t>
            </w:r>
            <w:r w:rsidR="007D08EC">
              <w:t>t</w:t>
            </w:r>
            <w:r>
              <w:t>h</w:t>
            </w:r>
            <w:r w:rsidR="007D08EC">
              <w:t>eir</w:t>
            </w:r>
            <w:r>
              <w:t xml:space="preserve"> obligations or responsibilities that </w:t>
            </w:r>
            <w:r w:rsidR="007D08EC">
              <w:t>they</w:t>
            </w:r>
            <w:r>
              <w:t xml:space="preserve"> may have under the </w:t>
            </w:r>
            <w:r w:rsidR="007D08EC">
              <w:t>c</w:t>
            </w:r>
            <w:r>
              <w:t>ontract.</w:t>
            </w:r>
          </w:p>
        </w:tc>
      </w:tr>
    </w:tbl>
    <w:p w:rsidR="00A31F71" w:rsidRPr="00261FAC" w:rsidRDefault="00A31F71" w:rsidP="00C94BF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hanging="1170"/>
        <w:jc w:val="both"/>
      </w:pPr>
    </w:p>
    <w:p w:rsidR="00194900" w:rsidRPr="00261FAC" w:rsidRDefault="00194900" w:rsidP="00C94BF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hanging="1170"/>
        <w:jc w:val="both"/>
      </w:pPr>
    </w:p>
    <w:p w:rsidR="00194900" w:rsidRPr="00261FAC" w:rsidRDefault="00194900" w:rsidP="00C94BF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hanging="1170"/>
        <w:jc w:val="both"/>
      </w:pPr>
      <w:bookmarkStart w:id="0" w:name="_GoBack"/>
      <w:bookmarkEnd w:id="0"/>
    </w:p>
    <w:sectPr w:rsidR="00194900" w:rsidRPr="00261FAC" w:rsidSect="00B83B48">
      <w:headerReference w:type="default" r:id="rId11"/>
      <w:footerReference w:type="default" r:id="rId12"/>
      <w:pgSz w:w="11907" w:h="16839" w:code="9"/>
      <w:pgMar w:top="540" w:right="477" w:bottom="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90C" w:rsidRDefault="0041790C">
      <w:r>
        <w:separator/>
      </w:r>
    </w:p>
  </w:endnote>
  <w:endnote w:type="continuationSeparator" w:id="0">
    <w:p w:rsidR="0041790C" w:rsidRDefault="0041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50" w:type="dxa"/>
      <w:tblInd w:w="-1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0"/>
      <w:gridCol w:w="1170"/>
    </w:tblGrid>
    <w:tr w:rsidR="00E56553" w:rsidRPr="002C1081" w:rsidTr="007D3F44">
      <w:tc>
        <w:tcPr>
          <w:tcW w:w="10080" w:type="dxa"/>
        </w:tcPr>
        <w:p w:rsidR="00E56553" w:rsidRPr="00753861" w:rsidRDefault="00E56553" w:rsidP="002C1081">
          <w:pPr>
            <w:pStyle w:val="Footer"/>
            <w:rPr>
              <w:color w:val="999999"/>
              <w:sz w:val="16"/>
              <w:szCs w:val="16"/>
              <w:lang w:val="fr-FR"/>
            </w:rPr>
          </w:pPr>
        </w:p>
      </w:tc>
      <w:tc>
        <w:tcPr>
          <w:tcW w:w="1170" w:type="dxa"/>
        </w:tcPr>
        <w:p w:rsidR="00E56553" w:rsidRPr="002C1081" w:rsidRDefault="00E56553" w:rsidP="002C1081">
          <w:pPr>
            <w:pStyle w:val="Footer"/>
            <w:jc w:val="right"/>
            <w:rPr>
              <w:color w:val="999999"/>
              <w:sz w:val="20"/>
              <w:szCs w:val="20"/>
            </w:rPr>
          </w:pPr>
          <w:r w:rsidRPr="002C1081">
            <w:rPr>
              <w:color w:val="999999"/>
              <w:sz w:val="20"/>
              <w:szCs w:val="20"/>
            </w:rPr>
            <w:t xml:space="preserve">Page </w:t>
          </w:r>
          <w:r w:rsidRPr="002C1081">
            <w:rPr>
              <w:rStyle w:val="PageNumber"/>
              <w:color w:val="999999"/>
              <w:sz w:val="20"/>
              <w:szCs w:val="20"/>
            </w:rPr>
            <w:fldChar w:fldCharType="begin"/>
          </w:r>
          <w:r w:rsidRPr="002C1081">
            <w:rPr>
              <w:rStyle w:val="PageNumber"/>
              <w:color w:val="999999"/>
              <w:sz w:val="20"/>
              <w:szCs w:val="20"/>
            </w:rPr>
            <w:instrText xml:space="preserve"> PAGE </w:instrText>
          </w:r>
          <w:r w:rsidRPr="002C1081">
            <w:rPr>
              <w:rStyle w:val="PageNumber"/>
              <w:color w:val="999999"/>
              <w:sz w:val="20"/>
              <w:szCs w:val="20"/>
            </w:rPr>
            <w:fldChar w:fldCharType="separate"/>
          </w:r>
          <w:r w:rsidR="00E56676">
            <w:rPr>
              <w:rStyle w:val="PageNumber"/>
              <w:noProof/>
              <w:color w:val="999999"/>
              <w:sz w:val="20"/>
              <w:szCs w:val="20"/>
            </w:rPr>
            <w:t>3</w:t>
          </w:r>
          <w:r w:rsidRPr="002C1081">
            <w:rPr>
              <w:rStyle w:val="PageNumber"/>
              <w:color w:val="999999"/>
              <w:sz w:val="20"/>
              <w:szCs w:val="20"/>
            </w:rPr>
            <w:fldChar w:fldCharType="end"/>
          </w:r>
          <w:r w:rsidRPr="002C1081">
            <w:rPr>
              <w:rStyle w:val="PageNumber"/>
              <w:color w:val="999999"/>
              <w:sz w:val="20"/>
              <w:szCs w:val="20"/>
            </w:rPr>
            <w:t xml:space="preserve"> of </w:t>
          </w:r>
          <w:r w:rsidRPr="002C1081">
            <w:rPr>
              <w:rStyle w:val="PageNumber"/>
              <w:color w:val="999999"/>
              <w:sz w:val="20"/>
              <w:szCs w:val="20"/>
            </w:rPr>
            <w:fldChar w:fldCharType="begin"/>
          </w:r>
          <w:r w:rsidRPr="002C1081">
            <w:rPr>
              <w:rStyle w:val="PageNumber"/>
              <w:color w:val="999999"/>
              <w:sz w:val="20"/>
              <w:szCs w:val="20"/>
            </w:rPr>
            <w:instrText xml:space="preserve"> NUMPAGES </w:instrText>
          </w:r>
          <w:r w:rsidRPr="002C1081">
            <w:rPr>
              <w:rStyle w:val="PageNumber"/>
              <w:color w:val="999999"/>
              <w:sz w:val="20"/>
              <w:szCs w:val="20"/>
            </w:rPr>
            <w:fldChar w:fldCharType="separate"/>
          </w:r>
          <w:r w:rsidR="00E56676">
            <w:rPr>
              <w:rStyle w:val="PageNumber"/>
              <w:noProof/>
              <w:color w:val="999999"/>
              <w:sz w:val="20"/>
              <w:szCs w:val="20"/>
            </w:rPr>
            <w:t>3</w:t>
          </w:r>
          <w:r w:rsidRPr="002C1081">
            <w:rPr>
              <w:rStyle w:val="PageNumber"/>
              <w:color w:val="999999"/>
              <w:sz w:val="20"/>
              <w:szCs w:val="20"/>
            </w:rPr>
            <w:fldChar w:fldCharType="end"/>
          </w:r>
        </w:p>
      </w:tc>
    </w:tr>
  </w:tbl>
  <w:p w:rsidR="00E56553" w:rsidRPr="002C1081" w:rsidRDefault="00E56553" w:rsidP="002C1081">
    <w:pPr>
      <w:pStyle w:val="Footer"/>
      <w:jc w:val="center"/>
      <w:rPr>
        <w:rFonts w:ascii="Arial" w:hAnsi="Arial" w:cs="Arial"/>
        <w:color w:val="999999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90C" w:rsidRDefault="0041790C">
      <w:r>
        <w:separator/>
      </w:r>
    </w:p>
  </w:footnote>
  <w:footnote w:type="continuationSeparator" w:id="0">
    <w:p w:rsidR="0041790C" w:rsidRDefault="0041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553" w:rsidRDefault="00E56553" w:rsidP="00881B7A">
    <w:r>
      <w:rPr>
        <w:noProof/>
        <w:sz w:val="44"/>
        <w:lang w:eastAsia="ko-KR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F0AB2CD" wp14:editId="687A381D">
              <wp:simplePos x="0" y="0"/>
              <wp:positionH relativeFrom="column">
                <wp:posOffset>-914400</wp:posOffset>
              </wp:positionH>
              <wp:positionV relativeFrom="page">
                <wp:posOffset>0</wp:posOffset>
              </wp:positionV>
              <wp:extent cx="7860030" cy="1133475"/>
              <wp:effectExtent l="0" t="0" r="7620" b="9525"/>
              <wp:wrapThrough wrapText="bothSides">
                <wp:wrapPolygon edited="0">
                  <wp:start x="0" y="0"/>
                  <wp:lineTo x="0" y="21418"/>
                  <wp:lineTo x="21569" y="21418"/>
                  <wp:lineTo x="21569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0030" cy="1133475"/>
                      </a:xfrm>
                      <a:prstGeom prst="rect">
                        <a:avLst/>
                      </a:prstGeom>
                      <a:solidFill>
                        <a:srgbClr val="0099F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553" w:rsidRDefault="00E56553" w:rsidP="00881B7A"/>
                        <w:p w:rsidR="00E56553" w:rsidRDefault="00E56553" w:rsidP="00881B7A"/>
                        <w:p w:rsidR="00E56553" w:rsidRDefault="00E56553" w:rsidP="00881B7A">
                          <w:pPr>
                            <w:ind w:right="420"/>
                            <w:jc w:val="center"/>
                          </w:pPr>
                          <w:r w:rsidRPr="00881B7A">
                            <w:rPr>
                              <w:noProof/>
                              <w:lang w:eastAsia="ko-KR"/>
                            </w:rPr>
                            <w:drawing>
                              <wp:inline distT="0" distB="0" distL="0" distR="0" wp14:anchorId="59C9E368" wp14:editId="3125FC47">
                                <wp:extent cx="6180310" cy="333375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Unite_2lines_Eng_Wh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62084" cy="3377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AB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in;margin-top:0;width:618.9pt;height:8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" fillcolor="#0099fe" stroked="f">
              <v:textbox>
                <w:txbxContent>
                  <w:p w:rsidR="00E56553" w:rsidRDefault="00E56553" w:rsidP="00881B7A"/>
                  <w:p w:rsidR="00E56553" w:rsidRDefault="00E56553" w:rsidP="00881B7A"/>
                  <w:p w:rsidR="00E56553" w:rsidRDefault="00E56553" w:rsidP="00881B7A">
                    <w:pPr>
                      <w:ind w:right="420"/>
                      <w:jc w:val="center"/>
                    </w:pPr>
                    <w:r w:rsidRPr="00881B7A">
                      <w:rPr>
                        <w:noProof/>
                        <w:lang w:eastAsia="ko-KR"/>
                      </w:rPr>
                      <w:drawing>
                        <wp:inline distT="0" distB="0" distL="0" distR="0" wp14:anchorId="59C9E368" wp14:editId="3125FC47">
                          <wp:extent cx="6180310" cy="333375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Unite_2lines_Eng_Wh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62084" cy="3377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7C9"/>
    <w:multiLevelType w:val="hybridMultilevel"/>
    <w:tmpl w:val="D02843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F660E"/>
    <w:multiLevelType w:val="hybridMultilevel"/>
    <w:tmpl w:val="DE0040D4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084F649E"/>
    <w:multiLevelType w:val="hybridMultilevel"/>
    <w:tmpl w:val="94B4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7B4D"/>
    <w:multiLevelType w:val="hybridMultilevel"/>
    <w:tmpl w:val="2A40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040E"/>
    <w:multiLevelType w:val="hybridMultilevel"/>
    <w:tmpl w:val="E0AE2B28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A68AA"/>
    <w:multiLevelType w:val="hybridMultilevel"/>
    <w:tmpl w:val="CBB8C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001D4"/>
    <w:multiLevelType w:val="hybridMultilevel"/>
    <w:tmpl w:val="CE680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0271"/>
    <w:multiLevelType w:val="hybridMultilevel"/>
    <w:tmpl w:val="9522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82D66"/>
    <w:multiLevelType w:val="hybridMultilevel"/>
    <w:tmpl w:val="5F523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50499"/>
    <w:multiLevelType w:val="hybridMultilevel"/>
    <w:tmpl w:val="05921C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96264"/>
    <w:multiLevelType w:val="hybridMultilevel"/>
    <w:tmpl w:val="D5C80B6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A5D61E5"/>
    <w:multiLevelType w:val="hybridMultilevel"/>
    <w:tmpl w:val="BFC6C6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A6478D6"/>
    <w:multiLevelType w:val="hybridMultilevel"/>
    <w:tmpl w:val="E50C7F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322FF"/>
    <w:multiLevelType w:val="hybridMultilevel"/>
    <w:tmpl w:val="A7FE67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8C"/>
    <w:multiLevelType w:val="multilevel"/>
    <w:tmpl w:val="CAAC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122FA"/>
    <w:multiLevelType w:val="hybridMultilevel"/>
    <w:tmpl w:val="27961C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71B05"/>
    <w:multiLevelType w:val="multilevel"/>
    <w:tmpl w:val="358C86A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23B7B"/>
    <w:multiLevelType w:val="hybridMultilevel"/>
    <w:tmpl w:val="630C2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55DD6"/>
    <w:multiLevelType w:val="hybridMultilevel"/>
    <w:tmpl w:val="4A449138"/>
    <w:lvl w:ilvl="0" w:tplc="0B4CC8C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43E7"/>
    <w:multiLevelType w:val="hybridMultilevel"/>
    <w:tmpl w:val="F60E3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527BB"/>
    <w:multiLevelType w:val="hybridMultilevel"/>
    <w:tmpl w:val="6A40882A"/>
    <w:lvl w:ilvl="0" w:tplc="EEACC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22589"/>
    <w:multiLevelType w:val="hybridMultilevel"/>
    <w:tmpl w:val="4C805F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4631A"/>
    <w:multiLevelType w:val="hybridMultilevel"/>
    <w:tmpl w:val="6538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B01CB"/>
    <w:multiLevelType w:val="hybridMultilevel"/>
    <w:tmpl w:val="F34EA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F421DB"/>
    <w:multiLevelType w:val="hybridMultilevel"/>
    <w:tmpl w:val="432E86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4AA03E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DE4EFA"/>
    <w:multiLevelType w:val="hybridMultilevel"/>
    <w:tmpl w:val="D6FC3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81068"/>
    <w:multiLevelType w:val="hybridMultilevel"/>
    <w:tmpl w:val="32F090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B4CC8C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A3CD7"/>
    <w:multiLevelType w:val="hybridMultilevel"/>
    <w:tmpl w:val="96EA37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D6E40"/>
    <w:multiLevelType w:val="hybridMultilevel"/>
    <w:tmpl w:val="705E42E2"/>
    <w:lvl w:ilvl="0" w:tplc="8EC6A5C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A123C"/>
    <w:multiLevelType w:val="hybridMultilevel"/>
    <w:tmpl w:val="95C07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12DC5"/>
    <w:multiLevelType w:val="hybridMultilevel"/>
    <w:tmpl w:val="0B725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90DA3"/>
    <w:multiLevelType w:val="hybridMultilevel"/>
    <w:tmpl w:val="C9463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1"/>
  </w:num>
  <w:num w:numId="5">
    <w:abstractNumId w:val="24"/>
  </w:num>
  <w:num w:numId="6">
    <w:abstractNumId w:val="11"/>
  </w:num>
  <w:num w:numId="7">
    <w:abstractNumId w:val="32"/>
  </w:num>
  <w:num w:numId="8">
    <w:abstractNumId w:val="23"/>
  </w:num>
  <w:num w:numId="9">
    <w:abstractNumId w:val="2"/>
  </w:num>
  <w:num w:numId="10">
    <w:abstractNumId w:val="29"/>
  </w:num>
  <w:num w:numId="11">
    <w:abstractNumId w:val="1"/>
  </w:num>
  <w:num w:numId="12">
    <w:abstractNumId w:val="0"/>
  </w:num>
  <w:num w:numId="13">
    <w:abstractNumId w:val="20"/>
  </w:num>
  <w:num w:numId="14">
    <w:abstractNumId w:val="8"/>
  </w:num>
  <w:num w:numId="15">
    <w:abstractNumId w:val="13"/>
  </w:num>
  <w:num w:numId="16">
    <w:abstractNumId w:val="16"/>
  </w:num>
  <w:num w:numId="17">
    <w:abstractNumId w:val="4"/>
  </w:num>
  <w:num w:numId="18">
    <w:abstractNumId w:val="31"/>
  </w:num>
  <w:num w:numId="19">
    <w:abstractNumId w:val="22"/>
  </w:num>
  <w:num w:numId="20">
    <w:abstractNumId w:val="6"/>
  </w:num>
  <w:num w:numId="21">
    <w:abstractNumId w:val="9"/>
  </w:num>
  <w:num w:numId="22">
    <w:abstractNumId w:val="18"/>
  </w:num>
  <w:num w:numId="23">
    <w:abstractNumId w:val="27"/>
  </w:num>
  <w:num w:numId="24">
    <w:abstractNumId w:val="3"/>
  </w:num>
  <w:num w:numId="25">
    <w:abstractNumId w:val="19"/>
  </w:num>
  <w:num w:numId="26">
    <w:abstractNumId w:val="7"/>
  </w:num>
  <w:num w:numId="27">
    <w:abstractNumId w:val="25"/>
  </w:num>
  <w:num w:numId="28">
    <w:abstractNumId w:val="28"/>
  </w:num>
  <w:num w:numId="29">
    <w:abstractNumId w:val="12"/>
  </w:num>
  <w:num w:numId="30">
    <w:abstractNumId w:val="10"/>
  </w:num>
  <w:num w:numId="31">
    <w:abstractNumId w:val="5"/>
  </w:num>
  <w:num w:numId="32">
    <w:abstractNumId w:val="30"/>
  </w:num>
  <w:num w:numId="33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48"/>
    <w:rsid w:val="0000125E"/>
    <w:rsid w:val="000028BA"/>
    <w:rsid w:val="000067AC"/>
    <w:rsid w:val="000105EB"/>
    <w:rsid w:val="00012CB4"/>
    <w:rsid w:val="00013F4C"/>
    <w:rsid w:val="000141B8"/>
    <w:rsid w:val="0001544A"/>
    <w:rsid w:val="000160FA"/>
    <w:rsid w:val="00022DBD"/>
    <w:rsid w:val="000241A2"/>
    <w:rsid w:val="00032A22"/>
    <w:rsid w:val="00037906"/>
    <w:rsid w:val="000401E1"/>
    <w:rsid w:val="00040CB6"/>
    <w:rsid w:val="000443DC"/>
    <w:rsid w:val="000548DE"/>
    <w:rsid w:val="00056BDD"/>
    <w:rsid w:val="0007403F"/>
    <w:rsid w:val="00074804"/>
    <w:rsid w:val="000756ED"/>
    <w:rsid w:val="00076C19"/>
    <w:rsid w:val="000802C8"/>
    <w:rsid w:val="00080393"/>
    <w:rsid w:val="00084230"/>
    <w:rsid w:val="0009515D"/>
    <w:rsid w:val="000958CA"/>
    <w:rsid w:val="000A0BDF"/>
    <w:rsid w:val="000A10AA"/>
    <w:rsid w:val="000A1D1A"/>
    <w:rsid w:val="000A4911"/>
    <w:rsid w:val="000A68F4"/>
    <w:rsid w:val="000B3D5B"/>
    <w:rsid w:val="000C12AB"/>
    <w:rsid w:val="000C3CC9"/>
    <w:rsid w:val="000C5F06"/>
    <w:rsid w:val="000D286E"/>
    <w:rsid w:val="0010598C"/>
    <w:rsid w:val="001121BF"/>
    <w:rsid w:val="00117A73"/>
    <w:rsid w:val="00117DC6"/>
    <w:rsid w:val="00117F84"/>
    <w:rsid w:val="001227FD"/>
    <w:rsid w:val="00124D81"/>
    <w:rsid w:val="001268CD"/>
    <w:rsid w:val="00127089"/>
    <w:rsid w:val="00127886"/>
    <w:rsid w:val="001317B0"/>
    <w:rsid w:val="00132528"/>
    <w:rsid w:val="00132C47"/>
    <w:rsid w:val="001341C9"/>
    <w:rsid w:val="00137FAE"/>
    <w:rsid w:val="00142F74"/>
    <w:rsid w:val="00145D36"/>
    <w:rsid w:val="001479C9"/>
    <w:rsid w:val="00151BD9"/>
    <w:rsid w:val="00152742"/>
    <w:rsid w:val="00156709"/>
    <w:rsid w:val="00166DF7"/>
    <w:rsid w:val="00170AB7"/>
    <w:rsid w:val="00176244"/>
    <w:rsid w:val="0017777A"/>
    <w:rsid w:val="001844AA"/>
    <w:rsid w:val="00190690"/>
    <w:rsid w:val="00194900"/>
    <w:rsid w:val="001A04AB"/>
    <w:rsid w:val="001A2784"/>
    <w:rsid w:val="001A2AB5"/>
    <w:rsid w:val="001A3389"/>
    <w:rsid w:val="001A3931"/>
    <w:rsid w:val="001A68F3"/>
    <w:rsid w:val="001B5D0C"/>
    <w:rsid w:val="001C5DBA"/>
    <w:rsid w:val="001D5258"/>
    <w:rsid w:val="001D6977"/>
    <w:rsid w:val="001D728A"/>
    <w:rsid w:val="001E1C53"/>
    <w:rsid w:val="001E1D0D"/>
    <w:rsid w:val="001E34FF"/>
    <w:rsid w:val="001F1617"/>
    <w:rsid w:val="001F21F5"/>
    <w:rsid w:val="001F41AB"/>
    <w:rsid w:val="001F42ED"/>
    <w:rsid w:val="00205F5F"/>
    <w:rsid w:val="00207050"/>
    <w:rsid w:val="00212031"/>
    <w:rsid w:val="0021788B"/>
    <w:rsid w:val="00221734"/>
    <w:rsid w:val="00221C86"/>
    <w:rsid w:val="00234CC8"/>
    <w:rsid w:val="002366F5"/>
    <w:rsid w:val="00241C5F"/>
    <w:rsid w:val="00243EB2"/>
    <w:rsid w:val="002445A2"/>
    <w:rsid w:val="00244CEE"/>
    <w:rsid w:val="00253FF4"/>
    <w:rsid w:val="00255E0D"/>
    <w:rsid w:val="00255F68"/>
    <w:rsid w:val="002613B6"/>
    <w:rsid w:val="00261FAC"/>
    <w:rsid w:val="0026671A"/>
    <w:rsid w:val="002678B0"/>
    <w:rsid w:val="00275698"/>
    <w:rsid w:val="0027786B"/>
    <w:rsid w:val="00277D55"/>
    <w:rsid w:val="00280D45"/>
    <w:rsid w:val="002824CE"/>
    <w:rsid w:val="00285A31"/>
    <w:rsid w:val="0029412F"/>
    <w:rsid w:val="002A4423"/>
    <w:rsid w:val="002A5538"/>
    <w:rsid w:val="002A6649"/>
    <w:rsid w:val="002C1081"/>
    <w:rsid w:val="002C2BC2"/>
    <w:rsid w:val="002D40EB"/>
    <w:rsid w:val="002D5128"/>
    <w:rsid w:val="002D5CA2"/>
    <w:rsid w:val="002D630B"/>
    <w:rsid w:val="002E4560"/>
    <w:rsid w:val="002E57E6"/>
    <w:rsid w:val="002F4571"/>
    <w:rsid w:val="002F53FA"/>
    <w:rsid w:val="00303353"/>
    <w:rsid w:val="0030357B"/>
    <w:rsid w:val="00303F43"/>
    <w:rsid w:val="003044B5"/>
    <w:rsid w:val="00304D6E"/>
    <w:rsid w:val="00307EFE"/>
    <w:rsid w:val="00315343"/>
    <w:rsid w:val="00315FDB"/>
    <w:rsid w:val="00324470"/>
    <w:rsid w:val="00325284"/>
    <w:rsid w:val="00331112"/>
    <w:rsid w:val="00331C6C"/>
    <w:rsid w:val="00333C5C"/>
    <w:rsid w:val="00337167"/>
    <w:rsid w:val="00340A20"/>
    <w:rsid w:val="003430E1"/>
    <w:rsid w:val="00351857"/>
    <w:rsid w:val="00351D36"/>
    <w:rsid w:val="00354238"/>
    <w:rsid w:val="00363767"/>
    <w:rsid w:val="00364FA8"/>
    <w:rsid w:val="00371CA0"/>
    <w:rsid w:val="0037270F"/>
    <w:rsid w:val="0037710D"/>
    <w:rsid w:val="0037724E"/>
    <w:rsid w:val="00377876"/>
    <w:rsid w:val="00383EDF"/>
    <w:rsid w:val="0039341D"/>
    <w:rsid w:val="00395EC8"/>
    <w:rsid w:val="00396FF2"/>
    <w:rsid w:val="00397237"/>
    <w:rsid w:val="003A1754"/>
    <w:rsid w:val="003A5A74"/>
    <w:rsid w:val="003A5EE1"/>
    <w:rsid w:val="003B15A9"/>
    <w:rsid w:val="003B1763"/>
    <w:rsid w:val="003B5921"/>
    <w:rsid w:val="003B6BEB"/>
    <w:rsid w:val="003C3801"/>
    <w:rsid w:val="003F011A"/>
    <w:rsid w:val="003F02D2"/>
    <w:rsid w:val="003F64EB"/>
    <w:rsid w:val="00402782"/>
    <w:rsid w:val="00402C8B"/>
    <w:rsid w:val="004051CF"/>
    <w:rsid w:val="00405758"/>
    <w:rsid w:val="00410133"/>
    <w:rsid w:val="004160FF"/>
    <w:rsid w:val="00416AB1"/>
    <w:rsid w:val="0041790C"/>
    <w:rsid w:val="004223A4"/>
    <w:rsid w:val="004343C1"/>
    <w:rsid w:val="00435DF0"/>
    <w:rsid w:val="00447DB3"/>
    <w:rsid w:val="00464734"/>
    <w:rsid w:val="00464DB7"/>
    <w:rsid w:val="00465A5B"/>
    <w:rsid w:val="0046751D"/>
    <w:rsid w:val="00470411"/>
    <w:rsid w:val="00474092"/>
    <w:rsid w:val="004740CF"/>
    <w:rsid w:val="004751A1"/>
    <w:rsid w:val="00480A7B"/>
    <w:rsid w:val="0048262A"/>
    <w:rsid w:val="00487BB3"/>
    <w:rsid w:val="004A250C"/>
    <w:rsid w:val="004A4D42"/>
    <w:rsid w:val="004A7649"/>
    <w:rsid w:val="004B23DB"/>
    <w:rsid w:val="004B31BC"/>
    <w:rsid w:val="004B436B"/>
    <w:rsid w:val="004C0B24"/>
    <w:rsid w:val="004D031D"/>
    <w:rsid w:val="004D0F85"/>
    <w:rsid w:val="004D2466"/>
    <w:rsid w:val="004D4B65"/>
    <w:rsid w:val="004D7CFD"/>
    <w:rsid w:val="004E0173"/>
    <w:rsid w:val="004E43FD"/>
    <w:rsid w:val="004E46AE"/>
    <w:rsid w:val="004E70EC"/>
    <w:rsid w:val="004F0513"/>
    <w:rsid w:val="005019C4"/>
    <w:rsid w:val="00505F23"/>
    <w:rsid w:val="00511545"/>
    <w:rsid w:val="005162D3"/>
    <w:rsid w:val="00520638"/>
    <w:rsid w:val="00522FE5"/>
    <w:rsid w:val="00532D88"/>
    <w:rsid w:val="00537103"/>
    <w:rsid w:val="005401B2"/>
    <w:rsid w:val="00542871"/>
    <w:rsid w:val="00542AA7"/>
    <w:rsid w:val="0054590D"/>
    <w:rsid w:val="00551F38"/>
    <w:rsid w:val="00553061"/>
    <w:rsid w:val="0055772A"/>
    <w:rsid w:val="00561600"/>
    <w:rsid w:val="00563FAA"/>
    <w:rsid w:val="005662A4"/>
    <w:rsid w:val="00571D56"/>
    <w:rsid w:val="00574754"/>
    <w:rsid w:val="00574BBD"/>
    <w:rsid w:val="00582C5E"/>
    <w:rsid w:val="005929B5"/>
    <w:rsid w:val="0059406E"/>
    <w:rsid w:val="005B3A97"/>
    <w:rsid w:val="005B5CD1"/>
    <w:rsid w:val="005B66F9"/>
    <w:rsid w:val="005B69FD"/>
    <w:rsid w:val="005C4AC7"/>
    <w:rsid w:val="005D09CE"/>
    <w:rsid w:val="005D5B36"/>
    <w:rsid w:val="005F47B4"/>
    <w:rsid w:val="005F4C65"/>
    <w:rsid w:val="005F5C80"/>
    <w:rsid w:val="005F74CF"/>
    <w:rsid w:val="005F79FB"/>
    <w:rsid w:val="006036CD"/>
    <w:rsid w:val="00603D2B"/>
    <w:rsid w:val="00604969"/>
    <w:rsid w:val="00623C27"/>
    <w:rsid w:val="00635FBF"/>
    <w:rsid w:val="00636E8E"/>
    <w:rsid w:val="00643C98"/>
    <w:rsid w:val="00645481"/>
    <w:rsid w:val="00647AD1"/>
    <w:rsid w:val="006525C7"/>
    <w:rsid w:val="00656ADF"/>
    <w:rsid w:val="006644BC"/>
    <w:rsid w:val="0067010E"/>
    <w:rsid w:val="006702D0"/>
    <w:rsid w:val="006809CA"/>
    <w:rsid w:val="0068542F"/>
    <w:rsid w:val="00687362"/>
    <w:rsid w:val="00687DB0"/>
    <w:rsid w:val="00695B7A"/>
    <w:rsid w:val="006A0F46"/>
    <w:rsid w:val="006A33F3"/>
    <w:rsid w:val="006A5576"/>
    <w:rsid w:val="006A576A"/>
    <w:rsid w:val="006A7546"/>
    <w:rsid w:val="006B15B6"/>
    <w:rsid w:val="006B1DCE"/>
    <w:rsid w:val="006B7364"/>
    <w:rsid w:val="006B7EFD"/>
    <w:rsid w:val="006C48E4"/>
    <w:rsid w:val="006D7F94"/>
    <w:rsid w:val="006E5AA5"/>
    <w:rsid w:val="006E72FA"/>
    <w:rsid w:val="006F3B19"/>
    <w:rsid w:val="006F5905"/>
    <w:rsid w:val="007012CF"/>
    <w:rsid w:val="007025C3"/>
    <w:rsid w:val="007169C9"/>
    <w:rsid w:val="00717FC9"/>
    <w:rsid w:val="00723E6E"/>
    <w:rsid w:val="00724893"/>
    <w:rsid w:val="00725234"/>
    <w:rsid w:val="007315D2"/>
    <w:rsid w:val="00734FCA"/>
    <w:rsid w:val="00742F1F"/>
    <w:rsid w:val="00743054"/>
    <w:rsid w:val="00743692"/>
    <w:rsid w:val="007502C6"/>
    <w:rsid w:val="00753836"/>
    <w:rsid w:val="00753861"/>
    <w:rsid w:val="007579AD"/>
    <w:rsid w:val="00760E39"/>
    <w:rsid w:val="0076184A"/>
    <w:rsid w:val="007632C3"/>
    <w:rsid w:val="007671B9"/>
    <w:rsid w:val="00770B8E"/>
    <w:rsid w:val="007766EC"/>
    <w:rsid w:val="00776CE3"/>
    <w:rsid w:val="00776F87"/>
    <w:rsid w:val="007805A6"/>
    <w:rsid w:val="00783C2A"/>
    <w:rsid w:val="00786646"/>
    <w:rsid w:val="00787817"/>
    <w:rsid w:val="007944EA"/>
    <w:rsid w:val="00794E0F"/>
    <w:rsid w:val="00795A09"/>
    <w:rsid w:val="007A0430"/>
    <w:rsid w:val="007A2BB1"/>
    <w:rsid w:val="007A309F"/>
    <w:rsid w:val="007A7BE9"/>
    <w:rsid w:val="007B1A82"/>
    <w:rsid w:val="007B37E5"/>
    <w:rsid w:val="007B41C0"/>
    <w:rsid w:val="007B614F"/>
    <w:rsid w:val="007C0DCE"/>
    <w:rsid w:val="007C1E96"/>
    <w:rsid w:val="007C7FF0"/>
    <w:rsid w:val="007D08EC"/>
    <w:rsid w:val="007D383B"/>
    <w:rsid w:val="007D3F44"/>
    <w:rsid w:val="007D48A3"/>
    <w:rsid w:val="007F0A15"/>
    <w:rsid w:val="007F273D"/>
    <w:rsid w:val="007F7D62"/>
    <w:rsid w:val="00806F4D"/>
    <w:rsid w:val="00807B5A"/>
    <w:rsid w:val="00811884"/>
    <w:rsid w:val="00820F32"/>
    <w:rsid w:val="00822DC8"/>
    <w:rsid w:val="00826D9A"/>
    <w:rsid w:val="00834CAB"/>
    <w:rsid w:val="00843E61"/>
    <w:rsid w:val="008534FE"/>
    <w:rsid w:val="00854311"/>
    <w:rsid w:val="00854ED3"/>
    <w:rsid w:val="00866B42"/>
    <w:rsid w:val="00867DB3"/>
    <w:rsid w:val="00874EDF"/>
    <w:rsid w:val="008761D4"/>
    <w:rsid w:val="00877928"/>
    <w:rsid w:val="00877A96"/>
    <w:rsid w:val="00880217"/>
    <w:rsid w:val="00880B9F"/>
    <w:rsid w:val="00881B7A"/>
    <w:rsid w:val="008821FE"/>
    <w:rsid w:val="00887BCB"/>
    <w:rsid w:val="00891896"/>
    <w:rsid w:val="00891C80"/>
    <w:rsid w:val="008956F9"/>
    <w:rsid w:val="00895C54"/>
    <w:rsid w:val="008966B2"/>
    <w:rsid w:val="008A083D"/>
    <w:rsid w:val="008A5E6F"/>
    <w:rsid w:val="008B4D95"/>
    <w:rsid w:val="008B6BF1"/>
    <w:rsid w:val="008C0598"/>
    <w:rsid w:val="008C2E14"/>
    <w:rsid w:val="008C5C56"/>
    <w:rsid w:val="008D1E44"/>
    <w:rsid w:val="008D3407"/>
    <w:rsid w:val="008D6106"/>
    <w:rsid w:val="008D731F"/>
    <w:rsid w:val="008D77D5"/>
    <w:rsid w:val="008F15EB"/>
    <w:rsid w:val="008F464C"/>
    <w:rsid w:val="008F55A9"/>
    <w:rsid w:val="0090665F"/>
    <w:rsid w:val="00906798"/>
    <w:rsid w:val="00910934"/>
    <w:rsid w:val="00921CDA"/>
    <w:rsid w:val="00922BB1"/>
    <w:rsid w:val="009248E6"/>
    <w:rsid w:val="00924E55"/>
    <w:rsid w:val="00931054"/>
    <w:rsid w:val="009319AF"/>
    <w:rsid w:val="00931AC9"/>
    <w:rsid w:val="00935677"/>
    <w:rsid w:val="00937642"/>
    <w:rsid w:val="00943FED"/>
    <w:rsid w:val="00945F04"/>
    <w:rsid w:val="00961E59"/>
    <w:rsid w:val="00965747"/>
    <w:rsid w:val="009658D1"/>
    <w:rsid w:val="0097232A"/>
    <w:rsid w:val="00972573"/>
    <w:rsid w:val="00976B7E"/>
    <w:rsid w:val="0098370B"/>
    <w:rsid w:val="00983F79"/>
    <w:rsid w:val="00986F4A"/>
    <w:rsid w:val="00997CB2"/>
    <w:rsid w:val="00997E54"/>
    <w:rsid w:val="009A340C"/>
    <w:rsid w:val="009A700F"/>
    <w:rsid w:val="009B200E"/>
    <w:rsid w:val="009B7646"/>
    <w:rsid w:val="009C1724"/>
    <w:rsid w:val="009C5BC8"/>
    <w:rsid w:val="009D28B6"/>
    <w:rsid w:val="009D2BFB"/>
    <w:rsid w:val="009D3FD1"/>
    <w:rsid w:val="009D4DFF"/>
    <w:rsid w:val="009F094B"/>
    <w:rsid w:val="009F693A"/>
    <w:rsid w:val="00A03954"/>
    <w:rsid w:val="00A04C26"/>
    <w:rsid w:val="00A076B7"/>
    <w:rsid w:val="00A11830"/>
    <w:rsid w:val="00A20C04"/>
    <w:rsid w:val="00A25EE9"/>
    <w:rsid w:val="00A2657A"/>
    <w:rsid w:val="00A30A30"/>
    <w:rsid w:val="00A31F71"/>
    <w:rsid w:val="00A37214"/>
    <w:rsid w:val="00A3723B"/>
    <w:rsid w:val="00A41494"/>
    <w:rsid w:val="00A41D24"/>
    <w:rsid w:val="00A43493"/>
    <w:rsid w:val="00A45871"/>
    <w:rsid w:val="00A52AC3"/>
    <w:rsid w:val="00A53089"/>
    <w:rsid w:val="00A62EB3"/>
    <w:rsid w:val="00A65BFF"/>
    <w:rsid w:val="00A7141D"/>
    <w:rsid w:val="00A7198E"/>
    <w:rsid w:val="00A723F7"/>
    <w:rsid w:val="00A8163C"/>
    <w:rsid w:val="00A83018"/>
    <w:rsid w:val="00A87BB8"/>
    <w:rsid w:val="00A87F90"/>
    <w:rsid w:val="00A9041F"/>
    <w:rsid w:val="00A90E75"/>
    <w:rsid w:val="00A93A21"/>
    <w:rsid w:val="00A958BE"/>
    <w:rsid w:val="00A97610"/>
    <w:rsid w:val="00AA11A5"/>
    <w:rsid w:val="00AA662B"/>
    <w:rsid w:val="00AA6DC7"/>
    <w:rsid w:val="00AC021B"/>
    <w:rsid w:val="00AC26ED"/>
    <w:rsid w:val="00AC7F9D"/>
    <w:rsid w:val="00AD4553"/>
    <w:rsid w:val="00AE017E"/>
    <w:rsid w:val="00AE25F0"/>
    <w:rsid w:val="00AE39E5"/>
    <w:rsid w:val="00AF3E78"/>
    <w:rsid w:val="00AF61E4"/>
    <w:rsid w:val="00AF6619"/>
    <w:rsid w:val="00B00570"/>
    <w:rsid w:val="00B0281F"/>
    <w:rsid w:val="00B061EF"/>
    <w:rsid w:val="00B07B72"/>
    <w:rsid w:val="00B108DD"/>
    <w:rsid w:val="00B137D2"/>
    <w:rsid w:val="00B14B90"/>
    <w:rsid w:val="00B173CB"/>
    <w:rsid w:val="00B21AC4"/>
    <w:rsid w:val="00B3469B"/>
    <w:rsid w:val="00B4148D"/>
    <w:rsid w:val="00B41B79"/>
    <w:rsid w:val="00B421AC"/>
    <w:rsid w:val="00B45FCA"/>
    <w:rsid w:val="00B54861"/>
    <w:rsid w:val="00B561AB"/>
    <w:rsid w:val="00B6413E"/>
    <w:rsid w:val="00B66449"/>
    <w:rsid w:val="00B76FD2"/>
    <w:rsid w:val="00B774BA"/>
    <w:rsid w:val="00B813B4"/>
    <w:rsid w:val="00B83B48"/>
    <w:rsid w:val="00B84E4D"/>
    <w:rsid w:val="00B8672A"/>
    <w:rsid w:val="00B95A89"/>
    <w:rsid w:val="00B96CB7"/>
    <w:rsid w:val="00BA16CA"/>
    <w:rsid w:val="00BA19A8"/>
    <w:rsid w:val="00BA1C3B"/>
    <w:rsid w:val="00BA2038"/>
    <w:rsid w:val="00BB3751"/>
    <w:rsid w:val="00BB58E6"/>
    <w:rsid w:val="00BB592F"/>
    <w:rsid w:val="00BC0BF3"/>
    <w:rsid w:val="00BC284F"/>
    <w:rsid w:val="00BC4FED"/>
    <w:rsid w:val="00BC6A9C"/>
    <w:rsid w:val="00BD25A8"/>
    <w:rsid w:val="00BD7B70"/>
    <w:rsid w:val="00BE08AC"/>
    <w:rsid w:val="00BE5C44"/>
    <w:rsid w:val="00BF0E6C"/>
    <w:rsid w:val="00BF2046"/>
    <w:rsid w:val="00C07A0B"/>
    <w:rsid w:val="00C1019E"/>
    <w:rsid w:val="00C225F7"/>
    <w:rsid w:val="00C23448"/>
    <w:rsid w:val="00C2525A"/>
    <w:rsid w:val="00C330F6"/>
    <w:rsid w:val="00C36E5E"/>
    <w:rsid w:val="00C528A7"/>
    <w:rsid w:val="00C66AEE"/>
    <w:rsid w:val="00C71440"/>
    <w:rsid w:val="00C73A48"/>
    <w:rsid w:val="00C7525F"/>
    <w:rsid w:val="00C766CE"/>
    <w:rsid w:val="00C87907"/>
    <w:rsid w:val="00C94BF9"/>
    <w:rsid w:val="00CA54ED"/>
    <w:rsid w:val="00CC139E"/>
    <w:rsid w:val="00CC3358"/>
    <w:rsid w:val="00CD386D"/>
    <w:rsid w:val="00CD6A2D"/>
    <w:rsid w:val="00CE0C93"/>
    <w:rsid w:val="00CE2756"/>
    <w:rsid w:val="00CE4612"/>
    <w:rsid w:val="00D00999"/>
    <w:rsid w:val="00D01F79"/>
    <w:rsid w:val="00D033C6"/>
    <w:rsid w:val="00D06591"/>
    <w:rsid w:val="00D06D97"/>
    <w:rsid w:val="00D07A8C"/>
    <w:rsid w:val="00D115CE"/>
    <w:rsid w:val="00D1205F"/>
    <w:rsid w:val="00D12FA9"/>
    <w:rsid w:val="00D157E6"/>
    <w:rsid w:val="00D17A6B"/>
    <w:rsid w:val="00D330C0"/>
    <w:rsid w:val="00D442EE"/>
    <w:rsid w:val="00D45E44"/>
    <w:rsid w:val="00D65D82"/>
    <w:rsid w:val="00D675B9"/>
    <w:rsid w:val="00D76089"/>
    <w:rsid w:val="00D844A3"/>
    <w:rsid w:val="00D85C84"/>
    <w:rsid w:val="00D9394A"/>
    <w:rsid w:val="00D9477A"/>
    <w:rsid w:val="00D95D35"/>
    <w:rsid w:val="00DA586A"/>
    <w:rsid w:val="00DB12D3"/>
    <w:rsid w:val="00DB23C9"/>
    <w:rsid w:val="00DB49EC"/>
    <w:rsid w:val="00DB5225"/>
    <w:rsid w:val="00DC2C38"/>
    <w:rsid w:val="00DD1526"/>
    <w:rsid w:val="00DD5DC4"/>
    <w:rsid w:val="00DD78D7"/>
    <w:rsid w:val="00DE7D83"/>
    <w:rsid w:val="00E0314E"/>
    <w:rsid w:val="00E10CD8"/>
    <w:rsid w:val="00E1600E"/>
    <w:rsid w:val="00E16BA8"/>
    <w:rsid w:val="00E265A7"/>
    <w:rsid w:val="00E269EC"/>
    <w:rsid w:val="00E3044B"/>
    <w:rsid w:val="00E33444"/>
    <w:rsid w:val="00E371FF"/>
    <w:rsid w:val="00E41128"/>
    <w:rsid w:val="00E427DD"/>
    <w:rsid w:val="00E46519"/>
    <w:rsid w:val="00E52188"/>
    <w:rsid w:val="00E537F9"/>
    <w:rsid w:val="00E54323"/>
    <w:rsid w:val="00E55A7F"/>
    <w:rsid w:val="00E56553"/>
    <w:rsid w:val="00E56676"/>
    <w:rsid w:val="00E56AB4"/>
    <w:rsid w:val="00E5721B"/>
    <w:rsid w:val="00E61B04"/>
    <w:rsid w:val="00E660DF"/>
    <w:rsid w:val="00E663F9"/>
    <w:rsid w:val="00E66836"/>
    <w:rsid w:val="00E67CF1"/>
    <w:rsid w:val="00E70AF8"/>
    <w:rsid w:val="00E7629D"/>
    <w:rsid w:val="00E83662"/>
    <w:rsid w:val="00E90270"/>
    <w:rsid w:val="00E95CC8"/>
    <w:rsid w:val="00E95F04"/>
    <w:rsid w:val="00E96576"/>
    <w:rsid w:val="00EA2DDF"/>
    <w:rsid w:val="00EA500C"/>
    <w:rsid w:val="00EB3817"/>
    <w:rsid w:val="00EC61C0"/>
    <w:rsid w:val="00ED65AB"/>
    <w:rsid w:val="00EE2545"/>
    <w:rsid w:val="00EE26F4"/>
    <w:rsid w:val="00EE2DEE"/>
    <w:rsid w:val="00EE4148"/>
    <w:rsid w:val="00EE5496"/>
    <w:rsid w:val="00EE7D89"/>
    <w:rsid w:val="00EE7E99"/>
    <w:rsid w:val="00F00B0B"/>
    <w:rsid w:val="00F028CB"/>
    <w:rsid w:val="00F03014"/>
    <w:rsid w:val="00F05DDB"/>
    <w:rsid w:val="00F22D72"/>
    <w:rsid w:val="00F23383"/>
    <w:rsid w:val="00F234F3"/>
    <w:rsid w:val="00F23FF3"/>
    <w:rsid w:val="00F24C48"/>
    <w:rsid w:val="00F268F6"/>
    <w:rsid w:val="00F34997"/>
    <w:rsid w:val="00F4037E"/>
    <w:rsid w:val="00F40D6D"/>
    <w:rsid w:val="00F42B47"/>
    <w:rsid w:val="00F42E5A"/>
    <w:rsid w:val="00F47907"/>
    <w:rsid w:val="00F5084E"/>
    <w:rsid w:val="00F50B07"/>
    <w:rsid w:val="00F526FD"/>
    <w:rsid w:val="00F5680A"/>
    <w:rsid w:val="00F56AB5"/>
    <w:rsid w:val="00F66BB7"/>
    <w:rsid w:val="00F67833"/>
    <w:rsid w:val="00F711CF"/>
    <w:rsid w:val="00F72F0F"/>
    <w:rsid w:val="00F87704"/>
    <w:rsid w:val="00F9025F"/>
    <w:rsid w:val="00F93B74"/>
    <w:rsid w:val="00F953FA"/>
    <w:rsid w:val="00FA0DC6"/>
    <w:rsid w:val="00FA2ACB"/>
    <w:rsid w:val="00FA33B0"/>
    <w:rsid w:val="00FB29AE"/>
    <w:rsid w:val="00FB3A22"/>
    <w:rsid w:val="00FC3CD1"/>
    <w:rsid w:val="00FC776A"/>
    <w:rsid w:val="00FD11AC"/>
    <w:rsid w:val="00FD46B8"/>
    <w:rsid w:val="00FE3930"/>
    <w:rsid w:val="00FF0CA4"/>
    <w:rsid w:val="00FF0D98"/>
    <w:rsid w:val="00FF14ED"/>
    <w:rsid w:val="00FF2CB4"/>
    <w:rsid w:val="00FF4E53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2B0FB"/>
  <w15:docId w15:val="{B082E089-8F9B-440F-8725-B971DBF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3B1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23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C1081"/>
    <w:pPr>
      <w:keepNext/>
      <w:widowControl w:val="0"/>
      <w:pBdr>
        <w:bottom w:val="single" w:sz="12" w:space="1" w:color="auto"/>
      </w:pBdr>
      <w:ind w:left="2880" w:hanging="2880"/>
      <w:jc w:val="both"/>
      <w:outlineLvl w:val="5"/>
    </w:pPr>
    <w:rPr>
      <w:rFonts w:ascii="Arial" w:eastAsia="Times New Roman" w:hAnsi="Arial"/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3B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3B1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F3B19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6F3B1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3B19"/>
    <w:rPr>
      <w:sz w:val="20"/>
      <w:szCs w:val="20"/>
    </w:rPr>
  </w:style>
  <w:style w:type="character" w:styleId="PageNumber">
    <w:name w:val="page number"/>
    <w:basedOn w:val="DefaultParagraphFont"/>
    <w:rsid w:val="007012CF"/>
  </w:style>
  <w:style w:type="character" w:styleId="Hyperlink">
    <w:name w:val="Hyperlink"/>
    <w:basedOn w:val="DefaultParagraphFont"/>
    <w:uiPriority w:val="99"/>
    <w:rsid w:val="007B41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1DCE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61E59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7A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7A04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rsid w:val="002C1081"/>
    <w:rPr>
      <w:rFonts w:ascii="Arial" w:eastAsia="Times New Roman" w:hAnsi="Arial"/>
      <w:b/>
      <w:snapToGrid w:val="0"/>
      <w:sz w:val="24"/>
    </w:rPr>
  </w:style>
  <w:style w:type="paragraph" w:styleId="BodyText">
    <w:name w:val="Body Text"/>
    <w:basedOn w:val="Normal"/>
    <w:link w:val="BodyTextChar"/>
    <w:rsid w:val="002C1081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520"/>
        <w:tab w:val="left" w:pos="3600"/>
      </w:tabs>
      <w:jc w:val="both"/>
    </w:pPr>
    <w:rPr>
      <w:rFonts w:eastAsia="Times New Roman"/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C1081"/>
    <w:rPr>
      <w:rFonts w:eastAsia="Times New Roman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F23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odyText2">
    <w:name w:val="Body Text 2"/>
    <w:basedOn w:val="Normal"/>
    <w:link w:val="BodyText2Char"/>
    <w:rsid w:val="00F23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234F3"/>
    <w:rPr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F234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234F3"/>
    <w:rPr>
      <w:sz w:val="16"/>
      <w:szCs w:val="16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F7D6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F7D62"/>
    <w:rPr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7F7D62"/>
    <w:rPr>
      <w:b/>
      <w:bCs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5496"/>
    <w:rPr>
      <w:sz w:val="24"/>
      <w:szCs w:val="24"/>
      <w:lang w:eastAsia="ja-JP"/>
    </w:rPr>
  </w:style>
  <w:style w:type="paragraph" w:customStyle="1" w:styleId="Paragraph">
    <w:name w:val="* Paragraph"/>
    <w:aliases w:val="left-aligned1"/>
    <w:uiPriority w:val="99"/>
    <w:rsid w:val="00D65D82"/>
    <w:pPr>
      <w:widowControl w:val="0"/>
      <w:autoSpaceDE w:val="0"/>
      <w:autoSpaceDN w:val="0"/>
      <w:adjustRightInd w:val="0"/>
      <w:spacing w:line="240" w:lineRule="atLeast"/>
    </w:pPr>
    <w:rPr>
      <w:rFonts w:ascii="Courier New" w:eastAsia="Malgun Gothic" w:hAnsi="Courier New" w:cs="Courier New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6BDCD628B48429BB9D7F15D2AE8D6" ma:contentTypeVersion="11" ma:contentTypeDescription="Create a new document." ma:contentTypeScope="" ma:versionID="8f6a45f2b89870a4579f0986c0edaf0a">
  <xsd:schema xmlns:xsd="http://www.w3.org/2001/XMLSchema" xmlns:xs="http://www.w3.org/2001/XMLSchema" xmlns:p="http://schemas.microsoft.com/office/2006/metadata/properties" xmlns:ns3="50a614e8-ee4c-405f-88a5-b26cb008da08" xmlns:ns4="00cd4523-937a-4a13-9721-aad5b6713c86" targetNamespace="http://schemas.microsoft.com/office/2006/metadata/properties" ma:root="true" ma:fieldsID="bfb4b4bf7f71df9460a158101e6b5bae" ns3:_="" ns4:_="">
    <xsd:import namespace="50a614e8-ee4c-405f-88a5-b26cb008da08"/>
    <xsd:import namespace="00cd4523-937a-4a13-9721-aad5b6713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614e8-ee4c-405f-88a5-b26cb008d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d4523-937a-4a13-9721-aad5b6713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6C16-DE39-4C42-8769-24C13AB3E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55C501-C734-4917-BFEC-C172C9A5B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614e8-ee4c-405f-88a5-b26cb008da08"/>
    <ds:schemaRef ds:uri="00cd4523-937a-4a13-9721-aad5b6713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59A8A-207A-49F7-A196-7DD570D40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801B99-45DA-4624-91FD-0F3F5622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Handover Notes</vt:lpstr>
    </vt:vector>
  </TitlesOfParts>
  <Company>UNICEF</Company>
  <LinksUpToDate>false</LinksUpToDate>
  <CharactersWithSpaces>10256</CharactersWithSpaces>
  <SharedDoc>false</SharedDoc>
  <HLinks>
    <vt:vector size="6" baseType="variant">
      <vt:variant>
        <vt:i4>6946840</vt:i4>
      </vt:variant>
      <vt:variant>
        <vt:i4>0</vt:i4>
      </vt:variant>
      <vt:variant>
        <vt:i4>0</vt:i4>
      </vt:variant>
      <vt:variant>
        <vt:i4>5</vt:i4>
      </vt:variant>
      <vt:variant>
        <vt:lpwstr>mailto:DPKO-bestpractices@un.org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Handover Notes</dc:title>
  <dc:creator>Wisam Hazem</dc:creator>
  <cp:lastModifiedBy>Sol Yong Ri</cp:lastModifiedBy>
  <cp:revision>6</cp:revision>
  <cp:lastPrinted>2019-08-21T00:34:00Z</cp:lastPrinted>
  <dcterms:created xsi:type="dcterms:W3CDTF">2019-08-21T00:12:00Z</dcterms:created>
  <dcterms:modified xsi:type="dcterms:W3CDTF">2019-08-21T03:15:00Z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0x0101003036BDCD628B48429BB9D7F15D2AE8D6</vt:lpwstr>
  </property>
</Properties>
</file>